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5" w:type="dxa"/>
        <w:tblLayout w:type="fixed"/>
        <w:tblLook w:val="04A0" w:firstRow="1" w:lastRow="0" w:firstColumn="1" w:lastColumn="0" w:noHBand="0" w:noVBand="1"/>
      </w:tblPr>
      <w:tblGrid>
        <w:gridCol w:w="2448"/>
        <w:gridCol w:w="5128"/>
        <w:gridCol w:w="2699"/>
      </w:tblGrid>
      <w:tr w:rsidR="00E54101" w:rsidRPr="0098410B" w14:paraId="75DB8CAF" w14:textId="77777777" w:rsidTr="00CD14F3">
        <w:tc>
          <w:tcPr>
            <w:tcW w:w="2448" w:type="dxa"/>
          </w:tcPr>
          <w:p w14:paraId="6BE73EC0" w14:textId="77777777" w:rsidR="00E54101" w:rsidRPr="0098410B" w:rsidRDefault="00E54101" w:rsidP="00FB6BD4"/>
        </w:tc>
        <w:tc>
          <w:tcPr>
            <w:tcW w:w="5130" w:type="dxa"/>
            <w:hideMark/>
          </w:tcPr>
          <w:p w14:paraId="215F418A" w14:textId="77777777" w:rsidR="00E54101" w:rsidRPr="0098410B" w:rsidRDefault="00E54101" w:rsidP="00AB3C91">
            <w:pPr>
              <w:spacing w:line="240" w:lineRule="auto"/>
              <w:ind w:firstLine="0"/>
              <w:jc w:val="center"/>
              <w:rPr>
                <w:b/>
                <w:szCs w:val="26"/>
              </w:rPr>
            </w:pPr>
            <w:r w:rsidRPr="0098410B">
              <w:rPr>
                <w:b/>
                <w:szCs w:val="26"/>
              </w:rPr>
              <w:t>PENNSYLVANIA</w:t>
            </w:r>
          </w:p>
          <w:p w14:paraId="5E62134A" w14:textId="77777777" w:rsidR="00E54101" w:rsidRPr="0098410B" w:rsidRDefault="00E54101" w:rsidP="00AB3C91">
            <w:pPr>
              <w:spacing w:line="240" w:lineRule="auto"/>
              <w:ind w:firstLine="0"/>
              <w:jc w:val="center"/>
              <w:rPr>
                <w:b/>
                <w:szCs w:val="26"/>
              </w:rPr>
            </w:pPr>
            <w:r w:rsidRPr="0098410B">
              <w:rPr>
                <w:b/>
                <w:szCs w:val="26"/>
              </w:rPr>
              <w:t>PUBLIC UTILITY COMMISSION</w:t>
            </w:r>
          </w:p>
          <w:p w14:paraId="738AD4A6" w14:textId="206D8E1D" w:rsidR="00E54101" w:rsidRPr="0098410B" w:rsidRDefault="00E54101" w:rsidP="00AB3C91">
            <w:pPr>
              <w:pStyle w:val="StyleCentered"/>
              <w:spacing w:line="240" w:lineRule="auto"/>
              <w:ind w:firstLine="0"/>
              <w:rPr>
                <w:szCs w:val="26"/>
              </w:rPr>
            </w:pPr>
            <w:r w:rsidRPr="0098410B">
              <w:rPr>
                <w:szCs w:val="26"/>
              </w:rPr>
              <w:t>Harrisburg, PA</w:t>
            </w:r>
            <w:r>
              <w:rPr>
                <w:szCs w:val="26"/>
              </w:rPr>
              <w:t xml:space="preserve">. </w:t>
            </w:r>
            <w:r w:rsidRPr="005C12E8">
              <w:rPr>
                <w:szCs w:val="26"/>
              </w:rPr>
              <w:t>17105-3265</w:t>
            </w:r>
          </w:p>
        </w:tc>
        <w:tc>
          <w:tcPr>
            <w:tcW w:w="2700" w:type="dxa"/>
          </w:tcPr>
          <w:p w14:paraId="300CCB2F" w14:textId="77777777" w:rsidR="00E54101" w:rsidRPr="0098410B" w:rsidRDefault="00E54101" w:rsidP="00CD14F3">
            <w:pPr>
              <w:spacing w:line="240" w:lineRule="auto"/>
              <w:rPr>
                <w:szCs w:val="26"/>
              </w:rPr>
            </w:pPr>
          </w:p>
        </w:tc>
      </w:tr>
    </w:tbl>
    <w:p w14:paraId="02B101C6" w14:textId="77777777" w:rsidR="00E54101" w:rsidRPr="0098410B" w:rsidRDefault="00E54101" w:rsidP="00E54101">
      <w:pPr>
        <w:spacing w:line="240" w:lineRule="auto"/>
        <w:rPr>
          <w:szCs w:val="26"/>
        </w:rPr>
      </w:pPr>
    </w:p>
    <w:tbl>
      <w:tblPr>
        <w:tblW w:w="0" w:type="auto"/>
        <w:tblLayout w:type="fixed"/>
        <w:tblLook w:val="04A0" w:firstRow="1" w:lastRow="0" w:firstColumn="1" w:lastColumn="0" w:noHBand="0" w:noVBand="1"/>
      </w:tblPr>
      <w:tblGrid>
        <w:gridCol w:w="5148"/>
        <w:gridCol w:w="5148"/>
      </w:tblGrid>
      <w:tr w:rsidR="00E54101" w:rsidRPr="0098410B" w14:paraId="1313915B" w14:textId="77777777" w:rsidTr="00CD14F3">
        <w:tc>
          <w:tcPr>
            <w:tcW w:w="5148" w:type="dxa"/>
          </w:tcPr>
          <w:p w14:paraId="5B9DC77E" w14:textId="77777777" w:rsidR="00E54101" w:rsidRPr="0098410B" w:rsidRDefault="00E54101" w:rsidP="00CD14F3">
            <w:pPr>
              <w:spacing w:line="240" w:lineRule="auto"/>
              <w:rPr>
                <w:szCs w:val="26"/>
              </w:rPr>
            </w:pPr>
          </w:p>
        </w:tc>
        <w:tc>
          <w:tcPr>
            <w:tcW w:w="5148" w:type="dxa"/>
            <w:hideMark/>
          </w:tcPr>
          <w:p w14:paraId="4EFB2051" w14:textId="77777777" w:rsidR="00E54101" w:rsidRPr="00BB1FE8" w:rsidRDefault="00E54101" w:rsidP="00DA0C20">
            <w:pPr>
              <w:tabs>
                <w:tab w:val="left" w:pos="4395"/>
              </w:tabs>
              <w:spacing w:line="240" w:lineRule="auto"/>
              <w:ind w:firstLine="612"/>
              <w:rPr>
                <w:szCs w:val="26"/>
              </w:rPr>
            </w:pPr>
            <w:r w:rsidRPr="00BB1FE8">
              <w:rPr>
                <w:szCs w:val="26"/>
              </w:rPr>
              <w:t>Public Meeting held August 8, 2019</w:t>
            </w:r>
          </w:p>
        </w:tc>
      </w:tr>
      <w:tr w:rsidR="00E54101" w:rsidRPr="0098410B" w14:paraId="4B129DD7" w14:textId="77777777" w:rsidTr="00CD14F3">
        <w:tc>
          <w:tcPr>
            <w:tcW w:w="5148" w:type="dxa"/>
            <w:hideMark/>
          </w:tcPr>
          <w:p w14:paraId="70BBFFEF" w14:textId="77777777" w:rsidR="00E54101" w:rsidRPr="0098410B" w:rsidRDefault="00E54101" w:rsidP="0077013E">
            <w:pPr>
              <w:spacing w:line="240" w:lineRule="auto"/>
              <w:ind w:firstLine="73"/>
              <w:rPr>
                <w:szCs w:val="26"/>
              </w:rPr>
            </w:pPr>
            <w:r w:rsidRPr="0098410B">
              <w:rPr>
                <w:szCs w:val="26"/>
              </w:rPr>
              <w:t>Commissioners Present:</w:t>
            </w:r>
          </w:p>
        </w:tc>
        <w:tc>
          <w:tcPr>
            <w:tcW w:w="5148" w:type="dxa"/>
          </w:tcPr>
          <w:p w14:paraId="775676A5" w14:textId="77777777" w:rsidR="00E54101" w:rsidRPr="0098410B" w:rsidRDefault="00E54101" w:rsidP="00CD14F3">
            <w:pPr>
              <w:spacing w:line="240" w:lineRule="auto"/>
              <w:rPr>
                <w:szCs w:val="26"/>
              </w:rPr>
            </w:pPr>
          </w:p>
        </w:tc>
      </w:tr>
    </w:tbl>
    <w:p w14:paraId="243E0B5D" w14:textId="77777777" w:rsidR="00E54101" w:rsidRPr="0098410B" w:rsidRDefault="00E54101" w:rsidP="00E54101">
      <w:pPr>
        <w:spacing w:line="240" w:lineRule="auto"/>
        <w:rPr>
          <w:szCs w:val="26"/>
        </w:rPr>
      </w:pPr>
    </w:p>
    <w:tbl>
      <w:tblPr>
        <w:tblW w:w="10454" w:type="dxa"/>
        <w:tblLayout w:type="fixed"/>
        <w:tblLook w:val="04A0" w:firstRow="1" w:lastRow="0" w:firstColumn="1" w:lastColumn="0" w:noHBand="0" w:noVBand="1"/>
      </w:tblPr>
      <w:tblGrid>
        <w:gridCol w:w="5954"/>
        <w:gridCol w:w="3676"/>
        <w:gridCol w:w="86"/>
        <w:gridCol w:w="738"/>
      </w:tblGrid>
      <w:tr w:rsidR="00E54101" w:rsidRPr="0098410B" w14:paraId="6FE5A839" w14:textId="77777777" w:rsidTr="00DA0C20">
        <w:tc>
          <w:tcPr>
            <w:tcW w:w="9716" w:type="dxa"/>
            <w:gridSpan w:val="3"/>
            <w:hideMark/>
          </w:tcPr>
          <w:p w14:paraId="7B46A27B" w14:textId="7D2D3D6E" w:rsidR="00E54101" w:rsidRPr="0061546A" w:rsidRDefault="00E54101" w:rsidP="0077013E">
            <w:pPr>
              <w:spacing w:line="240" w:lineRule="auto"/>
              <w:ind w:left="433" w:firstLine="17"/>
              <w:rPr>
                <w:szCs w:val="26"/>
                <w:highlight w:val="yellow"/>
              </w:rPr>
            </w:pPr>
            <w:r w:rsidRPr="00FF3102">
              <w:rPr>
                <w:szCs w:val="26"/>
              </w:rPr>
              <w:t xml:space="preserve">Gladys </w:t>
            </w:r>
            <w:r w:rsidR="00EC1A83">
              <w:rPr>
                <w:szCs w:val="26"/>
              </w:rPr>
              <w:t>Brown Dutrieuille</w:t>
            </w:r>
            <w:r w:rsidRPr="00FF3102">
              <w:rPr>
                <w:szCs w:val="26"/>
              </w:rPr>
              <w:t>, Chairman</w:t>
            </w:r>
          </w:p>
        </w:tc>
        <w:tc>
          <w:tcPr>
            <w:tcW w:w="738" w:type="dxa"/>
          </w:tcPr>
          <w:p w14:paraId="5FD4559F" w14:textId="77777777" w:rsidR="00E54101" w:rsidRPr="0098410B" w:rsidRDefault="00E54101" w:rsidP="00CD14F3">
            <w:pPr>
              <w:spacing w:line="240" w:lineRule="auto"/>
              <w:rPr>
                <w:szCs w:val="26"/>
              </w:rPr>
            </w:pPr>
          </w:p>
        </w:tc>
      </w:tr>
      <w:tr w:rsidR="00E54101" w:rsidRPr="00315A0D" w14:paraId="423D689F" w14:textId="77777777" w:rsidTr="00DA0C20">
        <w:tc>
          <w:tcPr>
            <w:tcW w:w="9716" w:type="dxa"/>
            <w:gridSpan w:val="3"/>
            <w:hideMark/>
          </w:tcPr>
          <w:p w14:paraId="58738F63" w14:textId="77777777" w:rsidR="00E54101" w:rsidRPr="00FF3102" w:rsidRDefault="00E54101" w:rsidP="0077013E">
            <w:pPr>
              <w:spacing w:line="240" w:lineRule="auto"/>
              <w:ind w:left="433" w:firstLine="17"/>
              <w:rPr>
                <w:szCs w:val="26"/>
              </w:rPr>
            </w:pPr>
            <w:r w:rsidRPr="00FF3102">
              <w:rPr>
                <w:szCs w:val="26"/>
              </w:rPr>
              <w:t>David W. Sweet, Vice Chairman</w:t>
            </w:r>
          </w:p>
          <w:p w14:paraId="6450AC65" w14:textId="77777777" w:rsidR="00E54101" w:rsidRPr="0061546A" w:rsidRDefault="00E54101" w:rsidP="0077013E">
            <w:pPr>
              <w:spacing w:line="240" w:lineRule="auto"/>
              <w:ind w:left="433" w:firstLine="17"/>
              <w:rPr>
                <w:szCs w:val="26"/>
                <w:highlight w:val="yellow"/>
              </w:rPr>
            </w:pPr>
            <w:r w:rsidRPr="00FF3102">
              <w:rPr>
                <w:szCs w:val="26"/>
              </w:rPr>
              <w:t>Norman J. Kennard</w:t>
            </w:r>
          </w:p>
        </w:tc>
        <w:tc>
          <w:tcPr>
            <w:tcW w:w="738" w:type="dxa"/>
          </w:tcPr>
          <w:p w14:paraId="05F279F5" w14:textId="77777777" w:rsidR="00E54101" w:rsidRPr="00315A0D" w:rsidRDefault="00E54101" w:rsidP="00CD14F3">
            <w:pPr>
              <w:spacing w:line="240" w:lineRule="auto"/>
              <w:rPr>
                <w:szCs w:val="26"/>
              </w:rPr>
            </w:pPr>
          </w:p>
        </w:tc>
      </w:tr>
      <w:tr w:rsidR="00E54101" w:rsidRPr="00315A0D" w14:paraId="1CB769BE" w14:textId="77777777" w:rsidTr="00DA0C20">
        <w:tc>
          <w:tcPr>
            <w:tcW w:w="9716" w:type="dxa"/>
            <w:gridSpan w:val="3"/>
            <w:hideMark/>
          </w:tcPr>
          <w:p w14:paraId="48E37394" w14:textId="77777777" w:rsidR="00E54101" w:rsidRPr="0061546A" w:rsidRDefault="00E54101" w:rsidP="0077013E">
            <w:pPr>
              <w:spacing w:line="240" w:lineRule="auto"/>
              <w:ind w:left="433" w:firstLine="17"/>
              <w:rPr>
                <w:szCs w:val="26"/>
                <w:highlight w:val="yellow"/>
              </w:rPr>
            </w:pPr>
            <w:r w:rsidRPr="005631CC">
              <w:rPr>
                <w:szCs w:val="26"/>
              </w:rPr>
              <w:t>Andrew G. Place</w:t>
            </w:r>
          </w:p>
        </w:tc>
        <w:tc>
          <w:tcPr>
            <w:tcW w:w="738" w:type="dxa"/>
          </w:tcPr>
          <w:p w14:paraId="58D5CA1C" w14:textId="77777777" w:rsidR="00E54101" w:rsidRPr="00315A0D" w:rsidRDefault="00E54101" w:rsidP="00CD14F3">
            <w:pPr>
              <w:spacing w:line="240" w:lineRule="auto"/>
              <w:rPr>
                <w:szCs w:val="26"/>
              </w:rPr>
            </w:pPr>
          </w:p>
        </w:tc>
      </w:tr>
      <w:tr w:rsidR="00E54101" w:rsidRPr="00315A0D" w14:paraId="482FDE1A" w14:textId="77777777" w:rsidTr="00DA0C20">
        <w:tc>
          <w:tcPr>
            <w:tcW w:w="9716" w:type="dxa"/>
            <w:gridSpan w:val="3"/>
            <w:hideMark/>
          </w:tcPr>
          <w:p w14:paraId="43606222" w14:textId="77777777" w:rsidR="00E54101" w:rsidRPr="0061546A" w:rsidRDefault="00E54101" w:rsidP="0077013E">
            <w:pPr>
              <w:spacing w:line="240" w:lineRule="auto"/>
              <w:ind w:left="433" w:firstLine="17"/>
              <w:rPr>
                <w:szCs w:val="26"/>
                <w:highlight w:val="yellow"/>
              </w:rPr>
            </w:pPr>
            <w:r w:rsidRPr="005631CC">
              <w:rPr>
                <w:szCs w:val="26"/>
              </w:rPr>
              <w:t>John F. Coleman, Jr.</w:t>
            </w:r>
          </w:p>
        </w:tc>
        <w:tc>
          <w:tcPr>
            <w:tcW w:w="738" w:type="dxa"/>
          </w:tcPr>
          <w:p w14:paraId="63A19076" w14:textId="77777777" w:rsidR="00E54101" w:rsidRPr="00315A0D" w:rsidRDefault="00E54101" w:rsidP="00CD14F3">
            <w:pPr>
              <w:spacing w:line="240" w:lineRule="auto"/>
              <w:rPr>
                <w:szCs w:val="26"/>
              </w:rPr>
            </w:pPr>
          </w:p>
        </w:tc>
      </w:tr>
      <w:tr w:rsidR="00E54101" w:rsidRPr="00315A0D" w14:paraId="270F6DD0" w14:textId="77777777" w:rsidTr="00DA0C20">
        <w:trPr>
          <w:gridAfter w:val="2"/>
          <w:wAfter w:w="824" w:type="dxa"/>
        </w:trPr>
        <w:tc>
          <w:tcPr>
            <w:tcW w:w="5954" w:type="dxa"/>
          </w:tcPr>
          <w:p w14:paraId="6F68601D" w14:textId="77777777" w:rsidR="00E54101" w:rsidRPr="00315A0D" w:rsidRDefault="00E54101" w:rsidP="00CD14F3">
            <w:pPr>
              <w:spacing w:line="240" w:lineRule="auto"/>
              <w:rPr>
                <w:szCs w:val="26"/>
              </w:rPr>
            </w:pPr>
          </w:p>
        </w:tc>
        <w:tc>
          <w:tcPr>
            <w:tcW w:w="3676" w:type="dxa"/>
          </w:tcPr>
          <w:p w14:paraId="123C1C1E" w14:textId="77777777" w:rsidR="00E54101" w:rsidRPr="00315A0D" w:rsidRDefault="00E54101" w:rsidP="00CD14F3">
            <w:pPr>
              <w:spacing w:line="240" w:lineRule="auto"/>
              <w:rPr>
                <w:szCs w:val="26"/>
              </w:rPr>
            </w:pPr>
          </w:p>
        </w:tc>
      </w:tr>
      <w:tr w:rsidR="00E54101" w:rsidRPr="00315A0D" w14:paraId="42EFB171" w14:textId="77777777" w:rsidTr="00DA0C20">
        <w:trPr>
          <w:gridAfter w:val="2"/>
          <w:wAfter w:w="824" w:type="dxa"/>
        </w:trPr>
        <w:tc>
          <w:tcPr>
            <w:tcW w:w="5954" w:type="dxa"/>
            <w:hideMark/>
          </w:tcPr>
          <w:p w14:paraId="15F47FE9" w14:textId="77777777" w:rsidR="00E54101" w:rsidRPr="00315A0D" w:rsidRDefault="00E54101" w:rsidP="0077013E">
            <w:pPr>
              <w:spacing w:line="240" w:lineRule="auto"/>
              <w:ind w:firstLine="0"/>
              <w:rPr>
                <w:szCs w:val="26"/>
              </w:rPr>
            </w:pPr>
            <w:r w:rsidRPr="00315A0D">
              <w:rPr>
                <w:szCs w:val="26"/>
              </w:rPr>
              <w:t>Implementation of the Alternative Energy Portfolio</w:t>
            </w:r>
          </w:p>
          <w:p w14:paraId="5FDBBBB9" w14:textId="77777777" w:rsidR="00E54101" w:rsidRPr="00315A0D" w:rsidRDefault="00E54101" w:rsidP="0077013E">
            <w:pPr>
              <w:spacing w:line="240" w:lineRule="auto"/>
              <w:ind w:firstLine="0"/>
              <w:rPr>
                <w:szCs w:val="26"/>
              </w:rPr>
            </w:pPr>
            <w:r w:rsidRPr="00315A0D">
              <w:rPr>
                <w:szCs w:val="26"/>
              </w:rPr>
              <w:t>Standards Act of 2004:</w:t>
            </w:r>
            <w:r>
              <w:rPr>
                <w:szCs w:val="26"/>
              </w:rPr>
              <w:t xml:space="preserve"> </w:t>
            </w:r>
            <w:r w:rsidRPr="00315A0D">
              <w:rPr>
                <w:szCs w:val="26"/>
              </w:rPr>
              <w:t>Standards for the Participation</w:t>
            </w:r>
          </w:p>
          <w:p w14:paraId="0BBD9D40" w14:textId="77777777" w:rsidR="00E54101" w:rsidRPr="00315A0D" w:rsidRDefault="00E54101" w:rsidP="0077013E">
            <w:pPr>
              <w:spacing w:line="240" w:lineRule="auto"/>
              <w:ind w:firstLine="0"/>
              <w:rPr>
                <w:szCs w:val="26"/>
              </w:rPr>
            </w:pPr>
            <w:r w:rsidRPr="00315A0D">
              <w:rPr>
                <w:szCs w:val="26"/>
              </w:rPr>
              <w:t>of Demand Side Management Resources – Technical</w:t>
            </w:r>
          </w:p>
          <w:p w14:paraId="04464917" w14:textId="77777777" w:rsidR="00E54101" w:rsidRPr="00315A0D" w:rsidRDefault="00E54101" w:rsidP="0077013E">
            <w:pPr>
              <w:spacing w:line="240" w:lineRule="auto"/>
              <w:ind w:firstLine="0"/>
              <w:rPr>
                <w:szCs w:val="26"/>
              </w:rPr>
            </w:pPr>
            <w:r w:rsidRPr="00315A0D">
              <w:rPr>
                <w:szCs w:val="26"/>
              </w:rPr>
              <w:t>Reference Manual 20</w:t>
            </w:r>
            <w:r>
              <w:rPr>
                <w:szCs w:val="26"/>
              </w:rPr>
              <w:t>21</w:t>
            </w:r>
            <w:r w:rsidRPr="00315A0D">
              <w:rPr>
                <w:szCs w:val="26"/>
              </w:rPr>
              <w:t xml:space="preserve"> Update</w:t>
            </w:r>
          </w:p>
        </w:tc>
        <w:tc>
          <w:tcPr>
            <w:tcW w:w="3676" w:type="dxa"/>
            <w:hideMark/>
          </w:tcPr>
          <w:p w14:paraId="176EAA9C" w14:textId="2E034B26" w:rsidR="00E54101" w:rsidRPr="005C12E8" w:rsidRDefault="008B78A9" w:rsidP="00DA0C20">
            <w:pPr>
              <w:spacing w:line="240" w:lineRule="auto"/>
              <w:ind w:right="-817" w:firstLine="0"/>
              <w:rPr>
                <w:szCs w:val="26"/>
              </w:rPr>
            </w:pPr>
            <w:r>
              <w:rPr>
                <w:szCs w:val="26"/>
              </w:rPr>
              <w:t xml:space="preserve"> </w:t>
            </w:r>
            <w:r w:rsidR="00CD7243">
              <w:rPr>
                <w:szCs w:val="26"/>
              </w:rPr>
              <w:t xml:space="preserve">     </w:t>
            </w:r>
            <w:r w:rsidR="00E54101" w:rsidRPr="005C12E8">
              <w:rPr>
                <w:szCs w:val="26"/>
              </w:rPr>
              <w:t>Docket No</w:t>
            </w:r>
            <w:r w:rsidR="00E54101">
              <w:rPr>
                <w:szCs w:val="26"/>
              </w:rPr>
              <w:t xml:space="preserve">.  </w:t>
            </w:r>
            <w:r w:rsidR="00E54101" w:rsidRPr="005C12E8">
              <w:rPr>
                <w:szCs w:val="26"/>
              </w:rPr>
              <w:t>M-2019-3006867</w:t>
            </w:r>
          </w:p>
          <w:p w14:paraId="0B93DF71" w14:textId="77777777" w:rsidR="00E54101" w:rsidRPr="005C12E8" w:rsidRDefault="00E54101" w:rsidP="00CD14F3">
            <w:pPr>
              <w:spacing w:line="240" w:lineRule="auto"/>
              <w:rPr>
                <w:szCs w:val="26"/>
              </w:rPr>
            </w:pPr>
          </w:p>
        </w:tc>
      </w:tr>
    </w:tbl>
    <w:p w14:paraId="00770928" w14:textId="77777777" w:rsidR="00E54101" w:rsidRPr="00315A0D" w:rsidRDefault="00E54101" w:rsidP="00E54101">
      <w:pPr>
        <w:spacing w:line="240" w:lineRule="auto"/>
        <w:rPr>
          <w:b/>
          <w:szCs w:val="26"/>
        </w:rPr>
      </w:pPr>
    </w:p>
    <w:p w14:paraId="7250E8BC" w14:textId="77777777" w:rsidR="003865A1" w:rsidRDefault="003865A1" w:rsidP="00E54101">
      <w:pPr>
        <w:spacing w:line="240" w:lineRule="auto"/>
        <w:jc w:val="center"/>
        <w:rPr>
          <w:b/>
          <w:caps/>
          <w:szCs w:val="26"/>
        </w:rPr>
      </w:pPr>
    </w:p>
    <w:p w14:paraId="71A6F37C" w14:textId="13C11BB7" w:rsidR="00E54101" w:rsidRDefault="00E54101" w:rsidP="00B10CDB">
      <w:pPr>
        <w:spacing w:line="240" w:lineRule="auto"/>
        <w:ind w:firstLine="0"/>
        <w:jc w:val="center"/>
        <w:rPr>
          <w:b/>
          <w:szCs w:val="26"/>
        </w:rPr>
      </w:pPr>
      <w:r w:rsidRPr="0098410B">
        <w:rPr>
          <w:b/>
          <w:caps/>
          <w:szCs w:val="26"/>
        </w:rPr>
        <w:t>20</w:t>
      </w:r>
      <w:r>
        <w:rPr>
          <w:b/>
          <w:caps/>
          <w:szCs w:val="26"/>
        </w:rPr>
        <w:t>21</w:t>
      </w:r>
      <w:r w:rsidRPr="0098410B">
        <w:rPr>
          <w:b/>
          <w:caps/>
          <w:szCs w:val="26"/>
        </w:rPr>
        <w:t xml:space="preserve"> TRM UPDATE </w:t>
      </w:r>
      <w:r>
        <w:rPr>
          <w:b/>
          <w:caps/>
          <w:szCs w:val="26"/>
        </w:rPr>
        <w:t>FINAL</w:t>
      </w:r>
      <w:r w:rsidRPr="0098410B">
        <w:rPr>
          <w:b/>
          <w:caps/>
          <w:szCs w:val="26"/>
        </w:rPr>
        <w:t xml:space="preserve"> Order</w:t>
      </w:r>
    </w:p>
    <w:p w14:paraId="0FA107AF" w14:textId="77777777" w:rsidR="0079626C" w:rsidRDefault="0079626C" w:rsidP="00D5177F"/>
    <w:p w14:paraId="0FA107B0" w14:textId="77777777" w:rsidR="0079626C" w:rsidRDefault="0079626C" w:rsidP="007F5365">
      <w:pPr>
        <w:sectPr w:rsidR="0079626C" w:rsidSect="0066156C">
          <w:headerReference w:type="default" r:id="rId12"/>
          <w:footerReference w:type="default" r:id="rId13"/>
          <w:pgSz w:w="12240" w:h="15840"/>
          <w:pgMar w:top="1440" w:right="1440" w:bottom="1170" w:left="1440" w:header="720" w:footer="360" w:gutter="0"/>
          <w:cols w:space="720"/>
          <w:titlePg/>
          <w:docGrid w:linePitch="360"/>
        </w:sectPr>
      </w:pPr>
    </w:p>
    <w:bookmarkStart w:id="0" w:name="_Toc15657876" w:displacedByCustomXml="next"/>
    <w:bookmarkStart w:id="1" w:name="_Toc413925531" w:displacedByCustomXml="next"/>
    <w:bookmarkStart w:id="2" w:name="_Toc413773643" w:displacedByCustomXml="next"/>
    <w:bookmarkStart w:id="3" w:name="_Toc413773782" w:displacedByCustomXml="next"/>
    <w:sdt>
      <w:sdtPr>
        <w:rPr>
          <w:b w:val="0"/>
          <w:szCs w:val="20"/>
        </w:rPr>
        <w:id w:val="47420445"/>
        <w:docPartObj>
          <w:docPartGallery w:val="Table of Contents"/>
          <w:docPartUnique/>
        </w:docPartObj>
      </w:sdtPr>
      <w:sdtEndPr>
        <w:rPr>
          <w:noProof/>
        </w:rPr>
      </w:sdtEndPr>
      <w:sdtContent>
        <w:p w14:paraId="0FA107B1" w14:textId="60216BE9" w:rsidR="000B423D" w:rsidRPr="008154B6" w:rsidRDefault="008B2E4F" w:rsidP="000B77AC">
          <w:pPr>
            <w:pStyle w:val="Heading1"/>
          </w:pPr>
          <w:r w:rsidRPr="008154B6">
            <w:t>Table of Contents</w:t>
          </w:r>
          <w:bookmarkEnd w:id="3"/>
          <w:bookmarkEnd w:id="2"/>
          <w:bookmarkEnd w:id="1"/>
          <w:bookmarkEnd w:id="0"/>
        </w:p>
        <w:p w14:paraId="0FA107B2" w14:textId="268A9494" w:rsidR="008B5DA5" w:rsidRDefault="008B5DA5" w:rsidP="00D5177F">
          <w:pPr>
            <w:rPr>
              <w:szCs w:val="26"/>
            </w:rPr>
          </w:pPr>
        </w:p>
        <w:p w14:paraId="74EA1102" w14:textId="2162EAF4" w:rsidR="007974C4" w:rsidRDefault="007974C4" w:rsidP="007974C4">
          <w:pPr>
            <w:tabs>
              <w:tab w:val="right" w:leader="dot" w:pos="9360"/>
            </w:tabs>
            <w:ind w:firstLine="0"/>
            <w:rPr>
              <w:rFonts w:asciiTheme="minorHAnsi" w:eastAsiaTheme="minorEastAsia" w:hAnsiTheme="minorHAnsi" w:cstheme="minorBidi"/>
              <w:caps/>
              <w:noProof/>
              <w:sz w:val="22"/>
              <w:szCs w:val="22"/>
            </w:rPr>
          </w:pPr>
          <w:r>
            <w:rPr>
              <w:szCs w:val="26"/>
            </w:rPr>
            <w:t>TABLE OF CONTENTS</w:t>
          </w:r>
          <w:r>
            <w:rPr>
              <w:szCs w:val="26"/>
            </w:rPr>
            <w:tab/>
            <w:t>i</w:t>
          </w:r>
          <w:r w:rsidR="000B423D" w:rsidRPr="00DB686D">
            <w:rPr>
              <w:szCs w:val="26"/>
            </w:rPr>
            <w:fldChar w:fldCharType="begin"/>
          </w:r>
          <w:r w:rsidR="000B423D" w:rsidRPr="008154B6">
            <w:rPr>
              <w:szCs w:val="26"/>
            </w:rPr>
            <w:instrText xml:space="preserve"> TOC \o "1-3" \h \z \u </w:instrText>
          </w:r>
          <w:r w:rsidR="000B423D" w:rsidRPr="00DB686D">
            <w:rPr>
              <w:szCs w:val="26"/>
            </w:rPr>
            <w:fldChar w:fldCharType="separate"/>
          </w:r>
        </w:p>
        <w:p w14:paraId="529B6CAA" w14:textId="14DC5B86" w:rsidR="007974C4" w:rsidRDefault="00763509">
          <w:pPr>
            <w:pStyle w:val="TOC1"/>
            <w:tabs>
              <w:tab w:val="right" w:leader="dot" w:pos="9350"/>
            </w:tabs>
            <w:rPr>
              <w:rFonts w:asciiTheme="minorHAnsi" w:eastAsiaTheme="minorEastAsia" w:hAnsiTheme="minorHAnsi" w:cstheme="minorBidi"/>
              <w:caps w:val="0"/>
              <w:noProof/>
              <w:sz w:val="22"/>
              <w:szCs w:val="22"/>
            </w:rPr>
          </w:pPr>
          <w:hyperlink w:anchor="_Toc15657877" w:history="1">
            <w:r w:rsidR="007974C4" w:rsidRPr="00820F17">
              <w:rPr>
                <w:rStyle w:val="Hyperlink"/>
                <w:noProof/>
              </w:rPr>
              <w:t>BACKGROUND</w:t>
            </w:r>
            <w:r w:rsidR="007974C4">
              <w:rPr>
                <w:noProof/>
                <w:webHidden/>
              </w:rPr>
              <w:tab/>
            </w:r>
            <w:r w:rsidR="007974C4">
              <w:rPr>
                <w:noProof/>
                <w:webHidden/>
              </w:rPr>
              <w:fldChar w:fldCharType="begin"/>
            </w:r>
            <w:r w:rsidR="007974C4">
              <w:rPr>
                <w:noProof/>
                <w:webHidden/>
              </w:rPr>
              <w:instrText xml:space="preserve"> PAGEREF _Toc15657877 \h </w:instrText>
            </w:r>
            <w:r w:rsidR="007974C4">
              <w:rPr>
                <w:noProof/>
                <w:webHidden/>
              </w:rPr>
            </w:r>
            <w:r w:rsidR="007974C4">
              <w:rPr>
                <w:noProof/>
                <w:webHidden/>
              </w:rPr>
              <w:fldChar w:fldCharType="separate"/>
            </w:r>
            <w:r w:rsidR="00B10CDB">
              <w:rPr>
                <w:noProof/>
                <w:webHidden/>
              </w:rPr>
              <w:t>2</w:t>
            </w:r>
            <w:r w:rsidR="007974C4">
              <w:rPr>
                <w:noProof/>
                <w:webHidden/>
              </w:rPr>
              <w:fldChar w:fldCharType="end"/>
            </w:r>
          </w:hyperlink>
        </w:p>
        <w:p w14:paraId="2FA4A82D" w14:textId="4CAF3F3B" w:rsidR="007974C4" w:rsidRDefault="00763509">
          <w:pPr>
            <w:pStyle w:val="TOC1"/>
            <w:tabs>
              <w:tab w:val="right" w:leader="dot" w:pos="9350"/>
            </w:tabs>
            <w:rPr>
              <w:rFonts w:asciiTheme="minorHAnsi" w:eastAsiaTheme="minorEastAsia" w:hAnsiTheme="minorHAnsi" w:cstheme="minorBidi"/>
              <w:caps w:val="0"/>
              <w:noProof/>
              <w:sz w:val="22"/>
              <w:szCs w:val="22"/>
            </w:rPr>
          </w:pPr>
          <w:hyperlink w:anchor="_Toc15657878" w:history="1">
            <w:r w:rsidR="007974C4" w:rsidRPr="00820F17">
              <w:rPr>
                <w:rStyle w:val="Hyperlink"/>
                <w:noProof/>
              </w:rPr>
              <w:t>DISCUSSION</w:t>
            </w:r>
            <w:r w:rsidR="007974C4">
              <w:rPr>
                <w:noProof/>
                <w:webHidden/>
              </w:rPr>
              <w:tab/>
            </w:r>
            <w:r w:rsidR="007974C4">
              <w:rPr>
                <w:noProof/>
                <w:webHidden/>
              </w:rPr>
              <w:fldChar w:fldCharType="begin"/>
            </w:r>
            <w:r w:rsidR="007974C4">
              <w:rPr>
                <w:noProof/>
                <w:webHidden/>
              </w:rPr>
              <w:instrText xml:space="preserve"> PAGEREF _Toc15657878 \h </w:instrText>
            </w:r>
            <w:r w:rsidR="007974C4">
              <w:rPr>
                <w:noProof/>
                <w:webHidden/>
              </w:rPr>
            </w:r>
            <w:r w:rsidR="007974C4">
              <w:rPr>
                <w:noProof/>
                <w:webHidden/>
              </w:rPr>
              <w:fldChar w:fldCharType="separate"/>
            </w:r>
            <w:r w:rsidR="00B10CDB">
              <w:rPr>
                <w:noProof/>
                <w:webHidden/>
              </w:rPr>
              <w:t>3</w:t>
            </w:r>
            <w:r w:rsidR="007974C4">
              <w:rPr>
                <w:noProof/>
                <w:webHidden/>
              </w:rPr>
              <w:fldChar w:fldCharType="end"/>
            </w:r>
          </w:hyperlink>
        </w:p>
        <w:p w14:paraId="5AD487D5" w14:textId="45063452" w:rsidR="007974C4" w:rsidRDefault="00763509">
          <w:pPr>
            <w:pStyle w:val="TOC2"/>
            <w:tabs>
              <w:tab w:val="left" w:pos="936"/>
              <w:tab w:val="right" w:leader="dot" w:pos="9350"/>
            </w:tabs>
            <w:rPr>
              <w:rFonts w:asciiTheme="minorHAnsi" w:eastAsiaTheme="minorEastAsia" w:hAnsiTheme="minorHAnsi" w:cstheme="minorBidi"/>
              <w:sz w:val="22"/>
              <w:szCs w:val="22"/>
            </w:rPr>
          </w:pPr>
          <w:hyperlink w:anchor="_Toc15657879" w:history="1">
            <w:r w:rsidR="007974C4" w:rsidRPr="00820F17">
              <w:rPr>
                <w:rStyle w:val="Hyperlink"/>
              </w:rPr>
              <w:t>A.</w:t>
            </w:r>
            <w:r w:rsidR="007974C4">
              <w:rPr>
                <w:rFonts w:asciiTheme="minorHAnsi" w:eastAsiaTheme="minorEastAsia" w:hAnsiTheme="minorHAnsi" w:cstheme="minorBidi"/>
                <w:sz w:val="22"/>
                <w:szCs w:val="22"/>
              </w:rPr>
              <w:tab/>
            </w:r>
            <w:r w:rsidR="007974C4" w:rsidRPr="00820F17">
              <w:rPr>
                <w:rStyle w:val="Hyperlink"/>
              </w:rPr>
              <w:t>Uncontested TRM Changes</w:t>
            </w:r>
            <w:r w:rsidR="007974C4">
              <w:rPr>
                <w:webHidden/>
              </w:rPr>
              <w:tab/>
            </w:r>
            <w:r w:rsidR="007974C4">
              <w:rPr>
                <w:webHidden/>
              </w:rPr>
              <w:fldChar w:fldCharType="begin"/>
            </w:r>
            <w:r w:rsidR="007974C4">
              <w:rPr>
                <w:webHidden/>
              </w:rPr>
              <w:instrText xml:space="preserve"> PAGEREF _Toc15657879 \h </w:instrText>
            </w:r>
            <w:r w:rsidR="007974C4">
              <w:rPr>
                <w:webHidden/>
              </w:rPr>
            </w:r>
            <w:r w:rsidR="007974C4">
              <w:rPr>
                <w:webHidden/>
              </w:rPr>
              <w:fldChar w:fldCharType="separate"/>
            </w:r>
            <w:r w:rsidR="00B10CDB">
              <w:rPr>
                <w:webHidden/>
              </w:rPr>
              <w:t>5</w:t>
            </w:r>
            <w:r w:rsidR="007974C4">
              <w:rPr>
                <w:webHidden/>
              </w:rPr>
              <w:fldChar w:fldCharType="end"/>
            </w:r>
          </w:hyperlink>
        </w:p>
        <w:p w14:paraId="266BED24" w14:textId="4328613A" w:rsidR="007974C4" w:rsidRDefault="00763509">
          <w:pPr>
            <w:pStyle w:val="TOC2"/>
            <w:tabs>
              <w:tab w:val="left" w:pos="936"/>
              <w:tab w:val="right" w:leader="dot" w:pos="9350"/>
            </w:tabs>
            <w:rPr>
              <w:rFonts w:asciiTheme="minorHAnsi" w:eastAsiaTheme="minorEastAsia" w:hAnsiTheme="minorHAnsi" w:cstheme="minorBidi"/>
              <w:sz w:val="22"/>
              <w:szCs w:val="22"/>
            </w:rPr>
          </w:pPr>
          <w:hyperlink w:anchor="_Toc15657880" w:history="1">
            <w:r w:rsidR="007974C4" w:rsidRPr="00820F17">
              <w:rPr>
                <w:rStyle w:val="Hyperlink"/>
              </w:rPr>
              <w:t>B.</w:t>
            </w:r>
            <w:r w:rsidR="007974C4">
              <w:rPr>
                <w:rFonts w:asciiTheme="minorHAnsi" w:eastAsiaTheme="minorEastAsia" w:hAnsiTheme="minorHAnsi" w:cstheme="minorBidi"/>
                <w:sz w:val="22"/>
                <w:szCs w:val="22"/>
              </w:rPr>
              <w:tab/>
            </w:r>
            <w:r w:rsidR="007974C4" w:rsidRPr="00820F17">
              <w:rPr>
                <w:rStyle w:val="Hyperlink"/>
              </w:rPr>
              <w:t>General Changes</w:t>
            </w:r>
            <w:r w:rsidR="007974C4">
              <w:rPr>
                <w:webHidden/>
              </w:rPr>
              <w:tab/>
            </w:r>
            <w:r w:rsidR="007974C4">
              <w:rPr>
                <w:webHidden/>
              </w:rPr>
              <w:fldChar w:fldCharType="begin"/>
            </w:r>
            <w:r w:rsidR="007974C4">
              <w:rPr>
                <w:webHidden/>
              </w:rPr>
              <w:instrText xml:space="preserve"> PAGEREF _Toc15657880 \h </w:instrText>
            </w:r>
            <w:r w:rsidR="007974C4">
              <w:rPr>
                <w:webHidden/>
              </w:rPr>
            </w:r>
            <w:r w:rsidR="007974C4">
              <w:rPr>
                <w:webHidden/>
              </w:rPr>
              <w:fldChar w:fldCharType="separate"/>
            </w:r>
            <w:r w:rsidR="00B10CDB">
              <w:rPr>
                <w:webHidden/>
              </w:rPr>
              <w:t>5</w:t>
            </w:r>
            <w:r w:rsidR="007974C4">
              <w:rPr>
                <w:webHidden/>
              </w:rPr>
              <w:fldChar w:fldCharType="end"/>
            </w:r>
          </w:hyperlink>
        </w:p>
        <w:p w14:paraId="15755419" w14:textId="0C93D58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1"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TRM Applicability</w:t>
            </w:r>
            <w:r w:rsidR="007974C4">
              <w:rPr>
                <w:noProof/>
                <w:webHidden/>
              </w:rPr>
              <w:tab/>
            </w:r>
            <w:r w:rsidR="007974C4">
              <w:rPr>
                <w:noProof/>
                <w:webHidden/>
              </w:rPr>
              <w:fldChar w:fldCharType="begin"/>
            </w:r>
            <w:r w:rsidR="007974C4">
              <w:rPr>
                <w:noProof/>
                <w:webHidden/>
              </w:rPr>
              <w:instrText xml:space="preserve"> PAGEREF _Toc15657881 \h </w:instrText>
            </w:r>
            <w:r w:rsidR="007974C4">
              <w:rPr>
                <w:noProof/>
                <w:webHidden/>
              </w:rPr>
            </w:r>
            <w:r w:rsidR="007974C4">
              <w:rPr>
                <w:noProof/>
                <w:webHidden/>
              </w:rPr>
              <w:fldChar w:fldCharType="separate"/>
            </w:r>
            <w:r w:rsidR="00B10CDB">
              <w:rPr>
                <w:noProof/>
                <w:webHidden/>
              </w:rPr>
              <w:t>5</w:t>
            </w:r>
            <w:r w:rsidR="007974C4">
              <w:rPr>
                <w:noProof/>
                <w:webHidden/>
              </w:rPr>
              <w:fldChar w:fldCharType="end"/>
            </w:r>
          </w:hyperlink>
        </w:p>
        <w:p w14:paraId="51280AA3" w14:textId="645DB4D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2"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Process for Code Change Updates</w:t>
            </w:r>
            <w:r w:rsidR="007974C4">
              <w:rPr>
                <w:noProof/>
                <w:webHidden/>
              </w:rPr>
              <w:tab/>
            </w:r>
            <w:r w:rsidR="007974C4">
              <w:rPr>
                <w:noProof/>
                <w:webHidden/>
              </w:rPr>
              <w:fldChar w:fldCharType="begin"/>
            </w:r>
            <w:r w:rsidR="007974C4">
              <w:rPr>
                <w:noProof/>
                <w:webHidden/>
              </w:rPr>
              <w:instrText xml:space="preserve"> PAGEREF _Toc15657882 \h </w:instrText>
            </w:r>
            <w:r w:rsidR="007974C4">
              <w:rPr>
                <w:noProof/>
                <w:webHidden/>
              </w:rPr>
            </w:r>
            <w:r w:rsidR="007974C4">
              <w:rPr>
                <w:noProof/>
                <w:webHidden/>
              </w:rPr>
              <w:fldChar w:fldCharType="separate"/>
            </w:r>
            <w:r w:rsidR="00B10CDB">
              <w:rPr>
                <w:noProof/>
                <w:webHidden/>
              </w:rPr>
              <w:t>6</w:t>
            </w:r>
            <w:r w:rsidR="007974C4">
              <w:rPr>
                <w:noProof/>
                <w:webHidden/>
              </w:rPr>
              <w:fldChar w:fldCharType="end"/>
            </w:r>
          </w:hyperlink>
        </w:p>
        <w:p w14:paraId="082CFAF7" w14:textId="7C7F640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3" w:history="1">
            <w:r w:rsidR="007974C4" w:rsidRPr="00820F17">
              <w:rPr>
                <w:rStyle w:val="Hyperlink"/>
                <w:noProof/>
              </w:rPr>
              <w:t>3.</w:t>
            </w:r>
            <w:r w:rsidR="007974C4">
              <w:rPr>
                <w:rFonts w:asciiTheme="minorHAnsi" w:eastAsiaTheme="minorEastAsia" w:hAnsiTheme="minorHAnsi" w:cstheme="minorBidi"/>
                <w:noProof/>
                <w:sz w:val="22"/>
                <w:szCs w:val="22"/>
              </w:rPr>
              <w:tab/>
            </w:r>
            <w:r w:rsidR="007974C4" w:rsidRPr="00820F17">
              <w:rPr>
                <w:rStyle w:val="Hyperlink"/>
                <w:noProof/>
              </w:rPr>
              <w:t>TRM Default Values</w:t>
            </w:r>
            <w:r w:rsidR="007974C4">
              <w:rPr>
                <w:noProof/>
                <w:webHidden/>
              </w:rPr>
              <w:tab/>
            </w:r>
            <w:r w:rsidR="007974C4">
              <w:rPr>
                <w:noProof/>
                <w:webHidden/>
              </w:rPr>
              <w:fldChar w:fldCharType="begin"/>
            </w:r>
            <w:r w:rsidR="007974C4">
              <w:rPr>
                <w:noProof/>
                <w:webHidden/>
              </w:rPr>
              <w:instrText xml:space="preserve"> PAGEREF _Toc15657883 \h </w:instrText>
            </w:r>
            <w:r w:rsidR="007974C4">
              <w:rPr>
                <w:noProof/>
                <w:webHidden/>
              </w:rPr>
            </w:r>
            <w:r w:rsidR="007974C4">
              <w:rPr>
                <w:noProof/>
                <w:webHidden/>
              </w:rPr>
              <w:fldChar w:fldCharType="separate"/>
            </w:r>
            <w:r w:rsidR="00B10CDB">
              <w:rPr>
                <w:noProof/>
                <w:webHidden/>
              </w:rPr>
              <w:t>8</w:t>
            </w:r>
            <w:r w:rsidR="007974C4">
              <w:rPr>
                <w:noProof/>
                <w:webHidden/>
              </w:rPr>
              <w:fldChar w:fldCharType="end"/>
            </w:r>
          </w:hyperlink>
        </w:p>
        <w:p w14:paraId="40A490D9" w14:textId="44932D0D"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4" w:history="1">
            <w:r w:rsidR="007974C4" w:rsidRPr="00820F17">
              <w:rPr>
                <w:rStyle w:val="Hyperlink"/>
                <w:noProof/>
              </w:rPr>
              <w:t>4.</w:t>
            </w:r>
            <w:r w:rsidR="007974C4">
              <w:rPr>
                <w:rFonts w:asciiTheme="minorHAnsi" w:eastAsiaTheme="minorEastAsia" w:hAnsiTheme="minorHAnsi" w:cstheme="minorBidi"/>
                <w:noProof/>
                <w:sz w:val="22"/>
                <w:szCs w:val="22"/>
              </w:rPr>
              <w:tab/>
            </w:r>
            <w:r w:rsidR="007974C4" w:rsidRPr="00820F17">
              <w:rPr>
                <w:rStyle w:val="Hyperlink"/>
                <w:noProof/>
              </w:rPr>
              <w:t>Updated Climate Assumptions</w:t>
            </w:r>
            <w:r w:rsidR="007974C4">
              <w:rPr>
                <w:noProof/>
                <w:webHidden/>
              </w:rPr>
              <w:tab/>
            </w:r>
            <w:r w:rsidR="007974C4">
              <w:rPr>
                <w:noProof/>
                <w:webHidden/>
              </w:rPr>
              <w:fldChar w:fldCharType="begin"/>
            </w:r>
            <w:r w:rsidR="007974C4">
              <w:rPr>
                <w:noProof/>
                <w:webHidden/>
              </w:rPr>
              <w:instrText xml:space="preserve"> PAGEREF _Toc15657884 \h </w:instrText>
            </w:r>
            <w:r w:rsidR="007974C4">
              <w:rPr>
                <w:noProof/>
                <w:webHidden/>
              </w:rPr>
            </w:r>
            <w:r w:rsidR="007974C4">
              <w:rPr>
                <w:noProof/>
                <w:webHidden/>
              </w:rPr>
              <w:fldChar w:fldCharType="separate"/>
            </w:r>
            <w:r w:rsidR="00B10CDB">
              <w:rPr>
                <w:noProof/>
                <w:webHidden/>
              </w:rPr>
              <w:t>9</w:t>
            </w:r>
            <w:r w:rsidR="007974C4">
              <w:rPr>
                <w:noProof/>
                <w:webHidden/>
              </w:rPr>
              <w:fldChar w:fldCharType="end"/>
            </w:r>
          </w:hyperlink>
        </w:p>
        <w:p w14:paraId="0455BABD" w14:textId="3757D70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5" w:history="1">
            <w:r w:rsidR="007974C4" w:rsidRPr="00820F17">
              <w:rPr>
                <w:rStyle w:val="Hyperlink"/>
                <w:noProof/>
              </w:rPr>
              <w:t>5.</w:t>
            </w:r>
            <w:r w:rsidR="007974C4">
              <w:rPr>
                <w:rFonts w:asciiTheme="minorHAnsi" w:eastAsiaTheme="minorEastAsia" w:hAnsiTheme="minorHAnsi" w:cstheme="minorBidi"/>
                <w:noProof/>
                <w:sz w:val="22"/>
                <w:szCs w:val="22"/>
              </w:rPr>
              <w:tab/>
            </w:r>
            <w:r w:rsidR="007974C4" w:rsidRPr="00820F17">
              <w:rPr>
                <w:rStyle w:val="Hyperlink"/>
                <w:noProof/>
              </w:rPr>
              <w:t>Updated C&amp;I Building Types</w:t>
            </w:r>
            <w:r w:rsidR="007974C4">
              <w:rPr>
                <w:noProof/>
                <w:webHidden/>
              </w:rPr>
              <w:tab/>
            </w:r>
            <w:r w:rsidR="007974C4">
              <w:rPr>
                <w:noProof/>
                <w:webHidden/>
              </w:rPr>
              <w:fldChar w:fldCharType="begin"/>
            </w:r>
            <w:r w:rsidR="007974C4">
              <w:rPr>
                <w:noProof/>
                <w:webHidden/>
              </w:rPr>
              <w:instrText xml:space="preserve"> PAGEREF _Toc15657885 \h </w:instrText>
            </w:r>
            <w:r w:rsidR="007974C4">
              <w:rPr>
                <w:noProof/>
                <w:webHidden/>
              </w:rPr>
            </w:r>
            <w:r w:rsidR="007974C4">
              <w:rPr>
                <w:noProof/>
                <w:webHidden/>
              </w:rPr>
              <w:fldChar w:fldCharType="separate"/>
            </w:r>
            <w:r w:rsidR="00B10CDB">
              <w:rPr>
                <w:noProof/>
                <w:webHidden/>
              </w:rPr>
              <w:t>12</w:t>
            </w:r>
            <w:r w:rsidR="007974C4">
              <w:rPr>
                <w:noProof/>
                <w:webHidden/>
              </w:rPr>
              <w:fldChar w:fldCharType="end"/>
            </w:r>
          </w:hyperlink>
        </w:p>
        <w:p w14:paraId="67E99955" w14:textId="49DBD97F"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6" w:history="1">
            <w:r w:rsidR="007974C4" w:rsidRPr="00820F17">
              <w:rPr>
                <w:rStyle w:val="Hyperlink"/>
                <w:noProof/>
              </w:rPr>
              <w:t>6.</w:t>
            </w:r>
            <w:r w:rsidR="007974C4">
              <w:rPr>
                <w:rFonts w:asciiTheme="minorHAnsi" w:eastAsiaTheme="minorEastAsia" w:hAnsiTheme="minorHAnsi" w:cstheme="minorBidi"/>
                <w:noProof/>
                <w:sz w:val="22"/>
                <w:szCs w:val="22"/>
              </w:rPr>
              <w:tab/>
            </w:r>
            <w:r w:rsidR="007974C4" w:rsidRPr="00820F17">
              <w:rPr>
                <w:rStyle w:val="Hyperlink"/>
                <w:noProof/>
              </w:rPr>
              <w:t>Definition of Peak and Off-peak Energy Periods</w:t>
            </w:r>
            <w:r w:rsidR="007974C4">
              <w:rPr>
                <w:noProof/>
                <w:webHidden/>
              </w:rPr>
              <w:tab/>
            </w:r>
            <w:r w:rsidR="007974C4">
              <w:rPr>
                <w:noProof/>
                <w:webHidden/>
              </w:rPr>
              <w:fldChar w:fldCharType="begin"/>
            </w:r>
            <w:r w:rsidR="007974C4">
              <w:rPr>
                <w:noProof/>
                <w:webHidden/>
              </w:rPr>
              <w:instrText xml:space="preserve"> PAGEREF _Toc15657886 \h </w:instrText>
            </w:r>
            <w:r w:rsidR="007974C4">
              <w:rPr>
                <w:noProof/>
                <w:webHidden/>
              </w:rPr>
            </w:r>
            <w:r w:rsidR="007974C4">
              <w:rPr>
                <w:noProof/>
                <w:webHidden/>
              </w:rPr>
              <w:fldChar w:fldCharType="separate"/>
            </w:r>
            <w:r w:rsidR="00B10CDB">
              <w:rPr>
                <w:noProof/>
                <w:webHidden/>
              </w:rPr>
              <w:t>14</w:t>
            </w:r>
            <w:r w:rsidR="007974C4">
              <w:rPr>
                <w:noProof/>
                <w:webHidden/>
              </w:rPr>
              <w:fldChar w:fldCharType="end"/>
            </w:r>
          </w:hyperlink>
        </w:p>
        <w:p w14:paraId="07AC4652" w14:textId="64C30935" w:rsidR="007974C4" w:rsidRDefault="00763509">
          <w:pPr>
            <w:pStyle w:val="TOC2"/>
            <w:tabs>
              <w:tab w:val="left" w:pos="936"/>
              <w:tab w:val="right" w:leader="dot" w:pos="9350"/>
            </w:tabs>
            <w:rPr>
              <w:rFonts w:asciiTheme="minorHAnsi" w:eastAsiaTheme="minorEastAsia" w:hAnsiTheme="minorHAnsi" w:cstheme="minorBidi"/>
              <w:sz w:val="22"/>
              <w:szCs w:val="22"/>
            </w:rPr>
          </w:pPr>
          <w:hyperlink w:anchor="_Toc15657887" w:history="1">
            <w:r w:rsidR="007974C4" w:rsidRPr="00820F17">
              <w:rPr>
                <w:rStyle w:val="Hyperlink"/>
              </w:rPr>
              <w:t>C.</w:t>
            </w:r>
            <w:r w:rsidR="007974C4">
              <w:rPr>
                <w:rFonts w:asciiTheme="minorHAnsi" w:eastAsiaTheme="minorEastAsia" w:hAnsiTheme="minorHAnsi" w:cstheme="minorBidi"/>
                <w:sz w:val="22"/>
                <w:szCs w:val="22"/>
              </w:rPr>
              <w:tab/>
            </w:r>
            <w:r w:rsidR="007974C4" w:rsidRPr="00820F17">
              <w:rPr>
                <w:rStyle w:val="Hyperlink"/>
              </w:rPr>
              <w:t>Additional Residential EE&amp;C Measure Protocols</w:t>
            </w:r>
            <w:r w:rsidR="007974C4">
              <w:rPr>
                <w:webHidden/>
              </w:rPr>
              <w:tab/>
            </w:r>
            <w:r w:rsidR="007974C4">
              <w:rPr>
                <w:webHidden/>
              </w:rPr>
              <w:fldChar w:fldCharType="begin"/>
            </w:r>
            <w:r w:rsidR="007974C4">
              <w:rPr>
                <w:webHidden/>
              </w:rPr>
              <w:instrText xml:space="preserve"> PAGEREF _Toc15657887 \h </w:instrText>
            </w:r>
            <w:r w:rsidR="007974C4">
              <w:rPr>
                <w:webHidden/>
              </w:rPr>
            </w:r>
            <w:r w:rsidR="007974C4">
              <w:rPr>
                <w:webHidden/>
              </w:rPr>
              <w:fldChar w:fldCharType="separate"/>
            </w:r>
            <w:r w:rsidR="00B10CDB">
              <w:rPr>
                <w:webHidden/>
              </w:rPr>
              <w:t>15</w:t>
            </w:r>
            <w:r w:rsidR="007974C4">
              <w:rPr>
                <w:webHidden/>
              </w:rPr>
              <w:fldChar w:fldCharType="end"/>
            </w:r>
          </w:hyperlink>
        </w:p>
        <w:p w14:paraId="7712759A" w14:textId="5AEE8A3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8"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Inclusion of Interim Measure Protocols in the TRM</w:t>
            </w:r>
            <w:r w:rsidR="007974C4">
              <w:rPr>
                <w:noProof/>
                <w:webHidden/>
              </w:rPr>
              <w:tab/>
            </w:r>
            <w:r w:rsidR="007974C4">
              <w:rPr>
                <w:noProof/>
                <w:webHidden/>
              </w:rPr>
              <w:fldChar w:fldCharType="begin"/>
            </w:r>
            <w:r w:rsidR="007974C4">
              <w:rPr>
                <w:noProof/>
                <w:webHidden/>
              </w:rPr>
              <w:instrText xml:space="preserve"> PAGEREF _Toc15657888 \h </w:instrText>
            </w:r>
            <w:r w:rsidR="007974C4">
              <w:rPr>
                <w:noProof/>
                <w:webHidden/>
              </w:rPr>
            </w:r>
            <w:r w:rsidR="007974C4">
              <w:rPr>
                <w:noProof/>
                <w:webHidden/>
              </w:rPr>
              <w:fldChar w:fldCharType="separate"/>
            </w:r>
            <w:r w:rsidR="00B10CDB">
              <w:rPr>
                <w:noProof/>
                <w:webHidden/>
              </w:rPr>
              <w:t>16</w:t>
            </w:r>
            <w:r w:rsidR="007974C4">
              <w:rPr>
                <w:noProof/>
                <w:webHidden/>
              </w:rPr>
              <w:fldChar w:fldCharType="end"/>
            </w:r>
          </w:hyperlink>
        </w:p>
        <w:p w14:paraId="1A368F88" w14:textId="1924756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89"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Section 2.2.3 – ECM Circulation Fans</w:t>
            </w:r>
            <w:r w:rsidR="007974C4">
              <w:rPr>
                <w:noProof/>
                <w:webHidden/>
              </w:rPr>
              <w:tab/>
            </w:r>
            <w:r w:rsidR="007974C4">
              <w:rPr>
                <w:noProof/>
                <w:webHidden/>
              </w:rPr>
              <w:fldChar w:fldCharType="begin"/>
            </w:r>
            <w:r w:rsidR="007974C4">
              <w:rPr>
                <w:noProof/>
                <w:webHidden/>
              </w:rPr>
              <w:instrText xml:space="preserve"> PAGEREF _Toc15657889 \h </w:instrText>
            </w:r>
            <w:r w:rsidR="007974C4">
              <w:rPr>
                <w:noProof/>
                <w:webHidden/>
              </w:rPr>
            </w:r>
            <w:r w:rsidR="007974C4">
              <w:rPr>
                <w:noProof/>
                <w:webHidden/>
              </w:rPr>
              <w:fldChar w:fldCharType="separate"/>
            </w:r>
            <w:r w:rsidR="00B10CDB">
              <w:rPr>
                <w:noProof/>
                <w:webHidden/>
              </w:rPr>
              <w:t>17</w:t>
            </w:r>
            <w:r w:rsidR="007974C4">
              <w:rPr>
                <w:noProof/>
                <w:webHidden/>
              </w:rPr>
              <w:fldChar w:fldCharType="end"/>
            </w:r>
          </w:hyperlink>
        </w:p>
        <w:p w14:paraId="3A2D0E2D" w14:textId="2C5C268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0" w:history="1">
            <w:r w:rsidR="007974C4" w:rsidRPr="00820F17">
              <w:rPr>
                <w:rStyle w:val="Hyperlink"/>
                <w:bCs/>
                <w:noProof/>
              </w:rPr>
              <w:t>3.</w:t>
            </w:r>
            <w:r w:rsidR="007974C4">
              <w:rPr>
                <w:rFonts w:asciiTheme="minorHAnsi" w:eastAsiaTheme="minorEastAsia" w:hAnsiTheme="minorHAnsi" w:cstheme="minorBidi"/>
                <w:noProof/>
                <w:sz w:val="22"/>
                <w:szCs w:val="22"/>
              </w:rPr>
              <w:tab/>
            </w:r>
            <w:r w:rsidR="007974C4" w:rsidRPr="00820F17">
              <w:rPr>
                <w:rStyle w:val="Hyperlink"/>
                <w:noProof/>
              </w:rPr>
              <w:t>Section 2.2.4 – GSHP Desuperheaters</w:t>
            </w:r>
            <w:r w:rsidR="007974C4">
              <w:rPr>
                <w:noProof/>
                <w:webHidden/>
              </w:rPr>
              <w:tab/>
            </w:r>
            <w:r w:rsidR="007974C4">
              <w:rPr>
                <w:noProof/>
                <w:webHidden/>
              </w:rPr>
              <w:fldChar w:fldCharType="begin"/>
            </w:r>
            <w:r w:rsidR="007974C4">
              <w:rPr>
                <w:noProof/>
                <w:webHidden/>
              </w:rPr>
              <w:instrText xml:space="preserve"> PAGEREF _Toc15657890 \h </w:instrText>
            </w:r>
            <w:r w:rsidR="007974C4">
              <w:rPr>
                <w:noProof/>
                <w:webHidden/>
              </w:rPr>
            </w:r>
            <w:r w:rsidR="007974C4">
              <w:rPr>
                <w:noProof/>
                <w:webHidden/>
              </w:rPr>
              <w:fldChar w:fldCharType="separate"/>
            </w:r>
            <w:r w:rsidR="00B10CDB">
              <w:rPr>
                <w:noProof/>
                <w:webHidden/>
              </w:rPr>
              <w:t>17</w:t>
            </w:r>
            <w:r w:rsidR="007974C4">
              <w:rPr>
                <w:noProof/>
                <w:webHidden/>
              </w:rPr>
              <w:fldChar w:fldCharType="end"/>
            </w:r>
          </w:hyperlink>
        </w:p>
        <w:p w14:paraId="6D85AFE8" w14:textId="173956C4"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1" w:history="1">
            <w:r w:rsidR="007974C4" w:rsidRPr="00820F17">
              <w:rPr>
                <w:rStyle w:val="Hyperlink"/>
                <w:bCs/>
                <w:noProof/>
              </w:rPr>
              <w:t>4.</w:t>
            </w:r>
            <w:r w:rsidR="007974C4">
              <w:rPr>
                <w:rFonts w:asciiTheme="minorHAnsi" w:eastAsiaTheme="minorEastAsia" w:hAnsiTheme="minorHAnsi" w:cstheme="minorBidi"/>
                <w:noProof/>
                <w:sz w:val="22"/>
                <w:szCs w:val="22"/>
              </w:rPr>
              <w:tab/>
            </w:r>
            <w:r w:rsidR="007974C4" w:rsidRPr="00820F17">
              <w:rPr>
                <w:rStyle w:val="Hyperlink"/>
                <w:noProof/>
              </w:rPr>
              <w:t>Section 2.2.5 – Air Conditioner &amp; Heat Pump Maintenance</w:t>
            </w:r>
            <w:r w:rsidR="007974C4">
              <w:rPr>
                <w:noProof/>
                <w:webHidden/>
              </w:rPr>
              <w:tab/>
            </w:r>
            <w:r w:rsidR="007974C4">
              <w:rPr>
                <w:noProof/>
                <w:webHidden/>
              </w:rPr>
              <w:fldChar w:fldCharType="begin"/>
            </w:r>
            <w:r w:rsidR="007974C4">
              <w:rPr>
                <w:noProof/>
                <w:webHidden/>
              </w:rPr>
              <w:instrText xml:space="preserve"> PAGEREF _Toc15657891 \h </w:instrText>
            </w:r>
            <w:r w:rsidR="007974C4">
              <w:rPr>
                <w:noProof/>
                <w:webHidden/>
              </w:rPr>
            </w:r>
            <w:r w:rsidR="007974C4">
              <w:rPr>
                <w:noProof/>
                <w:webHidden/>
              </w:rPr>
              <w:fldChar w:fldCharType="separate"/>
            </w:r>
            <w:r w:rsidR="00B10CDB">
              <w:rPr>
                <w:noProof/>
                <w:webHidden/>
              </w:rPr>
              <w:t>18</w:t>
            </w:r>
            <w:r w:rsidR="007974C4">
              <w:rPr>
                <w:noProof/>
                <w:webHidden/>
              </w:rPr>
              <w:fldChar w:fldCharType="end"/>
            </w:r>
          </w:hyperlink>
        </w:p>
        <w:p w14:paraId="3CBA5623" w14:textId="73C047D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2" w:history="1">
            <w:r w:rsidR="007974C4" w:rsidRPr="00820F17">
              <w:rPr>
                <w:rStyle w:val="Hyperlink"/>
                <w:bCs/>
                <w:noProof/>
              </w:rPr>
              <w:t>5.</w:t>
            </w:r>
            <w:r w:rsidR="007974C4">
              <w:rPr>
                <w:rFonts w:asciiTheme="minorHAnsi" w:eastAsiaTheme="minorEastAsia" w:hAnsiTheme="minorHAnsi" w:cstheme="minorBidi"/>
                <w:noProof/>
                <w:sz w:val="22"/>
                <w:szCs w:val="22"/>
              </w:rPr>
              <w:tab/>
            </w:r>
            <w:r w:rsidR="007974C4" w:rsidRPr="00820F17">
              <w:rPr>
                <w:rStyle w:val="Hyperlink"/>
                <w:noProof/>
              </w:rPr>
              <w:t>Section 2.2.11 – ENERGY STAR Connected Thermostats</w:t>
            </w:r>
            <w:r w:rsidR="007974C4">
              <w:rPr>
                <w:noProof/>
                <w:webHidden/>
              </w:rPr>
              <w:tab/>
            </w:r>
            <w:r w:rsidR="007974C4">
              <w:rPr>
                <w:noProof/>
                <w:webHidden/>
              </w:rPr>
              <w:fldChar w:fldCharType="begin"/>
            </w:r>
            <w:r w:rsidR="007974C4">
              <w:rPr>
                <w:noProof/>
                <w:webHidden/>
              </w:rPr>
              <w:instrText xml:space="preserve"> PAGEREF _Toc15657892 \h </w:instrText>
            </w:r>
            <w:r w:rsidR="007974C4">
              <w:rPr>
                <w:noProof/>
                <w:webHidden/>
              </w:rPr>
            </w:r>
            <w:r w:rsidR="007974C4">
              <w:rPr>
                <w:noProof/>
                <w:webHidden/>
              </w:rPr>
              <w:fldChar w:fldCharType="separate"/>
            </w:r>
            <w:r w:rsidR="00B10CDB">
              <w:rPr>
                <w:noProof/>
                <w:webHidden/>
              </w:rPr>
              <w:t>19</w:t>
            </w:r>
            <w:r w:rsidR="007974C4">
              <w:rPr>
                <w:noProof/>
                <w:webHidden/>
              </w:rPr>
              <w:fldChar w:fldCharType="end"/>
            </w:r>
          </w:hyperlink>
        </w:p>
        <w:p w14:paraId="5387441F" w14:textId="5E8663A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3" w:history="1">
            <w:r w:rsidR="007974C4" w:rsidRPr="00820F17">
              <w:rPr>
                <w:rStyle w:val="Hyperlink"/>
                <w:bCs/>
                <w:noProof/>
              </w:rPr>
              <w:t>6.</w:t>
            </w:r>
            <w:r w:rsidR="007974C4">
              <w:rPr>
                <w:rFonts w:asciiTheme="minorHAnsi" w:eastAsiaTheme="minorEastAsia" w:hAnsiTheme="minorHAnsi" w:cstheme="minorBidi"/>
                <w:noProof/>
                <w:sz w:val="22"/>
                <w:szCs w:val="22"/>
              </w:rPr>
              <w:tab/>
            </w:r>
            <w:r w:rsidR="007974C4" w:rsidRPr="00820F17">
              <w:rPr>
                <w:rStyle w:val="Hyperlink"/>
                <w:noProof/>
              </w:rPr>
              <w:t>Section 2.2.12 – Furnace Maintenance</w:t>
            </w:r>
            <w:r w:rsidR="007974C4">
              <w:rPr>
                <w:noProof/>
                <w:webHidden/>
              </w:rPr>
              <w:tab/>
            </w:r>
            <w:r w:rsidR="007974C4">
              <w:rPr>
                <w:noProof/>
                <w:webHidden/>
              </w:rPr>
              <w:fldChar w:fldCharType="begin"/>
            </w:r>
            <w:r w:rsidR="007974C4">
              <w:rPr>
                <w:noProof/>
                <w:webHidden/>
              </w:rPr>
              <w:instrText xml:space="preserve"> PAGEREF _Toc15657893 \h </w:instrText>
            </w:r>
            <w:r w:rsidR="007974C4">
              <w:rPr>
                <w:noProof/>
                <w:webHidden/>
              </w:rPr>
            </w:r>
            <w:r w:rsidR="007974C4">
              <w:rPr>
                <w:noProof/>
                <w:webHidden/>
              </w:rPr>
              <w:fldChar w:fldCharType="separate"/>
            </w:r>
            <w:r w:rsidR="00B10CDB">
              <w:rPr>
                <w:noProof/>
                <w:webHidden/>
              </w:rPr>
              <w:t>20</w:t>
            </w:r>
            <w:r w:rsidR="007974C4">
              <w:rPr>
                <w:noProof/>
                <w:webHidden/>
              </w:rPr>
              <w:fldChar w:fldCharType="end"/>
            </w:r>
          </w:hyperlink>
        </w:p>
        <w:p w14:paraId="074D3713" w14:textId="3EA9A76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4" w:history="1">
            <w:r w:rsidR="007974C4" w:rsidRPr="00820F17">
              <w:rPr>
                <w:rStyle w:val="Hyperlink"/>
                <w:bCs/>
                <w:noProof/>
              </w:rPr>
              <w:t>7.</w:t>
            </w:r>
            <w:r w:rsidR="007974C4">
              <w:rPr>
                <w:rFonts w:asciiTheme="minorHAnsi" w:eastAsiaTheme="minorEastAsia" w:hAnsiTheme="minorHAnsi" w:cstheme="minorBidi"/>
                <w:noProof/>
                <w:sz w:val="22"/>
                <w:szCs w:val="22"/>
              </w:rPr>
              <w:tab/>
            </w:r>
            <w:r w:rsidR="007974C4" w:rsidRPr="00820F17">
              <w:rPr>
                <w:rStyle w:val="Hyperlink"/>
                <w:noProof/>
              </w:rPr>
              <w:t>Section 2.3.10 – Drain Water Heat Recovery</w:t>
            </w:r>
            <w:r w:rsidR="007974C4">
              <w:rPr>
                <w:noProof/>
                <w:webHidden/>
              </w:rPr>
              <w:tab/>
            </w:r>
            <w:r w:rsidR="007974C4">
              <w:rPr>
                <w:noProof/>
                <w:webHidden/>
              </w:rPr>
              <w:fldChar w:fldCharType="begin"/>
            </w:r>
            <w:r w:rsidR="007974C4">
              <w:rPr>
                <w:noProof/>
                <w:webHidden/>
              </w:rPr>
              <w:instrText xml:space="preserve"> PAGEREF _Toc15657894 \h </w:instrText>
            </w:r>
            <w:r w:rsidR="007974C4">
              <w:rPr>
                <w:noProof/>
                <w:webHidden/>
              </w:rPr>
            </w:r>
            <w:r w:rsidR="007974C4">
              <w:rPr>
                <w:noProof/>
                <w:webHidden/>
              </w:rPr>
              <w:fldChar w:fldCharType="separate"/>
            </w:r>
            <w:r w:rsidR="00B10CDB">
              <w:rPr>
                <w:noProof/>
                <w:webHidden/>
              </w:rPr>
              <w:t>21</w:t>
            </w:r>
            <w:r w:rsidR="007974C4">
              <w:rPr>
                <w:noProof/>
                <w:webHidden/>
              </w:rPr>
              <w:fldChar w:fldCharType="end"/>
            </w:r>
          </w:hyperlink>
        </w:p>
        <w:p w14:paraId="38469744" w14:textId="513765A6"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5" w:history="1">
            <w:r w:rsidR="007974C4" w:rsidRPr="00820F17">
              <w:rPr>
                <w:rStyle w:val="Hyperlink"/>
                <w:bCs/>
                <w:noProof/>
              </w:rPr>
              <w:t>8.</w:t>
            </w:r>
            <w:r w:rsidR="007974C4">
              <w:rPr>
                <w:rFonts w:asciiTheme="minorHAnsi" w:eastAsiaTheme="minorEastAsia" w:hAnsiTheme="minorHAnsi" w:cstheme="minorBidi"/>
                <w:noProof/>
                <w:sz w:val="22"/>
                <w:szCs w:val="22"/>
              </w:rPr>
              <w:tab/>
            </w:r>
            <w:r w:rsidR="007974C4" w:rsidRPr="00820F17">
              <w:rPr>
                <w:rStyle w:val="Hyperlink"/>
                <w:noProof/>
              </w:rPr>
              <w:t>Section 2.4.10 – Dehumidifier Retirement</w:t>
            </w:r>
            <w:r w:rsidR="007974C4">
              <w:rPr>
                <w:noProof/>
                <w:webHidden/>
              </w:rPr>
              <w:tab/>
            </w:r>
            <w:r w:rsidR="007974C4">
              <w:rPr>
                <w:noProof/>
                <w:webHidden/>
              </w:rPr>
              <w:fldChar w:fldCharType="begin"/>
            </w:r>
            <w:r w:rsidR="007974C4">
              <w:rPr>
                <w:noProof/>
                <w:webHidden/>
              </w:rPr>
              <w:instrText xml:space="preserve"> PAGEREF _Toc15657895 \h </w:instrText>
            </w:r>
            <w:r w:rsidR="007974C4">
              <w:rPr>
                <w:noProof/>
                <w:webHidden/>
              </w:rPr>
            </w:r>
            <w:r w:rsidR="007974C4">
              <w:rPr>
                <w:noProof/>
                <w:webHidden/>
              </w:rPr>
              <w:fldChar w:fldCharType="separate"/>
            </w:r>
            <w:r w:rsidR="00B10CDB">
              <w:rPr>
                <w:noProof/>
                <w:webHidden/>
              </w:rPr>
              <w:t>21</w:t>
            </w:r>
            <w:r w:rsidR="007974C4">
              <w:rPr>
                <w:noProof/>
                <w:webHidden/>
              </w:rPr>
              <w:fldChar w:fldCharType="end"/>
            </w:r>
          </w:hyperlink>
        </w:p>
        <w:p w14:paraId="0725CA7F" w14:textId="19C235F7"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6" w:history="1">
            <w:r w:rsidR="007974C4" w:rsidRPr="00820F17">
              <w:rPr>
                <w:rStyle w:val="Hyperlink"/>
                <w:bCs/>
                <w:noProof/>
              </w:rPr>
              <w:t>9.</w:t>
            </w:r>
            <w:r w:rsidR="007974C4">
              <w:rPr>
                <w:rFonts w:asciiTheme="minorHAnsi" w:eastAsiaTheme="minorEastAsia" w:hAnsiTheme="minorHAnsi" w:cstheme="minorBidi"/>
                <w:noProof/>
                <w:sz w:val="22"/>
                <w:szCs w:val="22"/>
              </w:rPr>
              <w:tab/>
            </w:r>
            <w:r w:rsidR="007974C4" w:rsidRPr="00820F17">
              <w:rPr>
                <w:rStyle w:val="Hyperlink"/>
                <w:noProof/>
              </w:rPr>
              <w:t>Section 2.4.12 – ENERGY STAR Air Purifiers</w:t>
            </w:r>
            <w:r w:rsidR="007974C4">
              <w:rPr>
                <w:noProof/>
                <w:webHidden/>
              </w:rPr>
              <w:tab/>
            </w:r>
            <w:r w:rsidR="007974C4">
              <w:rPr>
                <w:noProof/>
                <w:webHidden/>
              </w:rPr>
              <w:fldChar w:fldCharType="begin"/>
            </w:r>
            <w:r w:rsidR="007974C4">
              <w:rPr>
                <w:noProof/>
                <w:webHidden/>
              </w:rPr>
              <w:instrText xml:space="preserve"> PAGEREF _Toc15657896 \h </w:instrText>
            </w:r>
            <w:r w:rsidR="007974C4">
              <w:rPr>
                <w:noProof/>
                <w:webHidden/>
              </w:rPr>
            </w:r>
            <w:r w:rsidR="007974C4">
              <w:rPr>
                <w:noProof/>
                <w:webHidden/>
              </w:rPr>
              <w:fldChar w:fldCharType="separate"/>
            </w:r>
            <w:r w:rsidR="00B10CDB">
              <w:rPr>
                <w:noProof/>
                <w:webHidden/>
              </w:rPr>
              <w:t>21</w:t>
            </w:r>
            <w:r w:rsidR="007974C4">
              <w:rPr>
                <w:noProof/>
                <w:webHidden/>
              </w:rPr>
              <w:fldChar w:fldCharType="end"/>
            </w:r>
          </w:hyperlink>
        </w:p>
        <w:p w14:paraId="4FD625DB" w14:textId="04A2A72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7" w:history="1">
            <w:r w:rsidR="007974C4" w:rsidRPr="00820F17">
              <w:rPr>
                <w:rStyle w:val="Hyperlink"/>
                <w:bCs/>
                <w:noProof/>
              </w:rPr>
              <w:t>10.</w:t>
            </w:r>
            <w:r w:rsidR="007974C4">
              <w:rPr>
                <w:rFonts w:asciiTheme="minorHAnsi" w:eastAsiaTheme="minorEastAsia" w:hAnsiTheme="minorHAnsi" w:cstheme="minorBidi"/>
                <w:noProof/>
                <w:sz w:val="22"/>
                <w:szCs w:val="22"/>
              </w:rPr>
              <w:tab/>
            </w:r>
            <w:r w:rsidR="007974C4" w:rsidRPr="00820F17">
              <w:rPr>
                <w:rStyle w:val="Hyperlink"/>
                <w:noProof/>
              </w:rPr>
              <w:t>Section 2.6.2 – Weather-Stripping, Caulking, and Outlet Gaskets</w:t>
            </w:r>
            <w:r w:rsidR="007974C4">
              <w:rPr>
                <w:noProof/>
                <w:webHidden/>
              </w:rPr>
              <w:tab/>
            </w:r>
            <w:r w:rsidR="007974C4">
              <w:rPr>
                <w:noProof/>
                <w:webHidden/>
              </w:rPr>
              <w:fldChar w:fldCharType="begin"/>
            </w:r>
            <w:r w:rsidR="007974C4">
              <w:rPr>
                <w:noProof/>
                <w:webHidden/>
              </w:rPr>
              <w:instrText xml:space="preserve"> PAGEREF _Toc15657897 \h </w:instrText>
            </w:r>
            <w:r w:rsidR="007974C4">
              <w:rPr>
                <w:noProof/>
                <w:webHidden/>
              </w:rPr>
            </w:r>
            <w:r w:rsidR="007974C4">
              <w:rPr>
                <w:noProof/>
                <w:webHidden/>
              </w:rPr>
              <w:fldChar w:fldCharType="separate"/>
            </w:r>
            <w:r w:rsidR="00B10CDB">
              <w:rPr>
                <w:noProof/>
                <w:webHidden/>
              </w:rPr>
              <w:t>22</w:t>
            </w:r>
            <w:r w:rsidR="007974C4">
              <w:rPr>
                <w:noProof/>
                <w:webHidden/>
              </w:rPr>
              <w:fldChar w:fldCharType="end"/>
            </w:r>
          </w:hyperlink>
        </w:p>
        <w:p w14:paraId="6577137B" w14:textId="75726BA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8" w:history="1">
            <w:r w:rsidR="007974C4" w:rsidRPr="00820F17">
              <w:rPr>
                <w:rStyle w:val="Hyperlink"/>
                <w:bCs/>
                <w:noProof/>
              </w:rPr>
              <w:t>11.</w:t>
            </w:r>
            <w:r w:rsidR="007974C4">
              <w:rPr>
                <w:rFonts w:asciiTheme="minorHAnsi" w:eastAsiaTheme="minorEastAsia" w:hAnsiTheme="minorHAnsi" w:cstheme="minorBidi"/>
                <w:noProof/>
                <w:sz w:val="22"/>
                <w:szCs w:val="22"/>
              </w:rPr>
              <w:tab/>
            </w:r>
            <w:r w:rsidR="007974C4" w:rsidRPr="00820F17">
              <w:rPr>
                <w:rStyle w:val="Hyperlink"/>
                <w:noProof/>
              </w:rPr>
              <w:t>Section 2.6.6 – Residential Window Repair</w:t>
            </w:r>
            <w:r w:rsidR="007974C4">
              <w:rPr>
                <w:noProof/>
                <w:webHidden/>
              </w:rPr>
              <w:tab/>
            </w:r>
            <w:r w:rsidR="007974C4">
              <w:rPr>
                <w:noProof/>
                <w:webHidden/>
              </w:rPr>
              <w:fldChar w:fldCharType="begin"/>
            </w:r>
            <w:r w:rsidR="007974C4">
              <w:rPr>
                <w:noProof/>
                <w:webHidden/>
              </w:rPr>
              <w:instrText xml:space="preserve"> PAGEREF _Toc15657898 \h </w:instrText>
            </w:r>
            <w:r w:rsidR="007974C4">
              <w:rPr>
                <w:noProof/>
                <w:webHidden/>
              </w:rPr>
            </w:r>
            <w:r w:rsidR="007974C4">
              <w:rPr>
                <w:noProof/>
                <w:webHidden/>
              </w:rPr>
              <w:fldChar w:fldCharType="separate"/>
            </w:r>
            <w:r w:rsidR="00B10CDB">
              <w:rPr>
                <w:noProof/>
                <w:webHidden/>
              </w:rPr>
              <w:t>23</w:t>
            </w:r>
            <w:r w:rsidR="007974C4">
              <w:rPr>
                <w:noProof/>
                <w:webHidden/>
              </w:rPr>
              <w:fldChar w:fldCharType="end"/>
            </w:r>
          </w:hyperlink>
        </w:p>
        <w:p w14:paraId="2433361E" w14:textId="251B86B4"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899" w:history="1">
            <w:r w:rsidR="007974C4" w:rsidRPr="00820F17">
              <w:rPr>
                <w:rStyle w:val="Hyperlink"/>
                <w:bCs/>
                <w:noProof/>
              </w:rPr>
              <w:t>12.</w:t>
            </w:r>
            <w:r w:rsidR="007974C4">
              <w:rPr>
                <w:rFonts w:asciiTheme="minorHAnsi" w:eastAsiaTheme="minorEastAsia" w:hAnsiTheme="minorHAnsi" w:cstheme="minorBidi"/>
                <w:noProof/>
                <w:sz w:val="22"/>
                <w:szCs w:val="22"/>
              </w:rPr>
              <w:tab/>
            </w:r>
            <w:r w:rsidR="007974C4" w:rsidRPr="00820F17">
              <w:rPr>
                <w:rStyle w:val="Hyperlink"/>
                <w:noProof/>
              </w:rPr>
              <w:t>Section 2.7.3 – Home Energy Reports</w:t>
            </w:r>
            <w:r w:rsidR="007974C4">
              <w:rPr>
                <w:noProof/>
                <w:webHidden/>
              </w:rPr>
              <w:tab/>
            </w:r>
            <w:r w:rsidR="007974C4">
              <w:rPr>
                <w:noProof/>
                <w:webHidden/>
              </w:rPr>
              <w:fldChar w:fldCharType="begin"/>
            </w:r>
            <w:r w:rsidR="007974C4">
              <w:rPr>
                <w:noProof/>
                <w:webHidden/>
              </w:rPr>
              <w:instrText xml:space="preserve"> PAGEREF _Toc15657899 \h </w:instrText>
            </w:r>
            <w:r w:rsidR="007974C4">
              <w:rPr>
                <w:noProof/>
                <w:webHidden/>
              </w:rPr>
            </w:r>
            <w:r w:rsidR="007974C4">
              <w:rPr>
                <w:noProof/>
                <w:webHidden/>
              </w:rPr>
              <w:fldChar w:fldCharType="separate"/>
            </w:r>
            <w:r w:rsidR="00B10CDB">
              <w:rPr>
                <w:noProof/>
                <w:webHidden/>
              </w:rPr>
              <w:t>24</w:t>
            </w:r>
            <w:r w:rsidR="007974C4">
              <w:rPr>
                <w:noProof/>
                <w:webHidden/>
              </w:rPr>
              <w:fldChar w:fldCharType="end"/>
            </w:r>
          </w:hyperlink>
        </w:p>
        <w:p w14:paraId="5BAFEDF8" w14:textId="4ED9F81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0" w:history="1">
            <w:r w:rsidR="007974C4" w:rsidRPr="00820F17">
              <w:rPr>
                <w:rStyle w:val="Hyperlink"/>
                <w:bCs/>
                <w:noProof/>
              </w:rPr>
              <w:t>13.</w:t>
            </w:r>
            <w:r w:rsidR="007974C4">
              <w:rPr>
                <w:rFonts w:asciiTheme="minorHAnsi" w:eastAsiaTheme="minorEastAsia" w:hAnsiTheme="minorHAnsi" w:cstheme="minorBidi"/>
                <w:noProof/>
                <w:sz w:val="22"/>
                <w:szCs w:val="22"/>
              </w:rPr>
              <w:tab/>
            </w:r>
            <w:r w:rsidR="007974C4" w:rsidRPr="00820F17">
              <w:rPr>
                <w:rStyle w:val="Hyperlink"/>
                <w:noProof/>
              </w:rPr>
              <w:t>Properly Sized Cooling</w:t>
            </w:r>
            <w:r w:rsidR="007974C4">
              <w:rPr>
                <w:noProof/>
                <w:webHidden/>
              </w:rPr>
              <w:tab/>
            </w:r>
            <w:r w:rsidR="007974C4">
              <w:rPr>
                <w:noProof/>
                <w:webHidden/>
              </w:rPr>
              <w:fldChar w:fldCharType="begin"/>
            </w:r>
            <w:r w:rsidR="007974C4">
              <w:rPr>
                <w:noProof/>
                <w:webHidden/>
              </w:rPr>
              <w:instrText xml:space="preserve"> PAGEREF _Toc15657900 \h </w:instrText>
            </w:r>
            <w:r w:rsidR="007974C4">
              <w:rPr>
                <w:noProof/>
                <w:webHidden/>
              </w:rPr>
            </w:r>
            <w:r w:rsidR="007974C4">
              <w:rPr>
                <w:noProof/>
                <w:webHidden/>
              </w:rPr>
              <w:fldChar w:fldCharType="separate"/>
            </w:r>
            <w:r w:rsidR="00B10CDB">
              <w:rPr>
                <w:noProof/>
                <w:webHidden/>
              </w:rPr>
              <w:t>27</w:t>
            </w:r>
            <w:r w:rsidR="007974C4">
              <w:rPr>
                <w:noProof/>
                <w:webHidden/>
              </w:rPr>
              <w:fldChar w:fldCharType="end"/>
            </w:r>
          </w:hyperlink>
        </w:p>
        <w:p w14:paraId="07493178" w14:textId="2C8E4D9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1" w:history="1">
            <w:r w:rsidR="007974C4" w:rsidRPr="00820F17">
              <w:rPr>
                <w:rStyle w:val="Hyperlink"/>
                <w:bCs/>
                <w:noProof/>
              </w:rPr>
              <w:t>14.</w:t>
            </w:r>
            <w:r w:rsidR="007974C4">
              <w:rPr>
                <w:rFonts w:asciiTheme="minorHAnsi" w:eastAsiaTheme="minorEastAsia" w:hAnsiTheme="minorHAnsi" w:cstheme="minorBidi"/>
                <w:noProof/>
                <w:sz w:val="22"/>
                <w:szCs w:val="22"/>
              </w:rPr>
              <w:tab/>
            </w:r>
            <w:r w:rsidR="007974C4" w:rsidRPr="00820F17">
              <w:rPr>
                <w:rStyle w:val="Hyperlink"/>
                <w:noProof/>
              </w:rPr>
              <w:t>Basement Wall Insulation</w:t>
            </w:r>
            <w:r w:rsidR="007974C4">
              <w:rPr>
                <w:noProof/>
                <w:webHidden/>
              </w:rPr>
              <w:tab/>
            </w:r>
            <w:r w:rsidR="007974C4">
              <w:rPr>
                <w:noProof/>
                <w:webHidden/>
              </w:rPr>
              <w:fldChar w:fldCharType="begin"/>
            </w:r>
            <w:r w:rsidR="007974C4">
              <w:rPr>
                <w:noProof/>
                <w:webHidden/>
              </w:rPr>
              <w:instrText xml:space="preserve"> PAGEREF _Toc15657901 \h </w:instrText>
            </w:r>
            <w:r w:rsidR="007974C4">
              <w:rPr>
                <w:noProof/>
                <w:webHidden/>
              </w:rPr>
            </w:r>
            <w:r w:rsidR="007974C4">
              <w:rPr>
                <w:noProof/>
                <w:webHidden/>
              </w:rPr>
              <w:fldChar w:fldCharType="separate"/>
            </w:r>
            <w:r w:rsidR="00B10CDB">
              <w:rPr>
                <w:noProof/>
                <w:webHidden/>
              </w:rPr>
              <w:t>28</w:t>
            </w:r>
            <w:r w:rsidR="007974C4">
              <w:rPr>
                <w:noProof/>
                <w:webHidden/>
              </w:rPr>
              <w:fldChar w:fldCharType="end"/>
            </w:r>
          </w:hyperlink>
        </w:p>
        <w:p w14:paraId="1DFB6B10" w14:textId="187D98A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2" w:history="1">
            <w:r w:rsidR="007974C4" w:rsidRPr="00820F17">
              <w:rPr>
                <w:rStyle w:val="Hyperlink"/>
                <w:bCs/>
                <w:noProof/>
              </w:rPr>
              <w:t>15.</w:t>
            </w:r>
            <w:r w:rsidR="007974C4">
              <w:rPr>
                <w:rFonts w:asciiTheme="minorHAnsi" w:eastAsiaTheme="minorEastAsia" w:hAnsiTheme="minorHAnsi" w:cstheme="minorBidi"/>
                <w:noProof/>
                <w:sz w:val="22"/>
                <w:szCs w:val="22"/>
              </w:rPr>
              <w:tab/>
            </w:r>
            <w:r w:rsidR="007974C4" w:rsidRPr="00820F17">
              <w:rPr>
                <w:rStyle w:val="Hyperlink"/>
                <w:noProof/>
              </w:rPr>
              <w:t>Low-Rise Multifamily New Construction</w:t>
            </w:r>
            <w:r w:rsidR="007974C4">
              <w:rPr>
                <w:noProof/>
                <w:webHidden/>
              </w:rPr>
              <w:tab/>
            </w:r>
            <w:r w:rsidR="007974C4">
              <w:rPr>
                <w:noProof/>
                <w:webHidden/>
              </w:rPr>
              <w:fldChar w:fldCharType="begin"/>
            </w:r>
            <w:r w:rsidR="007974C4">
              <w:rPr>
                <w:noProof/>
                <w:webHidden/>
              </w:rPr>
              <w:instrText xml:space="preserve"> PAGEREF _Toc15657902 \h </w:instrText>
            </w:r>
            <w:r w:rsidR="007974C4">
              <w:rPr>
                <w:noProof/>
                <w:webHidden/>
              </w:rPr>
            </w:r>
            <w:r w:rsidR="007974C4">
              <w:rPr>
                <w:noProof/>
                <w:webHidden/>
              </w:rPr>
              <w:fldChar w:fldCharType="separate"/>
            </w:r>
            <w:r w:rsidR="00B10CDB">
              <w:rPr>
                <w:noProof/>
                <w:webHidden/>
              </w:rPr>
              <w:t>30</w:t>
            </w:r>
            <w:r w:rsidR="007974C4">
              <w:rPr>
                <w:noProof/>
                <w:webHidden/>
              </w:rPr>
              <w:fldChar w:fldCharType="end"/>
            </w:r>
          </w:hyperlink>
        </w:p>
        <w:p w14:paraId="219CE600" w14:textId="77777777" w:rsidR="007974C4" w:rsidRDefault="007974C4">
          <w:pPr>
            <w:overflowPunct/>
            <w:autoSpaceDE/>
            <w:autoSpaceDN/>
            <w:adjustRightInd/>
            <w:spacing w:line="240" w:lineRule="auto"/>
            <w:ind w:firstLine="0"/>
            <w:rPr>
              <w:rStyle w:val="Hyperlink"/>
              <w:noProof/>
              <w:sz w:val="24"/>
            </w:rPr>
          </w:pPr>
          <w:r>
            <w:rPr>
              <w:rStyle w:val="Hyperlink"/>
              <w:noProof/>
            </w:rPr>
            <w:br w:type="page"/>
          </w:r>
        </w:p>
        <w:p w14:paraId="51470D91" w14:textId="52C017EF" w:rsidR="007974C4" w:rsidRDefault="00763509">
          <w:pPr>
            <w:pStyle w:val="TOC2"/>
            <w:tabs>
              <w:tab w:val="left" w:pos="936"/>
              <w:tab w:val="right" w:leader="dot" w:pos="9350"/>
            </w:tabs>
            <w:rPr>
              <w:rFonts w:asciiTheme="minorHAnsi" w:eastAsiaTheme="minorEastAsia" w:hAnsiTheme="minorHAnsi" w:cstheme="minorBidi"/>
              <w:sz w:val="22"/>
              <w:szCs w:val="22"/>
            </w:rPr>
          </w:pPr>
          <w:hyperlink w:anchor="_Toc15657903" w:history="1">
            <w:r w:rsidR="007974C4" w:rsidRPr="00820F17">
              <w:rPr>
                <w:rStyle w:val="Hyperlink"/>
              </w:rPr>
              <w:t>D.</w:t>
            </w:r>
            <w:r w:rsidR="007974C4">
              <w:rPr>
                <w:rFonts w:asciiTheme="minorHAnsi" w:eastAsiaTheme="minorEastAsia" w:hAnsiTheme="minorHAnsi" w:cstheme="minorBidi"/>
                <w:sz w:val="22"/>
                <w:szCs w:val="22"/>
              </w:rPr>
              <w:tab/>
            </w:r>
            <w:r w:rsidR="007974C4" w:rsidRPr="00820F17">
              <w:rPr>
                <w:rStyle w:val="Hyperlink"/>
              </w:rPr>
              <w:t>Additional C&amp;I EE-&amp;C Measure Protocols</w:t>
            </w:r>
            <w:r w:rsidR="007974C4">
              <w:rPr>
                <w:webHidden/>
              </w:rPr>
              <w:tab/>
            </w:r>
            <w:r w:rsidR="007974C4">
              <w:rPr>
                <w:webHidden/>
              </w:rPr>
              <w:fldChar w:fldCharType="begin"/>
            </w:r>
            <w:r w:rsidR="007974C4">
              <w:rPr>
                <w:webHidden/>
              </w:rPr>
              <w:instrText xml:space="preserve"> PAGEREF _Toc15657903 \h </w:instrText>
            </w:r>
            <w:r w:rsidR="007974C4">
              <w:rPr>
                <w:webHidden/>
              </w:rPr>
            </w:r>
            <w:r w:rsidR="007974C4">
              <w:rPr>
                <w:webHidden/>
              </w:rPr>
              <w:fldChar w:fldCharType="separate"/>
            </w:r>
            <w:r w:rsidR="00B10CDB">
              <w:rPr>
                <w:webHidden/>
              </w:rPr>
              <w:t>33</w:t>
            </w:r>
            <w:r w:rsidR="007974C4">
              <w:rPr>
                <w:webHidden/>
              </w:rPr>
              <w:fldChar w:fldCharType="end"/>
            </w:r>
          </w:hyperlink>
        </w:p>
        <w:p w14:paraId="2DE05BD4" w14:textId="28E87067"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4"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Section 3.1.7 – Lighting Improvements for Midstream Delivery Programs</w:t>
            </w:r>
            <w:r w:rsidR="007974C4">
              <w:rPr>
                <w:noProof/>
                <w:webHidden/>
              </w:rPr>
              <w:tab/>
            </w:r>
            <w:r w:rsidR="007974C4">
              <w:rPr>
                <w:noProof/>
                <w:webHidden/>
              </w:rPr>
              <w:fldChar w:fldCharType="begin"/>
            </w:r>
            <w:r w:rsidR="007974C4">
              <w:rPr>
                <w:noProof/>
                <w:webHidden/>
              </w:rPr>
              <w:instrText xml:space="preserve"> PAGEREF _Toc15657904 \h </w:instrText>
            </w:r>
            <w:r w:rsidR="007974C4">
              <w:rPr>
                <w:noProof/>
                <w:webHidden/>
              </w:rPr>
            </w:r>
            <w:r w:rsidR="007974C4">
              <w:rPr>
                <w:noProof/>
                <w:webHidden/>
              </w:rPr>
              <w:fldChar w:fldCharType="separate"/>
            </w:r>
            <w:r w:rsidR="00B10CDB">
              <w:rPr>
                <w:noProof/>
                <w:webHidden/>
              </w:rPr>
              <w:t>35</w:t>
            </w:r>
            <w:r w:rsidR="007974C4">
              <w:rPr>
                <w:noProof/>
                <w:webHidden/>
              </w:rPr>
              <w:fldChar w:fldCharType="end"/>
            </w:r>
          </w:hyperlink>
        </w:p>
        <w:p w14:paraId="132F99ED" w14:textId="70604AC6"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5"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Section 3.2.11 – Computer Room Air Conditioner / Handler Electronically Commutated Plug Fans Programs</w:t>
            </w:r>
            <w:r w:rsidR="007974C4">
              <w:rPr>
                <w:noProof/>
                <w:webHidden/>
              </w:rPr>
              <w:tab/>
            </w:r>
            <w:r w:rsidR="007974C4">
              <w:rPr>
                <w:noProof/>
                <w:webHidden/>
              </w:rPr>
              <w:fldChar w:fldCharType="begin"/>
            </w:r>
            <w:r w:rsidR="007974C4">
              <w:rPr>
                <w:noProof/>
                <w:webHidden/>
              </w:rPr>
              <w:instrText xml:space="preserve"> PAGEREF _Toc15657905 \h </w:instrText>
            </w:r>
            <w:r w:rsidR="007974C4">
              <w:rPr>
                <w:noProof/>
                <w:webHidden/>
              </w:rPr>
            </w:r>
            <w:r w:rsidR="007974C4">
              <w:rPr>
                <w:noProof/>
                <w:webHidden/>
              </w:rPr>
              <w:fldChar w:fldCharType="separate"/>
            </w:r>
            <w:r w:rsidR="00B10CDB">
              <w:rPr>
                <w:noProof/>
                <w:webHidden/>
              </w:rPr>
              <w:t>37</w:t>
            </w:r>
            <w:r w:rsidR="007974C4">
              <w:rPr>
                <w:noProof/>
                <w:webHidden/>
              </w:rPr>
              <w:fldChar w:fldCharType="end"/>
            </w:r>
          </w:hyperlink>
        </w:p>
        <w:p w14:paraId="2430DEA2" w14:textId="57E639A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6" w:history="1">
            <w:r w:rsidR="007974C4" w:rsidRPr="00820F17">
              <w:rPr>
                <w:rStyle w:val="Hyperlink"/>
                <w:noProof/>
              </w:rPr>
              <w:t>3.</w:t>
            </w:r>
            <w:r w:rsidR="007974C4">
              <w:rPr>
                <w:rFonts w:asciiTheme="minorHAnsi" w:eastAsiaTheme="minorEastAsia" w:hAnsiTheme="minorHAnsi" w:cstheme="minorBidi"/>
                <w:noProof/>
                <w:sz w:val="22"/>
                <w:szCs w:val="22"/>
              </w:rPr>
              <w:tab/>
            </w:r>
            <w:r w:rsidR="007974C4" w:rsidRPr="00820F17">
              <w:rPr>
                <w:rStyle w:val="Hyperlink"/>
                <w:noProof/>
              </w:rPr>
              <w:t xml:space="preserve">Section 3.2.12 – Computer Room Air Conditioner / Handler VSD </w:t>
            </w:r>
            <w:r w:rsidR="007974C4">
              <w:rPr>
                <w:rStyle w:val="Hyperlink"/>
                <w:noProof/>
              </w:rPr>
              <w:br/>
            </w:r>
            <w:r w:rsidR="007974C4" w:rsidRPr="00820F17">
              <w:rPr>
                <w:rStyle w:val="Hyperlink"/>
                <w:noProof/>
              </w:rPr>
              <w:t>on AC Fan Motors</w:t>
            </w:r>
            <w:r w:rsidR="007974C4">
              <w:rPr>
                <w:noProof/>
                <w:webHidden/>
              </w:rPr>
              <w:tab/>
            </w:r>
            <w:r w:rsidR="007974C4">
              <w:rPr>
                <w:noProof/>
                <w:webHidden/>
              </w:rPr>
              <w:fldChar w:fldCharType="begin"/>
            </w:r>
            <w:r w:rsidR="007974C4">
              <w:rPr>
                <w:noProof/>
                <w:webHidden/>
              </w:rPr>
              <w:instrText xml:space="preserve"> PAGEREF _Toc15657906 \h </w:instrText>
            </w:r>
            <w:r w:rsidR="007974C4">
              <w:rPr>
                <w:noProof/>
                <w:webHidden/>
              </w:rPr>
            </w:r>
            <w:r w:rsidR="007974C4">
              <w:rPr>
                <w:noProof/>
                <w:webHidden/>
              </w:rPr>
              <w:fldChar w:fldCharType="separate"/>
            </w:r>
            <w:r w:rsidR="00B10CDB">
              <w:rPr>
                <w:noProof/>
                <w:webHidden/>
              </w:rPr>
              <w:t>38</w:t>
            </w:r>
            <w:r w:rsidR="007974C4">
              <w:rPr>
                <w:noProof/>
                <w:webHidden/>
              </w:rPr>
              <w:fldChar w:fldCharType="end"/>
            </w:r>
          </w:hyperlink>
        </w:p>
        <w:p w14:paraId="01D9B5E9" w14:textId="7C13A64A"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7" w:history="1">
            <w:r w:rsidR="007974C4" w:rsidRPr="00820F17">
              <w:rPr>
                <w:rStyle w:val="Hyperlink"/>
                <w:noProof/>
              </w:rPr>
              <w:t>4.</w:t>
            </w:r>
            <w:r w:rsidR="007974C4">
              <w:rPr>
                <w:rFonts w:asciiTheme="minorHAnsi" w:eastAsiaTheme="minorEastAsia" w:hAnsiTheme="minorHAnsi" w:cstheme="minorBidi"/>
                <w:noProof/>
                <w:sz w:val="22"/>
                <w:szCs w:val="22"/>
              </w:rPr>
              <w:tab/>
            </w:r>
            <w:r w:rsidR="007974C4" w:rsidRPr="00820F17">
              <w:rPr>
                <w:rStyle w:val="Hyperlink"/>
                <w:noProof/>
              </w:rPr>
              <w:t>Section 3.2.13 – Circulation Fan: High-volume Low-speed</w:t>
            </w:r>
            <w:r w:rsidR="007974C4">
              <w:rPr>
                <w:noProof/>
                <w:webHidden/>
              </w:rPr>
              <w:tab/>
            </w:r>
            <w:r w:rsidR="007974C4">
              <w:rPr>
                <w:noProof/>
                <w:webHidden/>
              </w:rPr>
              <w:fldChar w:fldCharType="begin"/>
            </w:r>
            <w:r w:rsidR="007974C4">
              <w:rPr>
                <w:noProof/>
                <w:webHidden/>
              </w:rPr>
              <w:instrText xml:space="preserve"> PAGEREF _Toc15657907 \h </w:instrText>
            </w:r>
            <w:r w:rsidR="007974C4">
              <w:rPr>
                <w:noProof/>
                <w:webHidden/>
              </w:rPr>
            </w:r>
            <w:r w:rsidR="007974C4">
              <w:rPr>
                <w:noProof/>
                <w:webHidden/>
              </w:rPr>
              <w:fldChar w:fldCharType="separate"/>
            </w:r>
            <w:r w:rsidR="00B10CDB">
              <w:rPr>
                <w:noProof/>
                <w:webHidden/>
              </w:rPr>
              <w:t>38</w:t>
            </w:r>
            <w:r w:rsidR="007974C4">
              <w:rPr>
                <w:noProof/>
                <w:webHidden/>
              </w:rPr>
              <w:fldChar w:fldCharType="end"/>
            </w:r>
          </w:hyperlink>
        </w:p>
        <w:p w14:paraId="182462F2" w14:textId="4D836B5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8" w:history="1">
            <w:r w:rsidR="007974C4" w:rsidRPr="00820F17">
              <w:rPr>
                <w:rStyle w:val="Hyperlink"/>
                <w:noProof/>
              </w:rPr>
              <w:t>5.</w:t>
            </w:r>
            <w:r w:rsidR="007974C4">
              <w:rPr>
                <w:rFonts w:asciiTheme="minorHAnsi" w:eastAsiaTheme="minorEastAsia" w:hAnsiTheme="minorHAnsi" w:cstheme="minorBidi"/>
                <w:noProof/>
                <w:sz w:val="22"/>
                <w:szCs w:val="22"/>
              </w:rPr>
              <w:tab/>
            </w:r>
            <w:r w:rsidR="007974C4" w:rsidRPr="00820F17">
              <w:rPr>
                <w:rStyle w:val="Hyperlink"/>
                <w:noProof/>
              </w:rPr>
              <w:t>Section 3.3.5 – ECM Circulator Pumps</w:t>
            </w:r>
            <w:r w:rsidR="007974C4">
              <w:rPr>
                <w:noProof/>
                <w:webHidden/>
              </w:rPr>
              <w:tab/>
            </w:r>
            <w:r w:rsidR="007974C4">
              <w:rPr>
                <w:noProof/>
                <w:webHidden/>
              </w:rPr>
              <w:fldChar w:fldCharType="begin"/>
            </w:r>
            <w:r w:rsidR="007974C4">
              <w:rPr>
                <w:noProof/>
                <w:webHidden/>
              </w:rPr>
              <w:instrText xml:space="preserve"> PAGEREF _Toc15657908 \h </w:instrText>
            </w:r>
            <w:r w:rsidR="007974C4">
              <w:rPr>
                <w:noProof/>
                <w:webHidden/>
              </w:rPr>
            </w:r>
            <w:r w:rsidR="007974C4">
              <w:rPr>
                <w:noProof/>
                <w:webHidden/>
              </w:rPr>
              <w:fldChar w:fldCharType="separate"/>
            </w:r>
            <w:r w:rsidR="00B10CDB">
              <w:rPr>
                <w:noProof/>
                <w:webHidden/>
              </w:rPr>
              <w:t>39</w:t>
            </w:r>
            <w:r w:rsidR="007974C4">
              <w:rPr>
                <w:noProof/>
                <w:webHidden/>
              </w:rPr>
              <w:fldChar w:fldCharType="end"/>
            </w:r>
          </w:hyperlink>
        </w:p>
        <w:p w14:paraId="46F49357" w14:textId="683EAE4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09" w:history="1">
            <w:r w:rsidR="007974C4" w:rsidRPr="00820F17">
              <w:rPr>
                <w:rStyle w:val="Hyperlink"/>
                <w:noProof/>
              </w:rPr>
              <w:t>6.</w:t>
            </w:r>
            <w:r w:rsidR="007974C4">
              <w:rPr>
                <w:rFonts w:asciiTheme="minorHAnsi" w:eastAsiaTheme="minorEastAsia" w:hAnsiTheme="minorHAnsi" w:cstheme="minorBidi"/>
                <w:noProof/>
                <w:sz w:val="22"/>
                <w:szCs w:val="22"/>
              </w:rPr>
              <w:tab/>
            </w:r>
            <w:r w:rsidR="007974C4" w:rsidRPr="00820F17">
              <w:rPr>
                <w:rStyle w:val="Hyperlink"/>
                <w:noProof/>
              </w:rPr>
              <w:t>Section 3.3.6 – High Efficiency Pumps</w:t>
            </w:r>
            <w:r w:rsidR="007974C4">
              <w:rPr>
                <w:noProof/>
                <w:webHidden/>
              </w:rPr>
              <w:tab/>
            </w:r>
            <w:r w:rsidR="007974C4">
              <w:rPr>
                <w:noProof/>
                <w:webHidden/>
              </w:rPr>
              <w:fldChar w:fldCharType="begin"/>
            </w:r>
            <w:r w:rsidR="007974C4">
              <w:rPr>
                <w:noProof/>
                <w:webHidden/>
              </w:rPr>
              <w:instrText xml:space="preserve"> PAGEREF _Toc15657909 \h </w:instrText>
            </w:r>
            <w:r w:rsidR="007974C4">
              <w:rPr>
                <w:noProof/>
                <w:webHidden/>
              </w:rPr>
            </w:r>
            <w:r w:rsidR="007974C4">
              <w:rPr>
                <w:noProof/>
                <w:webHidden/>
              </w:rPr>
              <w:fldChar w:fldCharType="separate"/>
            </w:r>
            <w:r w:rsidR="00B10CDB">
              <w:rPr>
                <w:noProof/>
                <w:webHidden/>
              </w:rPr>
              <w:t>39</w:t>
            </w:r>
            <w:r w:rsidR="007974C4">
              <w:rPr>
                <w:noProof/>
                <w:webHidden/>
              </w:rPr>
              <w:fldChar w:fldCharType="end"/>
            </w:r>
          </w:hyperlink>
        </w:p>
        <w:p w14:paraId="2FC54EA4" w14:textId="6D676F9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0" w:history="1">
            <w:r w:rsidR="007974C4" w:rsidRPr="00820F17">
              <w:rPr>
                <w:rStyle w:val="Hyperlink"/>
                <w:noProof/>
              </w:rPr>
              <w:t>7.</w:t>
            </w:r>
            <w:r w:rsidR="007974C4">
              <w:rPr>
                <w:rFonts w:asciiTheme="minorHAnsi" w:eastAsiaTheme="minorEastAsia" w:hAnsiTheme="minorHAnsi" w:cstheme="minorBidi"/>
                <w:noProof/>
                <w:sz w:val="22"/>
                <w:szCs w:val="22"/>
              </w:rPr>
              <w:tab/>
            </w:r>
            <w:r w:rsidR="007974C4" w:rsidRPr="00820F17">
              <w:rPr>
                <w:rStyle w:val="Hyperlink"/>
                <w:noProof/>
              </w:rPr>
              <w:t>Section 3.5.16 – Air-cooled Refrigeration Condenser</w:t>
            </w:r>
            <w:r w:rsidR="007974C4">
              <w:rPr>
                <w:noProof/>
                <w:webHidden/>
              </w:rPr>
              <w:tab/>
            </w:r>
            <w:r w:rsidR="007974C4">
              <w:rPr>
                <w:noProof/>
                <w:webHidden/>
              </w:rPr>
              <w:fldChar w:fldCharType="begin"/>
            </w:r>
            <w:r w:rsidR="007974C4">
              <w:rPr>
                <w:noProof/>
                <w:webHidden/>
              </w:rPr>
              <w:instrText xml:space="preserve"> PAGEREF _Toc15657910 \h </w:instrText>
            </w:r>
            <w:r w:rsidR="007974C4">
              <w:rPr>
                <w:noProof/>
                <w:webHidden/>
              </w:rPr>
            </w:r>
            <w:r w:rsidR="007974C4">
              <w:rPr>
                <w:noProof/>
                <w:webHidden/>
              </w:rPr>
              <w:fldChar w:fldCharType="separate"/>
            </w:r>
            <w:r w:rsidR="00B10CDB">
              <w:rPr>
                <w:noProof/>
                <w:webHidden/>
              </w:rPr>
              <w:t>40</w:t>
            </w:r>
            <w:r w:rsidR="007974C4">
              <w:rPr>
                <w:noProof/>
                <w:webHidden/>
              </w:rPr>
              <w:fldChar w:fldCharType="end"/>
            </w:r>
          </w:hyperlink>
        </w:p>
        <w:p w14:paraId="3F66C1D8" w14:textId="4645FF9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1" w:history="1">
            <w:r w:rsidR="007974C4" w:rsidRPr="00820F17">
              <w:rPr>
                <w:rStyle w:val="Hyperlink"/>
                <w:noProof/>
              </w:rPr>
              <w:t>8.</w:t>
            </w:r>
            <w:r w:rsidR="007974C4">
              <w:rPr>
                <w:rFonts w:asciiTheme="minorHAnsi" w:eastAsiaTheme="minorEastAsia" w:hAnsiTheme="minorHAnsi" w:cstheme="minorBidi"/>
                <w:noProof/>
                <w:sz w:val="22"/>
                <w:szCs w:val="22"/>
              </w:rPr>
              <w:tab/>
            </w:r>
            <w:r w:rsidR="007974C4" w:rsidRPr="00820F17">
              <w:rPr>
                <w:rStyle w:val="Hyperlink"/>
                <w:noProof/>
              </w:rPr>
              <w:t>Section 3.5.18 – Refrigeration Economizer</w:t>
            </w:r>
            <w:r w:rsidR="007974C4" w:rsidRPr="00820F17">
              <w:rPr>
                <w:rStyle w:val="Hyperlink"/>
                <w:bCs/>
                <w:noProof/>
              </w:rPr>
              <w:t>s</w:t>
            </w:r>
            <w:r w:rsidR="007974C4">
              <w:rPr>
                <w:noProof/>
                <w:webHidden/>
              </w:rPr>
              <w:tab/>
            </w:r>
            <w:r w:rsidR="007974C4">
              <w:rPr>
                <w:noProof/>
                <w:webHidden/>
              </w:rPr>
              <w:fldChar w:fldCharType="begin"/>
            </w:r>
            <w:r w:rsidR="007974C4">
              <w:rPr>
                <w:noProof/>
                <w:webHidden/>
              </w:rPr>
              <w:instrText xml:space="preserve"> PAGEREF _Toc15657911 \h </w:instrText>
            </w:r>
            <w:r w:rsidR="007974C4">
              <w:rPr>
                <w:noProof/>
                <w:webHidden/>
              </w:rPr>
            </w:r>
            <w:r w:rsidR="007974C4">
              <w:rPr>
                <w:noProof/>
                <w:webHidden/>
              </w:rPr>
              <w:fldChar w:fldCharType="separate"/>
            </w:r>
            <w:r w:rsidR="00B10CDB">
              <w:rPr>
                <w:noProof/>
                <w:webHidden/>
              </w:rPr>
              <w:t>40</w:t>
            </w:r>
            <w:r w:rsidR="007974C4">
              <w:rPr>
                <w:noProof/>
                <w:webHidden/>
              </w:rPr>
              <w:fldChar w:fldCharType="end"/>
            </w:r>
          </w:hyperlink>
        </w:p>
        <w:p w14:paraId="64275442" w14:textId="5B1EF0A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2" w:history="1">
            <w:r w:rsidR="007974C4" w:rsidRPr="00820F17">
              <w:rPr>
                <w:rStyle w:val="Hyperlink"/>
                <w:noProof/>
              </w:rPr>
              <w:t>9.</w:t>
            </w:r>
            <w:r w:rsidR="007974C4">
              <w:rPr>
                <w:rFonts w:asciiTheme="minorHAnsi" w:eastAsiaTheme="minorEastAsia" w:hAnsiTheme="minorHAnsi" w:cstheme="minorBidi"/>
                <w:noProof/>
                <w:sz w:val="22"/>
                <w:szCs w:val="22"/>
              </w:rPr>
              <w:tab/>
            </w:r>
            <w:r w:rsidR="007974C4" w:rsidRPr="00820F17">
              <w:rPr>
                <w:rStyle w:val="Hyperlink"/>
                <w:noProof/>
              </w:rPr>
              <w:t>Section 3.6.2 – ENERGY STAR Bathroom Ventilation Fan in Commercial Applications</w:t>
            </w:r>
            <w:r w:rsidR="007974C4">
              <w:rPr>
                <w:noProof/>
                <w:webHidden/>
              </w:rPr>
              <w:tab/>
            </w:r>
            <w:r w:rsidR="007974C4">
              <w:rPr>
                <w:noProof/>
                <w:webHidden/>
              </w:rPr>
              <w:fldChar w:fldCharType="begin"/>
            </w:r>
            <w:r w:rsidR="007974C4">
              <w:rPr>
                <w:noProof/>
                <w:webHidden/>
              </w:rPr>
              <w:instrText xml:space="preserve"> PAGEREF _Toc15657912 \h </w:instrText>
            </w:r>
            <w:r w:rsidR="007974C4">
              <w:rPr>
                <w:noProof/>
                <w:webHidden/>
              </w:rPr>
            </w:r>
            <w:r w:rsidR="007974C4">
              <w:rPr>
                <w:noProof/>
                <w:webHidden/>
              </w:rPr>
              <w:fldChar w:fldCharType="separate"/>
            </w:r>
            <w:r w:rsidR="00B10CDB">
              <w:rPr>
                <w:noProof/>
                <w:webHidden/>
              </w:rPr>
              <w:t>41</w:t>
            </w:r>
            <w:r w:rsidR="007974C4">
              <w:rPr>
                <w:noProof/>
                <w:webHidden/>
              </w:rPr>
              <w:fldChar w:fldCharType="end"/>
            </w:r>
          </w:hyperlink>
        </w:p>
        <w:p w14:paraId="53D84B2E" w14:textId="6A4665D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3" w:history="1">
            <w:r w:rsidR="007974C4" w:rsidRPr="00820F17">
              <w:rPr>
                <w:rStyle w:val="Hyperlink"/>
                <w:noProof/>
              </w:rPr>
              <w:t>10.</w:t>
            </w:r>
            <w:r w:rsidR="007974C4">
              <w:rPr>
                <w:rFonts w:asciiTheme="minorHAnsi" w:eastAsiaTheme="minorEastAsia" w:hAnsiTheme="minorHAnsi" w:cstheme="minorBidi"/>
                <w:noProof/>
                <w:sz w:val="22"/>
                <w:szCs w:val="22"/>
              </w:rPr>
              <w:tab/>
            </w:r>
            <w:r w:rsidR="007974C4" w:rsidRPr="00820F17">
              <w:rPr>
                <w:rStyle w:val="Hyperlink"/>
                <w:noProof/>
              </w:rPr>
              <w:t>Section 3.7.7 – ENERGY STAR Commercial Fryer</w:t>
            </w:r>
            <w:r w:rsidR="007974C4">
              <w:rPr>
                <w:noProof/>
                <w:webHidden/>
              </w:rPr>
              <w:tab/>
            </w:r>
            <w:r w:rsidR="007974C4">
              <w:rPr>
                <w:noProof/>
                <w:webHidden/>
              </w:rPr>
              <w:fldChar w:fldCharType="begin"/>
            </w:r>
            <w:r w:rsidR="007974C4">
              <w:rPr>
                <w:noProof/>
                <w:webHidden/>
              </w:rPr>
              <w:instrText xml:space="preserve"> PAGEREF _Toc15657913 \h </w:instrText>
            </w:r>
            <w:r w:rsidR="007974C4">
              <w:rPr>
                <w:noProof/>
                <w:webHidden/>
              </w:rPr>
            </w:r>
            <w:r w:rsidR="007974C4">
              <w:rPr>
                <w:noProof/>
                <w:webHidden/>
              </w:rPr>
              <w:fldChar w:fldCharType="separate"/>
            </w:r>
            <w:r w:rsidR="00B10CDB">
              <w:rPr>
                <w:noProof/>
                <w:webHidden/>
              </w:rPr>
              <w:t>42</w:t>
            </w:r>
            <w:r w:rsidR="007974C4">
              <w:rPr>
                <w:noProof/>
                <w:webHidden/>
              </w:rPr>
              <w:fldChar w:fldCharType="end"/>
            </w:r>
          </w:hyperlink>
        </w:p>
        <w:p w14:paraId="2BC9106F" w14:textId="7A49B837"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4" w:history="1">
            <w:r w:rsidR="007974C4" w:rsidRPr="00820F17">
              <w:rPr>
                <w:rStyle w:val="Hyperlink"/>
                <w:noProof/>
              </w:rPr>
              <w:t>11.</w:t>
            </w:r>
            <w:r w:rsidR="007974C4">
              <w:rPr>
                <w:rFonts w:asciiTheme="minorHAnsi" w:eastAsiaTheme="minorEastAsia" w:hAnsiTheme="minorHAnsi" w:cstheme="minorBidi"/>
                <w:noProof/>
                <w:sz w:val="22"/>
                <w:szCs w:val="22"/>
              </w:rPr>
              <w:tab/>
            </w:r>
            <w:r w:rsidR="007974C4" w:rsidRPr="00820F17">
              <w:rPr>
                <w:rStyle w:val="Hyperlink"/>
                <w:noProof/>
              </w:rPr>
              <w:t>Section 3.7.8 – ENERGY STAR Commercial Hot Food Holding</w:t>
            </w:r>
            <w:r w:rsidR="007974C4">
              <w:rPr>
                <w:noProof/>
                <w:webHidden/>
              </w:rPr>
              <w:tab/>
            </w:r>
            <w:r w:rsidR="007974C4">
              <w:rPr>
                <w:noProof/>
                <w:webHidden/>
              </w:rPr>
              <w:fldChar w:fldCharType="begin"/>
            </w:r>
            <w:r w:rsidR="007974C4">
              <w:rPr>
                <w:noProof/>
                <w:webHidden/>
              </w:rPr>
              <w:instrText xml:space="preserve"> PAGEREF _Toc15657914 \h </w:instrText>
            </w:r>
            <w:r w:rsidR="007974C4">
              <w:rPr>
                <w:noProof/>
                <w:webHidden/>
              </w:rPr>
            </w:r>
            <w:r w:rsidR="007974C4">
              <w:rPr>
                <w:noProof/>
                <w:webHidden/>
              </w:rPr>
              <w:fldChar w:fldCharType="separate"/>
            </w:r>
            <w:r w:rsidR="00B10CDB">
              <w:rPr>
                <w:noProof/>
                <w:webHidden/>
              </w:rPr>
              <w:t>42</w:t>
            </w:r>
            <w:r w:rsidR="007974C4">
              <w:rPr>
                <w:noProof/>
                <w:webHidden/>
              </w:rPr>
              <w:fldChar w:fldCharType="end"/>
            </w:r>
          </w:hyperlink>
        </w:p>
        <w:p w14:paraId="5B883B4E" w14:textId="50CA457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5" w:history="1">
            <w:r w:rsidR="007974C4" w:rsidRPr="00820F17">
              <w:rPr>
                <w:rStyle w:val="Hyperlink"/>
                <w:noProof/>
              </w:rPr>
              <w:t>12.</w:t>
            </w:r>
            <w:r w:rsidR="007974C4">
              <w:rPr>
                <w:rFonts w:asciiTheme="minorHAnsi" w:eastAsiaTheme="minorEastAsia" w:hAnsiTheme="minorHAnsi" w:cstheme="minorBidi"/>
                <w:noProof/>
                <w:sz w:val="22"/>
                <w:szCs w:val="22"/>
              </w:rPr>
              <w:tab/>
            </w:r>
            <w:r w:rsidR="007974C4" w:rsidRPr="00820F17">
              <w:rPr>
                <w:rStyle w:val="Hyperlink"/>
                <w:noProof/>
              </w:rPr>
              <w:t>Section 3.7.9 – ENERGY STAR Commercial Dishwasher</w:t>
            </w:r>
            <w:r w:rsidR="007974C4">
              <w:rPr>
                <w:noProof/>
                <w:webHidden/>
              </w:rPr>
              <w:tab/>
            </w:r>
            <w:r w:rsidR="007974C4">
              <w:rPr>
                <w:noProof/>
                <w:webHidden/>
              </w:rPr>
              <w:fldChar w:fldCharType="begin"/>
            </w:r>
            <w:r w:rsidR="007974C4">
              <w:rPr>
                <w:noProof/>
                <w:webHidden/>
              </w:rPr>
              <w:instrText xml:space="preserve"> PAGEREF _Toc15657915 \h </w:instrText>
            </w:r>
            <w:r w:rsidR="007974C4">
              <w:rPr>
                <w:noProof/>
                <w:webHidden/>
              </w:rPr>
            </w:r>
            <w:r w:rsidR="007974C4">
              <w:rPr>
                <w:noProof/>
                <w:webHidden/>
              </w:rPr>
              <w:fldChar w:fldCharType="separate"/>
            </w:r>
            <w:r w:rsidR="00B10CDB">
              <w:rPr>
                <w:noProof/>
                <w:webHidden/>
              </w:rPr>
              <w:t>42</w:t>
            </w:r>
            <w:r w:rsidR="007974C4">
              <w:rPr>
                <w:noProof/>
                <w:webHidden/>
              </w:rPr>
              <w:fldChar w:fldCharType="end"/>
            </w:r>
          </w:hyperlink>
        </w:p>
        <w:p w14:paraId="1457F608" w14:textId="5865418F"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6" w:history="1">
            <w:r w:rsidR="007974C4" w:rsidRPr="00820F17">
              <w:rPr>
                <w:rStyle w:val="Hyperlink"/>
                <w:noProof/>
              </w:rPr>
              <w:t>13.</w:t>
            </w:r>
            <w:r w:rsidR="007974C4">
              <w:rPr>
                <w:rFonts w:asciiTheme="minorHAnsi" w:eastAsiaTheme="minorEastAsia" w:hAnsiTheme="minorHAnsi" w:cstheme="minorBidi"/>
                <w:noProof/>
                <w:sz w:val="22"/>
                <w:szCs w:val="22"/>
              </w:rPr>
              <w:tab/>
            </w:r>
            <w:r w:rsidR="007974C4" w:rsidRPr="00820F17">
              <w:rPr>
                <w:rStyle w:val="Hyperlink"/>
                <w:noProof/>
              </w:rPr>
              <w:t xml:space="preserve">Section 3.7.10 – ENERGY STAR Commercial </w:t>
            </w:r>
            <w:r w:rsidR="007974C4" w:rsidRPr="00820F17">
              <w:rPr>
                <w:rStyle w:val="Hyperlink"/>
                <w:bCs/>
                <w:noProof/>
              </w:rPr>
              <w:t>Griddle</w:t>
            </w:r>
            <w:r w:rsidR="007974C4">
              <w:rPr>
                <w:noProof/>
                <w:webHidden/>
              </w:rPr>
              <w:tab/>
            </w:r>
            <w:r w:rsidR="007974C4">
              <w:rPr>
                <w:noProof/>
                <w:webHidden/>
              </w:rPr>
              <w:fldChar w:fldCharType="begin"/>
            </w:r>
            <w:r w:rsidR="007974C4">
              <w:rPr>
                <w:noProof/>
                <w:webHidden/>
              </w:rPr>
              <w:instrText xml:space="preserve"> PAGEREF _Toc15657916 \h </w:instrText>
            </w:r>
            <w:r w:rsidR="007974C4">
              <w:rPr>
                <w:noProof/>
                <w:webHidden/>
              </w:rPr>
            </w:r>
            <w:r w:rsidR="007974C4">
              <w:rPr>
                <w:noProof/>
                <w:webHidden/>
              </w:rPr>
              <w:fldChar w:fldCharType="separate"/>
            </w:r>
            <w:r w:rsidR="00B10CDB">
              <w:rPr>
                <w:noProof/>
                <w:webHidden/>
              </w:rPr>
              <w:t>43</w:t>
            </w:r>
            <w:r w:rsidR="007974C4">
              <w:rPr>
                <w:noProof/>
                <w:webHidden/>
              </w:rPr>
              <w:fldChar w:fldCharType="end"/>
            </w:r>
          </w:hyperlink>
        </w:p>
        <w:p w14:paraId="0D864A74" w14:textId="3580613A"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7" w:history="1">
            <w:r w:rsidR="007974C4" w:rsidRPr="00820F17">
              <w:rPr>
                <w:rStyle w:val="Hyperlink"/>
                <w:noProof/>
              </w:rPr>
              <w:t>14.</w:t>
            </w:r>
            <w:r w:rsidR="007974C4">
              <w:rPr>
                <w:rFonts w:asciiTheme="minorHAnsi" w:eastAsiaTheme="minorEastAsia" w:hAnsiTheme="minorHAnsi" w:cstheme="minorBidi"/>
                <w:noProof/>
                <w:sz w:val="22"/>
                <w:szCs w:val="22"/>
              </w:rPr>
              <w:tab/>
            </w:r>
            <w:r w:rsidR="007974C4" w:rsidRPr="00820F17">
              <w:rPr>
                <w:rStyle w:val="Hyperlink"/>
                <w:noProof/>
              </w:rPr>
              <w:t>Section 3.10.5 – Variable Speed Drive Air Compressor</w:t>
            </w:r>
            <w:r w:rsidR="007974C4">
              <w:rPr>
                <w:noProof/>
                <w:webHidden/>
              </w:rPr>
              <w:tab/>
            </w:r>
            <w:r w:rsidR="007974C4">
              <w:rPr>
                <w:noProof/>
                <w:webHidden/>
              </w:rPr>
              <w:fldChar w:fldCharType="begin"/>
            </w:r>
            <w:r w:rsidR="007974C4">
              <w:rPr>
                <w:noProof/>
                <w:webHidden/>
              </w:rPr>
              <w:instrText xml:space="preserve"> PAGEREF _Toc15657917 \h </w:instrText>
            </w:r>
            <w:r w:rsidR="007974C4">
              <w:rPr>
                <w:noProof/>
                <w:webHidden/>
              </w:rPr>
            </w:r>
            <w:r w:rsidR="007974C4">
              <w:rPr>
                <w:noProof/>
                <w:webHidden/>
              </w:rPr>
              <w:fldChar w:fldCharType="separate"/>
            </w:r>
            <w:r w:rsidR="00B10CDB">
              <w:rPr>
                <w:noProof/>
                <w:webHidden/>
              </w:rPr>
              <w:t>44</w:t>
            </w:r>
            <w:r w:rsidR="007974C4">
              <w:rPr>
                <w:noProof/>
                <w:webHidden/>
              </w:rPr>
              <w:fldChar w:fldCharType="end"/>
            </w:r>
          </w:hyperlink>
        </w:p>
        <w:p w14:paraId="73E30ACC" w14:textId="4BE552F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8" w:history="1">
            <w:r w:rsidR="007974C4" w:rsidRPr="00820F17">
              <w:rPr>
                <w:rStyle w:val="Hyperlink"/>
                <w:noProof/>
              </w:rPr>
              <w:t>15.</w:t>
            </w:r>
            <w:r w:rsidR="007974C4">
              <w:rPr>
                <w:rFonts w:asciiTheme="minorHAnsi" w:eastAsiaTheme="minorEastAsia" w:hAnsiTheme="minorHAnsi" w:cstheme="minorBidi"/>
                <w:noProof/>
                <w:sz w:val="22"/>
                <w:szCs w:val="22"/>
              </w:rPr>
              <w:tab/>
            </w:r>
            <w:r w:rsidR="007974C4" w:rsidRPr="00820F17">
              <w:rPr>
                <w:rStyle w:val="Hyperlink"/>
                <w:noProof/>
              </w:rPr>
              <w:t xml:space="preserve">Section 3.10.6 – Compressed Air </w:t>
            </w:r>
            <w:r w:rsidR="007974C4" w:rsidRPr="00820F17">
              <w:rPr>
                <w:rStyle w:val="Hyperlink"/>
                <w:bCs/>
                <w:noProof/>
              </w:rPr>
              <w:t>Controller</w:t>
            </w:r>
            <w:r w:rsidR="007974C4">
              <w:rPr>
                <w:noProof/>
                <w:webHidden/>
              </w:rPr>
              <w:tab/>
            </w:r>
            <w:r w:rsidR="007974C4">
              <w:rPr>
                <w:noProof/>
                <w:webHidden/>
              </w:rPr>
              <w:fldChar w:fldCharType="begin"/>
            </w:r>
            <w:r w:rsidR="007974C4">
              <w:rPr>
                <w:noProof/>
                <w:webHidden/>
              </w:rPr>
              <w:instrText xml:space="preserve"> PAGEREF _Toc15657918 \h </w:instrText>
            </w:r>
            <w:r w:rsidR="007974C4">
              <w:rPr>
                <w:noProof/>
                <w:webHidden/>
              </w:rPr>
            </w:r>
            <w:r w:rsidR="007974C4">
              <w:rPr>
                <w:noProof/>
                <w:webHidden/>
              </w:rPr>
              <w:fldChar w:fldCharType="separate"/>
            </w:r>
            <w:r w:rsidR="00B10CDB">
              <w:rPr>
                <w:noProof/>
                <w:webHidden/>
              </w:rPr>
              <w:t>44</w:t>
            </w:r>
            <w:r w:rsidR="007974C4">
              <w:rPr>
                <w:noProof/>
                <w:webHidden/>
              </w:rPr>
              <w:fldChar w:fldCharType="end"/>
            </w:r>
          </w:hyperlink>
        </w:p>
        <w:p w14:paraId="682218F6" w14:textId="682BF8E6"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19" w:history="1">
            <w:r w:rsidR="007974C4" w:rsidRPr="00820F17">
              <w:rPr>
                <w:rStyle w:val="Hyperlink"/>
                <w:bCs/>
                <w:noProof/>
              </w:rPr>
              <w:t>16.</w:t>
            </w:r>
            <w:r w:rsidR="007974C4">
              <w:rPr>
                <w:rFonts w:asciiTheme="minorHAnsi" w:eastAsiaTheme="minorEastAsia" w:hAnsiTheme="minorHAnsi" w:cstheme="minorBidi"/>
                <w:noProof/>
                <w:sz w:val="22"/>
                <w:szCs w:val="22"/>
              </w:rPr>
              <w:tab/>
            </w:r>
            <w:r w:rsidR="007974C4" w:rsidRPr="00820F17">
              <w:rPr>
                <w:rStyle w:val="Hyperlink"/>
                <w:noProof/>
              </w:rPr>
              <w:t>Section 3.10.7 – Compressed Air Low Pressure Drop Filters</w:t>
            </w:r>
            <w:r w:rsidR="007974C4">
              <w:rPr>
                <w:noProof/>
                <w:webHidden/>
              </w:rPr>
              <w:tab/>
            </w:r>
            <w:r w:rsidR="007974C4">
              <w:rPr>
                <w:noProof/>
                <w:webHidden/>
              </w:rPr>
              <w:fldChar w:fldCharType="begin"/>
            </w:r>
            <w:r w:rsidR="007974C4">
              <w:rPr>
                <w:noProof/>
                <w:webHidden/>
              </w:rPr>
              <w:instrText xml:space="preserve"> PAGEREF _Toc15657919 \h </w:instrText>
            </w:r>
            <w:r w:rsidR="007974C4">
              <w:rPr>
                <w:noProof/>
                <w:webHidden/>
              </w:rPr>
            </w:r>
            <w:r w:rsidR="007974C4">
              <w:rPr>
                <w:noProof/>
                <w:webHidden/>
              </w:rPr>
              <w:fldChar w:fldCharType="separate"/>
            </w:r>
            <w:r w:rsidR="00B10CDB">
              <w:rPr>
                <w:noProof/>
                <w:webHidden/>
              </w:rPr>
              <w:t>45</w:t>
            </w:r>
            <w:r w:rsidR="007974C4">
              <w:rPr>
                <w:noProof/>
                <w:webHidden/>
              </w:rPr>
              <w:fldChar w:fldCharType="end"/>
            </w:r>
          </w:hyperlink>
        </w:p>
        <w:p w14:paraId="7F248216" w14:textId="4F149E2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0" w:history="1">
            <w:r w:rsidR="007974C4" w:rsidRPr="00820F17">
              <w:rPr>
                <w:rStyle w:val="Hyperlink"/>
                <w:bCs/>
                <w:noProof/>
              </w:rPr>
              <w:t>17.</w:t>
            </w:r>
            <w:r w:rsidR="007974C4">
              <w:rPr>
                <w:rFonts w:asciiTheme="minorHAnsi" w:eastAsiaTheme="minorEastAsia" w:hAnsiTheme="minorHAnsi" w:cstheme="minorBidi"/>
                <w:noProof/>
                <w:sz w:val="22"/>
                <w:szCs w:val="22"/>
              </w:rPr>
              <w:tab/>
            </w:r>
            <w:r w:rsidR="007974C4" w:rsidRPr="00820F17">
              <w:rPr>
                <w:rStyle w:val="Hyperlink"/>
                <w:noProof/>
              </w:rPr>
              <w:t>Section 3.10.8 – Compressed Air Mist Eliminators</w:t>
            </w:r>
            <w:r w:rsidR="007974C4">
              <w:rPr>
                <w:noProof/>
                <w:webHidden/>
              </w:rPr>
              <w:tab/>
            </w:r>
            <w:r w:rsidR="007974C4">
              <w:rPr>
                <w:noProof/>
                <w:webHidden/>
              </w:rPr>
              <w:fldChar w:fldCharType="begin"/>
            </w:r>
            <w:r w:rsidR="007974C4">
              <w:rPr>
                <w:noProof/>
                <w:webHidden/>
              </w:rPr>
              <w:instrText xml:space="preserve"> PAGEREF _Toc15657920 \h </w:instrText>
            </w:r>
            <w:r w:rsidR="007974C4">
              <w:rPr>
                <w:noProof/>
                <w:webHidden/>
              </w:rPr>
            </w:r>
            <w:r w:rsidR="007974C4">
              <w:rPr>
                <w:noProof/>
                <w:webHidden/>
              </w:rPr>
              <w:fldChar w:fldCharType="separate"/>
            </w:r>
            <w:r w:rsidR="00B10CDB">
              <w:rPr>
                <w:noProof/>
                <w:webHidden/>
              </w:rPr>
              <w:t>45</w:t>
            </w:r>
            <w:r w:rsidR="007974C4">
              <w:rPr>
                <w:noProof/>
                <w:webHidden/>
              </w:rPr>
              <w:fldChar w:fldCharType="end"/>
            </w:r>
          </w:hyperlink>
        </w:p>
        <w:p w14:paraId="369F7556" w14:textId="4B24AF7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1" w:history="1">
            <w:r w:rsidR="007974C4" w:rsidRPr="00820F17">
              <w:rPr>
                <w:rStyle w:val="Hyperlink"/>
                <w:noProof/>
              </w:rPr>
              <w:t>18.</w:t>
            </w:r>
            <w:r w:rsidR="007974C4">
              <w:rPr>
                <w:rFonts w:asciiTheme="minorHAnsi" w:eastAsiaTheme="minorEastAsia" w:hAnsiTheme="minorHAnsi" w:cstheme="minorBidi"/>
                <w:noProof/>
                <w:sz w:val="22"/>
                <w:szCs w:val="22"/>
              </w:rPr>
              <w:tab/>
            </w:r>
            <w:r w:rsidR="007974C4" w:rsidRPr="00820F17">
              <w:rPr>
                <w:rStyle w:val="Hyperlink"/>
                <w:noProof/>
              </w:rPr>
              <w:t>Section 3.11.1 – High Efficiency Transformers</w:t>
            </w:r>
            <w:r w:rsidR="007974C4">
              <w:rPr>
                <w:noProof/>
                <w:webHidden/>
              </w:rPr>
              <w:tab/>
            </w:r>
            <w:r w:rsidR="007974C4">
              <w:rPr>
                <w:noProof/>
                <w:webHidden/>
              </w:rPr>
              <w:fldChar w:fldCharType="begin"/>
            </w:r>
            <w:r w:rsidR="007974C4">
              <w:rPr>
                <w:noProof/>
                <w:webHidden/>
              </w:rPr>
              <w:instrText xml:space="preserve"> PAGEREF _Toc15657921 \h </w:instrText>
            </w:r>
            <w:r w:rsidR="007974C4">
              <w:rPr>
                <w:noProof/>
                <w:webHidden/>
              </w:rPr>
            </w:r>
            <w:r w:rsidR="007974C4">
              <w:rPr>
                <w:noProof/>
                <w:webHidden/>
              </w:rPr>
              <w:fldChar w:fldCharType="separate"/>
            </w:r>
            <w:r w:rsidR="00B10CDB">
              <w:rPr>
                <w:noProof/>
                <w:webHidden/>
              </w:rPr>
              <w:t>46</w:t>
            </w:r>
            <w:r w:rsidR="007974C4">
              <w:rPr>
                <w:noProof/>
                <w:webHidden/>
              </w:rPr>
              <w:fldChar w:fldCharType="end"/>
            </w:r>
          </w:hyperlink>
        </w:p>
        <w:p w14:paraId="1E653B16" w14:textId="045566AA"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2" w:history="1">
            <w:r w:rsidR="007974C4" w:rsidRPr="00820F17">
              <w:rPr>
                <w:rStyle w:val="Hyperlink"/>
                <w:noProof/>
              </w:rPr>
              <w:t>19.</w:t>
            </w:r>
            <w:r w:rsidR="007974C4">
              <w:rPr>
                <w:rFonts w:asciiTheme="minorHAnsi" w:eastAsiaTheme="minorEastAsia" w:hAnsiTheme="minorHAnsi" w:cstheme="minorBidi"/>
                <w:noProof/>
                <w:sz w:val="22"/>
                <w:szCs w:val="22"/>
              </w:rPr>
              <w:tab/>
            </w:r>
            <w:r w:rsidR="007974C4" w:rsidRPr="00820F17">
              <w:rPr>
                <w:rStyle w:val="Hyperlink"/>
                <w:noProof/>
              </w:rPr>
              <w:t>Section 3.11.3 – High Frequency Battery Chargers</w:t>
            </w:r>
            <w:r w:rsidR="007974C4">
              <w:rPr>
                <w:noProof/>
                <w:webHidden/>
              </w:rPr>
              <w:tab/>
            </w:r>
            <w:r w:rsidR="007974C4">
              <w:rPr>
                <w:noProof/>
                <w:webHidden/>
              </w:rPr>
              <w:fldChar w:fldCharType="begin"/>
            </w:r>
            <w:r w:rsidR="007974C4">
              <w:rPr>
                <w:noProof/>
                <w:webHidden/>
              </w:rPr>
              <w:instrText xml:space="preserve"> PAGEREF _Toc15657922 \h </w:instrText>
            </w:r>
            <w:r w:rsidR="007974C4">
              <w:rPr>
                <w:noProof/>
                <w:webHidden/>
              </w:rPr>
            </w:r>
            <w:r w:rsidR="007974C4">
              <w:rPr>
                <w:noProof/>
                <w:webHidden/>
              </w:rPr>
              <w:fldChar w:fldCharType="separate"/>
            </w:r>
            <w:r w:rsidR="00B10CDB">
              <w:rPr>
                <w:noProof/>
                <w:webHidden/>
              </w:rPr>
              <w:t>46</w:t>
            </w:r>
            <w:r w:rsidR="007974C4">
              <w:rPr>
                <w:noProof/>
                <w:webHidden/>
              </w:rPr>
              <w:fldChar w:fldCharType="end"/>
            </w:r>
          </w:hyperlink>
        </w:p>
        <w:p w14:paraId="2C98827A" w14:textId="2D625C7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3" w:history="1">
            <w:r w:rsidR="007974C4" w:rsidRPr="00820F17">
              <w:rPr>
                <w:rStyle w:val="Hyperlink"/>
                <w:bCs/>
                <w:noProof/>
              </w:rPr>
              <w:t>20.</w:t>
            </w:r>
            <w:r w:rsidR="007974C4">
              <w:rPr>
                <w:rFonts w:asciiTheme="minorHAnsi" w:eastAsiaTheme="minorEastAsia" w:hAnsiTheme="minorHAnsi" w:cstheme="minorBidi"/>
                <w:noProof/>
                <w:sz w:val="22"/>
                <w:szCs w:val="22"/>
              </w:rPr>
              <w:tab/>
            </w:r>
            <w:r w:rsidR="007974C4" w:rsidRPr="00820F17">
              <w:rPr>
                <w:rStyle w:val="Hyperlink"/>
                <w:noProof/>
              </w:rPr>
              <w:t>Additional C&amp;I EE&amp;C Measures Protocols Recommended by Commenters</w:t>
            </w:r>
            <w:r w:rsidR="007974C4">
              <w:rPr>
                <w:noProof/>
                <w:webHidden/>
              </w:rPr>
              <w:tab/>
            </w:r>
            <w:r w:rsidR="007974C4">
              <w:rPr>
                <w:noProof/>
                <w:webHidden/>
              </w:rPr>
              <w:fldChar w:fldCharType="begin"/>
            </w:r>
            <w:r w:rsidR="007974C4">
              <w:rPr>
                <w:noProof/>
                <w:webHidden/>
              </w:rPr>
              <w:instrText xml:space="preserve"> PAGEREF _Toc15657923 \h </w:instrText>
            </w:r>
            <w:r w:rsidR="007974C4">
              <w:rPr>
                <w:noProof/>
                <w:webHidden/>
              </w:rPr>
            </w:r>
            <w:r w:rsidR="007974C4">
              <w:rPr>
                <w:noProof/>
                <w:webHidden/>
              </w:rPr>
              <w:fldChar w:fldCharType="separate"/>
            </w:r>
            <w:r w:rsidR="00B10CDB">
              <w:rPr>
                <w:noProof/>
                <w:webHidden/>
              </w:rPr>
              <w:t>48</w:t>
            </w:r>
            <w:r w:rsidR="007974C4">
              <w:rPr>
                <w:noProof/>
                <w:webHidden/>
              </w:rPr>
              <w:fldChar w:fldCharType="end"/>
            </w:r>
          </w:hyperlink>
        </w:p>
        <w:p w14:paraId="71D240BC" w14:textId="725094BA" w:rsidR="007974C4" w:rsidRDefault="00763509">
          <w:pPr>
            <w:pStyle w:val="TOC2"/>
            <w:tabs>
              <w:tab w:val="right" w:leader="dot" w:pos="9350"/>
            </w:tabs>
            <w:rPr>
              <w:rFonts w:asciiTheme="minorHAnsi" w:eastAsiaTheme="minorEastAsia" w:hAnsiTheme="minorHAnsi" w:cstheme="minorBidi"/>
              <w:sz w:val="22"/>
              <w:szCs w:val="22"/>
            </w:rPr>
          </w:pPr>
          <w:hyperlink w:anchor="_Toc15657924" w:history="1">
            <w:r w:rsidR="007974C4" w:rsidRPr="00820F17">
              <w:rPr>
                <w:rStyle w:val="Hyperlink"/>
              </w:rPr>
              <w:t>E.</w:t>
            </w:r>
            <w:r w:rsidR="007974C4">
              <w:rPr>
                <w:rFonts w:asciiTheme="minorHAnsi" w:eastAsiaTheme="minorEastAsia" w:hAnsiTheme="minorHAnsi" w:cstheme="minorBidi"/>
                <w:sz w:val="22"/>
                <w:szCs w:val="22"/>
              </w:rPr>
              <w:tab/>
            </w:r>
            <w:r w:rsidR="007974C4" w:rsidRPr="00820F17">
              <w:rPr>
                <w:rStyle w:val="Hyperlink"/>
              </w:rPr>
              <w:t>Existing Residential EE&amp;C Measure Protocols and Processes</w:t>
            </w:r>
            <w:r w:rsidR="007974C4">
              <w:rPr>
                <w:webHidden/>
              </w:rPr>
              <w:tab/>
            </w:r>
            <w:r w:rsidR="007974C4">
              <w:rPr>
                <w:webHidden/>
              </w:rPr>
              <w:fldChar w:fldCharType="begin"/>
            </w:r>
            <w:r w:rsidR="007974C4">
              <w:rPr>
                <w:webHidden/>
              </w:rPr>
              <w:instrText xml:space="preserve"> PAGEREF _Toc15657924 \h </w:instrText>
            </w:r>
            <w:r w:rsidR="007974C4">
              <w:rPr>
                <w:webHidden/>
              </w:rPr>
            </w:r>
            <w:r w:rsidR="007974C4">
              <w:rPr>
                <w:webHidden/>
              </w:rPr>
              <w:fldChar w:fldCharType="separate"/>
            </w:r>
            <w:r w:rsidR="00B10CDB">
              <w:rPr>
                <w:webHidden/>
              </w:rPr>
              <w:t>48</w:t>
            </w:r>
            <w:r w:rsidR="007974C4">
              <w:rPr>
                <w:webHidden/>
              </w:rPr>
              <w:fldChar w:fldCharType="end"/>
            </w:r>
          </w:hyperlink>
        </w:p>
        <w:p w14:paraId="2A0A51E7" w14:textId="343E395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5"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Section 2.1.1 – ENERGY STAR Lighting</w:t>
            </w:r>
            <w:r w:rsidR="007974C4">
              <w:rPr>
                <w:noProof/>
                <w:webHidden/>
              </w:rPr>
              <w:tab/>
            </w:r>
            <w:r w:rsidR="007974C4">
              <w:rPr>
                <w:noProof/>
                <w:webHidden/>
              </w:rPr>
              <w:fldChar w:fldCharType="begin"/>
            </w:r>
            <w:r w:rsidR="007974C4">
              <w:rPr>
                <w:noProof/>
                <w:webHidden/>
              </w:rPr>
              <w:instrText xml:space="preserve"> PAGEREF _Toc15657925 \h </w:instrText>
            </w:r>
            <w:r w:rsidR="007974C4">
              <w:rPr>
                <w:noProof/>
                <w:webHidden/>
              </w:rPr>
            </w:r>
            <w:r w:rsidR="007974C4">
              <w:rPr>
                <w:noProof/>
                <w:webHidden/>
              </w:rPr>
              <w:fldChar w:fldCharType="separate"/>
            </w:r>
            <w:r w:rsidR="00B10CDB">
              <w:rPr>
                <w:noProof/>
                <w:webHidden/>
              </w:rPr>
              <w:t>49</w:t>
            </w:r>
            <w:r w:rsidR="007974C4">
              <w:rPr>
                <w:noProof/>
                <w:webHidden/>
              </w:rPr>
              <w:fldChar w:fldCharType="end"/>
            </w:r>
          </w:hyperlink>
        </w:p>
        <w:p w14:paraId="68F4CA15" w14:textId="3BDE410F"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6"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Section 2.1.5 – Holiday Lights</w:t>
            </w:r>
            <w:r w:rsidR="007974C4">
              <w:rPr>
                <w:noProof/>
                <w:webHidden/>
              </w:rPr>
              <w:tab/>
            </w:r>
            <w:r w:rsidR="007974C4">
              <w:rPr>
                <w:noProof/>
                <w:webHidden/>
              </w:rPr>
              <w:fldChar w:fldCharType="begin"/>
            </w:r>
            <w:r w:rsidR="007974C4">
              <w:rPr>
                <w:noProof/>
                <w:webHidden/>
              </w:rPr>
              <w:instrText xml:space="preserve"> PAGEREF _Toc15657926 \h </w:instrText>
            </w:r>
            <w:r w:rsidR="007974C4">
              <w:rPr>
                <w:noProof/>
                <w:webHidden/>
              </w:rPr>
            </w:r>
            <w:r w:rsidR="007974C4">
              <w:rPr>
                <w:noProof/>
                <w:webHidden/>
              </w:rPr>
              <w:fldChar w:fldCharType="separate"/>
            </w:r>
            <w:r w:rsidR="00B10CDB">
              <w:rPr>
                <w:noProof/>
                <w:webHidden/>
              </w:rPr>
              <w:t>51</w:t>
            </w:r>
            <w:r w:rsidR="007974C4">
              <w:rPr>
                <w:noProof/>
                <w:webHidden/>
              </w:rPr>
              <w:fldChar w:fldCharType="end"/>
            </w:r>
          </w:hyperlink>
        </w:p>
        <w:p w14:paraId="11F96631" w14:textId="437A6A0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7" w:history="1">
            <w:r w:rsidR="007974C4" w:rsidRPr="00820F17">
              <w:rPr>
                <w:rStyle w:val="Hyperlink"/>
                <w:noProof/>
              </w:rPr>
              <w:t>3.</w:t>
            </w:r>
            <w:r w:rsidR="007974C4">
              <w:rPr>
                <w:rFonts w:asciiTheme="minorHAnsi" w:eastAsiaTheme="minorEastAsia" w:hAnsiTheme="minorHAnsi" w:cstheme="minorBidi"/>
                <w:noProof/>
                <w:sz w:val="22"/>
                <w:szCs w:val="22"/>
              </w:rPr>
              <w:tab/>
            </w:r>
            <w:r w:rsidR="007974C4" w:rsidRPr="00820F17">
              <w:rPr>
                <w:rStyle w:val="Hyperlink"/>
                <w:noProof/>
              </w:rPr>
              <w:t>Section 2.2.1 – Electric HVAC</w:t>
            </w:r>
            <w:r w:rsidR="007974C4">
              <w:rPr>
                <w:noProof/>
                <w:webHidden/>
              </w:rPr>
              <w:tab/>
            </w:r>
            <w:r w:rsidR="007974C4">
              <w:rPr>
                <w:noProof/>
                <w:webHidden/>
              </w:rPr>
              <w:fldChar w:fldCharType="begin"/>
            </w:r>
            <w:r w:rsidR="007974C4">
              <w:rPr>
                <w:noProof/>
                <w:webHidden/>
              </w:rPr>
              <w:instrText xml:space="preserve"> PAGEREF _Toc15657927 \h </w:instrText>
            </w:r>
            <w:r w:rsidR="007974C4">
              <w:rPr>
                <w:noProof/>
                <w:webHidden/>
              </w:rPr>
            </w:r>
            <w:r w:rsidR="007974C4">
              <w:rPr>
                <w:noProof/>
                <w:webHidden/>
              </w:rPr>
              <w:fldChar w:fldCharType="separate"/>
            </w:r>
            <w:r w:rsidR="00B10CDB">
              <w:rPr>
                <w:noProof/>
                <w:webHidden/>
              </w:rPr>
              <w:t>52</w:t>
            </w:r>
            <w:r w:rsidR="007974C4">
              <w:rPr>
                <w:noProof/>
                <w:webHidden/>
              </w:rPr>
              <w:fldChar w:fldCharType="end"/>
            </w:r>
          </w:hyperlink>
        </w:p>
        <w:p w14:paraId="27D2221F" w14:textId="0CC62593"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8" w:history="1">
            <w:r w:rsidR="007974C4" w:rsidRPr="00820F17">
              <w:rPr>
                <w:rStyle w:val="Hyperlink"/>
                <w:noProof/>
              </w:rPr>
              <w:t>4.</w:t>
            </w:r>
            <w:r w:rsidR="007974C4">
              <w:rPr>
                <w:rFonts w:asciiTheme="minorHAnsi" w:eastAsiaTheme="minorEastAsia" w:hAnsiTheme="minorHAnsi" w:cstheme="minorBidi"/>
                <w:noProof/>
                <w:sz w:val="22"/>
                <w:szCs w:val="22"/>
              </w:rPr>
              <w:tab/>
            </w:r>
            <w:r w:rsidR="007974C4" w:rsidRPr="00820F17">
              <w:rPr>
                <w:rStyle w:val="Hyperlink"/>
                <w:noProof/>
              </w:rPr>
              <w:t>Section 2.2.3 – Ductless Mini-split Heat Pumps</w:t>
            </w:r>
            <w:r w:rsidR="007974C4">
              <w:rPr>
                <w:noProof/>
                <w:webHidden/>
              </w:rPr>
              <w:tab/>
            </w:r>
            <w:r w:rsidR="007974C4">
              <w:rPr>
                <w:noProof/>
                <w:webHidden/>
              </w:rPr>
              <w:fldChar w:fldCharType="begin"/>
            </w:r>
            <w:r w:rsidR="007974C4">
              <w:rPr>
                <w:noProof/>
                <w:webHidden/>
              </w:rPr>
              <w:instrText xml:space="preserve"> PAGEREF _Toc15657928 \h </w:instrText>
            </w:r>
            <w:r w:rsidR="007974C4">
              <w:rPr>
                <w:noProof/>
                <w:webHidden/>
              </w:rPr>
            </w:r>
            <w:r w:rsidR="007974C4">
              <w:rPr>
                <w:noProof/>
                <w:webHidden/>
              </w:rPr>
              <w:fldChar w:fldCharType="separate"/>
            </w:r>
            <w:r w:rsidR="00B10CDB">
              <w:rPr>
                <w:noProof/>
                <w:webHidden/>
              </w:rPr>
              <w:t>54</w:t>
            </w:r>
            <w:r w:rsidR="007974C4">
              <w:rPr>
                <w:noProof/>
                <w:webHidden/>
              </w:rPr>
              <w:fldChar w:fldCharType="end"/>
            </w:r>
          </w:hyperlink>
        </w:p>
        <w:p w14:paraId="4373BB34" w14:textId="0AF0010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29" w:history="1">
            <w:r w:rsidR="007974C4" w:rsidRPr="00820F17">
              <w:rPr>
                <w:rStyle w:val="Hyperlink"/>
                <w:noProof/>
              </w:rPr>
              <w:t>5.</w:t>
            </w:r>
            <w:r w:rsidR="007974C4">
              <w:rPr>
                <w:rFonts w:asciiTheme="minorHAnsi" w:eastAsiaTheme="minorEastAsia" w:hAnsiTheme="minorHAnsi" w:cstheme="minorBidi"/>
                <w:noProof/>
                <w:sz w:val="22"/>
                <w:szCs w:val="22"/>
              </w:rPr>
              <w:tab/>
            </w:r>
            <w:r w:rsidR="007974C4" w:rsidRPr="00820F17">
              <w:rPr>
                <w:rStyle w:val="Hyperlink"/>
                <w:noProof/>
              </w:rPr>
              <w:t>Section 2.2.4 – ENERGY STAR Room Air Conditioners</w:t>
            </w:r>
            <w:r w:rsidR="007974C4">
              <w:rPr>
                <w:noProof/>
                <w:webHidden/>
              </w:rPr>
              <w:tab/>
            </w:r>
            <w:r w:rsidR="007974C4">
              <w:rPr>
                <w:noProof/>
                <w:webHidden/>
              </w:rPr>
              <w:fldChar w:fldCharType="begin"/>
            </w:r>
            <w:r w:rsidR="007974C4">
              <w:rPr>
                <w:noProof/>
                <w:webHidden/>
              </w:rPr>
              <w:instrText xml:space="preserve"> PAGEREF _Toc15657929 \h </w:instrText>
            </w:r>
            <w:r w:rsidR="007974C4">
              <w:rPr>
                <w:noProof/>
                <w:webHidden/>
              </w:rPr>
            </w:r>
            <w:r w:rsidR="007974C4">
              <w:rPr>
                <w:noProof/>
                <w:webHidden/>
              </w:rPr>
              <w:fldChar w:fldCharType="separate"/>
            </w:r>
            <w:r w:rsidR="00B10CDB">
              <w:rPr>
                <w:noProof/>
                <w:webHidden/>
              </w:rPr>
              <w:t>56</w:t>
            </w:r>
            <w:r w:rsidR="007974C4">
              <w:rPr>
                <w:noProof/>
                <w:webHidden/>
              </w:rPr>
              <w:fldChar w:fldCharType="end"/>
            </w:r>
          </w:hyperlink>
        </w:p>
        <w:p w14:paraId="49E19FB8" w14:textId="15F2BA8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0" w:history="1">
            <w:r w:rsidR="007974C4" w:rsidRPr="00820F17">
              <w:rPr>
                <w:rStyle w:val="Hyperlink"/>
                <w:noProof/>
              </w:rPr>
              <w:t>6.</w:t>
            </w:r>
            <w:r w:rsidR="007974C4">
              <w:rPr>
                <w:rFonts w:asciiTheme="minorHAnsi" w:eastAsiaTheme="minorEastAsia" w:hAnsiTheme="minorHAnsi" w:cstheme="minorBidi"/>
                <w:noProof/>
                <w:sz w:val="22"/>
                <w:szCs w:val="22"/>
              </w:rPr>
              <w:tab/>
            </w:r>
            <w:r w:rsidR="007974C4" w:rsidRPr="00820F17">
              <w:rPr>
                <w:rStyle w:val="Hyperlink"/>
                <w:noProof/>
              </w:rPr>
              <w:t>Section 2.2.6 – Duct Sealing</w:t>
            </w:r>
            <w:r w:rsidR="007974C4">
              <w:rPr>
                <w:noProof/>
                <w:webHidden/>
              </w:rPr>
              <w:tab/>
            </w:r>
            <w:r w:rsidR="007974C4">
              <w:rPr>
                <w:noProof/>
                <w:webHidden/>
              </w:rPr>
              <w:fldChar w:fldCharType="begin"/>
            </w:r>
            <w:r w:rsidR="007974C4">
              <w:rPr>
                <w:noProof/>
                <w:webHidden/>
              </w:rPr>
              <w:instrText xml:space="preserve"> PAGEREF _Toc15657930 \h </w:instrText>
            </w:r>
            <w:r w:rsidR="007974C4">
              <w:rPr>
                <w:noProof/>
                <w:webHidden/>
              </w:rPr>
            </w:r>
            <w:r w:rsidR="007974C4">
              <w:rPr>
                <w:noProof/>
                <w:webHidden/>
              </w:rPr>
              <w:fldChar w:fldCharType="separate"/>
            </w:r>
            <w:r w:rsidR="00B10CDB">
              <w:rPr>
                <w:noProof/>
                <w:webHidden/>
              </w:rPr>
              <w:t>56</w:t>
            </w:r>
            <w:r w:rsidR="007974C4">
              <w:rPr>
                <w:noProof/>
                <w:webHidden/>
              </w:rPr>
              <w:fldChar w:fldCharType="end"/>
            </w:r>
          </w:hyperlink>
        </w:p>
        <w:p w14:paraId="6FB929E9" w14:textId="38DCB5F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1" w:history="1">
            <w:r w:rsidR="007974C4" w:rsidRPr="00820F17">
              <w:rPr>
                <w:rStyle w:val="Hyperlink"/>
                <w:noProof/>
              </w:rPr>
              <w:t>7.</w:t>
            </w:r>
            <w:r w:rsidR="007974C4">
              <w:rPr>
                <w:rFonts w:asciiTheme="minorHAnsi" w:eastAsiaTheme="minorEastAsia" w:hAnsiTheme="minorHAnsi" w:cstheme="minorBidi"/>
                <w:noProof/>
                <w:sz w:val="22"/>
                <w:szCs w:val="22"/>
              </w:rPr>
              <w:tab/>
            </w:r>
            <w:r w:rsidR="007974C4" w:rsidRPr="00820F17">
              <w:rPr>
                <w:rStyle w:val="Hyperlink"/>
                <w:noProof/>
              </w:rPr>
              <w:t>Section 2.3 – Domestic Hot Water</w:t>
            </w:r>
            <w:r w:rsidR="007974C4">
              <w:rPr>
                <w:noProof/>
                <w:webHidden/>
              </w:rPr>
              <w:tab/>
            </w:r>
            <w:r w:rsidR="007974C4">
              <w:rPr>
                <w:noProof/>
                <w:webHidden/>
              </w:rPr>
              <w:fldChar w:fldCharType="begin"/>
            </w:r>
            <w:r w:rsidR="007974C4">
              <w:rPr>
                <w:noProof/>
                <w:webHidden/>
              </w:rPr>
              <w:instrText xml:space="preserve"> PAGEREF _Toc15657931 \h </w:instrText>
            </w:r>
            <w:r w:rsidR="007974C4">
              <w:rPr>
                <w:noProof/>
                <w:webHidden/>
              </w:rPr>
            </w:r>
            <w:r w:rsidR="007974C4">
              <w:rPr>
                <w:noProof/>
                <w:webHidden/>
              </w:rPr>
              <w:fldChar w:fldCharType="separate"/>
            </w:r>
            <w:r w:rsidR="00B10CDB">
              <w:rPr>
                <w:noProof/>
                <w:webHidden/>
              </w:rPr>
              <w:t>57</w:t>
            </w:r>
            <w:r w:rsidR="007974C4">
              <w:rPr>
                <w:noProof/>
                <w:webHidden/>
              </w:rPr>
              <w:fldChar w:fldCharType="end"/>
            </w:r>
          </w:hyperlink>
        </w:p>
        <w:p w14:paraId="2D89C835" w14:textId="1047B67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2" w:history="1">
            <w:r w:rsidR="007974C4" w:rsidRPr="00820F17">
              <w:rPr>
                <w:rStyle w:val="Hyperlink"/>
                <w:noProof/>
              </w:rPr>
              <w:t>8.</w:t>
            </w:r>
            <w:r w:rsidR="007974C4">
              <w:rPr>
                <w:rFonts w:asciiTheme="minorHAnsi" w:eastAsiaTheme="minorEastAsia" w:hAnsiTheme="minorHAnsi" w:cstheme="minorBidi"/>
                <w:noProof/>
                <w:sz w:val="22"/>
                <w:szCs w:val="22"/>
              </w:rPr>
              <w:tab/>
            </w:r>
            <w:r w:rsidR="007974C4" w:rsidRPr="00820F17">
              <w:rPr>
                <w:rStyle w:val="Hyperlink"/>
                <w:noProof/>
              </w:rPr>
              <w:t>Section 2.3.1 – Heat Pump Water Heaters, Section 2.3.2 – Solar Water Heaters, and Section 2.3.3 – Fuel Switching: Electric Resistance to Fossil Fuel Water Heater</w:t>
            </w:r>
            <w:r w:rsidR="007974C4">
              <w:rPr>
                <w:noProof/>
                <w:webHidden/>
              </w:rPr>
              <w:tab/>
            </w:r>
            <w:r w:rsidR="007974C4">
              <w:rPr>
                <w:noProof/>
                <w:webHidden/>
              </w:rPr>
              <w:fldChar w:fldCharType="begin"/>
            </w:r>
            <w:r w:rsidR="007974C4">
              <w:rPr>
                <w:noProof/>
                <w:webHidden/>
              </w:rPr>
              <w:instrText xml:space="preserve"> PAGEREF _Toc15657932 \h </w:instrText>
            </w:r>
            <w:r w:rsidR="007974C4">
              <w:rPr>
                <w:noProof/>
                <w:webHidden/>
              </w:rPr>
            </w:r>
            <w:r w:rsidR="007974C4">
              <w:rPr>
                <w:noProof/>
                <w:webHidden/>
              </w:rPr>
              <w:fldChar w:fldCharType="separate"/>
            </w:r>
            <w:r w:rsidR="00B10CDB">
              <w:rPr>
                <w:noProof/>
                <w:webHidden/>
              </w:rPr>
              <w:t>58</w:t>
            </w:r>
            <w:r w:rsidR="007974C4">
              <w:rPr>
                <w:noProof/>
                <w:webHidden/>
              </w:rPr>
              <w:fldChar w:fldCharType="end"/>
            </w:r>
          </w:hyperlink>
        </w:p>
        <w:p w14:paraId="19D256C6" w14:textId="1CC8E0A4"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3" w:history="1">
            <w:r w:rsidR="007974C4" w:rsidRPr="00820F17">
              <w:rPr>
                <w:rStyle w:val="Hyperlink"/>
                <w:noProof/>
              </w:rPr>
              <w:t>9.</w:t>
            </w:r>
            <w:r w:rsidR="007974C4">
              <w:rPr>
                <w:rFonts w:asciiTheme="minorHAnsi" w:eastAsiaTheme="minorEastAsia" w:hAnsiTheme="minorHAnsi" w:cstheme="minorBidi"/>
                <w:noProof/>
                <w:sz w:val="22"/>
                <w:szCs w:val="22"/>
              </w:rPr>
              <w:tab/>
            </w:r>
            <w:r w:rsidR="007974C4" w:rsidRPr="00820F17">
              <w:rPr>
                <w:rStyle w:val="Hyperlink"/>
                <w:noProof/>
              </w:rPr>
              <w:t>Section 2.3.6 –Water Heater Temperature Setback</w:t>
            </w:r>
            <w:r w:rsidR="007974C4">
              <w:rPr>
                <w:noProof/>
                <w:webHidden/>
              </w:rPr>
              <w:tab/>
            </w:r>
            <w:r w:rsidR="007974C4">
              <w:rPr>
                <w:noProof/>
                <w:webHidden/>
              </w:rPr>
              <w:fldChar w:fldCharType="begin"/>
            </w:r>
            <w:r w:rsidR="007974C4">
              <w:rPr>
                <w:noProof/>
                <w:webHidden/>
              </w:rPr>
              <w:instrText xml:space="preserve"> PAGEREF _Toc15657933 \h </w:instrText>
            </w:r>
            <w:r w:rsidR="007974C4">
              <w:rPr>
                <w:noProof/>
                <w:webHidden/>
              </w:rPr>
            </w:r>
            <w:r w:rsidR="007974C4">
              <w:rPr>
                <w:noProof/>
                <w:webHidden/>
              </w:rPr>
              <w:fldChar w:fldCharType="separate"/>
            </w:r>
            <w:r w:rsidR="00B10CDB">
              <w:rPr>
                <w:noProof/>
                <w:webHidden/>
              </w:rPr>
              <w:t>59</w:t>
            </w:r>
            <w:r w:rsidR="007974C4">
              <w:rPr>
                <w:noProof/>
                <w:webHidden/>
              </w:rPr>
              <w:fldChar w:fldCharType="end"/>
            </w:r>
          </w:hyperlink>
        </w:p>
        <w:p w14:paraId="3557A247" w14:textId="085828F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4" w:history="1">
            <w:r w:rsidR="007974C4" w:rsidRPr="00820F17">
              <w:rPr>
                <w:rStyle w:val="Hyperlink"/>
                <w:noProof/>
              </w:rPr>
              <w:t>10.</w:t>
            </w:r>
            <w:r w:rsidR="007974C4">
              <w:rPr>
                <w:rFonts w:asciiTheme="minorHAnsi" w:eastAsiaTheme="minorEastAsia" w:hAnsiTheme="minorHAnsi" w:cstheme="minorBidi"/>
                <w:noProof/>
                <w:sz w:val="22"/>
                <w:szCs w:val="22"/>
              </w:rPr>
              <w:tab/>
            </w:r>
            <w:r w:rsidR="007974C4" w:rsidRPr="00820F17">
              <w:rPr>
                <w:rStyle w:val="Hyperlink"/>
                <w:noProof/>
              </w:rPr>
              <w:t>Section 2.3.7 – Water Heater Pipe Insulation</w:t>
            </w:r>
            <w:r w:rsidR="007974C4">
              <w:rPr>
                <w:noProof/>
                <w:webHidden/>
              </w:rPr>
              <w:tab/>
            </w:r>
            <w:r w:rsidR="007974C4">
              <w:rPr>
                <w:noProof/>
                <w:webHidden/>
              </w:rPr>
              <w:fldChar w:fldCharType="begin"/>
            </w:r>
            <w:r w:rsidR="007974C4">
              <w:rPr>
                <w:noProof/>
                <w:webHidden/>
              </w:rPr>
              <w:instrText xml:space="preserve"> PAGEREF _Toc15657934 \h </w:instrText>
            </w:r>
            <w:r w:rsidR="007974C4">
              <w:rPr>
                <w:noProof/>
                <w:webHidden/>
              </w:rPr>
            </w:r>
            <w:r w:rsidR="007974C4">
              <w:rPr>
                <w:noProof/>
                <w:webHidden/>
              </w:rPr>
              <w:fldChar w:fldCharType="separate"/>
            </w:r>
            <w:r w:rsidR="00B10CDB">
              <w:rPr>
                <w:noProof/>
                <w:webHidden/>
              </w:rPr>
              <w:t>60</w:t>
            </w:r>
            <w:r w:rsidR="007974C4">
              <w:rPr>
                <w:noProof/>
                <w:webHidden/>
              </w:rPr>
              <w:fldChar w:fldCharType="end"/>
            </w:r>
          </w:hyperlink>
        </w:p>
        <w:p w14:paraId="7DF9480B" w14:textId="4E9672F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5" w:history="1">
            <w:r w:rsidR="007974C4" w:rsidRPr="00820F17">
              <w:rPr>
                <w:rStyle w:val="Hyperlink"/>
                <w:noProof/>
              </w:rPr>
              <w:t>11.</w:t>
            </w:r>
            <w:r w:rsidR="007974C4">
              <w:rPr>
                <w:rFonts w:asciiTheme="minorHAnsi" w:eastAsiaTheme="minorEastAsia" w:hAnsiTheme="minorHAnsi" w:cstheme="minorBidi"/>
                <w:noProof/>
                <w:sz w:val="22"/>
                <w:szCs w:val="22"/>
              </w:rPr>
              <w:tab/>
            </w:r>
            <w:r w:rsidR="007974C4" w:rsidRPr="00820F17">
              <w:rPr>
                <w:rStyle w:val="Hyperlink"/>
                <w:noProof/>
              </w:rPr>
              <w:t xml:space="preserve">Section 2.3.8 – Low-flow Faucet Aerators and Section 2.3.9 – </w:t>
            </w:r>
            <w:r w:rsidR="007974C4">
              <w:rPr>
                <w:rStyle w:val="Hyperlink"/>
                <w:noProof/>
              </w:rPr>
              <w:br/>
            </w:r>
            <w:r w:rsidR="007974C4" w:rsidRPr="00820F17">
              <w:rPr>
                <w:rStyle w:val="Hyperlink"/>
                <w:noProof/>
              </w:rPr>
              <w:t>Low-flow Showerheads</w:t>
            </w:r>
            <w:r w:rsidR="007974C4">
              <w:rPr>
                <w:noProof/>
                <w:webHidden/>
              </w:rPr>
              <w:tab/>
            </w:r>
            <w:r w:rsidR="007974C4">
              <w:rPr>
                <w:noProof/>
                <w:webHidden/>
              </w:rPr>
              <w:fldChar w:fldCharType="begin"/>
            </w:r>
            <w:r w:rsidR="007974C4">
              <w:rPr>
                <w:noProof/>
                <w:webHidden/>
              </w:rPr>
              <w:instrText xml:space="preserve"> PAGEREF _Toc15657935 \h </w:instrText>
            </w:r>
            <w:r w:rsidR="007974C4">
              <w:rPr>
                <w:noProof/>
                <w:webHidden/>
              </w:rPr>
            </w:r>
            <w:r w:rsidR="007974C4">
              <w:rPr>
                <w:noProof/>
                <w:webHidden/>
              </w:rPr>
              <w:fldChar w:fldCharType="separate"/>
            </w:r>
            <w:r w:rsidR="00B10CDB">
              <w:rPr>
                <w:noProof/>
                <w:webHidden/>
              </w:rPr>
              <w:t>60</w:t>
            </w:r>
            <w:r w:rsidR="007974C4">
              <w:rPr>
                <w:noProof/>
                <w:webHidden/>
              </w:rPr>
              <w:fldChar w:fldCharType="end"/>
            </w:r>
          </w:hyperlink>
        </w:p>
        <w:p w14:paraId="5F4DCE6C" w14:textId="1DBAC4B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6" w:history="1">
            <w:r w:rsidR="007974C4" w:rsidRPr="00820F17">
              <w:rPr>
                <w:rStyle w:val="Hyperlink"/>
                <w:noProof/>
              </w:rPr>
              <w:t>12.</w:t>
            </w:r>
            <w:r w:rsidR="007974C4">
              <w:rPr>
                <w:rFonts w:asciiTheme="minorHAnsi" w:eastAsiaTheme="minorEastAsia" w:hAnsiTheme="minorHAnsi" w:cstheme="minorBidi"/>
                <w:noProof/>
                <w:sz w:val="22"/>
                <w:szCs w:val="22"/>
              </w:rPr>
              <w:tab/>
            </w:r>
            <w:r w:rsidR="007974C4" w:rsidRPr="00820F17">
              <w:rPr>
                <w:rStyle w:val="Hyperlink"/>
                <w:noProof/>
              </w:rPr>
              <w:t>Section 2.3.10 – Thermostatic Shower Restriction Valve</w:t>
            </w:r>
            <w:r w:rsidR="007974C4">
              <w:rPr>
                <w:noProof/>
                <w:webHidden/>
              </w:rPr>
              <w:tab/>
            </w:r>
            <w:r w:rsidR="007974C4">
              <w:rPr>
                <w:noProof/>
                <w:webHidden/>
              </w:rPr>
              <w:fldChar w:fldCharType="begin"/>
            </w:r>
            <w:r w:rsidR="007974C4">
              <w:rPr>
                <w:noProof/>
                <w:webHidden/>
              </w:rPr>
              <w:instrText xml:space="preserve"> PAGEREF _Toc15657936 \h </w:instrText>
            </w:r>
            <w:r w:rsidR="007974C4">
              <w:rPr>
                <w:noProof/>
                <w:webHidden/>
              </w:rPr>
            </w:r>
            <w:r w:rsidR="007974C4">
              <w:rPr>
                <w:noProof/>
                <w:webHidden/>
              </w:rPr>
              <w:fldChar w:fldCharType="separate"/>
            </w:r>
            <w:r w:rsidR="00B10CDB">
              <w:rPr>
                <w:noProof/>
                <w:webHidden/>
              </w:rPr>
              <w:t>62</w:t>
            </w:r>
            <w:r w:rsidR="007974C4">
              <w:rPr>
                <w:noProof/>
                <w:webHidden/>
              </w:rPr>
              <w:fldChar w:fldCharType="end"/>
            </w:r>
          </w:hyperlink>
        </w:p>
        <w:p w14:paraId="46F4EBF6" w14:textId="5853F2D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7" w:history="1">
            <w:r w:rsidR="007974C4" w:rsidRPr="00820F17">
              <w:rPr>
                <w:rStyle w:val="Hyperlink"/>
                <w:noProof/>
              </w:rPr>
              <w:t>13.</w:t>
            </w:r>
            <w:r w:rsidR="007974C4">
              <w:rPr>
                <w:rFonts w:asciiTheme="minorHAnsi" w:eastAsiaTheme="minorEastAsia" w:hAnsiTheme="minorHAnsi" w:cstheme="minorBidi"/>
                <w:noProof/>
                <w:sz w:val="22"/>
                <w:szCs w:val="22"/>
              </w:rPr>
              <w:tab/>
            </w:r>
            <w:r w:rsidR="007974C4" w:rsidRPr="00820F17">
              <w:rPr>
                <w:rStyle w:val="Hyperlink"/>
                <w:noProof/>
              </w:rPr>
              <w:t xml:space="preserve">Section 2.4.1 – ENERGY STAR Refrigerators and Section 2.4.2 – </w:t>
            </w:r>
            <w:r w:rsidR="007974C4">
              <w:rPr>
                <w:rStyle w:val="Hyperlink"/>
                <w:noProof/>
              </w:rPr>
              <w:br/>
            </w:r>
            <w:r w:rsidR="007974C4" w:rsidRPr="00820F17">
              <w:rPr>
                <w:rStyle w:val="Hyperlink"/>
                <w:noProof/>
              </w:rPr>
              <w:t>ENERGY STAR Freezers</w:t>
            </w:r>
            <w:r w:rsidR="007974C4">
              <w:rPr>
                <w:noProof/>
                <w:webHidden/>
              </w:rPr>
              <w:tab/>
            </w:r>
            <w:r w:rsidR="007974C4">
              <w:rPr>
                <w:noProof/>
                <w:webHidden/>
              </w:rPr>
              <w:fldChar w:fldCharType="begin"/>
            </w:r>
            <w:r w:rsidR="007974C4">
              <w:rPr>
                <w:noProof/>
                <w:webHidden/>
              </w:rPr>
              <w:instrText xml:space="preserve"> PAGEREF _Toc15657937 \h </w:instrText>
            </w:r>
            <w:r w:rsidR="007974C4">
              <w:rPr>
                <w:noProof/>
                <w:webHidden/>
              </w:rPr>
            </w:r>
            <w:r w:rsidR="007974C4">
              <w:rPr>
                <w:noProof/>
                <w:webHidden/>
              </w:rPr>
              <w:fldChar w:fldCharType="separate"/>
            </w:r>
            <w:r w:rsidR="00B10CDB">
              <w:rPr>
                <w:noProof/>
                <w:webHidden/>
              </w:rPr>
              <w:t>64</w:t>
            </w:r>
            <w:r w:rsidR="007974C4">
              <w:rPr>
                <w:noProof/>
                <w:webHidden/>
              </w:rPr>
              <w:fldChar w:fldCharType="end"/>
            </w:r>
          </w:hyperlink>
        </w:p>
        <w:p w14:paraId="3D0D1755" w14:textId="63EC99C7"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8" w:history="1">
            <w:r w:rsidR="007974C4" w:rsidRPr="00820F17">
              <w:rPr>
                <w:rStyle w:val="Hyperlink"/>
                <w:noProof/>
              </w:rPr>
              <w:t>14.</w:t>
            </w:r>
            <w:r w:rsidR="007974C4">
              <w:rPr>
                <w:rFonts w:asciiTheme="minorHAnsi" w:eastAsiaTheme="minorEastAsia" w:hAnsiTheme="minorHAnsi" w:cstheme="minorBidi"/>
                <w:noProof/>
                <w:sz w:val="22"/>
                <w:szCs w:val="22"/>
              </w:rPr>
              <w:tab/>
            </w:r>
            <w:r w:rsidR="007974C4" w:rsidRPr="00820F17">
              <w:rPr>
                <w:rStyle w:val="Hyperlink"/>
                <w:noProof/>
              </w:rPr>
              <w:t>Section 2.4.3 – Refrigerator / Freezer Recycling with and without Replacement</w:t>
            </w:r>
            <w:r w:rsidR="007974C4">
              <w:rPr>
                <w:noProof/>
                <w:webHidden/>
              </w:rPr>
              <w:tab/>
            </w:r>
            <w:r w:rsidR="007974C4">
              <w:rPr>
                <w:noProof/>
                <w:webHidden/>
              </w:rPr>
              <w:fldChar w:fldCharType="begin"/>
            </w:r>
            <w:r w:rsidR="007974C4">
              <w:rPr>
                <w:noProof/>
                <w:webHidden/>
              </w:rPr>
              <w:instrText xml:space="preserve"> PAGEREF _Toc15657938 \h </w:instrText>
            </w:r>
            <w:r w:rsidR="007974C4">
              <w:rPr>
                <w:noProof/>
                <w:webHidden/>
              </w:rPr>
            </w:r>
            <w:r w:rsidR="007974C4">
              <w:rPr>
                <w:noProof/>
                <w:webHidden/>
              </w:rPr>
              <w:fldChar w:fldCharType="separate"/>
            </w:r>
            <w:r w:rsidR="00B10CDB">
              <w:rPr>
                <w:noProof/>
                <w:webHidden/>
              </w:rPr>
              <w:t>64</w:t>
            </w:r>
            <w:r w:rsidR="007974C4">
              <w:rPr>
                <w:noProof/>
                <w:webHidden/>
              </w:rPr>
              <w:fldChar w:fldCharType="end"/>
            </w:r>
          </w:hyperlink>
        </w:p>
        <w:p w14:paraId="3A44DEFD" w14:textId="1BEF97B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39" w:history="1">
            <w:r w:rsidR="007974C4" w:rsidRPr="00820F17">
              <w:rPr>
                <w:rStyle w:val="Hyperlink"/>
                <w:noProof/>
              </w:rPr>
              <w:t>15.</w:t>
            </w:r>
            <w:r w:rsidR="007974C4">
              <w:rPr>
                <w:rFonts w:asciiTheme="minorHAnsi" w:eastAsiaTheme="minorEastAsia" w:hAnsiTheme="minorHAnsi" w:cstheme="minorBidi"/>
                <w:noProof/>
                <w:sz w:val="22"/>
                <w:szCs w:val="22"/>
              </w:rPr>
              <w:tab/>
            </w:r>
            <w:r w:rsidR="007974C4" w:rsidRPr="00820F17">
              <w:rPr>
                <w:rStyle w:val="Hyperlink"/>
                <w:noProof/>
              </w:rPr>
              <w:t>Section 2.4.5 – ENERGY STAR Dryers</w:t>
            </w:r>
            <w:r w:rsidR="007974C4">
              <w:rPr>
                <w:noProof/>
                <w:webHidden/>
              </w:rPr>
              <w:tab/>
            </w:r>
            <w:r w:rsidR="007974C4">
              <w:rPr>
                <w:noProof/>
                <w:webHidden/>
              </w:rPr>
              <w:fldChar w:fldCharType="begin"/>
            </w:r>
            <w:r w:rsidR="007974C4">
              <w:rPr>
                <w:noProof/>
                <w:webHidden/>
              </w:rPr>
              <w:instrText xml:space="preserve"> PAGEREF _Toc15657939 \h </w:instrText>
            </w:r>
            <w:r w:rsidR="007974C4">
              <w:rPr>
                <w:noProof/>
                <w:webHidden/>
              </w:rPr>
            </w:r>
            <w:r w:rsidR="007974C4">
              <w:rPr>
                <w:noProof/>
                <w:webHidden/>
              </w:rPr>
              <w:fldChar w:fldCharType="separate"/>
            </w:r>
            <w:r w:rsidR="00B10CDB">
              <w:rPr>
                <w:noProof/>
                <w:webHidden/>
              </w:rPr>
              <w:t>65</w:t>
            </w:r>
            <w:r w:rsidR="007974C4">
              <w:rPr>
                <w:noProof/>
                <w:webHidden/>
              </w:rPr>
              <w:fldChar w:fldCharType="end"/>
            </w:r>
          </w:hyperlink>
        </w:p>
        <w:p w14:paraId="7F2B51D8" w14:textId="4955BB7A"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0" w:history="1">
            <w:r w:rsidR="007974C4" w:rsidRPr="00820F17">
              <w:rPr>
                <w:rStyle w:val="Hyperlink"/>
                <w:noProof/>
              </w:rPr>
              <w:t>16.</w:t>
            </w:r>
            <w:r w:rsidR="007974C4">
              <w:rPr>
                <w:rFonts w:asciiTheme="minorHAnsi" w:eastAsiaTheme="minorEastAsia" w:hAnsiTheme="minorHAnsi" w:cstheme="minorBidi"/>
                <w:noProof/>
                <w:sz w:val="22"/>
                <w:szCs w:val="22"/>
              </w:rPr>
              <w:tab/>
            </w:r>
            <w:r w:rsidR="007974C4" w:rsidRPr="00820F17">
              <w:rPr>
                <w:rStyle w:val="Hyperlink"/>
                <w:noProof/>
              </w:rPr>
              <w:t>Section 2.4.10 – ENERGY STAR Ceiling Fans</w:t>
            </w:r>
            <w:r w:rsidR="007974C4">
              <w:rPr>
                <w:noProof/>
                <w:webHidden/>
              </w:rPr>
              <w:tab/>
            </w:r>
            <w:r w:rsidR="007974C4">
              <w:rPr>
                <w:noProof/>
                <w:webHidden/>
              </w:rPr>
              <w:fldChar w:fldCharType="begin"/>
            </w:r>
            <w:r w:rsidR="007974C4">
              <w:rPr>
                <w:noProof/>
                <w:webHidden/>
              </w:rPr>
              <w:instrText xml:space="preserve"> PAGEREF _Toc15657940 \h </w:instrText>
            </w:r>
            <w:r w:rsidR="007974C4">
              <w:rPr>
                <w:noProof/>
                <w:webHidden/>
              </w:rPr>
            </w:r>
            <w:r w:rsidR="007974C4">
              <w:rPr>
                <w:noProof/>
                <w:webHidden/>
              </w:rPr>
              <w:fldChar w:fldCharType="separate"/>
            </w:r>
            <w:r w:rsidR="00B10CDB">
              <w:rPr>
                <w:noProof/>
                <w:webHidden/>
              </w:rPr>
              <w:t>66</w:t>
            </w:r>
            <w:r w:rsidR="007974C4">
              <w:rPr>
                <w:noProof/>
                <w:webHidden/>
              </w:rPr>
              <w:fldChar w:fldCharType="end"/>
            </w:r>
          </w:hyperlink>
        </w:p>
        <w:p w14:paraId="3BEFC5AD" w14:textId="7900E13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1" w:history="1">
            <w:r w:rsidR="007974C4" w:rsidRPr="00820F17">
              <w:rPr>
                <w:rStyle w:val="Hyperlink"/>
                <w:noProof/>
              </w:rPr>
              <w:t>17.</w:t>
            </w:r>
            <w:r w:rsidR="007974C4">
              <w:rPr>
                <w:rFonts w:asciiTheme="minorHAnsi" w:eastAsiaTheme="minorEastAsia" w:hAnsiTheme="minorHAnsi" w:cstheme="minorBidi"/>
                <w:noProof/>
                <w:sz w:val="22"/>
                <w:szCs w:val="22"/>
              </w:rPr>
              <w:tab/>
            </w:r>
            <w:r w:rsidR="007974C4" w:rsidRPr="00820F17">
              <w:rPr>
                <w:rStyle w:val="Hyperlink"/>
                <w:noProof/>
              </w:rPr>
              <w:t>Section 2.5.3 – Smart Strip Plug Outlets</w:t>
            </w:r>
            <w:r w:rsidR="007974C4">
              <w:rPr>
                <w:noProof/>
                <w:webHidden/>
              </w:rPr>
              <w:tab/>
            </w:r>
            <w:r w:rsidR="007974C4">
              <w:rPr>
                <w:noProof/>
                <w:webHidden/>
              </w:rPr>
              <w:fldChar w:fldCharType="begin"/>
            </w:r>
            <w:r w:rsidR="007974C4">
              <w:rPr>
                <w:noProof/>
                <w:webHidden/>
              </w:rPr>
              <w:instrText xml:space="preserve"> PAGEREF _Toc15657941 \h </w:instrText>
            </w:r>
            <w:r w:rsidR="007974C4">
              <w:rPr>
                <w:noProof/>
                <w:webHidden/>
              </w:rPr>
            </w:r>
            <w:r w:rsidR="007974C4">
              <w:rPr>
                <w:noProof/>
                <w:webHidden/>
              </w:rPr>
              <w:fldChar w:fldCharType="separate"/>
            </w:r>
            <w:r w:rsidR="00B10CDB">
              <w:rPr>
                <w:noProof/>
                <w:webHidden/>
              </w:rPr>
              <w:t>67</w:t>
            </w:r>
            <w:r w:rsidR="007974C4">
              <w:rPr>
                <w:noProof/>
                <w:webHidden/>
              </w:rPr>
              <w:fldChar w:fldCharType="end"/>
            </w:r>
          </w:hyperlink>
        </w:p>
        <w:p w14:paraId="787F6193" w14:textId="3CDC3D2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2" w:history="1">
            <w:r w:rsidR="007974C4" w:rsidRPr="00820F17">
              <w:rPr>
                <w:rStyle w:val="Hyperlink"/>
                <w:noProof/>
              </w:rPr>
              <w:t>18.</w:t>
            </w:r>
            <w:r w:rsidR="007974C4">
              <w:rPr>
                <w:rFonts w:asciiTheme="minorHAnsi" w:eastAsiaTheme="minorEastAsia" w:hAnsiTheme="minorHAnsi" w:cstheme="minorBidi"/>
                <w:noProof/>
                <w:sz w:val="22"/>
                <w:szCs w:val="22"/>
              </w:rPr>
              <w:tab/>
            </w:r>
            <w:r w:rsidR="007974C4" w:rsidRPr="00820F17">
              <w:rPr>
                <w:rStyle w:val="Hyperlink"/>
                <w:noProof/>
              </w:rPr>
              <w:t>Section 2.6.1 – Ceiling / Attic and Wall Insulation</w:t>
            </w:r>
            <w:r w:rsidR="007974C4">
              <w:rPr>
                <w:noProof/>
                <w:webHidden/>
              </w:rPr>
              <w:tab/>
            </w:r>
            <w:r w:rsidR="007974C4">
              <w:rPr>
                <w:noProof/>
                <w:webHidden/>
              </w:rPr>
              <w:fldChar w:fldCharType="begin"/>
            </w:r>
            <w:r w:rsidR="007974C4">
              <w:rPr>
                <w:noProof/>
                <w:webHidden/>
              </w:rPr>
              <w:instrText xml:space="preserve"> PAGEREF _Toc15657942 \h </w:instrText>
            </w:r>
            <w:r w:rsidR="007974C4">
              <w:rPr>
                <w:noProof/>
                <w:webHidden/>
              </w:rPr>
            </w:r>
            <w:r w:rsidR="007974C4">
              <w:rPr>
                <w:noProof/>
                <w:webHidden/>
              </w:rPr>
              <w:fldChar w:fldCharType="separate"/>
            </w:r>
            <w:r w:rsidR="00B10CDB">
              <w:rPr>
                <w:noProof/>
                <w:webHidden/>
              </w:rPr>
              <w:t>68</w:t>
            </w:r>
            <w:r w:rsidR="007974C4">
              <w:rPr>
                <w:noProof/>
                <w:webHidden/>
              </w:rPr>
              <w:fldChar w:fldCharType="end"/>
            </w:r>
          </w:hyperlink>
        </w:p>
        <w:p w14:paraId="49CF3B8A" w14:textId="74E9122A"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3" w:history="1">
            <w:r w:rsidR="007974C4" w:rsidRPr="00820F17">
              <w:rPr>
                <w:rStyle w:val="Hyperlink"/>
                <w:noProof/>
              </w:rPr>
              <w:t>19.</w:t>
            </w:r>
            <w:r w:rsidR="007974C4">
              <w:rPr>
                <w:rFonts w:asciiTheme="minorHAnsi" w:eastAsiaTheme="minorEastAsia" w:hAnsiTheme="minorHAnsi" w:cstheme="minorBidi"/>
                <w:noProof/>
                <w:sz w:val="22"/>
                <w:szCs w:val="22"/>
              </w:rPr>
              <w:tab/>
            </w:r>
            <w:r w:rsidR="007974C4" w:rsidRPr="00820F17">
              <w:rPr>
                <w:rStyle w:val="Hyperlink"/>
                <w:noProof/>
              </w:rPr>
              <w:t>Section 2.6.2 – ENERGY STAR Windows</w:t>
            </w:r>
            <w:r w:rsidR="007974C4">
              <w:rPr>
                <w:noProof/>
                <w:webHidden/>
              </w:rPr>
              <w:tab/>
            </w:r>
            <w:r w:rsidR="007974C4">
              <w:rPr>
                <w:noProof/>
                <w:webHidden/>
              </w:rPr>
              <w:fldChar w:fldCharType="begin"/>
            </w:r>
            <w:r w:rsidR="007974C4">
              <w:rPr>
                <w:noProof/>
                <w:webHidden/>
              </w:rPr>
              <w:instrText xml:space="preserve"> PAGEREF _Toc15657943 \h </w:instrText>
            </w:r>
            <w:r w:rsidR="007974C4">
              <w:rPr>
                <w:noProof/>
                <w:webHidden/>
              </w:rPr>
            </w:r>
            <w:r w:rsidR="007974C4">
              <w:rPr>
                <w:noProof/>
                <w:webHidden/>
              </w:rPr>
              <w:fldChar w:fldCharType="separate"/>
            </w:r>
            <w:r w:rsidR="00B10CDB">
              <w:rPr>
                <w:noProof/>
                <w:webHidden/>
              </w:rPr>
              <w:t>69</w:t>
            </w:r>
            <w:r w:rsidR="007974C4">
              <w:rPr>
                <w:noProof/>
                <w:webHidden/>
              </w:rPr>
              <w:fldChar w:fldCharType="end"/>
            </w:r>
          </w:hyperlink>
        </w:p>
        <w:p w14:paraId="2E2BEFC8" w14:textId="19F63CC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4" w:history="1">
            <w:r w:rsidR="007974C4" w:rsidRPr="00820F17">
              <w:rPr>
                <w:rStyle w:val="Hyperlink"/>
                <w:noProof/>
              </w:rPr>
              <w:t>20.</w:t>
            </w:r>
            <w:r w:rsidR="007974C4">
              <w:rPr>
                <w:rFonts w:asciiTheme="minorHAnsi" w:eastAsiaTheme="minorEastAsia" w:hAnsiTheme="minorHAnsi" w:cstheme="minorBidi"/>
                <w:noProof/>
                <w:sz w:val="22"/>
                <w:szCs w:val="22"/>
              </w:rPr>
              <w:tab/>
            </w:r>
            <w:r w:rsidR="007974C4" w:rsidRPr="00820F17">
              <w:rPr>
                <w:rStyle w:val="Hyperlink"/>
                <w:noProof/>
              </w:rPr>
              <w:t>Section 2.6.3 – Residential New Construction</w:t>
            </w:r>
            <w:r w:rsidR="007974C4">
              <w:rPr>
                <w:noProof/>
                <w:webHidden/>
              </w:rPr>
              <w:tab/>
            </w:r>
            <w:r w:rsidR="007974C4">
              <w:rPr>
                <w:noProof/>
                <w:webHidden/>
              </w:rPr>
              <w:fldChar w:fldCharType="begin"/>
            </w:r>
            <w:r w:rsidR="007974C4">
              <w:rPr>
                <w:noProof/>
                <w:webHidden/>
              </w:rPr>
              <w:instrText xml:space="preserve"> PAGEREF _Toc15657944 \h </w:instrText>
            </w:r>
            <w:r w:rsidR="007974C4">
              <w:rPr>
                <w:noProof/>
                <w:webHidden/>
              </w:rPr>
            </w:r>
            <w:r w:rsidR="007974C4">
              <w:rPr>
                <w:noProof/>
                <w:webHidden/>
              </w:rPr>
              <w:fldChar w:fldCharType="separate"/>
            </w:r>
            <w:r w:rsidR="00B10CDB">
              <w:rPr>
                <w:noProof/>
                <w:webHidden/>
              </w:rPr>
              <w:t>70</w:t>
            </w:r>
            <w:r w:rsidR="007974C4">
              <w:rPr>
                <w:noProof/>
                <w:webHidden/>
              </w:rPr>
              <w:fldChar w:fldCharType="end"/>
            </w:r>
          </w:hyperlink>
        </w:p>
        <w:p w14:paraId="669A8C8B" w14:textId="1D512E6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5" w:history="1">
            <w:r w:rsidR="007974C4" w:rsidRPr="00820F17">
              <w:rPr>
                <w:rStyle w:val="Hyperlink"/>
                <w:noProof/>
              </w:rPr>
              <w:t>21.</w:t>
            </w:r>
            <w:r w:rsidR="007974C4">
              <w:rPr>
                <w:rFonts w:asciiTheme="minorHAnsi" w:eastAsiaTheme="minorEastAsia" w:hAnsiTheme="minorHAnsi" w:cstheme="minorBidi"/>
                <w:noProof/>
                <w:sz w:val="22"/>
                <w:szCs w:val="22"/>
              </w:rPr>
              <w:tab/>
            </w:r>
            <w:r w:rsidR="007974C4" w:rsidRPr="00820F17">
              <w:rPr>
                <w:rStyle w:val="Hyperlink"/>
                <w:noProof/>
              </w:rPr>
              <w:t>Section 2.6.5 – ENERGY STAR Manufactured Homes</w:t>
            </w:r>
            <w:r w:rsidR="007974C4">
              <w:rPr>
                <w:noProof/>
                <w:webHidden/>
              </w:rPr>
              <w:tab/>
            </w:r>
            <w:r w:rsidR="007974C4">
              <w:rPr>
                <w:noProof/>
                <w:webHidden/>
              </w:rPr>
              <w:fldChar w:fldCharType="begin"/>
            </w:r>
            <w:r w:rsidR="007974C4">
              <w:rPr>
                <w:noProof/>
                <w:webHidden/>
              </w:rPr>
              <w:instrText xml:space="preserve"> PAGEREF _Toc15657945 \h </w:instrText>
            </w:r>
            <w:r w:rsidR="007974C4">
              <w:rPr>
                <w:noProof/>
                <w:webHidden/>
              </w:rPr>
            </w:r>
            <w:r w:rsidR="007974C4">
              <w:rPr>
                <w:noProof/>
                <w:webHidden/>
              </w:rPr>
              <w:fldChar w:fldCharType="separate"/>
            </w:r>
            <w:r w:rsidR="00B10CDB">
              <w:rPr>
                <w:noProof/>
                <w:webHidden/>
              </w:rPr>
              <w:t>73</w:t>
            </w:r>
            <w:r w:rsidR="007974C4">
              <w:rPr>
                <w:noProof/>
                <w:webHidden/>
              </w:rPr>
              <w:fldChar w:fldCharType="end"/>
            </w:r>
          </w:hyperlink>
        </w:p>
        <w:p w14:paraId="520E95E0" w14:textId="7401E6C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6" w:history="1">
            <w:r w:rsidR="007974C4" w:rsidRPr="00820F17">
              <w:rPr>
                <w:rStyle w:val="Hyperlink"/>
                <w:noProof/>
              </w:rPr>
              <w:t>22.</w:t>
            </w:r>
            <w:r w:rsidR="007974C4">
              <w:rPr>
                <w:rFonts w:asciiTheme="minorHAnsi" w:eastAsiaTheme="minorEastAsia" w:hAnsiTheme="minorHAnsi" w:cstheme="minorBidi"/>
                <w:noProof/>
                <w:sz w:val="22"/>
                <w:szCs w:val="22"/>
              </w:rPr>
              <w:tab/>
            </w:r>
            <w:r w:rsidR="007974C4" w:rsidRPr="00820F17">
              <w:rPr>
                <w:rStyle w:val="Hyperlink"/>
                <w:noProof/>
              </w:rPr>
              <w:t>Section 2.6.6 – Residential Air Sealing</w:t>
            </w:r>
            <w:r w:rsidR="007974C4">
              <w:rPr>
                <w:noProof/>
                <w:webHidden/>
              </w:rPr>
              <w:tab/>
            </w:r>
            <w:r w:rsidR="007974C4">
              <w:rPr>
                <w:noProof/>
                <w:webHidden/>
              </w:rPr>
              <w:fldChar w:fldCharType="begin"/>
            </w:r>
            <w:r w:rsidR="007974C4">
              <w:rPr>
                <w:noProof/>
                <w:webHidden/>
              </w:rPr>
              <w:instrText xml:space="preserve"> PAGEREF _Toc15657946 \h </w:instrText>
            </w:r>
            <w:r w:rsidR="007974C4">
              <w:rPr>
                <w:noProof/>
                <w:webHidden/>
              </w:rPr>
            </w:r>
            <w:r w:rsidR="007974C4">
              <w:rPr>
                <w:noProof/>
                <w:webHidden/>
              </w:rPr>
              <w:fldChar w:fldCharType="separate"/>
            </w:r>
            <w:r w:rsidR="00B10CDB">
              <w:rPr>
                <w:noProof/>
                <w:webHidden/>
              </w:rPr>
              <w:t>74</w:t>
            </w:r>
            <w:r w:rsidR="007974C4">
              <w:rPr>
                <w:noProof/>
                <w:webHidden/>
              </w:rPr>
              <w:fldChar w:fldCharType="end"/>
            </w:r>
          </w:hyperlink>
        </w:p>
        <w:p w14:paraId="14988300" w14:textId="70D71863"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7" w:history="1">
            <w:r w:rsidR="007974C4" w:rsidRPr="00820F17">
              <w:rPr>
                <w:rStyle w:val="Hyperlink"/>
                <w:noProof/>
              </w:rPr>
              <w:t>23.</w:t>
            </w:r>
            <w:r w:rsidR="007974C4">
              <w:rPr>
                <w:rFonts w:asciiTheme="minorHAnsi" w:eastAsiaTheme="minorEastAsia" w:hAnsiTheme="minorHAnsi" w:cstheme="minorBidi"/>
                <w:noProof/>
                <w:sz w:val="22"/>
                <w:szCs w:val="22"/>
              </w:rPr>
              <w:tab/>
            </w:r>
            <w:r w:rsidR="007974C4" w:rsidRPr="00820F17">
              <w:rPr>
                <w:rStyle w:val="Hyperlink"/>
                <w:noProof/>
              </w:rPr>
              <w:t>Section 2.6.7 – Crawl Space Wall Insulation</w:t>
            </w:r>
            <w:r w:rsidR="007974C4">
              <w:rPr>
                <w:noProof/>
                <w:webHidden/>
              </w:rPr>
              <w:tab/>
            </w:r>
            <w:r w:rsidR="007974C4">
              <w:rPr>
                <w:noProof/>
                <w:webHidden/>
              </w:rPr>
              <w:fldChar w:fldCharType="begin"/>
            </w:r>
            <w:r w:rsidR="007974C4">
              <w:rPr>
                <w:noProof/>
                <w:webHidden/>
              </w:rPr>
              <w:instrText xml:space="preserve"> PAGEREF _Toc15657947 \h </w:instrText>
            </w:r>
            <w:r w:rsidR="007974C4">
              <w:rPr>
                <w:noProof/>
                <w:webHidden/>
              </w:rPr>
            </w:r>
            <w:r w:rsidR="007974C4">
              <w:rPr>
                <w:noProof/>
                <w:webHidden/>
              </w:rPr>
              <w:fldChar w:fldCharType="separate"/>
            </w:r>
            <w:r w:rsidR="00B10CDB">
              <w:rPr>
                <w:noProof/>
                <w:webHidden/>
              </w:rPr>
              <w:t>75</w:t>
            </w:r>
            <w:r w:rsidR="007974C4">
              <w:rPr>
                <w:noProof/>
                <w:webHidden/>
              </w:rPr>
              <w:fldChar w:fldCharType="end"/>
            </w:r>
          </w:hyperlink>
        </w:p>
        <w:p w14:paraId="39E65B8F" w14:textId="62EA00D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8" w:history="1">
            <w:r w:rsidR="007974C4" w:rsidRPr="00820F17">
              <w:rPr>
                <w:rStyle w:val="Hyperlink"/>
                <w:noProof/>
              </w:rPr>
              <w:t>24.</w:t>
            </w:r>
            <w:r w:rsidR="007974C4">
              <w:rPr>
                <w:rFonts w:asciiTheme="minorHAnsi" w:eastAsiaTheme="minorEastAsia" w:hAnsiTheme="minorHAnsi" w:cstheme="minorBidi"/>
                <w:noProof/>
                <w:sz w:val="22"/>
                <w:szCs w:val="22"/>
              </w:rPr>
              <w:tab/>
            </w:r>
            <w:r w:rsidR="007974C4" w:rsidRPr="00820F17">
              <w:rPr>
                <w:rStyle w:val="Hyperlink"/>
                <w:noProof/>
              </w:rPr>
              <w:t xml:space="preserve">Section 2.9.1 – Direct Load Control and Behavior-Based </w:t>
            </w:r>
            <w:r w:rsidR="007974C4">
              <w:rPr>
                <w:rStyle w:val="Hyperlink"/>
                <w:noProof/>
              </w:rPr>
              <w:br/>
            </w:r>
            <w:r w:rsidR="007974C4" w:rsidRPr="00820F17">
              <w:rPr>
                <w:rStyle w:val="Hyperlink"/>
                <w:noProof/>
              </w:rPr>
              <w:t>Demand Response Programs</w:t>
            </w:r>
            <w:r w:rsidR="007974C4">
              <w:rPr>
                <w:noProof/>
                <w:webHidden/>
              </w:rPr>
              <w:tab/>
            </w:r>
            <w:r w:rsidR="007974C4">
              <w:rPr>
                <w:noProof/>
                <w:webHidden/>
              </w:rPr>
              <w:fldChar w:fldCharType="begin"/>
            </w:r>
            <w:r w:rsidR="007974C4">
              <w:rPr>
                <w:noProof/>
                <w:webHidden/>
              </w:rPr>
              <w:instrText xml:space="preserve"> PAGEREF _Toc15657948 \h </w:instrText>
            </w:r>
            <w:r w:rsidR="007974C4">
              <w:rPr>
                <w:noProof/>
                <w:webHidden/>
              </w:rPr>
            </w:r>
            <w:r w:rsidR="007974C4">
              <w:rPr>
                <w:noProof/>
                <w:webHidden/>
              </w:rPr>
              <w:fldChar w:fldCharType="separate"/>
            </w:r>
            <w:r w:rsidR="00B10CDB">
              <w:rPr>
                <w:noProof/>
                <w:webHidden/>
              </w:rPr>
              <w:t>76</w:t>
            </w:r>
            <w:r w:rsidR="007974C4">
              <w:rPr>
                <w:noProof/>
                <w:webHidden/>
              </w:rPr>
              <w:fldChar w:fldCharType="end"/>
            </w:r>
          </w:hyperlink>
        </w:p>
        <w:p w14:paraId="55535E81" w14:textId="714C92A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49" w:history="1">
            <w:r w:rsidR="007974C4" w:rsidRPr="00820F17">
              <w:rPr>
                <w:rStyle w:val="Hyperlink"/>
                <w:noProof/>
              </w:rPr>
              <w:t>25.</w:t>
            </w:r>
            <w:r w:rsidR="007974C4">
              <w:rPr>
                <w:rFonts w:asciiTheme="minorHAnsi" w:eastAsiaTheme="minorEastAsia" w:hAnsiTheme="minorHAnsi" w:cstheme="minorBidi"/>
                <w:noProof/>
                <w:sz w:val="22"/>
                <w:szCs w:val="22"/>
              </w:rPr>
              <w:tab/>
            </w:r>
            <w:r w:rsidR="007974C4" w:rsidRPr="00820F17">
              <w:rPr>
                <w:rStyle w:val="Hyperlink"/>
                <w:noProof/>
              </w:rPr>
              <w:t>Measure Number Changes</w:t>
            </w:r>
            <w:r w:rsidR="007974C4">
              <w:rPr>
                <w:noProof/>
                <w:webHidden/>
              </w:rPr>
              <w:tab/>
            </w:r>
            <w:r w:rsidR="007974C4">
              <w:rPr>
                <w:noProof/>
                <w:webHidden/>
              </w:rPr>
              <w:fldChar w:fldCharType="begin"/>
            </w:r>
            <w:r w:rsidR="007974C4">
              <w:rPr>
                <w:noProof/>
                <w:webHidden/>
              </w:rPr>
              <w:instrText xml:space="preserve"> PAGEREF _Toc15657949 \h </w:instrText>
            </w:r>
            <w:r w:rsidR="007974C4">
              <w:rPr>
                <w:noProof/>
                <w:webHidden/>
              </w:rPr>
            </w:r>
            <w:r w:rsidR="007974C4">
              <w:rPr>
                <w:noProof/>
                <w:webHidden/>
              </w:rPr>
              <w:fldChar w:fldCharType="separate"/>
            </w:r>
            <w:r w:rsidR="00B10CDB">
              <w:rPr>
                <w:noProof/>
                <w:webHidden/>
              </w:rPr>
              <w:t>77</w:t>
            </w:r>
            <w:r w:rsidR="007974C4">
              <w:rPr>
                <w:noProof/>
                <w:webHidden/>
              </w:rPr>
              <w:fldChar w:fldCharType="end"/>
            </w:r>
          </w:hyperlink>
        </w:p>
        <w:p w14:paraId="7A5D67BB" w14:textId="12A0EFE3" w:rsidR="007974C4" w:rsidRDefault="00763509">
          <w:pPr>
            <w:pStyle w:val="TOC2"/>
            <w:tabs>
              <w:tab w:val="right" w:leader="dot" w:pos="9350"/>
            </w:tabs>
            <w:rPr>
              <w:rFonts w:asciiTheme="minorHAnsi" w:eastAsiaTheme="minorEastAsia" w:hAnsiTheme="minorHAnsi" w:cstheme="minorBidi"/>
              <w:sz w:val="22"/>
              <w:szCs w:val="22"/>
            </w:rPr>
          </w:pPr>
          <w:hyperlink w:anchor="_Toc15657950" w:history="1">
            <w:r w:rsidR="007974C4" w:rsidRPr="00820F17">
              <w:rPr>
                <w:rStyle w:val="Hyperlink"/>
              </w:rPr>
              <w:t>F.</w:t>
            </w:r>
            <w:r w:rsidR="007974C4">
              <w:rPr>
                <w:rFonts w:asciiTheme="minorHAnsi" w:eastAsiaTheme="minorEastAsia" w:hAnsiTheme="minorHAnsi" w:cstheme="minorBidi"/>
                <w:sz w:val="22"/>
                <w:szCs w:val="22"/>
              </w:rPr>
              <w:tab/>
            </w:r>
            <w:r w:rsidR="007974C4" w:rsidRPr="00820F17">
              <w:rPr>
                <w:rStyle w:val="Hyperlink"/>
              </w:rPr>
              <w:t>Existing C&amp;I EE&amp;C Measure Protocols</w:t>
            </w:r>
            <w:r w:rsidR="007974C4">
              <w:rPr>
                <w:webHidden/>
              </w:rPr>
              <w:tab/>
            </w:r>
            <w:r w:rsidR="007974C4">
              <w:rPr>
                <w:webHidden/>
              </w:rPr>
              <w:fldChar w:fldCharType="begin"/>
            </w:r>
            <w:r w:rsidR="007974C4">
              <w:rPr>
                <w:webHidden/>
              </w:rPr>
              <w:instrText xml:space="preserve"> PAGEREF _Toc15657950 \h </w:instrText>
            </w:r>
            <w:r w:rsidR="007974C4">
              <w:rPr>
                <w:webHidden/>
              </w:rPr>
            </w:r>
            <w:r w:rsidR="007974C4">
              <w:rPr>
                <w:webHidden/>
              </w:rPr>
              <w:fldChar w:fldCharType="separate"/>
            </w:r>
            <w:r w:rsidR="00B10CDB">
              <w:rPr>
                <w:webHidden/>
              </w:rPr>
              <w:t>79</w:t>
            </w:r>
            <w:r w:rsidR="007974C4">
              <w:rPr>
                <w:webHidden/>
              </w:rPr>
              <w:fldChar w:fldCharType="end"/>
            </w:r>
          </w:hyperlink>
        </w:p>
        <w:p w14:paraId="6C616E36" w14:textId="2E021BA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1"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Section 3.1.1 – Lighting Improvements</w:t>
            </w:r>
            <w:r w:rsidR="007974C4">
              <w:rPr>
                <w:noProof/>
                <w:webHidden/>
              </w:rPr>
              <w:tab/>
            </w:r>
            <w:r w:rsidR="007974C4">
              <w:rPr>
                <w:noProof/>
                <w:webHidden/>
              </w:rPr>
              <w:fldChar w:fldCharType="begin"/>
            </w:r>
            <w:r w:rsidR="007974C4">
              <w:rPr>
                <w:noProof/>
                <w:webHidden/>
              </w:rPr>
              <w:instrText xml:space="preserve"> PAGEREF _Toc15657951 \h </w:instrText>
            </w:r>
            <w:r w:rsidR="007974C4">
              <w:rPr>
                <w:noProof/>
                <w:webHidden/>
              </w:rPr>
            </w:r>
            <w:r w:rsidR="007974C4">
              <w:rPr>
                <w:noProof/>
                <w:webHidden/>
              </w:rPr>
              <w:fldChar w:fldCharType="separate"/>
            </w:r>
            <w:r w:rsidR="00B10CDB">
              <w:rPr>
                <w:noProof/>
                <w:webHidden/>
              </w:rPr>
              <w:t>81</w:t>
            </w:r>
            <w:r w:rsidR="007974C4">
              <w:rPr>
                <w:noProof/>
                <w:webHidden/>
              </w:rPr>
              <w:fldChar w:fldCharType="end"/>
            </w:r>
          </w:hyperlink>
        </w:p>
        <w:p w14:paraId="70CE026E" w14:textId="41C28C2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2"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Section 3.1.2 – New Construction Lighting</w:t>
            </w:r>
            <w:r w:rsidR="007974C4">
              <w:rPr>
                <w:noProof/>
                <w:webHidden/>
              </w:rPr>
              <w:tab/>
            </w:r>
            <w:r w:rsidR="007974C4">
              <w:rPr>
                <w:noProof/>
                <w:webHidden/>
              </w:rPr>
              <w:fldChar w:fldCharType="begin"/>
            </w:r>
            <w:r w:rsidR="007974C4">
              <w:rPr>
                <w:noProof/>
                <w:webHidden/>
              </w:rPr>
              <w:instrText xml:space="preserve"> PAGEREF _Toc15657952 \h </w:instrText>
            </w:r>
            <w:r w:rsidR="007974C4">
              <w:rPr>
                <w:noProof/>
                <w:webHidden/>
              </w:rPr>
            </w:r>
            <w:r w:rsidR="007974C4">
              <w:rPr>
                <w:noProof/>
                <w:webHidden/>
              </w:rPr>
              <w:fldChar w:fldCharType="separate"/>
            </w:r>
            <w:r w:rsidR="00B10CDB">
              <w:rPr>
                <w:noProof/>
                <w:webHidden/>
              </w:rPr>
              <w:t>88</w:t>
            </w:r>
            <w:r w:rsidR="007974C4">
              <w:rPr>
                <w:noProof/>
                <w:webHidden/>
              </w:rPr>
              <w:fldChar w:fldCharType="end"/>
            </w:r>
          </w:hyperlink>
        </w:p>
        <w:p w14:paraId="2A4016B2" w14:textId="071C377F"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3" w:history="1">
            <w:r w:rsidR="007974C4" w:rsidRPr="00820F17">
              <w:rPr>
                <w:rStyle w:val="Hyperlink"/>
                <w:noProof/>
              </w:rPr>
              <w:t>3.</w:t>
            </w:r>
            <w:r w:rsidR="007974C4">
              <w:rPr>
                <w:rFonts w:asciiTheme="minorHAnsi" w:eastAsiaTheme="minorEastAsia" w:hAnsiTheme="minorHAnsi" w:cstheme="minorBidi"/>
                <w:noProof/>
                <w:sz w:val="22"/>
                <w:szCs w:val="22"/>
              </w:rPr>
              <w:tab/>
            </w:r>
            <w:r w:rsidR="007974C4" w:rsidRPr="00820F17">
              <w:rPr>
                <w:rStyle w:val="Hyperlink"/>
                <w:noProof/>
              </w:rPr>
              <w:t>Section 3.1.5 – LED Exit Signs</w:t>
            </w:r>
            <w:r w:rsidR="007974C4">
              <w:rPr>
                <w:noProof/>
                <w:webHidden/>
              </w:rPr>
              <w:tab/>
            </w:r>
            <w:r w:rsidR="007974C4">
              <w:rPr>
                <w:noProof/>
                <w:webHidden/>
              </w:rPr>
              <w:fldChar w:fldCharType="begin"/>
            </w:r>
            <w:r w:rsidR="007974C4">
              <w:rPr>
                <w:noProof/>
                <w:webHidden/>
              </w:rPr>
              <w:instrText xml:space="preserve"> PAGEREF _Toc15657953 \h </w:instrText>
            </w:r>
            <w:r w:rsidR="007974C4">
              <w:rPr>
                <w:noProof/>
                <w:webHidden/>
              </w:rPr>
            </w:r>
            <w:r w:rsidR="007974C4">
              <w:rPr>
                <w:noProof/>
                <w:webHidden/>
              </w:rPr>
              <w:fldChar w:fldCharType="separate"/>
            </w:r>
            <w:r w:rsidR="00B10CDB">
              <w:rPr>
                <w:noProof/>
                <w:webHidden/>
              </w:rPr>
              <w:t>89</w:t>
            </w:r>
            <w:r w:rsidR="007974C4">
              <w:rPr>
                <w:noProof/>
                <w:webHidden/>
              </w:rPr>
              <w:fldChar w:fldCharType="end"/>
            </w:r>
          </w:hyperlink>
        </w:p>
        <w:p w14:paraId="77B37152" w14:textId="2020C056"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4" w:history="1">
            <w:r w:rsidR="007974C4" w:rsidRPr="00820F17">
              <w:rPr>
                <w:rStyle w:val="Hyperlink"/>
                <w:noProof/>
              </w:rPr>
              <w:t>4.</w:t>
            </w:r>
            <w:r w:rsidR="007974C4">
              <w:rPr>
                <w:rFonts w:asciiTheme="minorHAnsi" w:eastAsiaTheme="minorEastAsia" w:hAnsiTheme="minorHAnsi" w:cstheme="minorBidi"/>
                <w:noProof/>
                <w:sz w:val="22"/>
                <w:szCs w:val="22"/>
              </w:rPr>
              <w:tab/>
            </w:r>
            <w:r w:rsidR="007974C4" w:rsidRPr="00820F17">
              <w:rPr>
                <w:rStyle w:val="Hyperlink"/>
                <w:noProof/>
              </w:rPr>
              <w:t>Section 3.1.6 – LED Channel Signage</w:t>
            </w:r>
            <w:r w:rsidR="007974C4">
              <w:rPr>
                <w:noProof/>
                <w:webHidden/>
              </w:rPr>
              <w:tab/>
            </w:r>
            <w:r w:rsidR="007974C4">
              <w:rPr>
                <w:noProof/>
                <w:webHidden/>
              </w:rPr>
              <w:fldChar w:fldCharType="begin"/>
            </w:r>
            <w:r w:rsidR="007974C4">
              <w:rPr>
                <w:noProof/>
                <w:webHidden/>
              </w:rPr>
              <w:instrText xml:space="preserve"> PAGEREF _Toc15657954 \h </w:instrText>
            </w:r>
            <w:r w:rsidR="007974C4">
              <w:rPr>
                <w:noProof/>
                <w:webHidden/>
              </w:rPr>
            </w:r>
            <w:r w:rsidR="007974C4">
              <w:rPr>
                <w:noProof/>
                <w:webHidden/>
              </w:rPr>
              <w:fldChar w:fldCharType="separate"/>
            </w:r>
            <w:r w:rsidR="00B10CDB">
              <w:rPr>
                <w:noProof/>
                <w:webHidden/>
              </w:rPr>
              <w:t>89</w:t>
            </w:r>
            <w:r w:rsidR="007974C4">
              <w:rPr>
                <w:noProof/>
                <w:webHidden/>
              </w:rPr>
              <w:fldChar w:fldCharType="end"/>
            </w:r>
          </w:hyperlink>
        </w:p>
        <w:p w14:paraId="3A0F3BA5" w14:textId="6981A7B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5" w:history="1">
            <w:r w:rsidR="007974C4" w:rsidRPr="00820F17">
              <w:rPr>
                <w:rStyle w:val="Hyperlink"/>
                <w:noProof/>
              </w:rPr>
              <w:t>5.</w:t>
            </w:r>
            <w:r w:rsidR="007974C4">
              <w:rPr>
                <w:rFonts w:asciiTheme="minorHAnsi" w:eastAsiaTheme="minorEastAsia" w:hAnsiTheme="minorHAnsi" w:cstheme="minorBidi"/>
                <w:noProof/>
                <w:sz w:val="22"/>
                <w:szCs w:val="22"/>
              </w:rPr>
              <w:tab/>
            </w:r>
            <w:r w:rsidR="007974C4" w:rsidRPr="00820F17">
              <w:rPr>
                <w:rStyle w:val="Hyperlink"/>
                <w:noProof/>
              </w:rPr>
              <w:t>Section 3.2.1 – HVAC Systems</w:t>
            </w:r>
            <w:r w:rsidR="007974C4">
              <w:rPr>
                <w:noProof/>
                <w:webHidden/>
              </w:rPr>
              <w:tab/>
            </w:r>
            <w:r w:rsidR="007974C4">
              <w:rPr>
                <w:noProof/>
                <w:webHidden/>
              </w:rPr>
              <w:fldChar w:fldCharType="begin"/>
            </w:r>
            <w:r w:rsidR="007974C4">
              <w:rPr>
                <w:noProof/>
                <w:webHidden/>
              </w:rPr>
              <w:instrText xml:space="preserve"> PAGEREF _Toc15657955 \h </w:instrText>
            </w:r>
            <w:r w:rsidR="007974C4">
              <w:rPr>
                <w:noProof/>
                <w:webHidden/>
              </w:rPr>
            </w:r>
            <w:r w:rsidR="007974C4">
              <w:rPr>
                <w:noProof/>
                <w:webHidden/>
              </w:rPr>
              <w:fldChar w:fldCharType="separate"/>
            </w:r>
            <w:r w:rsidR="00B10CDB">
              <w:rPr>
                <w:noProof/>
                <w:webHidden/>
              </w:rPr>
              <w:t>90</w:t>
            </w:r>
            <w:r w:rsidR="007974C4">
              <w:rPr>
                <w:noProof/>
                <w:webHidden/>
              </w:rPr>
              <w:fldChar w:fldCharType="end"/>
            </w:r>
          </w:hyperlink>
        </w:p>
        <w:p w14:paraId="756FEF4C" w14:textId="47C6872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6" w:history="1">
            <w:r w:rsidR="007974C4" w:rsidRPr="00820F17">
              <w:rPr>
                <w:rStyle w:val="Hyperlink"/>
                <w:noProof/>
              </w:rPr>
              <w:t>6.</w:t>
            </w:r>
            <w:r w:rsidR="007974C4">
              <w:rPr>
                <w:rFonts w:asciiTheme="minorHAnsi" w:eastAsiaTheme="minorEastAsia" w:hAnsiTheme="minorHAnsi" w:cstheme="minorBidi"/>
                <w:noProof/>
                <w:sz w:val="22"/>
                <w:szCs w:val="22"/>
              </w:rPr>
              <w:tab/>
            </w:r>
            <w:r w:rsidR="007974C4" w:rsidRPr="00820F17">
              <w:rPr>
                <w:rStyle w:val="Hyperlink"/>
                <w:noProof/>
              </w:rPr>
              <w:t>Section 3.2.2 – Electric Chillers</w:t>
            </w:r>
            <w:r w:rsidR="007974C4">
              <w:rPr>
                <w:noProof/>
                <w:webHidden/>
              </w:rPr>
              <w:tab/>
            </w:r>
            <w:r w:rsidR="007974C4">
              <w:rPr>
                <w:noProof/>
                <w:webHidden/>
              </w:rPr>
              <w:fldChar w:fldCharType="begin"/>
            </w:r>
            <w:r w:rsidR="007974C4">
              <w:rPr>
                <w:noProof/>
                <w:webHidden/>
              </w:rPr>
              <w:instrText xml:space="preserve"> PAGEREF _Toc15657956 \h </w:instrText>
            </w:r>
            <w:r w:rsidR="007974C4">
              <w:rPr>
                <w:noProof/>
                <w:webHidden/>
              </w:rPr>
            </w:r>
            <w:r w:rsidR="007974C4">
              <w:rPr>
                <w:noProof/>
                <w:webHidden/>
              </w:rPr>
              <w:fldChar w:fldCharType="separate"/>
            </w:r>
            <w:r w:rsidR="00B10CDB">
              <w:rPr>
                <w:noProof/>
                <w:webHidden/>
              </w:rPr>
              <w:t>91</w:t>
            </w:r>
            <w:r w:rsidR="007974C4">
              <w:rPr>
                <w:noProof/>
                <w:webHidden/>
              </w:rPr>
              <w:fldChar w:fldCharType="end"/>
            </w:r>
          </w:hyperlink>
        </w:p>
        <w:p w14:paraId="623C25F3" w14:textId="71AE76F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7" w:history="1">
            <w:r w:rsidR="007974C4" w:rsidRPr="00820F17">
              <w:rPr>
                <w:rStyle w:val="Hyperlink"/>
                <w:noProof/>
              </w:rPr>
              <w:t>7.</w:t>
            </w:r>
            <w:r w:rsidR="007974C4">
              <w:rPr>
                <w:rFonts w:asciiTheme="minorHAnsi" w:eastAsiaTheme="minorEastAsia" w:hAnsiTheme="minorHAnsi" w:cstheme="minorBidi"/>
                <w:noProof/>
                <w:sz w:val="22"/>
                <w:szCs w:val="22"/>
              </w:rPr>
              <w:tab/>
            </w:r>
            <w:r w:rsidR="007974C4" w:rsidRPr="00820F17">
              <w:rPr>
                <w:rStyle w:val="Hyperlink"/>
                <w:noProof/>
              </w:rPr>
              <w:t>Section 3.2.4 – Ductless Mini-split Heat Pumps – Commercial &lt; 5.4 Tons</w:t>
            </w:r>
            <w:r w:rsidR="007974C4">
              <w:rPr>
                <w:noProof/>
                <w:webHidden/>
              </w:rPr>
              <w:tab/>
            </w:r>
            <w:r w:rsidR="007974C4">
              <w:rPr>
                <w:noProof/>
                <w:webHidden/>
              </w:rPr>
              <w:fldChar w:fldCharType="begin"/>
            </w:r>
            <w:r w:rsidR="007974C4">
              <w:rPr>
                <w:noProof/>
                <w:webHidden/>
              </w:rPr>
              <w:instrText xml:space="preserve"> PAGEREF _Toc15657957 \h </w:instrText>
            </w:r>
            <w:r w:rsidR="007974C4">
              <w:rPr>
                <w:noProof/>
                <w:webHidden/>
              </w:rPr>
            </w:r>
            <w:r w:rsidR="007974C4">
              <w:rPr>
                <w:noProof/>
                <w:webHidden/>
              </w:rPr>
              <w:fldChar w:fldCharType="separate"/>
            </w:r>
            <w:r w:rsidR="00B10CDB">
              <w:rPr>
                <w:noProof/>
                <w:webHidden/>
              </w:rPr>
              <w:t>92</w:t>
            </w:r>
            <w:r w:rsidR="007974C4">
              <w:rPr>
                <w:noProof/>
                <w:webHidden/>
              </w:rPr>
              <w:fldChar w:fldCharType="end"/>
            </w:r>
          </w:hyperlink>
        </w:p>
        <w:p w14:paraId="3888D87C" w14:textId="14D1E596"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8" w:history="1">
            <w:r w:rsidR="007974C4" w:rsidRPr="00820F17">
              <w:rPr>
                <w:rStyle w:val="Hyperlink"/>
                <w:noProof/>
              </w:rPr>
              <w:t>8.</w:t>
            </w:r>
            <w:r w:rsidR="007974C4">
              <w:rPr>
                <w:rFonts w:asciiTheme="minorHAnsi" w:eastAsiaTheme="minorEastAsia" w:hAnsiTheme="minorHAnsi" w:cstheme="minorBidi"/>
                <w:noProof/>
                <w:sz w:val="22"/>
                <w:szCs w:val="22"/>
              </w:rPr>
              <w:tab/>
            </w:r>
            <w:r w:rsidR="007974C4" w:rsidRPr="00820F17">
              <w:rPr>
                <w:rStyle w:val="Hyperlink"/>
                <w:noProof/>
              </w:rPr>
              <w:t xml:space="preserve">Section 3.2.5 – Fuel Switching: Small Commercial Electric Heat to </w:t>
            </w:r>
            <w:r w:rsidR="007974C4">
              <w:rPr>
                <w:rStyle w:val="Hyperlink"/>
                <w:noProof/>
              </w:rPr>
              <w:br/>
            </w:r>
            <w:r w:rsidR="007974C4" w:rsidRPr="00820F17">
              <w:rPr>
                <w:rStyle w:val="Hyperlink"/>
                <w:noProof/>
              </w:rPr>
              <w:t>Natural Gas / Propane / Oil Heat</w:t>
            </w:r>
            <w:r w:rsidR="007974C4">
              <w:rPr>
                <w:noProof/>
                <w:webHidden/>
              </w:rPr>
              <w:tab/>
            </w:r>
            <w:r w:rsidR="007974C4">
              <w:rPr>
                <w:noProof/>
                <w:webHidden/>
              </w:rPr>
              <w:fldChar w:fldCharType="begin"/>
            </w:r>
            <w:r w:rsidR="007974C4">
              <w:rPr>
                <w:noProof/>
                <w:webHidden/>
              </w:rPr>
              <w:instrText xml:space="preserve"> PAGEREF _Toc15657958 \h </w:instrText>
            </w:r>
            <w:r w:rsidR="007974C4">
              <w:rPr>
                <w:noProof/>
                <w:webHidden/>
              </w:rPr>
            </w:r>
            <w:r w:rsidR="007974C4">
              <w:rPr>
                <w:noProof/>
                <w:webHidden/>
              </w:rPr>
              <w:fldChar w:fldCharType="separate"/>
            </w:r>
            <w:r w:rsidR="00B10CDB">
              <w:rPr>
                <w:noProof/>
                <w:webHidden/>
              </w:rPr>
              <w:t>93</w:t>
            </w:r>
            <w:r w:rsidR="007974C4">
              <w:rPr>
                <w:noProof/>
                <w:webHidden/>
              </w:rPr>
              <w:fldChar w:fldCharType="end"/>
            </w:r>
          </w:hyperlink>
        </w:p>
        <w:p w14:paraId="74E5D487" w14:textId="596B42E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59" w:history="1">
            <w:r w:rsidR="007974C4" w:rsidRPr="00820F17">
              <w:rPr>
                <w:rStyle w:val="Hyperlink"/>
                <w:noProof/>
              </w:rPr>
              <w:t>9.</w:t>
            </w:r>
            <w:r w:rsidR="007974C4">
              <w:rPr>
                <w:rFonts w:asciiTheme="minorHAnsi" w:eastAsiaTheme="minorEastAsia" w:hAnsiTheme="minorHAnsi" w:cstheme="minorBidi"/>
                <w:noProof/>
                <w:sz w:val="22"/>
                <w:szCs w:val="22"/>
              </w:rPr>
              <w:tab/>
            </w:r>
            <w:r w:rsidR="007974C4" w:rsidRPr="00820F17">
              <w:rPr>
                <w:rStyle w:val="Hyperlink"/>
                <w:noProof/>
              </w:rPr>
              <w:t>Section 3.2.6 – Small C&amp;I HVAC Refrigerant Charge Correction</w:t>
            </w:r>
            <w:r w:rsidR="007974C4">
              <w:rPr>
                <w:noProof/>
                <w:webHidden/>
              </w:rPr>
              <w:tab/>
            </w:r>
            <w:r w:rsidR="007974C4">
              <w:rPr>
                <w:noProof/>
                <w:webHidden/>
              </w:rPr>
              <w:fldChar w:fldCharType="begin"/>
            </w:r>
            <w:r w:rsidR="007974C4">
              <w:rPr>
                <w:noProof/>
                <w:webHidden/>
              </w:rPr>
              <w:instrText xml:space="preserve"> PAGEREF _Toc15657959 \h </w:instrText>
            </w:r>
            <w:r w:rsidR="007974C4">
              <w:rPr>
                <w:noProof/>
                <w:webHidden/>
              </w:rPr>
            </w:r>
            <w:r w:rsidR="007974C4">
              <w:rPr>
                <w:noProof/>
                <w:webHidden/>
              </w:rPr>
              <w:fldChar w:fldCharType="separate"/>
            </w:r>
            <w:r w:rsidR="00B10CDB">
              <w:rPr>
                <w:noProof/>
                <w:webHidden/>
              </w:rPr>
              <w:t>94</w:t>
            </w:r>
            <w:r w:rsidR="007974C4">
              <w:rPr>
                <w:noProof/>
                <w:webHidden/>
              </w:rPr>
              <w:fldChar w:fldCharType="end"/>
            </w:r>
          </w:hyperlink>
        </w:p>
        <w:p w14:paraId="301723D3" w14:textId="51FF049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0" w:history="1">
            <w:r w:rsidR="007974C4" w:rsidRPr="00820F17">
              <w:rPr>
                <w:rStyle w:val="Hyperlink"/>
                <w:noProof/>
              </w:rPr>
              <w:t>10.</w:t>
            </w:r>
            <w:r w:rsidR="007974C4">
              <w:rPr>
                <w:rFonts w:asciiTheme="minorHAnsi" w:eastAsiaTheme="minorEastAsia" w:hAnsiTheme="minorHAnsi" w:cstheme="minorBidi"/>
                <w:noProof/>
                <w:sz w:val="22"/>
                <w:szCs w:val="22"/>
              </w:rPr>
              <w:tab/>
            </w:r>
            <w:r w:rsidR="007974C4" w:rsidRPr="00820F17">
              <w:rPr>
                <w:rStyle w:val="Hyperlink"/>
                <w:noProof/>
              </w:rPr>
              <w:t>Section 3.2.7 – ENERGY STAR Room Air Conditioner</w:t>
            </w:r>
            <w:r w:rsidR="007974C4">
              <w:rPr>
                <w:noProof/>
                <w:webHidden/>
              </w:rPr>
              <w:tab/>
            </w:r>
            <w:r w:rsidR="007974C4">
              <w:rPr>
                <w:noProof/>
                <w:webHidden/>
              </w:rPr>
              <w:fldChar w:fldCharType="begin"/>
            </w:r>
            <w:r w:rsidR="007974C4">
              <w:rPr>
                <w:noProof/>
                <w:webHidden/>
              </w:rPr>
              <w:instrText xml:space="preserve"> PAGEREF _Toc15657960 \h </w:instrText>
            </w:r>
            <w:r w:rsidR="007974C4">
              <w:rPr>
                <w:noProof/>
                <w:webHidden/>
              </w:rPr>
            </w:r>
            <w:r w:rsidR="007974C4">
              <w:rPr>
                <w:noProof/>
                <w:webHidden/>
              </w:rPr>
              <w:fldChar w:fldCharType="separate"/>
            </w:r>
            <w:r w:rsidR="00B10CDB">
              <w:rPr>
                <w:noProof/>
                <w:webHidden/>
              </w:rPr>
              <w:t>94</w:t>
            </w:r>
            <w:r w:rsidR="007974C4">
              <w:rPr>
                <w:noProof/>
                <w:webHidden/>
              </w:rPr>
              <w:fldChar w:fldCharType="end"/>
            </w:r>
          </w:hyperlink>
        </w:p>
        <w:p w14:paraId="02C614F9" w14:textId="0936BD7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1" w:history="1">
            <w:r w:rsidR="007974C4" w:rsidRPr="00820F17">
              <w:rPr>
                <w:rStyle w:val="Hyperlink"/>
                <w:noProof/>
              </w:rPr>
              <w:t>11.</w:t>
            </w:r>
            <w:r w:rsidR="007974C4">
              <w:rPr>
                <w:rFonts w:asciiTheme="minorHAnsi" w:eastAsiaTheme="minorEastAsia" w:hAnsiTheme="minorHAnsi" w:cstheme="minorBidi"/>
                <w:noProof/>
                <w:sz w:val="22"/>
                <w:szCs w:val="22"/>
              </w:rPr>
              <w:tab/>
            </w:r>
            <w:r w:rsidR="007974C4" w:rsidRPr="00820F17">
              <w:rPr>
                <w:rStyle w:val="Hyperlink"/>
                <w:noProof/>
              </w:rPr>
              <w:t>Section 3.2.9 – Controls: Economizer</w:t>
            </w:r>
            <w:r w:rsidR="007974C4">
              <w:rPr>
                <w:noProof/>
                <w:webHidden/>
              </w:rPr>
              <w:tab/>
            </w:r>
            <w:r w:rsidR="007974C4">
              <w:rPr>
                <w:noProof/>
                <w:webHidden/>
              </w:rPr>
              <w:fldChar w:fldCharType="begin"/>
            </w:r>
            <w:r w:rsidR="007974C4">
              <w:rPr>
                <w:noProof/>
                <w:webHidden/>
              </w:rPr>
              <w:instrText xml:space="preserve"> PAGEREF _Toc15657961 \h </w:instrText>
            </w:r>
            <w:r w:rsidR="007974C4">
              <w:rPr>
                <w:noProof/>
                <w:webHidden/>
              </w:rPr>
            </w:r>
            <w:r w:rsidR="007974C4">
              <w:rPr>
                <w:noProof/>
                <w:webHidden/>
              </w:rPr>
              <w:fldChar w:fldCharType="separate"/>
            </w:r>
            <w:r w:rsidR="00B10CDB">
              <w:rPr>
                <w:noProof/>
                <w:webHidden/>
              </w:rPr>
              <w:t>96</w:t>
            </w:r>
            <w:r w:rsidR="007974C4">
              <w:rPr>
                <w:noProof/>
                <w:webHidden/>
              </w:rPr>
              <w:fldChar w:fldCharType="end"/>
            </w:r>
          </w:hyperlink>
        </w:p>
        <w:p w14:paraId="041F343B" w14:textId="0C1F67E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2" w:history="1">
            <w:r w:rsidR="007974C4" w:rsidRPr="00820F17">
              <w:rPr>
                <w:rStyle w:val="Hyperlink"/>
                <w:noProof/>
              </w:rPr>
              <w:t>12.</w:t>
            </w:r>
            <w:r w:rsidR="007974C4">
              <w:rPr>
                <w:rFonts w:asciiTheme="minorHAnsi" w:eastAsiaTheme="minorEastAsia" w:hAnsiTheme="minorHAnsi" w:cstheme="minorBidi"/>
                <w:noProof/>
                <w:sz w:val="22"/>
                <w:szCs w:val="22"/>
              </w:rPr>
              <w:tab/>
            </w:r>
            <w:r w:rsidR="007974C4" w:rsidRPr="00820F17">
              <w:rPr>
                <w:rStyle w:val="Hyperlink"/>
                <w:noProof/>
              </w:rPr>
              <w:t>Section 3.3.1 – Premium Efficiency Motors</w:t>
            </w:r>
            <w:r w:rsidR="007974C4">
              <w:rPr>
                <w:noProof/>
                <w:webHidden/>
              </w:rPr>
              <w:tab/>
            </w:r>
            <w:r w:rsidR="007974C4">
              <w:rPr>
                <w:noProof/>
                <w:webHidden/>
              </w:rPr>
              <w:fldChar w:fldCharType="begin"/>
            </w:r>
            <w:r w:rsidR="007974C4">
              <w:rPr>
                <w:noProof/>
                <w:webHidden/>
              </w:rPr>
              <w:instrText xml:space="preserve"> PAGEREF _Toc15657962 \h </w:instrText>
            </w:r>
            <w:r w:rsidR="007974C4">
              <w:rPr>
                <w:noProof/>
                <w:webHidden/>
              </w:rPr>
            </w:r>
            <w:r w:rsidR="007974C4">
              <w:rPr>
                <w:noProof/>
                <w:webHidden/>
              </w:rPr>
              <w:fldChar w:fldCharType="separate"/>
            </w:r>
            <w:r w:rsidR="00B10CDB">
              <w:rPr>
                <w:noProof/>
                <w:webHidden/>
              </w:rPr>
              <w:t>96</w:t>
            </w:r>
            <w:r w:rsidR="007974C4">
              <w:rPr>
                <w:noProof/>
                <w:webHidden/>
              </w:rPr>
              <w:fldChar w:fldCharType="end"/>
            </w:r>
          </w:hyperlink>
        </w:p>
        <w:p w14:paraId="3C236F83" w14:textId="6BDD09C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3" w:history="1">
            <w:r w:rsidR="007974C4" w:rsidRPr="00820F17">
              <w:rPr>
                <w:rStyle w:val="Hyperlink"/>
                <w:noProof/>
              </w:rPr>
              <w:t>13.</w:t>
            </w:r>
            <w:r w:rsidR="007974C4">
              <w:rPr>
                <w:rFonts w:asciiTheme="minorHAnsi" w:eastAsiaTheme="minorEastAsia" w:hAnsiTheme="minorHAnsi" w:cstheme="minorBidi"/>
                <w:noProof/>
                <w:sz w:val="22"/>
                <w:szCs w:val="22"/>
              </w:rPr>
              <w:tab/>
            </w:r>
            <w:r w:rsidR="007974C4" w:rsidRPr="00820F17">
              <w:rPr>
                <w:rStyle w:val="Hyperlink"/>
                <w:noProof/>
              </w:rPr>
              <w:t>Section 3.3.2 – Variable Frequency Drive (VFD) Improvements</w:t>
            </w:r>
            <w:r w:rsidR="007974C4">
              <w:rPr>
                <w:noProof/>
                <w:webHidden/>
              </w:rPr>
              <w:tab/>
            </w:r>
            <w:r w:rsidR="007974C4">
              <w:rPr>
                <w:noProof/>
                <w:webHidden/>
              </w:rPr>
              <w:fldChar w:fldCharType="begin"/>
            </w:r>
            <w:r w:rsidR="007974C4">
              <w:rPr>
                <w:noProof/>
                <w:webHidden/>
              </w:rPr>
              <w:instrText xml:space="preserve"> PAGEREF _Toc15657963 \h </w:instrText>
            </w:r>
            <w:r w:rsidR="007974C4">
              <w:rPr>
                <w:noProof/>
                <w:webHidden/>
              </w:rPr>
            </w:r>
            <w:r w:rsidR="007974C4">
              <w:rPr>
                <w:noProof/>
                <w:webHidden/>
              </w:rPr>
              <w:fldChar w:fldCharType="separate"/>
            </w:r>
            <w:r w:rsidR="00B10CDB">
              <w:rPr>
                <w:noProof/>
                <w:webHidden/>
              </w:rPr>
              <w:t>97</w:t>
            </w:r>
            <w:r w:rsidR="007974C4">
              <w:rPr>
                <w:noProof/>
                <w:webHidden/>
              </w:rPr>
              <w:fldChar w:fldCharType="end"/>
            </w:r>
          </w:hyperlink>
        </w:p>
        <w:p w14:paraId="3679C847" w14:textId="5F32C8D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4" w:history="1">
            <w:r w:rsidR="007974C4" w:rsidRPr="00820F17">
              <w:rPr>
                <w:rStyle w:val="Hyperlink"/>
                <w:noProof/>
              </w:rPr>
              <w:t>14.</w:t>
            </w:r>
            <w:r w:rsidR="007974C4">
              <w:rPr>
                <w:rFonts w:asciiTheme="minorHAnsi" w:eastAsiaTheme="minorEastAsia" w:hAnsiTheme="minorHAnsi" w:cstheme="minorBidi"/>
                <w:noProof/>
                <w:sz w:val="22"/>
                <w:szCs w:val="22"/>
              </w:rPr>
              <w:tab/>
            </w:r>
            <w:r w:rsidR="007974C4" w:rsidRPr="00820F17">
              <w:rPr>
                <w:rStyle w:val="Hyperlink"/>
                <w:noProof/>
              </w:rPr>
              <w:t>Section 3.3.3 – ECM Circulating Fan</w:t>
            </w:r>
            <w:r w:rsidR="007974C4">
              <w:rPr>
                <w:noProof/>
                <w:webHidden/>
              </w:rPr>
              <w:tab/>
            </w:r>
            <w:r w:rsidR="007974C4">
              <w:rPr>
                <w:noProof/>
                <w:webHidden/>
              </w:rPr>
              <w:fldChar w:fldCharType="begin"/>
            </w:r>
            <w:r w:rsidR="007974C4">
              <w:rPr>
                <w:noProof/>
                <w:webHidden/>
              </w:rPr>
              <w:instrText xml:space="preserve"> PAGEREF _Toc15657964 \h </w:instrText>
            </w:r>
            <w:r w:rsidR="007974C4">
              <w:rPr>
                <w:noProof/>
                <w:webHidden/>
              </w:rPr>
            </w:r>
            <w:r w:rsidR="007974C4">
              <w:rPr>
                <w:noProof/>
                <w:webHidden/>
              </w:rPr>
              <w:fldChar w:fldCharType="separate"/>
            </w:r>
            <w:r w:rsidR="00B10CDB">
              <w:rPr>
                <w:noProof/>
                <w:webHidden/>
              </w:rPr>
              <w:t>98</w:t>
            </w:r>
            <w:r w:rsidR="007974C4">
              <w:rPr>
                <w:noProof/>
                <w:webHidden/>
              </w:rPr>
              <w:fldChar w:fldCharType="end"/>
            </w:r>
          </w:hyperlink>
        </w:p>
        <w:p w14:paraId="79051239" w14:textId="1476EB0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5" w:history="1">
            <w:r w:rsidR="007974C4" w:rsidRPr="00820F17">
              <w:rPr>
                <w:rStyle w:val="Hyperlink"/>
                <w:noProof/>
              </w:rPr>
              <w:t>15.</w:t>
            </w:r>
            <w:r w:rsidR="007974C4">
              <w:rPr>
                <w:rFonts w:asciiTheme="minorHAnsi" w:eastAsiaTheme="minorEastAsia" w:hAnsiTheme="minorHAnsi" w:cstheme="minorBidi"/>
                <w:noProof/>
                <w:sz w:val="22"/>
                <w:szCs w:val="22"/>
              </w:rPr>
              <w:tab/>
            </w:r>
            <w:r w:rsidR="007974C4" w:rsidRPr="00820F17">
              <w:rPr>
                <w:rStyle w:val="Hyperlink"/>
                <w:noProof/>
              </w:rPr>
              <w:t>Section 3.3.4 – VSD on Kitchen Exhaust Fan</w:t>
            </w:r>
            <w:r w:rsidR="007974C4">
              <w:rPr>
                <w:noProof/>
                <w:webHidden/>
              </w:rPr>
              <w:tab/>
            </w:r>
            <w:r w:rsidR="007974C4">
              <w:rPr>
                <w:noProof/>
                <w:webHidden/>
              </w:rPr>
              <w:fldChar w:fldCharType="begin"/>
            </w:r>
            <w:r w:rsidR="007974C4">
              <w:rPr>
                <w:noProof/>
                <w:webHidden/>
              </w:rPr>
              <w:instrText xml:space="preserve"> PAGEREF _Toc15657965 \h </w:instrText>
            </w:r>
            <w:r w:rsidR="007974C4">
              <w:rPr>
                <w:noProof/>
                <w:webHidden/>
              </w:rPr>
            </w:r>
            <w:r w:rsidR="007974C4">
              <w:rPr>
                <w:noProof/>
                <w:webHidden/>
              </w:rPr>
              <w:fldChar w:fldCharType="separate"/>
            </w:r>
            <w:r w:rsidR="00B10CDB">
              <w:rPr>
                <w:noProof/>
                <w:webHidden/>
              </w:rPr>
              <w:t>98</w:t>
            </w:r>
            <w:r w:rsidR="007974C4">
              <w:rPr>
                <w:noProof/>
                <w:webHidden/>
              </w:rPr>
              <w:fldChar w:fldCharType="end"/>
            </w:r>
          </w:hyperlink>
        </w:p>
        <w:p w14:paraId="52990B05" w14:textId="1273D3F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6" w:history="1">
            <w:r w:rsidR="007974C4" w:rsidRPr="00820F17">
              <w:rPr>
                <w:rStyle w:val="Hyperlink"/>
                <w:noProof/>
              </w:rPr>
              <w:t>16.</w:t>
            </w:r>
            <w:r w:rsidR="007974C4">
              <w:rPr>
                <w:rFonts w:asciiTheme="minorHAnsi" w:eastAsiaTheme="minorEastAsia" w:hAnsiTheme="minorHAnsi" w:cstheme="minorBidi"/>
                <w:noProof/>
                <w:sz w:val="22"/>
                <w:szCs w:val="22"/>
              </w:rPr>
              <w:tab/>
            </w:r>
            <w:r w:rsidR="007974C4" w:rsidRPr="00820F17">
              <w:rPr>
                <w:rStyle w:val="Hyperlink"/>
                <w:noProof/>
              </w:rPr>
              <w:t>Section 3.4.1 – Heat Pump Water Heaters</w:t>
            </w:r>
            <w:r w:rsidR="007974C4">
              <w:rPr>
                <w:noProof/>
                <w:webHidden/>
              </w:rPr>
              <w:tab/>
            </w:r>
            <w:r w:rsidR="007974C4">
              <w:rPr>
                <w:noProof/>
                <w:webHidden/>
              </w:rPr>
              <w:fldChar w:fldCharType="begin"/>
            </w:r>
            <w:r w:rsidR="007974C4">
              <w:rPr>
                <w:noProof/>
                <w:webHidden/>
              </w:rPr>
              <w:instrText xml:space="preserve"> PAGEREF _Toc15657966 \h </w:instrText>
            </w:r>
            <w:r w:rsidR="007974C4">
              <w:rPr>
                <w:noProof/>
                <w:webHidden/>
              </w:rPr>
            </w:r>
            <w:r w:rsidR="007974C4">
              <w:rPr>
                <w:noProof/>
                <w:webHidden/>
              </w:rPr>
              <w:fldChar w:fldCharType="separate"/>
            </w:r>
            <w:r w:rsidR="00B10CDB">
              <w:rPr>
                <w:noProof/>
                <w:webHidden/>
              </w:rPr>
              <w:t>99</w:t>
            </w:r>
            <w:r w:rsidR="007974C4">
              <w:rPr>
                <w:noProof/>
                <w:webHidden/>
              </w:rPr>
              <w:fldChar w:fldCharType="end"/>
            </w:r>
          </w:hyperlink>
        </w:p>
        <w:p w14:paraId="54489176" w14:textId="658B4BF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7" w:history="1">
            <w:r w:rsidR="007974C4" w:rsidRPr="00820F17">
              <w:rPr>
                <w:rStyle w:val="Hyperlink"/>
                <w:noProof/>
              </w:rPr>
              <w:t>17.</w:t>
            </w:r>
            <w:r w:rsidR="007974C4">
              <w:rPr>
                <w:rFonts w:asciiTheme="minorHAnsi" w:eastAsiaTheme="minorEastAsia" w:hAnsiTheme="minorHAnsi" w:cstheme="minorBidi"/>
                <w:noProof/>
                <w:sz w:val="22"/>
                <w:szCs w:val="22"/>
              </w:rPr>
              <w:tab/>
            </w:r>
            <w:r w:rsidR="007974C4" w:rsidRPr="00820F17">
              <w:rPr>
                <w:rStyle w:val="Hyperlink"/>
                <w:noProof/>
              </w:rPr>
              <w:t>Section 3.4.2 – Low-flow Pre-rinse Sprayers for Retrofit Programs</w:t>
            </w:r>
            <w:r w:rsidR="007974C4">
              <w:rPr>
                <w:noProof/>
                <w:webHidden/>
              </w:rPr>
              <w:tab/>
            </w:r>
            <w:r w:rsidR="007974C4">
              <w:rPr>
                <w:noProof/>
                <w:webHidden/>
              </w:rPr>
              <w:fldChar w:fldCharType="begin"/>
            </w:r>
            <w:r w:rsidR="007974C4">
              <w:rPr>
                <w:noProof/>
                <w:webHidden/>
              </w:rPr>
              <w:instrText xml:space="preserve"> PAGEREF _Toc15657967 \h </w:instrText>
            </w:r>
            <w:r w:rsidR="007974C4">
              <w:rPr>
                <w:noProof/>
                <w:webHidden/>
              </w:rPr>
            </w:r>
            <w:r w:rsidR="007974C4">
              <w:rPr>
                <w:noProof/>
                <w:webHidden/>
              </w:rPr>
              <w:fldChar w:fldCharType="separate"/>
            </w:r>
            <w:r w:rsidR="00B10CDB">
              <w:rPr>
                <w:noProof/>
                <w:webHidden/>
              </w:rPr>
              <w:t>102</w:t>
            </w:r>
            <w:r w:rsidR="007974C4">
              <w:rPr>
                <w:noProof/>
                <w:webHidden/>
              </w:rPr>
              <w:fldChar w:fldCharType="end"/>
            </w:r>
          </w:hyperlink>
        </w:p>
        <w:p w14:paraId="7F01431D" w14:textId="500E6714"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8" w:history="1">
            <w:r w:rsidR="007974C4" w:rsidRPr="00820F17">
              <w:rPr>
                <w:rStyle w:val="Hyperlink"/>
                <w:noProof/>
              </w:rPr>
              <w:t>18.</w:t>
            </w:r>
            <w:r w:rsidR="007974C4">
              <w:rPr>
                <w:rFonts w:asciiTheme="minorHAnsi" w:eastAsiaTheme="minorEastAsia" w:hAnsiTheme="minorHAnsi" w:cstheme="minorBidi"/>
                <w:noProof/>
                <w:sz w:val="22"/>
                <w:szCs w:val="22"/>
              </w:rPr>
              <w:tab/>
            </w:r>
            <w:r w:rsidR="007974C4" w:rsidRPr="00820F17">
              <w:rPr>
                <w:rStyle w:val="Hyperlink"/>
                <w:noProof/>
              </w:rPr>
              <w:t>Section 3.5.1 – High-efficiency Refrigeration / Freezer Cases</w:t>
            </w:r>
            <w:r w:rsidR="007974C4">
              <w:rPr>
                <w:noProof/>
                <w:webHidden/>
              </w:rPr>
              <w:tab/>
            </w:r>
            <w:r w:rsidR="007974C4">
              <w:rPr>
                <w:noProof/>
                <w:webHidden/>
              </w:rPr>
              <w:fldChar w:fldCharType="begin"/>
            </w:r>
            <w:r w:rsidR="007974C4">
              <w:rPr>
                <w:noProof/>
                <w:webHidden/>
              </w:rPr>
              <w:instrText xml:space="preserve"> PAGEREF _Toc15657968 \h </w:instrText>
            </w:r>
            <w:r w:rsidR="007974C4">
              <w:rPr>
                <w:noProof/>
                <w:webHidden/>
              </w:rPr>
            </w:r>
            <w:r w:rsidR="007974C4">
              <w:rPr>
                <w:noProof/>
                <w:webHidden/>
              </w:rPr>
              <w:fldChar w:fldCharType="separate"/>
            </w:r>
            <w:r w:rsidR="00B10CDB">
              <w:rPr>
                <w:noProof/>
                <w:webHidden/>
              </w:rPr>
              <w:t>105</w:t>
            </w:r>
            <w:r w:rsidR="007974C4">
              <w:rPr>
                <w:noProof/>
                <w:webHidden/>
              </w:rPr>
              <w:fldChar w:fldCharType="end"/>
            </w:r>
          </w:hyperlink>
        </w:p>
        <w:p w14:paraId="6E78BB46" w14:textId="22DAF50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69" w:history="1">
            <w:r w:rsidR="007974C4" w:rsidRPr="00820F17">
              <w:rPr>
                <w:rStyle w:val="Hyperlink"/>
                <w:noProof/>
              </w:rPr>
              <w:t>19.</w:t>
            </w:r>
            <w:r w:rsidR="007974C4">
              <w:rPr>
                <w:rFonts w:asciiTheme="minorHAnsi" w:eastAsiaTheme="minorEastAsia" w:hAnsiTheme="minorHAnsi" w:cstheme="minorBidi"/>
                <w:noProof/>
                <w:sz w:val="22"/>
                <w:szCs w:val="22"/>
              </w:rPr>
              <w:tab/>
            </w:r>
            <w:r w:rsidR="007974C4" w:rsidRPr="00820F17">
              <w:rPr>
                <w:rStyle w:val="Hyperlink"/>
                <w:noProof/>
              </w:rPr>
              <w:t xml:space="preserve">Section 3.5.2 – High-efficiency Evaporator Fan Motors for Reach-in </w:t>
            </w:r>
            <w:r w:rsidR="007974C4">
              <w:rPr>
                <w:rStyle w:val="Hyperlink"/>
                <w:noProof/>
              </w:rPr>
              <w:br/>
            </w:r>
            <w:r w:rsidR="007974C4" w:rsidRPr="00820F17">
              <w:rPr>
                <w:rStyle w:val="Hyperlink"/>
                <w:noProof/>
              </w:rPr>
              <w:t>Refrigerated Cases</w:t>
            </w:r>
            <w:r w:rsidR="007974C4">
              <w:rPr>
                <w:noProof/>
                <w:webHidden/>
              </w:rPr>
              <w:tab/>
            </w:r>
            <w:r w:rsidR="007974C4">
              <w:rPr>
                <w:noProof/>
                <w:webHidden/>
              </w:rPr>
              <w:fldChar w:fldCharType="begin"/>
            </w:r>
            <w:r w:rsidR="007974C4">
              <w:rPr>
                <w:noProof/>
                <w:webHidden/>
              </w:rPr>
              <w:instrText xml:space="preserve"> PAGEREF _Toc15657969 \h </w:instrText>
            </w:r>
            <w:r w:rsidR="007974C4">
              <w:rPr>
                <w:noProof/>
                <w:webHidden/>
              </w:rPr>
            </w:r>
            <w:r w:rsidR="007974C4">
              <w:rPr>
                <w:noProof/>
                <w:webHidden/>
              </w:rPr>
              <w:fldChar w:fldCharType="separate"/>
            </w:r>
            <w:r w:rsidR="00B10CDB">
              <w:rPr>
                <w:noProof/>
                <w:webHidden/>
              </w:rPr>
              <w:t>106</w:t>
            </w:r>
            <w:r w:rsidR="007974C4">
              <w:rPr>
                <w:noProof/>
                <w:webHidden/>
              </w:rPr>
              <w:fldChar w:fldCharType="end"/>
            </w:r>
          </w:hyperlink>
        </w:p>
        <w:p w14:paraId="28B5637E" w14:textId="512294B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0" w:history="1">
            <w:r w:rsidR="007974C4" w:rsidRPr="00820F17">
              <w:rPr>
                <w:rStyle w:val="Hyperlink"/>
                <w:noProof/>
              </w:rPr>
              <w:t>20.</w:t>
            </w:r>
            <w:r w:rsidR="007974C4">
              <w:rPr>
                <w:rFonts w:asciiTheme="minorHAnsi" w:eastAsiaTheme="minorEastAsia" w:hAnsiTheme="minorHAnsi" w:cstheme="minorBidi"/>
                <w:noProof/>
                <w:sz w:val="22"/>
                <w:szCs w:val="22"/>
              </w:rPr>
              <w:tab/>
            </w:r>
            <w:r w:rsidR="007974C4" w:rsidRPr="00820F17">
              <w:rPr>
                <w:rStyle w:val="Hyperlink"/>
                <w:noProof/>
              </w:rPr>
              <w:t>Section 3.5.4 – Controls: Evaporator Fan Controllers</w:t>
            </w:r>
            <w:r w:rsidR="007974C4">
              <w:rPr>
                <w:noProof/>
                <w:webHidden/>
              </w:rPr>
              <w:tab/>
            </w:r>
            <w:r w:rsidR="007974C4">
              <w:rPr>
                <w:noProof/>
                <w:webHidden/>
              </w:rPr>
              <w:fldChar w:fldCharType="begin"/>
            </w:r>
            <w:r w:rsidR="007974C4">
              <w:rPr>
                <w:noProof/>
                <w:webHidden/>
              </w:rPr>
              <w:instrText xml:space="preserve"> PAGEREF _Toc15657970 \h </w:instrText>
            </w:r>
            <w:r w:rsidR="007974C4">
              <w:rPr>
                <w:noProof/>
                <w:webHidden/>
              </w:rPr>
            </w:r>
            <w:r w:rsidR="007974C4">
              <w:rPr>
                <w:noProof/>
                <w:webHidden/>
              </w:rPr>
              <w:fldChar w:fldCharType="separate"/>
            </w:r>
            <w:r w:rsidR="00B10CDB">
              <w:rPr>
                <w:noProof/>
                <w:webHidden/>
              </w:rPr>
              <w:t>108</w:t>
            </w:r>
            <w:r w:rsidR="007974C4">
              <w:rPr>
                <w:noProof/>
                <w:webHidden/>
              </w:rPr>
              <w:fldChar w:fldCharType="end"/>
            </w:r>
          </w:hyperlink>
        </w:p>
        <w:p w14:paraId="51B6A460" w14:textId="39CB556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1" w:history="1">
            <w:r w:rsidR="007974C4" w:rsidRPr="00820F17">
              <w:rPr>
                <w:rStyle w:val="Hyperlink"/>
                <w:noProof/>
              </w:rPr>
              <w:t>21.</w:t>
            </w:r>
            <w:r w:rsidR="007974C4">
              <w:rPr>
                <w:rFonts w:asciiTheme="minorHAnsi" w:eastAsiaTheme="minorEastAsia" w:hAnsiTheme="minorHAnsi" w:cstheme="minorBidi"/>
                <w:noProof/>
                <w:sz w:val="22"/>
                <w:szCs w:val="22"/>
              </w:rPr>
              <w:tab/>
            </w:r>
            <w:r w:rsidR="007974C4" w:rsidRPr="00820F17">
              <w:rPr>
                <w:rStyle w:val="Hyperlink"/>
                <w:noProof/>
              </w:rPr>
              <w:t>Section 3.5.5 – Controls: Floating Head Pressure Controls</w:t>
            </w:r>
            <w:r w:rsidR="007974C4">
              <w:rPr>
                <w:noProof/>
                <w:webHidden/>
              </w:rPr>
              <w:tab/>
            </w:r>
            <w:r w:rsidR="007974C4">
              <w:rPr>
                <w:noProof/>
                <w:webHidden/>
              </w:rPr>
              <w:fldChar w:fldCharType="begin"/>
            </w:r>
            <w:r w:rsidR="007974C4">
              <w:rPr>
                <w:noProof/>
                <w:webHidden/>
              </w:rPr>
              <w:instrText xml:space="preserve"> PAGEREF _Toc15657971 \h </w:instrText>
            </w:r>
            <w:r w:rsidR="007974C4">
              <w:rPr>
                <w:noProof/>
                <w:webHidden/>
              </w:rPr>
            </w:r>
            <w:r w:rsidR="007974C4">
              <w:rPr>
                <w:noProof/>
                <w:webHidden/>
              </w:rPr>
              <w:fldChar w:fldCharType="separate"/>
            </w:r>
            <w:r w:rsidR="00B10CDB">
              <w:rPr>
                <w:noProof/>
                <w:webHidden/>
              </w:rPr>
              <w:t>109</w:t>
            </w:r>
            <w:r w:rsidR="007974C4">
              <w:rPr>
                <w:noProof/>
                <w:webHidden/>
              </w:rPr>
              <w:fldChar w:fldCharType="end"/>
            </w:r>
          </w:hyperlink>
        </w:p>
        <w:p w14:paraId="66CCDB47" w14:textId="272BB3B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2" w:history="1">
            <w:r w:rsidR="007974C4" w:rsidRPr="00820F17">
              <w:rPr>
                <w:rStyle w:val="Hyperlink"/>
                <w:noProof/>
              </w:rPr>
              <w:t>22.</w:t>
            </w:r>
            <w:r w:rsidR="007974C4">
              <w:rPr>
                <w:rFonts w:asciiTheme="minorHAnsi" w:eastAsiaTheme="minorEastAsia" w:hAnsiTheme="minorHAnsi" w:cstheme="minorBidi"/>
                <w:noProof/>
                <w:sz w:val="22"/>
                <w:szCs w:val="22"/>
              </w:rPr>
              <w:tab/>
            </w:r>
            <w:r w:rsidR="007974C4" w:rsidRPr="00820F17">
              <w:rPr>
                <w:rStyle w:val="Hyperlink"/>
                <w:noProof/>
              </w:rPr>
              <w:t>Section 3.5.6 – Controls: Anti-sweat Heater Controls</w:t>
            </w:r>
            <w:r w:rsidR="007974C4">
              <w:rPr>
                <w:noProof/>
                <w:webHidden/>
              </w:rPr>
              <w:tab/>
            </w:r>
            <w:r w:rsidR="007974C4">
              <w:rPr>
                <w:noProof/>
                <w:webHidden/>
              </w:rPr>
              <w:fldChar w:fldCharType="begin"/>
            </w:r>
            <w:r w:rsidR="007974C4">
              <w:rPr>
                <w:noProof/>
                <w:webHidden/>
              </w:rPr>
              <w:instrText xml:space="preserve"> PAGEREF _Toc15657972 \h </w:instrText>
            </w:r>
            <w:r w:rsidR="007974C4">
              <w:rPr>
                <w:noProof/>
                <w:webHidden/>
              </w:rPr>
            </w:r>
            <w:r w:rsidR="007974C4">
              <w:rPr>
                <w:noProof/>
                <w:webHidden/>
              </w:rPr>
              <w:fldChar w:fldCharType="separate"/>
            </w:r>
            <w:r w:rsidR="00B10CDB">
              <w:rPr>
                <w:noProof/>
                <w:webHidden/>
              </w:rPr>
              <w:t>110</w:t>
            </w:r>
            <w:r w:rsidR="007974C4">
              <w:rPr>
                <w:noProof/>
                <w:webHidden/>
              </w:rPr>
              <w:fldChar w:fldCharType="end"/>
            </w:r>
          </w:hyperlink>
        </w:p>
        <w:p w14:paraId="5C051BEA" w14:textId="73BD567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3" w:history="1">
            <w:r w:rsidR="007974C4" w:rsidRPr="00820F17">
              <w:rPr>
                <w:rStyle w:val="Hyperlink"/>
                <w:noProof/>
              </w:rPr>
              <w:t>23.</w:t>
            </w:r>
            <w:r w:rsidR="007974C4">
              <w:rPr>
                <w:rFonts w:asciiTheme="minorHAnsi" w:eastAsiaTheme="minorEastAsia" w:hAnsiTheme="minorHAnsi" w:cstheme="minorBidi"/>
                <w:noProof/>
                <w:sz w:val="22"/>
                <w:szCs w:val="22"/>
              </w:rPr>
              <w:tab/>
            </w:r>
            <w:r w:rsidR="007974C4" w:rsidRPr="00820F17">
              <w:rPr>
                <w:rStyle w:val="Hyperlink"/>
                <w:noProof/>
              </w:rPr>
              <w:t>Section 3.5.7 – Controls: Evaporator Coil Defrost Control</w:t>
            </w:r>
            <w:r w:rsidR="007974C4">
              <w:rPr>
                <w:noProof/>
                <w:webHidden/>
              </w:rPr>
              <w:tab/>
            </w:r>
            <w:r w:rsidR="007974C4">
              <w:rPr>
                <w:noProof/>
                <w:webHidden/>
              </w:rPr>
              <w:fldChar w:fldCharType="begin"/>
            </w:r>
            <w:r w:rsidR="007974C4">
              <w:rPr>
                <w:noProof/>
                <w:webHidden/>
              </w:rPr>
              <w:instrText xml:space="preserve"> PAGEREF _Toc15657973 \h </w:instrText>
            </w:r>
            <w:r w:rsidR="007974C4">
              <w:rPr>
                <w:noProof/>
                <w:webHidden/>
              </w:rPr>
            </w:r>
            <w:r w:rsidR="007974C4">
              <w:rPr>
                <w:noProof/>
                <w:webHidden/>
              </w:rPr>
              <w:fldChar w:fldCharType="separate"/>
            </w:r>
            <w:r w:rsidR="00B10CDB">
              <w:rPr>
                <w:noProof/>
                <w:webHidden/>
              </w:rPr>
              <w:t>111</w:t>
            </w:r>
            <w:r w:rsidR="007974C4">
              <w:rPr>
                <w:noProof/>
                <w:webHidden/>
              </w:rPr>
              <w:fldChar w:fldCharType="end"/>
            </w:r>
          </w:hyperlink>
        </w:p>
        <w:p w14:paraId="4B0CDA24" w14:textId="3F08DE2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4" w:history="1">
            <w:r w:rsidR="007974C4" w:rsidRPr="00820F17">
              <w:rPr>
                <w:rStyle w:val="Hyperlink"/>
                <w:noProof/>
              </w:rPr>
              <w:t>24.</w:t>
            </w:r>
            <w:r w:rsidR="007974C4">
              <w:rPr>
                <w:rFonts w:asciiTheme="minorHAnsi" w:eastAsiaTheme="minorEastAsia" w:hAnsiTheme="minorHAnsi" w:cstheme="minorBidi"/>
                <w:noProof/>
                <w:sz w:val="22"/>
                <w:szCs w:val="22"/>
              </w:rPr>
              <w:tab/>
            </w:r>
            <w:r w:rsidR="007974C4" w:rsidRPr="00820F17">
              <w:rPr>
                <w:rStyle w:val="Hyperlink"/>
                <w:noProof/>
              </w:rPr>
              <w:t>Section 3.5.8 – Variable Speed Refrigeration Compressor</w:t>
            </w:r>
            <w:r w:rsidR="007974C4">
              <w:rPr>
                <w:noProof/>
                <w:webHidden/>
              </w:rPr>
              <w:tab/>
            </w:r>
            <w:r w:rsidR="007974C4">
              <w:rPr>
                <w:noProof/>
                <w:webHidden/>
              </w:rPr>
              <w:fldChar w:fldCharType="begin"/>
            </w:r>
            <w:r w:rsidR="007974C4">
              <w:rPr>
                <w:noProof/>
                <w:webHidden/>
              </w:rPr>
              <w:instrText xml:space="preserve"> PAGEREF _Toc15657974 \h </w:instrText>
            </w:r>
            <w:r w:rsidR="007974C4">
              <w:rPr>
                <w:noProof/>
                <w:webHidden/>
              </w:rPr>
            </w:r>
            <w:r w:rsidR="007974C4">
              <w:rPr>
                <w:noProof/>
                <w:webHidden/>
              </w:rPr>
              <w:fldChar w:fldCharType="separate"/>
            </w:r>
            <w:r w:rsidR="00B10CDB">
              <w:rPr>
                <w:noProof/>
                <w:webHidden/>
              </w:rPr>
              <w:t>112</w:t>
            </w:r>
            <w:r w:rsidR="007974C4">
              <w:rPr>
                <w:noProof/>
                <w:webHidden/>
              </w:rPr>
              <w:fldChar w:fldCharType="end"/>
            </w:r>
          </w:hyperlink>
        </w:p>
        <w:p w14:paraId="471973C4" w14:textId="3DD02426"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5" w:history="1">
            <w:r w:rsidR="007974C4" w:rsidRPr="00820F17">
              <w:rPr>
                <w:rStyle w:val="Hyperlink"/>
                <w:noProof/>
              </w:rPr>
              <w:t>25.</w:t>
            </w:r>
            <w:r w:rsidR="007974C4">
              <w:rPr>
                <w:rFonts w:asciiTheme="minorHAnsi" w:eastAsiaTheme="minorEastAsia" w:hAnsiTheme="minorHAnsi" w:cstheme="minorBidi"/>
                <w:noProof/>
                <w:sz w:val="22"/>
                <w:szCs w:val="22"/>
              </w:rPr>
              <w:tab/>
            </w:r>
            <w:r w:rsidR="007974C4" w:rsidRPr="00820F17">
              <w:rPr>
                <w:rStyle w:val="Hyperlink"/>
                <w:noProof/>
              </w:rPr>
              <w:t>Section 3.5.10 – Night Covers for Display Cases</w:t>
            </w:r>
            <w:r w:rsidR="007974C4">
              <w:rPr>
                <w:noProof/>
                <w:webHidden/>
              </w:rPr>
              <w:tab/>
            </w:r>
            <w:r w:rsidR="007974C4">
              <w:rPr>
                <w:noProof/>
                <w:webHidden/>
              </w:rPr>
              <w:fldChar w:fldCharType="begin"/>
            </w:r>
            <w:r w:rsidR="007974C4">
              <w:rPr>
                <w:noProof/>
                <w:webHidden/>
              </w:rPr>
              <w:instrText xml:space="preserve"> PAGEREF _Toc15657975 \h </w:instrText>
            </w:r>
            <w:r w:rsidR="007974C4">
              <w:rPr>
                <w:noProof/>
                <w:webHidden/>
              </w:rPr>
            </w:r>
            <w:r w:rsidR="007974C4">
              <w:rPr>
                <w:noProof/>
                <w:webHidden/>
              </w:rPr>
              <w:fldChar w:fldCharType="separate"/>
            </w:r>
            <w:r w:rsidR="00B10CDB">
              <w:rPr>
                <w:noProof/>
                <w:webHidden/>
              </w:rPr>
              <w:t>113</w:t>
            </w:r>
            <w:r w:rsidR="007974C4">
              <w:rPr>
                <w:noProof/>
                <w:webHidden/>
              </w:rPr>
              <w:fldChar w:fldCharType="end"/>
            </w:r>
          </w:hyperlink>
        </w:p>
        <w:p w14:paraId="367AF421" w14:textId="403C71D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6" w:history="1">
            <w:r w:rsidR="007974C4" w:rsidRPr="00820F17">
              <w:rPr>
                <w:rStyle w:val="Hyperlink"/>
                <w:noProof/>
              </w:rPr>
              <w:t>26.</w:t>
            </w:r>
            <w:r w:rsidR="007974C4">
              <w:rPr>
                <w:rFonts w:asciiTheme="minorHAnsi" w:eastAsiaTheme="minorEastAsia" w:hAnsiTheme="minorHAnsi" w:cstheme="minorBidi"/>
                <w:noProof/>
                <w:sz w:val="22"/>
                <w:szCs w:val="22"/>
              </w:rPr>
              <w:tab/>
            </w:r>
            <w:r w:rsidR="007974C4" w:rsidRPr="00820F17">
              <w:rPr>
                <w:rStyle w:val="Hyperlink"/>
                <w:noProof/>
              </w:rPr>
              <w:t>Section 3.5.11 – Auto Closers</w:t>
            </w:r>
            <w:r w:rsidR="007974C4">
              <w:rPr>
                <w:noProof/>
                <w:webHidden/>
              </w:rPr>
              <w:tab/>
            </w:r>
            <w:r w:rsidR="007974C4">
              <w:rPr>
                <w:noProof/>
                <w:webHidden/>
              </w:rPr>
              <w:fldChar w:fldCharType="begin"/>
            </w:r>
            <w:r w:rsidR="007974C4">
              <w:rPr>
                <w:noProof/>
                <w:webHidden/>
              </w:rPr>
              <w:instrText xml:space="preserve"> PAGEREF _Toc15657976 \h </w:instrText>
            </w:r>
            <w:r w:rsidR="007974C4">
              <w:rPr>
                <w:noProof/>
                <w:webHidden/>
              </w:rPr>
            </w:r>
            <w:r w:rsidR="007974C4">
              <w:rPr>
                <w:noProof/>
                <w:webHidden/>
              </w:rPr>
              <w:fldChar w:fldCharType="separate"/>
            </w:r>
            <w:r w:rsidR="00B10CDB">
              <w:rPr>
                <w:noProof/>
                <w:webHidden/>
              </w:rPr>
              <w:t>114</w:t>
            </w:r>
            <w:r w:rsidR="007974C4">
              <w:rPr>
                <w:noProof/>
                <w:webHidden/>
              </w:rPr>
              <w:fldChar w:fldCharType="end"/>
            </w:r>
          </w:hyperlink>
        </w:p>
        <w:p w14:paraId="25F46C3C" w14:textId="129A4CA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7" w:history="1">
            <w:r w:rsidR="007974C4" w:rsidRPr="00820F17">
              <w:rPr>
                <w:rStyle w:val="Hyperlink"/>
                <w:noProof/>
              </w:rPr>
              <w:t>27.</w:t>
            </w:r>
            <w:r w:rsidR="007974C4">
              <w:rPr>
                <w:rFonts w:asciiTheme="minorHAnsi" w:eastAsiaTheme="minorEastAsia" w:hAnsiTheme="minorHAnsi" w:cstheme="minorBidi"/>
                <w:noProof/>
                <w:sz w:val="22"/>
                <w:szCs w:val="22"/>
              </w:rPr>
              <w:tab/>
            </w:r>
            <w:r w:rsidR="007974C4" w:rsidRPr="00820F17">
              <w:rPr>
                <w:rStyle w:val="Hyperlink"/>
                <w:noProof/>
              </w:rPr>
              <w:t>Section 3.5.14 – Suction Pipe Insulation for Walk-in Coolers and Freezers</w:t>
            </w:r>
            <w:r w:rsidR="007974C4">
              <w:rPr>
                <w:noProof/>
                <w:webHidden/>
              </w:rPr>
              <w:tab/>
            </w:r>
            <w:r w:rsidR="007974C4">
              <w:rPr>
                <w:noProof/>
                <w:webHidden/>
              </w:rPr>
              <w:fldChar w:fldCharType="begin"/>
            </w:r>
            <w:r w:rsidR="007974C4">
              <w:rPr>
                <w:noProof/>
                <w:webHidden/>
              </w:rPr>
              <w:instrText xml:space="preserve"> PAGEREF _Toc15657977 \h </w:instrText>
            </w:r>
            <w:r w:rsidR="007974C4">
              <w:rPr>
                <w:noProof/>
                <w:webHidden/>
              </w:rPr>
            </w:r>
            <w:r w:rsidR="007974C4">
              <w:rPr>
                <w:noProof/>
                <w:webHidden/>
              </w:rPr>
              <w:fldChar w:fldCharType="separate"/>
            </w:r>
            <w:r w:rsidR="00B10CDB">
              <w:rPr>
                <w:noProof/>
                <w:webHidden/>
              </w:rPr>
              <w:t>115</w:t>
            </w:r>
            <w:r w:rsidR="007974C4">
              <w:rPr>
                <w:noProof/>
                <w:webHidden/>
              </w:rPr>
              <w:fldChar w:fldCharType="end"/>
            </w:r>
          </w:hyperlink>
        </w:p>
        <w:p w14:paraId="2CE8EFE6" w14:textId="271DB44D"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8" w:history="1">
            <w:r w:rsidR="007974C4" w:rsidRPr="00820F17">
              <w:rPr>
                <w:rStyle w:val="Hyperlink"/>
                <w:noProof/>
              </w:rPr>
              <w:t>28.</w:t>
            </w:r>
            <w:r w:rsidR="007974C4">
              <w:rPr>
                <w:rFonts w:asciiTheme="minorHAnsi" w:eastAsiaTheme="minorEastAsia" w:hAnsiTheme="minorHAnsi" w:cstheme="minorBidi"/>
                <w:noProof/>
                <w:sz w:val="22"/>
                <w:szCs w:val="22"/>
              </w:rPr>
              <w:tab/>
            </w:r>
            <w:r w:rsidR="007974C4" w:rsidRPr="00820F17">
              <w:rPr>
                <w:rStyle w:val="Hyperlink"/>
                <w:noProof/>
              </w:rPr>
              <w:t>Section 3.5.15 – Refrigerated Display Cases with Doors Replacing Open Cases</w:t>
            </w:r>
            <w:r w:rsidR="007974C4">
              <w:rPr>
                <w:noProof/>
                <w:webHidden/>
              </w:rPr>
              <w:tab/>
            </w:r>
            <w:r w:rsidR="007974C4">
              <w:rPr>
                <w:noProof/>
                <w:webHidden/>
              </w:rPr>
              <w:fldChar w:fldCharType="begin"/>
            </w:r>
            <w:r w:rsidR="007974C4">
              <w:rPr>
                <w:noProof/>
                <w:webHidden/>
              </w:rPr>
              <w:instrText xml:space="preserve"> PAGEREF _Toc15657978 \h </w:instrText>
            </w:r>
            <w:r w:rsidR="007974C4">
              <w:rPr>
                <w:noProof/>
                <w:webHidden/>
              </w:rPr>
            </w:r>
            <w:r w:rsidR="007974C4">
              <w:rPr>
                <w:noProof/>
                <w:webHidden/>
              </w:rPr>
              <w:fldChar w:fldCharType="separate"/>
            </w:r>
            <w:r w:rsidR="00B10CDB">
              <w:rPr>
                <w:noProof/>
                <w:webHidden/>
              </w:rPr>
              <w:t>116</w:t>
            </w:r>
            <w:r w:rsidR="007974C4">
              <w:rPr>
                <w:noProof/>
                <w:webHidden/>
              </w:rPr>
              <w:fldChar w:fldCharType="end"/>
            </w:r>
          </w:hyperlink>
        </w:p>
        <w:p w14:paraId="7F480392" w14:textId="013290C6"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79" w:history="1">
            <w:r w:rsidR="007974C4" w:rsidRPr="00820F17">
              <w:rPr>
                <w:rStyle w:val="Hyperlink"/>
                <w:noProof/>
              </w:rPr>
              <w:t>29.</w:t>
            </w:r>
            <w:r w:rsidR="007974C4">
              <w:rPr>
                <w:rFonts w:asciiTheme="minorHAnsi" w:eastAsiaTheme="minorEastAsia" w:hAnsiTheme="minorHAnsi" w:cstheme="minorBidi"/>
                <w:noProof/>
                <w:sz w:val="22"/>
                <w:szCs w:val="22"/>
              </w:rPr>
              <w:tab/>
            </w:r>
            <w:r w:rsidR="007974C4" w:rsidRPr="00820F17">
              <w:rPr>
                <w:rStyle w:val="Hyperlink"/>
                <w:noProof/>
              </w:rPr>
              <w:t>Section 3.5.16 – Adding Doors to Existing Refrigerated Display Cases</w:t>
            </w:r>
            <w:r w:rsidR="007974C4">
              <w:rPr>
                <w:noProof/>
                <w:webHidden/>
              </w:rPr>
              <w:tab/>
            </w:r>
            <w:r w:rsidR="007974C4">
              <w:rPr>
                <w:noProof/>
                <w:webHidden/>
              </w:rPr>
              <w:fldChar w:fldCharType="begin"/>
            </w:r>
            <w:r w:rsidR="007974C4">
              <w:rPr>
                <w:noProof/>
                <w:webHidden/>
              </w:rPr>
              <w:instrText xml:space="preserve"> PAGEREF _Toc15657979 \h </w:instrText>
            </w:r>
            <w:r w:rsidR="007974C4">
              <w:rPr>
                <w:noProof/>
                <w:webHidden/>
              </w:rPr>
            </w:r>
            <w:r w:rsidR="007974C4">
              <w:rPr>
                <w:noProof/>
                <w:webHidden/>
              </w:rPr>
              <w:fldChar w:fldCharType="separate"/>
            </w:r>
            <w:r w:rsidR="00B10CDB">
              <w:rPr>
                <w:noProof/>
                <w:webHidden/>
              </w:rPr>
              <w:t>117</w:t>
            </w:r>
            <w:r w:rsidR="007974C4">
              <w:rPr>
                <w:noProof/>
                <w:webHidden/>
              </w:rPr>
              <w:fldChar w:fldCharType="end"/>
            </w:r>
          </w:hyperlink>
        </w:p>
        <w:p w14:paraId="08BE0103" w14:textId="7910F547"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0" w:history="1">
            <w:r w:rsidR="007974C4" w:rsidRPr="00820F17">
              <w:rPr>
                <w:rStyle w:val="Hyperlink"/>
                <w:noProof/>
              </w:rPr>
              <w:t>30.</w:t>
            </w:r>
            <w:r w:rsidR="007974C4">
              <w:rPr>
                <w:rFonts w:asciiTheme="minorHAnsi" w:eastAsiaTheme="minorEastAsia" w:hAnsiTheme="minorHAnsi" w:cstheme="minorBidi"/>
                <w:noProof/>
                <w:sz w:val="22"/>
                <w:szCs w:val="22"/>
              </w:rPr>
              <w:tab/>
            </w:r>
            <w:r w:rsidR="007974C4" w:rsidRPr="00820F17">
              <w:rPr>
                <w:rStyle w:val="Hyperlink"/>
                <w:noProof/>
              </w:rPr>
              <w:t>Section 3.6.1 – ENERGY STAR Clothes Washer</w:t>
            </w:r>
            <w:r w:rsidR="007974C4">
              <w:rPr>
                <w:noProof/>
                <w:webHidden/>
              </w:rPr>
              <w:tab/>
            </w:r>
            <w:r w:rsidR="007974C4">
              <w:rPr>
                <w:noProof/>
                <w:webHidden/>
              </w:rPr>
              <w:fldChar w:fldCharType="begin"/>
            </w:r>
            <w:r w:rsidR="007974C4">
              <w:rPr>
                <w:noProof/>
                <w:webHidden/>
              </w:rPr>
              <w:instrText xml:space="preserve"> PAGEREF _Toc15657980 \h </w:instrText>
            </w:r>
            <w:r w:rsidR="007974C4">
              <w:rPr>
                <w:noProof/>
                <w:webHidden/>
              </w:rPr>
            </w:r>
            <w:r w:rsidR="007974C4">
              <w:rPr>
                <w:noProof/>
                <w:webHidden/>
              </w:rPr>
              <w:fldChar w:fldCharType="separate"/>
            </w:r>
            <w:r w:rsidR="00B10CDB">
              <w:rPr>
                <w:noProof/>
                <w:webHidden/>
              </w:rPr>
              <w:t>118</w:t>
            </w:r>
            <w:r w:rsidR="007974C4">
              <w:rPr>
                <w:noProof/>
                <w:webHidden/>
              </w:rPr>
              <w:fldChar w:fldCharType="end"/>
            </w:r>
          </w:hyperlink>
        </w:p>
        <w:p w14:paraId="7C398510" w14:textId="531FAD01"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1" w:history="1">
            <w:r w:rsidR="007974C4" w:rsidRPr="00820F17">
              <w:rPr>
                <w:rStyle w:val="Hyperlink"/>
                <w:noProof/>
              </w:rPr>
              <w:t>31.</w:t>
            </w:r>
            <w:r w:rsidR="007974C4">
              <w:rPr>
                <w:rFonts w:asciiTheme="minorHAnsi" w:eastAsiaTheme="minorEastAsia" w:hAnsiTheme="minorHAnsi" w:cstheme="minorBidi"/>
                <w:noProof/>
                <w:sz w:val="22"/>
                <w:szCs w:val="22"/>
              </w:rPr>
              <w:tab/>
            </w:r>
            <w:r w:rsidR="007974C4" w:rsidRPr="00820F17">
              <w:rPr>
                <w:rStyle w:val="Hyperlink"/>
                <w:noProof/>
              </w:rPr>
              <w:t>Section 3.7.1 – High-efficiency Ice Machines</w:t>
            </w:r>
            <w:r w:rsidR="007974C4">
              <w:rPr>
                <w:noProof/>
                <w:webHidden/>
              </w:rPr>
              <w:tab/>
            </w:r>
            <w:r w:rsidR="007974C4">
              <w:rPr>
                <w:noProof/>
                <w:webHidden/>
              </w:rPr>
              <w:fldChar w:fldCharType="begin"/>
            </w:r>
            <w:r w:rsidR="007974C4">
              <w:rPr>
                <w:noProof/>
                <w:webHidden/>
              </w:rPr>
              <w:instrText xml:space="preserve"> PAGEREF _Toc15657981 \h </w:instrText>
            </w:r>
            <w:r w:rsidR="007974C4">
              <w:rPr>
                <w:noProof/>
                <w:webHidden/>
              </w:rPr>
            </w:r>
            <w:r w:rsidR="007974C4">
              <w:rPr>
                <w:noProof/>
                <w:webHidden/>
              </w:rPr>
              <w:fldChar w:fldCharType="separate"/>
            </w:r>
            <w:r w:rsidR="00B10CDB">
              <w:rPr>
                <w:noProof/>
                <w:webHidden/>
              </w:rPr>
              <w:t>120</w:t>
            </w:r>
            <w:r w:rsidR="007974C4">
              <w:rPr>
                <w:noProof/>
                <w:webHidden/>
              </w:rPr>
              <w:fldChar w:fldCharType="end"/>
            </w:r>
          </w:hyperlink>
        </w:p>
        <w:p w14:paraId="45B2A0C3" w14:textId="14ECE28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2" w:history="1">
            <w:r w:rsidR="007974C4" w:rsidRPr="00820F17">
              <w:rPr>
                <w:rStyle w:val="Hyperlink"/>
                <w:noProof/>
              </w:rPr>
              <w:t>32.</w:t>
            </w:r>
            <w:r w:rsidR="007974C4">
              <w:rPr>
                <w:rFonts w:asciiTheme="minorHAnsi" w:eastAsiaTheme="minorEastAsia" w:hAnsiTheme="minorHAnsi" w:cstheme="minorBidi"/>
                <w:noProof/>
                <w:sz w:val="22"/>
                <w:szCs w:val="22"/>
              </w:rPr>
              <w:tab/>
            </w:r>
            <w:r w:rsidR="007974C4" w:rsidRPr="00820F17">
              <w:rPr>
                <w:rStyle w:val="Hyperlink"/>
                <w:noProof/>
              </w:rPr>
              <w:t>Section 3.7.2 – Controls: Beverage Machine Controls</w:t>
            </w:r>
            <w:r w:rsidR="007974C4">
              <w:rPr>
                <w:noProof/>
                <w:webHidden/>
              </w:rPr>
              <w:tab/>
            </w:r>
            <w:r w:rsidR="007974C4">
              <w:rPr>
                <w:noProof/>
                <w:webHidden/>
              </w:rPr>
              <w:fldChar w:fldCharType="begin"/>
            </w:r>
            <w:r w:rsidR="007974C4">
              <w:rPr>
                <w:noProof/>
                <w:webHidden/>
              </w:rPr>
              <w:instrText xml:space="preserve"> PAGEREF _Toc15657982 \h </w:instrText>
            </w:r>
            <w:r w:rsidR="007974C4">
              <w:rPr>
                <w:noProof/>
                <w:webHidden/>
              </w:rPr>
            </w:r>
            <w:r w:rsidR="007974C4">
              <w:rPr>
                <w:noProof/>
                <w:webHidden/>
              </w:rPr>
              <w:fldChar w:fldCharType="separate"/>
            </w:r>
            <w:r w:rsidR="00B10CDB">
              <w:rPr>
                <w:noProof/>
                <w:webHidden/>
              </w:rPr>
              <w:t>121</w:t>
            </w:r>
            <w:r w:rsidR="007974C4">
              <w:rPr>
                <w:noProof/>
                <w:webHidden/>
              </w:rPr>
              <w:fldChar w:fldCharType="end"/>
            </w:r>
          </w:hyperlink>
        </w:p>
        <w:p w14:paraId="70CE2CAF" w14:textId="2BDD1A8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3" w:history="1">
            <w:r w:rsidR="007974C4" w:rsidRPr="00820F17">
              <w:rPr>
                <w:rStyle w:val="Hyperlink"/>
                <w:noProof/>
              </w:rPr>
              <w:t>33.</w:t>
            </w:r>
            <w:r w:rsidR="007974C4">
              <w:rPr>
                <w:rFonts w:asciiTheme="minorHAnsi" w:eastAsiaTheme="minorEastAsia" w:hAnsiTheme="minorHAnsi" w:cstheme="minorBidi"/>
                <w:noProof/>
                <w:sz w:val="22"/>
                <w:szCs w:val="22"/>
              </w:rPr>
              <w:tab/>
            </w:r>
            <w:r w:rsidR="007974C4" w:rsidRPr="00820F17">
              <w:rPr>
                <w:rStyle w:val="Hyperlink"/>
                <w:noProof/>
              </w:rPr>
              <w:t>Section 3.7.4 – ENERGY STAR Electric Steam Cooker</w:t>
            </w:r>
            <w:r w:rsidR="007974C4">
              <w:rPr>
                <w:noProof/>
                <w:webHidden/>
              </w:rPr>
              <w:tab/>
            </w:r>
            <w:r w:rsidR="007974C4">
              <w:rPr>
                <w:noProof/>
                <w:webHidden/>
              </w:rPr>
              <w:fldChar w:fldCharType="begin"/>
            </w:r>
            <w:r w:rsidR="007974C4">
              <w:rPr>
                <w:noProof/>
                <w:webHidden/>
              </w:rPr>
              <w:instrText xml:space="preserve"> PAGEREF _Toc15657983 \h </w:instrText>
            </w:r>
            <w:r w:rsidR="007974C4">
              <w:rPr>
                <w:noProof/>
                <w:webHidden/>
              </w:rPr>
            </w:r>
            <w:r w:rsidR="007974C4">
              <w:rPr>
                <w:noProof/>
                <w:webHidden/>
              </w:rPr>
              <w:fldChar w:fldCharType="separate"/>
            </w:r>
            <w:r w:rsidR="00B10CDB">
              <w:rPr>
                <w:noProof/>
                <w:webHidden/>
              </w:rPr>
              <w:t>123</w:t>
            </w:r>
            <w:r w:rsidR="007974C4">
              <w:rPr>
                <w:noProof/>
                <w:webHidden/>
              </w:rPr>
              <w:fldChar w:fldCharType="end"/>
            </w:r>
          </w:hyperlink>
        </w:p>
        <w:p w14:paraId="3095193B" w14:textId="1A70EB8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4" w:history="1">
            <w:r w:rsidR="007974C4" w:rsidRPr="00820F17">
              <w:rPr>
                <w:rStyle w:val="Hyperlink"/>
                <w:noProof/>
              </w:rPr>
              <w:t>34.</w:t>
            </w:r>
            <w:r w:rsidR="007974C4">
              <w:rPr>
                <w:rFonts w:asciiTheme="minorHAnsi" w:eastAsiaTheme="minorEastAsia" w:hAnsiTheme="minorHAnsi" w:cstheme="minorBidi"/>
                <w:noProof/>
                <w:sz w:val="22"/>
                <w:szCs w:val="22"/>
              </w:rPr>
              <w:tab/>
            </w:r>
            <w:r w:rsidR="007974C4" w:rsidRPr="00820F17">
              <w:rPr>
                <w:rStyle w:val="Hyperlink"/>
                <w:noProof/>
              </w:rPr>
              <w:t>Section 3.8.1 – Wall and Ceiling Insulation</w:t>
            </w:r>
            <w:r w:rsidR="007974C4">
              <w:rPr>
                <w:noProof/>
                <w:webHidden/>
              </w:rPr>
              <w:tab/>
            </w:r>
            <w:r w:rsidR="007974C4">
              <w:rPr>
                <w:noProof/>
                <w:webHidden/>
              </w:rPr>
              <w:fldChar w:fldCharType="begin"/>
            </w:r>
            <w:r w:rsidR="007974C4">
              <w:rPr>
                <w:noProof/>
                <w:webHidden/>
              </w:rPr>
              <w:instrText xml:space="preserve"> PAGEREF _Toc15657984 \h </w:instrText>
            </w:r>
            <w:r w:rsidR="007974C4">
              <w:rPr>
                <w:noProof/>
                <w:webHidden/>
              </w:rPr>
            </w:r>
            <w:r w:rsidR="007974C4">
              <w:rPr>
                <w:noProof/>
                <w:webHidden/>
              </w:rPr>
              <w:fldChar w:fldCharType="separate"/>
            </w:r>
            <w:r w:rsidR="00B10CDB">
              <w:rPr>
                <w:noProof/>
                <w:webHidden/>
              </w:rPr>
              <w:t>123</w:t>
            </w:r>
            <w:r w:rsidR="007974C4">
              <w:rPr>
                <w:noProof/>
                <w:webHidden/>
              </w:rPr>
              <w:fldChar w:fldCharType="end"/>
            </w:r>
          </w:hyperlink>
        </w:p>
        <w:p w14:paraId="62F5B663" w14:textId="7B06D8FC"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5" w:history="1">
            <w:r w:rsidR="007974C4" w:rsidRPr="00820F17">
              <w:rPr>
                <w:rStyle w:val="Hyperlink"/>
                <w:noProof/>
              </w:rPr>
              <w:t>35.</w:t>
            </w:r>
            <w:r w:rsidR="007974C4">
              <w:rPr>
                <w:rFonts w:asciiTheme="minorHAnsi" w:eastAsiaTheme="minorEastAsia" w:hAnsiTheme="minorHAnsi" w:cstheme="minorBidi"/>
                <w:noProof/>
                <w:sz w:val="22"/>
                <w:szCs w:val="22"/>
              </w:rPr>
              <w:tab/>
            </w:r>
            <w:r w:rsidR="007974C4" w:rsidRPr="00820F17">
              <w:rPr>
                <w:rStyle w:val="Hyperlink"/>
                <w:noProof/>
              </w:rPr>
              <w:t>Section 3.9.1 – ENERGY STAR Office Equipment</w:t>
            </w:r>
            <w:r w:rsidR="007974C4">
              <w:rPr>
                <w:noProof/>
                <w:webHidden/>
              </w:rPr>
              <w:tab/>
            </w:r>
            <w:r w:rsidR="007974C4">
              <w:rPr>
                <w:noProof/>
                <w:webHidden/>
              </w:rPr>
              <w:fldChar w:fldCharType="begin"/>
            </w:r>
            <w:r w:rsidR="007974C4">
              <w:rPr>
                <w:noProof/>
                <w:webHidden/>
              </w:rPr>
              <w:instrText xml:space="preserve"> PAGEREF _Toc15657985 \h </w:instrText>
            </w:r>
            <w:r w:rsidR="007974C4">
              <w:rPr>
                <w:noProof/>
                <w:webHidden/>
              </w:rPr>
            </w:r>
            <w:r w:rsidR="007974C4">
              <w:rPr>
                <w:noProof/>
                <w:webHidden/>
              </w:rPr>
              <w:fldChar w:fldCharType="separate"/>
            </w:r>
            <w:r w:rsidR="00B10CDB">
              <w:rPr>
                <w:noProof/>
                <w:webHidden/>
              </w:rPr>
              <w:t>124</w:t>
            </w:r>
            <w:r w:rsidR="007974C4">
              <w:rPr>
                <w:noProof/>
                <w:webHidden/>
              </w:rPr>
              <w:fldChar w:fldCharType="end"/>
            </w:r>
          </w:hyperlink>
        </w:p>
        <w:p w14:paraId="0762D886" w14:textId="51B4D9E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6" w:history="1">
            <w:r w:rsidR="007974C4" w:rsidRPr="00820F17">
              <w:rPr>
                <w:rStyle w:val="Hyperlink"/>
                <w:noProof/>
              </w:rPr>
              <w:t>36.</w:t>
            </w:r>
            <w:r w:rsidR="007974C4">
              <w:rPr>
                <w:rFonts w:asciiTheme="minorHAnsi" w:eastAsiaTheme="minorEastAsia" w:hAnsiTheme="minorHAnsi" w:cstheme="minorBidi"/>
                <w:noProof/>
                <w:sz w:val="22"/>
                <w:szCs w:val="22"/>
              </w:rPr>
              <w:tab/>
            </w:r>
            <w:r w:rsidR="007974C4" w:rsidRPr="00820F17">
              <w:rPr>
                <w:rStyle w:val="Hyperlink"/>
                <w:noProof/>
              </w:rPr>
              <w:t>Section 3.9.2 – Office Equipment – Network Power Management</w:t>
            </w:r>
            <w:r w:rsidR="007974C4">
              <w:rPr>
                <w:noProof/>
                <w:webHidden/>
              </w:rPr>
              <w:tab/>
            </w:r>
            <w:r w:rsidR="007974C4">
              <w:rPr>
                <w:noProof/>
                <w:webHidden/>
              </w:rPr>
              <w:fldChar w:fldCharType="begin"/>
            </w:r>
            <w:r w:rsidR="007974C4">
              <w:rPr>
                <w:noProof/>
                <w:webHidden/>
              </w:rPr>
              <w:instrText xml:space="preserve"> PAGEREF _Toc15657986 \h </w:instrText>
            </w:r>
            <w:r w:rsidR="007974C4">
              <w:rPr>
                <w:noProof/>
                <w:webHidden/>
              </w:rPr>
            </w:r>
            <w:r w:rsidR="007974C4">
              <w:rPr>
                <w:noProof/>
                <w:webHidden/>
              </w:rPr>
              <w:fldChar w:fldCharType="separate"/>
            </w:r>
            <w:r w:rsidR="00B10CDB">
              <w:rPr>
                <w:noProof/>
                <w:webHidden/>
              </w:rPr>
              <w:t>125</w:t>
            </w:r>
            <w:r w:rsidR="007974C4">
              <w:rPr>
                <w:noProof/>
                <w:webHidden/>
              </w:rPr>
              <w:fldChar w:fldCharType="end"/>
            </w:r>
          </w:hyperlink>
        </w:p>
        <w:p w14:paraId="76193703" w14:textId="0F66D1D4"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7" w:history="1">
            <w:r w:rsidR="007974C4" w:rsidRPr="00820F17">
              <w:rPr>
                <w:rStyle w:val="Hyperlink"/>
                <w:noProof/>
              </w:rPr>
              <w:t>37.</w:t>
            </w:r>
            <w:r w:rsidR="007974C4">
              <w:rPr>
                <w:rFonts w:asciiTheme="minorHAnsi" w:eastAsiaTheme="minorEastAsia" w:hAnsiTheme="minorHAnsi" w:cstheme="minorBidi"/>
                <w:noProof/>
                <w:sz w:val="22"/>
                <w:szCs w:val="22"/>
              </w:rPr>
              <w:tab/>
            </w:r>
            <w:r w:rsidR="007974C4" w:rsidRPr="00820F17">
              <w:rPr>
                <w:rStyle w:val="Hyperlink"/>
                <w:noProof/>
              </w:rPr>
              <w:t>Section 3.9.3 – Advanced Power Strips</w:t>
            </w:r>
            <w:r w:rsidR="007974C4">
              <w:rPr>
                <w:noProof/>
                <w:webHidden/>
              </w:rPr>
              <w:tab/>
            </w:r>
            <w:r w:rsidR="007974C4">
              <w:rPr>
                <w:noProof/>
                <w:webHidden/>
              </w:rPr>
              <w:fldChar w:fldCharType="begin"/>
            </w:r>
            <w:r w:rsidR="007974C4">
              <w:rPr>
                <w:noProof/>
                <w:webHidden/>
              </w:rPr>
              <w:instrText xml:space="preserve"> PAGEREF _Toc15657987 \h </w:instrText>
            </w:r>
            <w:r w:rsidR="007974C4">
              <w:rPr>
                <w:noProof/>
                <w:webHidden/>
              </w:rPr>
            </w:r>
            <w:r w:rsidR="007974C4">
              <w:rPr>
                <w:noProof/>
                <w:webHidden/>
              </w:rPr>
              <w:fldChar w:fldCharType="separate"/>
            </w:r>
            <w:r w:rsidR="00B10CDB">
              <w:rPr>
                <w:noProof/>
                <w:webHidden/>
              </w:rPr>
              <w:t>126</w:t>
            </w:r>
            <w:r w:rsidR="007974C4">
              <w:rPr>
                <w:noProof/>
                <w:webHidden/>
              </w:rPr>
              <w:fldChar w:fldCharType="end"/>
            </w:r>
          </w:hyperlink>
        </w:p>
        <w:p w14:paraId="40605FFB" w14:textId="057CE929"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8" w:history="1">
            <w:r w:rsidR="007974C4" w:rsidRPr="00820F17">
              <w:rPr>
                <w:rStyle w:val="Hyperlink"/>
                <w:noProof/>
              </w:rPr>
              <w:t>38.</w:t>
            </w:r>
            <w:r w:rsidR="007974C4">
              <w:rPr>
                <w:rFonts w:asciiTheme="minorHAnsi" w:eastAsiaTheme="minorEastAsia" w:hAnsiTheme="minorHAnsi" w:cstheme="minorBidi"/>
                <w:noProof/>
                <w:sz w:val="22"/>
                <w:szCs w:val="22"/>
              </w:rPr>
              <w:tab/>
            </w:r>
            <w:r w:rsidR="007974C4" w:rsidRPr="00820F17">
              <w:rPr>
                <w:rStyle w:val="Hyperlink"/>
                <w:noProof/>
              </w:rPr>
              <w:t>Section 3.10.1 – Compressed Air Cycling Refrigerated Thermal Mass Dryer</w:t>
            </w:r>
            <w:r w:rsidR="007974C4">
              <w:rPr>
                <w:noProof/>
                <w:webHidden/>
              </w:rPr>
              <w:tab/>
            </w:r>
            <w:r w:rsidR="007974C4">
              <w:rPr>
                <w:noProof/>
                <w:webHidden/>
              </w:rPr>
              <w:fldChar w:fldCharType="begin"/>
            </w:r>
            <w:r w:rsidR="007974C4">
              <w:rPr>
                <w:noProof/>
                <w:webHidden/>
              </w:rPr>
              <w:instrText xml:space="preserve"> PAGEREF _Toc15657988 \h </w:instrText>
            </w:r>
            <w:r w:rsidR="007974C4">
              <w:rPr>
                <w:noProof/>
                <w:webHidden/>
              </w:rPr>
            </w:r>
            <w:r w:rsidR="007974C4">
              <w:rPr>
                <w:noProof/>
                <w:webHidden/>
              </w:rPr>
              <w:fldChar w:fldCharType="separate"/>
            </w:r>
            <w:r w:rsidR="00B10CDB">
              <w:rPr>
                <w:noProof/>
                <w:webHidden/>
              </w:rPr>
              <w:t>128</w:t>
            </w:r>
            <w:r w:rsidR="007974C4">
              <w:rPr>
                <w:noProof/>
                <w:webHidden/>
              </w:rPr>
              <w:fldChar w:fldCharType="end"/>
            </w:r>
          </w:hyperlink>
        </w:p>
        <w:p w14:paraId="4C4EFD9E" w14:textId="1CF8A1B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89" w:history="1">
            <w:r w:rsidR="007974C4" w:rsidRPr="00820F17">
              <w:rPr>
                <w:rStyle w:val="Hyperlink"/>
                <w:noProof/>
              </w:rPr>
              <w:t>39.</w:t>
            </w:r>
            <w:r w:rsidR="007974C4">
              <w:rPr>
                <w:rFonts w:asciiTheme="minorHAnsi" w:eastAsiaTheme="minorEastAsia" w:hAnsiTheme="minorHAnsi" w:cstheme="minorBidi"/>
                <w:noProof/>
                <w:sz w:val="22"/>
                <w:szCs w:val="22"/>
              </w:rPr>
              <w:tab/>
            </w:r>
            <w:r w:rsidR="007974C4" w:rsidRPr="00820F17">
              <w:rPr>
                <w:rStyle w:val="Hyperlink"/>
                <w:noProof/>
              </w:rPr>
              <w:t>Section 3.10.2 – Compressed Air-entraining Air Nozzle</w:t>
            </w:r>
            <w:r w:rsidR="007974C4">
              <w:rPr>
                <w:noProof/>
                <w:webHidden/>
              </w:rPr>
              <w:tab/>
            </w:r>
            <w:r w:rsidR="007974C4">
              <w:rPr>
                <w:noProof/>
                <w:webHidden/>
              </w:rPr>
              <w:fldChar w:fldCharType="begin"/>
            </w:r>
            <w:r w:rsidR="007974C4">
              <w:rPr>
                <w:noProof/>
                <w:webHidden/>
              </w:rPr>
              <w:instrText xml:space="preserve"> PAGEREF _Toc15657989 \h </w:instrText>
            </w:r>
            <w:r w:rsidR="007974C4">
              <w:rPr>
                <w:noProof/>
                <w:webHidden/>
              </w:rPr>
            </w:r>
            <w:r w:rsidR="007974C4">
              <w:rPr>
                <w:noProof/>
                <w:webHidden/>
              </w:rPr>
              <w:fldChar w:fldCharType="separate"/>
            </w:r>
            <w:r w:rsidR="00B10CDB">
              <w:rPr>
                <w:noProof/>
                <w:webHidden/>
              </w:rPr>
              <w:t>128</w:t>
            </w:r>
            <w:r w:rsidR="007974C4">
              <w:rPr>
                <w:noProof/>
                <w:webHidden/>
              </w:rPr>
              <w:fldChar w:fldCharType="end"/>
            </w:r>
          </w:hyperlink>
        </w:p>
        <w:p w14:paraId="0D6483A6" w14:textId="6117E81D"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90" w:history="1">
            <w:r w:rsidR="007974C4" w:rsidRPr="00820F17">
              <w:rPr>
                <w:rStyle w:val="Hyperlink"/>
                <w:noProof/>
              </w:rPr>
              <w:t>40.</w:t>
            </w:r>
            <w:r w:rsidR="007974C4">
              <w:rPr>
                <w:rFonts w:asciiTheme="minorHAnsi" w:eastAsiaTheme="minorEastAsia" w:hAnsiTheme="minorHAnsi" w:cstheme="minorBidi"/>
                <w:noProof/>
                <w:sz w:val="22"/>
                <w:szCs w:val="22"/>
              </w:rPr>
              <w:tab/>
            </w:r>
            <w:r w:rsidR="007974C4" w:rsidRPr="00820F17">
              <w:rPr>
                <w:rStyle w:val="Hyperlink"/>
                <w:noProof/>
              </w:rPr>
              <w:t>Section 3.10.3 – Compressed Air-no-loss Condensate Drains</w:t>
            </w:r>
            <w:r w:rsidR="007974C4">
              <w:rPr>
                <w:noProof/>
                <w:webHidden/>
              </w:rPr>
              <w:tab/>
            </w:r>
            <w:r w:rsidR="007974C4">
              <w:rPr>
                <w:noProof/>
                <w:webHidden/>
              </w:rPr>
              <w:fldChar w:fldCharType="begin"/>
            </w:r>
            <w:r w:rsidR="007974C4">
              <w:rPr>
                <w:noProof/>
                <w:webHidden/>
              </w:rPr>
              <w:instrText xml:space="preserve"> PAGEREF _Toc15657990 \h </w:instrText>
            </w:r>
            <w:r w:rsidR="007974C4">
              <w:rPr>
                <w:noProof/>
                <w:webHidden/>
              </w:rPr>
            </w:r>
            <w:r w:rsidR="007974C4">
              <w:rPr>
                <w:noProof/>
                <w:webHidden/>
              </w:rPr>
              <w:fldChar w:fldCharType="separate"/>
            </w:r>
            <w:r w:rsidR="00B10CDB">
              <w:rPr>
                <w:noProof/>
                <w:webHidden/>
              </w:rPr>
              <w:t>129</w:t>
            </w:r>
            <w:r w:rsidR="007974C4">
              <w:rPr>
                <w:noProof/>
                <w:webHidden/>
              </w:rPr>
              <w:fldChar w:fldCharType="end"/>
            </w:r>
          </w:hyperlink>
        </w:p>
        <w:p w14:paraId="641B2456" w14:textId="7A182C6B"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91" w:history="1">
            <w:r w:rsidR="007974C4" w:rsidRPr="00820F17">
              <w:rPr>
                <w:rStyle w:val="Hyperlink"/>
                <w:noProof/>
              </w:rPr>
              <w:t>41.</w:t>
            </w:r>
            <w:r w:rsidR="007974C4">
              <w:rPr>
                <w:rFonts w:asciiTheme="minorHAnsi" w:eastAsiaTheme="minorEastAsia" w:hAnsiTheme="minorHAnsi" w:cstheme="minorBidi"/>
                <w:noProof/>
                <w:sz w:val="22"/>
                <w:szCs w:val="22"/>
              </w:rPr>
              <w:tab/>
            </w:r>
            <w:r w:rsidR="007974C4" w:rsidRPr="00820F17">
              <w:rPr>
                <w:rStyle w:val="Hyperlink"/>
                <w:noProof/>
              </w:rPr>
              <w:t>Section 3.10.4 – Compressed Air-tanks for Loads / No Load Compressors</w:t>
            </w:r>
            <w:r w:rsidR="007974C4">
              <w:rPr>
                <w:noProof/>
                <w:webHidden/>
              </w:rPr>
              <w:tab/>
            </w:r>
            <w:r w:rsidR="007974C4">
              <w:rPr>
                <w:noProof/>
                <w:webHidden/>
              </w:rPr>
              <w:fldChar w:fldCharType="begin"/>
            </w:r>
            <w:r w:rsidR="007974C4">
              <w:rPr>
                <w:noProof/>
                <w:webHidden/>
              </w:rPr>
              <w:instrText xml:space="preserve"> PAGEREF _Toc15657991 \h </w:instrText>
            </w:r>
            <w:r w:rsidR="007974C4">
              <w:rPr>
                <w:noProof/>
                <w:webHidden/>
              </w:rPr>
            </w:r>
            <w:r w:rsidR="007974C4">
              <w:rPr>
                <w:noProof/>
                <w:webHidden/>
              </w:rPr>
              <w:fldChar w:fldCharType="separate"/>
            </w:r>
            <w:r w:rsidR="00B10CDB">
              <w:rPr>
                <w:noProof/>
                <w:webHidden/>
              </w:rPr>
              <w:t>130</w:t>
            </w:r>
            <w:r w:rsidR="007974C4">
              <w:rPr>
                <w:noProof/>
                <w:webHidden/>
              </w:rPr>
              <w:fldChar w:fldCharType="end"/>
            </w:r>
          </w:hyperlink>
        </w:p>
        <w:p w14:paraId="004DD774" w14:textId="4F11E88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92" w:history="1">
            <w:r w:rsidR="007974C4" w:rsidRPr="00820F17">
              <w:rPr>
                <w:rStyle w:val="Hyperlink"/>
                <w:noProof/>
              </w:rPr>
              <w:t>42.</w:t>
            </w:r>
            <w:r w:rsidR="007974C4">
              <w:rPr>
                <w:rFonts w:asciiTheme="minorHAnsi" w:eastAsiaTheme="minorEastAsia" w:hAnsiTheme="minorHAnsi" w:cstheme="minorBidi"/>
                <w:noProof/>
                <w:sz w:val="22"/>
                <w:szCs w:val="22"/>
              </w:rPr>
              <w:tab/>
            </w:r>
            <w:r w:rsidR="007974C4" w:rsidRPr="00820F17">
              <w:rPr>
                <w:rStyle w:val="Hyperlink"/>
                <w:noProof/>
              </w:rPr>
              <w:t>Section 3.11.1 – ENERGY STAR Servers</w:t>
            </w:r>
            <w:r w:rsidR="007974C4">
              <w:rPr>
                <w:noProof/>
                <w:webHidden/>
              </w:rPr>
              <w:tab/>
            </w:r>
            <w:r w:rsidR="007974C4">
              <w:rPr>
                <w:noProof/>
                <w:webHidden/>
              </w:rPr>
              <w:fldChar w:fldCharType="begin"/>
            </w:r>
            <w:r w:rsidR="007974C4">
              <w:rPr>
                <w:noProof/>
                <w:webHidden/>
              </w:rPr>
              <w:instrText xml:space="preserve"> PAGEREF _Toc15657992 \h </w:instrText>
            </w:r>
            <w:r w:rsidR="007974C4">
              <w:rPr>
                <w:noProof/>
                <w:webHidden/>
              </w:rPr>
            </w:r>
            <w:r w:rsidR="007974C4">
              <w:rPr>
                <w:noProof/>
                <w:webHidden/>
              </w:rPr>
              <w:fldChar w:fldCharType="separate"/>
            </w:r>
            <w:r w:rsidR="00B10CDB">
              <w:rPr>
                <w:noProof/>
                <w:webHidden/>
              </w:rPr>
              <w:t>131</w:t>
            </w:r>
            <w:r w:rsidR="007974C4">
              <w:rPr>
                <w:noProof/>
                <w:webHidden/>
              </w:rPr>
              <w:fldChar w:fldCharType="end"/>
            </w:r>
          </w:hyperlink>
        </w:p>
        <w:p w14:paraId="454F394F" w14:textId="2952F4DF"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93" w:history="1">
            <w:r w:rsidR="007974C4" w:rsidRPr="00820F17">
              <w:rPr>
                <w:rStyle w:val="Hyperlink"/>
                <w:noProof/>
              </w:rPr>
              <w:t>43.</w:t>
            </w:r>
            <w:r w:rsidR="007974C4">
              <w:rPr>
                <w:rFonts w:asciiTheme="minorHAnsi" w:eastAsiaTheme="minorEastAsia" w:hAnsiTheme="minorHAnsi" w:cstheme="minorBidi"/>
                <w:noProof/>
                <w:sz w:val="22"/>
                <w:szCs w:val="22"/>
              </w:rPr>
              <w:tab/>
            </w:r>
            <w:r w:rsidR="007974C4" w:rsidRPr="00820F17">
              <w:rPr>
                <w:rStyle w:val="Hyperlink"/>
                <w:noProof/>
              </w:rPr>
              <w:t>Section 4.1.3 – High-efficiency Ventilation Fans with and without Thermostats</w:t>
            </w:r>
            <w:r w:rsidR="007974C4">
              <w:rPr>
                <w:noProof/>
                <w:webHidden/>
              </w:rPr>
              <w:tab/>
            </w:r>
            <w:r w:rsidR="007974C4">
              <w:rPr>
                <w:noProof/>
                <w:webHidden/>
              </w:rPr>
              <w:fldChar w:fldCharType="begin"/>
            </w:r>
            <w:r w:rsidR="007974C4">
              <w:rPr>
                <w:noProof/>
                <w:webHidden/>
              </w:rPr>
              <w:instrText xml:space="preserve"> PAGEREF _Toc15657993 \h </w:instrText>
            </w:r>
            <w:r w:rsidR="007974C4">
              <w:rPr>
                <w:noProof/>
                <w:webHidden/>
              </w:rPr>
            </w:r>
            <w:r w:rsidR="007974C4">
              <w:rPr>
                <w:noProof/>
                <w:webHidden/>
              </w:rPr>
              <w:fldChar w:fldCharType="separate"/>
            </w:r>
            <w:r w:rsidR="00B10CDB">
              <w:rPr>
                <w:noProof/>
                <w:webHidden/>
              </w:rPr>
              <w:t>132</w:t>
            </w:r>
            <w:r w:rsidR="007974C4">
              <w:rPr>
                <w:noProof/>
                <w:webHidden/>
              </w:rPr>
              <w:fldChar w:fldCharType="end"/>
            </w:r>
          </w:hyperlink>
        </w:p>
        <w:p w14:paraId="0B566013" w14:textId="15B000F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94" w:history="1">
            <w:r w:rsidR="007974C4" w:rsidRPr="00820F17">
              <w:rPr>
                <w:rStyle w:val="Hyperlink"/>
                <w:noProof/>
              </w:rPr>
              <w:t>44.</w:t>
            </w:r>
            <w:r w:rsidR="007974C4">
              <w:rPr>
                <w:rFonts w:asciiTheme="minorHAnsi" w:eastAsiaTheme="minorEastAsia" w:hAnsiTheme="minorHAnsi" w:cstheme="minorBidi"/>
                <w:noProof/>
                <w:sz w:val="22"/>
                <w:szCs w:val="22"/>
              </w:rPr>
              <w:tab/>
            </w:r>
            <w:r w:rsidR="007974C4" w:rsidRPr="00820F17">
              <w:rPr>
                <w:rStyle w:val="Hyperlink"/>
                <w:noProof/>
              </w:rPr>
              <w:t>Section 4.1.5 – High Volume Low Speed Fans</w:t>
            </w:r>
            <w:r w:rsidR="007974C4">
              <w:rPr>
                <w:noProof/>
                <w:webHidden/>
              </w:rPr>
              <w:tab/>
            </w:r>
            <w:r w:rsidR="007974C4">
              <w:rPr>
                <w:noProof/>
                <w:webHidden/>
              </w:rPr>
              <w:fldChar w:fldCharType="begin"/>
            </w:r>
            <w:r w:rsidR="007974C4">
              <w:rPr>
                <w:noProof/>
                <w:webHidden/>
              </w:rPr>
              <w:instrText xml:space="preserve"> PAGEREF _Toc15657994 \h </w:instrText>
            </w:r>
            <w:r w:rsidR="007974C4">
              <w:rPr>
                <w:noProof/>
                <w:webHidden/>
              </w:rPr>
            </w:r>
            <w:r w:rsidR="007974C4">
              <w:rPr>
                <w:noProof/>
                <w:webHidden/>
              </w:rPr>
              <w:fldChar w:fldCharType="separate"/>
            </w:r>
            <w:r w:rsidR="00B10CDB">
              <w:rPr>
                <w:noProof/>
                <w:webHidden/>
              </w:rPr>
              <w:t>133</w:t>
            </w:r>
            <w:r w:rsidR="007974C4">
              <w:rPr>
                <w:noProof/>
                <w:webHidden/>
              </w:rPr>
              <w:fldChar w:fldCharType="end"/>
            </w:r>
          </w:hyperlink>
        </w:p>
        <w:p w14:paraId="0BB068A3" w14:textId="7B637DF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95" w:history="1">
            <w:r w:rsidR="007974C4" w:rsidRPr="00820F17">
              <w:rPr>
                <w:rStyle w:val="Hyperlink"/>
                <w:noProof/>
              </w:rPr>
              <w:t>45.</w:t>
            </w:r>
            <w:r w:rsidR="007974C4">
              <w:rPr>
                <w:rFonts w:asciiTheme="minorHAnsi" w:eastAsiaTheme="minorEastAsia" w:hAnsiTheme="minorHAnsi" w:cstheme="minorBidi"/>
                <w:noProof/>
                <w:sz w:val="22"/>
                <w:szCs w:val="22"/>
              </w:rPr>
              <w:tab/>
            </w:r>
            <w:r w:rsidR="007974C4" w:rsidRPr="00820F17">
              <w:rPr>
                <w:rStyle w:val="Hyperlink"/>
                <w:noProof/>
              </w:rPr>
              <w:t>Section 5.1 – Load Curtailment for Commercial and Industrial Programs</w:t>
            </w:r>
            <w:r w:rsidR="007974C4">
              <w:rPr>
                <w:noProof/>
                <w:webHidden/>
              </w:rPr>
              <w:tab/>
            </w:r>
            <w:r w:rsidR="007974C4">
              <w:rPr>
                <w:noProof/>
                <w:webHidden/>
              </w:rPr>
              <w:fldChar w:fldCharType="begin"/>
            </w:r>
            <w:r w:rsidR="007974C4">
              <w:rPr>
                <w:noProof/>
                <w:webHidden/>
              </w:rPr>
              <w:instrText xml:space="preserve"> PAGEREF _Toc15657995 \h </w:instrText>
            </w:r>
            <w:r w:rsidR="007974C4">
              <w:rPr>
                <w:noProof/>
                <w:webHidden/>
              </w:rPr>
            </w:r>
            <w:r w:rsidR="007974C4">
              <w:rPr>
                <w:noProof/>
                <w:webHidden/>
              </w:rPr>
              <w:fldChar w:fldCharType="separate"/>
            </w:r>
            <w:r w:rsidR="00B10CDB">
              <w:rPr>
                <w:noProof/>
                <w:webHidden/>
              </w:rPr>
              <w:t>133</w:t>
            </w:r>
            <w:r w:rsidR="007974C4">
              <w:rPr>
                <w:noProof/>
                <w:webHidden/>
              </w:rPr>
              <w:fldChar w:fldCharType="end"/>
            </w:r>
          </w:hyperlink>
        </w:p>
        <w:p w14:paraId="09AADD61" w14:textId="57437618"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7996" w:history="1">
            <w:r w:rsidR="007974C4" w:rsidRPr="00820F17">
              <w:rPr>
                <w:rStyle w:val="Hyperlink"/>
                <w:noProof/>
              </w:rPr>
              <w:t>46.</w:t>
            </w:r>
            <w:r w:rsidR="007974C4">
              <w:rPr>
                <w:rFonts w:asciiTheme="minorHAnsi" w:eastAsiaTheme="minorEastAsia" w:hAnsiTheme="minorHAnsi" w:cstheme="minorBidi"/>
                <w:noProof/>
                <w:sz w:val="22"/>
                <w:szCs w:val="22"/>
              </w:rPr>
              <w:tab/>
            </w:r>
            <w:r w:rsidR="007974C4" w:rsidRPr="00820F17">
              <w:rPr>
                <w:rStyle w:val="Hyperlink"/>
                <w:noProof/>
              </w:rPr>
              <w:t>Measure Number Changes</w:t>
            </w:r>
            <w:r w:rsidR="007974C4">
              <w:rPr>
                <w:noProof/>
                <w:webHidden/>
              </w:rPr>
              <w:tab/>
            </w:r>
            <w:r w:rsidR="007974C4">
              <w:rPr>
                <w:noProof/>
                <w:webHidden/>
              </w:rPr>
              <w:fldChar w:fldCharType="begin"/>
            </w:r>
            <w:r w:rsidR="007974C4">
              <w:rPr>
                <w:noProof/>
                <w:webHidden/>
              </w:rPr>
              <w:instrText xml:space="preserve"> PAGEREF _Toc15657996 \h </w:instrText>
            </w:r>
            <w:r w:rsidR="007974C4">
              <w:rPr>
                <w:noProof/>
                <w:webHidden/>
              </w:rPr>
            </w:r>
            <w:r w:rsidR="007974C4">
              <w:rPr>
                <w:noProof/>
                <w:webHidden/>
              </w:rPr>
              <w:fldChar w:fldCharType="separate"/>
            </w:r>
            <w:r w:rsidR="00B10CDB">
              <w:rPr>
                <w:noProof/>
                <w:webHidden/>
              </w:rPr>
              <w:t>134</w:t>
            </w:r>
            <w:r w:rsidR="007974C4">
              <w:rPr>
                <w:noProof/>
                <w:webHidden/>
              </w:rPr>
              <w:fldChar w:fldCharType="end"/>
            </w:r>
          </w:hyperlink>
        </w:p>
        <w:p w14:paraId="7AFB937F" w14:textId="3C233ADF" w:rsidR="007974C4" w:rsidRDefault="00763509">
          <w:pPr>
            <w:pStyle w:val="TOC2"/>
            <w:tabs>
              <w:tab w:val="left" w:pos="936"/>
              <w:tab w:val="right" w:leader="dot" w:pos="9350"/>
            </w:tabs>
            <w:rPr>
              <w:rFonts w:asciiTheme="minorHAnsi" w:eastAsiaTheme="minorEastAsia" w:hAnsiTheme="minorHAnsi" w:cstheme="minorBidi"/>
              <w:sz w:val="22"/>
              <w:szCs w:val="22"/>
            </w:rPr>
          </w:pPr>
          <w:hyperlink w:anchor="_Toc15657997" w:history="1">
            <w:r w:rsidR="007974C4" w:rsidRPr="00820F17">
              <w:rPr>
                <w:rStyle w:val="Hyperlink"/>
              </w:rPr>
              <w:t>G.</w:t>
            </w:r>
            <w:r w:rsidR="007974C4">
              <w:rPr>
                <w:rFonts w:asciiTheme="minorHAnsi" w:eastAsiaTheme="minorEastAsia" w:hAnsiTheme="minorHAnsi" w:cstheme="minorBidi"/>
                <w:sz w:val="22"/>
                <w:szCs w:val="22"/>
              </w:rPr>
              <w:tab/>
            </w:r>
            <w:r w:rsidR="007974C4" w:rsidRPr="00820F17">
              <w:rPr>
                <w:rStyle w:val="Hyperlink"/>
              </w:rPr>
              <w:t>Removed Residential EE&amp;C Protocols</w:t>
            </w:r>
            <w:r w:rsidR="007974C4">
              <w:rPr>
                <w:webHidden/>
              </w:rPr>
              <w:tab/>
            </w:r>
            <w:r w:rsidR="007974C4">
              <w:rPr>
                <w:webHidden/>
              </w:rPr>
              <w:fldChar w:fldCharType="begin"/>
            </w:r>
            <w:r w:rsidR="007974C4">
              <w:rPr>
                <w:webHidden/>
              </w:rPr>
              <w:instrText xml:space="preserve"> PAGEREF _Toc15657997 \h </w:instrText>
            </w:r>
            <w:r w:rsidR="007974C4">
              <w:rPr>
                <w:webHidden/>
              </w:rPr>
            </w:r>
            <w:r w:rsidR="007974C4">
              <w:rPr>
                <w:webHidden/>
              </w:rPr>
              <w:fldChar w:fldCharType="separate"/>
            </w:r>
            <w:r w:rsidR="00B10CDB">
              <w:rPr>
                <w:webHidden/>
              </w:rPr>
              <w:t>135</w:t>
            </w:r>
            <w:r w:rsidR="007974C4">
              <w:rPr>
                <w:webHidden/>
              </w:rPr>
              <w:fldChar w:fldCharType="end"/>
            </w:r>
          </w:hyperlink>
        </w:p>
        <w:p w14:paraId="2056775C" w14:textId="5A7A44C0" w:rsidR="007974C4" w:rsidRDefault="00763509">
          <w:pPr>
            <w:pStyle w:val="TOC2"/>
            <w:tabs>
              <w:tab w:val="left" w:pos="936"/>
              <w:tab w:val="right" w:leader="dot" w:pos="9350"/>
            </w:tabs>
            <w:rPr>
              <w:rFonts w:asciiTheme="minorHAnsi" w:eastAsiaTheme="minorEastAsia" w:hAnsiTheme="minorHAnsi" w:cstheme="minorBidi"/>
              <w:sz w:val="22"/>
              <w:szCs w:val="22"/>
            </w:rPr>
          </w:pPr>
          <w:hyperlink w:anchor="_Toc15657998" w:history="1">
            <w:r w:rsidR="007974C4" w:rsidRPr="00820F17">
              <w:rPr>
                <w:rStyle w:val="Hyperlink"/>
              </w:rPr>
              <w:t>H.</w:t>
            </w:r>
            <w:r w:rsidR="007974C4">
              <w:rPr>
                <w:rFonts w:asciiTheme="minorHAnsi" w:eastAsiaTheme="minorEastAsia" w:hAnsiTheme="minorHAnsi" w:cstheme="minorBidi"/>
                <w:sz w:val="22"/>
                <w:szCs w:val="22"/>
              </w:rPr>
              <w:tab/>
            </w:r>
            <w:r w:rsidR="007974C4" w:rsidRPr="00820F17">
              <w:rPr>
                <w:rStyle w:val="Hyperlink"/>
              </w:rPr>
              <w:t>Removed C&amp;I EE&amp;C Measure Protocols</w:t>
            </w:r>
            <w:r w:rsidR="007974C4">
              <w:rPr>
                <w:webHidden/>
              </w:rPr>
              <w:tab/>
            </w:r>
            <w:r w:rsidR="007974C4">
              <w:rPr>
                <w:webHidden/>
              </w:rPr>
              <w:fldChar w:fldCharType="begin"/>
            </w:r>
            <w:r w:rsidR="007974C4">
              <w:rPr>
                <w:webHidden/>
              </w:rPr>
              <w:instrText xml:space="preserve"> PAGEREF _Toc15657998 \h </w:instrText>
            </w:r>
            <w:r w:rsidR="007974C4">
              <w:rPr>
                <w:webHidden/>
              </w:rPr>
            </w:r>
            <w:r w:rsidR="007974C4">
              <w:rPr>
                <w:webHidden/>
              </w:rPr>
              <w:fldChar w:fldCharType="separate"/>
            </w:r>
            <w:r w:rsidR="00B10CDB">
              <w:rPr>
                <w:webHidden/>
              </w:rPr>
              <w:t>135</w:t>
            </w:r>
            <w:r w:rsidR="007974C4">
              <w:rPr>
                <w:webHidden/>
              </w:rPr>
              <w:fldChar w:fldCharType="end"/>
            </w:r>
          </w:hyperlink>
        </w:p>
        <w:p w14:paraId="302DC097" w14:textId="349ED088" w:rsidR="007974C4" w:rsidRDefault="00763509">
          <w:pPr>
            <w:pStyle w:val="TOC2"/>
            <w:tabs>
              <w:tab w:val="right" w:leader="dot" w:pos="9350"/>
            </w:tabs>
            <w:rPr>
              <w:rFonts w:asciiTheme="minorHAnsi" w:eastAsiaTheme="minorEastAsia" w:hAnsiTheme="minorHAnsi" w:cstheme="minorBidi"/>
              <w:sz w:val="22"/>
              <w:szCs w:val="22"/>
            </w:rPr>
          </w:pPr>
          <w:hyperlink w:anchor="_Toc15657999" w:history="1">
            <w:r w:rsidR="007974C4" w:rsidRPr="00820F17">
              <w:rPr>
                <w:rStyle w:val="Hyperlink"/>
              </w:rPr>
              <w:t>I.</w:t>
            </w:r>
            <w:r w:rsidR="007974C4">
              <w:rPr>
                <w:rFonts w:asciiTheme="minorHAnsi" w:eastAsiaTheme="minorEastAsia" w:hAnsiTheme="minorHAnsi" w:cstheme="minorBidi"/>
                <w:sz w:val="22"/>
                <w:szCs w:val="22"/>
              </w:rPr>
              <w:tab/>
            </w:r>
            <w:r w:rsidR="007974C4" w:rsidRPr="00820F17">
              <w:rPr>
                <w:rStyle w:val="Hyperlink"/>
              </w:rPr>
              <w:t>Appendix C: Lighting Audit and Design Tool</w:t>
            </w:r>
            <w:r w:rsidR="007974C4">
              <w:rPr>
                <w:webHidden/>
              </w:rPr>
              <w:tab/>
            </w:r>
            <w:r w:rsidR="007974C4">
              <w:rPr>
                <w:webHidden/>
              </w:rPr>
              <w:fldChar w:fldCharType="begin"/>
            </w:r>
            <w:r w:rsidR="007974C4">
              <w:rPr>
                <w:webHidden/>
              </w:rPr>
              <w:instrText xml:space="preserve"> PAGEREF _Toc15657999 \h </w:instrText>
            </w:r>
            <w:r w:rsidR="007974C4">
              <w:rPr>
                <w:webHidden/>
              </w:rPr>
            </w:r>
            <w:r w:rsidR="007974C4">
              <w:rPr>
                <w:webHidden/>
              </w:rPr>
              <w:fldChar w:fldCharType="separate"/>
            </w:r>
            <w:r w:rsidR="00B10CDB">
              <w:rPr>
                <w:webHidden/>
              </w:rPr>
              <w:t>136</w:t>
            </w:r>
            <w:r w:rsidR="007974C4">
              <w:rPr>
                <w:webHidden/>
              </w:rPr>
              <w:fldChar w:fldCharType="end"/>
            </w:r>
          </w:hyperlink>
        </w:p>
        <w:p w14:paraId="66423539" w14:textId="24CD25D4"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8000"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Comments</w:t>
            </w:r>
            <w:r w:rsidR="007974C4">
              <w:rPr>
                <w:noProof/>
                <w:webHidden/>
              </w:rPr>
              <w:tab/>
            </w:r>
            <w:r w:rsidR="007974C4">
              <w:rPr>
                <w:noProof/>
                <w:webHidden/>
              </w:rPr>
              <w:fldChar w:fldCharType="begin"/>
            </w:r>
            <w:r w:rsidR="007974C4">
              <w:rPr>
                <w:noProof/>
                <w:webHidden/>
              </w:rPr>
              <w:instrText xml:space="preserve"> PAGEREF _Toc15658000 \h </w:instrText>
            </w:r>
            <w:r w:rsidR="007974C4">
              <w:rPr>
                <w:noProof/>
                <w:webHidden/>
              </w:rPr>
            </w:r>
            <w:r w:rsidR="007974C4">
              <w:rPr>
                <w:noProof/>
                <w:webHidden/>
              </w:rPr>
              <w:fldChar w:fldCharType="separate"/>
            </w:r>
            <w:r w:rsidR="00B10CDB">
              <w:rPr>
                <w:noProof/>
                <w:webHidden/>
              </w:rPr>
              <w:t>137</w:t>
            </w:r>
            <w:r w:rsidR="007974C4">
              <w:rPr>
                <w:noProof/>
                <w:webHidden/>
              </w:rPr>
              <w:fldChar w:fldCharType="end"/>
            </w:r>
          </w:hyperlink>
        </w:p>
        <w:p w14:paraId="1500B9C8" w14:textId="0B8B1525"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8001"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Disposition</w:t>
            </w:r>
            <w:r w:rsidR="007974C4">
              <w:rPr>
                <w:noProof/>
                <w:webHidden/>
              </w:rPr>
              <w:tab/>
            </w:r>
            <w:r w:rsidR="007974C4">
              <w:rPr>
                <w:noProof/>
                <w:webHidden/>
              </w:rPr>
              <w:fldChar w:fldCharType="begin"/>
            </w:r>
            <w:r w:rsidR="007974C4">
              <w:rPr>
                <w:noProof/>
                <w:webHidden/>
              </w:rPr>
              <w:instrText xml:space="preserve"> PAGEREF _Toc15658001 \h </w:instrText>
            </w:r>
            <w:r w:rsidR="007974C4">
              <w:rPr>
                <w:noProof/>
                <w:webHidden/>
              </w:rPr>
            </w:r>
            <w:r w:rsidR="007974C4">
              <w:rPr>
                <w:noProof/>
                <w:webHidden/>
              </w:rPr>
              <w:fldChar w:fldCharType="separate"/>
            </w:r>
            <w:r w:rsidR="00B10CDB">
              <w:rPr>
                <w:noProof/>
                <w:webHidden/>
              </w:rPr>
              <w:t>137</w:t>
            </w:r>
            <w:r w:rsidR="007974C4">
              <w:rPr>
                <w:noProof/>
                <w:webHidden/>
              </w:rPr>
              <w:fldChar w:fldCharType="end"/>
            </w:r>
          </w:hyperlink>
        </w:p>
        <w:p w14:paraId="57E3DA9D" w14:textId="0DCAA24A" w:rsidR="007974C4" w:rsidRDefault="00763509">
          <w:pPr>
            <w:pStyle w:val="TOC2"/>
            <w:tabs>
              <w:tab w:val="right" w:leader="dot" w:pos="9350"/>
            </w:tabs>
            <w:rPr>
              <w:rFonts w:asciiTheme="minorHAnsi" w:eastAsiaTheme="minorEastAsia" w:hAnsiTheme="minorHAnsi" w:cstheme="minorBidi"/>
              <w:sz w:val="22"/>
              <w:szCs w:val="22"/>
            </w:rPr>
          </w:pPr>
          <w:hyperlink w:anchor="_Toc15658002" w:history="1">
            <w:r w:rsidR="007974C4" w:rsidRPr="00820F17">
              <w:rPr>
                <w:rStyle w:val="Hyperlink"/>
              </w:rPr>
              <w:t>J.</w:t>
            </w:r>
            <w:r w:rsidR="007974C4">
              <w:rPr>
                <w:rFonts w:asciiTheme="minorHAnsi" w:eastAsiaTheme="minorEastAsia" w:hAnsiTheme="minorHAnsi" w:cstheme="minorBidi"/>
                <w:sz w:val="22"/>
                <w:szCs w:val="22"/>
              </w:rPr>
              <w:tab/>
            </w:r>
            <w:r w:rsidR="007974C4" w:rsidRPr="00820F17">
              <w:rPr>
                <w:rStyle w:val="Hyperlink"/>
              </w:rPr>
              <w:t>Appendix D: Motors and VFD Audit and Design Tool</w:t>
            </w:r>
            <w:r w:rsidR="007974C4">
              <w:rPr>
                <w:webHidden/>
              </w:rPr>
              <w:tab/>
            </w:r>
            <w:r w:rsidR="007974C4">
              <w:rPr>
                <w:webHidden/>
              </w:rPr>
              <w:fldChar w:fldCharType="begin"/>
            </w:r>
            <w:r w:rsidR="007974C4">
              <w:rPr>
                <w:webHidden/>
              </w:rPr>
              <w:instrText xml:space="preserve"> PAGEREF _Toc15658002 \h </w:instrText>
            </w:r>
            <w:r w:rsidR="007974C4">
              <w:rPr>
                <w:webHidden/>
              </w:rPr>
            </w:r>
            <w:r w:rsidR="007974C4">
              <w:rPr>
                <w:webHidden/>
              </w:rPr>
              <w:fldChar w:fldCharType="separate"/>
            </w:r>
            <w:r w:rsidR="00B10CDB">
              <w:rPr>
                <w:webHidden/>
              </w:rPr>
              <w:t>138</w:t>
            </w:r>
            <w:r w:rsidR="007974C4">
              <w:rPr>
                <w:webHidden/>
              </w:rPr>
              <w:fldChar w:fldCharType="end"/>
            </w:r>
          </w:hyperlink>
        </w:p>
        <w:p w14:paraId="5B469246" w14:textId="4920100E"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8003"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Comments</w:t>
            </w:r>
            <w:r w:rsidR="007974C4">
              <w:rPr>
                <w:noProof/>
                <w:webHidden/>
              </w:rPr>
              <w:tab/>
            </w:r>
            <w:r w:rsidR="007974C4">
              <w:rPr>
                <w:noProof/>
                <w:webHidden/>
              </w:rPr>
              <w:fldChar w:fldCharType="begin"/>
            </w:r>
            <w:r w:rsidR="007974C4">
              <w:rPr>
                <w:noProof/>
                <w:webHidden/>
              </w:rPr>
              <w:instrText xml:space="preserve"> PAGEREF _Toc15658003 \h </w:instrText>
            </w:r>
            <w:r w:rsidR="007974C4">
              <w:rPr>
                <w:noProof/>
                <w:webHidden/>
              </w:rPr>
            </w:r>
            <w:r w:rsidR="007974C4">
              <w:rPr>
                <w:noProof/>
                <w:webHidden/>
              </w:rPr>
              <w:fldChar w:fldCharType="separate"/>
            </w:r>
            <w:r w:rsidR="00B10CDB">
              <w:rPr>
                <w:noProof/>
                <w:webHidden/>
              </w:rPr>
              <w:t>139</w:t>
            </w:r>
            <w:r w:rsidR="007974C4">
              <w:rPr>
                <w:noProof/>
                <w:webHidden/>
              </w:rPr>
              <w:fldChar w:fldCharType="end"/>
            </w:r>
          </w:hyperlink>
        </w:p>
        <w:p w14:paraId="3D666E15" w14:textId="2EB7821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8004"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Disposition</w:t>
            </w:r>
            <w:r w:rsidR="007974C4">
              <w:rPr>
                <w:noProof/>
                <w:webHidden/>
              </w:rPr>
              <w:tab/>
            </w:r>
            <w:r w:rsidR="007974C4">
              <w:rPr>
                <w:noProof/>
                <w:webHidden/>
              </w:rPr>
              <w:fldChar w:fldCharType="begin"/>
            </w:r>
            <w:r w:rsidR="007974C4">
              <w:rPr>
                <w:noProof/>
                <w:webHidden/>
              </w:rPr>
              <w:instrText xml:space="preserve"> PAGEREF _Toc15658004 \h </w:instrText>
            </w:r>
            <w:r w:rsidR="007974C4">
              <w:rPr>
                <w:noProof/>
                <w:webHidden/>
              </w:rPr>
            </w:r>
            <w:r w:rsidR="007974C4">
              <w:rPr>
                <w:noProof/>
                <w:webHidden/>
              </w:rPr>
              <w:fldChar w:fldCharType="separate"/>
            </w:r>
            <w:r w:rsidR="00B10CDB">
              <w:rPr>
                <w:noProof/>
                <w:webHidden/>
              </w:rPr>
              <w:t>139</w:t>
            </w:r>
            <w:r w:rsidR="007974C4">
              <w:rPr>
                <w:noProof/>
                <w:webHidden/>
              </w:rPr>
              <w:fldChar w:fldCharType="end"/>
            </w:r>
          </w:hyperlink>
        </w:p>
        <w:p w14:paraId="1D99EFA0" w14:textId="57CE67B9" w:rsidR="007974C4" w:rsidRDefault="00763509">
          <w:pPr>
            <w:pStyle w:val="TOC2"/>
            <w:tabs>
              <w:tab w:val="left" w:pos="936"/>
              <w:tab w:val="right" w:leader="dot" w:pos="9350"/>
            </w:tabs>
            <w:rPr>
              <w:rFonts w:asciiTheme="minorHAnsi" w:eastAsiaTheme="minorEastAsia" w:hAnsiTheme="minorHAnsi" w:cstheme="minorBidi"/>
              <w:sz w:val="22"/>
              <w:szCs w:val="22"/>
            </w:rPr>
          </w:pPr>
          <w:hyperlink w:anchor="_Toc15658005" w:history="1">
            <w:r w:rsidR="007974C4" w:rsidRPr="00820F17">
              <w:rPr>
                <w:rStyle w:val="Hyperlink"/>
              </w:rPr>
              <w:t>K.</w:t>
            </w:r>
            <w:r w:rsidR="007974C4">
              <w:rPr>
                <w:rFonts w:asciiTheme="minorHAnsi" w:eastAsiaTheme="minorEastAsia" w:hAnsiTheme="minorHAnsi" w:cstheme="minorBidi"/>
                <w:sz w:val="22"/>
                <w:szCs w:val="22"/>
              </w:rPr>
              <w:tab/>
            </w:r>
            <w:r w:rsidR="007974C4" w:rsidRPr="00820F17">
              <w:rPr>
                <w:rStyle w:val="Hyperlink"/>
              </w:rPr>
              <w:t xml:space="preserve">Appendix E: Eligibility Requirements for Solid State Lighting Products in </w:t>
            </w:r>
            <w:r w:rsidR="007974C4">
              <w:rPr>
                <w:rStyle w:val="Hyperlink"/>
              </w:rPr>
              <w:br/>
            </w:r>
            <w:r w:rsidR="007974C4" w:rsidRPr="00820F17">
              <w:rPr>
                <w:rStyle w:val="Hyperlink"/>
              </w:rPr>
              <w:t>Commercial and Industrial Applications</w:t>
            </w:r>
            <w:r w:rsidR="007974C4">
              <w:rPr>
                <w:webHidden/>
              </w:rPr>
              <w:tab/>
            </w:r>
            <w:r w:rsidR="007974C4">
              <w:rPr>
                <w:webHidden/>
              </w:rPr>
              <w:fldChar w:fldCharType="begin"/>
            </w:r>
            <w:r w:rsidR="007974C4">
              <w:rPr>
                <w:webHidden/>
              </w:rPr>
              <w:instrText xml:space="preserve"> PAGEREF _Toc15658005 \h </w:instrText>
            </w:r>
            <w:r w:rsidR="007974C4">
              <w:rPr>
                <w:webHidden/>
              </w:rPr>
            </w:r>
            <w:r w:rsidR="007974C4">
              <w:rPr>
                <w:webHidden/>
              </w:rPr>
              <w:fldChar w:fldCharType="separate"/>
            </w:r>
            <w:r w:rsidR="00B10CDB">
              <w:rPr>
                <w:webHidden/>
              </w:rPr>
              <w:t>139</w:t>
            </w:r>
            <w:r w:rsidR="007974C4">
              <w:rPr>
                <w:webHidden/>
              </w:rPr>
              <w:fldChar w:fldCharType="end"/>
            </w:r>
          </w:hyperlink>
        </w:p>
        <w:p w14:paraId="358A985B" w14:textId="2A282A80"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8006" w:history="1">
            <w:r w:rsidR="007974C4" w:rsidRPr="00820F17">
              <w:rPr>
                <w:rStyle w:val="Hyperlink"/>
                <w:noProof/>
              </w:rPr>
              <w:t>1.</w:t>
            </w:r>
            <w:r w:rsidR="007974C4">
              <w:rPr>
                <w:rFonts w:asciiTheme="minorHAnsi" w:eastAsiaTheme="minorEastAsia" w:hAnsiTheme="minorHAnsi" w:cstheme="minorBidi"/>
                <w:noProof/>
                <w:sz w:val="22"/>
                <w:szCs w:val="22"/>
              </w:rPr>
              <w:tab/>
            </w:r>
            <w:r w:rsidR="007974C4" w:rsidRPr="00820F17">
              <w:rPr>
                <w:rStyle w:val="Hyperlink"/>
                <w:noProof/>
              </w:rPr>
              <w:t>Comments</w:t>
            </w:r>
            <w:r w:rsidR="007974C4">
              <w:rPr>
                <w:noProof/>
                <w:webHidden/>
              </w:rPr>
              <w:tab/>
            </w:r>
            <w:r w:rsidR="007974C4">
              <w:rPr>
                <w:noProof/>
                <w:webHidden/>
              </w:rPr>
              <w:fldChar w:fldCharType="begin"/>
            </w:r>
            <w:r w:rsidR="007974C4">
              <w:rPr>
                <w:noProof/>
                <w:webHidden/>
              </w:rPr>
              <w:instrText xml:space="preserve"> PAGEREF _Toc15658006 \h </w:instrText>
            </w:r>
            <w:r w:rsidR="007974C4">
              <w:rPr>
                <w:noProof/>
                <w:webHidden/>
              </w:rPr>
            </w:r>
            <w:r w:rsidR="007974C4">
              <w:rPr>
                <w:noProof/>
                <w:webHidden/>
              </w:rPr>
              <w:fldChar w:fldCharType="separate"/>
            </w:r>
            <w:r w:rsidR="00B10CDB">
              <w:rPr>
                <w:noProof/>
                <w:webHidden/>
              </w:rPr>
              <w:t>139</w:t>
            </w:r>
            <w:r w:rsidR="007974C4">
              <w:rPr>
                <w:noProof/>
                <w:webHidden/>
              </w:rPr>
              <w:fldChar w:fldCharType="end"/>
            </w:r>
          </w:hyperlink>
        </w:p>
        <w:p w14:paraId="21039CA0" w14:textId="49C8E7B2" w:rsidR="007974C4" w:rsidRDefault="00763509">
          <w:pPr>
            <w:pStyle w:val="TOC3"/>
            <w:tabs>
              <w:tab w:val="left" w:pos="1200"/>
              <w:tab w:val="right" w:leader="dot" w:pos="9350"/>
            </w:tabs>
            <w:rPr>
              <w:rFonts w:asciiTheme="minorHAnsi" w:eastAsiaTheme="minorEastAsia" w:hAnsiTheme="minorHAnsi" w:cstheme="minorBidi"/>
              <w:noProof/>
              <w:sz w:val="22"/>
              <w:szCs w:val="22"/>
            </w:rPr>
          </w:pPr>
          <w:hyperlink w:anchor="_Toc15658007" w:history="1">
            <w:r w:rsidR="007974C4" w:rsidRPr="00820F17">
              <w:rPr>
                <w:rStyle w:val="Hyperlink"/>
                <w:noProof/>
              </w:rPr>
              <w:t>2.</w:t>
            </w:r>
            <w:r w:rsidR="007974C4">
              <w:rPr>
                <w:rFonts w:asciiTheme="minorHAnsi" w:eastAsiaTheme="minorEastAsia" w:hAnsiTheme="minorHAnsi" w:cstheme="minorBidi"/>
                <w:noProof/>
                <w:sz w:val="22"/>
                <w:szCs w:val="22"/>
              </w:rPr>
              <w:tab/>
            </w:r>
            <w:r w:rsidR="007974C4" w:rsidRPr="00820F17">
              <w:rPr>
                <w:rStyle w:val="Hyperlink"/>
                <w:noProof/>
              </w:rPr>
              <w:t>Disposition</w:t>
            </w:r>
            <w:r w:rsidR="007974C4">
              <w:rPr>
                <w:noProof/>
                <w:webHidden/>
              </w:rPr>
              <w:tab/>
            </w:r>
            <w:r w:rsidR="007974C4">
              <w:rPr>
                <w:noProof/>
                <w:webHidden/>
              </w:rPr>
              <w:fldChar w:fldCharType="begin"/>
            </w:r>
            <w:r w:rsidR="007974C4">
              <w:rPr>
                <w:noProof/>
                <w:webHidden/>
              </w:rPr>
              <w:instrText xml:space="preserve"> PAGEREF _Toc15658007 \h </w:instrText>
            </w:r>
            <w:r w:rsidR="007974C4">
              <w:rPr>
                <w:noProof/>
                <w:webHidden/>
              </w:rPr>
            </w:r>
            <w:r w:rsidR="007974C4">
              <w:rPr>
                <w:noProof/>
                <w:webHidden/>
              </w:rPr>
              <w:fldChar w:fldCharType="separate"/>
            </w:r>
            <w:r w:rsidR="00B10CDB">
              <w:rPr>
                <w:noProof/>
                <w:webHidden/>
              </w:rPr>
              <w:t>140</w:t>
            </w:r>
            <w:r w:rsidR="007974C4">
              <w:rPr>
                <w:noProof/>
                <w:webHidden/>
              </w:rPr>
              <w:fldChar w:fldCharType="end"/>
            </w:r>
          </w:hyperlink>
        </w:p>
        <w:p w14:paraId="229C5721" w14:textId="71EFE4CA" w:rsidR="007974C4" w:rsidRDefault="00763509">
          <w:pPr>
            <w:pStyle w:val="TOC1"/>
            <w:tabs>
              <w:tab w:val="right" w:leader="dot" w:pos="9350"/>
            </w:tabs>
            <w:rPr>
              <w:rFonts w:asciiTheme="minorHAnsi" w:eastAsiaTheme="minorEastAsia" w:hAnsiTheme="minorHAnsi" w:cstheme="minorBidi"/>
              <w:caps w:val="0"/>
              <w:noProof/>
              <w:sz w:val="22"/>
              <w:szCs w:val="22"/>
            </w:rPr>
          </w:pPr>
          <w:hyperlink w:anchor="_Toc15658008" w:history="1">
            <w:r w:rsidR="007974C4" w:rsidRPr="00820F17">
              <w:rPr>
                <w:rStyle w:val="Hyperlink"/>
                <w:noProof/>
              </w:rPr>
              <w:t>CONCLUSION</w:t>
            </w:r>
            <w:r w:rsidR="007974C4">
              <w:rPr>
                <w:noProof/>
                <w:webHidden/>
              </w:rPr>
              <w:tab/>
            </w:r>
            <w:r w:rsidR="007974C4">
              <w:rPr>
                <w:noProof/>
                <w:webHidden/>
              </w:rPr>
              <w:fldChar w:fldCharType="begin"/>
            </w:r>
            <w:r w:rsidR="007974C4">
              <w:rPr>
                <w:noProof/>
                <w:webHidden/>
              </w:rPr>
              <w:instrText xml:space="preserve"> PAGEREF _Toc15658008 \h </w:instrText>
            </w:r>
            <w:r w:rsidR="007974C4">
              <w:rPr>
                <w:noProof/>
                <w:webHidden/>
              </w:rPr>
            </w:r>
            <w:r w:rsidR="007974C4">
              <w:rPr>
                <w:noProof/>
                <w:webHidden/>
              </w:rPr>
              <w:fldChar w:fldCharType="separate"/>
            </w:r>
            <w:r w:rsidR="00B10CDB">
              <w:rPr>
                <w:noProof/>
                <w:webHidden/>
              </w:rPr>
              <w:t>140</w:t>
            </w:r>
            <w:r w:rsidR="007974C4">
              <w:rPr>
                <w:noProof/>
                <w:webHidden/>
              </w:rPr>
              <w:fldChar w:fldCharType="end"/>
            </w:r>
          </w:hyperlink>
        </w:p>
        <w:p w14:paraId="0FA107DB" w14:textId="63DEC9A1" w:rsidR="000B423D" w:rsidRPr="008B2E4F" w:rsidRDefault="000B423D" w:rsidP="007F5365">
          <w:r w:rsidRPr="00DB686D">
            <w:rPr>
              <w:noProof/>
              <w:szCs w:val="26"/>
            </w:rPr>
            <w:fldChar w:fldCharType="end"/>
          </w:r>
          <w:r w:rsidR="001E57C4" w:rsidRPr="008B2E4F">
            <w:rPr>
              <w:noProof/>
            </w:rPr>
            <w:tab/>
          </w:r>
        </w:p>
      </w:sdtContent>
    </w:sdt>
    <w:p w14:paraId="0FA107DC" w14:textId="77777777" w:rsidR="00733577" w:rsidRDefault="00733577" w:rsidP="00382A66">
      <w:pPr>
        <w:sectPr w:rsidR="00733577" w:rsidSect="00327221">
          <w:headerReference w:type="default" r:id="rId14"/>
          <w:pgSz w:w="12240" w:h="15840"/>
          <w:pgMar w:top="1440" w:right="1440" w:bottom="1170" w:left="1440" w:header="720" w:footer="360" w:gutter="0"/>
          <w:pgNumType w:fmt="lowerRoman" w:start="1"/>
          <w:cols w:space="720"/>
          <w:docGrid w:linePitch="360"/>
        </w:sectPr>
      </w:pPr>
    </w:p>
    <w:p w14:paraId="0FA107DE" w14:textId="663F8BED" w:rsidR="00DF2AC4" w:rsidRPr="0098410B" w:rsidRDefault="00FA4295" w:rsidP="00BD622F">
      <w:pPr>
        <w:spacing w:line="480" w:lineRule="auto"/>
        <w:ind w:firstLine="0"/>
      </w:pPr>
      <w:r w:rsidRPr="001378A6">
        <w:rPr>
          <w:b/>
          <w:bCs/>
        </w:rPr>
        <w:lastRenderedPageBreak/>
        <w:t>BY THE COMMISSION:</w:t>
      </w:r>
    </w:p>
    <w:p w14:paraId="1AA20F31" w14:textId="41F3C0FA" w:rsidR="0061546A" w:rsidRDefault="00FA4295" w:rsidP="00E26362">
      <w:r w:rsidRPr="0098410B">
        <w:t>As explained in our Order, entered June 1, 2009</w:t>
      </w:r>
      <w:r w:rsidR="0022753D" w:rsidRPr="0098410B">
        <w:t>,</w:t>
      </w:r>
      <w:r w:rsidRPr="0098410B">
        <w:t xml:space="preserve"> at </w:t>
      </w:r>
      <w:r w:rsidR="000C216F" w:rsidRPr="0098410B">
        <w:t>Docket No. M-00051865</w:t>
      </w:r>
      <w:r w:rsidRPr="0098410B">
        <w:t xml:space="preserve">, in implementing the Alternative Energy Portfolio Standards Act </w:t>
      </w:r>
      <w:r w:rsidR="003036C1" w:rsidRPr="0098410B">
        <w:t>(AEPS Act</w:t>
      </w:r>
      <w:r w:rsidR="00EE2777" w:rsidRPr="0098410B">
        <w:t>)</w:t>
      </w:r>
      <w:r w:rsidR="00F26851">
        <w:t xml:space="preserve"> as amended</w:t>
      </w:r>
      <w:r w:rsidR="00EE2777" w:rsidRPr="0098410B">
        <w:t>, 73 P.S. §§ 1648.1</w:t>
      </w:r>
      <w:r w:rsidR="00EE2777" w:rsidRPr="0098410B">
        <w:noBreakHyphen/>
      </w:r>
      <w:r w:rsidRPr="0098410B">
        <w:t>1648.8</w:t>
      </w:r>
      <w:r w:rsidR="00F26851">
        <w:t>,</w:t>
      </w:r>
      <w:r w:rsidR="000C216F" w:rsidRPr="0098410B">
        <w:t xml:space="preserve"> 66 Pa.</w:t>
      </w:r>
      <w:r w:rsidR="00125540">
        <w:t xml:space="preserve"> </w:t>
      </w:r>
      <w:r w:rsidR="000C216F" w:rsidRPr="0098410B">
        <w:t>C.S. § 2814</w:t>
      </w:r>
      <w:r w:rsidR="00F26851">
        <w:t xml:space="preserve"> and 71 P.S. § 714</w:t>
      </w:r>
      <w:r w:rsidRPr="0098410B">
        <w:t>,</w:t>
      </w:r>
      <w:r w:rsidRPr="0098410B">
        <w:rPr>
          <w:b/>
        </w:rPr>
        <w:t xml:space="preserve"> </w:t>
      </w:r>
      <w:r w:rsidRPr="0098410B">
        <w:t xml:space="preserve">this Commission had adopted an </w:t>
      </w:r>
      <w:r w:rsidRPr="0098410B">
        <w:rPr>
          <w:i/>
        </w:rPr>
        <w:t>Energy</w:t>
      </w:r>
      <w:r w:rsidRPr="0098410B">
        <w:rPr>
          <w:i/>
        </w:rPr>
        <w:noBreakHyphen/>
        <w:t xml:space="preserve">Efficiency and DSM Rules for Pennsylvania’s Alternative Energy Portfolio Standard, Technical Reference Manual </w:t>
      </w:r>
      <w:r w:rsidR="003036C1" w:rsidRPr="0098410B">
        <w:t>(TRM</w:t>
      </w:r>
      <w:r w:rsidRPr="0098410B">
        <w:t>).</w:t>
      </w:r>
      <w:r w:rsidRPr="0098410B">
        <w:rPr>
          <w:rStyle w:val="FootnoteReference"/>
          <w:szCs w:val="26"/>
        </w:rPr>
        <w:footnoteReference w:id="2"/>
      </w:r>
      <w:r w:rsidR="00DB1416">
        <w:t xml:space="preserve"> </w:t>
      </w:r>
      <w:r w:rsidR="00F95187">
        <w:t xml:space="preserve"> </w:t>
      </w:r>
      <w:r w:rsidRPr="0098410B">
        <w:t xml:space="preserve">In adopting the original version of the TRM, this Commission directed </w:t>
      </w:r>
      <w:r w:rsidR="003036C1" w:rsidRPr="0098410B">
        <w:t>its</w:t>
      </w:r>
      <w:r w:rsidRPr="0098410B">
        <w:t xml:space="preserve"> Bureau of Conservation, </w:t>
      </w:r>
      <w:r w:rsidR="003036C1" w:rsidRPr="0098410B">
        <w:t>Economics</w:t>
      </w:r>
      <w:r w:rsidR="0072757E">
        <w:t>,</w:t>
      </w:r>
      <w:r w:rsidR="003036C1" w:rsidRPr="0098410B">
        <w:t xml:space="preserve"> and Energy Planning (CEEP</w:t>
      </w:r>
      <w:r w:rsidRPr="0098410B">
        <w:t>)</w:t>
      </w:r>
      <w:r w:rsidR="002F035F" w:rsidRPr="0098410B">
        <w:rPr>
          <w:rStyle w:val="FootnoteReference"/>
          <w:szCs w:val="26"/>
        </w:rPr>
        <w:footnoteReference w:id="3"/>
      </w:r>
      <w:r w:rsidRPr="0098410B">
        <w:t xml:space="preserve"> to oversee the implementation, maintenance</w:t>
      </w:r>
      <w:r w:rsidR="009034FC">
        <w:t>,</w:t>
      </w:r>
      <w:r w:rsidRPr="0098410B">
        <w:t xml:space="preserve"> and periodic updating of the TRM.</w:t>
      </w:r>
      <w:r w:rsidRPr="0098410B">
        <w:rPr>
          <w:rStyle w:val="FootnoteReference"/>
          <w:szCs w:val="26"/>
        </w:rPr>
        <w:footnoteReference w:id="4"/>
      </w:r>
      <w:r w:rsidR="00DB1416">
        <w:t xml:space="preserve"> </w:t>
      </w:r>
      <w:r w:rsidR="00F95187">
        <w:t xml:space="preserve"> </w:t>
      </w:r>
      <w:r w:rsidRPr="0098410B">
        <w:t xml:space="preserve">Additionally, in </w:t>
      </w:r>
      <w:r w:rsidR="003036C1" w:rsidRPr="0098410B">
        <w:t>the</w:t>
      </w:r>
      <w:r w:rsidRPr="0098410B">
        <w:t xml:space="preserve"> </w:t>
      </w:r>
      <w:r w:rsidRPr="0098410B">
        <w:rPr>
          <w:i/>
        </w:rPr>
        <w:t xml:space="preserve">Energy Efficiency and Conservation Program </w:t>
      </w:r>
      <w:r w:rsidRPr="0098410B">
        <w:t>Implementation Order</w:t>
      </w:r>
      <w:r w:rsidR="003036C1" w:rsidRPr="0098410B">
        <w:t xml:space="preserve"> for Phase I of Act 129’s Energy Efficiency and Conservation (EE&amp;C) Program</w:t>
      </w:r>
      <w:r w:rsidRPr="0098410B">
        <w:t>,</w:t>
      </w:r>
      <w:r w:rsidRPr="0098410B">
        <w:rPr>
          <w:rStyle w:val="FootnoteReference"/>
          <w:szCs w:val="26"/>
        </w:rPr>
        <w:footnoteReference w:id="5"/>
      </w:r>
      <w:r w:rsidRPr="0098410B">
        <w:t xml:space="preserve"> this Commission adopted the TRM as a component of the </w:t>
      </w:r>
      <w:r w:rsidR="003036C1" w:rsidRPr="0098410B">
        <w:t>EE&amp;C</w:t>
      </w:r>
      <w:r w:rsidR="009C3B3D">
        <w:t xml:space="preserve"> Program evaluation process</w:t>
      </w:r>
      <w:r w:rsidR="00A0651F">
        <w:t xml:space="preserve">.  </w:t>
      </w:r>
    </w:p>
    <w:p w14:paraId="3F3F01AD" w14:textId="77777777" w:rsidR="003E02EA" w:rsidRDefault="003E02EA" w:rsidP="00E26362"/>
    <w:p w14:paraId="302E3455" w14:textId="05382B99" w:rsidR="001E379A" w:rsidRDefault="00F06A99" w:rsidP="00E26362">
      <w:r>
        <w:t xml:space="preserve">On April 11, 2019, the Commission issued for Comment the proposed 2021 Technical Reference Manual that would be used for </w:t>
      </w:r>
      <w:r w:rsidR="001E379A">
        <w:t xml:space="preserve">a potential </w:t>
      </w:r>
      <w:r w:rsidR="0061546A" w:rsidRPr="005C12E8">
        <w:t>Phase IV</w:t>
      </w:r>
      <w:r w:rsidR="001A03A8" w:rsidRPr="005C12E8">
        <w:t xml:space="preserve"> of the EE&amp;C Program</w:t>
      </w:r>
      <w:r>
        <w:t>.</w:t>
      </w:r>
      <w:r>
        <w:rPr>
          <w:rStyle w:val="FootnoteReference"/>
        </w:rPr>
        <w:footnoteReference w:id="6"/>
      </w:r>
      <w:r w:rsidR="001A03A8" w:rsidRPr="005C12E8">
        <w:t xml:space="preserve"> </w:t>
      </w:r>
      <w:r>
        <w:t xml:space="preserve">With this Order, and </w:t>
      </w:r>
      <w:r w:rsidR="001A03A8" w:rsidRPr="005C12E8">
        <w:t xml:space="preserve">in keeping with guidance from previous Implementation Orders, </w:t>
      </w:r>
      <w:r w:rsidR="00CF0C94">
        <w:t>the Commission</w:t>
      </w:r>
      <w:r w:rsidR="001E379A">
        <w:t xml:space="preserve"> </w:t>
      </w:r>
      <w:r w:rsidR="00505559">
        <w:t>adopts</w:t>
      </w:r>
      <w:r w:rsidR="001E379A">
        <w:t xml:space="preserve"> </w:t>
      </w:r>
      <w:r w:rsidR="00576E17" w:rsidRPr="005C12E8">
        <w:t xml:space="preserve">the TRM as a component of the EE&amp;C Program evaluation process.  </w:t>
      </w:r>
      <w:r w:rsidR="001E379A">
        <w:t xml:space="preserve">If </w:t>
      </w:r>
      <w:r>
        <w:t xml:space="preserve">the Commission adopts </w:t>
      </w:r>
      <w:r w:rsidR="001E379A">
        <w:t xml:space="preserve">a </w:t>
      </w:r>
      <w:r w:rsidR="00BE0673">
        <w:t>Phase IV</w:t>
      </w:r>
      <w:r w:rsidR="001E379A">
        <w:t xml:space="preserve"> of the EE&amp;C Program</w:t>
      </w:r>
      <w:r w:rsidR="00F937F1">
        <w:t xml:space="preserve">, the Commission </w:t>
      </w:r>
      <w:r w:rsidR="0038700D">
        <w:t>will allow</w:t>
      </w:r>
      <w:r w:rsidR="00F937F1">
        <w:t xml:space="preserve"> for optional updates</w:t>
      </w:r>
      <w:r w:rsidR="002E4E0D">
        <w:t xml:space="preserve"> </w:t>
      </w:r>
      <w:r w:rsidR="005A6265">
        <w:t xml:space="preserve">to keep the TRM aligned with </w:t>
      </w:r>
      <w:r w:rsidR="001152E1">
        <w:t>updates to codes and standards that occur during the phase</w:t>
      </w:r>
      <w:r w:rsidR="00A0651F">
        <w:t xml:space="preserve">.  </w:t>
      </w:r>
    </w:p>
    <w:p w14:paraId="77F069BA" w14:textId="77777777" w:rsidR="001E379A" w:rsidRDefault="001E379A" w:rsidP="00BD622F">
      <w:pPr>
        <w:pStyle w:val="p3"/>
      </w:pPr>
    </w:p>
    <w:p w14:paraId="0FA107E6" w14:textId="44700743" w:rsidR="008601DF" w:rsidRDefault="00457B51" w:rsidP="009D6654">
      <w:r>
        <w:lastRenderedPageBreak/>
        <w:t>With</w:t>
      </w:r>
      <w:r w:rsidR="001E379A">
        <w:t xml:space="preserve"> this Order, t</w:t>
      </w:r>
      <w:r w:rsidR="00C865BA">
        <w:t xml:space="preserve">he Commission </w:t>
      </w:r>
      <w:r>
        <w:t>adopts</w:t>
      </w:r>
      <w:r w:rsidR="00C865BA">
        <w:t xml:space="preserve"> </w:t>
      </w:r>
      <w:r w:rsidR="00C82ACB">
        <w:t>several updates to climate</w:t>
      </w:r>
      <w:r w:rsidR="00F26851">
        <w:noBreakHyphen/>
      </w:r>
      <w:r w:rsidR="00C82ACB">
        <w:t>related assumptions in the TRM</w:t>
      </w:r>
      <w:r w:rsidR="0017052D">
        <w:t xml:space="preserve">, a revised taxonomy of </w:t>
      </w:r>
      <w:r w:rsidR="001E379A" w:rsidRPr="004C0390">
        <w:t>commercial and industrial (</w:t>
      </w:r>
      <w:r w:rsidR="0017052D" w:rsidRPr="004C0390">
        <w:t>C&amp;I</w:t>
      </w:r>
      <w:r w:rsidR="001E379A" w:rsidRPr="004C0390">
        <w:t>)</w:t>
      </w:r>
      <w:r w:rsidR="0017052D">
        <w:t xml:space="preserve"> building types</w:t>
      </w:r>
      <w:r w:rsidR="00E47743">
        <w:t>, an adjustment to the definition of peak and off-peak periods</w:t>
      </w:r>
      <w:r w:rsidR="00BA4DF8">
        <w:t xml:space="preserve">, and other </w:t>
      </w:r>
      <w:r w:rsidR="00E208E2">
        <w:t xml:space="preserve">general </w:t>
      </w:r>
      <w:r w:rsidR="001E379A">
        <w:t xml:space="preserve">changes </w:t>
      </w:r>
      <w:r w:rsidR="00E208E2">
        <w:t xml:space="preserve">described in greater detail in </w:t>
      </w:r>
      <w:hyperlink w:anchor="_General_Improvements" w:history="1">
        <w:r w:rsidR="003C747C" w:rsidRPr="003C747C">
          <w:rPr>
            <w:rStyle w:val="Hyperlink"/>
            <w:szCs w:val="26"/>
          </w:rPr>
          <w:t>Section B</w:t>
        </w:r>
      </w:hyperlink>
      <w:r w:rsidR="007105AA">
        <w:rPr>
          <w:rStyle w:val="Hyperlink"/>
          <w:szCs w:val="26"/>
        </w:rPr>
        <w:t>,</w:t>
      </w:r>
      <w:r w:rsidR="003C747C">
        <w:t xml:space="preserve"> below</w:t>
      </w:r>
      <w:r w:rsidR="00A0651F">
        <w:t xml:space="preserve">.  </w:t>
      </w:r>
      <w:r w:rsidR="002075B6">
        <w:t xml:space="preserve">The Commission </w:t>
      </w:r>
      <w:r w:rsidR="006B736F">
        <w:t>adopts</w:t>
      </w:r>
      <w:r w:rsidR="002075B6">
        <w:t xml:space="preserve"> 1</w:t>
      </w:r>
      <w:r w:rsidR="00282942">
        <w:t>2</w:t>
      </w:r>
      <w:r w:rsidR="002075B6">
        <w:t xml:space="preserve"> new residential and 2</w:t>
      </w:r>
      <w:r w:rsidR="00282942">
        <w:t>5</w:t>
      </w:r>
      <w:r w:rsidR="001F3D65">
        <w:t xml:space="preserve"> new non-residential measures to include in the Phase IV TRM</w:t>
      </w:r>
      <w:r w:rsidR="00A0651F">
        <w:t xml:space="preserve">.  </w:t>
      </w:r>
      <w:r w:rsidR="001F3D65">
        <w:t xml:space="preserve">See </w:t>
      </w:r>
      <w:hyperlink w:anchor="_Additional_Residential_EE&amp;C" w:history="1">
        <w:r w:rsidR="001F3D65" w:rsidRPr="0045254B">
          <w:rPr>
            <w:rStyle w:val="Hyperlink"/>
            <w:szCs w:val="26"/>
          </w:rPr>
          <w:t>Section C</w:t>
        </w:r>
      </w:hyperlink>
      <w:r w:rsidR="001F3D65">
        <w:t xml:space="preserve"> and </w:t>
      </w:r>
      <w:hyperlink w:anchor="_Additional_C&amp;I_EE&amp;C" w:history="1">
        <w:r w:rsidR="001F3D65" w:rsidRPr="0045254B">
          <w:rPr>
            <w:rStyle w:val="Hyperlink"/>
            <w:szCs w:val="26"/>
          </w:rPr>
          <w:t>Section D</w:t>
        </w:r>
      </w:hyperlink>
      <w:r w:rsidR="001F3D65">
        <w:t xml:space="preserve"> </w:t>
      </w:r>
      <w:r w:rsidR="001E379A">
        <w:t xml:space="preserve">of this Order </w:t>
      </w:r>
      <w:r w:rsidR="001F3D65">
        <w:t>for a listing of these measures</w:t>
      </w:r>
      <w:r w:rsidR="00A0651F">
        <w:t xml:space="preserve">.  </w:t>
      </w:r>
      <w:hyperlink w:anchor="_Existing_Residential_EE&amp;C" w:history="1">
        <w:r w:rsidR="001F3D65" w:rsidRPr="0045254B">
          <w:rPr>
            <w:rStyle w:val="Hyperlink"/>
            <w:szCs w:val="26"/>
          </w:rPr>
          <w:t>Section E</w:t>
        </w:r>
      </w:hyperlink>
      <w:r w:rsidR="001F3D65">
        <w:t xml:space="preserve"> and </w:t>
      </w:r>
      <w:hyperlink w:anchor="_Existing_C&amp;I_EE&amp;C" w:history="1">
        <w:r w:rsidR="001F3D65" w:rsidRPr="0045254B">
          <w:rPr>
            <w:rStyle w:val="Hyperlink"/>
            <w:szCs w:val="26"/>
          </w:rPr>
          <w:t>Section F</w:t>
        </w:r>
      </w:hyperlink>
      <w:r w:rsidR="001F3D65">
        <w:t xml:space="preserve"> </w:t>
      </w:r>
      <w:r w:rsidR="001E379A">
        <w:t xml:space="preserve">of this Order </w:t>
      </w:r>
      <w:r w:rsidR="001F3D65">
        <w:t xml:space="preserve">describe the Commission’s </w:t>
      </w:r>
      <w:r w:rsidR="007D35A0">
        <w:t>adopted</w:t>
      </w:r>
      <w:r w:rsidR="00D243FE">
        <w:t xml:space="preserve"> </w:t>
      </w:r>
      <w:r w:rsidR="001F3D65">
        <w:t>updates to residential and non-residential measures included from the Phase III TRM</w:t>
      </w:r>
      <w:r w:rsidR="00A0651F">
        <w:t xml:space="preserve">.  </w:t>
      </w:r>
      <w:r w:rsidR="00442E3B">
        <w:t>Finally, the Commission has removed from the TRM six residential and three non</w:t>
      </w:r>
      <w:r w:rsidR="00442E3B">
        <w:noBreakHyphen/>
        <w:t xml:space="preserve">residential measures that are listed in </w:t>
      </w:r>
      <w:hyperlink w:anchor="_Removed_Residential_EE&amp;C" w:history="1">
        <w:r w:rsidR="0003588F" w:rsidRPr="0045254B">
          <w:rPr>
            <w:rStyle w:val="Hyperlink"/>
            <w:szCs w:val="26"/>
          </w:rPr>
          <w:t>Section G</w:t>
        </w:r>
      </w:hyperlink>
      <w:r w:rsidR="0003588F">
        <w:t xml:space="preserve"> and </w:t>
      </w:r>
      <w:hyperlink w:anchor="_Removed_C&amp;I_EE&amp;C" w:history="1">
        <w:r w:rsidR="0003588F" w:rsidRPr="0045254B">
          <w:rPr>
            <w:rStyle w:val="Hyperlink"/>
            <w:szCs w:val="26"/>
          </w:rPr>
          <w:t>Section H</w:t>
        </w:r>
      </w:hyperlink>
      <w:r w:rsidR="0003588F">
        <w:t xml:space="preserve"> </w:t>
      </w:r>
      <w:r w:rsidR="001E379A">
        <w:t>of this Order</w:t>
      </w:r>
      <w:r w:rsidR="0045254B">
        <w:t>.</w:t>
      </w:r>
    </w:p>
    <w:p w14:paraId="0FA107E7" w14:textId="77777777" w:rsidR="00DF2AC4" w:rsidRPr="0098410B" w:rsidRDefault="00DF2AC4" w:rsidP="00BD622F">
      <w:pPr>
        <w:pStyle w:val="p3"/>
      </w:pPr>
    </w:p>
    <w:p w14:paraId="16D93294" w14:textId="1B28EDE6" w:rsidR="00E50D54" w:rsidRPr="00E50D54" w:rsidRDefault="00FA4295" w:rsidP="00BD622F">
      <w:pPr>
        <w:pStyle w:val="Heading1"/>
        <w:spacing w:line="360" w:lineRule="auto"/>
        <w:jc w:val="left"/>
      </w:pPr>
      <w:bookmarkStart w:id="4" w:name="_Toc334174988"/>
      <w:bookmarkStart w:id="5" w:name="_Toc364755743"/>
      <w:bookmarkStart w:id="6" w:name="_Toc394648162"/>
      <w:bookmarkStart w:id="7" w:name="_Toc396910589"/>
      <w:bookmarkStart w:id="8" w:name="_Toc413415426"/>
      <w:bookmarkStart w:id="9" w:name="_Toc15657877"/>
      <w:r w:rsidRPr="009C3B3D">
        <w:t>BACKGROUND</w:t>
      </w:r>
      <w:bookmarkEnd w:id="4"/>
      <w:bookmarkEnd w:id="5"/>
      <w:bookmarkEnd w:id="6"/>
      <w:bookmarkEnd w:id="7"/>
      <w:bookmarkEnd w:id="8"/>
      <w:bookmarkEnd w:id="9"/>
    </w:p>
    <w:p w14:paraId="0FA107E9" w14:textId="10B26CEA" w:rsidR="00FA4295" w:rsidRPr="0098410B" w:rsidRDefault="00FA4295" w:rsidP="00E26362">
      <w:r w:rsidRPr="00A21EBA">
        <w:t>Act 129 of 2008, P.L. 1592, specifically directed this Commission to establish an evaluation process that monitors and verifies data collection, quality assurance</w:t>
      </w:r>
      <w:r w:rsidR="00B00DB8">
        <w:t>,</w:t>
      </w:r>
      <w:r w:rsidRPr="00A21EBA">
        <w:t xml:space="preserve"> and the results of each </w:t>
      </w:r>
      <w:r w:rsidR="002A70B2" w:rsidRPr="00A21EBA">
        <w:t>electric distribution company’s (</w:t>
      </w:r>
      <w:r w:rsidRPr="00A21EBA">
        <w:t>EDC</w:t>
      </w:r>
      <w:r w:rsidR="002A70B2" w:rsidRPr="00A21EBA">
        <w:t>)</w:t>
      </w:r>
      <w:r w:rsidRPr="00A21EBA">
        <w:t xml:space="preserve"> EE&amp;C plan and the EE&amp;C program as a whole</w:t>
      </w:r>
      <w:r w:rsidR="00A0651F">
        <w:t xml:space="preserve">.  </w:t>
      </w:r>
      <w:r w:rsidRPr="00A21EBA">
        <w:rPr>
          <w:i/>
        </w:rPr>
        <w:t>See</w:t>
      </w:r>
      <w:r w:rsidR="009C3B3D" w:rsidRPr="00A21EBA">
        <w:t xml:space="preserve"> 66 Pa. C.S. § 2806.1(a)(2)</w:t>
      </w:r>
      <w:r w:rsidR="00A0651F">
        <w:t xml:space="preserve">.  </w:t>
      </w:r>
      <w:r w:rsidRPr="00A21EBA">
        <w:t xml:space="preserve">To assist in meeting this obligation, the Commission contracted with </w:t>
      </w:r>
      <w:r w:rsidR="00A32402">
        <w:t>the NMR Group, Inc. in March 2016</w:t>
      </w:r>
      <w:r w:rsidRPr="00A21EBA">
        <w:t xml:space="preserve"> to perform these duties as the Act 129 Statewide </w:t>
      </w:r>
      <w:r w:rsidR="009C3B3D" w:rsidRPr="00A21EBA">
        <w:t>Evaluator (SWE)</w:t>
      </w:r>
      <w:r w:rsidR="00A0651F">
        <w:t xml:space="preserve">.  </w:t>
      </w:r>
      <w:r w:rsidRPr="00A21EBA">
        <w:t>As part of its duties</w:t>
      </w:r>
      <w:r w:rsidR="00DE2990" w:rsidRPr="00A21EBA">
        <w:t>, the SWE</w:t>
      </w:r>
      <w:r w:rsidRPr="00A21EBA">
        <w:t xml:space="preserve"> is to review the TRM and the Total Resource Cost</w:t>
      </w:r>
      <w:r w:rsidR="00A21EBA" w:rsidRPr="00A21EBA">
        <w:t xml:space="preserve"> (TRC)</w:t>
      </w:r>
      <w:r w:rsidR="004D4546" w:rsidRPr="00A21EBA">
        <w:t xml:space="preserve"> </w:t>
      </w:r>
      <w:r w:rsidRPr="00A21EBA">
        <w:t xml:space="preserve">Test and provide suggestions for possible revisions </w:t>
      </w:r>
      <w:r w:rsidR="006A4999" w:rsidRPr="00A21EBA">
        <w:t xml:space="preserve">and additions to these </w:t>
      </w:r>
      <w:r w:rsidR="00F9034F">
        <w:t>guidance documents</w:t>
      </w:r>
      <w:r w:rsidR="00A0651F">
        <w:t xml:space="preserve">.  </w:t>
      </w:r>
    </w:p>
    <w:p w14:paraId="0FA107EA" w14:textId="77777777" w:rsidR="00FA4295" w:rsidRPr="0098410B" w:rsidRDefault="00FA4295" w:rsidP="00BD622F">
      <w:pPr>
        <w:pStyle w:val="p3"/>
      </w:pPr>
    </w:p>
    <w:p w14:paraId="0FA107EC" w14:textId="699BF29D" w:rsidR="00A16768" w:rsidRPr="009A36EC" w:rsidRDefault="00FA4295" w:rsidP="00E26362">
      <w:pPr>
        <w:rPr>
          <w:i/>
          <w:iCs/>
        </w:rPr>
      </w:pPr>
      <w:r w:rsidRPr="0098410B">
        <w:t xml:space="preserve">The SWE, in collaboration with </w:t>
      </w:r>
      <w:r w:rsidR="000D03D3" w:rsidRPr="0098410B">
        <w:t>the</w:t>
      </w:r>
      <w:r w:rsidRPr="0098410B">
        <w:t xml:space="preserve"> </w:t>
      </w:r>
      <w:r w:rsidR="006A4999">
        <w:t>program evaluation group (</w:t>
      </w:r>
      <w:r w:rsidR="0067494D" w:rsidRPr="0098410B">
        <w:t>PEG</w:t>
      </w:r>
      <w:r w:rsidR="006A4999">
        <w:t>)</w:t>
      </w:r>
      <w:r w:rsidR="006A4999" w:rsidRPr="0098410B">
        <w:rPr>
          <w:rStyle w:val="FootnoteReference"/>
          <w:szCs w:val="26"/>
        </w:rPr>
        <w:footnoteReference w:id="7"/>
      </w:r>
      <w:r w:rsidR="0067494D" w:rsidRPr="0098410B">
        <w:t xml:space="preserve"> </w:t>
      </w:r>
      <w:r w:rsidR="009853B0" w:rsidRPr="0098410B">
        <w:t xml:space="preserve">and </w:t>
      </w:r>
      <w:r w:rsidR="008D54CB" w:rsidRPr="0098410B">
        <w:t>s</w:t>
      </w:r>
      <w:r w:rsidR="009853B0" w:rsidRPr="0098410B">
        <w:t>taff</w:t>
      </w:r>
      <w:r w:rsidR="008D54CB" w:rsidRPr="0098410B">
        <w:t xml:space="preserve"> from the Commission’s Bureau of Technical Utility Services (TUS)</w:t>
      </w:r>
      <w:r w:rsidR="006A4999">
        <w:t xml:space="preserve">, </w:t>
      </w:r>
      <w:r w:rsidR="00DE2990" w:rsidRPr="0098410B">
        <w:t>reviewed the 201</w:t>
      </w:r>
      <w:r w:rsidR="00CA1044">
        <w:t>6</w:t>
      </w:r>
      <w:r w:rsidRPr="0098410B">
        <w:t xml:space="preserve"> TRM and propos</w:t>
      </w:r>
      <w:r w:rsidR="009853B0" w:rsidRPr="0098410B">
        <w:t>e</w:t>
      </w:r>
      <w:r w:rsidR="006249DD">
        <w:t>d</w:t>
      </w:r>
      <w:r w:rsidRPr="0098410B">
        <w:t xml:space="preserve"> </w:t>
      </w:r>
      <w:r w:rsidR="000D03D3" w:rsidRPr="0098410B">
        <w:t xml:space="preserve">several </w:t>
      </w:r>
      <w:r w:rsidRPr="0098410B">
        <w:t xml:space="preserve">changes and additions </w:t>
      </w:r>
      <w:r w:rsidR="009853B0" w:rsidRPr="0098410B">
        <w:t>for consideration for inclusion in the 20</w:t>
      </w:r>
      <w:r w:rsidR="00CA1044">
        <w:t>21</w:t>
      </w:r>
      <w:r w:rsidR="00C770DE">
        <w:t xml:space="preserve"> TRM</w:t>
      </w:r>
      <w:r w:rsidR="00A0651F">
        <w:t xml:space="preserve">.  </w:t>
      </w:r>
      <w:r w:rsidR="006249DD">
        <w:t xml:space="preserve">The Commission released these proposed changes for comment when we adopted the 2021 TRM Update Tentative Order at our April 11, 2019 Public Meeting.  </w:t>
      </w:r>
      <w:r w:rsidR="006249DD">
        <w:lastRenderedPageBreak/>
        <w:t>A</w:t>
      </w:r>
      <w:r w:rsidR="007F5BBB">
        <w:t> </w:t>
      </w:r>
      <w:r w:rsidR="006249DD">
        <w:t xml:space="preserve"> notice of the Tentative Order and proposed 2021 TRM update was published in the </w:t>
      </w:r>
      <w:r w:rsidR="006249DD" w:rsidRPr="009B7FFC">
        <w:rPr>
          <w:i/>
          <w:iCs/>
        </w:rPr>
        <w:t>Pennsylvania Bulleti</w:t>
      </w:r>
      <w:r w:rsidR="006249DD">
        <w:rPr>
          <w:i/>
          <w:iCs/>
        </w:rPr>
        <w:t xml:space="preserve">n </w:t>
      </w:r>
      <w:r w:rsidR="006249DD">
        <w:t xml:space="preserve">on April 27, 2019.  Comments were due on May 28, 2019, and Reply Comments were due on June 17, 2019.  </w:t>
      </w:r>
    </w:p>
    <w:p w14:paraId="5089EDF8" w14:textId="4C9328AD" w:rsidR="00DD64F3" w:rsidRDefault="00DD64F3" w:rsidP="00BD622F">
      <w:pPr>
        <w:pStyle w:val="p3"/>
      </w:pPr>
    </w:p>
    <w:p w14:paraId="442BD29C" w14:textId="1004A85E" w:rsidR="00DD64F3" w:rsidRPr="001062F9" w:rsidRDefault="00DD64F3" w:rsidP="00E26362">
      <w:r w:rsidRPr="001062F9">
        <w:t>The following parties filed comments in response to the Tentative Order:</w:t>
      </w:r>
      <w:r w:rsidR="00D65BAA">
        <w:t xml:space="preserve"> </w:t>
      </w:r>
      <w:r w:rsidR="002451D7">
        <w:t xml:space="preserve">Bradford White Corporation; </w:t>
      </w:r>
      <w:r w:rsidR="00FE3CF3">
        <w:t>Brian McGowan</w:t>
      </w:r>
      <w:r w:rsidRPr="001062F9">
        <w:t xml:space="preserve">; Duquesne Light Company (Duquesne); </w:t>
      </w:r>
      <w:r w:rsidR="00030A24">
        <w:t xml:space="preserve">Energy Association of Pennsylvania (EAP); </w:t>
      </w:r>
      <w:r w:rsidR="00B07421">
        <w:t xml:space="preserve">Franklin Energy; </w:t>
      </w:r>
      <w:r w:rsidRPr="001062F9">
        <w:t xml:space="preserve">Metropolitan Edison Company, Pennsylvania Electric Company, Pennsylvania Power Company and West Penn Power Company (collectively, FirstEnergy); </w:t>
      </w:r>
      <w:r w:rsidR="002451D7">
        <w:t>Pennsylvania Department of Environmental Protection (DEP);</w:t>
      </w:r>
      <w:r w:rsidRPr="001062F9">
        <w:t xml:space="preserve"> </w:t>
      </w:r>
      <w:r w:rsidR="00B72A12">
        <w:t>Performance Systems Development</w:t>
      </w:r>
      <w:r w:rsidRPr="001062F9">
        <w:t>; O</w:t>
      </w:r>
      <w:r w:rsidR="001B4CD2">
        <w:t>racle Utilities</w:t>
      </w:r>
      <w:r w:rsidRPr="001062F9">
        <w:t>; PECO Energy Company (PECO); PPL Electric Utilities Corporation (PPL) and Trickle</w:t>
      </w:r>
      <w:r w:rsidR="003F4CF8">
        <w:t>S</w:t>
      </w:r>
      <w:r w:rsidRPr="001062F9">
        <w:t xml:space="preserve">tar </w:t>
      </w:r>
      <w:r w:rsidR="003F4CF8">
        <w:t>Inc.</w:t>
      </w:r>
      <w:r w:rsidRPr="001062F9">
        <w:t xml:space="preserve"> (Trickle</w:t>
      </w:r>
      <w:r w:rsidR="003F4CF8">
        <w:t>S</w:t>
      </w:r>
      <w:r w:rsidRPr="001062F9">
        <w:t>tar).</w:t>
      </w:r>
      <w:r>
        <w:t xml:space="preserve">  </w:t>
      </w:r>
      <w:r w:rsidR="001B4CD2">
        <w:t>No</w:t>
      </w:r>
      <w:r w:rsidRPr="001062F9">
        <w:t xml:space="preserve"> parties filed reply comments.</w:t>
      </w:r>
    </w:p>
    <w:p w14:paraId="0FA107ED" w14:textId="77777777" w:rsidR="008D54CB" w:rsidRPr="0098410B" w:rsidRDefault="008D54CB" w:rsidP="00BD622F">
      <w:bookmarkStart w:id="10" w:name="_Toc334174989"/>
    </w:p>
    <w:p w14:paraId="3A9C3DC3" w14:textId="4C7D53C5" w:rsidR="00BC4572" w:rsidRPr="00BC4572" w:rsidRDefault="00FA4295" w:rsidP="00F30A31">
      <w:pPr>
        <w:pStyle w:val="Heading1"/>
        <w:spacing w:line="360" w:lineRule="auto"/>
      </w:pPr>
      <w:bookmarkStart w:id="11" w:name="_Toc364755744"/>
      <w:bookmarkStart w:id="12" w:name="_Toc394648163"/>
      <w:bookmarkStart w:id="13" w:name="_Toc396910590"/>
      <w:bookmarkStart w:id="14" w:name="_Toc413415427"/>
      <w:bookmarkStart w:id="15" w:name="_Toc15657878"/>
      <w:r w:rsidRPr="00BC5038">
        <w:t>DISCUSSION</w:t>
      </w:r>
      <w:bookmarkEnd w:id="10"/>
      <w:bookmarkEnd w:id="11"/>
      <w:bookmarkEnd w:id="12"/>
      <w:bookmarkEnd w:id="13"/>
      <w:bookmarkEnd w:id="14"/>
      <w:bookmarkEnd w:id="15"/>
    </w:p>
    <w:p w14:paraId="44AE3C8D" w14:textId="6DAFFF20" w:rsidR="00CD7243" w:rsidRPr="0098410B" w:rsidRDefault="00E474AA" w:rsidP="00E26362">
      <w:r w:rsidRPr="0098410B">
        <w:t xml:space="preserve">The </w:t>
      </w:r>
      <w:r w:rsidR="003A258F">
        <w:t xml:space="preserve">changes and </w:t>
      </w:r>
      <w:r w:rsidR="00FA4295" w:rsidRPr="0098410B">
        <w:t>improvements to the TRM are based on more recent research</w:t>
      </w:r>
      <w:r w:rsidR="000A2B31" w:rsidRPr="0098410B">
        <w:t>,</w:t>
      </w:r>
      <w:r w:rsidR="00FA4295" w:rsidRPr="0098410B">
        <w:t xml:space="preserve"> </w:t>
      </w:r>
      <w:r w:rsidR="00772098" w:rsidRPr="0098410B">
        <w:t>a review of TRMs from other states</w:t>
      </w:r>
      <w:r w:rsidR="00B00DB8">
        <w:t>,</w:t>
      </w:r>
      <w:r w:rsidR="00772098" w:rsidRPr="0098410B">
        <w:t xml:space="preserve"> </w:t>
      </w:r>
      <w:r w:rsidR="00FA4295" w:rsidRPr="0098410B">
        <w:t xml:space="preserve">and the needs </w:t>
      </w:r>
      <w:r w:rsidRPr="0098410B">
        <w:t xml:space="preserve">and experiences </w:t>
      </w:r>
      <w:r w:rsidR="00FA4295" w:rsidRPr="0098410B">
        <w:t>of the EDCs</w:t>
      </w:r>
      <w:r w:rsidR="00A0651F">
        <w:t xml:space="preserve">.  </w:t>
      </w:r>
      <w:r w:rsidRPr="0098410B">
        <w:t>The EDCs provided, through the SWE evaluation</w:t>
      </w:r>
      <w:r w:rsidR="00CE0FB3" w:rsidRPr="0098410B">
        <w:t>, measurement</w:t>
      </w:r>
      <w:r w:rsidR="00F72704">
        <w:t>,</w:t>
      </w:r>
      <w:r w:rsidRPr="0098410B">
        <w:t xml:space="preserve"> and verification </w:t>
      </w:r>
      <w:r w:rsidR="00CE0FB3" w:rsidRPr="0098410B">
        <w:t xml:space="preserve">(EM&amp;V) </w:t>
      </w:r>
      <w:r w:rsidRPr="0098410B">
        <w:t>process, m</w:t>
      </w:r>
      <w:r w:rsidR="00FA4295" w:rsidRPr="0098410B">
        <w:t xml:space="preserve">uch of the data that forms the basis </w:t>
      </w:r>
      <w:r w:rsidR="003A258F">
        <w:t>of the changes and improvements being adopted in the 2021 version of the TRM</w:t>
      </w:r>
      <w:r w:rsidR="00494CE4">
        <w:t>.</w:t>
      </w:r>
      <w:r w:rsidR="003A258F">
        <w:t xml:space="preserve"> </w:t>
      </w:r>
      <w:r w:rsidR="00A0651F">
        <w:t xml:space="preserve"> </w:t>
      </w:r>
      <w:r w:rsidR="00DF3FBE" w:rsidRPr="0098410B">
        <w:t>Specifically, t</w:t>
      </w:r>
      <w:r w:rsidR="00FA4295" w:rsidRPr="0098410B">
        <w:t>he current</w:t>
      </w:r>
      <w:r w:rsidR="00DF3FBE" w:rsidRPr="0098410B">
        <w:t xml:space="preserve"> </w:t>
      </w:r>
      <w:r w:rsidR="003A258F">
        <w:t xml:space="preserve">changes and </w:t>
      </w:r>
      <w:r w:rsidR="00FA4295" w:rsidRPr="0098410B">
        <w:t xml:space="preserve">improvements were the result of </w:t>
      </w:r>
      <w:r w:rsidR="00DF3FBE" w:rsidRPr="0098410B">
        <w:t>SWE site inspections</w:t>
      </w:r>
      <w:r w:rsidR="00FA4295" w:rsidRPr="0098410B">
        <w:t xml:space="preserve"> </w:t>
      </w:r>
      <w:r w:rsidR="004973D2" w:rsidRPr="0098410B">
        <w:t xml:space="preserve">and </w:t>
      </w:r>
      <w:r w:rsidR="008D54CB" w:rsidRPr="0098410B">
        <w:t xml:space="preserve">comments from </w:t>
      </w:r>
      <w:r w:rsidR="000A2B31" w:rsidRPr="0098410B">
        <w:t>conservation service provider</w:t>
      </w:r>
      <w:r w:rsidR="008D54CB" w:rsidRPr="0098410B">
        <w:t>s</w:t>
      </w:r>
      <w:r w:rsidR="000A2B31" w:rsidRPr="0098410B">
        <w:t xml:space="preserve"> </w:t>
      </w:r>
      <w:r w:rsidR="00DF3FBE" w:rsidRPr="0098410B">
        <w:t>(CSP</w:t>
      </w:r>
      <w:r w:rsidR="008D54CB" w:rsidRPr="0098410B">
        <w:t>s</w:t>
      </w:r>
      <w:r w:rsidR="00DF3FBE" w:rsidRPr="0098410B">
        <w:t>)</w:t>
      </w:r>
      <w:r w:rsidR="0007435F" w:rsidRPr="0098410B">
        <w:t xml:space="preserve"> and</w:t>
      </w:r>
      <w:r w:rsidR="00FA4295" w:rsidRPr="0098410B">
        <w:t xml:space="preserve"> </w:t>
      </w:r>
      <w:r w:rsidR="000A2B31" w:rsidRPr="0098410B">
        <w:t>EDC i</w:t>
      </w:r>
      <w:r w:rsidR="00DF3FBE" w:rsidRPr="0098410B">
        <w:t>ndependent</w:t>
      </w:r>
      <w:r w:rsidR="00FA4295" w:rsidRPr="0098410B">
        <w:t xml:space="preserve"> </w:t>
      </w:r>
      <w:r w:rsidR="000A2B31" w:rsidRPr="0098410B">
        <w:t>evaluat</w:t>
      </w:r>
      <w:r w:rsidR="00B832A5" w:rsidRPr="0098410B">
        <w:t>or</w:t>
      </w:r>
      <w:r w:rsidR="008D54CB" w:rsidRPr="0098410B">
        <w:t>s</w:t>
      </w:r>
      <w:r w:rsidR="00A0651F">
        <w:t xml:space="preserve">.  </w:t>
      </w:r>
      <w:r w:rsidR="00525BC6" w:rsidRPr="00FC1606">
        <w:t>Additionally, many of the issues raised during the 201</w:t>
      </w:r>
      <w:r w:rsidR="007B444F" w:rsidRPr="00FC1606">
        <w:t>6</w:t>
      </w:r>
      <w:r w:rsidR="00525BC6" w:rsidRPr="00FC1606">
        <w:t xml:space="preserve"> TRM update process were referred to the </w:t>
      </w:r>
      <w:r w:rsidR="00D479FB" w:rsidRPr="00FC1606">
        <w:t>SWE</w:t>
      </w:r>
      <w:r w:rsidR="00085986">
        <w:t xml:space="preserve">. </w:t>
      </w:r>
      <w:r w:rsidR="003D2783">
        <w:t xml:space="preserve"> </w:t>
      </w:r>
      <w:r w:rsidR="00085986">
        <w:t>The SWE then</w:t>
      </w:r>
      <w:r w:rsidR="00525BC6" w:rsidRPr="0098410B">
        <w:t xml:space="preserve"> </w:t>
      </w:r>
      <w:r w:rsidR="00085986">
        <w:t>completed</w:t>
      </w:r>
      <w:r w:rsidR="00D479FB">
        <w:t xml:space="preserve"> further research </w:t>
      </w:r>
      <w:r w:rsidR="00525BC6" w:rsidRPr="0098410B">
        <w:t>in order to provide</w:t>
      </w:r>
      <w:r w:rsidR="00D479FB">
        <w:t xml:space="preserve"> recommendations during the 20</w:t>
      </w:r>
      <w:r w:rsidR="007B444F">
        <w:t>21</w:t>
      </w:r>
      <w:r w:rsidR="009C3B3D">
        <w:t xml:space="preserve"> TRM update</w:t>
      </w:r>
      <w:r w:rsidR="00A0651F">
        <w:t xml:space="preserve">.  </w:t>
      </w:r>
      <w:r w:rsidR="008B7911" w:rsidRPr="0098410B">
        <w:t xml:space="preserve">The </w:t>
      </w:r>
      <w:r w:rsidR="003A258F">
        <w:t xml:space="preserve">adopted changes </w:t>
      </w:r>
      <w:r w:rsidR="00084E4A" w:rsidRPr="0098410B">
        <w:t>focus on improving assumptions for key parameters</w:t>
      </w:r>
      <w:r w:rsidR="00693A3D" w:rsidRPr="0098410B">
        <w:t>,</w:t>
      </w:r>
      <w:r w:rsidR="00084E4A" w:rsidRPr="0098410B">
        <w:t xml:space="preserve"> algorithms</w:t>
      </w:r>
      <w:r w:rsidR="00B00DB8">
        <w:t>,</w:t>
      </w:r>
      <w:r w:rsidR="008D54CB" w:rsidRPr="0098410B">
        <w:t xml:space="preserve"> and</w:t>
      </w:r>
      <w:r w:rsidR="00084E4A" w:rsidRPr="0098410B">
        <w:t xml:space="preserve"> deemed savings values</w:t>
      </w:r>
      <w:r w:rsidR="008D54CB" w:rsidRPr="0098410B">
        <w:t>,</w:t>
      </w:r>
      <w:r w:rsidR="00084E4A" w:rsidRPr="0098410B">
        <w:t xml:space="preserve"> </w:t>
      </w:r>
      <w:r w:rsidR="008D54CB" w:rsidRPr="0098410B">
        <w:t xml:space="preserve">as well as </w:t>
      </w:r>
      <w:r w:rsidR="00084E4A" w:rsidRPr="0098410B">
        <w:t>account</w:t>
      </w:r>
      <w:r w:rsidR="00693A3D" w:rsidRPr="0098410B">
        <w:t>ing</w:t>
      </w:r>
      <w:r w:rsidR="00084E4A" w:rsidRPr="0098410B">
        <w:t xml:space="preserve"> for new codes and standards for</w:t>
      </w:r>
      <w:r w:rsidR="008B7911" w:rsidRPr="0098410B">
        <w:t xml:space="preserve"> </w:t>
      </w:r>
      <w:r w:rsidR="000A2B31" w:rsidRPr="0098410B">
        <w:t>residential</w:t>
      </w:r>
      <w:r w:rsidR="00084E4A" w:rsidRPr="0098410B">
        <w:t xml:space="preserve"> and </w:t>
      </w:r>
      <w:r w:rsidR="003A258F">
        <w:t>commercia</w:t>
      </w:r>
      <w:r w:rsidR="008B015A">
        <w:t>l</w:t>
      </w:r>
      <w:r w:rsidR="003A258F">
        <w:t xml:space="preserve"> and industrial (</w:t>
      </w:r>
      <w:r w:rsidR="00084E4A" w:rsidRPr="0098410B">
        <w:t>C&amp;I</w:t>
      </w:r>
      <w:r w:rsidR="003A258F">
        <w:t>)</w:t>
      </w:r>
      <w:r w:rsidR="00084E4A" w:rsidRPr="0098410B">
        <w:t xml:space="preserve"> EE&amp;C measures</w:t>
      </w:r>
      <w:r w:rsidR="00A0651F">
        <w:t xml:space="preserve">.  </w:t>
      </w:r>
      <w:r w:rsidR="003A258F">
        <w:t xml:space="preserve">The Commission observes that the adopted changes will </w:t>
      </w:r>
      <w:r w:rsidR="00FA4295" w:rsidRPr="0098410B">
        <w:t xml:space="preserve">make the TRM a more effective and professional tool for validating </w:t>
      </w:r>
      <w:r w:rsidR="002D514E" w:rsidRPr="0098410B">
        <w:t xml:space="preserve">energy </w:t>
      </w:r>
      <w:r w:rsidR="00FA4295" w:rsidRPr="0098410B">
        <w:t>savings and providing support for the Act 129 goals</w:t>
      </w:r>
      <w:r w:rsidR="00A0651F">
        <w:t xml:space="preserve">.  </w:t>
      </w:r>
    </w:p>
    <w:p w14:paraId="0FA107F1" w14:textId="10F8A5E7" w:rsidR="00FA4295" w:rsidRPr="0098410B" w:rsidRDefault="00FA4295" w:rsidP="00BD622F">
      <w:pPr>
        <w:pStyle w:val="p3"/>
        <w:tabs>
          <w:tab w:val="clear" w:pos="204"/>
        </w:tabs>
      </w:pPr>
      <w:r w:rsidRPr="0098410B">
        <w:lastRenderedPageBreak/>
        <w:t xml:space="preserve">The major goals of the </w:t>
      </w:r>
      <w:r w:rsidR="003A258F">
        <w:t xml:space="preserve">adopted </w:t>
      </w:r>
      <w:r w:rsidRPr="0098410B">
        <w:t>modifications are as follows:</w:t>
      </w:r>
    </w:p>
    <w:p w14:paraId="0FA107F2" w14:textId="6E126B8E" w:rsidR="00E42F46" w:rsidRPr="00335C09" w:rsidRDefault="00E42F46" w:rsidP="00335C09">
      <w:pPr>
        <w:pStyle w:val="ListParagraph"/>
        <w:numPr>
          <w:ilvl w:val="0"/>
          <w:numId w:val="1"/>
        </w:numPr>
        <w:spacing w:after="0" w:line="360" w:lineRule="auto"/>
        <w:rPr>
          <w:sz w:val="26"/>
          <w:szCs w:val="26"/>
        </w:rPr>
      </w:pPr>
      <w:r w:rsidRPr="00335C09">
        <w:rPr>
          <w:sz w:val="26"/>
          <w:szCs w:val="26"/>
        </w:rPr>
        <w:t>To add protocols for EE&amp;C measures being implemented by the EDCs and to broaden the scope of the TRM;</w:t>
      </w:r>
    </w:p>
    <w:p w14:paraId="53B51DDF" w14:textId="49B268FF" w:rsidR="007B444F" w:rsidRPr="00335C09" w:rsidRDefault="005318C2" w:rsidP="00335C09">
      <w:pPr>
        <w:pStyle w:val="ListParagraph"/>
        <w:numPr>
          <w:ilvl w:val="0"/>
          <w:numId w:val="1"/>
        </w:numPr>
        <w:spacing w:after="0" w:line="360" w:lineRule="auto"/>
        <w:rPr>
          <w:sz w:val="26"/>
          <w:szCs w:val="26"/>
        </w:rPr>
      </w:pPr>
      <w:r w:rsidRPr="00335C09">
        <w:rPr>
          <w:sz w:val="26"/>
          <w:szCs w:val="26"/>
        </w:rPr>
        <w:t>To u</w:t>
      </w:r>
      <w:r w:rsidR="007B444F" w:rsidRPr="00335C09">
        <w:rPr>
          <w:sz w:val="26"/>
          <w:szCs w:val="26"/>
        </w:rPr>
        <w:t>pdate the TRM baseline assumptions to reflect changes to building code</w:t>
      </w:r>
      <w:r w:rsidR="00E97D51" w:rsidRPr="00335C09">
        <w:rPr>
          <w:sz w:val="26"/>
          <w:szCs w:val="26"/>
        </w:rPr>
        <w:t>s</w:t>
      </w:r>
      <w:r w:rsidR="007B444F" w:rsidRPr="00335C09">
        <w:rPr>
          <w:sz w:val="26"/>
          <w:szCs w:val="26"/>
        </w:rPr>
        <w:t xml:space="preserve"> in the Commonwealth</w:t>
      </w:r>
      <w:r w:rsidRPr="00335C09">
        <w:rPr>
          <w:sz w:val="26"/>
          <w:szCs w:val="26"/>
        </w:rPr>
        <w:t>;</w:t>
      </w:r>
    </w:p>
    <w:p w14:paraId="1A7A4471" w14:textId="6901C0F0" w:rsidR="005318C2" w:rsidRPr="00335C09" w:rsidRDefault="005318C2" w:rsidP="00335C09">
      <w:pPr>
        <w:pStyle w:val="ListParagraph"/>
        <w:numPr>
          <w:ilvl w:val="0"/>
          <w:numId w:val="1"/>
        </w:numPr>
        <w:spacing w:after="0" w:line="360" w:lineRule="auto"/>
        <w:rPr>
          <w:sz w:val="26"/>
          <w:szCs w:val="26"/>
        </w:rPr>
      </w:pPr>
      <w:r w:rsidRPr="00335C09">
        <w:rPr>
          <w:sz w:val="26"/>
          <w:szCs w:val="26"/>
        </w:rPr>
        <w:t>To split the TRM into three separate volumes – a general volume that describes the purpose of the TRM and how it should be used, a volume for residential measures, and a volume for non-residential measures;</w:t>
      </w:r>
    </w:p>
    <w:p w14:paraId="60AF2C0B" w14:textId="380BAAF6" w:rsidR="007B444F" w:rsidRPr="00335C09" w:rsidRDefault="005318C2" w:rsidP="00335C09">
      <w:pPr>
        <w:pStyle w:val="ListParagraph"/>
        <w:numPr>
          <w:ilvl w:val="0"/>
          <w:numId w:val="1"/>
        </w:numPr>
        <w:spacing w:after="0" w:line="360" w:lineRule="auto"/>
        <w:rPr>
          <w:sz w:val="26"/>
          <w:szCs w:val="26"/>
        </w:rPr>
      </w:pPr>
      <w:r w:rsidRPr="00335C09">
        <w:rPr>
          <w:sz w:val="26"/>
          <w:szCs w:val="26"/>
        </w:rPr>
        <w:t>To u</w:t>
      </w:r>
      <w:r w:rsidR="00705239" w:rsidRPr="00335C09">
        <w:rPr>
          <w:sz w:val="26"/>
          <w:szCs w:val="26"/>
        </w:rPr>
        <w:t>pdate TRM assumptions based on findings from the SWE’s residential and non-residential end-use saturation studies</w:t>
      </w:r>
      <w:r w:rsidRPr="00335C09">
        <w:rPr>
          <w:sz w:val="26"/>
          <w:szCs w:val="26"/>
        </w:rPr>
        <w:t>;</w:t>
      </w:r>
    </w:p>
    <w:p w14:paraId="0FA107F3" w14:textId="77777777" w:rsidR="00FA4295" w:rsidRPr="00335C09" w:rsidRDefault="00FA4295" w:rsidP="00335C09">
      <w:pPr>
        <w:pStyle w:val="ListParagraph"/>
        <w:numPr>
          <w:ilvl w:val="0"/>
          <w:numId w:val="1"/>
        </w:numPr>
        <w:spacing w:after="0" w:line="360" w:lineRule="auto"/>
        <w:rPr>
          <w:sz w:val="26"/>
          <w:szCs w:val="26"/>
        </w:rPr>
      </w:pPr>
      <w:r w:rsidRPr="00335C09">
        <w:rPr>
          <w:sz w:val="26"/>
          <w:szCs w:val="26"/>
        </w:rPr>
        <w:t xml:space="preserve">To appropriately balance the integrity and accuracy of </w:t>
      </w:r>
      <w:r w:rsidR="00A00861" w:rsidRPr="00335C09">
        <w:rPr>
          <w:sz w:val="26"/>
          <w:szCs w:val="26"/>
        </w:rPr>
        <w:t xml:space="preserve">claimed </w:t>
      </w:r>
      <w:r w:rsidR="00524930" w:rsidRPr="00335C09">
        <w:rPr>
          <w:sz w:val="26"/>
          <w:szCs w:val="26"/>
        </w:rPr>
        <w:t xml:space="preserve">energy </w:t>
      </w:r>
      <w:r w:rsidRPr="00335C09">
        <w:rPr>
          <w:sz w:val="26"/>
          <w:szCs w:val="26"/>
        </w:rPr>
        <w:t xml:space="preserve">savings estimates with costs incurred to measure </w:t>
      </w:r>
      <w:r w:rsidR="00A00861" w:rsidRPr="00335C09">
        <w:rPr>
          <w:sz w:val="26"/>
          <w:szCs w:val="26"/>
        </w:rPr>
        <w:t>and verify the claimed energy</w:t>
      </w:r>
      <w:r w:rsidRPr="00335C09">
        <w:rPr>
          <w:sz w:val="26"/>
          <w:szCs w:val="26"/>
        </w:rPr>
        <w:t xml:space="preserve"> savings;</w:t>
      </w:r>
    </w:p>
    <w:p w14:paraId="0FA107F4" w14:textId="77777777" w:rsidR="00FA4295" w:rsidRPr="00335C09" w:rsidRDefault="00FA4295" w:rsidP="00335C09">
      <w:pPr>
        <w:pStyle w:val="ListParagraph"/>
        <w:numPr>
          <w:ilvl w:val="0"/>
          <w:numId w:val="1"/>
        </w:numPr>
        <w:spacing w:after="0" w:line="360" w:lineRule="auto"/>
        <w:rPr>
          <w:sz w:val="26"/>
          <w:szCs w:val="26"/>
        </w:rPr>
      </w:pPr>
      <w:r w:rsidRPr="00335C09">
        <w:rPr>
          <w:sz w:val="26"/>
          <w:szCs w:val="26"/>
        </w:rPr>
        <w:t xml:space="preserve">To clarify </w:t>
      </w:r>
      <w:r w:rsidR="00A00861" w:rsidRPr="00335C09">
        <w:rPr>
          <w:sz w:val="26"/>
          <w:szCs w:val="26"/>
        </w:rPr>
        <w:t>existing</w:t>
      </w:r>
      <w:r w:rsidRPr="00335C09">
        <w:rPr>
          <w:sz w:val="26"/>
          <w:szCs w:val="26"/>
        </w:rPr>
        <w:t xml:space="preserve"> calculation methods;</w:t>
      </w:r>
    </w:p>
    <w:p w14:paraId="0FA107F5" w14:textId="6C60E8D1" w:rsidR="00FA4295" w:rsidRPr="00335C09" w:rsidRDefault="00A16768" w:rsidP="00335C09">
      <w:pPr>
        <w:pStyle w:val="ListParagraph"/>
        <w:numPr>
          <w:ilvl w:val="0"/>
          <w:numId w:val="1"/>
        </w:numPr>
        <w:spacing w:after="0" w:line="360" w:lineRule="auto"/>
        <w:rPr>
          <w:sz w:val="26"/>
          <w:szCs w:val="26"/>
        </w:rPr>
      </w:pPr>
      <w:r w:rsidRPr="00335C09">
        <w:rPr>
          <w:sz w:val="26"/>
          <w:szCs w:val="26"/>
        </w:rPr>
        <w:t xml:space="preserve">To allow more flexibility for the EDCs to use territory-specific </w:t>
      </w:r>
      <w:r w:rsidR="0036219D" w:rsidRPr="00335C09">
        <w:rPr>
          <w:sz w:val="26"/>
          <w:szCs w:val="26"/>
        </w:rPr>
        <w:t xml:space="preserve">or gathered </w:t>
      </w:r>
      <w:r w:rsidRPr="00335C09">
        <w:rPr>
          <w:sz w:val="26"/>
          <w:szCs w:val="26"/>
        </w:rPr>
        <w:t>data when calculating savings;</w:t>
      </w:r>
      <w:r w:rsidR="002A00C9" w:rsidRPr="00335C09">
        <w:rPr>
          <w:sz w:val="26"/>
          <w:szCs w:val="26"/>
        </w:rPr>
        <w:t xml:space="preserve"> and</w:t>
      </w:r>
    </w:p>
    <w:p w14:paraId="0FA107F6" w14:textId="77777777" w:rsidR="00FA4295" w:rsidRPr="0098410B" w:rsidRDefault="00FA4295" w:rsidP="00335C09">
      <w:pPr>
        <w:pStyle w:val="p14"/>
        <w:numPr>
          <w:ilvl w:val="0"/>
          <w:numId w:val="1"/>
        </w:numPr>
      </w:pPr>
      <w:r w:rsidRPr="0098410B">
        <w:t xml:space="preserve">To provide additional </w:t>
      </w:r>
      <w:r w:rsidR="007F49C7" w:rsidRPr="0098410B">
        <w:t xml:space="preserve">reasonable </w:t>
      </w:r>
      <w:r w:rsidRPr="0098410B">
        <w:t xml:space="preserve">methods for measurement and verification of energy savings </w:t>
      </w:r>
      <w:r w:rsidR="007F49C7" w:rsidRPr="0098410B">
        <w:t xml:space="preserve">associated with EE&amp;C measures </w:t>
      </w:r>
      <w:r w:rsidRPr="0098410B">
        <w:t xml:space="preserve">without unduly burdening </w:t>
      </w:r>
      <w:r w:rsidR="007F49C7" w:rsidRPr="0098410B">
        <w:t xml:space="preserve">EE&amp;C </w:t>
      </w:r>
      <w:r w:rsidRPr="0098410B">
        <w:t xml:space="preserve">program </w:t>
      </w:r>
      <w:r w:rsidR="007F49C7" w:rsidRPr="0098410B">
        <w:t>and</w:t>
      </w:r>
      <w:r w:rsidR="00935227" w:rsidRPr="0098410B">
        <w:t xml:space="preserve"> evaluation staff</w:t>
      </w:r>
      <w:r w:rsidR="002A00C9" w:rsidRPr="0098410B">
        <w:t>.</w:t>
      </w:r>
    </w:p>
    <w:p w14:paraId="0FA107F7" w14:textId="77777777" w:rsidR="00DF2AC4" w:rsidRDefault="00DF2AC4" w:rsidP="00335C09">
      <w:pPr>
        <w:pStyle w:val="p3"/>
      </w:pPr>
    </w:p>
    <w:p w14:paraId="0FA107F8" w14:textId="3EBB88E1" w:rsidR="00050E8B" w:rsidRPr="0098410B" w:rsidRDefault="003A258F" w:rsidP="00335C09">
      <w:pPr>
        <w:pStyle w:val="p3"/>
      </w:pPr>
      <w:r>
        <w:t>Below is a</w:t>
      </w:r>
      <w:r w:rsidR="00050E8B" w:rsidRPr="0098410B">
        <w:t xml:space="preserve"> summary of the </w:t>
      </w:r>
      <w:r>
        <w:t>changes adopted</w:t>
      </w:r>
      <w:r w:rsidR="00050E8B" w:rsidRPr="0098410B">
        <w:t xml:space="preserve"> in </w:t>
      </w:r>
      <w:r w:rsidR="009318F7" w:rsidRPr="0098410B">
        <w:t>th</w:t>
      </w:r>
      <w:r w:rsidR="009318F7">
        <w:t>is</w:t>
      </w:r>
      <w:r w:rsidR="009318F7" w:rsidRPr="0098410B">
        <w:t xml:space="preserve"> </w:t>
      </w:r>
      <w:r w:rsidR="00050E8B" w:rsidRPr="0098410B">
        <w:t>20</w:t>
      </w:r>
      <w:r w:rsidR="00DC6602">
        <w:t>21</w:t>
      </w:r>
      <w:r w:rsidR="00050E8B" w:rsidRPr="0098410B">
        <w:t xml:space="preserve"> TRM update</w:t>
      </w:r>
      <w:r w:rsidR="008922E6">
        <w:t>.</w:t>
      </w:r>
    </w:p>
    <w:p w14:paraId="0FA107FA" w14:textId="2F37A903" w:rsidR="009318F7" w:rsidRDefault="00016763" w:rsidP="00335C09">
      <w:pPr>
        <w:pStyle w:val="p3"/>
        <w:numPr>
          <w:ilvl w:val="0"/>
          <w:numId w:val="2"/>
        </w:numPr>
      </w:pPr>
      <w:r w:rsidRPr="005D5F74">
        <w:t xml:space="preserve">Inclusion of </w:t>
      </w:r>
      <w:r w:rsidR="00094D39">
        <w:t>12</w:t>
      </w:r>
      <w:r w:rsidR="004E5EF4" w:rsidRPr="005D5F74">
        <w:t xml:space="preserve"> </w:t>
      </w:r>
      <w:r w:rsidRPr="005D5F74">
        <w:t>new</w:t>
      </w:r>
      <w:r w:rsidRPr="0098410B">
        <w:t xml:space="preserve"> </w:t>
      </w:r>
      <w:r w:rsidR="00EE4053" w:rsidRPr="0098410B">
        <w:t xml:space="preserve">residential </w:t>
      </w:r>
      <w:r w:rsidRPr="0098410B">
        <w:t>EE&amp;C measure protocols</w:t>
      </w:r>
      <w:r w:rsidR="009318F7">
        <w:t>.</w:t>
      </w:r>
    </w:p>
    <w:p w14:paraId="0FA107FB" w14:textId="77777777" w:rsidR="009318F7" w:rsidRPr="0098410B" w:rsidRDefault="009318F7" w:rsidP="00335C09">
      <w:pPr>
        <w:pStyle w:val="p3"/>
        <w:numPr>
          <w:ilvl w:val="0"/>
          <w:numId w:val="2"/>
        </w:numPr>
      </w:pPr>
      <w:r w:rsidRPr="0098410B">
        <w:t xml:space="preserve">Clarification of the </w:t>
      </w:r>
      <w:r>
        <w:t xml:space="preserve">existing </w:t>
      </w:r>
      <w:r w:rsidRPr="0098410B">
        <w:t xml:space="preserve">residential </w:t>
      </w:r>
      <w:r>
        <w:t>EE&amp;C measure protocols.</w:t>
      </w:r>
    </w:p>
    <w:p w14:paraId="0FA107FC" w14:textId="055B9263" w:rsidR="00016763" w:rsidRPr="00511EA1" w:rsidRDefault="009F0321" w:rsidP="00335C09">
      <w:pPr>
        <w:pStyle w:val="p3"/>
        <w:numPr>
          <w:ilvl w:val="0"/>
          <w:numId w:val="2"/>
        </w:numPr>
      </w:pPr>
      <w:r w:rsidRPr="005D5F74">
        <w:t>Inclusion of</w:t>
      </w:r>
      <w:r w:rsidR="004D75DC" w:rsidRPr="005D5F74">
        <w:t xml:space="preserve"> </w:t>
      </w:r>
      <w:r w:rsidR="008C04EB">
        <w:t>25</w:t>
      </w:r>
      <w:r w:rsidR="00501FA1" w:rsidRPr="005D5F74">
        <w:t xml:space="preserve"> </w:t>
      </w:r>
      <w:r w:rsidR="00016763" w:rsidRPr="005D5F74">
        <w:t>new</w:t>
      </w:r>
      <w:r w:rsidR="00016763" w:rsidRPr="0098410B">
        <w:t xml:space="preserve"> C&amp;I EE&amp;C measure protocols</w:t>
      </w:r>
      <w:r w:rsidR="00A0651F">
        <w:t xml:space="preserve">.  </w:t>
      </w:r>
    </w:p>
    <w:p w14:paraId="0FA107FD" w14:textId="77777777" w:rsidR="00016763" w:rsidRPr="0098410B" w:rsidRDefault="00016763" w:rsidP="00335C09">
      <w:pPr>
        <w:pStyle w:val="p3"/>
        <w:numPr>
          <w:ilvl w:val="0"/>
          <w:numId w:val="2"/>
        </w:numPr>
      </w:pPr>
      <w:r w:rsidRPr="0098410B">
        <w:t xml:space="preserve">Clarification of the </w:t>
      </w:r>
      <w:r w:rsidR="00B75746">
        <w:t>existing C&amp;I EE&amp;C measure protocols.</w:t>
      </w:r>
    </w:p>
    <w:p w14:paraId="0FA107FE" w14:textId="76CD6C29" w:rsidR="00F87DD7" w:rsidRPr="0098410B" w:rsidRDefault="007B444F" w:rsidP="00335C09">
      <w:pPr>
        <w:pStyle w:val="p3"/>
        <w:numPr>
          <w:ilvl w:val="0"/>
          <w:numId w:val="2"/>
        </w:numPr>
      </w:pPr>
      <w:r>
        <w:t>Clarification</w:t>
      </w:r>
      <w:r w:rsidR="00F87DD7">
        <w:t xml:space="preserve"> of demand response protocols.</w:t>
      </w:r>
    </w:p>
    <w:p w14:paraId="0FA107FF" w14:textId="77777777" w:rsidR="00CB6F0E" w:rsidRDefault="00CB6F0E" w:rsidP="00335C09">
      <w:pPr>
        <w:pStyle w:val="p3"/>
        <w:numPr>
          <w:ilvl w:val="0"/>
          <w:numId w:val="2"/>
        </w:numPr>
      </w:pPr>
      <w:r>
        <w:t>Updates to Appendix C –</w:t>
      </w:r>
      <w:r w:rsidR="00B75746">
        <w:t xml:space="preserve"> Lighting </w:t>
      </w:r>
      <w:r w:rsidR="00BD4EEE">
        <w:t>Audit and Design</w:t>
      </w:r>
      <w:r w:rsidR="00B75746">
        <w:t xml:space="preserve"> Tool.</w:t>
      </w:r>
    </w:p>
    <w:p w14:paraId="0FA10800" w14:textId="16C2EFBD" w:rsidR="009204DC" w:rsidRDefault="00CB6F0E" w:rsidP="00335C09">
      <w:pPr>
        <w:pStyle w:val="p3"/>
        <w:numPr>
          <w:ilvl w:val="0"/>
          <w:numId w:val="2"/>
        </w:numPr>
      </w:pPr>
      <w:r>
        <w:t xml:space="preserve">Updates to Appendix D – Motor and </w:t>
      </w:r>
      <w:r w:rsidR="003A258F">
        <w:t>Variable Frequency Drive (</w:t>
      </w:r>
      <w:r>
        <w:t>VFD</w:t>
      </w:r>
      <w:r w:rsidR="003A258F">
        <w:t>)</w:t>
      </w:r>
      <w:r>
        <w:t xml:space="preserve"> </w:t>
      </w:r>
      <w:r w:rsidR="00BD4EEE">
        <w:t>Audit and Design</w:t>
      </w:r>
      <w:r>
        <w:t xml:space="preserve"> Tool</w:t>
      </w:r>
      <w:r w:rsidR="00B75746">
        <w:t>.</w:t>
      </w:r>
    </w:p>
    <w:p w14:paraId="694303BB" w14:textId="77777777" w:rsidR="00CD7243" w:rsidRPr="0098410B" w:rsidRDefault="00CD7243" w:rsidP="00335C09">
      <w:pPr>
        <w:pStyle w:val="p3"/>
      </w:pPr>
    </w:p>
    <w:p w14:paraId="0FA10802" w14:textId="61C1BA66" w:rsidR="00FA4295" w:rsidRDefault="00050E8B" w:rsidP="00335C09">
      <w:pPr>
        <w:pStyle w:val="p14"/>
      </w:pPr>
      <w:r w:rsidRPr="00FB5F43">
        <w:lastRenderedPageBreak/>
        <w:t xml:space="preserve">Below, we will </w:t>
      </w:r>
      <w:r w:rsidR="00257FE2">
        <w:t xml:space="preserve">further </w:t>
      </w:r>
      <w:r w:rsidRPr="00FB5F43">
        <w:t>discuss more significant</w:t>
      </w:r>
      <w:r w:rsidR="003A258F">
        <w:t xml:space="preserve"> TRM changes and updates that are being adopted</w:t>
      </w:r>
      <w:r w:rsidR="00A0651F">
        <w:t xml:space="preserve">.  </w:t>
      </w:r>
      <w:r w:rsidRPr="00FB5F43">
        <w:t>Minor administrative changes will not be discussed.</w:t>
      </w:r>
    </w:p>
    <w:p w14:paraId="720CC1DA" w14:textId="77777777" w:rsidR="00CD7243" w:rsidRPr="00FB5F43" w:rsidRDefault="00CD7243" w:rsidP="00335C09">
      <w:pPr>
        <w:pStyle w:val="p14"/>
      </w:pPr>
    </w:p>
    <w:p w14:paraId="0FA10804" w14:textId="23A39014" w:rsidR="00D52DB7" w:rsidRPr="001646BD" w:rsidRDefault="00FF0754" w:rsidP="00453F14">
      <w:pPr>
        <w:pStyle w:val="Heading2"/>
        <w:numPr>
          <w:ilvl w:val="0"/>
          <w:numId w:val="16"/>
        </w:numPr>
      </w:pPr>
      <w:bookmarkStart w:id="16" w:name="_Toc14686796"/>
      <w:bookmarkStart w:id="17" w:name="_Toc14686944"/>
      <w:bookmarkStart w:id="18" w:name="_Toc14687092"/>
      <w:bookmarkStart w:id="19" w:name="_Toc15657879"/>
      <w:bookmarkStart w:id="20" w:name="_Toc334174990"/>
      <w:bookmarkStart w:id="21" w:name="_Toc364755745"/>
      <w:bookmarkStart w:id="22" w:name="_Toc394648164"/>
      <w:bookmarkStart w:id="23" w:name="_Toc396910591"/>
      <w:bookmarkStart w:id="24" w:name="_Toc413415428"/>
      <w:bookmarkEnd w:id="16"/>
      <w:bookmarkEnd w:id="17"/>
      <w:bookmarkEnd w:id="18"/>
      <w:r>
        <w:t>Uncontested TRM Changes</w:t>
      </w:r>
      <w:bookmarkEnd w:id="19"/>
    </w:p>
    <w:p w14:paraId="208AD883" w14:textId="77777777" w:rsidR="001F0ED5" w:rsidRDefault="001F0ED5" w:rsidP="00E26362">
      <w:r>
        <w:t>The following TRM changes proposed in the Tentative TRM Update Order elicited no comments in opposition.  Accordingly, the Commission adopts them as proposed.</w:t>
      </w:r>
    </w:p>
    <w:p w14:paraId="3E720D38" w14:textId="181A12CD" w:rsidR="001F0ED5" w:rsidRDefault="001F0ED5">
      <w:r>
        <w:t>1.</w:t>
      </w:r>
      <w:r>
        <w:tab/>
        <w:t xml:space="preserve">Changes related to </w:t>
      </w:r>
      <w:r w:rsidR="00C71F42">
        <w:t>International Energy Conservation Code (</w:t>
      </w:r>
      <w:r>
        <w:t>IECC</w:t>
      </w:r>
      <w:r w:rsidR="00C71F42">
        <w:t>)</w:t>
      </w:r>
      <w:r>
        <w:t xml:space="preserve"> 2015 building code updates.</w:t>
      </w:r>
    </w:p>
    <w:p w14:paraId="1135E8DA" w14:textId="77777777" w:rsidR="00B9738C" w:rsidRDefault="00B9738C">
      <w:r>
        <w:t>2.</w:t>
      </w:r>
      <w:r>
        <w:tab/>
        <w:t>Updated equivalent full load hours and coincidence factors for residential HVAC equipment.</w:t>
      </w:r>
    </w:p>
    <w:p w14:paraId="3C3E7C7D" w14:textId="77777777" w:rsidR="00B07E52" w:rsidRDefault="00B07E52">
      <w:r>
        <w:t>3.</w:t>
      </w:r>
      <w:r>
        <w:tab/>
        <w:t>Section 1.2.4 change to the definition of in</w:t>
      </w:r>
      <w:r>
        <w:noBreakHyphen/>
        <w:t>service</w:t>
      </w:r>
      <w:r>
        <w:noBreakHyphen/>
        <w:t>date for efficient equipment installed in spaces that are not currently occupied.</w:t>
      </w:r>
    </w:p>
    <w:p w14:paraId="3296F2D9" w14:textId="77777777" w:rsidR="00E5472C" w:rsidRDefault="00E5472C">
      <w:r>
        <w:t>4.</w:t>
      </w:r>
      <w:r>
        <w:tab/>
        <w:t>Table 1</w:t>
      </w:r>
      <w:r>
        <w:noBreakHyphen/>
        <w:t>4 line loss factors.</w:t>
      </w:r>
    </w:p>
    <w:p w14:paraId="3A971ED3" w14:textId="77777777" w:rsidR="00E5472C" w:rsidRDefault="00E5472C">
      <w:r>
        <w:t>5.</w:t>
      </w:r>
      <w:r>
        <w:tab/>
        <w:t>Section 1.19 clarification.</w:t>
      </w:r>
    </w:p>
    <w:p w14:paraId="1CB8318F" w14:textId="2D4460A0" w:rsidR="006908A4" w:rsidRPr="00FB5F43" w:rsidRDefault="00B9738C" w:rsidP="00F55E20">
      <w:r w:rsidDel="00A31187">
        <w:t xml:space="preserve"> </w:t>
      </w:r>
    </w:p>
    <w:p w14:paraId="0FA1080A" w14:textId="172CBF12" w:rsidR="0047352B" w:rsidRDefault="007B19C4" w:rsidP="00453F14">
      <w:pPr>
        <w:pStyle w:val="Heading2"/>
        <w:numPr>
          <w:ilvl w:val="0"/>
          <w:numId w:val="16"/>
        </w:numPr>
      </w:pPr>
      <w:bookmarkStart w:id="25" w:name="_General_Improvements"/>
      <w:bookmarkStart w:id="26" w:name="_Ref263442"/>
      <w:bookmarkStart w:id="27" w:name="_Toc15657880"/>
      <w:bookmarkEnd w:id="25"/>
      <w:r w:rsidRPr="00FB5F43">
        <w:t xml:space="preserve">General </w:t>
      </w:r>
      <w:bookmarkStart w:id="28" w:name="_Toc343073070"/>
      <w:bookmarkEnd w:id="20"/>
      <w:bookmarkEnd w:id="21"/>
      <w:bookmarkEnd w:id="22"/>
      <w:bookmarkEnd w:id="23"/>
      <w:bookmarkEnd w:id="24"/>
      <w:bookmarkEnd w:id="26"/>
      <w:r w:rsidR="007F0BAA">
        <w:t>Changes</w:t>
      </w:r>
      <w:bookmarkEnd w:id="27"/>
      <w:bookmarkEnd w:id="28"/>
    </w:p>
    <w:p w14:paraId="0FA1080B" w14:textId="0CCB90BD" w:rsidR="00A8664A" w:rsidRPr="004A0293" w:rsidRDefault="00FF0754" w:rsidP="00453F14">
      <w:pPr>
        <w:pStyle w:val="Heading3"/>
        <w:numPr>
          <w:ilvl w:val="1"/>
          <w:numId w:val="17"/>
        </w:numPr>
      </w:pPr>
      <w:bookmarkStart w:id="29" w:name="_Toc15657881"/>
      <w:r>
        <w:t>TRM Applicability</w:t>
      </w:r>
      <w:bookmarkEnd w:id="29"/>
    </w:p>
    <w:p w14:paraId="283D1C2D" w14:textId="77777777" w:rsidR="00FF0754" w:rsidRPr="00490DC8" w:rsidRDefault="00FF0754" w:rsidP="00FB6BD4">
      <w:r w:rsidRPr="00490DC8">
        <w:t>As discussed above, the TRM was developed to support the AEPS Act and later adopted to support the requirements of the Act 129 EE&amp;C Program.  The Commission has continued to develop and modify the TRM to support both as electric equipment and technology standards have evolved and changed.</w:t>
      </w:r>
    </w:p>
    <w:p w14:paraId="35B089BC" w14:textId="0C8CB092" w:rsidR="00590ABA" w:rsidRPr="005D421C" w:rsidRDefault="00747D29" w:rsidP="007F1A90">
      <w:r w:rsidRPr="001062F9">
        <w:tab/>
      </w:r>
    </w:p>
    <w:p w14:paraId="4B026384" w14:textId="77777777" w:rsidR="00590ABA" w:rsidRDefault="00590ABA" w:rsidP="00453F14">
      <w:pPr>
        <w:pStyle w:val="Heading4"/>
        <w:numPr>
          <w:ilvl w:val="2"/>
          <w:numId w:val="17"/>
        </w:numPr>
      </w:pPr>
      <w:r w:rsidRPr="005D421C">
        <w:t>Comments</w:t>
      </w:r>
    </w:p>
    <w:p w14:paraId="43D6A37B" w14:textId="77777777" w:rsidR="00FF0754" w:rsidRPr="00490DC8" w:rsidRDefault="00FF0754" w:rsidP="00FB6BD4">
      <w:r w:rsidRPr="00490DC8">
        <w:t>Bradford White Corporation submits a general comment that suggests that the proposed TRM is biased towards electric fueled products.  Bradford White suggests that “instead of the PA PUC choosing winners and losers on the adoption of appliances, we would recommend that energy efficiency choices be considerate of both available technology and fuel choices.” Bradford White at 3.</w:t>
      </w:r>
    </w:p>
    <w:p w14:paraId="2044617B" w14:textId="32CAF376" w:rsidR="00747D29" w:rsidRPr="008D6D97" w:rsidRDefault="00747D29" w:rsidP="00453F14">
      <w:pPr>
        <w:pStyle w:val="Heading4"/>
        <w:numPr>
          <w:ilvl w:val="2"/>
          <w:numId w:val="17"/>
        </w:numPr>
      </w:pPr>
      <w:r w:rsidRPr="008D6D97">
        <w:rPr>
          <w:rStyle w:val="Heading4Char"/>
          <w:b/>
          <w:bCs/>
        </w:rPr>
        <w:lastRenderedPageBreak/>
        <w:t>Disposition</w:t>
      </w:r>
    </w:p>
    <w:p w14:paraId="5D071A7C" w14:textId="30FA2C39" w:rsidR="00351B32" w:rsidRDefault="00FF0754" w:rsidP="009D6654">
      <w:r>
        <w:t xml:space="preserve">The Commission agrees with Bradford White that the TRM is biased toward electrically fueled measures.  The TRM is designed to support Act 129 EE&amp;C programs and, to a lesser extent, the Alternative Energy Portfolio Standards.  Act 129 programs are funded by electric ratepayers with established electric consumption and peak electric demand reduction targets for the large EDCs.  While several of Pennsylvania’s natural gas distribution companies also have EE&amp;C programs, the TRM is not currently designed to support natural gas energy efficiency programs.  The Commission declines to adopt a TRM that supports the natural gas EE&amp;C programs in this proceeding as the TRM is mandated by the AEPS Act and is designed to meet the requirements and the Act 129 EE&amp;C Program, both of which only apply to electric utilities.  </w:t>
      </w:r>
      <w:r w:rsidRPr="00FA6346">
        <w:rPr>
          <w:i/>
          <w:iCs/>
        </w:rPr>
        <w:t>See</w:t>
      </w:r>
      <w:r>
        <w:t xml:space="preserve"> 73 P.S. § 1648.3(e)(10) &amp; (11), and 66 Pa. C.S. § 2806.1(a)(2).  Furthermore, we find that as the SWE costs for developing the TRM are born solely by the large EDCs and recovered from their customers on a full and current basis, it would be inappropriate to have the SWE develop TRM measures that are not applicable to either the AEPS Act or Act 129 EE&amp;C Program.</w:t>
      </w:r>
    </w:p>
    <w:p w14:paraId="087F650C" w14:textId="77777777" w:rsidR="009D6654" w:rsidRDefault="009D6654" w:rsidP="009D6654"/>
    <w:p w14:paraId="0FA1080D" w14:textId="44056721" w:rsidR="00372DDA" w:rsidRDefault="00DD19F6" w:rsidP="00453F14">
      <w:pPr>
        <w:pStyle w:val="Heading3"/>
        <w:numPr>
          <w:ilvl w:val="1"/>
          <w:numId w:val="17"/>
        </w:numPr>
      </w:pPr>
      <w:bookmarkStart w:id="30" w:name="_Ref12975332"/>
      <w:bookmarkStart w:id="31" w:name="_Ref12975346"/>
      <w:bookmarkStart w:id="32" w:name="_Toc15657882"/>
      <w:r>
        <w:t>Process for Code Change Updates</w:t>
      </w:r>
      <w:bookmarkEnd w:id="30"/>
      <w:bookmarkEnd w:id="31"/>
      <w:bookmarkEnd w:id="32"/>
    </w:p>
    <w:p w14:paraId="4DEA7A27" w14:textId="7169A9DC" w:rsidR="00062955" w:rsidRDefault="00FB00B7" w:rsidP="009D6654">
      <w:r>
        <w:t>For Phase IV, t</w:t>
      </w:r>
      <w:r w:rsidR="00F55C9C">
        <w:t>he Commission propose</w:t>
      </w:r>
      <w:r w:rsidR="000B09BF">
        <w:t>d</w:t>
      </w:r>
      <w:r w:rsidR="00F55C9C">
        <w:t xml:space="preserve"> a new process for incorporating codes</w:t>
      </w:r>
      <w:r w:rsidR="00512F76">
        <w:t xml:space="preserve">, </w:t>
      </w:r>
      <w:r w:rsidR="00F55C9C">
        <w:t>standards</w:t>
      </w:r>
      <w:r w:rsidR="00512F76">
        <w:t>, and ENERGY STAR specifications</w:t>
      </w:r>
      <w:r w:rsidR="00F55C9C">
        <w:t xml:space="preserve"> that change during </w:t>
      </w:r>
      <w:r w:rsidR="00B143F2">
        <w:t>the phase without undertaking a full TRM update</w:t>
      </w:r>
      <w:r w:rsidR="00A0651F">
        <w:t xml:space="preserve">.  </w:t>
      </w:r>
      <w:r w:rsidR="008B02E2">
        <w:t xml:space="preserve">Each year of the phase, the SWE will </w:t>
      </w:r>
      <w:r w:rsidR="00851EAE">
        <w:t xml:space="preserve">track </w:t>
      </w:r>
      <w:r w:rsidR="00D55234">
        <w:t xml:space="preserve">code </w:t>
      </w:r>
      <w:r w:rsidR="00851EAE">
        <w:t>updates to federal standards, ENERGY STAR specifications, and state-adopted building energy codes</w:t>
      </w:r>
      <w:r w:rsidR="00A0651F">
        <w:t xml:space="preserve">.  </w:t>
      </w:r>
      <w:r w:rsidR="00D55234">
        <w:t>Based on the extent of code updates</w:t>
      </w:r>
      <w:r w:rsidR="008B02E2">
        <w:t xml:space="preserve"> </w:t>
      </w:r>
      <w:r w:rsidR="007135DA">
        <w:t xml:space="preserve">that occur, the SWE will </w:t>
      </w:r>
      <w:r w:rsidR="00B143F2">
        <w:t>recommend</w:t>
      </w:r>
      <w:r w:rsidR="007135DA">
        <w:t xml:space="preserve"> whether to </w:t>
      </w:r>
      <w:r w:rsidR="006E2FA6">
        <w:t>open the TRM for a code refresh for the following program year</w:t>
      </w:r>
      <w:r w:rsidR="00A0651F">
        <w:t xml:space="preserve">.  </w:t>
      </w:r>
      <w:r w:rsidR="006E52E5">
        <w:t>C</w:t>
      </w:r>
      <w:r w:rsidR="007E2A06">
        <w:t xml:space="preserve">ode updates that are not finalized and in effect before </w:t>
      </w:r>
      <w:r w:rsidR="005A138C">
        <w:t>July</w:t>
      </w:r>
      <w:r w:rsidR="007E2A06">
        <w:t xml:space="preserve"> 1 of a program year will </w:t>
      </w:r>
      <w:r w:rsidR="006E52E5">
        <w:t xml:space="preserve">not </w:t>
      </w:r>
      <w:r w:rsidR="007E2A06">
        <w:t>be considered for inclusion in the TRM</w:t>
      </w:r>
      <w:r w:rsidR="006E52E5">
        <w:t xml:space="preserve"> in that update cycle</w:t>
      </w:r>
      <w:r w:rsidR="00A0651F">
        <w:t xml:space="preserve">.  </w:t>
      </w:r>
      <w:r w:rsidR="00912D9C">
        <w:t xml:space="preserve">Changes to the TRM proposed by the SWE through this process will be limited to updating values directly related to </w:t>
      </w:r>
      <w:r w:rsidR="00512F76">
        <w:t>codes, standards</w:t>
      </w:r>
      <w:r w:rsidR="00174440">
        <w:t>,</w:t>
      </w:r>
      <w:r w:rsidR="00512F76">
        <w:t xml:space="preserve"> and ENERGY STAR specifications</w:t>
      </w:r>
      <w:r w:rsidR="00A0651F">
        <w:t xml:space="preserve">.  </w:t>
      </w:r>
    </w:p>
    <w:p w14:paraId="202FA161" w14:textId="77777777" w:rsidR="00AB6D55" w:rsidRDefault="00AB6D55" w:rsidP="009D6654"/>
    <w:p w14:paraId="07DD960B" w14:textId="45D925C6" w:rsidR="00512F76" w:rsidRDefault="006E2FA6" w:rsidP="009D6654">
      <w:r>
        <w:lastRenderedPageBreak/>
        <w:t>The Commission propose</w:t>
      </w:r>
      <w:r w:rsidR="000B09BF">
        <w:t>d</w:t>
      </w:r>
      <w:r>
        <w:t xml:space="preserve"> the following schedule for this process:</w:t>
      </w:r>
      <w:r w:rsidR="00512F7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78"/>
        <w:gridCol w:w="6472"/>
      </w:tblGrid>
      <w:tr w:rsidR="00E6613F" w14:paraId="131E4330" w14:textId="77777777" w:rsidTr="00512F76">
        <w:trPr>
          <w:tblHeader/>
          <w:jc w:val="center"/>
        </w:trPr>
        <w:tc>
          <w:tcPr>
            <w:tcW w:w="2878" w:type="dxa"/>
            <w:vAlign w:val="center"/>
          </w:tcPr>
          <w:p w14:paraId="658A48D1" w14:textId="345968AB" w:rsidR="00E6613F" w:rsidRPr="009D6654" w:rsidRDefault="00C12415" w:rsidP="009D6654">
            <w:pPr>
              <w:ind w:firstLine="0"/>
              <w:rPr>
                <w:b/>
                <w:bCs/>
              </w:rPr>
            </w:pPr>
            <w:r>
              <w:t xml:space="preserve">        </w:t>
            </w:r>
            <w:r w:rsidR="00512F76" w:rsidRPr="009D6654">
              <w:rPr>
                <w:b/>
                <w:bCs/>
              </w:rPr>
              <w:t>Estimated Date</w:t>
            </w:r>
          </w:p>
        </w:tc>
        <w:tc>
          <w:tcPr>
            <w:tcW w:w="6472" w:type="dxa"/>
            <w:vAlign w:val="center"/>
          </w:tcPr>
          <w:p w14:paraId="05185FC2" w14:textId="3E13874C" w:rsidR="00E6613F" w:rsidRPr="009D6654" w:rsidRDefault="00C12415" w:rsidP="009D6654">
            <w:pPr>
              <w:rPr>
                <w:b/>
                <w:bCs/>
              </w:rPr>
            </w:pPr>
            <w:r>
              <w:t xml:space="preserve">                         </w:t>
            </w:r>
            <w:r w:rsidR="00E6613F" w:rsidRPr="009D6654">
              <w:rPr>
                <w:b/>
                <w:bCs/>
              </w:rPr>
              <w:t>Action</w:t>
            </w:r>
          </w:p>
        </w:tc>
      </w:tr>
      <w:tr w:rsidR="00512F76" w14:paraId="2DBE2945" w14:textId="77777777" w:rsidTr="00512F76">
        <w:trPr>
          <w:jc w:val="center"/>
        </w:trPr>
        <w:tc>
          <w:tcPr>
            <w:tcW w:w="2878" w:type="dxa"/>
            <w:vAlign w:val="center"/>
          </w:tcPr>
          <w:p w14:paraId="30BD72FC" w14:textId="6819B23E" w:rsidR="00512F76" w:rsidRDefault="00512F76" w:rsidP="009D6654">
            <w:r>
              <w:t>March 15</w:t>
            </w:r>
          </w:p>
        </w:tc>
        <w:tc>
          <w:tcPr>
            <w:tcW w:w="6472" w:type="dxa"/>
            <w:vAlign w:val="center"/>
          </w:tcPr>
          <w:p w14:paraId="6EF0FA45" w14:textId="2FFB1348" w:rsidR="00512F76" w:rsidRDefault="00512F76" w:rsidP="009D6654">
            <w:pPr>
              <w:ind w:firstLine="0"/>
            </w:pPr>
            <w:r w:rsidRPr="0073460A">
              <w:t xml:space="preserve">SWE memo analyzing impact of code or standards changes will be delivered to </w:t>
            </w:r>
            <w:r w:rsidR="00062955">
              <w:t>TUS</w:t>
            </w:r>
            <w:r w:rsidRPr="0073460A">
              <w:t>.</w:t>
            </w:r>
          </w:p>
        </w:tc>
      </w:tr>
      <w:tr w:rsidR="00512F76" w14:paraId="71EB28C0" w14:textId="77777777" w:rsidTr="00512F76">
        <w:trPr>
          <w:jc w:val="center"/>
        </w:trPr>
        <w:tc>
          <w:tcPr>
            <w:tcW w:w="2878" w:type="dxa"/>
            <w:vAlign w:val="center"/>
          </w:tcPr>
          <w:p w14:paraId="0B043446" w14:textId="401CE00D" w:rsidR="00512F76" w:rsidRDefault="00512F76" w:rsidP="009D6654">
            <w:r>
              <w:t>April 15</w:t>
            </w:r>
          </w:p>
        </w:tc>
        <w:tc>
          <w:tcPr>
            <w:tcW w:w="6472" w:type="dxa"/>
            <w:vAlign w:val="center"/>
          </w:tcPr>
          <w:p w14:paraId="3B561EDF" w14:textId="366AC02C" w:rsidR="00512F76" w:rsidRDefault="00062955" w:rsidP="009D6654">
            <w:pPr>
              <w:ind w:firstLine="0"/>
            </w:pPr>
            <w:r>
              <w:t>TUS</w:t>
            </w:r>
            <w:r w:rsidRPr="0073460A">
              <w:t xml:space="preserve"> </w:t>
            </w:r>
            <w:r w:rsidR="00512F76" w:rsidRPr="0073460A">
              <w:t>will determine if a</w:t>
            </w:r>
            <w:r w:rsidR="00B165BB">
              <w:t>n</w:t>
            </w:r>
            <w:r w:rsidR="00512F76" w:rsidRPr="0073460A">
              <w:t xml:space="preserve"> update is warranted</w:t>
            </w:r>
            <w:r w:rsidR="00A0651F">
              <w:t xml:space="preserve">.  </w:t>
            </w:r>
          </w:p>
        </w:tc>
      </w:tr>
      <w:tr w:rsidR="00512F76" w14:paraId="055FC784" w14:textId="77777777" w:rsidTr="00512F76">
        <w:trPr>
          <w:jc w:val="center"/>
        </w:trPr>
        <w:tc>
          <w:tcPr>
            <w:tcW w:w="2878" w:type="dxa"/>
            <w:vAlign w:val="center"/>
          </w:tcPr>
          <w:p w14:paraId="1D867062" w14:textId="0263796A" w:rsidR="00512F76" w:rsidRDefault="00512F76" w:rsidP="009D6654">
            <w:r>
              <w:t>July 1</w:t>
            </w:r>
          </w:p>
        </w:tc>
        <w:tc>
          <w:tcPr>
            <w:tcW w:w="6472" w:type="dxa"/>
            <w:vAlign w:val="center"/>
          </w:tcPr>
          <w:p w14:paraId="49921C98" w14:textId="58964FF6" w:rsidR="00512F76" w:rsidRDefault="00512F76" w:rsidP="009D6654">
            <w:pPr>
              <w:ind w:firstLine="0"/>
            </w:pPr>
            <w:r w:rsidRPr="0073460A">
              <w:t>Codes and standards must be in effect by this date</w:t>
            </w:r>
            <w:r w:rsidR="00062955">
              <w:t>.</w:t>
            </w:r>
          </w:p>
        </w:tc>
      </w:tr>
      <w:tr w:rsidR="00512F76" w14:paraId="734678D0" w14:textId="77777777" w:rsidTr="00512F76">
        <w:trPr>
          <w:jc w:val="center"/>
        </w:trPr>
        <w:tc>
          <w:tcPr>
            <w:tcW w:w="2878" w:type="dxa"/>
            <w:vAlign w:val="center"/>
          </w:tcPr>
          <w:p w14:paraId="0C8DC5E4" w14:textId="470BD3B2" w:rsidR="00512F76" w:rsidRDefault="00512F76" w:rsidP="009D6654">
            <w:r>
              <w:t xml:space="preserve">July </w:t>
            </w:r>
          </w:p>
        </w:tc>
        <w:tc>
          <w:tcPr>
            <w:tcW w:w="6472" w:type="dxa"/>
            <w:vAlign w:val="center"/>
          </w:tcPr>
          <w:p w14:paraId="35ED7FA4" w14:textId="0657F69F" w:rsidR="00512F76" w:rsidRDefault="00512F76" w:rsidP="009D6654">
            <w:pPr>
              <w:ind w:firstLine="0"/>
            </w:pPr>
            <w:r w:rsidRPr="0073460A">
              <w:t>Tentative TRM Order and Manual on Public Meeting Agenda</w:t>
            </w:r>
            <w:r>
              <w:t>.</w:t>
            </w:r>
          </w:p>
        </w:tc>
      </w:tr>
      <w:tr w:rsidR="00512F76" w14:paraId="34AED5C4" w14:textId="77777777" w:rsidTr="00512F76">
        <w:trPr>
          <w:jc w:val="center"/>
        </w:trPr>
        <w:tc>
          <w:tcPr>
            <w:tcW w:w="2878" w:type="dxa"/>
            <w:vAlign w:val="center"/>
          </w:tcPr>
          <w:p w14:paraId="7195B347" w14:textId="02385D42" w:rsidR="00512F76" w:rsidRDefault="00CA4168" w:rsidP="009D6654">
            <w:pPr>
              <w:ind w:firstLine="0"/>
            </w:pPr>
            <w:r>
              <w:t xml:space="preserve">August </w:t>
            </w:r>
            <w:r w:rsidR="00062955">
              <w:t>- September</w:t>
            </w:r>
            <w:r w:rsidR="00512F76">
              <w:t xml:space="preserve"> </w:t>
            </w:r>
          </w:p>
        </w:tc>
        <w:tc>
          <w:tcPr>
            <w:tcW w:w="6472" w:type="dxa"/>
            <w:vAlign w:val="center"/>
          </w:tcPr>
          <w:p w14:paraId="170BA468" w14:textId="198680B0" w:rsidR="00512F76" w:rsidRDefault="00512F76" w:rsidP="009D6654">
            <w:pPr>
              <w:ind w:firstLine="0"/>
            </w:pPr>
            <w:r w:rsidRPr="0073460A">
              <w:t>Comment and review process</w:t>
            </w:r>
            <w:r w:rsidR="00062955">
              <w:t>.</w:t>
            </w:r>
            <w:r>
              <w:t xml:space="preserve"> </w:t>
            </w:r>
          </w:p>
        </w:tc>
      </w:tr>
      <w:tr w:rsidR="00512F76" w14:paraId="17F95E25" w14:textId="77777777" w:rsidTr="00512F76">
        <w:trPr>
          <w:jc w:val="center"/>
        </w:trPr>
        <w:tc>
          <w:tcPr>
            <w:tcW w:w="2878" w:type="dxa"/>
            <w:vAlign w:val="center"/>
          </w:tcPr>
          <w:p w14:paraId="111C0E08" w14:textId="25E12693" w:rsidR="00512F76" w:rsidRDefault="00512F76" w:rsidP="009D6654">
            <w:r>
              <w:t xml:space="preserve">November </w:t>
            </w:r>
          </w:p>
        </w:tc>
        <w:tc>
          <w:tcPr>
            <w:tcW w:w="6472" w:type="dxa"/>
            <w:vAlign w:val="center"/>
          </w:tcPr>
          <w:p w14:paraId="7C530525" w14:textId="58039E20" w:rsidR="00512F76" w:rsidRDefault="00512F76" w:rsidP="009D6654">
            <w:pPr>
              <w:ind w:firstLine="0"/>
            </w:pPr>
            <w:r w:rsidRPr="008D5391">
              <w:t>Final TRM Order and Manual on Public Meeting Agenda</w:t>
            </w:r>
            <w:r w:rsidR="00062955">
              <w:t>.</w:t>
            </w:r>
            <w:r>
              <w:t xml:space="preserve"> </w:t>
            </w:r>
          </w:p>
        </w:tc>
      </w:tr>
    </w:tbl>
    <w:p w14:paraId="4245FD24" w14:textId="7E5AC503" w:rsidR="00590ABA" w:rsidRPr="005D421C" w:rsidRDefault="007135DA" w:rsidP="009D6654">
      <w:r>
        <w:t xml:space="preserve"> </w:t>
      </w:r>
    </w:p>
    <w:p w14:paraId="3BD3AAA3" w14:textId="77777777" w:rsidR="00590ABA" w:rsidRDefault="00590ABA" w:rsidP="00453F14">
      <w:pPr>
        <w:pStyle w:val="Heading4"/>
        <w:numPr>
          <w:ilvl w:val="2"/>
          <w:numId w:val="17"/>
        </w:numPr>
      </w:pPr>
      <w:r w:rsidRPr="005D421C">
        <w:t>Comments</w:t>
      </w:r>
    </w:p>
    <w:p w14:paraId="0426A619" w14:textId="3C0B9D57" w:rsidR="00585D8A" w:rsidRDefault="003E45AB" w:rsidP="009D6654">
      <w:r>
        <w:t xml:space="preserve">PECO </w:t>
      </w:r>
      <w:r w:rsidR="00900226">
        <w:t xml:space="preserve">expresses </w:t>
      </w:r>
      <w:r w:rsidR="00985FF7">
        <w:t xml:space="preserve">support for the Commission’s proposal </w:t>
      </w:r>
      <w:r w:rsidR="009302C3">
        <w:t xml:space="preserve">to implement a streamlined, predictable process to update changes to codes and standards in the TRM. </w:t>
      </w:r>
      <w:r w:rsidR="00774C69">
        <w:t xml:space="preserve"> PECO </w:t>
      </w:r>
      <w:r w:rsidR="00900226">
        <w:t xml:space="preserve">supports </w:t>
      </w:r>
      <w:r w:rsidR="009E4EF6">
        <w:t xml:space="preserve">the Commission’s proposed schedule </w:t>
      </w:r>
      <w:r w:rsidR="00D008BF">
        <w:t xml:space="preserve">because it requires codes to be in effect for at least six months </w:t>
      </w:r>
      <w:r w:rsidR="00362571">
        <w:t>prior to incorporation in the TRM and all changes are reflected at the beginning of a program year.</w:t>
      </w:r>
      <w:r w:rsidR="00113861">
        <w:t xml:space="preserve">  </w:t>
      </w:r>
      <w:r w:rsidR="007C529E">
        <w:t xml:space="preserve">PECO </w:t>
      </w:r>
      <w:r w:rsidR="00654477">
        <w:t xml:space="preserve">also </w:t>
      </w:r>
      <w:r w:rsidR="00900226">
        <w:t xml:space="preserve">recommends </w:t>
      </w:r>
      <w:r w:rsidR="00654477">
        <w:t xml:space="preserve">that the Commission </w:t>
      </w:r>
      <w:r w:rsidR="00F93160">
        <w:t>remain</w:t>
      </w:r>
      <w:r w:rsidR="00654477">
        <w:t xml:space="preserve"> cognizant that code changes may reduce energy efficiency </w:t>
      </w:r>
      <w:r w:rsidR="00F93160">
        <w:t>savings</w:t>
      </w:r>
      <w:r w:rsidR="00654477">
        <w:t xml:space="preserve"> </w:t>
      </w:r>
      <w:r w:rsidR="00F93160">
        <w:t xml:space="preserve">when examining potential for Phase IV of Act 129. </w:t>
      </w:r>
      <w:r w:rsidR="003D2783">
        <w:t xml:space="preserve"> </w:t>
      </w:r>
      <w:r w:rsidR="00113861">
        <w:t>PECO Comments at 3.</w:t>
      </w:r>
      <w:r w:rsidR="00F30A31">
        <w:t xml:space="preserve">  </w:t>
      </w:r>
      <w:r w:rsidR="00585D8A">
        <w:t xml:space="preserve">The Energy Association of Pennsylvania </w:t>
      </w:r>
      <w:r w:rsidR="00DE4D70">
        <w:t xml:space="preserve">(EAP) also </w:t>
      </w:r>
      <w:r w:rsidR="00D67707">
        <w:t xml:space="preserve">expresses </w:t>
      </w:r>
      <w:r w:rsidR="00DE4D70">
        <w:t xml:space="preserve">general support for the proposed process to reflect changes to codes and standards in the Phase IV TRM.  EAP </w:t>
      </w:r>
      <w:r w:rsidR="00DE1AAC">
        <w:t>request</w:t>
      </w:r>
      <w:r w:rsidR="00066EB7">
        <w:t>s</w:t>
      </w:r>
      <w:r w:rsidR="00DE1AAC">
        <w:t xml:space="preserve"> that the Commission confirm that any TRM modifications take effect on June 1</w:t>
      </w:r>
      <w:r w:rsidR="007D268B">
        <w:t xml:space="preserve"> of the following calendar year.</w:t>
      </w:r>
      <w:r w:rsidR="00A72991">
        <w:t xml:space="preserve">  EAP Comments at 5.</w:t>
      </w:r>
    </w:p>
    <w:p w14:paraId="0CBDD6C9" w14:textId="2A68936D" w:rsidR="00590ABA" w:rsidRPr="00590ABA" w:rsidRDefault="00590ABA" w:rsidP="009D6654">
      <w:pPr>
        <w:rPr>
          <w:rStyle w:val="Heading4Char"/>
          <w:b w:val="0"/>
        </w:rPr>
      </w:pPr>
    </w:p>
    <w:p w14:paraId="7667F20D" w14:textId="77777777" w:rsidR="00590ABA" w:rsidRPr="00590ABA" w:rsidRDefault="00590ABA" w:rsidP="00453F14">
      <w:pPr>
        <w:pStyle w:val="Heading4"/>
        <w:numPr>
          <w:ilvl w:val="2"/>
          <w:numId w:val="17"/>
        </w:numPr>
      </w:pPr>
      <w:r w:rsidRPr="00CC3E98">
        <w:rPr>
          <w:rStyle w:val="Heading4Char"/>
          <w:b/>
        </w:rPr>
        <w:t>Disposition</w:t>
      </w:r>
    </w:p>
    <w:p w14:paraId="59B9F063" w14:textId="6701F060" w:rsidR="0096314A" w:rsidRDefault="00663555" w:rsidP="009D6654">
      <w:r>
        <w:t xml:space="preserve">The Commission adopts the proposed update process.  </w:t>
      </w:r>
      <w:r w:rsidR="007D268B">
        <w:t xml:space="preserve">The Commission affirms that any modification to the Phase IV TRM would </w:t>
      </w:r>
      <w:r w:rsidR="00B37B9F">
        <w:t xml:space="preserve">become effective on June 1 of the calendar year following </w:t>
      </w:r>
      <w:r w:rsidR="000A4AA4">
        <w:t>the comment and review process</w:t>
      </w:r>
      <w:r w:rsidR="001C332A">
        <w:t xml:space="preserve"> and we agree</w:t>
      </w:r>
      <w:r w:rsidR="000A4AA4">
        <w:t xml:space="preserve"> with EAP that </w:t>
      </w:r>
      <w:r w:rsidR="00A46653">
        <w:t xml:space="preserve">it </w:t>
      </w:r>
      <w:r w:rsidR="000A4AA4">
        <w:lastRenderedPageBreak/>
        <w:t>is important to time any changes with the beginning of a new Act 129 program year.</w:t>
      </w:r>
      <w:r w:rsidR="004308E2">
        <w:t xml:space="preserve">  </w:t>
      </w:r>
      <w:r w:rsidR="0088423F" w:rsidDel="005210E1">
        <w:t xml:space="preserve">In response to PECO’s comment regarding </w:t>
      </w:r>
      <w:r w:rsidR="004F0529" w:rsidDel="005210E1">
        <w:t xml:space="preserve">codes being in effect for six months, the Commission notes that the proposed schedule </w:t>
      </w:r>
      <w:r w:rsidR="007D268B" w:rsidDel="005210E1">
        <w:t>requires</w:t>
      </w:r>
      <w:r w:rsidR="004F0529" w:rsidDel="005210E1">
        <w:t xml:space="preserve"> codes to be in effect for a minimum of eleven months </w:t>
      </w:r>
      <w:r w:rsidR="00E93DCC" w:rsidDel="005210E1">
        <w:t xml:space="preserve">prior to incorporation in the TRM. </w:t>
      </w:r>
      <w:r w:rsidR="00F93160" w:rsidDel="005210E1">
        <w:t xml:space="preserve"> </w:t>
      </w:r>
      <w:r w:rsidR="001C332A">
        <w:t xml:space="preserve">We acknowledge </w:t>
      </w:r>
      <w:r w:rsidR="0030704C" w:rsidDel="005210E1">
        <w:t xml:space="preserve">PECO’s comment about the impact of </w:t>
      </w:r>
      <w:r w:rsidR="00C74BB3" w:rsidDel="005210E1">
        <w:t xml:space="preserve">code changes on Phase IV potential and </w:t>
      </w:r>
      <w:r w:rsidR="00C74BB3">
        <w:t xml:space="preserve">will work with </w:t>
      </w:r>
      <w:r w:rsidR="00C74BB3" w:rsidDel="005210E1">
        <w:t xml:space="preserve">the SWE to </w:t>
      </w:r>
      <w:r w:rsidR="00196770" w:rsidDel="005210E1">
        <w:t xml:space="preserve">consider the impacts of likely code changes on </w:t>
      </w:r>
      <w:r w:rsidR="009021E7" w:rsidDel="005210E1">
        <w:t xml:space="preserve">estimates of market potential or the cost of </w:t>
      </w:r>
      <w:r w:rsidR="002D3DFC" w:rsidDel="005210E1">
        <w:t>acquiring energy efficiency potential</w:t>
      </w:r>
      <w:bookmarkStart w:id="33" w:name="_Hlk13474784"/>
      <w:r w:rsidR="003D2783">
        <w:t>.</w:t>
      </w:r>
      <w:bookmarkEnd w:id="33"/>
    </w:p>
    <w:p w14:paraId="11B72C5F" w14:textId="3B2DE6E5" w:rsidR="00663555" w:rsidRDefault="00663555"/>
    <w:p w14:paraId="6AFFA360" w14:textId="4142F49C" w:rsidR="00663555" w:rsidRDefault="00663555" w:rsidP="00453F14">
      <w:pPr>
        <w:pStyle w:val="Heading3"/>
        <w:numPr>
          <w:ilvl w:val="1"/>
          <w:numId w:val="17"/>
        </w:numPr>
      </w:pPr>
      <w:bookmarkStart w:id="34" w:name="_Toc15657883"/>
      <w:r>
        <w:t>TRM Default Values</w:t>
      </w:r>
      <w:bookmarkEnd w:id="34"/>
    </w:p>
    <w:p w14:paraId="40AEEF12" w14:textId="0CB514A3" w:rsidR="00663555" w:rsidRDefault="00663555" w:rsidP="00663555">
      <w:r>
        <w:t xml:space="preserve">The TRM has incorporated default values for measures where collection of specific customer or equipment data is difficult or costly to collect.  The use of default values </w:t>
      </w:r>
      <w:r w:rsidR="001F0ED5">
        <w:t>must balance the costs with the impact they may have on the accuracy of claimed energy savings.</w:t>
      </w:r>
    </w:p>
    <w:p w14:paraId="19E55EB3" w14:textId="0F6EB652" w:rsidR="001F0ED5" w:rsidRDefault="001F0ED5" w:rsidP="00663555"/>
    <w:p w14:paraId="25553198" w14:textId="79A6CC0D" w:rsidR="001F0ED5" w:rsidRPr="001F0ED5" w:rsidRDefault="001F0ED5" w:rsidP="00453F14">
      <w:pPr>
        <w:pStyle w:val="Heading4"/>
        <w:numPr>
          <w:ilvl w:val="2"/>
          <w:numId w:val="17"/>
        </w:numPr>
      </w:pPr>
      <w:r>
        <w:t>Comments</w:t>
      </w:r>
    </w:p>
    <w:p w14:paraId="4A9D81C9" w14:textId="29095F3C" w:rsidR="00DF7143" w:rsidRDefault="001F0ED5">
      <w:r w:rsidRPr="000257F5">
        <w:t>PECO states that the TRM should incorporate default values where appropriate.  PECO suggests that expanded use of data-based default values would reduce the burden and cost of verifying savings while preserving the accuracy of claimed savings.  PECO Comments at 4.</w:t>
      </w:r>
    </w:p>
    <w:p w14:paraId="67974C2C" w14:textId="325229D9" w:rsidR="001F0ED5" w:rsidRDefault="001F0ED5"/>
    <w:p w14:paraId="151C38F6" w14:textId="40C36630" w:rsidR="001F0ED5" w:rsidRDefault="001F0ED5" w:rsidP="00453F14">
      <w:pPr>
        <w:pStyle w:val="Heading4"/>
        <w:numPr>
          <w:ilvl w:val="2"/>
          <w:numId w:val="17"/>
        </w:numPr>
      </w:pPr>
      <w:r>
        <w:t>Disposition</w:t>
      </w:r>
    </w:p>
    <w:p w14:paraId="440A2AAB" w14:textId="33DA9907" w:rsidR="001F0ED5" w:rsidRPr="00FB6BD4" w:rsidRDefault="001F0ED5" w:rsidP="00FB6BD4">
      <w:r>
        <w:t xml:space="preserve">The Commission agrees with PECO that default savings assumptions are an important component of TRM development to balance the integrity and accuracy of claimed savings with costs incurred to measure and verify the claimed savings.  The proposed TRM included hundreds of </w:t>
      </w:r>
      <w:r w:rsidRPr="00D42598">
        <w:t xml:space="preserve">default values where the Commission </w:t>
      </w:r>
      <w:r>
        <w:t xml:space="preserve">finds that measurement and verification would be cost-prohibitive.  EDC data gathering requirements are limited to a relatively small subset of parameters.  While we agree with PECO’s comment, in principle, we believe the 2021 TRM strikes the appropriate balance.  We disagree with many of the specific instances where PECO proposes the addition of default values to the TRM.  Collection of basic equipment properties such as type or </w:t>
      </w:r>
      <w:r>
        <w:lastRenderedPageBreak/>
        <w:t>capacity as part of program delivery is important to ensure Act 129 EE&amp;C Program funds are being used responsibly.  This is particularly true for non</w:t>
      </w:r>
      <w:r>
        <w:noBreakHyphen/>
        <w:t xml:space="preserve">residential measures where equipment sizes can vary significantly.  Without basic equipment characteristics, EDCs and their CSPs are unable to verify the eligibility requirements in the TRM or determine if incentive levels are commensurate with incremental measure costs and expected energy savings.  While we decline to adopt most of PECO’s suggestions to add default savings assumptions, the Commission finds that, for certain measures, PECO’s suggestions are reasonable.  Such changes </w:t>
      </w:r>
      <w:r w:rsidRPr="00D9473B">
        <w:t>have the benefit of limiting certain overhead and administrative costs.</w:t>
      </w:r>
      <w:r>
        <w:t xml:space="preserve">  Additional detail is provided in the measure-specific dispositions of this order.</w:t>
      </w:r>
    </w:p>
    <w:p w14:paraId="5D78046F" w14:textId="77777777" w:rsidR="0096314A" w:rsidRPr="001062F9" w:rsidRDefault="0096314A" w:rsidP="00AA2116">
      <w:pPr>
        <w:pStyle w:val="p3"/>
      </w:pPr>
    </w:p>
    <w:p w14:paraId="1F6A2014" w14:textId="58C7FB95" w:rsidR="004E109D" w:rsidRPr="00AA1268" w:rsidRDefault="004E109D" w:rsidP="00453F14">
      <w:pPr>
        <w:pStyle w:val="Heading3"/>
        <w:numPr>
          <w:ilvl w:val="1"/>
          <w:numId w:val="17"/>
        </w:numPr>
      </w:pPr>
      <w:bookmarkStart w:id="35" w:name="_Toc14686804"/>
      <w:bookmarkStart w:id="36" w:name="_Toc14686951"/>
      <w:bookmarkStart w:id="37" w:name="_Toc14687098"/>
      <w:bookmarkStart w:id="38" w:name="_Toc14686805"/>
      <w:bookmarkStart w:id="39" w:name="_Toc14686952"/>
      <w:bookmarkStart w:id="40" w:name="_Toc14687099"/>
      <w:bookmarkStart w:id="41" w:name="_Toc15657884"/>
      <w:bookmarkEnd w:id="35"/>
      <w:bookmarkEnd w:id="36"/>
      <w:bookmarkEnd w:id="37"/>
      <w:bookmarkEnd w:id="38"/>
      <w:bookmarkEnd w:id="39"/>
      <w:bookmarkEnd w:id="40"/>
      <w:r>
        <w:t>Updated Climate Assumptions</w:t>
      </w:r>
      <w:bookmarkEnd w:id="41"/>
    </w:p>
    <w:p w14:paraId="5169406A" w14:textId="7E7E837A" w:rsidR="009232EC" w:rsidRDefault="777300A8" w:rsidP="00AA2116">
      <w:r>
        <w:t xml:space="preserve">The </w:t>
      </w:r>
      <w:r w:rsidRPr="00DB1EDD">
        <w:t>Commission propose</w:t>
      </w:r>
      <w:r w:rsidR="000B09BF">
        <w:t>d</w:t>
      </w:r>
      <w:r w:rsidRPr="00DB1EDD">
        <w:t xml:space="preserve"> to</w:t>
      </w:r>
      <w:r w:rsidR="00A34834">
        <w:t xml:space="preserve"> update the climate-depe</w:t>
      </w:r>
      <w:r w:rsidR="00DE280A">
        <w:t>ndent values used in the TRM</w:t>
      </w:r>
      <w:r w:rsidR="00A0651F">
        <w:t xml:space="preserve">.  </w:t>
      </w:r>
      <w:r w:rsidR="00DE280A">
        <w:t xml:space="preserve">Many TRM measures </w:t>
      </w:r>
      <w:r w:rsidR="00BE1541">
        <w:t xml:space="preserve">incorporate climate-dependent terms </w:t>
      </w:r>
      <w:r w:rsidR="005D5F74">
        <w:t xml:space="preserve">(CDD, HDD, cooling/heating equivalent full load hours, coincidence factors, etc.) </w:t>
      </w:r>
      <w:r w:rsidR="00BE1541">
        <w:t>to reflect the variations in climate across the state</w:t>
      </w:r>
      <w:r w:rsidR="00A0651F">
        <w:t xml:space="preserve">.  </w:t>
      </w:r>
      <w:r w:rsidR="00D41BF9">
        <w:t>In the 2016 TRM</w:t>
      </w:r>
      <w:r w:rsidR="00DF7143">
        <w:t>,</w:t>
      </w:r>
      <w:r w:rsidR="00D41BF9">
        <w:t xml:space="preserve"> the weather reference cities included </w:t>
      </w:r>
      <w:r w:rsidR="00F65736">
        <w:t>seven reference zones</w:t>
      </w:r>
      <w:r w:rsidR="001B24D9">
        <w:t xml:space="preserve">, defined by the major cities in the zone: </w:t>
      </w:r>
      <w:r w:rsidR="00D41BF9">
        <w:t>Allentown, Erie, Harrisburg, Philadelphia, Pittsburgh, Scranton, and Williamsport</w:t>
      </w:r>
      <w:r w:rsidR="00A0651F">
        <w:t xml:space="preserve">.  </w:t>
      </w:r>
      <w:r w:rsidR="00D41BF9">
        <w:t>The Commission’s proposed update includes the addition of two new reference cities: Binghamton</w:t>
      </w:r>
      <w:r w:rsidR="00F65736">
        <w:t>, NY</w:t>
      </w:r>
      <w:r w:rsidR="00DD23A3">
        <w:t>,</w:t>
      </w:r>
      <w:r w:rsidR="00D41BF9">
        <w:t xml:space="preserve"> and Bradford</w:t>
      </w:r>
      <w:r w:rsidR="005D5F74">
        <w:t>, PA</w:t>
      </w:r>
      <w:r w:rsidR="00A0651F">
        <w:t xml:space="preserve">.  </w:t>
      </w:r>
      <w:r w:rsidR="00030707" w:rsidRPr="001F2214">
        <w:t>The Commission believes the</w:t>
      </w:r>
      <w:r w:rsidR="00062955">
        <w:t>se</w:t>
      </w:r>
      <w:r w:rsidR="00030707" w:rsidRPr="001F2214">
        <w:t xml:space="preserve"> nine cities better reflect </w:t>
      </w:r>
      <w:r w:rsidR="004604EF" w:rsidRPr="001F2214">
        <w:t>the climate characteristics of the state</w:t>
      </w:r>
      <w:r w:rsidR="008E461C" w:rsidRPr="001F2214">
        <w:t xml:space="preserve"> and </w:t>
      </w:r>
      <w:r w:rsidR="0081180E">
        <w:t xml:space="preserve">fulfill </w:t>
      </w:r>
      <w:r w:rsidR="008E461C" w:rsidRPr="001F2214">
        <w:t>the nee</w:t>
      </w:r>
      <w:r w:rsidR="0022231E" w:rsidRPr="001F2214">
        <w:t xml:space="preserve">d to </w:t>
      </w:r>
      <w:r w:rsidR="00CD4207" w:rsidRPr="001F2214">
        <w:t>incorporate other climate region systems from ASHRAE and IECC</w:t>
      </w:r>
      <w:r w:rsidR="00A0651F">
        <w:t xml:space="preserve">.  </w:t>
      </w:r>
    </w:p>
    <w:p w14:paraId="4EB9946E" w14:textId="7AC14A59" w:rsidR="0096314A" w:rsidRDefault="009232EC" w:rsidP="00AA2116">
      <w:r>
        <w:tab/>
      </w:r>
    </w:p>
    <w:p w14:paraId="0EAC90AA" w14:textId="21453139" w:rsidR="0096314A" w:rsidRDefault="00FF0409" w:rsidP="00AA2116">
      <w:r w:rsidRPr="00FF0409">
        <w:t>In cases where a climate-dependent value for one of the two new weather cities is unknown, the Commission propose</w:t>
      </w:r>
      <w:r w:rsidR="000B09BF">
        <w:t>d</w:t>
      </w:r>
      <w:r w:rsidRPr="00FF0409">
        <w:t xml:space="preserve"> that the value be estimated via regression</w:t>
      </w:r>
      <w:r w:rsidR="000A7D16">
        <w:t xml:space="preserve"> modeling</w:t>
      </w:r>
      <w:r w:rsidR="00A0651F">
        <w:t xml:space="preserve">.  </w:t>
      </w:r>
      <w:r w:rsidRPr="00FF0409">
        <w:t xml:space="preserve">The regression models </w:t>
      </w:r>
      <w:r w:rsidR="00B9738C">
        <w:t>were to</w:t>
      </w:r>
      <w:r w:rsidR="00B9738C" w:rsidRPr="00FF0409">
        <w:t xml:space="preserve"> </w:t>
      </w:r>
      <w:r w:rsidRPr="00FF0409">
        <w:t xml:space="preserve">be based on the seven </w:t>
      </w:r>
      <w:r w:rsidR="000A7D16">
        <w:t>established</w:t>
      </w:r>
      <w:r w:rsidRPr="00FF0409">
        <w:t xml:space="preserve"> weather reference cities, and the models </w:t>
      </w:r>
      <w:r w:rsidR="00B9738C">
        <w:t>would</w:t>
      </w:r>
      <w:r w:rsidR="00B9738C" w:rsidRPr="00FF0409">
        <w:t xml:space="preserve"> </w:t>
      </w:r>
      <w:r w:rsidRPr="00FF0409">
        <w:t>use CDD and HDD as explanatory variables</w:t>
      </w:r>
      <w:r w:rsidR="00A0651F">
        <w:t xml:space="preserve">.  </w:t>
      </w:r>
      <w:r w:rsidRPr="00FF0409">
        <w:t>For Residential HVAC equipment, the Commission pro</w:t>
      </w:r>
      <w:r w:rsidRPr="002C3CF3">
        <w:t>pose</w:t>
      </w:r>
      <w:r w:rsidR="000B09BF">
        <w:t>d</w:t>
      </w:r>
      <w:r w:rsidRPr="002C3CF3">
        <w:t xml:space="preserve"> a different approach, which is discussed in the next section.</w:t>
      </w:r>
      <w:r w:rsidR="009D06D8">
        <w:t xml:space="preserve"> </w:t>
      </w:r>
      <w:r w:rsidRPr="002C3CF3">
        <w:t xml:space="preserve"> Regarding CDD and HDD, t</w:t>
      </w:r>
      <w:r w:rsidR="002F300B" w:rsidRPr="002C3CF3">
        <w:t xml:space="preserve">here is a Class 1 weather station in each of </w:t>
      </w:r>
      <w:r w:rsidR="002F300B" w:rsidRPr="002C3CF3">
        <w:lastRenderedPageBreak/>
        <w:t>the</w:t>
      </w:r>
      <w:r w:rsidRPr="002C3CF3">
        <w:t xml:space="preserve"> nine weather reference</w:t>
      </w:r>
      <w:r w:rsidR="002F300B" w:rsidRPr="002C3CF3">
        <w:t xml:space="preserve"> cities </w:t>
      </w:r>
      <w:r w:rsidR="002C3CF3" w:rsidRPr="002C3CF3">
        <w:t>that provides</w:t>
      </w:r>
      <w:r w:rsidR="002F300B" w:rsidRPr="002C3CF3">
        <w:t xml:space="preserve"> </w:t>
      </w:r>
      <w:r w:rsidR="002C3CF3" w:rsidRPr="002C3CF3">
        <w:t xml:space="preserve">typical meteorological year (TMY) weather </w:t>
      </w:r>
      <w:r w:rsidR="002F300B" w:rsidRPr="002C3CF3">
        <w:t xml:space="preserve">data </w:t>
      </w:r>
      <w:r w:rsidR="002C3CF3" w:rsidRPr="002C3CF3">
        <w:t>for the city.</w:t>
      </w:r>
      <w:r w:rsidR="002C3CF3">
        <w:rPr>
          <w:rStyle w:val="FootnoteReference"/>
        </w:rPr>
        <w:footnoteReference w:id="8"/>
      </w:r>
      <w:r w:rsidR="002C3CF3" w:rsidRPr="002C3CF3">
        <w:t xml:space="preserve"> </w:t>
      </w:r>
      <w:r w:rsidR="009D06D8">
        <w:t xml:space="preserve"> </w:t>
      </w:r>
      <w:r w:rsidR="002C3CF3" w:rsidRPr="002C3CF3">
        <w:t xml:space="preserve">Weather data from these stations </w:t>
      </w:r>
      <w:r w:rsidR="00B938C2" w:rsidRPr="002C3CF3">
        <w:t>w</w:t>
      </w:r>
      <w:r w:rsidR="00B938C2">
        <w:t>ere</w:t>
      </w:r>
      <w:r w:rsidR="00B938C2" w:rsidRPr="002C3CF3">
        <w:t xml:space="preserve"> </w:t>
      </w:r>
      <w:r w:rsidR="002C3CF3" w:rsidRPr="002C3CF3">
        <w:t>used to calculate CDD and HDD for the relevant weather reference cities</w:t>
      </w:r>
      <w:r w:rsidR="00A0651F">
        <w:t xml:space="preserve">.  </w:t>
      </w:r>
    </w:p>
    <w:p w14:paraId="3CFBD05C" w14:textId="77777777" w:rsidR="009B7FFC" w:rsidRDefault="009B7FFC" w:rsidP="00AA2116">
      <w:pPr>
        <w:rPr>
          <w:highlight w:val="yellow"/>
        </w:rPr>
      </w:pPr>
    </w:p>
    <w:p w14:paraId="2422BBB8" w14:textId="6E12719D" w:rsidR="000B3502" w:rsidRDefault="777300A8" w:rsidP="00AA2116">
      <w:r w:rsidRPr="00B310A3">
        <w:t xml:space="preserve">Additional weather </w:t>
      </w:r>
      <w:r w:rsidRPr="006848DB">
        <w:t xml:space="preserve">regionalization </w:t>
      </w:r>
      <w:r w:rsidR="000C3571" w:rsidRPr="006848DB">
        <w:t>results in a better</w:t>
      </w:r>
      <w:r w:rsidR="000C3571" w:rsidRPr="00B310A3">
        <w:t xml:space="preserve"> representation of climate</w:t>
      </w:r>
      <w:r w:rsidR="000C3571">
        <w:t xml:space="preserve"> variations in Pennsylvania</w:t>
      </w:r>
      <w:r w:rsidR="00A0651F">
        <w:t xml:space="preserve">.  </w:t>
      </w:r>
      <w:r w:rsidR="009D06D8" w:rsidRPr="000B3502">
        <w:t>New measures affected by this update include Weather Stripping, Caulking and Outlet Gaskets, Basement Wall Insulation, and Residential Window Repair.</w:t>
      </w:r>
      <w:r w:rsidR="009D06D8">
        <w:t xml:space="preserve">  </w:t>
      </w:r>
      <w:r w:rsidR="001F0302">
        <w:t xml:space="preserve">Existing </w:t>
      </w:r>
      <w:r w:rsidR="001F0302" w:rsidRPr="00227CB7">
        <w:t>TRM Protocols affected by this update include</w:t>
      </w:r>
      <w:r w:rsidR="00807058">
        <w:t xml:space="preserve"> the following</w:t>
      </w:r>
      <w:r w:rsidR="000B3502">
        <w:t>:</w:t>
      </w:r>
      <w:r w:rsidR="00C9643E">
        <w:t xml:space="preserve"> </w:t>
      </w:r>
    </w:p>
    <w:p w14:paraId="70BCC872" w14:textId="77777777" w:rsidR="000B3502" w:rsidRPr="005442E8" w:rsidRDefault="00E715E8" w:rsidP="00453F14">
      <w:pPr>
        <w:pStyle w:val="ListParagraph"/>
        <w:numPr>
          <w:ilvl w:val="0"/>
          <w:numId w:val="8"/>
        </w:numPr>
        <w:rPr>
          <w:sz w:val="26"/>
          <w:szCs w:val="26"/>
        </w:rPr>
      </w:pPr>
      <w:r w:rsidRPr="005442E8">
        <w:rPr>
          <w:sz w:val="26"/>
          <w:szCs w:val="26"/>
        </w:rPr>
        <w:t>2.4.3</w:t>
      </w:r>
      <w:r w:rsidR="000B3502" w:rsidRPr="005442E8">
        <w:rPr>
          <w:sz w:val="26"/>
          <w:szCs w:val="26"/>
        </w:rPr>
        <w:t xml:space="preserve"> –</w:t>
      </w:r>
      <w:r w:rsidRPr="005442E8">
        <w:rPr>
          <w:sz w:val="26"/>
          <w:szCs w:val="26"/>
        </w:rPr>
        <w:t xml:space="preserve"> Refrigerator / Freezer Recycling with and without Replacement</w:t>
      </w:r>
      <w:r w:rsidR="000B3502" w:rsidRPr="005442E8">
        <w:rPr>
          <w:sz w:val="26"/>
          <w:szCs w:val="26"/>
        </w:rPr>
        <w:t>;</w:t>
      </w:r>
    </w:p>
    <w:p w14:paraId="73EA3546" w14:textId="5C9186BC" w:rsidR="000B3502" w:rsidRPr="005442E8" w:rsidRDefault="008D1F5B" w:rsidP="00453F14">
      <w:pPr>
        <w:pStyle w:val="ListParagraph"/>
        <w:numPr>
          <w:ilvl w:val="0"/>
          <w:numId w:val="8"/>
        </w:numPr>
        <w:rPr>
          <w:sz w:val="26"/>
          <w:szCs w:val="26"/>
        </w:rPr>
      </w:pPr>
      <w:r w:rsidRPr="005442E8">
        <w:rPr>
          <w:sz w:val="26"/>
          <w:szCs w:val="26"/>
        </w:rPr>
        <w:t>2.6.1</w:t>
      </w:r>
      <w:r w:rsidR="000B3502" w:rsidRPr="005442E8">
        <w:rPr>
          <w:sz w:val="26"/>
          <w:szCs w:val="26"/>
        </w:rPr>
        <w:t xml:space="preserve"> –</w:t>
      </w:r>
      <w:r w:rsidRPr="005442E8">
        <w:rPr>
          <w:sz w:val="26"/>
          <w:szCs w:val="26"/>
        </w:rPr>
        <w:t xml:space="preserve"> Ceiling</w:t>
      </w:r>
      <w:r w:rsidR="00807058" w:rsidRPr="005442E8">
        <w:rPr>
          <w:sz w:val="26"/>
          <w:szCs w:val="26"/>
        </w:rPr>
        <w:t xml:space="preserve"> </w:t>
      </w:r>
      <w:r w:rsidRPr="005442E8">
        <w:rPr>
          <w:sz w:val="26"/>
          <w:szCs w:val="26"/>
        </w:rPr>
        <w:t>/</w:t>
      </w:r>
      <w:r w:rsidR="00005266" w:rsidRPr="005442E8">
        <w:rPr>
          <w:sz w:val="26"/>
          <w:szCs w:val="26"/>
        </w:rPr>
        <w:t xml:space="preserve"> </w:t>
      </w:r>
      <w:r w:rsidRPr="005442E8">
        <w:rPr>
          <w:sz w:val="26"/>
          <w:szCs w:val="26"/>
        </w:rPr>
        <w:t>Attic and Wall Insulation</w:t>
      </w:r>
      <w:r w:rsidR="000B3502" w:rsidRPr="005442E8">
        <w:rPr>
          <w:sz w:val="26"/>
          <w:szCs w:val="26"/>
        </w:rPr>
        <w:t>;</w:t>
      </w:r>
      <w:r w:rsidR="00D46461" w:rsidRPr="005442E8">
        <w:rPr>
          <w:sz w:val="26"/>
          <w:szCs w:val="26"/>
        </w:rPr>
        <w:t xml:space="preserve"> </w:t>
      </w:r>
    </w:p>
    <w:p w14:paraId="71E8B6D2" w14:textId="77777777" w:rsidR="000B3502" w:rsidRPr="005442E8" w:rsidRDefault="00D46461" w:rsidP="00453F14">
      <w:pPr>
        <w:pStyle w:val="ListParagraph"/>
        <w:numPr>
          <w:ilvl w:val="0"/>
          <w:numId w:val="8"/>
        </w:numPr>
        <w:rPr>
          <w:sz w:val="26"/>
          <w:szCs w:val="26"/>
        </w:rPr>
      </w:pPr>
      <w:r w:rsidRPr="005442E8">
        <w:rPr>
          <w:sz w:val="26"/>
          <w:szCs w:val="26"/>
        </w:rPr>
        <w:t xml:space="preserve">2.6.7 </w:t>
      </w:r>
      <w:r w:rsidR="000B3502" w:rsidRPr="005442E8">
        <w:rPr>
          <w:sz w:val="26"/>
          <w:szCs w:val="26"/>
        </w:rPr>
        <w:t xml:space="preserve">– </w:t>
      </w:r>
      <w:r w:rsidRPr="005442E8">
        <w:rPr>
          <w:sz w:val="26"/>
          <w:szCs w:val="26"/>
        </w:rPr>
        <w:t>Crawl Space Wall Insulation</w:t>
      </w:r>
      <w:r w:rsidR="000B3502" w:rsidRPr="005442E8">
        <w:rPr>
          <w:sz w:val="26"/>
          <w:szCs w:val="26"/>
        </w:rPr>
        <w:t xml:space="preserve">; </w:t>
      </w:r>
    </w:p>
    <w:p w14:paraId="26BD025A" w14:textId="7D901D39" w:rsidR="000B3502" w:rsidRPr="005442E8" w:rsidRDefault="000B3502" w:rsidP="00453F14">
      <w:pPr>
        <w:pStyle w:val="ListParagraph"/>
        <w:numPr>
          <w:ilvl w:val="0"/>
          <w:numId w:val="8"/>
        </w:numPr>
        <w:rPr>
          <w:sz w:val="26"/>
          <w:szCs w:val="26"/>
        </w:rPr>
      </w:pPr>
      <w:r w:rsidRPr="005442E8">
        <w:rPr>
          <w:sz w:val="26"/>
          <w:szCs w:val="26"/>
        </w:rPr>
        <w:t>3.2.1 – HVAC Systems;</w:t>
      </w:r>
    </w:p>
    <w:p w14:paraId="7065416F" w14:textId="567C702F" w:rsidR="000B3502" w:rsidRPr="005442E8" w:rsidRDefault="000B3502" w:rsidP="00453F14">
      <w:pPr>
        <w:pStyle w:val="ListParagraph"/>
        <w:numPr>
          <w:ilvl w:val="0"/>
          <w:numId w:val="8"/>
        </w:numPr>
        <w:rPr>
          <w:sz w:val="26"/>
          <w:szCs w:val="26"/>
        </w:rPr>
      </w:pPr>
      <w:r w:rsidRPr="005442E8">
        <w:rPr>
          <w:sz w:val="26"/>
          <w:szCs w:val="26"/>
        </w:rPr>
        <w:t xml:space="preserve">3.2.2 – Electric Chillers; </w:t>
      </w:r>
    </w:p>
    <w:p w14:paraId="7EE8AD7C" w14:textId="67175B9D" w:rsidR="001F2214" w:rsidRPr="005442E8" w:rsidRDefault="001F2214" w:rsidP="00453F14">
      <w:pPr>
        <w:pStyle w:val="ListParagraph"/>
        <w:numPr>
          <w:ilvl w:val="0"/>
          <w:numId w:val="8"/>
        </w:numPr>
        <w:rPr>
          <w:sz w:val="26"/>
          <w:szCs w:val="26"/>
        </w:rPr>
      </w:pPr>
      <w:r w:rsidRPr="005442E8">
        <w:rPr>
          <w:sz w:val="26"/>
          <w:szCs w:val="26"/>
        </w:rPr>
        <w:t>3.2.4 – Ductless Mini-</w:t>
      </w:r>
      <w:r w:rsidR="00807058" w:rsidRPr="005442E8">
        <w:rPr>
          <w:sz w:val="26"/>
          <w:szCs w:val="26"/>
        </w:rPr>
        <w:t>s</w:t>
      </w:r>
      <w:r w:rsidRPr="005442E8">
        <w:rPr>
          <w:sz w:val="26"/>
          <w:szCs w:val="26"/>
        </w:rPr>
        <w:t>plit Heat Pumps – Commercial &lt; 5.4 Tons;</w:t>
      </w:r>
    </w:p>
    <w:p w14:paraId="791E72BD" w14:textId="429702B4" w:rsidR="0057794D" w:rsidRPr="005442E8" w:rsidRDefault="0057794D" w:rsidP="00453F14">
      <w:pPr>
        <w:pStyle w:val="ListParagraph"/>
        <w:numPr>
          <w:ilvl w:val="0"/>
          <w:numId w:val="8"/>
        </w:numPr>
        <w:rPr>
          <w:sz w:val="26"/>
          <w:szCs w:val="26"/>
        </w:rPr>
      </w:pPr>
      <w:r w:rsidRPr="005442E8">
        <w:rPr>
          <w:sz w:val="26"/>
          <w:szCs w:val="26"/>
        </w:rPr>
        <w:t>3.2.5 – Fuel Switching: Small Commercial Electric Heat to Natural Gas / Propane / Oil Heat;</w:t>
      </w:r>
    </w:p>
    <w:p w14:paraId="1128E93E" w14:textId="6E5C4172" w:rsidR="000B3502" w:rsidRPr="005442E8" w:rsidRDefault="000B3502" w:rsidP="00453F14">
      <w:pPr>
        <w:pStyle w:val="ListParagraph"/>
        <w:numPr>
          <w:ilvl w:val="0"/>
          <w:numId w:val="8"/>
        </w:numPr>
        <w:rPr>
          <w:sz w:val="26"/>
          <w:szCs w:val="26"/>
        </w:rPr>
      </w:pPr>
      <w:r w:rsidRPr="005442E8">
        <w:rPr>
          <w:sz w:val="26"/>
          <w:szCs w:val="26"/>
        </w:rPr>
        <w:t>3.2.6 – Small C/I HVAC Refrigerant Charge Correction;</w:t>
      </w:r>
    </w:p>
    <w:p w14:paraId="64479D56" w14:textId="1D1EE5E4" w:rsidR="001F2214" w:rsidRPr="005442E8" w:rsidRDefault="001F2214" w:rsidP="00453F14">
      <w:pPr>
        <w:pStyle w:val="ListParagraph"/>
        <w:numPr>
          <w:ilvl w:val="0"/>
          <w:numId w:val="8"/>
        </w:numPr>
        <w:rPr>
          <w:sz w:val="26"/>
          <w:szCs w:val="26"/>
        </w:rPr>
      </w:pPr>
      <w:r w:rsidRPr="005442E8">
        <w:rPr>
          <w:sz w:val="26"/>
          <w:szCs w:val="26"/>
        </w:rPr>
        <w:t>3.2.7 – ENERGY STAR Room Air Conditioners;</w:t>
      </w:r>
    </w:p>
    <w:p w14:paraId="6E6DAAAE" w14:textId="736A3DC5" w:rsidR="000B3502" w:rsidRPr="005442E8" w:rsidRDefault="000B3502" w:rsidP="00453F14">
      <w:pPr>
        <w:pStyle w:val="ListParagraph"/>
        <w:numPr>
          <w:ilvl w:val="0"/>
          <w:numId w:val="8"/>
        </w:numPr>
        <w:rPr>
          <w:sz w:val="26"/>
          <w:szCs w:val="26"/>
        </w:rPr>
      </w:pPr>
      <w:r w:rsidRPr="005442E8">
        <w:rPr>
          <w:sz w:val="26"/>
          <w:szCs w:val="26"/>
        </w:rPr>
        <w:t>3.2.9 – Controls: Economizer;</w:t>
      </w:r>
    </w:p>
    <w:p w14:paraId="45A7A6CD" w14:textId="4254EFBF" w:rsidR="000B3502" w:rsidRPr="005442E8" w:rsidRDefault="000B3502" w:rsidP="00453F14">
      <w:pPr>
        <w:pStyle w:val="ListParagraph"/>
        <w:numPr>
          <w:ilvl w:val="0"/>
          <w:numId w:val="8"/>
        </w:numPr>
        <w:rPr>
          <w:sz w:val="26"/>
          <w:szCs w:val="26"/>
        </w:rPr>
      </w:pPr>
      <w:r w:rsidRPr="005442E8">
        <w:rPr>
          <w:sz w:val="26"/>
          <w:szCs w:val="26"/>
        </w:rPr>
        <w:t>3.3.1 – Premium Efficiency Motors;</w:t>
      </w:r>
    </w:p>
    <w:p w14:paraId="63027868" w14:textId="66E54AC1" w:rsidR="000B3502" w:rsidRPr="005442E8" w:rsidRDefault="000B3502" w:rsidP="00453F14">
      <w:pPr>
        <w:pStyle w:val="ListParagraph"/>
        <w:numPr>
          <w:ilvl w:val="0"/>
          <w:numId w:val="8"/>
        </w:numPr>
        <w:rPr>
          <w:sz w:val="26"/>
          <w:szCs w:val="26"/>
        </w:rPr>
      </w:pPr>
      <w:r w:rsidRPr="005442E8">
        <w:rPr>
          <w:sz w:val="26"/>
          <w:szCs w:val="26"/>
        </w:rPr>
        <w:t>3.3.3 – ECM Circulating Fan;</w:t>
      </w:r>
    </w:p>
    <w:p w14:paraId="67B08473" w14:textId="4A2869A5" w:rsidR="000B3502" w:rsidRPr="005442E8" w:rsidRDefault="000B3502" w:rsidP="00453F14">
      <w:pPr>
        <w:pStyle w:val="ListParagraph"/>
        <w:numPr>
          <w:ilvl w:val="0"/>
          <w:numId w:val="8"/>
        </w:numPr>
        <w:rPr>
          <w:sz w:val="26"/>
          <w:szCs w:val="26"/>
        </w:rPr>
      </w:pPr>
      <w:r w:rsidRPr="005442E8">
        <w:rPr>
          <w:sz w:val="26"/>
          <w:szCs w:val="26"/>
        </w:rPr>
        <w:t>3.5.5 – Controls: Floating Head Pressure Controls;</w:t>
      </w:r>
    </w:p>
    <w:p w14:paraId="6ADACA58" w14:textId="075A5CD3" w:rsidR="000B3502" w:rsidRPr="005442E8" w:rsidRDefault="000B3502" w:rsidP="00453F14">
      <w:pPr>
        <w:pStyle w:val="ListParagraph"/>
        <w:numPr>
          <w:ilvl w:val="0"/>
          <w:numId w:val="8"/>
        </w:numPr>
        <w:rPr>
          <w:sz w:val="26"/>
          <w:szCs w:val="26"/>
        </w:rPr>
      </w:pPr>
      <w:r w:rsidRPr="005442E8">
        <w:rPr>
          <w:sz w:val="26"/>
          <w:szCs w:val="26"/>
        </w:rPr>
        <w:t>3.8.1 – Wall and Ceiling Insulation;</w:t>
      </w:r>
    </w:p>
    <w:p w14:paraId="452BBEFC" w14:textId="762A0801" w:rsidR="000B3502" w:rsidRPr="005442E8" w:rsidRDefault="000B3502" w:rsidP="00453F14">
      <w:pPr>
        <w:pStyle w:val="ListParagraph"/>
        <w:numPr>
          <w:ilvl w:val="0"/>
          <w:numId w:val="8"/>
        </w:numPr>
        <w:rPr>
          <w:sz w:val="26"/>
          <w:szCs w:val="26"/>
        </w:rPr>
      </w:pPr>
      <w:r w:rsidRPr="005442E8">
        <w:rPr>
          <w:sz w:val="26"/>
          <w:szCs w:val="26"/>
        </w:rPr>
        <w:t>4.1.3 – High</w:t>
      </w:r>
      <w:r w:rsidR="00807058" w:rsidRPr="005442E8">
        <w:rPr>
          <w:sz w:val="26"/>
          <w:szCs w:val="26"/>
        </w:rPr>
        <w:t>-</w:t>
      </w:r>
      <w:r w:rsidR="00FE378E" w:rsidRPr="005442E8">
        <w:rPr>
          <w:sz w:val="26"/>
          <w:szCs w:val="26"/>
        </w:rPr>
        <w:t>e</w:t>
      </w:r>
      <w:r w:rsidRPr="005442E8">
        <w:rPr>
          <w:sz w:val="26"/>
          <w:szCs w:val="26"/>
        </w:rPr>
        <w:t>fficiency Ventilation Fans with and without Thermostats;</w:t>
      </w:r>
    </w:p>
    <w:p w14:paraId="42508233" w14:textId="212323CF" w:rsidR="000B3502" w:rsidRPr="005442E8" w:rsidRDefault="000B3502" w:rsidP="00453F14">
      <w:pPr>
        <w:pStyle w:val="ListParagraph"/>
        <w:numPr>
          <w:ilvl w:val="0"/>
          <w:numId w:val="8"/>
        </w:numPr>
        <w:rPr>
          <w:sz w:val="26"/>
          <w:szCs w:val="26"/>
        </w:rPr>
      </w:pPr>
      <w:r w:rsidRPr="005442E8">
        <w:rPr>
          <w:sz w:val="26"/>
          <w:szCs w:val="26"/>
        </w:rPr>
        <w:t>4.1.5 – High</w:t>
      </w:r>
      <w:r w:rsidR="002E476B" w:rsidRPr="005442E8">
        <w:rPr>
          <w:sz w:val="26"/>
          <w:szCs w:val="26"/>
        </w:rPr>
        <w:t>-v</w:t>
      </w:r>
      <w:r w:rsidRPr="005442E8">
        <w:rPr>
          <w:sz w:val="26"/>
          <w:szCs w:val="26"/>
        </w:rPr>
        <w:t>olume Low</w:t>
      </w:r>
      <w:r w:rsidR="002E476B" w:rsidRPr="005442E8">
        <w:rPr>
          <w:sz w:val="26"/>
          <w:szCs w:val="26"/>
        </w:rPr>
        <w:t>-s</w:t>
      </w:r>
      <w:r w:rsidRPr="005442E8">
        <w:rPr>
          <w:sz w:val="26"/>
          <w:szCs w:val="26"/>
        </w:rPr>
        <w:t xml:space="preserve">peed Fans; and </w:t>
      </w:r>
    </w:p>
    <w:p w14:paraId="47EDCF19" w14:textId="4EFDE7DE" w:rsidR="000B3502" w:rsidRPr="005442E8" w:rsidRDefault="000B3502" w:rsidP="00453F14">
      <w:pPr>
        <w:pStyle w:val="ListParagraph"/>
        <w:numPr>
          <w:ilvl w:val="0"/>
          <w:numId w:val="8"/>
        </w:numPr>
        <w:rPr>
          <w:sz w:val="26"/>
          <w:szCs w:val="26"/>
        </w:rPr>
      </w:pPr>
      <w:r w:rsidRPr="005442E8">
        <w:rPr>
          <w:sz w:val="26"/>
          <w:szCs w:val="26"/>
        </w:rPr>
        <w:t>4.1.6 – Livestock Waterer</w:t>
      </w:r>
      <w:r w:rsidR="00A0651F" w:rsidRPr="005442E8">
        <w:rPr>
          <w:sz w:val="26"/>
          <w:szCs w:val="26"/>
        </w:rPr>
        <w:t xml:space="preserve">.  </w:t>
      </w:r>
    </w:p>
    <w:p w14:paraId="249428CA" w14:textId="274B0134" w:rsidR="0089390D" w:rsidRPr="007D140F" w:rsidRDefault="0089390D" w:rsidP="00453F14">
      <w:pPr>
        <w:pStyle w:val="Heading4"/>
        <w:numPr>
          <w:ilvl w:val="2"/>
          <w:numId w:val="17"/>
        </w:numPr>
      </w:pPr>
      <w:r w:rsidRPr="00510489">
        <w:lastRenderedPageBreak/>
        <w:t>Comments</w:t>
      </w:r>
    </w:p>
    <w:p w14:paraId="6004152D" w14:textId="0CA338DB" w:rsidR="00535843" w:rsidRDefault="001251A3" w:rsidP="00AA2116">
      <w:r w:rsidRPr="007D140F">
        <w:rPr>
          <w:szCs w:val="26"/>
        </w:rPr>
        <w:t xml:space="preserve">PECO </w:t>
      </w:r>
      <w:r w:rsidR="0025401D" w:rsidRPr="00C32169">
        <w:rPr>
          <w:szCs w:val="26"/>
        </w:rPr>
        <w:t>request</w:t>
      </w:r>
      <w:r w:rsidR="00066EB7" w:rsidRPr="00C32169">
        <w:rPr>
          <w:szCs w:val="26"/>
        </w:rPr>
        <w:t>s</w:t>
      </w:r>
      <w:r w:rsidR="0025401D" w:rsidRPr="00C32169">
        <w:rPr>
          <w:szCs w:val="26"/>
        </w:rPr>
        <w:t xml:space="preserve"> clarity regarding </w:t>
      </w:r>
      <w:r w:rsidR="0023602B" w:rsidRPr="007D1EA5">
        <w:rPr>
          <w:szCs w:val="26"/>
        </w:rPr>
        <w:t xml:space="preserve">the </w:t>
      </w:r>
      <w:r w:rsidR="00720A0E" w:rsidRPr="007D1EA5">
        <w:rPr>
          <w:szCs w:val="26"/>
        </w:rPr>
        <w:t xml:space="preserve">use of </w:t>
      </w:r>
      <w:r w:rsidR="0025401D" w:rsidRPr="007D1EA5">
        <w:rPr>
          <w:szCs w:val="26"/>
        </w:rPr>
        <w:t>va</w:t>
      </w:r>
      <w:r w:rsidR="0025401D" w:rsidRPr="00AC2478">
        <w:rPr>
          <w:szCs w:val="26"/>
        </w:rPr>
        <w:t>lues presented in Table 1-6 of the</w:t>
      </w:r>
      <w:r w:rsidR="0025401D">
        <w:t xml:space="preserve"> </w:t>
      </w:r>
      <w:r w:rsidR="00571530">
        <w:t xml:space="preserve">proposed </w:t>
      </w:r>
      <w:r w:rsidR="0025401D">
        <w:t>TRM</w:t>
      </w:r>
      <w:r w:rsidR="00E316FD">
        <w:t xml:space="preserve">. </w:t>
      </w:r>
      <w:r w:rsidR="00571530">
        <w:t xml:space="preserve"> </w:t>
      </w:r>
      <w:r w:rsidR="00E316FD">
        <w:t xml:space="preserve">Table 1-6 </w:t>
      </w:r>
      <w:r w:rsidR="00D553FC">
        <w:t xml:space="preserve">shows the distribution of population, according to the 2010 Census, </w:t>
      </w:r>
      <w:r w:rsidR="0004012E">
        <w:t>within each EDC service territory associated to one of the nine weather regions.</w:t>
      </w:r>
      <w:r w:rsidR="009D5BAE">
        <w:t xml:space="preserve">  PECO also </w:t>
      </w:r>
      <w:r w:rsidR="00D67707">
        <w:t xml:space="preserve">recommends </w:t>
      </w:r>
      <w:r w:rsidR="002F5AA7">
        <w:t xml:space="preserve">simplifying the climate assumptions for its service territory to </w:t>
      </w:r>
      <w:r w:rsidR="00781F3B">
        <w:t xml:space="preserve">100% </w:t>
      </w:r>
      <w:r w:rsidR="00177DA9">
        <w:t>climate region D</w:t>
      </w:r>
      <w:r w:rsidR="00781F3B">
        <w:t xml:space="preserve"> </w:t>
      </w:r>
      <w:r w:rsidR="00177DA9">
        <w:t xml:space="preserve">(Philadelphia) </w:t>
      </w:r>
      <w:r w:rsidR="00781F3B">
        <w:t xml:space="preserve">instead of 99.8% </w:t>
      </w:r>
      <w:r w:rsidR="00177DA9">
        <w:t>climate region D</w:t>
      </w:r>
      <w:r w:rsidR="00781F3B">
        <w:t xml:space="preserve"> and 0.2% </w:t>
      </w:r>
      <w:r w:rsidR="002B096B">
        <w:t>climate region E (</w:t>
      </w:r>
      <w:r w:rsidR="00781F3B">
        <w:t>Harrisburg</w:t>
      </w:r>
      <w:r w:rsidR="002B096B">
        <w:t>)</w:t>
      </w:r>
      <w:r w:rsidR="00781F3B">
        <w:t xml:space="preserve">. </w:t>
      </w:r>
      <w:r w:rsidR="00FF18B9">
        <w:t xml:space="preserve"> PECO Comments at 7.</w:t>
      </w:r>
      <w:r w:rsidR="00F30A31">
        <w:t xml:space="preserve">  </w:t>
      </w:r>
      <w:r w:rsidR="00535843">
        <w:t xml:space="preserve">The Pennsylvania DEP </w:t>
      </w:r>
      <w:r w:rsidR="007F690B">
        <w:t xml:space="preserve">expresses </w:t>
      </w:r>
      <w:r w:rsidR="00E672FD">
        <w:t xml:space="preserve">support for the updated climate assumptions </w:t>
      </w:r>
      <w:r w:rsidR="00D65A44">
        <w:t xml:space="preserve">and </w:t>
      </w:r>
      <w:r w:rsidR="0023602B">
        <w:t xml:space="preserve">agrees </w:t>
      </w:r>
      <w:r w:rsidR="00721400">
        <w:t xml:space="preserve">that </w:t>
      </w:r>
      <w:r w:rsidR="00D65A44">
        <w:t xml:space="preserve">the nine proposed cities will better reflect the climate characteristics of Pennsylvania. </w:t>
      </w:r>
      <w:r w:rsidR="004A422C">
        <w:t xml:space="preserve"> DEP Comments at 1</w:t>
      </w:r>
      <w:r w:rsidR="00000D4A">
        <w:t>.</w:t>
      </w:r>
    </w:p>
    <w:p w14:paraId="6032DFB3" w14:textId="77777777" w:rsidR="00747D29" w:rsidRDefault="00747D29" w:rsidP="00AA2116"/>
    <w:p w14:paraId="540451F9" w14:textId="40B8EE63" w:rsidR="0089390D" w:rsidRDefault="0089390D" w:rsidP="00453F14">
      <w:pPr>
        <w:pStyle w:val="Heading4"/>
        <w:numPr>
          <w:ilvl w:val="2"/>
          <w:numId w:val="17"/>
        </w:numPr>
      </w:pPr>
      <w:r w:rsidRPr="0033283C">
        <w:t>Disposition</w:t>
      </w:r>
    </w:p>
    <w:p w14:paraId="69F9A962" w14:textId="0E06B4CF" w:rsidR="0096314A" w:rsidRDefault="00720A0E" w:rsidP="00AA2116">
      <w:r>
        <w:t xml:space="preserve">The Commission recognizes that the </w:t>
      </w:r>
      <w:r w:rsidR="0023602B">
        <w:t xml:space="preserve">proposed </w:t>
      </w:r>
      <w:r>
        <w:t>language introduc</w:t>
      </w:r>
      <w:r w:rsidR="00C026C1">
        <w:t>ed in</w:t>
      </w:r>
      <w:r>
        <w:t xml:space="preserve"> Table 1-6 was </w:t>
      </w:r>
      <w:r w:rsidR="00306D82">
        <w:t xml:space="preserve">confusing. </w:t>
      </w:r>
      <w:r w:rsidR="0023602B">
        <w:t xml:space="preserve"> </w:t>
      </w:r>
      <w:r w:rsidR="00306D82">
        <w:t xml:space="preserve">The intent of the </w:t>
      </w:r>
      <w:r w:rsidR="004658F8">
        <w:t xml:space="preserve">climate region weights table is to allow EDCs to calculate a single blended set of weather assumptions for its service territory </w:t>
      </w:r>
      <w:r w:rsidR="00021E85">
        <w:t xml:space="preserve">rather than associating individual participants with a </w:t>
      </w:r>
      <w:r w:rsidR="000429A5">
        <w:t>weather</w:t>
      </w:r>
      <w:r w:rsidR="00021E85">
        <w:t xml:space="preserve"> region and calculating savings using different weather assumptions</w:t>
      </w:r>
      <w:r w:rsidR="000429A5">
        <w:t xml:space="preserve">.  </w:t>
      </w:r>
      <w:r w:rsidR="00DB160F">
        <w:t xml:space="preserve">The underlying assumption </w:t>
      </w:r>
      <w:r w:rsidR="00AD11CD">
        <w:t>of this approach is that program participation will generally mimic population</w:t>
      </w:r>
      <w:r w:rsidR="00B85546">
        <w:t>,</w:t>
      </w:r>
      <w:r w:rsidR="00AD11CD">
        <w:t xml:space="preserve"> so the </w:t>
      </w:r>
      <w:r w:rsidR="002121F3">
        <w:t>population-</w:t>
      </w:r>
      <w:r w:rsidR="00AD11CD">
        <w:t xml:space="preserve">weighted average </w:t>
      </w:r>
      <w:r w:rsidR="002121F3">
        <w:t>weather characteristics should produce an unbiased estimate of weather</w:t>
      </w:r>
      <w:r w:rsidR="00B9738C">
        <w:noBreakHyphen/>
      </w:r>
      <w:r w:rsidR="002121F3">
        <w:t>dependent energy savings and reduce</w:t>
      </w:r>
      <w:r w:rsidR="00F10C9A">
        <w:t xml:space="preserve"> the administrative burden on EDCs, CSPs, and EM&amp;V contractors.  </w:t>
      </w:r>
    </w:p>
    <w:p w14:paraId="17D5C1FD" w14:textId="77777777" w:rsidR="00DE3DFA" w:rsidRDefault="00DE3DFA" w:rsidP="00AA2116"/>
    <w:p w14:paraId="2C900596" w14:textId="4C9E9799" w:rsidR="009E6730" w:rsidRPr="00145410" w:rsidRDefault="001F2011" w:rsidP="00AA2116">
      <w:r>
        <w:t>The Commission, in response to PECO’s request</w:t>
      </w:r>
      <w:r w:rsidR="00B85546" w:rsidRPr="00BB3424">
        <w:t xml:space="preserve">, </w:t>
      </w:r>
      <w:r>
        <w:t xml:space="preserve">has </w:t>
      </w:r>
      <w:r w:rsidR="00B85546" w:rsidRPr="00BB3424">
        <w:t xml:space="preserve">clarified </w:t>
      </w:r>
      <w:r>
        <w:t xml:space="preserve">in the TRM </w:t>
      </w:r>
      <w:r w:rsidR="00B85546" w:rsidRPr="00BB3424">
        <w:t xml:space="preserve">that </w:t>
      </w:r>
      <w:r w:rsidR="0023602B">
        <w:t xml:space="preserve">the </w:t>
      </w:r>
      <w:r w:rsidR="00B85546" w:rsidRPr="00BB3424">
        <w:t>use of the climate region weights in Table 1-6 is appropriate for deemed and partially deemed measure protocols</w:t>
      </w:r>
      <w:r w:rsidR="00AB5AC0" w:rsidRPr="00BB3424">
        <w:t>.</w:t>
      </w:r>
      <w:r w:rsidR="00AB5AC0">
        <w:t xml:space="preserve">  </w:t>
      </w:r>
      <w:r w:rsidR="00DE3DFA">
        <w:t xml:space="preserve">However, </w:t>
      </w:r>
      <w:r w:rsidR="0023602B">
        <w:t>c</w:t>
      </w:r>
      <w:r w:rsidR="00AB5AC0">
        <w:t xml:space="preserve">ustom projects are less </w:t>
      </w:r>
      <w:r w:rsidR="002D6371">
        <w:t xml:space="preserve">common and may not follow population averages, </w:t>
      </w:r>
      <w:r w:rsidR="00E7687F">
        <w:t xml:space="preserve">therefore, </w:t>
      </w:r>
      <w:r w:rsidR="00DE3DFA">
        <w:t xml:space="preserve">these projects should </w:t>
      </w:r>
      <w:r w:rsidR="00AB5AC0">
        <w:t xml:space="preserve">rely on </w:t>
      </w:r>
      <w:r w:rsidR="002D6371">
        <w:t xml:space="preserve">location-specific weather assumptions. </w:t>
      </w:r>
      <w:r w:rsidR="00F30A31">
        <w:t xml:space="preserve"> </w:t>
      </w:r>
      <w:r w:rsidR="00EC1CEB">
        <w:t>We reject</w:t>
      </w:r>
      <w:r w:rsidR="00781F3B">
        <w:t xml:space="preserve"> PECO’s </w:t>
      </w:r>
      <w:r w:rsidR="006E4377">
        <w:t>recommendation to map PECO service territory entirely to climate region</w:t>
      </w:r>
      <w:r w:rsidR="00177DA9">
        <w:t xml:space="preserve"> </w:t>
      </w:r>
      <w:r w:rsidR="002B096B">
        <w:t xml:space="preserve">D. </w:t>
      </w:r>
      <w:r w:rsidR="00B11012">
        <w:t xml:space="preserve"> Although the population PECO serves </w:t>
      </w:r>
      <w:r w:rsidR="00B11012" w:rsidRPr="00BB3424">
        <w:t>in York county</w:t>
      </w:r>
      <w:r w:rsidR="00B11012">
        <w:t xml:space="preserve"> is small</w:t>
      </w:r>
      <w:r w:rsidR="008434B0">
        <w:t xml:space="preserve">, we </w:t>
      </w:r>
      <w:r w:rsidR="00B9738C">
        <w:t xml:space="preserve">find </w:t>
      </w:r>
      <w:r w:rsidR="008434B0">
        <w:t xml:space="preserve">it important to reflect </w:t>
      </w:r>
      <w:r w:rsidR="00BF335F">
        <w:t>th</w:t>
      </w:r>
      <w:r w:rsidR="00504376">
        <w:t>e diversity in TRM climate assumptions</w:t>
      </w:r>
      <w:r w:rsidR="00B9738C">
        <w:t xml:space="preserve"> as it appropriately accounts for the weather diversity in PECO’s service territory</w:t>
      </w:r>
      <w:r w:rsidR="00504376">
        <w:t>.  Calculating</w:t>
      </w:r>
      <w:r w:rsidR="001C55BD">
        <w:t xml:space="preserve"> </w:t>
      </w:r>
      <w:r w:rsidR="001C55BD">
        <w:lastRenderedPageBreak/>
        <w:t xml:space="preserve">weighted average weather assumptions across two climate regions should </w:t>
      </w:r>
      <w:r w:rsidR="00145410">
        <w:t xml:space="preserve">be a straightforward exercise for PECO, its CSPs, </w:t>
      </w:r>
      <w:r w:rsidR="00145410" w:rsidRPr="00532EEB">
        <w:t xml:space="preserve">and </w:t>
      </w:r>
      <w:r w:rsidR="00434D7C">
        <w:t xml:space="preserve">its </w:t>
      </w:r>
      <w:r w:rsidR="00145410" w:rsidRPr="00532EEB">
        <w:t>EM&amp;V contractor.</w:t>
      </w:r>
      <w:r w:rsidR="00177DA9">
        <w:t xml:space="preserve"> </w:t>
      </w:r>
    </w:p>
    <w:p w14:paraId="7914EDB1" w14:textId="77777777" w:rsidR="00747D29" w:rsidRDefault="00747D29" w:rsidP="00AA2116"/>
    <w:p w14:paraId="600A6216" w14:textId="77777777" w:rsidR="0032741A" w:rsidRDefault="0032741A" w:rsidP="00453F14">
      <w:pPr>
        <w:pStyle w:val="Heading3"/>
        <w:numPr>
          <w:ilvl w:val="1"/>
          <w:numId w:val="17"/>
        </w:numPr>
      </w:pPr>
      <w:bookmarkStart w:id="42" w:name="_Toc15657885"/>
      <w:r>
        <w:t>Updated C&amp;I Building Types</w:t>
      </w:r>
      <w:bookmarkEnd w:id="42"/>
      <w:r>
        <w:t xml:space="preserve"> </w:t>
      </w:r>
    </w:p>
    <w:p w14:paraId="65572FD4" w14:textId="0FE5A156" w:rsidR="0032741A" w:rsidRDefault="0032741A" w:rsidP="00AA2116">
      <w:r>
        <w:t xml:space="preserve">The Commission </w:t>
      </w:r>
      <w:r w:rsidR="003279B8">
        <w:t xml:space="preserve">proposed </w:t>
      </w:r>
      <w:r>
        <w:t xml:space="preserve">adopting a common set of C&amp;I building types across </w:t>
      </w:r>
      <w:r w:rsidRPr="00B310A3">
        <w:t xml:space="preserve">all C&amp;I </w:t>
      </w:r>
      <w:r w:rsidRPr="003279B8">
        <w:t>measures for which one or</w:t>
      </w:r>
      <w:r w:rsidRPr="00B310A3">
        <w:t xml:space="preserve"> more of the inputs is a function of building type</w:t>
      </w:r>
      <w:r w:rsidR="00A0651F">
        <w:t xml:space="preserve">.  </w:t>
      </w:r>
      <w:r>
        <w:t xml:space="preserve">In the </w:t>
      </w:r>
      <w:r w:rsidR="00377164">
        <w:rPr>
          <w:szCs w:val="26"/>
        </w:rPr>
        <w:t xml:space="preserve">2016 </w:t>
      </w:r>
      <w:r>
        <w:t>TRM, the list of possible building types changes from measure to measure</w:t>
      </w:r>
      <w:r w:rsidR="00A0651F">
        <w:t xml:space="preserve">.  </w:t>
      </w:r>
      <w:r>
        <w:t xml:space="preserve">The </w:t>
      </w:r>
      <w:r w:rsidR="00B165BB">
        <w:t>adoption of</w:t>
      </w:r>
      <w:r>
        <w:t xml:space="preserve"> a common set of building types across measures </w:t>
      </w:r>
      <w:r w:rsidR="00B165BB">
        <w:t xml:space="preserve">should </w:t>
      </w:r>
      <w:r>
        <w:t>improve TRM usability.</w:t>
      </w:r>
      <w:r w:rsidR="00F30A31">
        <w:t xml:space="preserve">  </w:t>
      </w:r>
      <w:r>
        <w:t xml:space="preserve">The table below maps the proposed adjustments and consolidations to the building types listed in the </w:t>
      </w:r>
      <w:r w:rsidR="00A94B9D">
        <w:t>2016</w:t>
      </w:r>
      <w:r>
        <w:t xml:space="preserve"> TRM</w:t>
      </w:r>
      <w:r w:rsidR="00A0651F">
        <w:t xml:space="preserve">.  </w:t>
      </w:r>
      <w:r>
        <w:t xml:space="preserve">The proposed standardization is largely drawn from the building types used in </w:t>
      </w:r>
      <w:r w:rsidRPr="00EA7E9E">
        <w:t>3.1.1 Lighting Improvements</w:t>
      </w:r>
      <w:r w:rsidR="00A0651F">
        <w:t xml:space="preserve">.  </w:t>
      </w:r>
      <w:r>
        <w:t>Simple averaging will be used to make the proposed consolidations</w:t>
      </w:r>
      <w:r w:rsidR="00A0651F">
        <w:t xml:space="preserve">.  </w:t>
      </w:r>
      <w:r>
        <w:t xml:space="preserve">For example, the default CFs for the </w:t>
      </w:r>
      <w:r w:rsidR="00EA7E9E">
        <w:t>“</w:t>
      </w:r>
      <w:r w:rsidRPr="00EA7E9E">
        <w:t>Office – Large</w:t>
      </w:r>
      <w:r w:rsidR="00EA7E9E">
        <w:t>”</w:t>
      </w:r>
      <w:r w:rsidRPr="00EA7E9E">
        <w:t xml:space="preserve"> and </w:t>
      </w:r>
      <w:r w:rsidR="00EA7E9E">
        <w:t>“</w:t>
      </w:r>
      <w:r w:rsidRPr="00EA7E9E">
        <w:t>Office – Small</w:t>
      </w:r>
      <w:r w:rsidR="00EA7E9E">
        <w:t>”</w:t>
      </w:r>
      <w:r w:rsidRPr="00EA7E9E">
        <w:t xml:space="preserve"> building</w:t>
      </w:r>
      <w:r>
        <w:t xml:space="preserve"> types will be averaged to produce the default CF </w:t>
      </w:r>
      <w:r w:rsidR="007D1E19">
        <w:t>for the Office building type.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675"/>
        <w:gridCol w:w="4680"/>
      </w:tblGrid>
      <w:tr w:rsidR="0032741A" w14:paraId="16195AF2" w14:textId="77777777" w:rsidTr="005442E8">
        <w:trPr>
          <w:tblHeader/>
        </w:trPr>
        <w:tc>
          <w:tcPr>
            <w:tcW w:w="4675" w:type="dxa"/>
            <w:vAlign w:val="center"/>
          </w:tcPr>
          <w:p w14:paraId="5CD2C4F6" w14:textId="5E214549" w:rsidR="0032741A" w:rsidRPr="005442E8" w:rsidRDefault="0032741A" w:rsidP="00AA2116">
            <w:pPr>
              <w:ind w:firstLine="0"/>
              <w:rPr>
                <w:b/>
                <w:bCs/>
              </w:rPr>
            </w:pPr>
            <w:r w:rsidRPr="005442E8">
              <w:rPr>
                <w:b/>
                <w:bCs/>
              </w:rPr>
              <w:t>2016 TRM Building Types</w:t>
            </w:r>
          </w:p>
        </w:tc>
        <w:tc>
          <w:tcPr>
            <w:tcW w:w="4680" w:type="dxa"/>
            <w:vAlign w:val="center"/>
          </w:tcPr>
          <w:p w14:paraId="1CDAEF41" w14:textId="77777777" w:rsidR="0032741A" w:rsidRPr="005442E8" w:rsidRDefault="0032741A" w:rsidP="00AA2116">
            <w:pPr>
              <w:ind w:firstLine="0"/>
              <w:rPr>
                <w:b/>
                <w:bCs/>
              </w:rPr>
            </w:pPr>
            <w:r w:rsidRPr="005442E8">
              <w:rPr>
                <w:b/>
                <w:bCs/>
              </w:rPr>
              <w:t>Proposed Building Type</w:t>
            </w:r>
          </w:p>
        </w:tc>
      </w:tr>
      <w:tr w:rsidR="0032741A" w14:paraId="22BE15E5" w14:textId="77777777" w:rsidTr="005442E8">
        <w:tc>
          <w:tcPr>
            <w:tcW w:w="4675" w:type="dxa"/>
            <w:vAlign w:val="center"/>
          </w:tcPr>
          <w:p w14:paraId="65C2B095" w14:textId="77777777" w:rsidR="0032741A" w:rsidRPr="005F0392" w:rsidRDefault="0032741A" w:rsidP="00AA2116">
            <w:pPr>
              <w:ind w:firstLine="0"/>
            </w:pPr>
            <w:r w:rsidRPr="005F0392">
              <w:t>Assembly</w:t>
            </w:r>
          </w:p>
        </w:tc>
        <w:tc>
          <w:tcPr>
            <w:tcW w:w="4680" w:type="dxa"/>
            <w:vAlign w:val="center"/>
          </w:tcPr>
          <w:p w14:paraId="78FD2695" w14:textId="7EDB7EF8" w:rsidR="0032741A" w:rsidRPr="00076EF1" w:rsidRDefault="0032741A" w:rsidP="00AA2116">
            <w:pPr>
              <w:ind w:firstLine="0"/>
            </w:pPr>
            <w:r>
              <w:t>Institutional</w:t>
            </w:r>
            <w:r w:rsidR="00BA381E">
              <w:t xml:space="preserve"> </w:t>
            </w:r>
            <w:r>
              <w:t>/</w:t>
            </w:r>
            <w:r w:rsidR="00BA381E">
              <w:t xml:space="preserve"> </w:t>
            </w:r>
            <w:r>
              <w:t>Public Service</w:t>
            </w:r>
          </w:p>
        </w:tc>
      </w:tr>
      <w:tr w:rsidR="0032741A" w14:paraId="218FB77E" w14:textId="77777777" w:rsidTr="005442E8">
        <w:tc>
          <w:tcPr>
            <w:tcW w:w="4675" w:type="dxa"/>
            <w:vAlign w:val="center"/>
          </w:tcPr>
          <w:p w14:paraId="715ABE17" w14:textId="77777777" w:rsidR="0032741A" w:rsidRDefault="0032741A" w:rsidP="00AA2116">
            <w:pPr>
              <w:ind w:firstLine="0"/>
            </w:pPr>
            <w:r>
              <w:t>Education – Community College</w:t>
            </w:r>
          </w:p>
        </w:tc>
        <w:tc>
          <w:tcPr>
            <w:tcW w:w="4680" w:type="dxa"/>
            <w:vMerge w:val="restart"/>
            <w:vAlign w:val="center"/>
          </w:tcPr>
          <w:p w14:paraId="413B78A2" w14:textId="3F93A7AB" w:rsidR="0032741A" w:rsidRDefault="0032741A" w:rsidP="00AA2116">
            <w:pPr>
              <w:ind w:firstLine="0"/>
            </w:pPr>
            <w:r>
              <w:t>Education – College</w:t>
            </w:r>
            <w:r w:rsidR="00BA381E">
              <w:t xml:space="preserve"> </w:t>
            </w:r>
            <w:r>
              <w:t>/</w:t>
            </w:r>
            <w:r w:rsidR="00BA381E">
              <w:t xml:space="preserve"> </w:t>
            </w:r>
            <w:r>
              <w:t xml:space="preserve">University </w:t>
            </w:r>
          </w:p>
        </w:tc>
      </w:tr>
      <w:tr w:rsidR="0032741A" w14:paraId="17641BD1" w14:textId="77777777" w:rsidTr="005442E8">
        <w:tc>
          <w:tcPr>
            <w:tcW w:w="4675" w:type="dxa"/>
            <w:vAlign w:val="center"/>
          </w:tcPr>
          <w:p w14:paraId="217F320B" w14:textId="77777777" w:rsidR="0032741A" w:rsidRDefault="0032741A" w:rsidP="00AA2116">
            <w:pPr>
              <w:ind w:firstLine="0"/>
            </w:pPr>
            <w:r>
              <w:t>Education – University</w:t>
            </w:r>
          </w:p>
        </w:tc>
        <w:tc>
          <w:tcPr>
            <w:tcW w:w="4680" w:type="dxa"/>
            <w:vMerge/>
            <w:vAlign w:val="center"/>
          </w:tcPr>
          <w:p w14:paraId="27AF9E99" w14:textId="77777777" w:rsidR="0032741A" w:rsidRDefault="0032741A" w:rsidP="00AA2116"/>
        </w:tc>
      </w:tr>
      <w:tr w:rsidR="0032741A" w14:paraId="0794DF37" w14:textId="77777777" w:rsidTr="005442E8">
        <w:tc>
          <w:tcPr>
            <w:tcW w:w="4675" w:type="dxa"/>
            <w:vAlign w:val="center"/>
          </w:tcPr>
          <w:p w14:paraId="768BD84B" w14:textId="77777777" w:rsidR="0032741A" w:rsidRDefault="0032741A" w:rsidP="00AA2116">
            <w:pPr>
              <w:ind w:firstLine="0"/>
            </w:pPr>
            <w:r>
              <w:t>Education – Primary School</w:t>
            </w:r>
          </w:p>
        </w:tc>
        <w:tc>
          <w:tcPr>
            <w:tcW w:w="4680" w:type="dxa"/>
            <w:vMerge w:val="restart"/>
            <w:vAlign w:val="center"/>
          </w:tcPr>
          <w:p w14:paraId="6DF5BE5D" w14:textId="77777777" w:rsidR="0032741A" w:rsidRDefault="0032741A" w:rsidP="00AA2116">
            <w:pPr>
              <w:ind w:firstLine="0"/>
            </w:pPr>
            <w:r>
              <w:t xml:space="preserve">Education – Other </w:t>
            </w:r>
          </w:p>
        </w:tc>
      </w:tr>
      <w:tr w:rsidR="0032741A" w14:paraId="7B71DDF0" w14:textId="77777777" w:rsidTr="005442E8">
        <w:tc>
          <w:tcPr>
            <w:tcW w:w="4675" w:type="dxa"/>
            <w:vAlign w:val="center"/>
          </w:tcPr>
          <w:p w14:paraId="7543E3F8" w14:textId="77777777" w:rsidR="0032741A" w:rsidRDefault="0032741A" w:rsidP="00AA2116">
            <w:pPr>
              <w:ind w:firstLine="0"/>
            </w:pPr>
            <w:r>
              <w:t>Education – Relocatable Classroom</w:t>
            </w:r>
          </w:p>
        </w:tc>
        <w:tc>
          <w:tcPr>
            <w:tcW w:w="4680" w:type="dxa"/>
            <w:vMerge/>
            <w:vAlign w:val="center"/>
          </w:tcPr>
          <w:p w14:paraId="488D9AA1" w14:textId="77777777" w:rsidR="0032741A" w:rsidRDefault="0032741A" w:rsidP="00AA2116"/>
        </w:tc>
      </w:tr>
      <w:tr w:rsidR="0032741A" w14:paraId="000E120E" w14:textId="77777777" w:rsidTr="005442E8">
        <w:tc>
          <w:tcPr>
            <w:tcW w:w="4675" w:type="dxa"/>
            <w:vAlign w:val="center"/>
          </w:tcPr>
          <w:p w14:paraId="5A5C3D04" w14:textId="77777777" w:rsidR="0032741A" w:rsidRDefault="0032741A" w:rsidP="00AA2116">
            <w:pPr>
              <w:ind w:firstLine="0"/>
            </w:pPr>
            <w:r>
              <w:t>Education – Secondary School</w:t>
            </w:r>
          </w:p>
        </w:tc>
        <w:tc>
          <w:tcPr>
            <w:tcW w:w="4680" w:type="dxa"/>
            <w:vMerge/>
            <w:vAlign w:val="center"/>
          </w:tcPr>
          <w:p w14:paraId="1F9DB3F9" w14:textId="77777777" w:rsidR="0032741A" w:rsidRDefault="0032741A" w:rsidP="00AA2116"/>
        </w:tc>
      </w:tr>
      <w:tr w:rsidR="0032741A" w14:paraId="3F4CFB2B" w14:textId="77777777" w:rsidTr="005442E8">
        <w:tc>
          <w:tcPr>
            <w:tcW w:w="4675" w:type="dxa"/>
            <w:vAlign w:val="center"/>
          </w:tcPr>
          <w:p w14:paraId="36D75836" w14:textId="77777777" w:rsidR="0032741A" w:rsidRDefault="0032741A" w:rsidP="00AA2116">
            <w:pPr>
              <w:ind w:firstLine="0"/>
            </w:pPr>
            <w:r>
              <w:t>Grocery</w:t>
            </w:r>
          </w:p>
        </w:tc>
        <w:tc>
          <w:tcPr>
            <w:tcW w:w="4680" w:type="dxa"/>
            <w:vAlign w:val="center"/>
          </w:tcPr>
          <w:p w14:paraId="7E5FE123" w14:textId="77777777" w:rsidR="0032741A" w:rsidRDefault="0032741A" w:rsidP="00AA2116">
            <w:pPr>
              <w:ind w:firstLine="0"/>
            </w:pPr>
            <w:r>
              <w:t>Grocery</w:t>
            </w:r>
          </w:p>
        </w:tc>
      </w:tr>
      <w:tr w:rsidR="0032741A" w14:paraId="2B7A070E" w14:textId="77777777" w:rsidTr="005442E8">
        <w:tc>
          <w:tcPr>
            <w:tcW w:w="4675" w:type="dxa"/>
            <w:vAlign w:val="center"/>
          </w:tcPr>
          <w:p w14:paraId="074C796A" w14:textId="47C27494" w:rsidR="0032741A" w:rsidRDefault="0032741A" w:rsidP="00AA2116">
            <w:pPr>
              <w:ind w:firstLine="0"/>
            </w:pPr>
            <w:r>
              <w:t>Health</w:t>
            </w:r>
            <w:r w:rsidR="00BA381E">
              <w:t xml:space="preserve"> </w:t>
            </w:r>
            <w:r>
              <w:t>/</w:t>
            </w:r>
            <w:r w:rsidR="00BA381E">
              <w:t xml:space="preserve"> </w:t>
            </w:r>
            <w:r>
              <w:t>Medical – Hospital</w:t>
            </w:r>
          </w:p>
        </w:tc>
        <w:tc>
          <w:tcPr>
            <w:tcW w:w="4680" w:type="dxa"/>
            <w:vAlign w:val="center"/>
          </w:tcPr>
          <w:p w14:paraId="1BDA945A" w14:textId="77777777" w:rsidR="0032741A" w:rsidRDefault="0032741A" w:rsidP="00AA2116">
            <w:pPr>
              <w:ind w:firstLine="0"/>
            </w:pPr>
            <w:r>
              <w:t>Health – Hospital</w:t>
            </w:r>
          </w:p>
        </w:tc>
      </w:tr>
      <w:tr w:rsidR="0032741A" w14:paraId="05B4538F" w14:textId="77777777" w:rsidTr="005442E8">
        <w:tc>
          <w:tcPr>
            <w:tcW w:w="4675" w:type="dxa"/>
            <w:vAlign w:val="center"/>
          </w:tcPr>
          <w:p w14:paraId="036D6D12" w14:textId="4B9DD1B1" w:rsidR="0032741A" w:rsidRDefault="0032741A" w:rsidP="00AA2116">
            <w:pPr>
              <w:ind w:firstLine="0"/>
            </w:pPr>
            <w:r>
              <w:t>Health</w:t>
            </w:r>
            <w:r w:rsidR="00BA381E">
              <w:t xml:space="preserve"> </w:t>
            </w:r>
            <w:r>
              <w:t>/</w:t>
            </w:r>
            <w:r w:rsidR="00BA381E">
              <w:t xml:space="preserve"> </w:t>
            </w:r>
            <w:r>
              <w:t>Medical – Nursing Home</w:t>
            </w:r>
          </w:p>
        </w:tc>
        <w:tc>
          <w:tcPr>
            <w:tcW w:w="4680" w:type="dxa"/>
            <w:vAlign w:val="center"/>
          </w:tcPr>
          <w:p w14:paraId="17FDFBDF" w14:textId="77777777" w:rsidR="0032741A" w:rsidRDefault="0032741A" w:rsidP="00AA2116">
            <w:pPr>
              <w:ind w:firstLine="0"/>
            </w:pPr>
            <w:r>
              <w:t>Health – Other</w:t>
            </w:r>
          </w:p>
        </w:tc>
      </w:tr>
      <w:tr w:rsidR="0032741A" w14:paraId="1468C79E" w14:textId="77777777" w:rsidTr="005442E8">
        <w:tc>
          <w:tcPr>
            <w:tcW w:w="4675" w:type="dxa"/>
            <w:vAlign w:val="center"/>
          </w:tcPr>
          <w:p w14:paraId="71F65B9B" w14:textId="77777777" w:rsidR="0032741A" w:rsidRDefault="0032741A" w:rsidP="00AA2116">
            <w:pPr>
              <w:ind w:firstLine="0"/>
            </w:pPr>
            <w:r>
              <w:t>Lodging – Hotel</w:t>
            </w:r>
          </w:p>
        </w:tc>
        <w:tc>
          <w:tcPr>
            <w:tcW w:w="4680" w:type="dxa"/>
            <w:vAlign w:val="center"/>
          </w:tcPr>
          <w:p w14:paraId="13252E2A" w14:textId="77777777" w:rsidR="0032741A" w:rsidRDefault="0032741A" w:rsidP="00AA2116">
            <w:pPr>
              <w:ind w:firstLine="0"/>
            </w:pPr>
            <w:r>
              <w:t>Lodging</w:t>
            </w:r>
          </w:p>
        </w:tc>
      </w:tr>
      <w:tr w:rsidR="0032741A" w14:paraId="0F7E965F" w14:textId="77777777" w:rsidTr="005442E8">
        <w:tc>
          <w:tcPr>
            <w:tcW w:w="4675" w:type="dxa"/>
            <w:vAlign w:val="center"/>
          </w:tcPr>
          <w:p w14:paraId="12BEC162" w14:textId="77777777" w:rsidR="0032741A" w:rsidRDefault="0032741A" w:rsidP="00AA2116">
            <w:pPr>
              <w:ind w:firstLine="0"/>
            </w:pPr>
            <w:r>
              <w:t>Manufacturing – Bio Tech / High Tech</w:t>
            </w:r>
          </w:p>
        </w:tc>
        <w:tc>
          <w:tcPr>
            <w:tcW w:w="4680" w:type="dxa"/>
            <w:vMerge w:val="restart"/>
            <w:vAlign w:val="center"/>
          </w:tcPr>
          <w:p w14:paraId="3B0D7CEE" w14:textId="77777777" w:rsidR="0032741A" w:rsidRDefault="0032741A" w:rsidP="00AA2116">
            <w:pPr>
              <w:ind w:firstLine="0"/>
            </w:pPr>
            <w:r>
              <w:t>Industrial Manufacturing</w:t>
            </w:r>
          </w:p>
        </w:tc>
      </w:tr>
      <w:tr w:rsidR="0032741A" w14:paraId="1AFE9588" w14:textId="77777777" w:rsidTr="005442E8">
        <w:tc>
          <w:tcPr>
            <w:tcW w:w="4675" w:type="dxa"/>
            <w:vAlign w:val="center"/>
          </w:tcPr>
          <w:p w14:paraId="065B812C" w14:textId="77777777" w:rsidR="0032741A" w:rsidRDefault="0032741A" w:rsidP="00AA2116">
            <w:pPr>
              <w:ind w:firstLine="0"/>
            </w:pPr>
            <w:r>
              <w:t>Manufacturing – 1 Shift / Light Industrial</w:t>
            </w:r>
          </w:p>
        </w:tc>
        <w:tc>
          <w:tcPr>
            <w:tcW w:w="4680" w:type="dxa"/>
            <w:vMerge/>
            <w:vAlign w:val="center"/>
          </w:tcPr>
          <w:p w14:paraId="7F773379" w14:textId="77777777" w:rsidR="0032741A" w:rsidRDefault="0032741A" w:rsidP="00AA2116"/>
        </w:tc>
      </w:tr>
      <w:tr w:rsidR="0032741A" w14:paraId="3845E62B" w14:textId="77777777" w:rsidTr="005442E8">
        <w:tc>
          <w:tcPr>
            <w:tcW w:w="4675" w:type="dxa"/>
            <w:vAlign w:val="center"/>
          </w:tcPr>
          <w:p w14:paraId="33BB3D87" w14:textId="5C217BF6" w:rsidR="0032741A" w:rsidRDefault="0032741A" w:rsidP="00AA2116">
            <w:pPr>
              <w:ind w:firstLine="0"/>
            </w:pPr>
            <w:r>
              <w:lastRenderedPageBreak/>
              <w:t>Multi</w:t>
            </w:r>
            <w:r w:rsidR="006C50A8">
              <w:t>f</w:t>
            </w:r>
            <w:r>
              <w:t>amily (Common Areas)</w:t>
            </w:r>
          </w:p>
        </w:tc>
        <w:tc>
          <w:tcPr>
            <w:tcW w:w="4680" w:type="dxa"/>
            <w:vAlign w:val="center"/>
          </w:tcPr>
          <w:p w14:paraId="31342395" w14:textId="0B9D7C50" w:rsidR="0032741A" w:rsidRDefault="0032741A" w:rsidP="00AA2116">
            <w:pPr>
              <w:ind w:firstLine="0"/>
            </w:pPr>
            <w:r>
              <w:t>Multi</w:t>
            </w:r>
            <w:r w:rsidR="006C50A8">
              <w:t>f</w:t>
            </w:r>
            <w:r>
              <w:t>amily (Common Areas)</w:t>
            </w:r>
          </w:p>
        </w:tc>
      </w:tr>
      <w:tr w:rsidR="0032741A" w14:paraId="179977C4" w14:textId="77777777" w:rsidTr="005442E8">
        <w:tc>
          <w:tcPr>
            <w:tcW w:w="4675" w:type="dxa"/>
            <w:vAlign w:val="center"/>
          </w:tcPr>
          <w:p w14:paraId="6C9BCDB2" w14:textId="77777777" w:rsidR="0032741A" w:rsidRDefault="0032741A" w:rsidP="00AA2116">
            <w:pPr>
              <w:ind w:firstLine="0"/>
            </w:pPr>
            <w:r>
              <w:t>Office – Large</w:t>
            </w:r>
          </w:p>
        </w:tc>
        <w:tc>
          <w:tcPr>
            <w:tcW w:w="4680" w:type="dxa"/>
            <w:vMerge w:val="restart"/>
            <w:vAlign w:val="center"/>
          </w:tcPr>
          <w:p w14:paraId="302F09D8" w14:textId="77777777" w:rsidR="0032741A" w:rsidRDefault="0032741A" w:rsidP="00AA2116">
            <w:pPr>
              <w:ind w:firstLine="0"/>
            </w:pPr>
            <w:r>
              <w:t>Office</w:t>
            </w:r>
          </w:p>
        </w:tc>
      </w:tr>
      <w:tr w:rsidR="0032741A" w14:paraId="3E203737" w14:textId="77777777" w:rsidTr="005442E8">
        <w:tc>
          <w:tcPr>
            <w:tcW w:w="4675" w:type="dxa"/>
            <w:vAlign w:val="center"/>
          </w:tcPr>
          <w:p w14:paraId="75945AF0" w14:textId="77777777" w:rsidR="0032741A" w:rsidRDefault="0032741A" w:rsidP="00AA2116">
            <w:pPr>
              <w:ind w:firstLine="0"/>
            </w:pPr>
            <w:r>
              <w:t>Office – Small</w:t>
            </w:r>
          </w:p>
        </w:tc>
        <w:tc>
          <w:tcPr>
            <w:tcW w:w="4680" w:type="dxa"/>
            <w:vMerge/>
            <w:vAlign w:val="center"/>
          </w:tcPr>
          <w:p w14:paraId="5771A6FE" w14:textId="77777777" w:rsidR="0032741A" w:rsidRDefault="0032741A" w:rsidP="00AA2116"/>
        </w:tc>
      </w:tr>
      <w:tr w:rsidR="0032741A" w14:paraId="2CF839CF" w14:textId="77777777" w:rsidTr="005442E8">
        <w:tc>
          <w:tcPr>
            <w:tcW w:w="4675" w:type="dxa"/>
            <w:vAlign w:val="center"/>
          </w:tcPr>
          <w:p w14:paraId="74F303C2" w14:textId="77777777" w:rsidR="0032741A" w:rsidRDefault="0032741A" w:rsidP="00AA2116">
            <w:pPr>
              <w:ind w:firstLine="0"/>
            </w:pPr>
            <w:r>
              <w:t>Restaurant – Fast-Food</w:t>
            </w:r>
          </w:p>
        </w:tc>
        <w:tc>
          <w:tcPr>
            <w:tcW w:w="4680" w:type="dxa"/>
            <w:vMerge w:val="restart"/>
            <w:vAlign w:val="center"/>
          </w:tcPr>
          <w:p w14:paraId="29E40DF5" w14:textId="77777777" w:rsidR="0032741A" w:rsidRDefault="0032741A" w:rsidP="00AA2116">
            <w:pPr>
              <w:ind w:firstLine="0"/>
            </w:pPr>
            <w:r>
              <w:t>Restaurant</w:t>
            </w:r>
          </w:p>
        </w:tc>
      </w:tr>
      <w:tr w:rsidR="0032741A" w14:paraId="6BF4616D" w14:textId="77777777" w:rsidTr="005442E8">
        <w:tc>
          <w:tcPr>
            <w:tcW w:w="4675" w:type="dxa"/>
            <w:vAlign w:val="center"/>
          </w:tcPr>
          <w:p w14:paraId="49CE90D1" w14:textId="77777777" w:rsidR="0032741A" w:rsidRDefault="0032741A" w:rsidP="00AA2116">
            <w:pPr>
              <w:ind w:firstLine="0"/>
            </w:pPr>
            <w:r>
              <w:t>Restaurant – Sit-Down</w:t>
            </w:r>
          </w:p>
        </w:tc>
        <w:tc>
          <w:tcPr>
            <w:tcW w:w="4680" w:type="dxa"/>
            <w:vMerge/>
            <w:vAlign w:val="center"/>
          </w:tcPr>
          <w:p w14:paraId="14967ADE" w14:textId="77777777" w:rsidR="0032741A" w:rsidRDefault="0032741A" w:rsidP="00AA2116"/>
        </w:tc>
      </w:tr>
      <w:tr w:rsidR="0032741A" w14:paraId="65F3FD27" w14:textId="77777777" w:rsidTr="005442E8">
        <w:tc>
          <w:tcPr>
            <w:tcW w:w="4675" w:type="dxa"/>
            <w:vAlign w:val="center"/>
          </w:tcPr>
          <w:p w14:paraId="194A7714" w14:textId="64239823" w:rsidR="0032741A" w:rsidRDefault="0032741A" w:rsidP="00AA2116">
            <w:pPr>
              <w:ind w:firstLine="0"/>
            </w:pPr>
            <w:r>
              <w:t>Retail – Multi</w:t>
            </w:r>
            <w:r w:rsidR="006C50A8">
              <w:t>-</w:t>
            </w:r>
            <w:r>
              <w:t>story Large</w:t>
            </w:r>
          </w:p>
        </w:tc>
        <w:tc>
          <w:tcPr>
            <w:tcW w:w="4680" w:type="dxa"/>
            <w:vMerge w:val="restart"/>
            <w:vAlign w:val="center"/>
          </w:tcPr>
          <w:p w14:paraId="58C70412" w14:textId="77777777" w:rsidR="0032741A" w:rsidRDefault="0032741A" w:rsidP="00AA2116">
            <w:pPr>
              <w:ind w:firstLine="0"/>
            </w:pPr>
            <w:r>
              <w:t>Retail</w:t>
            </w:r>
          </w:p>
        </w:tc>
      </w:tr>
      <w:tr w:rsidR="0032741A" w14:paraId="425E8CC7" w14:textId="77777777" w:rsidTr="005442E8">
        <w:tc>
          <w:tcPr>
            <w:tcW w:w="4675" w:type="dxa"/>
            <w:vAlign w:val="center"/>
          </w:tcPr>
          <w:p w14:paraId="5C43C078" w14:textId="33B6CAC7" w:rsidR="0032741A" w:rsidRDefault="0032741A" w:rsidP="00AA2116">
            <w:pPr>
              <w:ind w:firstLine="0"/>
            </w:pPr>
            <w:r>
              <w:t>Retail – Single-</w:t>
            </w:r>
            <w:r w:rsidR="006C50A8">
              <w:t>s</w:t>
            </w:r>
            <w:r>
              <w:t>tory Large</w:t>
            </w:r>
          </w:p>
        </w:tc>
        <w:tc>
          <w:tcPr>
            <w:tcW w:w="4680" w:type="dxa"/>
            <w:vMerge/>
            <w:vAlign w:val="center"/>
          </w:tcPr>
          <w:p w14:paraId="2E3BACBD" w14:textId="77777777" w:rsidR="0032741A" w:rsidRDefault="0032741A" w:rsidP="00AA2116"/>
        </w:tc>
      </w:tr>
      <w:tr w:rsidR="0032741A" w14:paraId="32DE9B14" w14:textId="77777777" w:rsidTr="005442E8">
        <w:tc>
          <w:tcPr>
            <w:tcW w:w="4675" w:type="dxa"/>
            <w:vAlign w:val="center"/>
          </w:tcPr>
          <w:p w14:paraId="404B7806" w14:textId="77777777" w:rsidR="0032741A" w:rsidRDefault="0032741A" w:rsidP="00AA2116">
            <w:pPr>
              <w:ind w:firstLine="0"/>
            </w:pPr>
            <w:r>
              <w:t>Retail – Small</w:t>
            </w:r>
          </w:p>
        </w:tc>
        <w:tc>
          <w:tcPr>
            <w:tcW w:w="4680" w:type="dxa"/>
            <w:vMerge/>
            <w:vAlign w:val="center"/>
          </w:tcPr>
          <w:p w14:paraId="2A484DD5" w14:textId="77777777" w:rsidR="0032741A" w:rsidRDefault="0032741A" w:rsidP="00AA2116"/>
        </w:tc>
      </w:tr>
      <w:tr w:rsidR="0032741A" w14:paraId="367BC399" w14:textId="77777777" w:rsidTr="005442E8">
        <w:tc>
          <w:tcPr>
            <w:tcW w:w="4675" w:type="dxa"/>
            <w:vAlign w:val="center"/>
          </w:tcPr>
          <w:p w14:paraId="20F018AC" w14:textId="77777777" w:rsidR="0032741A" w:rsidRDefault="0032741A" w:rsidP="00AA2116">
            <w:pPr>
              <w:ind w:firstLine="0"/>
            </w:pPr>
            <w:r>
              <w:t>Storage – Conditioned</w:t>
            </w:r>
          </w:p>
        </w:tc>
        <w:tc>
          <w:tcPr>
            <w:tcW w:w="4680" w:type="dxa"/>
            <w:vAlign w:val="center"/>
          </w:tcPr>
          <w:p w14:paraId="35EF401F" w14:textId="77777777" w:rsidR="0032741A" w:rsidRDefault="0032741A" w:rsidP="00AA2116">
            <w:pPr>
              <w:ind w:firstLine="0"/>
            </w:pPr>
            <w:r>
              <w:t>Warehouse – Other</w:t>
            </w:r>
          </w:p>
        </w:tc>
      </w:tr>
      <w:tr w:rsidR="0032741A" w14:paraId="14351347" w14:textId="77777777" w:rsidTr="005442E8">
        <w:tc>
          <w:tcPr>
            <w:tcW w:w="4675" w:type="dxa"/>
            <w:vAlign w:val="center"/>
          </w:tcPr>
          <w:p w14:paraId="450B925C" w14:textId="77777777" w:rsidR="0032741A" w:rsidRDefault="0032741A" w:rsidP="00AA2116">
            <w:pPr>
              <w:ind w:firstLine="0"/>
            </w:pPr>
            <w:r>
              <w:t>Warehouse – Refrigerated</w:t>
            </w:r>
          </w:p>
        </w:tc>
        <w:tc>
          <w:tcPr>
            <w:tcW w:w="4680" w:type="dxa"/>
            <w:vAlign w:val="center"/>
          </w:tcPr>
          <w:p w14:paraId="67FA9BBA" w14:textId="77777777" w:rsidR="0032741A" w:rsidRDefault="0032741A" w:rsidP="00AA2116">
            <w:pPr>
              <w:ind w:firstLine="0"/>
            </w:pPr>
            <w:r>
              <w:t>Warehouse – Refrigerated</w:t>
            </w:r>
          </w:p>
        </w:tc>
      </w:tr>
    </w:tbl>
    <w:p w14:paraId="53314310" w14:textId="0A294B10" w:rsidR="0032741A" w:rsidRDefault="0032741A" w:rsidP="00AA2116"/>
    <w:p w14:paraId="6D316A1E" w14:textId="0FBDFF7E" w:rsidR="000B3502" w:rsidRDefault="000B3502" w:rsidP="00AA2116">
      <w:r>
        <w:t>The measures affected by this change include</w:t>
      </w:r>
      <w:r w:rsidR="006C50A8">
        <w:t xml:space="preserve"> the following</w:t>
      </w:r>
      <w:r>
        <w:t>:</w:t>
      </w:r>
    </w:p>
    <w:p w14:paraId="7B5D9CF8" w14:textId="6B3934D4" w:rsidR="00E07924" w:rsidRPr="005442E8" w:rsidRDefault="00E07924" w:rsidP="00453F14">
      <w:pPr>
        <w:pStyle w:val="ListParagraph"/>
        <w:numPr>
          <w:ilvl w:val="0"/>
          <w:numId w:val="8"/>
        </w:numPr>
        <w:rPr>
          <w:sz w:val="26"/>
          <w:szCs w:val="26"/>
        </w:rPr>
      </w:pPr>
      <w:r w:rsidRPr="005442E8">
        <w:rPr>
          <w:sz w:val="26"/>
          <w:szCs w:val="26"/>
        </w:rPr>
        <w:t>3.2.1 – HVAC Systems;</w:t>
      </w:r>
    </w:p>
    <w:p w14:paraId="0CACA314" w14:textId="76C2937E" w:rsidR="00E07924" w:rsidRPr="005442E8" w:rsidRDefault="00E07924" w:rsidP="00453F14">
      <w:pPr>
        <w:pStyle w:val="ListParagraph"/>
        <w:numPr>
          <w:ilvl w:val="0"/>
          <w:numId w:val="8"/>
        </w:numPr>
        <w:rPr>
          <w:sz w:val="26"/>
          <w:szCs w:val="26"/>
        </w:rPr>
      </w:pPr>
      <w:r w:rsidRPr="005442E8">
        <w:rPr>
          <w:sz w:val="26"/>
          <w:szCs w:val="26"/>
        </w:rPr>
        <w:t>3.2.2 – Electric Chillers;</w:t>
      </w:r>
    </w:p>
    <w:p w14:paraId="21A130A0" w14:textId="068DF33D" w:rsidR="001F2214" w:rsidRPr="005442E8" w:rsidRDefault="001F2214" w:rsidP="00453F14">
      <w:pPr>
        <w:pStyle w:val="ListParagraph"/>
        <w:numPr>
          <w:ilvl w:val="0"/>
          <w:numId w:val="8"/>
        </w:numPr>
        <w:rPr>
          <w:sz w:val="26"/>
          <w:szCs w:val="26"/>
        </w:rPr>
      </w:pPr>
      <w:r w:rsidRPr="005442E8">
        <w:rPr>
          <w:sz w:val="26"/>
          <w:szCs w:val="26"/>
        </w:rPr>
        <w:t>3.2.4 – Ductless Mini-</w:t>
      </w:r>
      <w:r w:rsidR="006C50A8" w:rsidRPr="005442E8">
        <w:rPr>
          <w:sz w:val="26"/>
          <w:szCs w:val="26"/>
        </w:rPr>
        <w:t>s</w:t>
      </w:r>
      <w:r w:rsidRPr="005442E8">
        <w:rPr>
          <w:sz w:val="26"/>
          <w:szCs w:val="26"/>
        </w:rPr>
        <w:t>plit Heat Pumps – Commercial &lt; 5.4 Tons;</w:t>
      </w:r>
    </w:p>
    <w:p w14:paraId="3E43C4AF" w14:textId="053AA874" w:rsidR="0057794D" w:rsidRPr="005442E8" w:rsidRDefault="0057794D" w:rsidP="00453F14">
      <w:pPr>
        <w:pStyle w:val="ListParagraph"/>
        <w:numPr>
          <w:ilvl w:val="0"/>
          <w:numId w:val="8"/>
        </w:numPr>
        <w:rPr>
          <w:sz w:val="26"/>
          <w:szCs w:val="26"/>
        </w:rPr>
      </w:pPr>
      <w:r w:rsidRPr="005442E8">
        <w:rPr>
          <w:sz w:val="26"/>
          <w:szCs w:val="26"/>
        </w:rPr>
        <w:t>3.2.5 – Fuel Switching: Small Commercial Electric Heat to Natural Gas / Propane / Oil Heat;</w:t>
      </w:r>
    </w:p>
    <w:p w14:paraId="1CD2B59F" w14:textId="38C7F129" w:rsidR="001F2214" w:rsidRPr="005442E8" w:rsidRDefault="001F2214" w:rsidP="00453F14">
      <w:pPr>
        <w:pStyle w:val="ListParagraph"/>
        <w:numPr>
          <w:ilvl w:val="0"/>
          <w:numId w:val="8"/>
        </w:numPr>
        <w:rPr>
          <w:sz w:val="26"/>
          <w:szCs w:val="26"/>
        </w:rPr>
      </w:pPr>
      <w:r w:rsidRPr="005442E8">
        <w:rPr>
          <w:sz w:val="26"/>
          <w:szCs w:val="26"/>
        </w:rPr>
        <w:t>3.2.6 – Small C/I HVAC Refrigerant Charge Correction;</w:t>
      </w:r>
    </w:p>
    <w:p w14:paraId="697B90FA" w14:textId="4393FA1B" w:rsidR="001F2214" w:rsidRPr="005442E8" w:rsidRDefault="001F2214" w:rsidP="00453F14">
      <w:pPr>
        <w:pStyle w:val="ListParagraph"/>
        <w:numPr>
          <w:ilvl w:val="0"/>
          <w:numId w:val="8"/>
        </w:numPr>
        <w:rPr>
          <w:sz w:val="26"/>
          <w:szCs w:val="26"/>
        </w:rPr>
      </w:pPr>
      <w:r w:rsidRPr="005442E8">
        <w:rPr>
          <w:sz w:val="26"/>
          <w:szCs w:val="26"/>
        </w:rPr>
        <w:t>3.2.7 – ENERGY STAR Room Air Conditioners;</w:t>
      </w:r>
    </w:p>
    <w:p w14:paraId="5936F3AC" w14:textId="20DC50D6" w:rsidR="001B3B88" w:rsidRPr="005442E8" w:rsidRDefault="001B3B88" w:rsidP="00453F14">
      <w:pPr>
        <w:pStyle w:val="ListParagraph"/>
        <w:numPr>
          <w:ilvl w:val="0"/>
          <w:numId w:val="8"/>
        </w:numPr>
        <w:rPr>
          <w:sz w:val="26"/>
          <w:szCs w:val="26"/>
        </w:rPr>
      </w:pPr>
      <w:r w:rsidRPr="005442E8">
        <w:rPr>
          <w:sz w:val="26"/>
          <w:szCs w:val="26"/>
        </w:rPr>
        <w:t>3.3.1 – Premium Efficiency Motors; and</w:t>
      </w:r>
    </w:p>
    <w:p w14:paraId="5EE2E8B8" w14:textId="1AD0E3A2" w:rsidR="00E07924" w:rsidRPr="005442E8" w:rsidRDefault="001B3B88" w:rsidP="00453F14">
      <w:pPr>
        <w:pStyle w:val="ListParagraph"/>
        <w:numPr>
          <w:ilvl w:val="0"/>
          <w:numId w:val="8"/>
        </w:numPr>
        <w:rPr>
          <w:sz w:val="26"/>
          <w:szCs w:val="26"/>
        </w:rPr>
      </w:pPr>
      <w:r w:rsidRPr="005442E8">
        <w:rPr>
          <w:sz w:val="26"/>
          <w:szCs w:val="26"/>
        </w:rPr>
        <w:t>3.4.1 – Heat Pump Water Heaters.</w:t>
      </w:r>
    </w:p>
    <w:p w14:paraId="5AB98B8D" w14:textId="50D3697D" w:rsidR="00AC1942" w:rsidRDefault="00AC1942" w:rsidP="00AA2116"/>
    <w:p w14:paraId="75894ADC" w14:textId="29C06FE5" w:rsidR="00747D29" w:rsidRPr="00EE41A4" w:rsidRDefault="00EE41A4" w:rsidP="00453F14">
      <w:pPr>
        <w:pStyle w:val="Heading4"/>
        <w:numPr>
          <w:ilvl w:val="2"/>
          <w:numId w:val="17"/>
        </w:numPr>
      </w:pPr>
      <w:r>
        <w:t xml:space="preserve">Comments </w:t>
      </w:r>
    </w:p>
    <w:p w14:paraId="6F081429" w14:textId="291F0B2F" w:rsidR="55119DC7" w:rsidRDefault="55119DC7" w:rsidP="00AA2116">
      <w:r>
        <w:t xml:space="preserve">Duquesne </w:t>
      </w:r>
      <w:r w:rsidR="00B9738C">
        <w:t xml:space="preserve">recommends </w:t>
      </w:r>
      <w:r>
        <w:t>maintaining the distinction between “Restaurant – Fast Food” and “Restaurant – Sit-Down</w:t>
      </w:r>
      <w:r w:rsidR="00E65542">
        <w:t>”</w:t>
      </w:r>
      <w:r>
        <w:t xml:space="preserve"> and the associated hours of use. </w:t>
      </w:r>
      <w:r w:rsidR="003D2783">
        <w:t xml:space="preserve"> </w:t>
      </w:r>
      <w:r>
        <w:t>Duquesne Comments at 3.</w:t>
      </w:r>
    </w:p>
    <w:p w14:paraId="2888E95F" w14:textId="77777777" w:rsidR="00747D29" w:rsidRDefault="00747D29" w:rsidP="00AA2116"/>
    <w:p w14:paraId="68D54AD8" w14:textId="255AD911" w:rsidR="00EE41A4" w:rsidRDefault="00EE41A4" w:rsidP="00453F14">
      <w:pPr>
        <w:pStyle w:val="Heading4"/>
        <w:numPr>
          <w:ilvl w:val="2"/>
          <w:numId w:val="17"/>
        </w:numPr>
      </w:pPr>
      <w:r w:rsidRPr="0033283C">
        <w:lastRenderedPageBreak/>
        <w:t>Disposition</w:t>
      </w:r>
    </w:p>
    <w:p w14:paraId="0951F3B7" w14:textId="5EA82C57" w:rsidR="66E8B1E4" w:rsidRDefault="66E8B1E4" w:rsidP="00AA2116">
      <w:r w:rsidRPr="66E8B1E4">
        <w:t xml:space="preserve">The Commission rejects </w:t>
      </w:r>
      <w:r w:rsidR="00C026C1">
        <w:t>the suggestion that the</w:t>
      </w:r>
      <w:r w:rsidRPr="66E8B1E4">
        <w:t xml:space="preserve"> recommended hours of use values cited in Duquesne</w:t>
      </w:r>
      <w:r w:rsidR="005B2E39">
        <w:t>’s</w:t>
      </w:r>
      <w:r w:rsidRPr="66E8B1E4">
        <w:t xml:space="preserve"> comments for the “Restaurant – Fast Food” and “Restaurant – Sit-Down</w:t>
      </w:r>
      <w:r w:rsidR="00BE618A">
        <w:t>”</w:t>
      </w:r>
      <w:r w:rsidRPr="66E8B1E4">
        <w:t xml:space="preserve"> are from the DOE’s Uniform Methods Project</w:t>
      </w:r>
      <w:r w:rsidRPr="66E8B1E4">
        <w:rPr>
          <w:rStyle w:val="FootnoteReference"/>
        </w:rPr>
        <w:footnoteReference w:id="9"/>
      </w:r>
      <w:r>
        <w:t xml:space="preserve"> (UMP)</w:t>
      </w:r>
      <w:r w:rsidR="005C2A45">
        <w:t>,</w:t>
      </w:r>
      <w:r>
        <w:t xml:space="preserve"> which</w:t>
      </w:r>
      <w:r w:rsidR="00AA0A64">
        <w:t>,</w:t>
      </w:r>
      <w:r>
        <w:t xml:space="preserve"> in turn</w:t>
      </w:r>
      <w:r w:rsidR="00AA0A64">
        <w:t>,</w:t>
      </w:r>
      <w:r>
        <w:t xml:space="preserve"> references values from the </w:t>
      </w:r>
      <w:r w:rsidRPr="66E8B1E4">
        <w:t>New York Standard Approach for Estimating Energy Savings from Energy Efficiency Programs.</w:t>
      </w:r>
      <w:r>
        <w:t xml:space="preserve">  These values are </w:t>
      </w:r>
      <w:r w:rsidR="00AD5AFE">
        <w:t xml:space="preserve">explicitly </w:t>
      </w:r>
      <w:r>
        <w:t xml:space="preserve">provided in the UMP as an example, not a recommendation of specific values.  In fact, the UMP recommends multiple methods for determining the hours of use, </w:t>
      </w:r>
      <w:r w:rsidRPr="005837EC">
        <w:t>including</w:t>
      </w:r>
      <w:r w:rsidR="005837EC">
        <w:t xml:space="preserve"> using</w:t>
      </w:r>
      <w:r>
        <w:t xml:space="preserve"> </w:t>
      </w:r>
      <w:r w:rsidR="00BE618A" w:rsidRPr="00BE618A">
        <w:t>“</w:t>
      </w:r>
      <w:r>
        <w:t>Tables of HOU values by building type provided by the program implementer.  HOU values have been developed from impact evaluation and M&amp;V studies for many commercial and nonresidential buildings.</w:t>
      </w:r>
      <w:r w:rsidR="00BE618A" w:rsidRPr="00BE618A">
        <w:t>”</w:t>
      </w:r>
      <w:r>
        <w:t xml:space="preserve">  This is exactly what was done</w:t>
      </w:r>
      <w:r w:rsidR="00005F44">
        <w:t xml:space="preserve"> </w:t>
      </w:r>
      <w:r w:rsidR="00C026C1">
        <w:t xml:space="preserve">in </w:t>
      </w:r>
      <w:r>
        <w:t>the Pennsylvania Statewide Act 129 2014 Commercial &amp; Residential Light Meter Study, the current primary source for C&amp;I lighting hours of use</w:t>
      </w:r>
      <w:r w:rsidR="00495E45">
        <w:t xml:space="preserve">.  </w:t>
      </w:r>
      <w:r w:rsidR="00B07E52">
        <w:t>T</w:t>
      </w:r>
      <w:r>
        <w:t xml:space="preserve">his study does not support the level of </w:t>
      </w:r>
      <w:r w:rsidRPr="005837EC">
        <w:t>building type specificity</w:t>
      </w:r>
      <w:r>
        <w:t xml:space="preserve"> proposed</w:t>
      </w:r>
      <w:r w:rsidR="00FD296B">
        <w:t xml:space="preserve"> by Duquesne</w:t>
      </w:r>
      <w:r w:rsidR="00B07E52">
        <w:t>, as such, the Commission declines to adopt Duquesne’s suggestion</w:t>
      </w:r>
      <w:r>
        <w:t>.</w:t>
      </w:r>
    </w:p>
    <w:p w14:paraId="1A18BAEE" w14:textId="77777777" w:rsidR="00747D29" w:rsidRDefault="00747D29" w:rsidP="00AA2116"/>
    <w:p w14:paraId="55159E13" w14:textId="5C2DAC18" w:rsidR="003E08F5" w:rsidRDefault="003E08F5" w:rsidP="00453F14">
      <w:pPr>
        <w:pStyle w:val="Heading3"/>
        <w:numPr>
          <w:ilvl w:val="1"/>
          <w:numId w:val="17"/>
        </w:numPr>
      </w:pPr>
      <w:bookmarkStart w:id="43" w:name="_Toc15657886"/>
      <w:r>
        <w:t>Definition of Peak and Off-</w:t>
      </w:r>
      <w:r w:rsidR="00C20241">
        <w:t>p</w:t>
      </w:r>
      <w:r>
        <w:t xml:space="preserve">eak </w:t>
      </w:r>
      <w:r w:rsidR="00A9783B">
        <w:t xml:space="preserve">Energy </w:t>
      </w:r>
      <w:r>
        <w:t>Periods</w:t>
      </w:r>
      <w:bookmarkEnd w:id="43"/>
    </w:p>
    <w:p w14:paraId="443301A5" w14:textId="1115101F" w:rsidR="00747D29" w:rsidRDefault="003E08F5" w:rsidP="00AA2116">
      <w:r>
        <w:t xml:space="preserve">The </w:t>
      </w:r>
      <w:r w:rsidR="00E61F3B">
        <w:t xml:space="preserve">monetary </w:t>
      </w:r>
      <w:r w:rsidR="009B0FC6">
        <w:t xml:space="preserve">benefits </w:t>
      </w:r>
      <w:r w:rsidR="00E61F3B">
        <w:t>of electric energy savings for Act 129 programs are time</w:t>
      </w:r>
      <w:r w:rsidR="0077432D">
        <w:noBreakHyphen/>
      </w:r>
      <w:r w:rsidR="00E61F3B">
        <w:t xml:space="preserve">differentiated by season and on/off peak periods </w:t>
      </w:r>
      <w:r w:rsidR="009B0FC6">
        <w:t>to account for differences in marginal costs in these periods</w:t>
      </w:r>
      <w:r w:rsidR="00A0651F">
        <w:t xml:space="preserve">.  </w:t>
      </w:r>
      <w:r w:rsidR="009B0FC6">
        <w:t xml:space="preserve">The </w:t>
      </w:r>
      <w:r w:rsidR="009B0FC6" w:rsidRPr="00880DE5">
        <w:t xml:space="preserve">Commission </w:t>
      </w:r>
      <w:r w:rsidR="00880DE5" w:rsidRPr="00880DE5">
        <w:t>propose</w:t>
      </w:r>
      <w:r w:rsidR="00880DE5">
        <w:t>d</w:t>
      </w:r>
      <w:r w:rsidR="00880DE5" w:rsidRPr="00880DE5">
        <w:t xml:space="preserve"> </w:t>
      </w:r>
      <w:r w:rsidR="00880DE5">
        <w:t>updating</w:t>
      </w:r>
      <w:r w:rsidR="009B0FC6">
        <w:t xml:space="preserve"> the </w:t>
      </w:r>
      <w:r w:rsidR="004F2477">
        <w:t xml:space="preserve">definition of </w:t>
      </w:r>
      <w:r w:rsidR="00882480">
        <w:t>the peak and off-peak hours to align with the definition used by PJM</w:t>
      </w:r>
      <w:r w:rsidR="00A0651F">
        <w:t xml:space="preserve">.  </w:t>
      </w:r>
      <w:r w:rsidR="00882480">
        <w:t xml:space="preserve">The proposed </w:t>
      </w:r>
      <w:r w:rsidR="0077432D">
        <w:t xml:space="preserve">peak </w:t>
      </w:r>
      <w:r w:rsidR="00D61232">
        <w:t xml:space="preserve">hours </w:t>
      </w:r>
      <w:r w:rsidR="0077432D">
        <w:t xml:space="preserve">are </w:t>
      </w:r>
      <w:r w:rsidR="00D61232">
        <w:t>7:00 am to 11:00 pm Monday through Friday</w:t>
      </w:r>
      <w:r w:rsidR="00A0651F">
        <w:t xml:space="preserve">.  </w:t>
      </w:r>
      <w:r w:rsidR="00D61232">
        <w:t xml:space="preserve">The proposed off-peak hours </w:t>
      </w:r>
      <w:r w:rsidR="0077432D">
        <w:t xml:space="preserve">are </w:t>
      </w:r>
      <w:r w:rsidR="00D61232">
        <w:t>11:00 pm to 7:00 am Monday through Friday and all weekend and holiday hours</w:t>
      </w:r>
      <w:r w:rsidR="00D66B60">
        <w:t>.</w:t>
      </w:r>
    </w:p>
    <w:p w14:paraId="4E7624F0" w14:textId="77777777" w:rsidR="00747D29" w:rsidRPr="00747D29" w:rsidRDefault="00747D29" w:rsidP="00AA2116"/>
    <w:p w14:paraId="67BE214B" w14:textId="5F4E3CE4" w:rsidR="00C8593E" w:rsidRDefault="00C8593E" w:rsidP="00453F14">
      <w:pPr>
        <w:pStyle w:val="Heading4"/>
        <w:numPr>
          <w:ilvl w:val="2"/>
          <w:numId w:val="17"/>
        </w:numPr>
      </w:pPr>
      <w:r>
        <w:t xml:space="preserve">Comments </w:t>
      </w:r>
    </w:p>
    <w:p w14:paraId="7C3893AC" w14:textId="3FA78DCC" w:rsidR="00747D29" w:rsidRDefault="001F2011" w:rsidP="00AA2116">
      <w:bookmarkStart w:id="44" w:name="_Toc405802273"/>
      <w:bookmarkStart w:id="45" w:name="_Toc405802381"/>
      <w:bookmarkStart w:id="46" w:name="_Toc405884626"/>
      <w:bookmarkStart w:id="47" w:name="_Toc405884711"/>
      <w:r>
        <w:t>The Commission did not receive comments</w:t>
      </w:r>
      <w:r w:rsidRPr="00982B9E">
        <w:t xml:space="preserve"> on the proposed </w:t>
      </w:r>
      <w:r>
        <w:t xml:space="preserve">change </w:t>
      </w:r>
      <w:bookmarkEnd w:id="44"/>
      <w:bookmarkEnd w:id="45"/>
      <w:bookmarkEnd w:id="46"/>
      <w:bookmarkEnd w:id="47"/>
      <w:r w:rsidR="00247F10">
        <w:t>to the</w:t>
      </w:r>
      <w:r w:rsidR="00022F94">
        <w:t xml:space="preserve"> definition of peak and off-peak </w:t>
      </w:r>
      <w:r>
        <w:t>hours</w:t>
      </w:r>
      <w:r w:rsidR="00C27DB8">
        <w:t>.</w:t>
      </w:r>
    </w:p>
    <w:p w14:paraId="19F790CC" w14:textId="77777777" w:rsidR="007D061D" w:rsidRDefault="007D061D" w:rsidP="00AA2116"/>
    <w:p w14:paraId="724B8CE0" w14:textId="6350C630" w:rsidR="00C8593E" w:rsidRDefault="00C8593E" w:rsidP="00453F14">
      <w:pPr>
        <w:pStyle w:val="Heading4"/>
        <w:numPr>
          <w:ilvl w:val="2"/>
          <w:numId w:val="17"/>
        </w:numPr>
      </w:pPr>
      <w:r w:rsidRPr="0033283C">
        <w:t>Disposition</w:t>
      </w:r>
    </w:p>
    <w:p w14:paraId="14D62950" w14:textId="2CB04D01" w:rsidR="00747D29" w:rsidRDefault="00C27DB8" w:rsidP="00AA2116">
      <w:r>
        <w:t xml:space="preserve">Although </w:t>
      </w:r>
      <w:r w:rsidR="008510F4" w:rsidRPr="008510F4">
        <w:t xml:space="preserve">no comments were received regarding this </w:t>
      </w:r>
      <w:r w:rsidR="001317DE">
        <w:t xml:space="preserve">proposed </w:t>
      </w:r>
      <w:r w:rsidR="008510F4">
        <w:t>change</w:t>
      </w:r>
      <w:r w:rsidR="001317DE">
        <w:t>;</w:t>
      </w:r>
      <w:r w:rsidR="008510F4" w:rsidRPr="008510F4">
        <w:t xml:space="preserve"> based on further review </w:t>
      </w:r>
      <w:r w:rsidR="008510F4">
        <w:t xml:space="preserve">of historic energy prices </w:t>
      </w:r>
      <w:r w:rsidR="008510F4" w:rsidRPr="008510F4">
        <w:t xml:space="preserve">by the </w:t>
      </w:r>
      <w:r w:rsidR="008510F4" w:rsidRPr="009D1F72">
        <w:t xml:space="preserve">SWE </w:t>
      </w:r>
      <w:r w:rsidR="00261728" w:rsidRPr="009D1F72">
        <w:t>in preparation of the 2021 Tentative TRC Order</w:t>
      </w:r>
      <w:r w:rsidR="008510F4" w:rsidRPr="009D1F72">
        <w:t xml:space="preserve">, the Commission </w:t>
      </w:r>
      <w:r w:rsidR="00E5472C">
        <w:t xml:space="preserve">finds </w:t>
      </w:r>
      <w:r w:rsidR="001317DE">
        <w:t>that</w:t>
      </w:r>
      <w:r w:rsidR="00805E81" w:rsidRPr="009D1F72">
        <w:t xml:space="preserve"> the proposed definition of </w:t>
      </w:r>
      <w:r w:rsidR="00230191" w:rsidRPr="009D1F72">
        <w:t>the winter period</w:t>
      </w:r>
      <w:r w:rsidR="001317DE">
        <w:t xml:space="preserve"> was too broad</w:t>
      </w:r>
      <w:r w:rsidR="008510F4" w:rsidRPr="009D1F72">
        <w:t>.</w:t>
      </w:r>
      <w:r w:rsidR="00230191" w:rsidRPr="009D1F72">
        <w:t xml:space="preserve">  </w:t>
      </w:r>
      <w:r w:rsidR="001317DE">
        <w:t>Accordingly, the</w:t>
      </w:r>
      <w:r w:rsidR="00465595" w:rsidRPr="009D1F72">
        <w:t xml:space="preserve"> winter period has been divided into “winter” and “shoulder” periods to reflect the differences in wholesale energy prices</w:t>
      </w:r>
      <w:r w:rsidR="00465595">
        <w:t xml:space="preserve"> between the </w:t>
      </w:r>
      <w:r w:rsidR="003F7FF1">
        <w:t xml:space="preserve">coldest winter months and the milder spring and fall months. </w:t>
      </w:r>
    </w:p>
    <w:p w14:paraId="0D3CCC9A" w14:textId="77777777" w:rsidR="00C42944" w:rsidRPr="00CF4270" w:rsidRDefault="00C42944" w:rsidP="00AA2116"/>
    <w:p w14:paraId="0FA10848" w14:textId="77777777" w:rsidR="002B72C1" w:rsidRPr="009C3B3D" w:rsidRDefault="002B72C1" w:rsidP="00453F14">
      <w:pPr>
        <w:pStyle w:val="Heading2"/>
        <w:numPr>
          <w:ilvl w:val="0"/>
          <w:numId w:val="17"/>
        </w:numPr>
      </w:pPr>
      <w:bookmarkStart w:id="48" w:name="_Additional_Residential_EE&amp;C"/>
      <w:bookmarkStart w:id="49" w:name="_Toc364755756"/>
      <w:bookmarkStart w:id="50" w:name="_Toc394648171"/>
      <w:bookmarkStart w:id="51" w:name="_Toc396910600"/>
      <w:bookmarkStart w:id="52" w:name="_Toc413415433"/>
      <w:bookmarkStart w:id="53" w:name="_Toc15657887"/>
      <w:bookmarkStart w:id="54" w:name="_Toc334174991"/>
      <w:bookmarkEnd w:id="48"/>
      <w:r w:rsidRPr="0073425A">
        <w:t>Additional</w:t>
      </w:r>
      <w:r w:rsidRPr="009C3B3D">
        <w:t xml:space="preserve"> Residential EE&amp;C Measure Protocols</w:t>
      </w:r>
      <w:bookmarkEnd w:id="49"/>
      <w:bookmarkEnd w:id="50"/>
      <w:bookmarkEnd w:id="51"/>
      <w:bookmarkEnd w:id="52"/>
      <w:bookmarkEnd w:id="53"/>
    </w:p>
    <w:p w14:paraId="5455154B" w14:textId="6F71500A" w:rsidR="000714A9" w:rsidRDefault="002B72C1" w:rsidP="000D194F">
      <w:r w:rsidRPr="006E6626">
        <w:t xml:space="preserve">The Commission </w:t>
      </w:r>
      <w:r w:rsidR="001D357A" w:rsidRPr="006E6626">
        <w:t>recognizes</w:t>
      </w:r>
      <w:r w:rsidR="001D357A" w:rsidRPr="006E6626" w:rsidDel="001D357A">
        <w:t xml:space="preserve"> </w:t>
      </w:r>
      <w:r w:rsidRPr="006E6626">
        <w:t xml:space="preserve">that the expansion of the </w:t>
      </w:r>
      <w:r w:rsidR="00494F93" w:rsidRPr="006E6626">
        <w:t xml:space="preserve">residential </w:t>
      </w:r>
      <w:r w:rsidRPr="006E6626">
        <w:t xml:space="preserve">section of the TRM is essential for the accurate and timely </w:t>
      </w:r>
      <w:r w:rsidR="00733577" w:rsidRPr="0017480C">
        <w:t>measurement and verification (</w:t>
      </w:r>
      <w:r w:rsidR="00CF55F6" w:rsidRPr="0017480C">
        <w:t>M&amp;V</w:t>
      </w:r>
      <w:r w:rsidR="00733577" w:rsidRPr="0017480C">
        <w:t>)</w:t>
      </w:r>
      <w:r w:rsidR="00C8649F" w:rsidRPr="0017480C">
        <w:t xml:space="preserve"> of the EDCs’ Act 129 EE&amp;C </w:t>
      </w:r>
      <w:r w:rsidRPr="0017480C">
        <w:t>programs</w:t>
      </w:r>
      <w:r w:rsidR="00934CEC" w:rsidRPr="0017480C">
        <w:t xml:space="preserve"> and </w:t>
      </w:r>
      <w:r w:rsidR="008862CB" w:rsidRPr="0017480C">
        <w:t>proposed</w:t>
      </w:r>
      <w:r w:rsidR="00934CEC" w:rsidRPr="0017480C">
        <w:t xml:space="preserve"> </w:t>
      </w:r>
      <w:r w:rsidR="001D357A" w:rsidRPr="0017480C">
        <w:t xml:space="preserve">to </w:t>
      </w:r>
      <w:r w:rsidR="001D357A" w:rsidRPr="00154F46">
        <w:t>include</w:t>
      </w:r>
      <w:r w:rsidRPr="00BF4461">
        <w:t xml:space="preserve"> </w:t>
      </w:r>
      <w:r w:rsidR="00394A62" w:rsidRPr="00932931">
        <w:t>1</w:t>
      </w:r>
      <w:r w:rsidR="00BA3099" w:rsidRPr="00932931">
        <w:t>5</w:t>
      </w:r>
      <w:r w:rsidR="00394A62" w:rsidRPr="00154F46">
        <w:t xml:space="preserve"> </w:t>
      </w:r>
      <w:r w:rsidRPr="00BF4461">
        <w:t>new residentia</w:t>
      </w:r>
      <w:r w:rsidRPr="008221AC">
        <w:t>l EE&amp;C measure protocols</w:t>
      </w:r>
      <w:r w:rsidR="00A0651F" w:rsidRPr="00154F46">
        <w:t xml:space="preserve">.  </w:t>
      </w:r>
      <w:r w:rsidRPr="00154F46">
        <w:t>The EDCs’ independent evaluators, in collaboration with the SWE, produced, reviewed</w:t>
      </w:r>
      <w:r w:rsidR="00E70C60" w:rsidRPr="00154F46">
        <w:t>,</w:t>
      </w:r>
      <w:r w:rsidRPr="00154F46">
        <w:t xml:space="preserve"> and edited these </w:t>
      </w:r>
      <w:r w:rsidR="00494F93" w:rsidRPr="00154F46">
        <w:t xml:space="preserve">residential </w:t>
      </w:r>
      <w:r w:rsidR="001A18EF" w:rsidRPr="00154F46">
        <w:t>EE&amp;C measure protocols</w:t>
      </w:r>
      <w:r w:rsidR="00A0651F" w:rsidRPr="00154F46">
        <w:t xml:space="preserve">.  </w:t>
      </w:r>
      <w:r w:rsidR="00363FA0">
        <w:t>The Commission subsequently combined t</w:t>
      </w:r>
      <w:r w:rsidR="00671599">
        <w:t>hree</w:t>
      </w:r>
      <w:r w:rsidR="000714A9">
        <w:t xml:space="preserve"> of the 15 measure</w:t>
      </w:r>
      <w:r w:rsidR="00363FA0">
        <w:t xml:space="preserve"> protocols</w:t>
      </w:r>
      <w:r w:rsidR="000714A9">
        <w:t xml:space="preserve"> </w:t>
      </w:r>
      <w:r w:rsidR="00460749">
        <w:t xml:space="preserve">proposed in our Tentative Order </w:t>
      </w:r>
      <w:r w:rsidR="00BD43B3">
        <w:t>into two existing</w:t>
      </w:r>
      <w:r w:rsidR="000D194F">
        <w:t xml:space="preserve"> measure</w:t>
      </w:r>
      <w:r w:rsidR="00BD43B3">
        <w:t xml:space="preserve"> protocols, leaving 1</w:t>
      </w:r>
      <w:r w:rsidR="00671599">
        <w:t>2</w:t>
      </w:r>
      <w:r w:rsidR="00BD43B3">
        <w:t xml:space="preserve"> new residential EE&amp;C measure protocols</w:t>
      </w:r>
      <w:r w:rsidR="000D194F">
        <w:t>.</w:t>
      </w:r>
    </w:p>
    <w:p w14:paraId="0FA10849" w14:textId="0F88A7CD" w:rsidR="002B72C1" w:rsidRPr="0098410B" w:rsidRDefault="002B72C1" w:rsidP="00AA2116">
      <w:pPr>
        <w:rPr>
          <w:szCs w:val="26"/>
        </w:rPr>
      </w:pPr>
      <w:r w:rsidRPr="00154F46">
        <w:t xml:space="preserve">The </w:t>
      </w:r>
      <w:r w:rsidR="00394A62" w:rsidRPr="00932931">
        <w:t>1</w:t>
      </w:r>
      <w:r w:rsidR="00671599">
        <w:t>2</w:t>
      </w:r>
      <w:r w:rsidR="00394A62" w:rsidRPr="0017480C">
        <w:t xml:space="preserve"> </w:t>
      </w:r>
      <w:r w:rsidRPr="0017480C">
        <w:t xml:space="preserve">new </w:t>
      </w:r>
      <w:r w:rsidR="00494F93" w:rsidRPr="0054459A">
        <w:t xml:space="preserve">residential </w:t>
      </w:r>
      <w:r w:rsidRPr="00757613">
        <w:t>EE&amp;C measure protocols are</w:t>
      </w:r>
      <w:r w:rsidR="00E70C60" w:rsidRPr="00EA1457">
        <w:t xml:space="preserve"> as follows</w:t>
      </w:r>
      <w:r w:rsidRPr="00BB1FE8">
        <w:t>:</w:t>
      </w:r>
    </w:p>
    <w:p w14:paraId="363C77D8" w14:textId="250B9F95" w:rsidR="00EC7CEF" w:rsidRPr="001B1045" w:rsidRDefault="00EC7CEF" w:rsidP="00AA2116">
      <w:pPr>
        <w:pStyle w:val="p14"/>
        <w:numPr>
          <w:ilvl w:val="0"/>
          <w:numId w:val="5"/>
        </w:numPr>
        <w:rPr>
          <w:b/>
          <w:caps/>
        </w:rPr>
      </w:pPr>
      <w:bookmarkStart w:id="55" w:name="_Toc364755757"/>
      <w:bookmarkStart w:id="56" w:name="_Toc394648172"/>
      <w:bookmarkStart w:id="57" w:name="_Toc396910601"/>
      <w:r w:rsidRPr="001B1045">
        <w:t xml:space="preserve">Section </w:t>
      </w:r>
      <w:r w:rsidR="001669EB" w:rsidRPr="001B1045">
        <w:t>2.2.</w:t>
      </w:r>
      <w:r w:rsidR="00094D39">
        <w:t>3</w:t>
      </w:r>
      <w:r w:rsidRPr="001B1045">
        <w:t xml:space="preserve"> – ECM Circulat</w:t>
      </w:r>
      <w:r w:rsidR="0033537E" w:rsidRPr="001B1045">
        <w:t>ion</w:t>
      </w:r>
      <w:r w:rsidRPr="001B1045">
        <w:t xml:space="preserve"> Fan</w:t>
      </w:r>
      <w:r w:rsidR="00D503E5" w:rsidRPr="001B1045">
        <w:t>s</w:t>
      </w:r>
      <w:r w:rsidRPr="001B1045">
        <w:t>;</w:t>
      </w:r>
    </w:p>
    <w:p w14:paraId="3B57E6C2" w14:textId="49F5D2C6" w:rsidR="00EC7CEF" w:rsidRPr="001B1045" w:rsidRDefault="001669EB" w:rsidP="00AA2116">
      <w:pPr>
        <w:pStyle w:val="p14"/>
        <w:numPr>
          <w:ilvl w:val="0"/>
          <w:numId w:val="5"/>
        </w:numPr>
      </w:pPr>
      <w:r w:rsidRPr="001B1045">
        <w:t>Section 2.2.</w:t>
      </w:r>
      <w:r w:rsidR="00094D39">
        <w:t>4</w:t>
      </w:r>
      <w:r w:rsidRPr="001B1045">
        <w:t xml:space="preserve"> – GSHP Desuperheater</w:t>
      </w:r>
      <w:r w:rsidR="00D503E5" w:rsidRPr="001B1045">
        <w:t>s</w:t>
      </w:r>
      <w:r w:rsidRPr="001B1045">
        <w:t>;</w:t>
      </w:r>
    </w:p>
    <w:p w14:paraId="332C76F3" w14:textId="76A3BFE2" w:rsidR="0010509B" w:rsidRPr="001B1045" w:rsidRDefault="006E78CA" w:rsidP="00AA2116">
      <w:pPr>
        <w:pStyle w:val="p14"/>
        <w:numPr>
          <w:ilvl w:val="0"/>
          <w:numId w:val="5"/>
        </w:numPr>
        <w:rPr>
          <w:b/>
          <w:caps/>
        </w:rPr>
      </w:pPr>
      <w:r w:rsidRPr="001B1045">
        <w:t xml:space="preserve">Section </w:t>
      </w:r>
      <w:r w:rsidR="0010509B" w:rsidRPr="001B1045">
        <w:t>2.2.</w:t>
      </w:r>
      <w:r w:rsidR="00094D39">
        <w:t>5</w:t>
      </w:r>
      <w:r w:rsidRPr="001B1045">
        <w:t xml:space="preserve"> – </w:t>
      </w:r>
      <w:r w:rsidR="0010509B" w:rsidRPr="001B1045">
        <w:t>Air Conditioner &amp; Heat Pump Maintenance;</w:t>
      </w:r>
    </w:p>
    <w:p w14:paraId="6E658163" w14:textId="030525A9" w:rsidR="00445E68" w:rsidRPr="001B1045" w:rsidRDefault="00445E68" w:rsidP="00AA2116">
      <w:pPr>
        <w:pStyle w:val="p14"/>
        <w:numPr>
          <w:ilvl w:val="0"/>
          <w:numId w:val="5"/>
        </w:numPr>
        <w:rPr>
          <w:b/>
          <w:caps/>
        </w:rPr>
      </w:pPr>
      <w:r w:rsidRPr="001B1045">
        <w:t>Section 2.2.</w:t>
      </w:r>
      <w:r w:rsidR="00094D39">
        <w:t>11</w:t>
      </w:r>
      <w:r w:rsidRPr="001B1045">
        <w:t xml:space="preserve"> – ENERGY STAR Connected Thermostats;</w:t>
      </w:r>
    </w:p>
    <w:p w14:paraId="6BACFF02" w14:textId="61E48734" w:rsidR="0010509B" w:rsidRPr="00441DC0" w:rsidRDefault="0010509B" w:rsidP="00AA2116">
      <w:pPr>
        <w:pStyle w:val="p14"/>
        <w:numPr>
          <w:ilvl w:val="0"/>
          <w:numId w:val="5"/>
        </w:numPr>
        <w:rPr>
          <w:b/>
          <w:caps/>
        </w:rPr>
      </w:pPr>
      <w:r w:rsidRPr="001B1045">
        <w:t>Section 2.2.</w:t>
      </w:r>
      <w:r w:rsidR="00094D39">
        <w:t>12</w:t>
      </w:r>
      <w:r w:rsidRPr="001B1045">
        <w:t xml:space="preserve"> </w:t>
      </w:r>
      <w:r w:rsidR="00EC58F1" w:rsidRPr="001B1045">
        <w:t>–</w:t>
      </w:r>
      <w:r w:rsidRPr="001B1045">
        <w:t xml:space="preserve"> Fur</w:t>
      </w:r>
      <w:r w:rsidR="00EC58F1" w:rsidRPr="001B1045">
        <w:t>nace M</w:t>
      </w:r>
      <w:r w:rsidR="00445E68" w:rsidRPr="001B1045">
        <w:t>aintenance;</w:t>
      </w:r>
    </w:p>
    <w:p w14:paraId="53B9AD7C" w14:textId="32230CA2" w:rsidR="00441DC0" w:rsidRPr="00E26C0F" w:rsidRDefault="00441DC0" w:rsidP="00AA2116">
      <w:pPr>
        <w:pStyle w:val="Explanationtext"/>
        <w:numPr>
          <w:ilvl w:val="0"/>
          <w:numId w:val="5"/>
        </w:numPr>
      </w:pPr>
      <w:r w:rsidRPr="00E26C0F">
        <w:t>Section 2.3.10</w:t>
      </w:r>
      <w:r w:rsidR="00FE31B1" w:rsidRPr="00E26C0F">
        <w:t xml:space="preserve"> </w:t>
      </w:r>
      <w:r w:rsidR="00FE31B1" w:rsidRPr="00E26C0F">
        <w:rPr>
          <w:szCs w:val="26"/>
        </w:rPr>
        <w:t xml:space="preserve">– </w:t>
      </w:r>
      <w:r w:rsidR="00B94766" w:rsidRPr="00E26C0F">
        <w:t>Drain</w:t>
      </w:r>
      <w:r w:rsidR="00FE31B1" w:rsidRPr="00E26C0F">
        <w:t xml:space="preserve"> Water </w:t>
      </w:r>
      <w:r w:rsidR="00D734F4" w:rsidRPr="00E26C0F">
        <w:t>Heat Recovery</w:t>
      </w:r>
      <w:r w:rsidR="00FE31B1" w:rsidRPr="00E26C0F">
        <w:t xml:space="preserve"> </w:t>
      </w:r>
    </w:p>
    <w:p w14:paraId="7EC494D3" w14:textId="5CF47098" w:rsidR="006E78CA" w:rsidRPr="001B1045" w:rsidRDefault="006E78CA" w:rsidP="00AA2116">
      <w:pPr>
        <w:pStyle w:val="p14"/>
        <w:numPr>
          <w:ilvl w:val="0"/>
          <w:numId w:val="5"/>
        </w:numPr>
        <w:rPr>
          <w:b/>
          <w:caps/>
        </w:rPr>
      </w:pPr>
      <w:r w:rsidRPr="001B1045">
        <w:t xml:space="preserve">Section </w:t>
      </w:r>
      <w:r w:rsidR="00103A7F" w:rsidRPr="001B1045">
        <w:t>2.4.6</w:t>
      </w:r>
      <w:r w:rsidRPr="001B1045">
        <w:t xml:space="preserve"> – Heat Pump Clothes Dryers;</w:t>
      </w:r>
    </w:p>
    <w:p w14:paraId="568E5DC2" w14:textId="2E02B84D" w:rsidR="006E78CA" w:rsidRPr="001B1045" w:rsidRDefault="006E78CA" w:rsidP="00AA2116">
      <w:pPr>
        <w:pStyle w:val="p14"/>
        <w:numPr>
          <w:ilvl w:val="0"/>
          <w:numId w:val="5"/>
        </w:numPr>
        <w:rPr>
          <w:b/>
          <w:caps/>
        </w:rPr>
      </w:pPr>
      <w:r w:rsidRPr="001B1045">
        <w:t xml:space="preserve">Section </w:t>
      </w:r>
      <w:r w:rsidR="001461E1" w:rsidRPr="001B1045">
        <w:t>2.4.10</w:t>
      </w:r>
      <w:r w:rsidRPr="001B1045">
        <w:t xml:space="preserve"> – Dehumidifier Retirement;</w:t>
      </w:r>
    </w:p>
    <w:p w14:paraId="2EAFC61A" w14:textId="2BEFD0EC" w:rsidR="006E78CA" w:rsidRPr="001B1045" w:rsidRDefault="006E78CA" w:rsidP="00AA2116">
      <w:pPr>
        <w:pStyle w:val="p14"/>
        <w:numPr>
          <w:ilvl w:val="0"/>
          <w:numId w:val="5"/>
        </w:numPr>
        <w:rPr>
          <w:b/>
          <w:caps/>
        </w:rPr>
      </w:pPr>
      <w:r w:rsidRPr="001B1045">
        <w:t xml:space="preserve">Section </w:t>
      </w:r>
      <w:r w:rsidR="001461E1" w:rsidRPr="001B1045">
        <w:t>2.4.12</w:t>
      </w:r>
      <w:r w:rsidRPr="001B1045">
        <w:t xml:space="preserve"> – ENERGY STAR Air Purifier</w:t>
      </w:r>
      <w:r w:rsidR="00AA2495" w:rsidRPr="001B1045">
        <w:t>s</w:t>
      </w:r>
      <w:r w:rsidRPr="001B1045">
        <w:t>;</w:t>
      </w:r>
    </w:p>
    <w:p w14:paraId="284F9921" w14:textId="5E0F970A" w:rsidR="006E78CA" w:rsidRPr="001B1045" w:rsidRDefault="006E78CA" w:rsidP="00AA2116">
      <w:pPr>
        <w:pStyle w:val="p14"/>
        <w:numPr>
          <w:ilvl w:val="0"/>
          <w:numId w:val="5"/>
        </w:numPr>
        <w:rPr>
          <w:b/>
          <w:caps/>
        </w:rPr>
      </w:pPr>
      <w:r w:rsidRPr="001B1045">
        <w:t xml:space="preserve">Section </w:t>
      </w:r>
      <w:r w:rsidR="00DA7D3D" w:rsidRPr="001B1045">
        <w:t>2.6.2</w:t>
      </w:r>
      <w:r w:rsidRPr="001B1045">
        <w:t xml:space="preserve"> – Weather Stripping, Caulking, and Outlet Gaskets;</w:t>
      </w:r>
    </w:p>
    <w:p w14:paraId="25CC3B9B" w14:textId="62C3B60E" w:rsidR="006E78CA" w:rsidRPr="001B1045" w:rsidRDefault="006E78CA" w:rsidP="00AA2116">
      <w:pPr>
        <w:pStyle w:val="p14"/>
        <w:numPr>
          <w:ilvl w:val="0"/>
          <w:numId w:val="5"/>
        </w:numPr>
        <w:rPr>
          <w:b/>
          <w:caps/>
        </w:rPr>
      </w:pPr>
      <w:r w:rsidRPr="001B1045">
        <w:lastRenderedPageBreak/>
        <w:t xml:space="preserve">Section </w:t>
      </w:r>
      <w:r w:rsidR="002C4E9C" w:rsidRPr="001B1045">
        <w:t>2.6.</w:t>
      </w:r>
      <w:r w:rsidR="00282942">
        <w:t>6</w:t>
      </w:r>
      <w:r w:rsidRPr="001B1045">
        <w:t xml:space="preserve"> – Residential Window Repair;</w:t>
      </w:r>
      <w:r w:rsidR="008E2DDB">
        <w:t xml:space="preserve"> and</w:t>
      </w:r>
    </w:p>
    <w:p w14:paraId="5D3D4D01" w14:textId="0D0B4837" w:rsidR="00191E5E" w:rsidRDefault="00191E5E" w:rsidP="00AA2116">
      <w:pPr>
        <w:pStyle w:val="p14"/>
        <w:numPr>
          <w:ilvl w:val="0"/>
          <w:numId w:val="5"/>
        </w:numPr>
        <w:rPr>
          <w:b/>
          <w:caps/>
        </w:rPr>
      </w:pPr>
      <w:r>
        <w:t>Section 2.7.</w:t>
      </w:r>
      <w:r w:rsidR="00282942">
        <w:t>3</w:t>
      </w:r>
      <w:r>
        <w:t xml:space="preserve"> – Home Energy Reports</w:t>
      </w:r>
      <w:r w:rsidR="001646BD">
        <w:t>.</w:t>
      </w:r>
    </w:p>
    <w:p w14:paraId="533B61A2" w14:textId="681296A9" w:rsidR="00747D29" w:rsidRDefault="00021290" w:rsidP="003E02EA">
      <w:pPr>
        <w:pStyle w:val="p14"/>
        <w:ind w:firstLine="0"/>
      </w:pPr>
      <w:r>
        <w:t>The t</w:t>
      </w:r>
      <w:r w:rsidR="00471058">
        <w:t>hree</w:t>
      </w:r>
      <w:r w:rsidR="008E2DDB">
        <w:t xml:space="preserve"> </w:t>
      </w:r>
      <w:r w:rsidR="00955C5C">
        <w:t xml:space="preserve">proposed </w:t>
      </w:r>
      <w:r>
        <w:t>measure protocols the Commission combined with existing measure protocols are:</w:t>
      </w:r>
    </w:p>
    <w:p w14:paraId="3627BC38" w14:textId="77777777" w:rsidR="00471058" w:rsidRDefault="00955C5C" w:rsidP="00955C5C">
      <w:pPr>
        <w:pStyle w:val="p14"/>
        <w:numPr>
          <w:ilvl w:val="0"/>
          <w:numId w:val="5"/>
        </w:numPr>
      </w:pPr>
      <w:r>
        <w:t xml:space="preserve">Properly Sized Cooling; </w:t>
      </w:r>
    </w:p>
    <w:p w14:paraId="0B7ECF6E" w14:textId="598ED1CE" w:rsidR="00021290" w:rsidRDefault="00471058" w:rsidP="00955C5C">
      <w:pPr>
        <w:pStyle w:val="p14"/>
        <w:numPr>
          <w:ilvl w:val="0"/>
          <w:numId w:val="5"/>
        </w:numPr>
      </w:pPr>
      <w:r>
        <w:t xml:space="preserve">Basement Wall Insulation; </w:t>
      </w:r>
      <w:r w:rsidR="00955C5C">
        <w:t>and</w:t>
      </w:r>
    </w:p>
    <w:p w14:paraId="7065E7A4" w14:textId="6E22447D" w:rsidR="00955C5C" w:rsidRDefault="00955C5C" w:rsidP="00955C5C">
      <w:pPr>
        <w:pStyle w:val="p14"/>
        <w:numPr>
          <w:ilvl w:val="0"/>
          <w:numId w:val="5"/>
        </w:numPr>
      </w:pPr>
      <w:r>
        <w:t>Low-rise Multifamily New Construction</w:t>
      </w:r>
      <w:r w:rsidR="00707482">
        <w:t>.</w:t>
      </w:r>
    </w:p>
    <w:p w14:paraId="686893C2" w14:textId="77777777" w:rsidR="008C04EB" w:rsidRDefault="008C04EB" w:rsidP="00AA2116">
      <w:pPr>
        <w:pStyle w:val="p14"/>
      </w:pPr>
    </w:p>
    <w:p w14:paraId="48B2FD7B" w14:textId="31FA05CE" w:rsidR="00B712C7" w:rsidRDefault="00094D39" w:rsidP="007D061D">
      <w:pPr>
        <w:pStyle w:val="p14"/>
      </w:pPr>
      <w:r>
        <w:t>No comments were received on Section 2.4.6 – Heat Pump Clothes Dryers</w:t>
      </w:r>
      <w:r w:rsidR="008C04EB">
        <w:t xml:space="preserve">. </w:t>
      </w:r>
      <w:r w:rsidR="00B712C7">
        <w:t xml:space="preserve">This proposed change is hereby adopted by the Commission for use in Phase IV.  </w:t>
      </w:r>
    </w:p>
    <w:p w14:paraId="5FBD6FE6" w14:textId="77777777" w:rsidR="007D061D" w:rsidRDefault="007D061D" w:rsidP="007D061D">
      <w:pPr>
        <w:pStyle w:val="p14"/>
      </w:pPr>
    </w:p>
    <w:p w14:paraId="5FEFD60A" w14:textId="13C6B24D" w:rsidR="00021290" w:rsidRDefault="008C04EB" w:rsidP="00AA2116">
      <w:pPr>
        <w:pStyle w:val="p14"/>
      </w:pPr>
      <w:r>
        <w:t xml:space="preserve">Comments received on the remaining new residential EE&amp;C measure protocols are addressed below. </w:t>
      </w:r>
    </w:p>
    <w:p w14:paraId="0F9089FF" w14:textId="77777777" w:rsidR="008C04EB" w:rsidRDefault="008C04EB" w:rsidP="00AA2116">
      <w:pPr>
        <w:pStyle w:val="p14"/>
      </w:pPr>
    </w:p>
    <w:p w14:paraId="3452EC64" w14:textId="70F86364" w:rsidR="009816A2" w:rsidRDefault="00873C33" w:rsidP="00704BEC">
      <w:pPr>
        <w:pStyle w:val="Heading3"/>
        <w:numPr>
          <w:ilvl w:val="0"/>
          <w:numId w:val="6"/>
        </w:numPr>
      </w:pPr>
      <w:bookmarkStart w:id="58" w:name="_Ref12267395"/>
      <w:bookmarkStart w:id="59" w:name="_Toc15657888"/>
      <w:r>
        <w:t>Inclusion of Interim Measure Protocols in the TRM</w:t>
      </w:r>
      <w:bookmarkEnd w:id="58"/>
      <w:bookmarkEnd w:id="59"/>
    </w:p>
    <w:p w14:paraId="0409EF90" w14:textId="45CCBA2F" w:rsidR="00E5472C" w:rsidRDefault="00E5472C" w:rsidP="00E5472C">
      <w:r>
        <w:t xml:space="preserve">Several of the proposed new measure protocols were initially developed in Phase III and adopted by the SWE as interim measure protocols.  Such interim measure protocols had not been vetted or adopted by the Commission in the TRM.  With this TRM update the Commission proposed additional </w:t>
      </w:r>
      <w:r w:rsidR="00F31FD4">
        <w:t>residential measure protocols and sought comment on them.</w:t>
      </w:r>
    </w:p>
    <w:p w14:paraId="5A0F7F4E" w14:textId="77777777" w:rsidR="00F31FD4" w:rsidRPr="00E5472C" w:rsidRDefault="00F31FD4" w:rsidP="001E48C2"/>
    <w:p w14:paraId="23E5B16B" w14:textId="77777777" w:rsidR="00751A31" w:rsidRDefault="00751A31" w:rsidP="00453F14">
      <w:pPr>
        <w:pStyle w:val="Heading4"/>
        <w:numPr>
          <w:ilvl w:val="2"/>
          <w:numId w:val="17"/>
        </w:numPr>
      </w:pPr>
      <w:r w:rsidRPr="0039601A">
        <w:t>Comments</w:t>
      </w:r>
    </w:p>
    <w:p w14:paraId="25AAC8CA" w14:textId="624072E9" w:rsidR="00873C33" w:rsidRDefault="00B4454C" w:rsidP="00AA2116">
      <w:r w:rsidRPr="00F06776">
        <w:t xml:space="preserve">PECO </w:t>
      </w:r>
      <w:r w:rsidR="00CB366D" w:rsidRPr="00F06776">
        <w:t>identifie</w:t>
      </w:r>
      <w:r w:rsidR="00921844" w:rsidRPr="00F06776">
        <w:t>s</w:t>
      </w:r>
      <w:r w:rsidR="00CB366D" w:rsidRPr="00F06776">
        <w:t xml:space="preserve"> several instances where measure protocols, which</w:t>
      </w:r>
      <w:r w:rsidR="004639BE" w:rsidRPr="00F06776">
        <w:t xml:space="preserve"> had been approved during Phase III as Interim Measure Protocols</w:t>
      </w:r>
      <w:r w:rsidR="00921844" w:rsidRPr="00F06776">
        <w:t xml:space="preserve"> (IMPs)</w:t>
      </w:r>
      <w:r w:rsidR="00FB1157" w:rsidRPr="00F06776">
        <w:t xml:space="preserve">, were modified for inclusion in the 2021 TRM.  PECO </w:t>
      </w:r>
      <w:r w:rsidR="00931A7C" w:rsidRPr="00F06776">
        <w:t xml:space="preserve">recommends that </w:t>
      </w:r>
      <w:r w:rsidR="00371689" w:rsidRPr="00F06776">
        <w:t>these IMPs should be included</w:t>
      </w:r>
      <w:r w:rsidR="00A12CDA" w:rsidRPr="00F06776">
        <w:t xml:space="preserve"> in the TRM</w:t>
      </w:r>
      <w:r w:rsidR="00FD225B" w:rsidRPr="00F06776">
        <w:t>, as approved</w:t>
      </w:r>
      <w:r w:rsidR="00921844" w:rsidRPr="00F06776">
        <w:t>,</w:t>
      </w:r>
      <w:r w:rsidR="00FD225B" w:rsidRPr="00F06776">
        <w:t xml:space="preserve"> </w:t>
      </w:r>
      <w:r w:rsidR="00FE17E5" w:rsidRPr="00F06776">
        <w:t>absent material changes in information or implementation concerns.  PECO Comments at 4.</w:t>
      </w:r>
    </w:p>
    <w:p w14:paraId="5D854569" w14:textId="77777777" w:rsidR="00DC6C2A" w:rsidRDefault="00DC6C2A" w:rsidP="00AA2116"/>
    <w:p w14:paraId="2871A4A3" w14:textId="77777777" w:rsidR="00751A31" w:rsidRDefault="00751A31" w:rsidP="00453F14">
      <w:pPr>
        <w:pStyle w:val="Heading4"/>
        <w:numPr>
          <w:ilvl w:val="2"/>
          <w:numId w:val="17"/>
        </w:numPr>
      </w:pPr>
      <w:r>
        <w:lastRenderedPageBreak/>
        <w:t>Disposition</w:t>
      </w:r>
    </w:p>
    <w:p w14:paraId="42869F8C" w14:textId="1F43314A" w:rsidR="0049748F" w:rsidRDefault="00FE17E5" w:rsidP="00707482">
      <w:r>
        <w:t>The Commission rejects PECO’s suggestion</w:t>
      </w:r>
      <w:r w:rsidR="001349DD">
        <w:t xml:space="preserve"> that the Commission should not modify </w:t>
      </w:r>
      <w:r w:rsidR="004F20CF">
        <w:t>values included in Phase III IMPs when incorporating these IMPs into the 2021 TRM</w:t>
      </w:r>
      <w:r w:rsidR="00612211">
        <w:t xml:space="preserve"> merely because the values were present in the IMPs</w:t>
      </w:r>
      <w:r>
        <w:t xml:space="preserve">.  </w:t>
      </w:r>
      <w:r w:rsidR="00691E07">
        <w:t xml:space="preserve">We </w:t>
      </w:r>
      <w:r w:rsidR="00F31FD4">
        <w:t xml:space="preserve">emphasize that </w:t>
      </w:r>
      <w:r w:rsidR="00691E07">
        <w:t>the purpose of the TRM Update process is to review and update all measures</w:t>
      </w:r>
      <w:r w:rsidR="00A3503D">
        <w:t xml:space="preserve"> with the best available information</w:t>
      </w:r>
      <w:r w:rsidR="00F31FD4">
        <w:t xml:space="preserve"> at the time of the update</w:t>
      </w:r>
      <w:r w:rsidR="00691E07">
        <w:t xml:space="preserve">.  </w:t>
      </w:r>
      <w:r w:rsidR="003813C8">
        <w:t xml:space="preserve">This process applies equally to measures present in the 2016 TRM and to IMPs approved </w:t>
      </w:r>
      <w:r w:rsidR="00F31FD4">
        <w:t xml:space="preserve">by the SWE </w:t>
      </w:r>
      <w:r w:rsidR="003813C8">
        <w:t xml:space="preserve">during Phase III.  </w:t>
      </w:r>
      <w:r w:rsidR="00691E07">
        <w:t xml:space="preserve">Additionally, several of the </w:t>
      </w:r>
      <w:r w:rsidR="008F6C31">
        <w:t>modification</w:t>
      </w:r>
      <w:r w:rsidR="00A3503D">
        <w:t>s</w:t>
      </w:r>
      <w:r w:rsidR="008F6C31">
        <w:t xml:space="preserve"> identified by PECO were implemented to maintain consistency with </w:t>
      </w:r>
      <w:r w:rsidR="00F50665">
        <w:t xml:space="preserve">updated climate assumptions or residential HVAC EFLH research.  </w:t>
      </w:r>
      <w:r w:rsidR="00FA5888">
        <w:t xml:space="preserve">It is important that these assumptions be handled consistently throughout the TRM to limit the </w:t>
      </w:r>
      <w:r w:rsidR="00712572">
        <w:t xml:space="preserve">burden and cost of tracking and reporting savings.  </w:t>
      </w:r>
      <w:r w:rsidR="00770AF5">
        <w:t xml:space="preserve">Other modifications to Phase III IMPs were based on material changes in information or implementation concerns.  </w:t>
      </w:r>
    </w:p>
    <w:p w14:paraId="315FCCF0" w14:textId="77777777" w:rsidR="003F5DA0" w:rsidRDefault="003F5DA0" w:rsidP="000A3B40">
      <w:pPr>
        <w:ind w:firstLine="0"/>
      </w:pPr>
    </w:p>
    <w:p w14:paraId="7FDC1CEB" w14:textId="228F4B1D" w:rsidR="001A5150" w:rsidRPr="001A5150" w:rsidRDefault="57C7120B" w:rsidP="00453F14">
      <w:pPr>
        <w:pStyle w:val="Heading3"/>
        <w:numPr>
          <w:ilvl w:val="1"/>
          <w:numId w:val="17"/>
        </w:numPr>
      </w:pPr>
      <w:bookmarkStart w:id="60" w:name="_Toc15657889"/>
      <w:r w:rsidRPr="57C7120B">
        <w:t>Section 2.2.</w:t>
      </w:r>
      <w:r w:rsidR="00242F0F">
        <w:t>3</w:t>
      </w:r>
      <w:r w:rsidR="00B2106D">
        <w:t xml:space="preserve"> </w:t>
      </w:r>
      <w:r w:rsidR="00B2106D" w:rsidRPr="003F5DA0">
        <w:t xml:space="preserve">– </w:t>
      </w:r>
      <w:r w:rsidRPr="003F5DA0">
        <w:t>ECM Circulation Fans</w:t>
      </w:r>
      <w:bookmarkEnd w:id="60"/>
    </w:p>
    <w:p w14:paraId="7F4E51ED" w14:textId="686BA244" w:rsidR="059A53B9" w:rsidRDefault="059A53B9" w:rsidP="00453F14">
      <w:pPr>
        <w:pStyle w:val="Heading4"/>
        <w:numPr>
          <w:ilvl w:val="2"/>
          <w:numId w:val="17"/>
        </w:numPr>
      </w:pPr>
      <w:r w:rsidRPr="059A53B9">
        <w:t>Comments</w:t>
      </w:r>
    </w:p>
    <w:p w14:paraId="647B860B" w14:textId="7655D058" w:rsidR="00C72B17" w:rsidRDefault="71324090" w:rsidP="00AA2116">
      <w:r>
        <w:t xml:space="preserve">Franklin Energy </w:t>
      </w:r>
      <w:r w:rsidR="005439C9">
        <w:t>comments that</w:t>
      </w:r>
      <w:r w:rsidR="1E9F7921">
        <w:t xml:space="preserve"> </w:t>
      </w:r>
      <w:r w:rsidR="11DD2F1D">
        <w:t xml:space="preserve">brushless permanent magnet motors </w:t>
      </w:r>
      <w:r w:rsidR="3787A1FA">
        <w:t>a</w:t>
      </w:r>
      <w:r w:rsidR="005D68B7">
        <w:t>re now the federal standard</w:t>
      </w:r>
      <w:r w:rsidR="11DD2F1D">
        <w:t xml:space="preserve"> baseline</w:t>
      </w:r>
      <w:r w:rsidR="3787A1FA">
        <w:t xml:space="preserve"> for new </w:t>
      </w:r>
      <w:r w:rsidR="00231BB2">
        <w:t>air handlers</w:t>
      </w:r>
      <w:r w:rsidR="3787A1FA">
        <w:t>.</w:t>
      </w:r>
      <w:r w:rsidR="1E2A80A3">
        <w:t xml:space="preserve"> </w:t>
      </w:r>
      <w:r w:rsidR="441C42DB">
        <w:t xml:space="preserve"> </w:t>
      </w:r>
      <w:r w:rsidR="1E2A80A3">
        <w:t>Franklin Energy Comments at 37.</w:t>
      </w:r>
    </w:p>
    <w:p w14:paraId="5526AC77" w14:textId="77777777" w:rsidR="0053479B" w:rsidRDefault="0053479B" w:rsidP="00AA2116"/>
    <w:p w14:paraId="498941DD" w14:textId="32A07558" w:rsidR="0055509F" w:rsidRPr="0053479B" w:rsidRDefault="2850D8A3" w:rsidP="00453F14">
      <w:pPr>
        <w:pStyle w:val="ListParagraph"/>
        <w:numPr>
          <w:ilvl w:val="2"/>
          <w:numId w:val="18"/>
        </w:numPr>
        <w:rPr>
          <w:b/>
          <w:bCs/>
        </w:rPr>
      </w:pPr>
      <w:r w:rsidRPr="0053479B">
        <w:rPr>
          <w:b/>
          <w:bCs/>
        </w:rPr>
        <w:t>Disposition</w:t>
      </w:r>
    </w:p>
    <w:p w14:paraId="42C43E0A" w14:textId="0EB458CE" w:rsidR="00C72B17" w:rsidRPr="00C72B17" w:rsidRDefault="5C3A58D2" w:rsidP="00AA2116">
      <w:r w:rsidRPr="5C3A58D2">
        <w:t>The Commission</w:t>
      </w:r>
      <w:r w:rsidR="008A46AC">
        <w:t>, in response to Franklin Energy’s comments,</w:t>
      </w:r>
      <w:r w:rsidRPr="5C3A58D2" w:rsidDel="008A46AC">
        <w:t xml:space="preserve"> </w:t>
      </w:r>
      <w:r w:rsidRPr="5C3A58D2">
        <w:t xml:space="preserve">clarifies that this is a retrofit measure that is </w:t>
      </w:r>
      <w:r w:rsidR="58CC8EC4" w:rsidRPr="58CC8EC4">
        <w:t>exclusively for older air handlers without ECM fans, so no baseline for new equipment is needed.</w:t>
      </w:r>
    </w:p>
    <w:p w14:paraId="68F9CDCA" w14:textId="77777777" w:rsidR="003F5DA0" w:rsidRDefault="003F5DA0" w:rsidP="00AA2116"/>
    <w:p w14:paraId="34DE361B" w14:textId="123B91AC" w:rsidR="441C42DB" w:rsidRPr="003F5DA0" w:rsidRDefault="441C42DB" w:rsidP="00453F14">
      <w:pPr>
        <w:pStyle w:val="Heading3"/>
        <w:numPr>
          <w:ilvl w:val="1"/>
          <w:numId w:val="18"/>
        </w:numPr>
      </w:pPr>
      <w:bookmarkStart w:id="61" w:name="_Toc15657890"/>
      <w:r w:rsidRPr="441C42DB">
        <w:t>Section 2.2.</w:t>
      </w:r>
      <w:r w:rsidR="00242F0F">
        <w:t>4</w:t>
      </w:r>
      <w:r w:rsidR="00B2106D">
        <w:t xml:space="preserve"> – </w:t>
      </w:r>
      <w:r w:rsidRPr="003F5DA0">
        <w:t>GSHP Desuperheaters</w:t>
      </w:r>
      <w:bookmarkEnd w:id="61"/>
    </w:p>
    <w:p w14:paraId="57DC3774" w14:textId="51B70E83" w:rsidR="441C42DB" w:rsidRDefault="441C42DB" w:rsidP="00453F14">
      <w:pPr>
        <w:pStyle w:val="Heading4"/>
        <w:numPr>
          <w:ilvl w:val="2"/>
          <w:numId w:val="19"/>
        </w:numPr>
      </w:pPr>
      <w:r w:rsidRPr="441C42DB">
        <w:t>Comments</w:t>
      </w:r>
    </w:p>
    <w:p w14:paraId="3D6C0098" w14:textId="0FD85C8A" w:rsidR="009B600C" w:rsidRPr="009B600C" w:rsidRDefault="002147CB" w:rsidP="00AA2116">
      <w:r>
        <w:t>FirstEnergy</w:t>
      </w:r>
      <w:r w:rsidR="441C42DB" w:rsidRPr="441C42DB">
        <w:t xml:space="preserve"> points out an inconsistency in default values between the source documentation and the TRM for the baseline UEF </w:t>
      </w:r>
      <w:r w:rsidR="00242F0F">
        <w:t>value</w:t>
      </w:r>
      <w:r w:rsidR="6F1319A9" w:rsidRPr="6F1319A9">
        <w:t>.</w:t>
      </w:r>
      <w:r w:rsidR="441C42DB" w:rsidRPr="441C42DB">
        <w:t xml:space="preserve">  </w:t>
      </w:r>
      <w:r>
        <w:t>FirstEnergy</w:t>
      </w:r>
      <w:r w:rsidR="441C42DB" w:rsidRPr="441C42DB">
        <w:t xml:space="preserve"> Comments at 5.</w:t>
      </w:r>
      <w:r w:rsidR="00F30A31">
        <w:t xml:space="preserve">  </w:t>
      </w:r>
      <w:r w:rsidR="441C42DB" w:rsidRPr="441C42DB">
        <w:t xml:space="preserve">Franklin Energy requests clarification on whether the type of electric water heater is included as a variable in this savings algorithm.  They recommend providing a table for </w:t>
      </w:r>
      <w:r w:rsidR="6A004A16" w:rsidRPr="6A004A16">
        <w:lastRenderedPageBreak/>
        <w:t xml:space="preserve">different baseline electric water </w:t>
      </w:r>
      <w:r w:rsidR="7A5FF33E" w:rsidRPr="7A5FF33E">
        <w:t>heater default values</w:t>
      </w:r>
      <w:r w:rsidR="6A004A16" w:rsidRPr="6A004A16">
        <w:t xml:space="preserve"> </w:t>
      </w:r>
      <w:r w:rsidR="3C5C2E40">
        <w:t>by type.</w:t>
      </w:r>
      <w:r w:rsidR="6F1319A9" w:rsidRPr="6F1319A9">
        <w:t xml:space="preserve">  Franklin Energy Comments at 39.</w:t>
      </w:r>
      <w:r w:rsidR="6A004A16" w:rsidRPr="6A004A16">
        <w:t xml:space="preserve"> </w:t>
      </w:r>
    </w:p>
    <w:p w14:paraId="6485EA39" w14:textId="31A3AD47" w:rsidR="6F1319A9" w:rsidRDefault="6F1319A9" w:rsidP="00AA2116"/>
    <w:p w14:paraId="7552D73C" w14:textId="277B6E39" w:rsidR="6F1319A9" w:rsidRDefault="6F1319A9" w:rsidP="00453F14">
      <w:pPr>
        <w:pStyle w:val="Heading4"/>
        <w:numPr>
          <w:ilvl w:val="2"/>
          <w:numId w:val="19"/>
        </w:numPr>
      </w:pPr>
      <w:r w:rsidRPr="6F1319A9">
        <w:t>Disposition</w:t>
      </w:r>
    </w:p>
    <w:p w14:paraId="6FD1C255" w14:textId="5F42D269" w:rsidR="006E2037" w:rsidRDefault="6F1319A9" w:rsidP="00AA2116">
      <w:r w:rsidRPr="6F1319A9">
        <w:t xml:space="preserve">The Commission </w:t>
      </w:r>
      <w:r w:rsidR="000A51CD">
        <w:t xml:space="preserve">agrees with FirstEnergy and </w:t>
      </w:r>
      <w:r w:rsidRPr="6F1319A9">
        <w:t>correct</w:t>
      </w:r>
      <w:r w:rsidR="00A37D02">
        <w:t>ed</w:t>
      </w:r>
      <w:r w:rsidRPr="6F1319A9">
        <w:t xml:space="preserve"> the baseline UEF </w:t>
      </w:r>
      <w:r w:rsidR="00242F0F">
        <w:t>value</w:t>
      </w:r>
      <w:r w:rsidR="00242F0F" w:rsidRPr="6F1319A9">
        <w:t xml:space="preserve"> </w:t>
      </w:r>
      <w:r w:rsidRPr="6F1319A9">
        <w:t xml:space="preserve">and resulting default </w:t>
      </w:r>
      <w:r w:rsidR="00242F0F">
        <w:t>savings</w:t>
      </w:r>
      <w:r w:rsidRPr="00025ADF">
        <w:t>.</w:t>
      </w:r>
      <w:r w:rsidR="00F30A31">
        <w:t xml:space="preserve">  </w:t>
      </w:r>
      <w:r w:rsidR="00A822AD">
        <w:t xml:space="preserve">In response to Franklin Energy’s request </w:t>
      </w:r>
      <w:r w:rsidR="008B3125">
        <w:t>for</w:t>
      </w:r>
      <w:r w:rsidR="00A822AD">
        <w:t xml:space="preserve"> </w:t>
      </w:r>
      <w:r w:rsidR="00DC7697">
        <w:t>clarification, t</w:t>
      </w:r>
      <w:r w:rsidR="5648C188">
        <w:t xml:space="preserve">he Commission </w:t>
      </w:r>
      <w:r w:rsidR="00D12186">
        <w:t xml:space="preserve">specifies </w:t>
      </w:r>
      <w:r w:rsidR="5648C188">
        <w:t xml:space="preserve">that electric water heater values are based on the 2018 Pennsylvania Residential Baseline Study and adds “any type” to the eligibility requirements.  </w:t>
      </w:r>
      <w:r w:rsidR="007C48AF">
        <w:t>Limited sample sizes for heat pump water heaters</w:t>
      </w:r>
      <w:r w:rsidR="00016EB1">
        <w:t xml:space="preserve"> prevent the Commission from segmenting the baseline efficiency values by type. </w:t>
      </w:r>
      <w:r w:rsidR="00FA11E4">
        <w:t xml:space="preserve"> </w:t>
      </w:r>
      <w:r w:rsidR="00016EB1">
        <w:t xml:space="preserve">EDCs may </w:t>
      </w:r>
      <w:r w:rsidR="000B578A">
        <w:t>gather data on efficiency ratings of existing heat pump water heaters if they wish to use those values when calculating savings</w:t>
      </w:r>
      <w:r w:rsidR="5648C188">
        <w:t>.</w:t>
      </w:r>
    </w:p>
    <w:p w14:paraId="37D0F419" w14:textId="598D4ABC" w:rsidR="3810B003" w:rsidRDefault="3810B003" w:rsidP="00AA2116"/>
    <w:p w14:paraId="1EE6D0B9" w14:textId="43E3A33C" w:rsidR="00CB710E" w:rsidRPr="00CB710E" w:rsidRDefault="3810B003" w:rsidP="00453F14">
      <w:pPr>
        <w:pStyle w:val="Heading3"/>
        <w:numPr>
          <w:ilvl w:val="1"/>
          <w:numId w:val="19"/>
        </w:numPr>
      </w:pPr>
      <w:bookmarkStart w:id="62" w:name="_Toc15657891"/>
      <w:r w:rsidRPr="3810B003">
        <w:t>Section 2.2.</w:t>
      </w:r>
      <w:r w:rsidR="00242F0F">
        <w:t>5</w:t>
      </w:r>
      <w:r w:rsidR="00B2106D">
        <w:t xml:space="preserve"> – </w:t>
      </w:r>
      <w:r w:rsidRPr="003F5DA0">
        <w:t xml:space="preserve">Air Conditioner </w:t>
      </w:r>
      <w:r w:rsidR="51E255DD" w:rsidRPr="003F5DA0">
        <w:t>&amp;</w:t>
      </w:r>
      <w:r w:rsidRPr="3810B003">
        <w:t xml:space="preserve"> Heat Pump Maintenance</w:t>
      </w:r>
      <w:bookmarkEnd w:id="62"/>
    </w:p>
    <w:p w14:paraId="745D7290" w14:textId="44253E1C" w:rsidR="51E255DD" w:rsidRDefault="51E255DD" w:rsidP="00453F14">
      <w:pPr>
        <w:pStyle w:val="Heading4"/>
        <w:numPr>
          <w:ilvl w:val="2"/>
          <w:numId w:val="19"/>
        </w:numPr>
      </w:pPr>
      <w:r w:rsidRPr="51E255DD">
        <w:t>Comments</w:t>
      </w:r>
    </w:p>
    <w:p w14:paraId="23EA8C0F" w14:textId="785F79F0" w:rsidR="00225F76" w:rsidRPr="00225F76" w:rsidRDefault="002147CB" w:rsidP="00AA2116">
      <w:r>
        <w:t>FirstEnergy</w:t>
      </w:r>
      <w:r w:rsidR="0EF61216" w:rsidRPr="0EF61216">
        <w:t xml:space="preserve"> requests removing “room air conditioner” and “electric </w:t>
      </w:r>
      <w:r w:rsidR="2FE14562" w:rsidRPr="2FE14562">
        <w:t xml:space="preserve">resistance” from </w:t>
      </w:r>
      <w:r w:rsidR="00242F0F">
        <w:t>the table of default equipment efficiency values</w:t>
      </w:r>
      <w:r w:rsidR="2FE14562" w:rsidRPr="2FE14562">
        <w:t xml:space="preserve">, as these types of systems are not eligible for maintenance.  </w:t>
      </w:r>
      <w:r>
        <w:t>FirstEnergy</w:t>
      </w:r>
      <w:r w:rsidR="2FE14562" w:rsidRPr="2FE14562">
        <w:t xml:space="preserve"> Comments at 5.</w:t>
      </w:r>
      <w:r w:rsidR="00F30A31">
        <w:t xml:space="preserve">  </w:t>
      </w:r>
      <w:r w:rsidR="3E274C12" w:rsidRPr="3E274C12">
        <w:t>Franklin Energy recommends adding a separate set of hours</w:t>
      </w:r>
      <w:r w:rsidR="4CAA358C" w:rsidRPr="4CAA358C">
        <w:t xml:space="preserve"> for the EFLH variable for secondary units.</w:t>
      </w:r>
      <w:r w:rsidR="5EE3A8A2" w:rsidRPr="5EE3A8A2">
        <w:t xml:space="preserve"> </w:t>
      </w:r>
      <w:r w:rsidR="4B25506B" w:rsidRPr="4B25506B">
        <w:t xml:space="preserve"> Franklin Energy Comments at 42.</w:t>
      </w:r>
    </w:p>
    <w:p w14:paraId="19499736" w14:textId="6F4F80C3" w:rsidR="4B25506B" w:rsidRDefault="4B25506B" w:rsidP="00AA2116"/>
    <w:p w14:paraId="1A3588DD" w14:textId="55A85E80" w:rsidR="4B25506B" w:rsidRDefault="4B25506B" w:rsidP="00453F14">
      <w:pPr>
        <w:pStyle w:val="Heading4"/>
        <w:numPr>
          <w:ilvl w:val="2"/>
          <w:numId w:val="19"/>
        </w:numPr>
      </w:pPr>
      <w:r w:rsidRPr="4B25506B">
        <w:t>Disposition</w:t>
      </w:r>
    </w:p>
    <w:p w14:paraId="442E7184" w14:textId="7B7AE8C8" w:rsidR="00E93D0A" w:rsidRDefault="003A7FEA" w:rsidP="00AA2116">
      <w:r>
        <w:t xml:space="preserve">The Commission </w:t>
      </w:r>
      <w:r w:rsidR="002C6B86">
        <w:t>agrees with FirstEnergy</w:t>
      </w:r>
      <w:r w:rsidR="00D837B0">
        <w:t xml:space="preserve">’s request and </w:t>
      </w:r>
      <w:r>
        <w:t xml:space="preserve">has replaced the table of default heating and cooling system efficiency values in this measure with a reference to </w:t>
      </w:r>
      <w:r w:rsidRPr="00025ADF">
        <w:t>Table 2-8: Default Baseline Equipment Efficiency for High Efficiency Equipment in Section 2.2.1 - High Efficiency Equipment: ASHP, CAC, GSHP, PTAC, PTHP.</w:t>
      </w:r>
      <w:r w:rsidR="00F30A31">
        <w:t xml:space="preserve">  </w:t>
      </w:r>
      <w:r w:rsidR="1FA331D0">
        <w:t xml:space="preserve">The Commission </w:t>
      </w:r>
      <w:r w:rsidR="00D61B0C">
        <w:t>notes</w:t>
      </w:r>
      <w:r w:rsidR="00F7732F">
        <w:t>, regarding Franklin Energy’s recommendation</w:t>
      </w:r>
      <w:r w:rsidR="00C7525F">
        <w:t xml:space="preserve"> to add a separate set of hours</w:t>
      </w:r>
      <w:r w:rsidR="00C052BC">
        <w:t xml:space="preserve"> for the EFLH variable for secondary units,</w:t>
      </w:r>
      <w:r w:rsidR="1FA331D0">
        <w:t xml:space="preserve"> that EFLH </w:t>
      </w:r>
      <w:r w:rsidR="00BE7041">
        <w:t xml:space="preserve">values for secondary units </w:t>
      </w:r>
      <w:r w:rsidR="1FA331D0">
        <w:t>are provided in Appendix A.</w:t>
      </w:r>
    </w:p>
    <w:p w14:paraId="2CB3C12E" w14:textId="77777777" w:rsidR="00EC1CEB" w:rsidRPr="004D7BC0" w:rsidRDefault="00EC1CEB" w:rsidP="00AA2116"/>
    <w:p w14:paraId="6B1E42F9" w14:textId="5B8CB6C1" w:rsidR="00873C33" w:rsidRPr="00873C33" w:rsidRDefault="0049748F" w:rsidP="00453F14">
      <w:pPr>
        <w:pStyle w:val="Heading3"/>
        <w:numPr>
          <w:ilvl w:val="1"/>
          <w:numId w:val="19"/>
        </w:numPr>
      </w:pPr>
      <w:bookmarkStart w:id="63" w:name="_Toc14686816"/>
      <w:bookmarkStart w:id="64" w:name="_Toc14686963"/>
      <w:bookmarkStart w:id="65" w:name="_Toc14687110"/>
      <w:bookmarkStart w:id="66" w:name="_Ref13214212"/>
      <w:bookmarkStart w:id="67" w:name="_Toc15657892"/>
      <w:bookmarkEnd w:id="63"/>
      <w:bookmarkEnd w:id="64"/>
      <w:bookmarkEnd w:id="65"/>
      <w:r w:rsidRPr="002902A4">
        <w:lastRenderedPageBreak/>
        <w:t>Section 2.2.1</w:t>
      </w:r>
      <w:r w:rsidR="00242F0F">
        <w:t>1</w:t>
      </w:r>
      <w:r w:rsidRPr="002902A4">
        <w:t xml:space="preserve"> – ENERGY STAR Connected </w:t>
      </w:r>
      <w:r>
        <w:t>Thermostats</w:t>
      </w:r>
      <w:bookmarkEnd w:id="66"/>
      <w:bookmarkEnd w:id="67"/>
    </w:p>
    <w:p w14:paraId="037F9A20" w14:textId="648FB5D8" w:rsidR="0049748F" w:rsidRDefault="0049748F" w:rsidP="00453F14">
      <w:pPr>
        <w:pStyle w:val="Heading4"/>
        <w:numPr>
          <w:ilvl w:val="2"/>
          <w:numId w:val="19"/>
        </w:numPr>
      </w:pPr>
      <w:r>
        <w:t>Comments</w:t>
      </w:r>
    </w:p>
    <w:p w14:paraId="12BC0971" w14:textId="65FBB26A" w:rsidR="001641A6" w:rsidRDefault="001641A6" w:rsidP="00AA2116">
      <w:r w:rsidRPr="00DC46EF">
        <w:t xml:space="preserve">Franklin Energy recommends better quantification of “receiving education” in </w:t>
      </w:r>
      <w:r w:rsidR="00E537F8" w:rsidRPr="006D5956">
        <w:t>T</w:t>
      </w:r>
      <w:r w:rsidRPr="006D5956">
        <w:t>able 2-3</w:t>
      </w:r>
      <w:r w:rsidR="009B24DB">
        <w:t>5</w:t>
      </w:r>
      <w:r w:rsidR="00E537F8" w:rsidRPr="00DC46EF">
        <w:t xml:space="preserve">. </w:t>
      </w:r>
      <w:r w:rsidR="00DC66CD" w:rsidRPr="00DC46EF">
        <w:t xml:space="preserve"> </w:t>
      </w:r>
      <w:r w:rsidR="00B93AEB">
        <w:t xml:space="preserve">Franklin Energy Comments at 61. </w:t>
      </w:r>
      <w:r w:rsidR="00F30A31">
        <w:t xml:space="preserve"> </w:t>
      </w:r>
      <w:r w:rsidRPr="00DC46EF">
        <w:t xml:space="preserve">PECO recommends ensuring consistency between the IMP and the TRM </w:t>
      </w:r>
      <w:r w:rsidR="00241978" w:rsidRPr="006D5956">
        <w:t xml:space="preserve">and </w:t>
      </w:r>
      <w:r w:rsidR="006D5956" w:rsidRPr="006D5956">
        <w:t>note</w:t>
      </w:r>
      <w:r w:rsidR="006D5956">
        <w:t xml:space="preserve">s </w:t>
      </w:r>
      <w:r w:rsidR="00241978">
        <w:t>that</w:t>
      </w:r>
      <w:r w:rsidRPr="00DC46EF">
        <w:t xml:space="preserve"> baseboard heating is currently eligible under approved </w:t>
      </w:r>
      <w:r w:rsidR="00241978" w:rsidRPr="00DC46EF">
        <w:t>IMPs but</w:t>
      </w:r>
      <w:r w:rsidRPr="00DC46EF">
        <w:t xml:space="preserve"> is not eligible in the</w:t>
      </w:r>
      <w:r w:rsidR="00E537F8" w:rsidRPr="00DC46EF">
        <w:t xml:space="preserve"> </w:t>
      </w:r>
      <w:r w:rsidRPr="00DC46EF">
        <w:t xml:space="preserve">TRM </w:t>
      </w:r>
      <w:r w:rsidR="00E537F8" w:rsidRPr="00DC46EF">
        <w:t xml:space="preserve">measure. </w:t>
      </w:r>
      <w:r w:rsidR="00FA11E4">
        <w:t xml:space="preserve"> </w:t>
      </w:r>
      <w:r w:rsidR="00E537F8" w:rsidRPr="00DC46EF">
        <w:t xml:space="preserve">PECO suggests </w:t>
      </w:r>
      <w:r w:rsidR="00241978">
        <w:t>that</w:t>
      </w:r>
      <w:r w:rsidR="00E537F8" w:rsidRPr="00DC46EF">
        <w:t xml:space="preserve"> baseboard heating </w:t>
      </w:r>
      <w:r w:rsidR="00E537F8" w:rsidRPr="006D5956">
        <w:t>systems be included</w:t>
      </w:r>
      <w:r w:rsidR="00E537F8" w:rsidRPr="00DC46EF">
        <w:t xml:space="preserve"> in the </w:t>
      </w:r>
      <w:r w:rsidR="001034A1" w:rsidRPr="00DC46EF">
        <w:t>TRM</w:t>
      </w:r>
      <w:r w:rsidR="001034A1">
        <w:t xml:space="preserve"> but</w:t>
      </w:r>
      <w:r w:rsidR="00241978">
        <w:t xml:space="preserve"> does not address the technical discussion provided in the </w:t>
      </w:r>
      <w:r w:rsidR="001034A1">
        <w:t xml:space="preserve">proposed Manual </w:t>
      </w:r>
      <w:r w:rsidR="00241978">
        <w:t>regarding the exclusion of baseboard heating systems</w:t>
      </w:r>
      <w:r w:rsidR="00E537F8" w:rsidRPr="00DC46EF">
        <w:t xml:space="preserve">. </w:t>
      </w:r>
      <w:r w:rsidR="00FA11E4">
        <w:t xml:space="preserve"> </w:t>
      </w:r>
      <w:r w:rsidR="00B93AEB">
        <w:t xml:space="preserve">PECO Comments at 2. </w:t>
      </w:r>
      <w:r w:rsidR="00F30A31">
        <w:t xml:space="preserve"> </w:t>
      </w:r>
      <w:r w:rsidR="002147CB">
        <w:t>FirstEnergy</w:t>
      </w:r>
      <w:r w:rsidRPr="00DC46EF">
        <w:t xml:space="preserve"> </w:t>
      </w:r>
      <w:r w:rsidR="00E537F8" w:rsidRPr="00DC46EF">
        <w:t>requests additional detail and guidance regarding</w:t>
      </w:r>
      <w:r w:rsidRPr="00DC46EF">
        <w:t xml:space="preserve"> </w:t>
      </w:r>
      <w:r w:rsidR="00E537F8" w:rsidRPr="00DC46EF">
        <w:t>default</w:t>
      </w:r>
      <w:r w:rsidRPr="00DC46EF">
        <w:t xml:space="preserve"> </w:t>
      </w:r>
      <w:r w:rsidR="00E537F8" w:rsidRPr="00DC46EF">
        <w:t>u</w:t>
      </w:r>
      <w:r w:rsidRPr="00DC46EF">
        <w:t>pstream</w:t>
      </w:r>
      <w:r w:rsidR="00E537F8" w:rsidRPr="00DC46EF">
        <w:t xml:space="preserve"> EFLH values</w:t>
      </w:r>
      <w:r w:rsidRPr="00DC46EF">
        <w:t xml:space="preserve">. </w:t>
      </w:r>
      <w:r w:rsidR="00FA11E4">
        <w:t xml:space="preserve"> </w:t>
      </w:r>
      <w:r w:rsidR="002147CB">
        <w:t>FirstEnergy</w:t>
      </w:r>
      <w:r w:rsidR="00E537F8" w:rsidRPr="00DC46EF">
        <w:t xml:space="preserve"> requests s</w:t>
      </w:r>
      <w:r w:rsidRPr="00DC46EF">
        <w:t>tatewide default</w:t>
      </w:r>
      <w:r w:rsidR="00E537F8" w:rsidRPr="00DC46EF">
        <w:t xml:space="preserve"> values</w:t>
      </w:r>
      <w:r w:rsidRPr="00DC46EF">
        <w:t xml:space="preserve"> </w:t>
      </w:r>
      <w:r w:rsidR="00E537F8" w:rsidRPr="00DC46EF">
        <w:t>to</w:t>
      </w:r>
      <w:r w:rsidRPr="00DC46EF">
        <w:t xml:space="preserve"> </w:t>
      </w:r>
      <w:r w:rsidR="00D53B57">
        <w:t xml:space="preserve">either </w:t>
      </w:r>
      <w:r w:rsidRPr="00DC46EF">
        <w:t xml:space="preserve">be clearly identified </w:t>
      </w:r>
      <w:r w:rsidRPr="006D5956">
        <w:t xml:space="preserve">in Vol. 1, Appendix A or </w:t>
      </w:r>
      <w:r w:rsidR="00E537F8" w:rsidRPr="006D5956">
        <w:t>inclu</w:t>
      </w:r>
      <w:r w:rsidR="00D53B57">
        <w:t xml:space="preserve">ded </w:t>
      </w:r>
      <w:r w:rsidR="00E537F8" w:rsidRPr="006D5956">
        <w:t xml:space="preserve">by </w:t>
      </w:r>
      <w:r w:rsidRPr="006D5956">
        <w:t>EDC</w:t>
      </w:r>
      <w:r w:rsidRPr="00DC46EF">
        <w:t>.</w:t>
      </w:r>
      <w:r w:rsidR="00B93AEB">
        <w:t xml:space="preserve"> </w:t>
      </w:r>
      <w:r w:rsidR="00FA11E4">
        <w:t xml:space="preserve"> </w:t>
      </w:r>
      <w:r w:rsidR="002147CB">
        <w:t>FirstEnergy</w:t>
      </w:r>
      <w:r w:rsidR="00B93AEB">
        <w:t xml:space="preserve"> </w:t>
      </w:r>
      <w:r w:rsidR="00911436">
        <w:t>C</w:t>
      </w:r>
      <w:r w:rsidR="00B93AEB">
        <w:t>omments at 2.</w:t>
      </w:r>
    </w:p>
    <w:p w14:paraId="2452D7BC" w14:textId="77777777" w:rsidR="00FF5F45" w:rsidRPr="00DC46EF" w:rsidRDefault="00FF5F45" w:rsidP="00AA2116"/>
    <w:p w14:paraId="4880282D" w14:textId="11B0EABC" w:rsidR="00D425A1" w:rsidRDefault="00D425A1" w:rsidP="00453F14">
      <w:pPr>
        <w:pStyle w:val="Heading4"/>
        <w:numPr>
          <w:ilvl w:val="2"/>
          <w:numId w:val="19"/>
        </w:numPr>
      </w:pPr>
      <w:r>
        <w:t>Disposition</w:t>
      </w:r>
    </w:p>
    <w:p w14:paraId="67197195" w14:textId="7A944C48" w:rsidR="001641A6" w:rsidRDefault="001641A6" w:rsidP="00AA2116">
      <w:r>
        <w:t xml:space="preserve">The Commission provides discussion of the distinction between self-installation with and without education above </w:t>
      </w:r>
      <w:r w:rsidRPr="00D63D34">
        <w:t>Table 2-3</w:t>
      </w:r>
      <w:r w:rsidR="009B24DB">
        <w:t>5</w:t>
      </w:r>
      <w:r>
        <w:t xml:space="preserve">. </w:t>
      </w:r>
      <w:r w:rsidR="00FA11E4">
        <w:t xml:space="preserve"> </w:t>
      </w:r>
      <w:r>
        <w:t xml:space="preserve">The EDCs </w:t>
      </w:r>
      <w:r w:rsidR="00DC66CD">
        <w:t>can</w:t>
      </w:r>
      <w:r>
        <w:t xml:space="preserve"> </w:t>
      </w:r>
      <w:r w:rsidR="006E2908">
        <w:t xml:space="preserve">further </w:t>
      </w:r>
      <w:r>
        <w:t xml:space="preserve">define specific education requirements in their </w:t>
      </w:r>
      <w:r w:rsidR="006E2908">
        <w:t xml:space="preserve">own </w:t>
      </w:r>
      <w:r>
        <w:t xml:space="preserve">program planning design. </w:t>
      </w:r>
      <w:r w:rsidR="00F30A31">
        <w:t xml:space="preserve"> </w:t>
      </w:r>
      <w:r>
        <w:t xml:space="preserve">Baseboard heating is not included as an eligible </w:t>
      </w:r>
      <w:r w:rsidR="00E537F8">
        <w:t>system</w:t>
      </w:r>
      <w:r>
        <w:t xml:space="preserve"> for the </w:t>
      </w:r>
      <w:r w:rsidR="00C02A29">
        <w:t>ENERGY STAR Connected</w:t>
      </w:r>
      <w:r>
        <w:t xml:space="preserve"> Thermostat measure based on discussion</w:t>
      </w:r>
      <w:r w:rsidR="00DC66CD">
        <w:t>s between the SWE team and</w:t>
      </w:r>
      <w:r>
        <w:t xml:space="preserve"> </w:t>
      </w:r>
      <w:r w:rsidR="00DC66CD">
        <w:t>the</w:t>
      </w:r>
      <w:r>
        <w:t xml:space="preserve"> two leading </w:t>
      </w:r>
      <w:r w:rsidR="00DC66CD">
        <w:t>s</w:t>
      </w:r>
      <w:r>
        <w:t xml:space="preserve">mart </w:t>
      </w:r>
      <w:r w:rsidR="00DC66CD">
        <w:t>t</w:t>
      </w:r>
      <w:r>
        <w:t xml:space="preserve">hermostat vendors. </w:t>
      </w:r>
      <w:r w:rsidR="00FA11E4">
        <w:t xml:space="preserve"> </w:t>
      </w:r>
      <w:r>
        <w:t>These manufacturers stated that the</w:t>
      </w:r>
      <w:r w:rsidR="00DC66CD">
        <w:t>ir</w:t>
      </w:r>
      <w:r>
        <w:t xml:space="preserve"> products are not compatible with baseboard heating units</w:t>
      </w:r>
      <w:r w:rsidR="00DC66CD">
        <w:t xml:space="preserve"> because of input voltage</w:t>
      </w:r>
      <w:r w:rsidR="004B3950">
        <w:t>;</w:t>
      </w:r>
      <w:r>
        <w:t xml:space="preserve"> therefore</w:t>
      </w:r>
      <w:r w:rsidR="004B3950">
        <w:t>,</w:t>
      </w:r>
      <w:r>
        <w:t xml:space="preserve"> the Commission </w:t>
      </w:r>
      <w:r w:rsidR="00DC66CD">
        <w:t>rejects PECO’</w:t>
      </w:r>
      <w:r>
        <w:t xml:space="preserve">s </w:t>
      </w:r>
      <w:r w:rsidR="00DC66CD">
        <w:t>suggestion to include</w:t>
      </w:r>
      <w:r>
        <w:t xml:space="preserve"> baseboard heating systems in the </w:t>
      </w:r>
      <w:r w:rsidR="00C02A29">
        <w:t>Connected</w:t>
      </w:r>
      <w:r>
        <w:t xml:space="preserve"> Thermostat measure.</w:t>
      </w:r>
    </w:p>
    <w:p w14:paraId="6CE62A6A" w14:textId="77777777" w:rsidR="00AA2B50" w:rsidRDefault="00AA2B50" w:rsidP="00AA2116"/>
    <w:p w14:paraId="28AB497E" w14:textId="2E3A95B8" w:rsidR="001641A6" w:rsidRDefault="001641A6" w:rsidP="00AA2116">
      <w:r>
        <w:t>T</w:t>
      </w:r>
      <w:r w:rsidR="00B93AEB">
        <w:t xml:space="preserve">he Commission agrees with </w:t>
      </w:r>
      <w:r w:rsidR="002147CB">
        <w:t>FirstEnergy</w:t>
      </w:r>
      <w:r>
        <w:t xml:space="preserve">’s </w:t>
      </w:r>
      <w:r w:rsidR="0003049B">
        <w:t xml:space="preserve">suggestion </w:t>
      </w:r>
      <w:r>
        <w:t xml:space="preserve">and has added detail to assist with the calculation </w:t>
      </w:r>
      <w:r w:rsidR="00992D73">
        <w:t xml:space="preserve">of </w:t>
      </w:r>
      <w:r w:rsidR="001034A1">
        <w:t xml:space="preserve">blended </w:t>
      </w:r>
      <w:r w:rsidR="00992D73">
        <w:t xml:space="preserve">EFLH values for </w:t>
      </w:r>
      <w:r w:rsidR="001034A1">
        <w:t>use in upstream program delivery where the service address of the participant is unknown</w:t>
      </w:r>
      <w:r w:rsidR="00992D73">
        <w:t>.</w:t>
      </w:r>
      <w:r w:rsidR="00234B17">
        <w:t xml:space="preserve"> </w:t>
      </w:r>
      <w:r w:rsidR="001034A1">
        <w:t xml:space="preserve"> </w:t>
      </w:r>
      <w:r w:rsidR="00234B17">
        <w:t xml:space="preserve">We do not </w:t>
      </w:r>
      <w:r w:rsidR="0031398C">
        <w:t>provide</w:t>
      </w:r>
      <w:r w:rsidR="00234B17">
        <w:t xml:space="preserve"> all EDC specific EFLH values, but these can be calculated using a simple weighted average of </w:t>
      </w:r>
      <w:r w:rsidR="00477D29">
        <w:t>the EDC Climate Region Weights (</w:t>
      </w:r>
      <w:r w:rsidR="00477D29" w:rsidRPr="00D63D34">
        <w:t>Table 1-6</w:t>
      </w:r>
      <w:r w:rsidR="00477D29">
        <w:t xml:space="preserve">) and the EFLH cooling and heating values provided in the Residential HVAC Equivalent Full Load Hour and Coincidence Factor </w:t>
      </w:r>
      <w:r w:rsidR="00477D29">
        <w:lastRenderedPageBreak/>
        <w:t>Assumptions table (</w:t>
      </w:r>
      <w:r w:rsidR="00477D29" w:rsidRPr="00D63D34">
        <w:t>Table 1-8</w:t>
      </w:r>
      <w:r w:rsidR="00477D29">
        <w:t xml:space="preserve">). </w:t>
      </w:r>
      <w:r w:rsidR="00FA11E4">
        <w:t xml:space="preserve"> </w:t>
      </w:r>
      <w:r w:rsidR="0031398C">
        <w:t>We have added text to describe this methodology into the TRM.</w:t>
      </w:r>
      <w:r w:rsidR="00FA11E4">
        <w:t xml:space="preserve"> </w:t>
      </w:r>
      <w:r w:rsidR="0031398C">
        <w:t xml:space="preserve"> For further explanation, we provide </w:t>
      </w:r>
      <w:r w:rsidR="00477D29">
        <w:t>a</w:t>
      </w:r>
      <w:r w:rsidR="0031398C">
        <w:t>n</w:t>
      </w:r>
      <w:r w:rsidR="00477D29">
        <w:t xml:space="preserve"> example</w:t>
      </w:r>
      <w:r w:rsidR="0031398C">
        <w:t xml:space="preserve"> here. </w:t>
      </w:r>
      <w:r w:rsidR="00FA11E4">
        <w:t xml:space="preserve"> </w:t>
      </w:r>
      <w:r w:rsidR="0031398C">
        <w:t>T</w:t>
      </w:r>
      <w:r w:rsidR="00477D29">
        <w:t xml:space="preserve">o obtain Penn Power’s </w:t>
      </w:r>
      <w:r w:rsidR="00E537F8">
        <w:t>cooling EFLH</w:t>
      </w:r>
      <w:r w:rsidR="00477D29">
        <w:t xml:space="preserve"> for central air conditioner and heat pump, utilize the following equation.</w:t>
      </w:r>
    </w:p>
    <w:p w14:paraId="6C61553B" w14:textId="77777777" w:rsidR="001034A1" w:rsidRDefault="001034A1" w:rsidP="00AA2116"/>
    <w:p w14:paraId="72AC907E" w14:textId="48F04D52" w:rsidR="001F46CF" w:rsidRPr="00257FFE" w:rsidRDefault="001F46CF" w:rsidP="00AA2116">
      <m:oMathPara>
        <m:oMath>
          <m:r>
            <m:rPr>
              <m:sty m:val="bi"/>
            </m:rPr>
            <w:rPr>
              <w:rFonts w:ascii="Cambria Math" w:hAnsi="Cambria Math"/>
            </w:rPr>
            <m:t>EFL</m:t>
          </m:r>
          <m:sSub>
            <m:sSubPr>
              <m:ctrlPr>
                <w:rPr>
                  <w:rFonts w:ascii="Cambria Math" w:hAnsi="Cambria Math"/>
                </w:rPr>
              </m:ctrlPr>
            </m:sSubPr>
            <m:e>
              <m:r>
                <m:rPr>
                  <m:sty m:val="bi"/>
                </m:rPr>
                <w:rPr>
                  <w:rFonts w:ascii="Cambria Math" w:hAnsi="Cambria Math"/>
                </w:rPr>
                <m:t>H</m:t>
              </m:r>
            </m:e>
            <m:sub>
              <m:r>
                <m:rPr>
                  <m:sty m:val="bi"/>
                </m:rPr>
                <w:rPr>
                  <w:rFonts w:ascii="Cambria Math" w:hAnsi="Cambria Math"/>
                </w:rPr>
                <m:t>cool</m:t>
              </m:r>
            </m:sub>
          </m:sSub>
          <m:r>
            <m:rPr>
              <m:sty m:val="p"/>
            </m:rPr>
            <w:rPr>
              <w:rFonts w:ascii="Cambria Math" w:hAnsi="Cambria Math"/>
            </w:rPr>
            <m:t>=(</m:t>
          </m:r>
          <m:r>
            <m:rPr>
              <m:sty m:val="bi"/>
            </m:rPr>
            <w:rPr>
              <w:rFonts w:ascii="Cambria Math" w:hAnsi="Cambria Math"/>
            </w:rPr>
            <m:t>Region</m:t>
          </m:r>
          <m:r>
            <m:rPr>
              <m:sty m:val="p"/>
            </m:rPr>
            <w:rPr>
              <w:rFonts w:ascii="Cambria Math" w:hAnsi="Cambria Math"/>
            </w:rPr>
            <m:t xml:space="preserve"> </m:t>
          </m:r>
          <m:r>
            <m:rPr>
              <m:sty m:val="bi"/>
            </m:rPr>
            <w:rPr>
              <w:rFonts w:ascii="Cambria Math" w:hAnsi="Cambria Math"/>
            </w:rPr>
            <m:t>H</m:t>
          </m:r>
          <m:r>
            <m:rPr>
              <m:sty m:val="p"/>
            </m:rPr>
            <w:rPr>
              <w:rFonts w:ascii="Cambria Math" w:hAnsi="Cambria Math"/>
            </w:rPr>
            <m:t xml:space="preserve"> </m:t>
          </m:r>
          <m:r>
            <m:rPr>
              <m:sty m:val="bi"/>
            </m:rPr>
            <w:rPr>
              <w:rFonts w:ascii="Cambria Math" w:hAnsi="Cambria Math"/>
            </w:rPr>
            <m:t>Weight</m:t>
          </m:r>
          <m:r>
            <m:rPr>
              <m:sty m:val="p"/>
            </m:rPr>
            <w:rPr>
              <w:rFonts w:ascii="Cambria Math" w:hAnsi="Cambria Math"/>
            </w:rPr>
            <m:t>*</m:t>
          </m:r>
          <m:sSub>
            <m:sSubPr>
              <m:ctrlPr>
                <w:rPr>
                  <w:rFonts w:ascii="Cambria Math" w:hAnsi="Cambria Math"/>
                </w:rPr>
              </m:ctrlPr>
            </m:sSubPr>
            <m:e>
              <m:r>
                <m:rPr>
                  <m:sty m:val="bi"/>
                </m:rPr>
                <w:rPr>
                  <w:rFonts w:ascii="Cambria Math" w:hAnsi="Cambria Math"/>
                </w:rPr>
                <m:t>EFLH</m:t>
              </m:r>
            </m:e>
            <m:sub>
              <m:r>
                <m:rPr>
                  <m:sty m:val="bi"/>
                </m:rPr>
                <w:rPr>
                  <w:rFonts w:ascii="Cambria Math" w:hAnsi="Cambria Math"/>
                </w:rPr>
                <m:t>Cool</m:t>
              </m:r>
              <m:r>
                <m:rPr>
                  <m:sty m:val="p"/>
                </m:rPr>
                <w:rPr>
                  <w:rFonts w:ascii="Cambria Math" w:hAnsi="Cambria Math"/>
                </w:rPr>
                <m:t>-</m:t>
              </m:r>
              <m:r>
                <m:rPr>
                  <m:sty m:val="bi"/>
                </m:rPr>
                <w:rPr>
                  <w:rFonts w:ascii="Cambria Math" w:hAnsi="Cambria Math"/>
                </w:rPr>
                <m:t>H</m:t>
              </m:r>
            </m:sub>
          </m:sSub>
          <m:r>
            <m:rPr>
              <m:sty m:val="p"/>
            </m:rPr>
            <w:rPr>
              <w:rFonts w:ascii="Cambria Math" w:hAnsi="Cambria Math"/>
            </w:rPr>
            <m:t>)+(</m:t>
          </m:r>
          <m:r>
            <m:rPr>
              <m:sty m:val="bi"/>
            </m:rPr>
            <w:rPr>
              <w:rFonts w:ascii="Cambria Math" w:hAnsi="Cambria Math"/>
            </w:rPr>
            <m:t>Region</m:t>
          </m:r>
          <m:r>
            <m:rPr>
              <m:sty m:val="p"/>
            </m:rPr>
            <w:rPr>
              <w:rFonts w:ascii="Cambria Math" w:hAnsi="Cambria Math"/>
            </w:rPr>
            <m:t xml:space="preserve"> </m:t>
          </m:r>
          <m:r>
            <m:rPr>
              <m:sty m:val="bi"/>
            </m:rPr>
            <w:rPr>
              <w:rFonts w:ascii="Cambria Math" w:hAnsi="Cambria Math"/>
            </w:rPr>
            <m:t>I</m:t>
          </m:r>
          <m:r>
            <m:rPr>
              <m:sty m:val="p"/>
            </m:rPr>
            <w:rPr>
              <w:rFonts w:ascii="Cambria Math" w:hAnsi="Cambria Math"/>
            </w:rPr>
            <m:t xml:space="preserve"> </m:t>
          </m:r>
          <m:r>
            <m:rPr>
              <m:sty m:val="bi"/>
            </m:rPr>
            <w:rPr>
              <w:rFonts w:ascii="Cambria Math" w:hAnsi="Cambria Math"/>
            </w:rPr>
            <m:t>Weight</m:t>
          </m:r>
          <m:r>
            <m:rPr>
              <m:sty m:val="p"/>
            </m:rPr>
            <w:rPr>
              <w:rFonts w:ascii="Cambria Math" w:hAnsi="Cambria Math"/>
            </w:rPr>
            <m:t>*</m:t>
          </m:r>
          <m:sSub>
            <m:sSubPr>
              <m:ctrlPr>
                <w:rPr>
                  <w:rFonts w:ascii="Cambria Math" w:hAnsi="Cambria Math"/>
                </w:rPr>
              </m:ctrlPr>
            </m:sSubPr>
            <m:e>
              <m:r>
                <m:rPr>
                  <m:sty m:val="bi"/>
                </m:rPr>
                <w:rPr>
                  <w:rFonts w:ascii="Cambria Math" w:hAnsi="Cambria Math"/>
                </w:rPr>
                <m:t>EFLH</m:t>
              </m:r>
            </m:e>
            <m:sub>
              <m:r>
                <m:rPr>
                  <m:sty m:val="bi"/>
                </m:rPr>
                <w:rPr>
                  <w:rFonts w:ascii="Cambria Math" w:hAnsi="Cambria Math"/>
                </w:rPr>
                <m:t>Cool</m:t>
              </m:r>
              <m:r>
                <m:rPr>
                  <m:sty m:val="p"/>
                </m:rPr>
                <w:rPr>
                  <w:rFonts w:ascii="Cambria Math" w:hAnsi="Cambria Math"/>
                </w:rPr>
                <m:t>-</m:t>
              </m:r>
              <m:r>
                <m:rPr>
                  <m:sty m:val="bi"/>
                </m:rPr>
                <w:rPr>
                  <w:rFonts w:ascii="Cambria Math" w:hAnsi="Cambria Math"/>
                </w:rPr>
                <m:t>I</m:t>
              </m:r>
            </m:sub>
          </m:sSub>
          <m:r>
            <m:rPr>
              <m:sty m:val="p"/>
            </m:rPr>
            <w:rPr>
              <w:rFonts w:ascii="Cambria Math" w:hAnsi="Cambria Math"/>
            </w:rPr>
            <m:t>)</m:t>
          </m:r>
        </m:oMath>
      </m:oMathPara>
    </w:p>
    <w:p w14:paraId="52E2DB07" w14:textId="3B637C83" w:rsidR="00477D29" w:rsidRPr="00257FFE" w:rsidRDefault="00477D29" w:rsidP="00AA2116">
      <m:oMathPara>
        <m:oMath>
          <m:r>
            <m:rPr>
              <m:sty m:val="bi"/>
            </m:rPr>
            <w:rPr>
              <w:rFonts w:ascii="Cambria Math" w:hAnsi="Cambria Math"/>
            </w:rPr>
            <m:t>EFL</m:t>
          </m:r>
          <m:sSub>
            <m:sSubPr>
              <m:ctrlPr>
                <w:rPr>
                  <w:rFonts w:ascii="Cambria Math" w:hAnsi="Cambria Math"/>
                </w:rPr>
              </m:ctrlPr>
            </m:sSubPr>
            <m:e>
              <m:r>
                <m:rPr>
                  <m:sty m:val="bi"/>
                </m:rPr>
                <w:rPr>
                  <w:rFonts w:ascii="Cambria Math" w:hAnsi="Cambria Math"/>
                </w:rPr>
                <m:t>H</m:t>
              </m:r>
            </m:e>
            <m:sub>
              <m:r>
                <m:rPr>
                  <m:sty m:val="bi"/>
                </m:rPr>
                <w:rPr>
                  <w:rFonts w:ascii="Cambria Math" w:hAnsi="Cambria Math"/>
                </w:rPr>
                <m:t>cool</m:t>
              </m:r>
            </m:sub>
          </m:sSub>
          <m:r>
            <m:rPr>
              <m:sty m:val="p"/>
            </m:rPr>
            <w:rPr>
              <w:rFonts w:ascii="Cambria Math" w:hAnsi="Cambria Math"/>
            </w:rPr>
            <m:t>=(</m:t>
          </m:r>
          <m:r>
            <m:rPr>
              <m:sty m:val="b"/>
            </m:rPr>
            <w:rPr>
              <w:rFonts w:ascii="Cambria Math" w:hAnsi="Cambria Math"/>
            </w:rPr>
            <m:t>0</m:t>
          </m:r>
          <m:r>
            <m:rPr>
              <m:sty m:val="p"/>
            </m:rPr>
            <w:rPr>
              <w:rFonts w:ascii="Cambria Math" w:hAnsi="Cambria Math"/>
            </w:rPr>
            <m:t>.</m:t>
          </m:r>
          <m:r>
            <m:rPr>
              <m:sty m:val="b"/>
            </m:rPr>
            <w:rPr>
              <w:rFonts w:ascii="Cambria Math" w:hAnsi="Cambria Math"/>
            </w:rPr>
            <m:t>697</m:t>
          </m:r>
          <m:r>
            <m:rPr>
              <m:sty m:val="p"/>
            </m:rPr>
            <w:rPr>
              <w:rFonts w:ascii="Cambria Math" w:hAnsi="Cambria Math"/>
            </w:rPr>
            <m:t>*</m:t>
          </m:r>
          <m:r>
            <m:rPr>
              <m:sty m:val="b"/>
            </m:rPr>
            <w:rPr>
              <w:rFonts w:ascii="Cambria Math" w:hAnsi="Cambria Math"/>
            </w:rPr>
            <m:t>544</m:t>
          </m:r>
          <m:r>
            <m:rPr>
              <m:sty m:val="p"/>
            </m:rPr>
            <w:rPr>
              <w:rFonts w:ascii="Cambria Math" w:hAnsi="Cambria Math"/>
            </w:rPr>
            <m:t>)+(</m:t>
          </m:r>
          <m:r>
            <m:rPr>
              <m:sty m:val="b"/>
            </m:rPr>
            <w:rPr>
              <w:rFonts w:ascii="Cambria Math" w:hAnsi="Cambria Math"/>
            </w:rPr>
            <m:t>0</m:t>
          </m:r>
          <m:r>
            <m:rPr>
              <m:sty m:val="p"/>
            </m:rPr>
            <w:rPr>
              <w:rFonts w:ascii="Cambria Math" w:hAnsi="Cambria Math"/>
            </w:rPr>
            <m:t>.</m:t>
          </m:r>
          <m:r>
            <m:rPr>
              <m:sty m:val="b"/>
            </m:rPr>
            <w:rPr>
              <w:rFonts w:ascii="Cambria Math" w:hAnsi="Cambria Math"/>
            </w:rPr>
            <m:t>303</m:t>
          </m:r>
          <m:r>
            <m:rPr>
              <m:sty m:val="p"/>
            </m:rPr>
            <w:rPr>
              <w:rFonts w:ascii="Cambria Math" w:hAnsi="Cambria Math"/>
            </w:rPr>
            <m:t>*</m:t>
          </m:r>
          <m:r>
            <m:rPr>
              <m:sty m:val="b"/>
            </m:rPr>
            <w:rPr>
              <w:rFonts w:ascii="Cambria Math" w:hAnsi="Cambria Math"/>
            </w:rPr>
            <m:t>468</m:t>
          </m:r>
          <m:r>
            <m:rPr>
              <m:sty m:val="p"/>
            </m:rPr>
            <w:rPr>
              <w:rFonts w:ascii="Cambria Math" w:hAnsi="Cambria Math"/>
            </w:rPr>
            <m:t>)</m:t>
          </m:r>
        </m:oMath>
      </m:oMathPara>
    </w:p>
    <w:p w14:paraId="7A9EA3E6" w14:textId="1C1B3BE4" w:rsidR="00477D29" w:rsidRPr="00257FFE" w:rsidRDefault="00477D29" w:rsidP="00AA2116">
      <m:oMathPara>
        <m:oMath>
          <m:r>
            <m:rPr>
              <m:sty m:val="bi"/>
            </m:rPr>
            <w:rPr>
              <w:rFonts w:ascii="Cambria Math" w:hAnsi="Cambria Math"/>
            </w:rPr>
            <m:t>EFL</m:t>
          </m:r>
          <m:sSub>
            <m:sSubPr>
              <m:ctrlPr>
                <w:rPr>
                  <w:rFonts w:ascii="Cambria Math" w:hAnsi="Cambria Math"/>
                </w:rPr>
              </m:ctrlPr>
            </m:sSubPr>
            <m:e>
              <m:r>
                <m:rPr>
                  <m:sty m:val="bi"/>
                </m:rPr>
                <w:rPr>
                  <w:rFonts w:ascii="Cambria Math" w:hAnsi="Cambria Math"/>
                </w:rPr>
                <m:t>H</m:t>
              </m:r>
            </m:e>
            <m:sub>
              <m:r>
                <m:rPr>
                  <m:sty m:val="bi"/>
                </m:rPr>
                <w:rPr>
                  <w:rFonts w:ascii="Cambria Math" w:hAnsi="Cambria Math"/>
                </w:rPr>
                <m:t>cool</m:t>
              </m:r>
            </m:sub>
          </m:sSub>
          <m:r>
            <m:rPr>
              <m:sty m:val="p"/>
            </m:rPr>
            <w:rPr>
              <w:rFonts w:ascii="Cambria Math" w:hAnsi="Cambria Math"/>
            </w:rPr>
            <m:t>=</m:t>
          </m:r>
          <m:r>
            <m:rPr>
              <m:sty m:val="b"/>
            </m:rPr>
            <w:rPr>
              <w:rFonts w:ascii="Cambria Math" w:hAnsi="Cambria Math"/>
            </w:rPr>
            <m:t>520</m:t>
          </m:r>
          <m:r>
            <m:rPr>
              <m:sty m:val="p"/>
            </m:rPr>
            <w:rPr>
              <w:rFonts w:ascii="Cambria Math" w:hAnsi="Cambria Math"/>
            </w:rPr>
            <m:t>.</m:t>
          </m:r>
          <m:r>
            <m:rPr>
              <m:sty m:val="b"/>
            </m:rPr>
            <w:rPr>
              <w:rFonts w:ascii="Cambria Math" w:hAnsi="Cambria Math"/>
            </w:rPr>
            <m:t>972</m:t>
          </m:r>
        </m:oMath>
      </m:oMathPara>
    </w:p>
    <w:p w14:paraId="4A9911EE" w14:textId="77777777" w:rsidR="00C64F77" w:rsidRDefault="00FF2DA7" w:rsidP="00AA2116">
      <w:pPr>
        <w:pStyle w:val="p14"/>
      </w:pPr>
      <w:r>
        <w:tab/>
      </w:r>
      <w:r>
        <w:tab/>
      </w:r>
    </w:p>
    <w:p w14:paraId="6FB5ADE7" w14:textId="1598B4D1" w:rsidR="00F756B2" w:rsidRPr="00F756B2" w:rsidRDefault="00FF2DA7" w:rsidP="00AA2116">
      <w:pPr>
        <w:pStyle w:val="p14"/>
        <w:rPr>
          <w:szCs w:val="26"/>
        </w:rPr>
      </w:pPr>
      <w:r w:rsidRPr="55F11673">
        <w:t>Although</w:t>
      </w:r>
      <w:r w:rsidR="004074F3" w:rsidRPr="55F11673">
        <w:t xml:space="preserve"> no stakeholders commented on the error, the Commission noted during the review of the proposed </w:t>
      </w:r>
      <w:r w:rsidR="003A46E3">
        <w:t>TRM</w:t>
      </w:r>
      <w:r w:rsidR="003A46E3" w:rsidRPr="55F11673">
        <w:t xml:space="preserve"> </w:t>
      </w:r>
      <w:r w:rsidR="004074F3" w:rsidRPr="55F11673">
        <w:t xml:space="preserve">that the </w:t>
      </w:r>
      <w:r w:rsidR="003A46E3">
        <w:t>u</w:t>
      </w:r>
      <w:r w:rsidR="00EB04FD" w:rsidRPr="55F11673">
        <w:t xml:space="preserve">nit values for the capacity terms in </w:t>
      </w:r>
      <w:r w:rsidR="00EB04FD" w:rsidRPr="00D63D34">
        <w:t>Table 2-3</w:t>
      </w:r>
      <w:r w:rsidR="009B24DB">
        <w:t>6</w:t>
      </w:r>
      <w:r w:rsidR="00EB04FD" w:rsidRPr="55F11673">
        <w:t xml:space="preserve"> were incorrect.  </w:t>
      </w:r>
      <w:r w:rsidR="00EB04FD" w:rsidRPr="00D63D34">
        <w:t>Table 2-3</w:t>
      </w:r>
      <w:r w:rsidR="009B24DB">
        <w:t>6</w:t>
      </w:r>
      <w:r w:rsidR="00EB04FD" w:rsidRPr="55F11673">
        <w:t xml:space="preserve"> </w:t>
      </w:r>
      <w:r w:rsidR="005B4C71" w:rsidRPr="55F11673">
        <w:t xml:space="preserve">of the proposed TRM </w:t>
      </w:r>
      <w:r w:rsidR="00B926B6" w:rsidRPr="55F11673">
        <w:t xml:space="preserve">incorrectly </w:t>
      </w:r>
      <w:r w:rsidR="00EB04FD" w:rsidRPr="55F11673">
        <w:t>indicate</w:t>
      </w:r>
      <w:r w:rsidR="005B4C71" w:rsidRPr="55F11673">
        <w:t>d</w:t>
      </w:r>
      <w:r w:rsidR="00EB04FD" w:rsidRPr="55F11673">
        <w:t xml:space="preserve"> </w:t>
      </w:r>
      <w:r w:rsidR="005B4C71" w:rsidRPr="55F11673">
        <w:t xml:space="preserve">that the </w:t>
      </w:r>
      <w:r w:rsidR="00533C26" w:rsidRPr="55F11673">
        <w:t>HVAC system</w:t>
      </w:r>
      <w:r w:rsidR="00B926B6" w:rsidRPr="55F11673">
        <w:t xml:space="preserve"> capacity </w:t>
      </w:r>
      <w:r w:rsidR="00533C26" w:rsidRPr="55F11673">
        <w:t>values were</w:t>
      </w:r>
      <w:r w:rsidR="00B926B6" w:rsidRPr="55F11673">
        <w:t xml:space="preserve"> in</w:t>
      </w:r>
      <w:r w:rsidR="00533C26" w:rsidRPr="55F11673">
        <w:t xml:space="preserve"> units of</w:t>
      </w:r>
      <w:r w:rsidR="00B926B6" w:rsidRPr="55F11673">
        <w:t xml:space="preserve"> kBTU/hour.  The default values </w:t>
      </w:r>
      <w:r w:rsidR="008359BE" w:rsidRPr="55F11673">
        <w:t xml:space="preserve">in </w:t>
      </w:r>
      <w:r w:rsidR="008359BE" w:rsidRPr="00D63D34">
        <w:t>Table 2-3</w:t>
      </w:r>
      <w:r w:rsidR="009B24DB">
        <w:t>6</w:t>
      </w:r>
      <w:r w:rsidR="008359BE" w:rsidRPr="55F11673">
        <w:t xml:space="preserve"> </w:t>
      </w:r>
      <w:r w:rsidR="00B926B6" w:rsidRPr="55F11673">
        <w:t xml:space="preserve">are in BTU/hour and the </w:t>
      </w:r>
      <w:r w:rsidR="00CD51A8" w:rsidRPr="55F11673">
        <w:t xml:space="preserve">algorithms </w:t>
      </w:r>
      <w:r w:rsidR="008359BE" w:rsidRPr="55F11673">
        <w:t xml:space="preserve">require capacity values in BTU/hour to </w:t>
      </w:r>
      <w:r w:rsidR="00C64F77" w:rsidRPr="55F11673">
        <w:t xml:space="preserve">return valid savings estimates. </w:t>
      </w:r>
      <w:r w:rsidR="00533C26" w:rsidRPr="55F11673">
        <w:t xml:space="preserve"> </w:t>
      </w:r>
      <w:r w:rsidR="00934C13">
        <w:t>We have</w:t>
      </w:r>
      <w:r w:rsidR="00533C26" w:rsidRPr="55F11673">
        <w:t xml:space="preserve"> corrected </w:t>
      </w:r>
      <w:r w:rsidR="00934C13">
        <w:t xml:space="preserve">this error </w:t>
      </w:r>
      <w:r w:rsidR="00533C26" w:rsidRPr="55F11673">
        <w:t xml:space="preserve">in the </w:t>
      </w:r>
      <w:r w:rsidR="00B1779E" w:rsidRPr="55F11673">
        <w:t xml:space="preserve">final TRM. </w:t>
      </w:r>
    </w:p>
    <w:p w14:paraId="43361549" w14:textId="4E6462C6" w:rsidR="55F11673" w:rsidRDefault="55F11673" w:rsidP="00AA2116">
      <w:pPr>
        <w:pStyle w:val="p14"/>
      </w:pPr>
    </w:p>
    <w:p w14:paraId="74B8E7A5" w14:textId="27010BE8" w:rsidR="55F11673" w:rsidRDefault="55F11673" w:rsidP="00453F14">
      <w:pPr>
        <w:pStyle w:val="Heading3"/>
        <w:numPr>
          <w:ilvl w:val="1"/>
          <w:numId w:val="19"/>
        </w:numPr>
      </w:pPr>
      <w:bookmarkStart w:id="68" w:name="_Toc15657893"/>
      <w:r w:rsidRPr="55F11673">
        <w:t>Section 2.2.1</w:t>
      </w:r>
      <w:r w:rsidR="00242F0F">
        <w:t>2</w:t>
      </w:r>
      <w:r w:rsidR="00B2106D">
        <w:t xml:space="preserve"> – </w:t>
      </w:r>
      <w:r w:rsidRPr="0082744A">
        <w:t>Furnace Maintenance</w:t>
      </w:r>
      <w:bookmarkEnd w:id="68"/>
    </w:p>
    <w:p w14:paraId="3A3D81E3" w14:textId="138C7BE3" w:rsidR="002A4D29" w:rsidRPr="002A4D29" w:rsidRDefault="3728DF7E" w:rsidP="00453F14">
      <w:pPr>
        <w:pStyle w:val="Heading4"/>
        <w:numPr>
          <w:ilvl w:val="2"/>
          <w:numId w:val="19"/>
        </w:numPr>
      </w:pPr>
      <w:r>
        <w:t>Comments</w:t>
      </w:r>
    </w:p>
    <w:p w14:paraId="54B1348A" w14:textId="761A98C0" w:rsidR="009E63F9" w:rsidRPr="009E63F9" w:rsidRDefault="002147CB" w:rsidP="00AA2116">
      <w:r>
        <w:t>FirstEnergy</w:t>
      </w:r>
      <w:r w:rsidR="0C10ADE2">
        <w:t xml:space="preserve">, Franklin Energy, </w:t>
      </w:r>
      <w:r w:rsidR="5E5AFAC7">
        <w:t>and PECO comment</w:t>
      </w:r>
      <w:r w:rsidR="4F0B778E">
        <w:t xml:space="preserve"> that the title of </w:t>
      </w:r>
      <w:r w:rsidR="4F0B778E" w:rsidRPr="00D63D34">
        <w:t>Table 2-4</w:t>
      </w:r>
      <w:r w:rsidR="009B24DB">
        <w:t>2</w:t>
      </w:r>
      <w:r w:rsidR="4F0B778E">
        <w:t xml:space="preserve"> does not </w:t>
      </w:r>
      <w:r w:rsidR="506EC1BE">
        <w:t>use</w:t>
      </w:r>
      <w:r w:rsidR="4F0B778E">
        <w:t xml:space="preserve"> the </w:t>
      </w:r>
      <w:r w:rsidR="506EC1BE">
        <w:t>correct units</w:t>
      </w:r>
      <w:r w:rsidR="29EC5A2C">
        <w:t xml:space="preserve"> for the content of the table.</w:t>
      </w:r>
      <w:r w:rsidR="4F0B778E">
        <w:t xml:space="preserve">  </w:t>
      </w:r>
      <w:r>
        <w:t>FirstEnergy</w:t>
      </w:r>
      <w:r w:rsidR="4F0B778E">
        <w:t xml:space="preserve"> </w:t>
      </w:r>
      <w:r w:rsidR="6E82306B">
        <w:t>Comments at 2</w:t>
      </w:r>
      <w:r w:rsidR="52038253">
        <w:t xml:space="preserve">.  </w:t>
      </w:r>
      <w:r w:rsidR="29EC5A2C">
        <w:t>Franklin</w:t>
      </w:r>
      <w:r w:rsidR="52038253">
        <w:t xml:space="preserve"> Energy Comments </w:t>
      </w:r>
      <w:r w:rsidR="29EC5A2C">
        <w:t>at 68.  PECO Comments at 8</w:t>
      </w:r>
      <w:r w:rsidR="6E82306B">
        <w:t>.</w:t>
      </w:r>
      <w:r w:rsidR="00F30A31">
        <w:t xml:space="preserve">  </w:t>
      </w:r>
      <w:r w:rsidR="015A7413">
        <w:t>PECO recommends that the TRM be revised to include the gas savings values that were part of the relevant IMP.  PECO Comments at 8.</w:t>
      </w:r>
    </w:p>
    <w:p w14:paraId="7C5AF630" w14:textId="5372A837" w:rsidR="22131EF3" w:rsidRDefault="22131EF3" w:rsidP="00AA2116"/>
    <w:p w14:paraId="44355D38" w14:textId="1BF77892" w:rsidR="00C046A4" w:rsidRPr="00C046A4" w:rsidRDefault="026A6314" w:rsidP="00453F14">
      <w:pPr>
        <w:pStyle w:val="Heading4"/>
        <w:numPr>
          <w:ilvl w:val="2"/>
          <w:numId w:val="19"/>
        </w:numPr>
      </w:pPr>
      <w:r>
        <w:t>Disposition</w:t>
      </w:r>
    </w:p>
    <w:p w14:paraId="5A26196E" w14:textId="18B26FAC" w:rsidR="00ED34BF" w:rsidRDefault="026A6314" w:rsidP="00AA2116">
      <w:r>
        <w:t xml:space="preserve">The Commission agrees with </w:t>
      </w:r>
      <w:r w:rsidR="00253302">
        <w:t>commenta</w:t>
      </w:r>
      <w:r w:rsidR="00ED34BF">
        <w:t>tors</w:t>
      </w:r>
      <w:r>
        <w:t xml:space="preserve"> and </w:t>
      </w:r>
      <w:r w:rsidR="00D63D34">
        <w:t>corrected</w:t>
      </w:r>
      <w:r w:rsidR="2F5B3C05">
        <w:t xml:space="preserve"> the units in </w:t>
      </w:r>
      <w:r w:rsidR="2F5B3C05" w:rsidRPr="00D63D34">
        <w:t>Table 2-4</w:t>
      </w:r>
      <w:r w:rsidR="009B24DB">
        <w:t>2</w:t>
      </w:r>
      <w:r w:rsidR="2F5B3C05">
        <w:t>.</w:t>
      </w:r>
      <w:r w:rsidR="00F30A31">
        <w:t xml:space="preserve">  </w:t>
      </w:r>
      <w:r w:rsidR="00FF6AAE">
        <w:t>However, we decline</w:t>
      </w:r>
      <w:r w:rsidR="0003049B">
        <w:t xml:space="preserve"> to adopt</w:t>
      </w:r>
      <w:r w:rsidR="001455D1">
        <w:t xml:space="preserve"> PECO’s recommendation</w:t>
      </w:r>
      <w:r w:rsidR="00ED34BF">
        <w:t xml:space="preserve"> to add natural gas savings to this measure. </w:t>
      </w:r>
      <w:r w:rsidR="00351ECB">
        <w:t xml:space="preserve"> </w:t>
      </w:r>
      <w:r w:rsidR="00ED34BF">
        <w:t xml:space="preserve">The Act 129 </w:t>
      </w:r>
      <w:r w:rsidR="00F002C1">
        <w:t>2021</w:t>
      </w:r>
      <w:r w:rsidR="00313C68">
        <w:t xml:space="preserve"> </w:t>
      </w:r>
      <w:r w:rsidR="00ED34BF">
        <w:t xml:space="preserve">TRM is a guide for quantifying electricity savings.  </w:t>
      </w:r>
    </w:p>
    <w:p w14:paraId="4564053A" w14:textId="2BD65FCE" w:rsidR="2F5B3C05" w:rsidRDefault="2F5B3C05" w:rsidP="00AA2116"/>
    <w:p w14:paraId="1D5513E5" w14:textId="77777777" w:rsidR="008D6ABE" w:rsidRPr="002D05AA" w:rsidRDefault="008D6ABE" w:rsidP="00453F14">
      <w:pPr>
        <w:pStyle w:val="Heading3"/>
        <w:numPr>
          <w:ilvl w:val="1"/>
          <w:numId w:val="19"/>
        </w:numPr>
        <w:rPr>
          <w:rStyle w:val="Heading3Char"/>
          <w:b/>
        </w:rPr>
      </w:pPr>
      <w:bookmarkStart w:id="69" w:name="_Toc13771180"/>
      <w:bookmarkStart w:id="70" w:name="_Toc15657894"/>
      <w:bookmarkEnd w:id="69"/>
      <w:r>
        <w:lastRenderedPageBreak/>
        <w:t xml:space="preserve">Section 2.3.10 </w:t>
      </w:r>
      <w:r w:rsidRPr="002D05AA">
        <w:rPr>
          <w:rStyle w:val="Heading3Char"/>
          <w:b/>
        </w:rPr>
        <w:t xml:space="preserve">– </w:t>
      </w:r>
      <w:r w:rsidRPr="0082744A">
        <w:rPr>
          <w:rStyle w:val="Heading3Char"/>
          <w:b/>
        </w:rPr>
        <w:t>Drain Water Heat Recovery</w:t>
      </w:r>
      <w:bookmarkEnd w:id="70"/>
    </w:p>
    <w:p w14:paraId="63E8EF1D" w14:textId="77777777" w:rsidR="008D6ABE" w:rsidRDefault="008D6ABE" w:rsidP="00453F14">
      <w:pPr>
        <w:pStyle w:val="Heading4"/>
        <w:numPr>
          <w:ilvl w:val="2"/>
          <w:numId w:val="19"/>
        </w:numPr>
      </w:pPr>
      <w:r>
        <w:t>Comments</w:t>
      </w:r>
    </w:p>
    <w:p w14:paraId="7A2A0AD7" w14:textId="77777777" w:rsidR="008D6ABE" w:rsidRDefault="008D6ABE" w:rsidP="008D6ABE">
      <w:r w:rsidRPr="00D36AEB">
        <w:t>Brian McGowan recommends the addition of a residential drain water heat recovery measure</w:t>
      </w:r>
      <w:r>
        <w:t xml:space="preserve">.  </w:t>
      </w:r>
      <w:r w:rsidRPr="00D36AEB">
        <w:t xml:space="preserve">Brian McGowan Comments at 2. </w:t>
      </w:r>
    </w:p>
    <w:p w14:paraId="39EEDC1B" w14:textId="77777777" w:rsidR="008D6ABE" w:rsidRPr="00D36AEB" w:rsidRDefault="008D6ABE" w:rsidP="008D6ABE"/>
    <w:p w14:paraId="1B7ED758" w14:textId="77777777" w:rsidR="008D6ABE" w:rsidRDefault="008D6ABE" w:rsidP="00453F14">
      <w:pPr>
        <w:pStyle w:val="Heading4"/>
        <w:numPr>
          <w:ilvl w:val="2"/>
          <w:numId w:val="19"/>
        </w:numPr>
      </w:pPr>
      <w:r>
        <w:t>Disposition</w:t>
      </w:r>
    </w:p>
    <w:p w14:paraId="6C181525" w14:textId="77777777" w:rsidR="008D6ABE" w:rsidRDefault="008D6ABE" w:rsidP="008D6ABE">
      <w:r w:rsidRPr="00651521">
        <w:t xml:space="preserve">The Commission agrees </w:t>
      </w:r>
      <w:r>
        <w:t xml:space="preserve">with Brian McGowan’s recommendation </w:t>
      </w:r>
      <w:r w:rsidRPr="00651521">
        <w:t xml:space="preserve">and has developed a </w:t>
      </w:r>
      <w:r>
        <w:t xml:space="preserve">drain water heat recovery </w:t>
      </w:r>
      <w:r w:rsidRPr="00651521">
        <w:t>measure for residential applications</w:t>
      </w:r>
      <w:r>
        <w:t xml:space="preserve"> and added it to the 2021 TRM.  </w:t>
      </w:r>
      <w:r w:rsidRPr="00D36AEB">
        <w:t>Drain water heat recovery units capture waste heat from shower grey water and use it to preheat cold water that is delivered to the shower mixing valve, the water heater, or both</w:t>
      </w:r>
      <w:r>
        <w:t xml:space="preserve">.  </w:t>
      </w:r>
      <w:r w:rsidRPr="00D36AEB">
        <w:t>Savings are calculated per drain water heat recovery unit.</w:t>
      </w:r>
    </w:p>
    <w:p w14:paraId="0E18B521" w14:textId="77777777" w:rsidR="008D6ABE" w:rsidRDefault="008D6ABE" w:rsidP="008D6ABE"/>
    <w:p w14:paraId="66A21CCF" w14:textId="491A3965" w:rsidR="004B6E1D" w:rsidRDefault="004B6E1D" w:rsidP="00453F14">
      <w:pPr>
        <w:pStyle w:val="Heading3"/>
        <w:numPr>
          <w:ilvl w:val="1"/>
          <w:numId w:val="19"/>
        </w:numPr>
      </w:pPr>
      <w:bookmarkStart w:id="71" w:name="_Toc15657895"/>
      <w:r>
        <w:t>Section 2.4.10 – De</w:t>
      </w:r>
      <w:r w:rsidRPr="0082744A">
        <w:t>humidifier</w:t>
      </w:r>
      <w:r>
        <w:t xml:space="preserve"> Retirement</w:t>
      </w:r>
      <w:bookmarkEnd w:id="71"/>
    </w:p>
    <w:p w14:paraId="74CBC3E1" w14:textId="2DB3B085" w:rsidR="004B6E1D" w:rsidRDefault="005175C2" w:rsidP="00453F14">
      <w:pPr>
        <w:pStyle w:val="Heading4"/>
        <w:numPr>
          <w:ilvl w:val="2"/>
          <w:numId w:val="19"/>
        </w:numPr>
      </w:pPr>
      <w:r>
        <w:t>Comments</w:t>
      </w:r>
    </w:p>
    <w:p w14:paraId="2E602BD3" w14:textId="565333CC" w:rsidR="005175C2" w:rsidRDefault="005175C2" w:rsidP="00AA2116">
      <w:r>
        <w:t>PECO</w:t>
      </w:r>
      <w:r w:rsidR="00D024EE">
        <w:t xml:space="preserve"> requests revising the text to clarify which values </w:t>
      </w:r>
      <w:r w:rsidR="00D024EE" w:rsidRPr="00D63D34">
        <w:t xml:space="preserve">from </w:t>
      </w:r>
      <w:r w:rsidR="006E4F5E">
        <w:t>S</w:t>
      </w:r>
      <w:r w:rsidR="00D024EE" w:rsidRPr="00D63D34">
        <w:t>ource 5</w:t>
      </w:r>
      <w:r w:rsidR="00D024EE">
        <w:t xml:space="preserve"> should be use</w:t>
      </w:r>
      <w:r w:rsidR="00C14D09">
        <w:t>d</w:t>
      </w:r>
      <w:r w:rsidR="00D024EE">
        <w:t xml:space="preserve">. </w:t>
      </w:r>
      <w:r w:rsidR="00351ECB">
        <w:t xml:space="preserve"> </w:t>
      </w:r>
      <w:r w:rsidR="00D024EE">
        <w:t>PECO Comments at 8.</w:t>
      </w:r>
    </w:p>
    <w:p w14:paraId="50F70215" w14:textId="77777777" w:rsidR="003E02EA" w:rsidRDefault="003E02EA" w:rsidP="00AA2116"/>
    <w:p w14:paraId="02B1B3AA" w14:textId="1A8DA27C" w:rsidR="00D024EE" w:rsidRPr="005175C2" w:rsidRDefault="00E323E8" w:rsidP="00453F14">
      <w:pPr>
        <w:pStyle w:val="Heading4"/>
        <w:numPr>
          <w:ilvl w:val="2"/>
          <w:numId w:val="19"/>
        </w:numPr>
      </w:pPr>
      <w:r>
        <w:t>Disposition</w:t>
      </w:r>
    </w:p>
    <w:p w14:paraId="51134D9B" w14:textId="3F9C4D0A" w:rsidR="005175C2" w:rsidRDefault="00C12002" w:rsidP="00AA2116">
      <w:r>
        <w:t>It was not the Commission’s intention to require</w:t>
      </w:r>
      <w:r w:rsidR="00267BD4">
        <w:t xml:space="preserve"> savings calculations </w:t>
      </w:r>
      <w:r w:rsidR="00E64E9A">
        <w:t xml:space="preserve">by direct use of TMY3 data (source 5). </w:t>
      </w:r>
      <w:r w:rsidR="00E26A45">
        <w:t xml:space="preserve"> </w:t>
      </w:r>
      <w:r w:rsidR="00E64E9A">
        <w:t xml:space="preserve">The Commission has provided pre-calculated values for typical dehumidifier capacities. </w:t>
      </w:r>
      <w:r w:rsidR="00E26A45">
        <w:t xml:space="preserve"> </w:t>
      </w:r>
      <w:r w:rsidR="00E64E9A">
        <w:t xml:space="preserve">The Commission has added clarifying </w:t>
      </w:r>
      <w:r w:rsidR="00E64E9A" w:rsidRPr="00D63D34">
        <w:t xml:space="preserve">text </w:t>
      </w:r>
      <w:r w:rsidR="00EB0A45">
        <w:t xml:space="preserve">to the TRM </w:t>
      </w:r>
      <w:r w:rsidR="00D63D34">
        <w:t>that explains</w:t>
      </w:r>
      <w:r w:rsidR="00D63D34" w:rsidDel="00DF2FA0">
        <w:t xml:space="preserve"> </w:t>
      </w:r>
      <w:r w:rsidR="00E64E9A" w:rsidDel="00DF2FA0">
        <w:t>that</w:t>
      </w:r>
      <w:r w:rsidR="00E64E9A">
        <w:t xml:space="preserve"> savings values for unlisted capacities can be calculated by linear interpolation between adjacent provided values.</w:t>
      </w:r>
    </w:p>
    <w:p w14:paraId="4AAA3492" w14:textId="77777777" w:rsidR="002120B4" w:rsidRPr="004B6E1D" w:rsidRDefault="002120B4" w:rsidP="00AA2116"/>
    <w:p w14:paraId="60669403" w14:textId="5EBE36A2" w:rsidR="00624E96" w:rsidRPr="00624E96" w:rsidRDefault="0F595C2C" w:rsidP="00453F14">
      <w:pPr>
        <w:pStyle w:val="Heading3"/>
        <w:numPr>
          <w:ilvl w:val="1"/>
          <w:numId w:val="19"/>
        </w:numPr>
      </w:pPr>
      <w:bookmarkStart w:id="72" w:name="_Toc15657896"/>
      <w:r>
        <w:t xml:space="preserve">Section 2.4.12 – </w:t>
      </w:r>
      <w:r w:rsidRPr="0082744A">
        <w:t>ENERGY STAR Air Purifiers</w:t>
      </w:r>
      <w:bookmarkEnd w:id="72"/>
    </w:p>
    <w:p w14:paraId="2D71C8DA" w14:textId="154F9B7A" w:rsidR="00624E30" w:rsidRPr="00624E30" w:rsidRDefault="00624E96" w:rsidP="00453F14">
      <w:pPr>
        <w:pStyle w:val="Heading4"/>
        <w:numPr>
          <w:ilvl w:val="2"/>
          <w:numId w:val="19"/>
        </w:numPr>
      </w:pPr>
      <w:r>
        <w:t>Comments</w:t>
      </w:r>
    </w:p>
    <w:p w14:paraId="43BA4B43" w14:textId="017AB003" w:rsidR="00624E96" w:rsidRDefault="0031086A" w:rsidP="00AA2116">
      <w:r w:rsidRPr="004E356D">
        <w:t xml:space="preserve">PECO </w:t>
      </w:r>
      <w:r w:rsidR="00035986" w:rsidRPr="004E356D">
        <w:t>recommends</w:t>
      </w:r>
      <w:r w:rsidR="00AE45B5" w:rsidRPr="004E356D">
        <w:t xml:space="preserve"> revis</w:t>
      </w:r>
      <w:r w:rsidR="000839DE" w:rsidRPr="004E356D">
        <w:t>ing</w:t>
      </w:r>
      <w:r w:rsidR="00AE45B5" w:rsidRPr="004E356D">
        <w:t xml:space="preserve"> the text </w:t>
      </w:r>
      <w:r w:rsidR="00035986" w:rsidRPr="004E356D">
        <w:t xml:space="preserve">regarding proof of eligibility </w:t>
      </w:r>
      <w:r w:rsidR="00AE45B5" w:rsidRPr="004E356D">
        <w:t xml:space="preserve">to </w:t>
      </w:r>
      <w:r w:rsidR="009D0FD0" w:rsidRPr="004E356D">
        <w:t xml:space="preserve">clarify </w:t>
      </w:r>
      <w:r w:rsidR="00AE45B5" w:rsidRPr="004E356D">
        <w:t xml:space="preserve">that an </w:t>
      </w:r>
      <w:r w:rsidR="006A7DB1">
        <w:t>ENERGY STAR</w:t>
      </w:r>
      <w:r w:rsidR="00AE45B5" w:rsidRPr="004E356D">
        <w:t xml:space="preserve"> label is sufficient and</w:t>
      </w:r>
      <w:r w:rsidR="009D0FD0" w:rsidRPr="004E356D">
        <w:t xml:space="preserve"> </w:t>
      </w:r>
      <w:r w:rsidR="00AE45B5" w:rsidRPr="004E356D">
        <w:t>providing UL Safety Listing information is not required.</w:t>
      </w:r>
      <w:r w:rsidR="000839DE" w:rsidRPr="004E356D">
        <w:t xml:space="preserve"> </w:t>
      </w:r>
      <w:r w:rsidR="00E26A45">
        <w:t xml:space="preserve"> </w:t>
      </w:r>
      <w:r w:rsidR="000839DE" w:rsidRPr="004E356D">
        <w:t>In addition, PECO comments that t</w:t>
      </w:r>
      <w:r w:rsidR="00AE45B5" w:rsidRPr="004E356D">
        <w:t>he “CADR” variable should specify the appropriate units (e.g., cubic feet per minute).</w:t>
      </w:r>
      <w:r w:rsidRPr="004E356D">
        <w:t xml:space="preserve"> </w:t>
      </w:r>
      <w:r w:rsidR="00351ECB">
        <w:t xml:space="preserve"> </w:t>
      </w:r>
      <w:r w:rsidRPr="004E356D">
        <w:t>PECO Comments at 9.</w:t>
      </w:r>
    </w:p>
    <w:p w14:paraId="5ABF1451" w14:textId="77777777" w:rsidR="007D061D" w:rsidRDefault="007D061D" w:rsidP="00AA2116"/>
    <w:p w14:paraId="349B65E9" w14:textId="51B34D25" w:rsidR="00624E96" w:rsidRDefault="00624E96" w:rsidP="00453F14">
      <w:pPr>
        <w:pStyle w:val="Heading4"/>
        <w:numPr>
          <w:ilvl w:val="2"/>
          <w:numId w:val="19"/>
        </w:numPr>
      </w:pPr>
      <w:r>
        <w:t>Disposition</w:t>
      </w:r>
    </w:p>
    <w:p w14:paraId="0519BF4A" w14:textId="0ACC0670" w:rsidR="00EC44F3" w:rsidRDefault="00AD46A4" w:rsidP="00AA2116">
      <w:r w:rsidRPr="003D7782">
        <w:t xml:space="preserve">The Commission </w:t>
      </w:r>
      <w:r w:rsidR="006A7DB1">
        <w:t>agrees with PECO</w:t>
      </w:r>
      <w:r w:rsidR="00BA70F2">
        <w:t>’s recommendation</w:t>
      </w:r>
      <w:r w:rsidR="006A7DB1">
        <w:t xml:space="preserve"> and </w:t>
      </w:r>
      <w:r w:rsidR="00FD09AF" w:rsidRPr="003D7782">
        <w:t xml:space="preserve">added a footnote </w:t>
      </w:r>
      <w:r w:rsidR="00853C44" w:rsidRPr="003D7782">
        <w:t>clarifying that ENERGY STAR certification is sufficient and UL safety listing certification is not required.</w:t>
      </w:r>
      <w:r w:rsidR="008B3C7A" w:rsidRPr="003D7782">
        <w:t xml:space="preserve"> </w:t>
      </w:r>
      <w:r w:rsidR="00E26A45">
        <w:t xml:space="preserve"> </w:t>
      </w:r>
      <w:r w:rsidR="005F3F18">
        <w:t>Furthermore, in response to PECO’s comment, t</w:t>
      </w:r>
      <w:r w:rsidR="00633116" w:rsidRPr="003D7782">
        <w:t xml:space="preserve">he Commission also added </w:t>
      </w:r>
      <w:r w:rsidR="000955E2" w:rsidRPr="003D7782">
        <w:t>the CADR units.</w:t>
      </w:r>
    </w:p>
    <w:p w14:paraId="56E0E45E" w14:textId="77777777" w:rsidR="00D315EC" w:rsidRDefault="00D315EC" w:rsidP="00AA2116"/>
    <w:p w14:paraId="55AF9DB0" w14:textId="731D55D8" w:rsidR="007B24D2" w:rsidRDefault="007B24D2" w:rsidP="00453F14">
      <w:pPr>
        <w:pStyle w:val="Heading3"/>
        <w:numPr>
          <w:ilvl w:val="1"/>
          <w:numId w:val="19"/>
        </w:numPr>
      </w:pPr>
      <w:bookmarkStart w:id="73" w:name="_Toc15657897"/>
      <w:r w:rsidRPr="425E547D">
        <w:t xml:space="preserve">Section </w:t>
      </w:r>
      <w:r w:rsidRPr="0082744A">
        <w:t>2.6.2</w:t>
      </w:r>
      <w:r w:rsidR="00B2106D" w:rsidRPr="0082744A">
        <w:t xml:space="preserve"> – </w:t>
      </w:r>
      <w:r w:rsidR="005C3462" w:rsidRPr="0082744A">
        <w:t xml:space="preserve">Weather-Stripping, </w:t>
      </w:r>
      <w:r w:rsidR="00216B02" w:rsidRPr="0082744A">
        <w:t>Caulking</w:t>
      </w:r>
      <w:r w:rsidR="00216B02">
        <w:t>, and Outlet Gaskets</w:t>
      </w:r>
      <w:bookmarkEnd w:id="73"/>
    </w:p>
    <w:p w14:paraId="23F6D571" w14:textId="77777777" w:rsidR="005C3462" w:rsidRDefault="005C3462" w:rsidP="00453F14">
      <w:pPr>
        <w:pStyle w:val="Heading4"/>
        <w:numPr>
          <w:ilvl w:val="2"/>
          <w:numId w:val="19"/>
        </w:numPr>
      </w:pPr>
      <w:r w:rsidRPr="088D1F4A">
        <w:t>Comments</w:t>
      </w:r>
    </w:p>
    <w:p w14:paraId="15B8ED14" w14:textId="06C8B869" w:rsidR="004B4A9F" w:rsidRPr="007C1C03" w:rsidRDefault="006063BF" w:rsidP="00AA2116">
      <w:r>
        <w:t xml:space="preserve">Franklin Energy </w:t>
      </w:r>
      <w:r w:rsidR="00B0149F">
        <w:t>s</w:t>
      </w:r>
      <w:r>
        <w:t xml:space="preserve">uggests </w:t>
      </w:r>
      <w:r w:rsidR="00B0149F">
        <w:t>adding</w:t>
      </w:r>
      <w:r w:rsidR="005C1270">
        <w:t xml:space="preserve"> additional</w:t>
      </w:r>
      <w:r w:rsidR="00B0149F">
        <w:t xml:space="preserve"> </w:t>
      </w:r>
      <w:r w:rsidR="005C1270">
        <w:t xml:space="preserve">savings </w:t>
      </w:r>
      <w:r w:rsidR="004C33A0">
        <w:t xml:space="preserve">achieved through reduced fan run time for systems with a gas </w:t>
      </w:r>
      <w:r w:rsidR="004C33A0" w:rsidRPr="00D43AE6">
        <w:t>furnace</w:t>
      </w:r>
      <w:r w:rsidR="00D43AE6">
        <w:t>.</w:t>
      </w:r>
      <w:r w:rsidR="00351ECB">
        <w:t xml:space="preserve"> </w:t>
      </w:r>
      <w:r w:rsidR="004C33A0" w:rsidRPr="00D43AE6">
        <w:t xml:space="preserve"> </w:t>
      </w:r>
      <w:r w:rsidR="00D43AE6">
        <w:t xml:space="preserve">Franklin Energy </w:t>
      </w:r>
      <w:r w:rsidR="00A03DF6" w:rsidRPr="00D43AE6">
        <w:t>also</w:t>
      </w:r>
      <w:r w:rsidR="00D43AE6">
        <w:t xml:space="preserve"> suggest</w:t>
      </w:r>
      <w:r w:rsidR="00A03DF6" w:rsidRPr="00D43AE6">
        <w:t xml:space="preserve"> the addition of fuel-based energy savings for gas systems.</w:t>
      </w:r>
      <w:r w:rsidR="00A03DF6">
        <w:t xml:space="preserve"> </w:t>
      </w:r>
      <w:r w:rsidR="00E26A45">
        <w:t xml:space="preserve"> </w:t>
      </w:r>
      <w:r w:rsidR="00A03DF6">
        <w:t xml:space="preserve">Franklin Energy Comments at </w:t>
      </w:r>
      <w:r w:rsidR="00F80484">
        <w:t>160.</w:t>
      </w:r>
      <w:r w:rsidR="00F30A31">
        <w:t xml:space="preserve">  </w:t>
      </w:r>
      <w:r w:rsidR="00EA4F27">
        <w:t>Franklin Energy notes that</w:t>
      </w:r>
      <w:r w:rsidR="004C0DDD">
        <w:t>,</w:t>
      </w:r>
      <w:r w:rsidR="00EA4F27">
        <w:t xml:space="preserve"> </w:t>
      </w:r>
      <w:r w:rsidR="00BF5341">
        <w:t>in the I</w:t>
      </w:r>
      <w:r w:rsidR="00E26A45">
        <w:t>llinois</w:t>
      </w:r>
      <w:r w:rsidR="00BF5341">
        <w:t xml:space="preserve"> TRM</w:t>
      </w:r>
      <w:r w:rsidR="00AE0E3D">
        <w:t>,</w:t>
      </w:r>
      <w:r w:rsidR="00BF5341">
        <w:t xml:space="preserve"> </w:t>
      </w:r>
      <w:r w:rsidR="007C1C03">
        <w:t>an alternate method is used to determine the reduction in air leakage at 50 pascals (Δ</w:t>
      </w:r>
      <w:r w:rsidR="007C1C03" w:rsidRPr="007C1C03">
        <w:rPr>
          <w:i/>
        </w:rPr>
        <w:t>CFM</w:t>
      </w:r>
      <w:r w:rsidR="007C1C03" w:rsidRPr="007C1C03">
        <w:rPr>
          <w:i/>
          <w:vertAlign w:val="subscript"/>
        </w:rPr>
        <w:t>50</w:t>
      </w:r>
      <w:r w:rsidR="007C1C03">
        <w:t xml:space="preserve">) </w:t>
      </w:r>
      <w:r w:rsidR="0017795E">
        <w:t xml:space="preserve">for </w:t>
      </w:r>
      <w:r w:rsidR="006E4765">
        <w:t>gaskets, caulking, and weather</w:t>
      </w:r>
      <w:r w:rsidR="00F30A31">
        <w:noBreakHyphen/>
      </w:r>
      <w:r w:rsidR="006E4765">
        <w:t>stripping</w:t>
      </w:r>
      <w:r w:rsidR="003B6211">
        <w:t>,</w:t>
      </w:r>
      <w:r w:rsidR="006E4765">
        <w:t xml:space="preserve"> </w:t>
      </w:r>
      <w:r w:rsidR="0085302E">
        <w:t>based on a 2010 Evaluation report.</w:t>
      </w:r>
      <w:r w:rsidR="0085302E">
        <w:rPr>
          <w:rStyle w:val="FootnoteReference"/>
        </w:rPr>
        <w:footnoteReference w:id="10"/>
      </w:r>
      <w:r w:rsidR="00271BDA">
        <w:t xml:space="preserve"> </w:t>
      </w:r>
      <w:r w:rsidR="00E26A45">
        <w:t xml:space="preserve"> </w:t>
      </w:r>
      <w:r w:rsidR="001D21F6">
        <w:t>Franklin Energy Comments at 161.</w:t>
      </w:r>
      <w:r w:rsidR="00F30A31">
        <w:t xml:space="preserve">  </w:t>
      </w:r>
      <w:r w:rsidR="00B56C39">
        <w:t>Franklin Energy notes tha</w:t>
      </w:r>
      <w:r w:rsidR="00C443B0">
        <w:t>t</w:t>
      </w:r>
      <w:r w:rsidR="009F0FD1">
        <w:t xml:space="preserve"> default heat pump savings</w:t>
      </w:r>
      <w:r w:rsidR="00336F64">
        <w:t xml:space="preserve">, </w:t>
      </w:r>
      <w:r w:rsidR="00336F64" w:rsidRPr="00336F64">
        <w:t>Heating Seasonal Performance Factor</w:t>
      </w:r>
      <w:r w:rsidR="009F0FD1">
        <w:t xml:space="preserve"> (</w:t>
      </w:r>
      <w:r w:rsidR="009F0FD1" w:rsidRPr="002D6EF0">
        <w:t>HSPF</w:t>
      </w:r>
      <w:r w:rsidR="009F0FD1">
        <w:t>)</w:t>
      </w:r>
      <w:r w:rsidR="00336F64">
        <w:t>,</w:t>
      </w:r>
      <w:r w:rsidR="009F0FD1">
        <w:t xml:space="preserve"> </w:t>
      </w:r>
      <w:r w:rsidR="00B55C66">
        <w:t>is adjusted in the I</w:t>
      </w:r>
      <w:r w:rsidR="00E26A45">
        <w:t>llinois</w:t>
      </w:r>
      <w:r w:rsidR="00B55C66">
        <w:t xml:space="preserve"> TRM </w:t>
      </w:r>
      <w:r w:rsidR="0069374A">
        <w:t xml:space="preserve">with an 85% distribution factor to account for </w:t>
      </w:r>
      <w:r w:rsidR="00C443B0">
        <w:t>duct loss</w:t>
      </w:r>
      <w:r w:rsidR="00E26A45">
        <w:t>es</w:t>
      </w:r>
      <w:r w:rsidR="00C443B0">
        <w:t xml:space="preserve"> in ducted ASHP and GSHPs. </w:t>
      </w:r>
      <w:r w:rsidR="00E26A45">
        <w:t xml:space="preserve"> </w:t>
      </w:r>
      <w:r w:rsidR="00C443B0">
        <w:t xml:space="preserve">Franklin Energy Comments at </w:t>
      </w:r>
      <w:r w:rsidR="00A44E1B">
        <w:t>161.</w:t>
      </w:r>
      <w:r w:rsidR="00F30A31">
        <w:t xml:space="preserve">  </w:t>
      </w:r>
      <w:r w:rsidR="00D62ADF">
        <w:t xml:space="preserve">Franklin Energy notes that </w:t>
      </w:r>
      <w:r w:rsidR="00C0633F">
        <w:t>the I</w:t>
      </w:r>
      <w:r w:rsidR="00E26A45">
        <w:t>llinois</w:t>
      </w:r>
      <w:r w:rsidR="00C0633F">
        <w:t xml:space="preserve"> TRM has separate N </w:t>
      </w:r>
      <w:r w:rsidR="008E5489">
        <w:t xml:space="preserve">correlation </w:t>
      </w:r>
      <w:r w:rsidR="00C0633F">
        <w:t>factors (</w:t>
      </w:r>
      <w:r w:rsidR="008E5489">
        <w:t xml:space="preserve">to account for climate, building height, </w:t>
      </w:r>
      <w:r w:rsidR="00280663">
        <w:t>wind shielding, and building leakiness</w:t>
      </w:r>
      <w:r w:rsidR="00C0633F">
        <w:t>)</w:t>
      </w:r>
      <w:r w:rsidR="00280663">
        <w:t xml:space="preserve"> for heating and cooling </w:t>
      </w:r>
      <w:r w:rsidR="0065669D">
        <w:t>seasons, while the proposed manual has one value for all seasons.</w:t>
      </w:r>
      <w:r w:rsidR="00351ECB">
        <w:t xml:space="preserve"> </w:t>
      </w:r>
      <w:r w:rsidR="0065669D">
        <w:t xml:space="preserve"> </w:t>
      </w:r>
      <w:r w:rsidR="005127AC">
        <w:t xml:space="preserve">Franklin Energy Comments at 162. </w:t>
      </w:r>
      <w:r w:rsidR="00280663">
        <w:t xml:space="preserve"> </w:t>
      </w:r>
    </w:p>
    <w:p w14:paraId="54871F4C" w14:textId="5EC878A8" w:rsidR="00F80484" w:rsidRPr="005C3462" w:rsidRDefault="00F80484" w:rsidP="00AA2116">
      <w:r>
        <w:tab/>
      </w:r>
    </w:p>
    <w:p w14:paraId="3E020396" w14:textId="0C0241B5" w:rsidR="005C3462" w:rsidRDefault="005C3462" w:rsidP="00453F14">
      <w:pPr>
        <w:pStyle w:val="Heading4"/>
        <w:numPr>
          <w:ilvl w:val="2"/>
          <w:numId w:val="19"/>
        </w:numPr>
      </w:pPr>
      <w:r>
        <w:t>Disposition</w:t>
      </w:r>
    </w:p>
    <w:p w14:paraId="4B37208E" w14:textId="0C107AD8" w:rsidR="00EB63AC" w:rsidRDefault="00A8084A" w:rsidP="00AA2116">
      <w:r>
        <w:t xml:space="preserve">The Commission rejects </w:t>
      </w:r>
      <w:r w:rsidR="00B7701D">
        <w:t xml:space="preserve">Franklin Energy’s </w:t>
      </w:r>
      <w:r>
        <w:t>suggestion to add fan savings to this measure</w:t>
      </w:r>
      <w:r w:rsidR="004766BA">
        <w:t xml:space="preserve">. </w:t>
      </w:r>
      <w:r w:rsidR="00351ECB">
        <w:t xml:space="preserve"> </w:t>
      </w:r>
      <w:r w:rsidR="004766BA">
        <w:t xml:space="preserve">This measure is limited to </w:t>
      </w:r>
      <w:r w:rsidR="00C56045">
        <w:t xml:space="preserve">a maximum </w:t>
      </w:r>
      <w:r w:rsidR="004766BA">
        <w:t>400 kWh in claimed annual savings</w:t>
      </w:r>
      <w:r w:rsidR="00C56045">
        <w:t>.  S</w:t>
      </w:r>
      <w:r w:rsidR="00E91638">
        <w:t>avings from reduced furnace fan run time would be a small fraction</w:t>
      </w:r>
      <w:r w:rsidR="00696BA9">
        <w:t xml:space="preserve"> of the </w:t>
      </w:r>
      <w:r w:rsidR="00696BA9" w:rsidRPr="00CE1B77">
        <w:t>total</w:t>
      </w:r>
      <w:r w:rsidR="009818C0" w:rsidRPr="00CE1B77">
        <w:t xml:space="preserve">, within </w:t>
      </w:r>
      <w:r w:rsidR="009818C0" w:rsidRPr="00CE1B77">
        <w:lastRenderedPageBreak/>
        <w:t xml:space="preserve">the margin of error for </w:t>
      </w:r>
      <w:r w:rsidR="00A108B2" w:rsidRPr="00CE1B77">
        <w:t xml:space="preserve">the </w:t>
      </w:r>
      <w:r w:rsidR="008D4284" w:rsidRPr="00CE1B77">
        <w:t>assumed default values already included in this measure</w:t>
      </w:r>
      <w:r w:rsidR="008D4284">
        <w:t>.</w:t>
      </w:r>
      <w:r w:rsidR="00C130F1">
        <w:t xml:space="preserve">  The Commission also declines to add natural gas savings to this measure</w:t>
      </w:r>
      <w:r w:rsidR="00E508F3">
        <w:t xml:space="preserve">. </w:t>
      </w:r>
      <w:r w:rsidR="00351ECB">
        <w:t xml:space="preserve"> </w:t>
      </w:r>
      <w:r w:rsidR="00E508F3">
        <w:t xml:space="preserve">The Act 129 </w:t>
      </w:r>
      <w:r w:rsidR="00391B99">
        <w:t xml:space="preserve">2021 </w:t>
      </w:r>
      <w:r w:rsidR="00E508F3">
        <w:t xml:space="preserve">TRM is a guide for </w:t>
      </w:r>
      <w:r w:rsidR="004C3C21">
        <w:t xml:space="preserve">quantifying </w:t>
      </w:r>
      <w:r w:rsidR="00E508F3">
        <w:t>electric</w:t>
      </w:r>
      <w:r w:rsidR="004C3C21">
        <w:t>ity</w:t>
      </w:r>
      <w:r w:rsidR="00E508F3">
        <w:t xml:space="preserve"> savings</w:t>
      </w:r>
      <w:r w:rsidR="004C3C21">
        <w:t xml:space="preserve">.  </w:t>
      </w:r>
      <w:r w:rsidR="00EB63AC" w:rsidDel="00913B05">
        <w:t xml:space="preserve">The Commission </w:t>
      </w:r>
      <w:r w:rsidR="005C4EBB" w:rsidDel="00913B05">
        <w:t>does</w:t>
      </w:r>
      <w:r w:rsidR="005C4EBB">
        <w:t xml:space="preserve"> not see a compelling reason to adopt the methodology of the Illinois TRM</w:t>
      </w:r>
      <w:r w:rsidR="008D3DA6">
        <w:t xml:space="preserve">. </w:t>
      </w:r>
      <w:r w:rsidR="00805134">
        <w:t xml:space="preserve"> </w:t>
      </w:r>
      <w:r w:rsidR="008D3DA6">
        <w:t>The source cited by Franklin Energy included pre- and post-</w:t>
      </w:r>
      <w:r w:rsidR="008D3DA6" w:rsidDel="00A66AD7">
        <w:t>weather</w:t>
      </w:r>
      <w:r w:rsidR="00F30A31">
        <w:noBreakHyphen/>
      </w:r>
      <w:r w:rsidR="008D3DA6" w:rsidDel="00A66AD7">
        <w:t>stripping</w:t>
      </w:r>
      <w:r w:rsidR="008D3DA6">
        <w:t xml:space="preserve"> </w:t>
      </w:r>
      <w:r w:rsidR="003A5C39" w:rsidRPr="000C6171">
        <w:t>blower door test</w:t>
      </w:r>
      <w:r w:rsidR="000C6171">
        <w:t>s</w:t>
      </w:r>
      <w:r w:rsidR="008D3DA6" w:rsidRPr="000C6171">
        <w:t xml:space="preserve"> for a sample of only three homes.</w:t>
      </w:r>
    </w:p>
    <w:p w14:paraId="52D05B54" w14:textId="77777777" w:rsidR="00F30A31" w:rsidRDefault="00F30A31" w:rsidP="00AA2116"/>
    <w:p w14:paraId="1224196F" w14:textId="749250FB" w:rsidR="00E26A45" w:rsidRDefault="00A60B64" w:rsidP="00AA2116">
      <w:r>
        <w:t xml:space="preserve">The Commission rejects </w:t>
      </w:r>
      <w:r w:rsidR="005509B5">
        <w:t>Franklin Energy’s</w:t>
      </w:r>
      <w:r>
        <w:t xml:space="preserve"> suggestion to include a distribution factor</w:t>
      </w:r>
      <w:r w:rsidR="00805134">
        <w:t xml:space="preserve"> for duct losses</w:t>
      </w:r>
      <w:r w:rsidR="00CD6665">
        <w:t xml:space="preserve">, </w:t>
      </w:r>
      <w:r w:rsidR="002D3B97">
        <w:t>as</w:t>
      </w:r>
      <w:r w:rsidR="005862EB">
        <w:t xml:space="preserve"> we</w:t>
      </w:r>
      <w:r w:rsidR="00581A94">
        <w:t xml:space="preserve"> believe that a</w:t>
      </w:r>
      <w:r w:rsidR="00805134">
        <w:t xml:space="preserve"> </w:t>
      </w:r>
      <w:r w:rsidR="00D31613">
        <w:t xml:space="preserve">single value for this </w:t>
      </w:r>
      <w:r w:rsidR="00D31613" w:rsidRPr="000C6171">
        <w:t>factor</w:t>
      </w:r>
      <w:r w:rsidR="000C6171">
        <w:t>,</w:t>
      </w:r>
      <w:r w:rsidR="00D31613" w:rsidRPr="000C6171">
        <w:t xml:space="preserve"> </w:t>
      </w:r>
      <w:r w:rsidR="00130F50" w:rsidRPr="000C6171">
        <w:t>in the absence of data</w:t>
      </w:r>
      <w:r w:rsidR="00130F50">
        <w:t xml:space="preserve"> on duct location, duct sealing or insulation, and diagnostic testing of ducts</w:t>
      </w:r>
      <w:r w:rsidR="000C6171">
        <w:t>,</w:t>
      </w:r>
      <w:r w:rsidR="002B58C8">
        <w:t xml:space="preserve"> will </w:t>
      </w:r>
      <w:r w:rsidR="00581A94">
        <w:t>not increase the accuracy of the savings estimate</w:t>
      </w:r>
      <w:r w:rsidR="00F74E00">
        <w:t>.  Producing an accurate estimate of distribution losses</w:t>
      </w:r>
      <w:r w:rsidR="00AB64FA">
        <w:t xml:space="preserve"> </w:t>
      </w:r>
      <w:r w:rsidR="00F74E00">
        <w:t>would unnecessarily increase</w:t>
      </w:r>
      <w:r w:rsidR="00581A94">
        <w:t xml:space="preserve"> the data collection and evaluation </w:t>
      </w:r>
      <w:r w:rsidR="00F74E00">
        <w:t>burdens</w:t>
      </w:r>
      <w:r w:rsidR="00581A94">
        <w:t xml:space="preserve"> for this </w:t>
      </w:r>
      <w:r w:rsidR="00F74E00">
        <w:t xml:space="preserve">savings-limited </w:t>
      </w:r>
      <w:r w:rsidR="00581A94">
        <w:t>measure</w:t>
      </w:r>
      <w:r w:rsidR="00973AD7">
        <w:t>.</w:t>
      </w:r>
      <w:r w:rsidR="00F30A31">
        <w:t xml:space="preserve">  </w:t>
      </w:r>
      <w:r w:rsidR="004A5959">
        <w:t xml:space="preserve">We also </w:t>
      </w:r>
      <w:r w:rsidR="00F74E00">
        <w:t xml:space="preserve">reject </w:t>
      </w:r>
      <w:r w:rsidR="00175EFC">
        <w:t>Franklin Energy’s</w:t>
      </w:r>
      <w:r w:rsidR="00F74E00">
        <w:t xml:space="preserve"> suggestion to complicate the assumed value for the </w:t>
      </w:r>
      <w:r w:rsidR="000B4C26">
        <w:t xml:space="preserve">correlation factor (N). </w:t>
      </w:r>
      <w:r w:rsidR="00351ECB">
        <w:t xml:space="preserve"> </w:t>
      </w:r>
      <w:r w:rsidR="000C6171">
        <w:t>A</w:t>
      </w:r>
      <w:r w:rsidR="001A2D38" w:rsidRPr="000C6171">
        <w:t>s written</w:t>
      </w:r>
      <w:r w:rsidR="000C6171">
        <w:t>, the measure</w:t>
      </w:r>
      <w:r w:rsidR="001A2D38">
        <w:t xml:space="preserve"> already includes a table of twelve possible N values for different shielding situations and building heights</w:t>
      </w:r>
      <w:r w:rsidR="00134747">
        <w:t xml:space="preserve"> for a term that is a simplification of </w:t>
      </w:r>
      <w:r w:rsidR="00C95A5A">
        <w:t>the interaction of complicated environmental characteristics</w:t>
      </w:r>
      <w:r w:rsidR="001A2D38">
        <w:t>.</w:t>
      </w:r>
      <w:r w:rsidR="00F260DD">
        <w:t xml:space="preserve"> </w:t>
      </w:r>
      <w:r w:rsidR="00F30A31">
        <w:t xml:space="preserve"> </w:t>
      </w:r>
      <w:r w:rsidR="0010099F">
        <w:t>Furthermore</w:t>
      </w:r>
      <w:r w:rsidR="00720032">
        <w:t xml:space="preserve">, </w:t>
      </w:r>
      <w:r w:rsidR="00BD64BD">
        <w:t>in the</w:t>
      </w:r>
      <w:r w:rsidR="002F2CDC">
        <w:t xml:space="preserve"> interest of </w:t>
      </w:r>
      <w:r w:rsidR="00121701">
        <w:t xml:space="preserve">simplifying the TRM and </w:t>
      </w:r>
      <w:r w:rsidR="00EB5B26">
        <w:t xml:space="preserve">to minimize the introduction </w:t>
      </w:r>
      <w:r w:rsidR="00411A0F">
        <w:t xml:space="preserve">of inconsistent </w:t>
      </w:r>
      <w:r w:rsidR="00121701">
        <w:t xml:space="preserve">values in the future, </w:t>
      </w:r>
      <w:r w:rsidR="002F2CDC">
        <w:t>the Commission</w:t>
      </w:r>
      <w:r w:rsidR="001A2D38">
        <w:t xml:space="preserve"> </w:t>
      </w:r>
      <w:r w:rsidR="00121701">
        <w:t xml:space="preserve">has replaced the table of default heating and cooling system efficiency values </w:t>
      </w:r>
      <w:r w:rsidR="00207275">
        <w:t>for</w:t>
      </w:r>
      <w:r w:rsidR="00121701">
        <w:t xml:space="preserve"> this measure with a reference to </w:t>
      </w:r>
      <w:r w:rsidR="00FD3BFA" w:rsidRPr="009166CB">
        <w:t xml:space="preserve">Table 2-8: Default Baseline Equipment Efficiency for High Efficiency Equipment in Section 2.2.1 - </w:t>
      </w:r>
      <w:bookmarkStart w:id="74" w:name="_Ref534371933"/>
      <w:bookmarkStart w:id="75" w:name="_Toc10629121"/>
      <w:r w:rsidR="00452FDC" w:rsidRPr="009166CB">
        <w:t>High Efficiency Equipment: ASHP, CAC, GSHP, PTAC, PTHP</w:t>
      </w:r>
      <w:bookmarkEnd w:id="74"/>
      <w:bookmarkEnd w:id="75"/>
      <w:r w:rsidR="00C405BB" w:rsidRPr="009166CB">
        <w:t>.</w:t>
      </w:r>
    </w:p>
    <w:p w14:paraId="2C399290" w14:textId="77777777" w:rsidR="0061674E" w:rsidRDefault="0061674E" w:rsidP="00AA2116"/>
    <w:p w14:paraId="7A79BCF7" w14:textId="04DE2D18" w:rsidR="009811CF" w:rsidRPr="00624E96" w:rsidRDefault="009811CF" w:rsidP="00453F14">
      <w:pPr>
        <w:pStyle w:val="Heading3"/>
        <w:numPr>
          <w:ilvl w:val="1"/>
          <w:numId w:val="19"/>
        </w:numPr>
      </w:pPr>
      <w:bookmarkStart w:id="76" w:name="_Toc12957241"/>
      <w:bookmarkStart w:id="77" w:name="_Toc12976670"/>
      <w:bookmarkStart w:id="78" w:name="_Toc15657898"/>
      <w:bookmarkEnd w:id="76"/>
      <w:bookmarkEnd w:id="77"/>
      <w:r>
        <w:t>Section 2.6</w:t>
      </w:r>
      <w:r w:rsidRPr="009B24DB">
        <w:t>.</w:t>
      </w:r>
      <w:r w:rsidR="00BB52BE">
        <w:t>6</w:t>
      </w:r>
      <w:r w:rsidRPr="009B24DB">
        <w:t xml:space="preserve"> – Residential Window</w:t>
      </w:r>
      <w:r>
        <w:t xml:space="preserve"> Repair</w:t>
      </w:r>
      <w:bookmarkEnd w:id="78"/>
    </w:p>
    <w:p w14:paraId="551D193E" w14:textId="77777777" w:rsidR="009811CF" w:rsidRDefault="009811CF" w:rsidP="00453F14">
      <w:pPr>
        <w:pStyle w:val="Heading4"/>
        <w:numPr>
          <w:ilvl w:val="2"/>
          <w:numId w:val="19"/>
        </w:numPr>
      </w:pPr>
      <w:r>
        <w:t>Comments</w:t>
      </w:r>
    </w:p>
    <w:p w14:paraId="3BE57ECB" w14:textId="28DB76F1" w:rsidR="00335195" w:rsidRPr="00335195" w:rsidRDefault="002147CB" w:rsidP="00AA2116">
      <w:r>
        <w:t>FirstEnergy</w:t>
      </w:r>
      <w:r w:rsidR="00A95CC1">
        <w:t xml:space="preserve"> </w:t>
      </w:r>
      <w:r w:rsidR="005D7EC1">
        <w:t>requests clarification on the definition of weather-</w:t>
      </w:r>
      <w:r w:rsidR="005D7EC1" w:rsidRPr="002E5BB1">
        <w:t xml:space="preserve">stripping and </w:t>
      </w:r>
      <w:r w:rsidR="00102735" w:rsidRPr="002E5BB1">
        <w:t>if the</w:t>
      </w:r>
      <w:r w:rsidR="00102735">
        <w:t xml:space="preserve"> term “hung” window refers to double- or single-hung windows</w:t>
      </w:r>
      <w:r w:rsidR="00D518C6">
        <w:t xml:space="preserve"> an</w:t>
      </w:r>
      <w:r w:rsidR="004A4A6B">
        <w:t xml:space="preserve">d </w:t>
      </w:r>
      <w:r w:rsidR="009B7F21">
        <w:t>states</w:t>
      </w:r>
      <w:r w:rsidR="004A4A6B">
        <w:t xml:space="preserve"> that the algorithm is missing a term for window area and a correction for the units given for the CFM term.  FirstEnergy Comments at 7.</w:t>
      </w:r>
      <w:r w:rsidR="00F30A31">
        <w:t xml:space="preserve">  </w:t>
      </w:r>
      <w:r w:rsidR="00F4794E">
        <w:t xml:space="preserve">Franklin Energy points out that there is a </w:t>
      </w:r>
      <w:r w:rsidR="00F4794E">
        <w:lastRenderedPageBreak/>
        <w:t xml:space="preserve">discrepancy in the sources listed for the </w:t>
      </w:r>
      <w:r w:rsidR="00781F0B">
        <w:t>measure</w:t>
      </w:r>
      <w:r w:rsidR="00E1194B">
        <w:t xml:space="preserve"> and identifies an error in the units for C, the flow coefficient</w:t>
      </w:r>
      <w:r w:rsidR="00D51081">
        <w:t xml:space="preserve">. </w:t>
      </w:r>
      <w:r w:rsidR="00351ECB">
        <w:t xml:space="preserve"> </w:t>
      </w:r>
      <w:r w:rsidR="00D51081">
        <w:t xml:space="preserve">Franklin Energy Comments at 182. </w:t>
      </w:r>
    </w:p>
    <w:p w14:paraId="61E6DFAC" w14:textId="77777777" w:rsidR="006410A6" w:rsidRDefault="006410A6" w:rsidP="00AA2116"/>
    <w:p w14:paraId="585E414E" w14:textId="01CE2931" w:rsidR="009811CF" w:rsidRPr="00624E30" w:rsidRDefault="009811CF" w:rsidP="00453F14">
      <w:pPr>
        <w:pStyle w:val="Heading4"/>
        <w:numPr>
          <w:ilvl w:val="2"/>
          <w:numId w:val="19"/>
        </w:numPr>
      </w:pPr>
      <w:r>
        <w:t>Disposition</w:t>
      </w:r>
    </w:p>
    <w:p w14:paraId="46716B66" w14:textId="4EE24FA0" w:rsidR="00557CCC" w:rsidRDefault="00BF1B60" w:rsidP="00AA2116">
      <w:r>
        <w:t xml:space="preserve">The Commission </w:t>
      </w:r>
      <w:r w:rsidR="00267188">
        <w:t xml:space="preserve">finds that </w:t>
      </w:r>
      <w:r>
        <w:t xml:space="preserve">the definition of weather-stripping is covered sufficiently </w:t>
      </w:r>
      <w:r w:rsidR="00ED6498">
        <w:t xml:space="preserve">in the introduction to the </w:t>
      </w:r>
      <w:r w:rsidR="008E21C7" w:rsidRPr="00DE41A1">
        <w:t>measure but</w:t>
      </w:r>
      <w:r w:rsidR="00ED6498" w:rsidRPr="00DE41A1">
        <w:t xml:space="preserve"> has added text</w:t>
      </w:r>
      <w:r w:rsidR="00ED6498">
        <w:t xml:space="preserve"> </w:t>
      </w:r>
      <w:r w:rsidR="004D08CB">
        <w:t xml:space="preserve">to the proposed manual </w:t>
      </w:r>
      <w:r w:rsidR="00ED6498">
        <w:t>specify</w:t>
      </w:r>
      <w:r w:rsidR="004D08CB">
        <w:t>ing</w:t>
      </w:r>
      <w:r w:rsidR="00ED6498">
        <w:t xml:space="preserve"> that “hung” windows refers to both single- and double-hung windows. </w:t>
      </w:r>
      <w:r w:rsidR="00F30A31">
        <w:t xml:space="preserve"> </w:t>
      </w:r>
      <w:r w:rsidR="00840FB8">
        <w:t xml:space="preserve">Regarding FirstEnergy’s comment </w:t>
      </w:r>
      <w:r w:rsidR="00E01666">
        <w:t xml:space="preserve">about missing elements of the algorithm, </w:t>
      </w:r>
      <w:r w:rsidR="00B817AD">
        <w:t xml:space="preserve">we have </w:t>
      </w:r>
      <w:r w:rsidR="000511B0">
        <w:t>added</w:t>
      </w:r>
      <w:r w:rsidR="00843BD2">
        <w:t xml:space="preserve"> </w:t>
      </w:r>
      <w:r w:rsidR="000511B0">
        <w:t>an algorithm to calculate the CFM value</w:t>
      </w:r>
      <w:r w:rsidR="00781F0B">
        <w:t xml:space="preserve"> using window area and CFM/ft</w:t>
      </w:r>
      <w:r w:rsidR="00781F0B" w:rsidRPr="00781F0B">
        <w:rPr>
          <w:vertAlign w:val="superscript"/>
        </w:rPr>
        <w:t>2</w:t>
      </w:r>
      <w:r w:rsidR="00AF40E4">
        <w:t>.</w:t>
      </w:r>
      <w:r w:rsidR="00E55846">
        <w:t xml:space="preserve"> </w:t>
      </w:r>
      <w:r w:rsidR="00F30A31">
        <w:t xml:space="preserve"> </w:t>
      </w:r>
      <w:r w:rsidR="00940676">
        <w:t>In response to Franklin Energy’s request, t</w:t>
      </w:r>
      <w:r w:rsidR="00E55846">
        <w:t xml:space="preserve">he Commission has </w:t>
      </w:r>
      <w:r w:rsidR="00BE2147">
        <w:t xml:space="preserve">fixed the discrepancy in the listed sources </w:t>
      </w:r>
      <w:r w:rsidR="00376687">
        <w:t xml:space="preserve">and </w:t>
      </w:r>
      <w:r w:rsidR="00987BDC">
        <w:t xml:space="preserve">an error in </w:t>
      </w:r>
      <w:r w:rsidR="00376687">
        <w:t>the units for the flow coefficient</w:t>
      </w:r>
      <w:r w:rsidR="00940676">
        <w:t>.</w:t>
      </w:r>
      <w:r w:rsidR="005C1A1C">
        <w:t xml:space="preserve">  </w:t>
      </w:r>
      <w:r w:rsidR="00EC16FE">
        <w:t>W</w:t>
      </w:r>
      <w:r w:rsidR="00AC38B9">
        <w:t>e also</w:t>
      </w:r>
      <w:r w:rsidR="00BE2147" w:rsidRPr="00F848C6">
        <w:t xml:space="preserve"> added </w:t>
      </w:r>
      <w:r w:rsidR="00DD4B05" w:rsidRPr="00F848C6">
        <w:t xml:space="preserve">a specific reference to </w:t>
      </w:r>
      <w:r w:rsidR="008C746E" w:rsidRPr="00F848C6">
        <w:t>the existing infiltration assumptions used in the measure for clarification</w:t>
      </w:r>
      <w:r w:rsidR="00AC38B9">
        <w:t xml:space="preserve">.  </w:t>
      </w:r>
      <w:r w:rsidR="00F848C6">
        <w:t>P</w:t>
      </w:r>
      <w:r w:rsidR="00583828" w:rsidRPr="00F848C6">
        <w:t>reviously</w:t>
      </w:r>
      <w:r w:rsidR="00F848C6">
        <w:t>,</w:t>
      </w:r>
      <w:r w:rsidR="006B74D4" w:rsidRPr="00F848C6">
        <w:t xml:space="preserve"> </w:t>
      </w:r>
      <w:r w:rsidR="00583828" w:rsidRPr="00F848C6">
        <w:t>the text referred to the values being</w:t>
      </w:r>
      <w:r w:rsidR="005C1A1C">
        <w:t xml:space="preserve"> in a table</w:t>
      </w:r>
      <w:r w:rsidR="00583828" w:rsidRPr="00F848C6">
        <w:t xml:space="preserve"> “above” the text, but they were actually</w:t>
      </w:r>
      <w:r w:rsidR="00777FC3" w:rsidRPr="00F848C6">
        <w:t xml:space="preserve"> located</w:t>
      </w:r>
      <w:r w:rsidR="00583828" w:rsidRPr="00F848C6">
        <w:t xml:space="preserve"> in a table that followed</w:t>
      </w:r>
      <w:r w:rsidR="00BE2147" w:rsidRPr="00F848C6">
        <w:t>.</w:t>
      </w:r>
      <w:r w:rsidR="00777FC3">
        <w:t xml:space="preserve"> </w:t>
      </w:r>
      <w:r w:rsidR="00F30A31">
        <w:t xml:space="preserve"> </w:t>
      </w:r>
      <w:r w:rsidR="00557CCC">
        <w:t xml:space="preserve">No comments were received on this aspect of the measure, but in the interest of simplifying the TRM and reducing the opportunity for introducing inconsistent values in the future, the Commission has replaced the table of default heating system efficiency values in this measure with a reference to </w:t>
      </w:r>
      <w:r w:rsidR="00557CCC" w:rsidRPr="00F848C6">
        <w:t>Table 2-8: Default Baseline Equipment Efficiency for High Efficiency Equipment in Section 2.2.1 - High Efficiency Equipment: ASHP, CAC, GSHP, PTAC, PTHP.</w:t>
      </w:r>
    </w:p>
    <w:p w14:paraId="0C9EFDC2" w14:textId="77777777" w:rsidR="0086076B" w:rsidRDefault="0086076B" w:rsidP="00241399">
      <w:bookmarkStart w:id="79" w:name="_Toc12957245"/>
      <w:bookmarkStart w:id="80" w:name="_Toc12957247"/>
      <w:bookmarkStart w:id="81" w:name="_Toc12976674"/>
      <w:bookmarkStart w:id="82" w:name="_Toc12957248"/>
      <w:bookmarkStart w:id="83" w:name="_Toc12976675"/>
      <w:bookmarkStart w:id="84" w:name="_Toc12957249"/>
      <w:bookmarkStart w:id="85" w:name="_Toc12976676"/>
      <w:bookmarkStart w:id="86" w:name="_Toc12957250"/>
      <w:bookmarkStart w:id="87" w:name="_Toc12976677"/>
      <w:bookmarkStart w:id="88" w:name="_Toc12957251"/>
      <w:bookmarkStart w:id="89" w:name="_Toc12976678"/>
      <w:bookmarkStart w:id="90" w:name="_Toc12957252"/>
      <w:bookmarkStart w:id="91" w:name="_Toc12976679"/>
      <w:bookmarkStart w:id="92" w:name="_Toc12957253"/>
      <w:bookmarkStart w:id="93" w:name="_Toc12976680"/>
      <w:bookmarkStart w:id="94" w:name="_Toc12957254"/>
      <w:bookmarkStart w:id="95" w:name="_Toc12976681"/>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C2725D9" w14:textId="013A1AF4" w:rsidR="00823920" w:rsidRDefault="00BC5717" w:rsidP="00453F14">
      <w:pPr>
        <w:pStyle w:val="Heading3"/>
        <w:numPr>
          <w:ilvl w:val="1"/>
          <w:numId w:val="19"/>
        </w:numPr>
      </w:pPr>
      <w:bookmarkStart w:id="96" w:name="_Toc15657899"/>
      <w:r>
        <w:t>Section</w:t>
      </w:r>
      <w:r w:rsidRPr="002572DC">
        <w:t xml:space="preserve"> 2.7.</w:t>
      </w:r>
      <w:r w:rsidR="00BB52BE">
        <w:t>3</w:t>
      </w:r>
      <w:r w:rsidRPr="002572DC">
        <w:t xml:space="preserve"> – Home Energy Reports</w:t>
      </w:r>
      <w:bookmarkEnd w:id="96"/>
    </w:p>
    <w:p w14:paraId="71527A49" w14:textId="2DE4B83E" w:rsidR="00823920" w:rsidRDefault="5826BB76" w:rsidP="00453F14">
      <w:pPr>
        <w:pStyle w:val="Heading4"/>
        <w:numPr>
          <w:ilvl w:val="2"/>
          <w:numId w:val="19"/>
        </w:numPr>
      </w:pPr>
      <w:r>
        <w:t>Comments</w:t>
      </w:r>
    </w:p>
    <w:p w14:paraId="388B3D18" w14:textId="6B293AA8" w:rsidR="009577C3" w:rsidRDefault="004A34DC" w:rsidP="00AA2116">
      <w:r>
        <w:t xml:space="preserve">Both PPL and Franklin Energy request clarification on how lifetime savings </w:t>
      </w:r>
      <w:r w:rsidR="006A7DB1">
        <w:t>a</w:t>
      </w:r>
      <w:r>
        <w:t xml:space="preserve">re calculated using the formulas referenced. </w:t>
      </w:r>
      <w:r w:rsidR="00351ECB">
        <w:t xml:space="preserve"> </w:t>
      </w:r>
      <w:r w:rsidR="00267188">
        <w:t xml:space="preserve">PPL Comments at 3 and </w:t>
      </w:r>
      <w:r w:rsidR="001B02CF">
        <w:t>Franklin Energy C</w:t>
      </w:r>
      <w:r w:rsidR="004A131A">
        <w:t xml:space="preserve">omments at 200. </w:t>
      </w:r>
      <w:r w:rsidR="00351ECB">
        <w:t xml:space="preserve"> </w:t>
      </w:r>
      <w:r w:rsidR="002147CB">
        <w:t>FirstEnergy</w:t>
      </w:r>
      <w:r>
        <w:t xml:space="preserve"> requests clarification on which month the decay rate starts and suggests using a monthly decay rate and monthly kWh savings instead of an annual value. </w:t>
      </w:r>
      <w:r w:rsidR="00873BCD">
        <w:t xml:space="preserve"> </w:t>
      </w:r>
      <w:r w:rsidR="002147CB">
        <w:t>FirstEnergy</w:t>
      </w:r>
      <w:r w:rsidR="00873BCD">
        <w:t xml:space="preserve"> Comments at 8. </w:t>
      </w:r>
      <w:r w:rsidR="00F30A31">
        <w:t xml:space="preserve"> </w:t>
      </w:r>
      <w:r>
        <w:t xml:space="preserve">PPL suggests </w:t>
      </w:r>
      <w:r w:rsidR="006A7DB1">
        <w:t>EDCs have the flexibility to use</w:t>
      </w:r>
      <w:r>
        <w:t xml:space="preserve"> an EDC-specific decay rate calculated from its own evaluation</w:t>
      </w:r>
      <w:r w:rsidR="006A7DB1">
        <w:t xml:space="preserve"> research</w:t>
      </w:r>
      <w:r>
        <w:t xml:space="preserve">. </w:t>
      </w:r>
      <w:r w:rsidR="00351ECB">
        <w:t xml:space="preserve"> </w:t>
      </w:r>
      <w:r>
        <w:t xml:space="preserve">PPL would like the </w:t>
      </w:r>
      <w:r w:rsidR="00873BCD">
        <w:t>Commission</w:t>
      </w:r>
      <w:r>
        <w:t xml:space="preserve"> to confirm that the treatment effect estimates in the algorithm and examples are adjusted for joint savings (uplift). </w:t>
      </w:r>
      <w:r w:rsidR="00873BCD">
        <w:t xml:space="preserve"> PPL Comments at 4.  </w:t>
      </w:r>
    </w:p>
    <w:p w14:paraId="5554E9F3" w14:textId="77777777" w:rsidR="00AA2B50" w:rsidRDefault="00AA2B50" w:rsidP="00AA2116"/>
    <w:p w14:paraId="75D2E0F8" w14:textId="7A74A2D4" w:rsidR="004A34DC" w:rsidRDefault="004A34DC" w:rsidP="00AA2116">
      <w:r>
        <w:t xml:space="preserve">Oracle notes that they believe addition of the (x – 0.5) term in the lifetime savings calculation pushes savings into the year following savings. </w:t>
      </w:r>
      <w:r w:rsidR="00880E76">
        <w:t xml:space="preserve"> Oracle Comments at 3.</w:t>
      </w:r>
      <w:r w:rsidR="00F30A31">
        <w:t xml:space="preserve">  </w:t>
      </w:r>
      <w:r>
        <w:t>PPL and PECO provide several comm</w:t>
      </w:r>
      <w:r w:rsidRPr="00D3498B">
        <w:t>ents on text display</w:t>
      </w:r>
      <w:r w:rsidR="00D3498B">
        <w:t>, as well as</w:t>
      </w:r>
      <w:r w:rsidRPr="00D3498B">
        <w:t xml:space="preserve"> explanations </w:t>
      </w:r>
      <w:r w:rsidR="00D3498B">
        <w:t xml:space="preserve">that </w:t>
      </w:r>
      <w:r w:rsidRPr="00D3498B">
        <w:t>d</w:t>
      </w:r>
      <w:r w:rsidR="00D3498B">
        <w:t>o</w:t>
      </w:r>
      <w:r w:rsidRPr="00D3498B">
        <w:t xml:space="preserve"> not substantively alter the content</w:t>
      </w:r>
      <w:r w:rsidR="006A7DB1" w:rsidRPr="00D3498B">
        <w:t>.</w:t>
      </w:r>
      <w:r w:rsidR="00483E97">
        <w:t xml:space="preserve"> PPL comments at 3-4; PECO comments at 29-33.</w:t>
      </w:r>
      <w:r w:rsidR="00F30A31">
        <w:t xml:space="preserve">  </w:t>
      </w:r>
      <w:r>
        <w:t xml:space="preserve">Oracle suggests using a </w:t>
      </w:r>
      <w:r w:rsidR="006D2334">
        <w:t>one-year</w:t>
      </w:r>
      <w:r>
        <w:t xml:space="preserve"> measure life</w:t>
      </w:r>
      <w:r w:rsidR="00D67707">
        <w:t>,</w:t>
      </w:r>
      <w:r>
        <w:t xml:space="preserve"> as recommended in several other</w:t>
      </w:r>
      <w:r w:rsidR="00EC5791">
        <w:t xml:space="preserve"> </w:t>
      </w:r>
      <w:r w:rsidR="00C975C4">
        <w:t>states</w:t>
      </w:r>
      <w:r>
        <w:t>, with another potential option to have each year’s savings spread out equally across the program years (so that program saving</w:t>
      </w:r>
      <w:r w:rsidR="00B262AD">
        <w:t>s</w:t>
      </w:r>
      <w:r w:rsidR="00AC1CF4">
        <w:t xml:space="preserve"> of</w:t>
      </w:r>
      <w:r>
        <w:t xml:space="preserve"> 150kWh in Year 1 of a </w:t>
      </w:r>
      <w:r w:rsidR="00FC7B93">
        <w:t>three-</w:t>
      </w:r>
      <w:r>
        <w:t xml:space="preserve">year program </w:t>
      </w:r>
      <w:r w:rsidR="00AC1CF4">
        <w:t>are</w:t>
      </w:r>
      <w:r>
        <w:t xml:space="preserve"> credited with 50kW per year)</w:t>
      </w:r>
      <w:r w:rsidR="00351ECB">
        <w:t xml:space="preserve">.  </w:t>
      </w:r>
      <w:r>
        <w:t>They also critique the assumed linearity and constancy of the savings decay rate as something not historically observed.</w:t>
      </w:r>
      <w:r w:rsidR="00D30F4D">
        <w:t xml:space="preserve">  </w:t>
      </w:r>
      <w:r w:rsidR="00EC5791">
        <w:t xml:space="preserve">Furthermore, </w:t>
      </w:r>
      <w:r w:rsidR="00D30F4D">
        <w:t>Oracle notes that for residential HER programs, businesses are not included in the comparison group and that the TRM contains program design and implementation guidance, they consider to be inappropriate for a TRM.  Oracle Comments at 4</w:t>
      </w:r>
      <w:r w:rsidR="00495E45">
        <w:t xml:space="preserve">.  </w:t>
      </w:r>
      <w:r>
        <w:t>PECO suggests simplifying the decay rate to assume a 33.3% decay per year beginning after two years of consecutive treatment, rather than the 31.</w:t>
      </w:r>
      <w:r w:rsidR="006A7DB1">
        <w:t>3</w:t>
      </w:r>
      <w:r>
        <w:t xml:space="preserve">% </w:t>
      </w:r>
      <w:r w:rsidR="00BA2F17">
        <w:t xml:space="preserve">value </w:t>
      </w:r>
      <w:r w:rsidR="004D29B6">
        <w:t>the Commission</w:t>
      </w:r>
      <w:r w:rsidR="00944A56">
        <w:t xml:space="preserve"> proposed.</w:t>
      </w:r>
      <w:r>
        <w:t xml:space="preserve"> </w:t>
      </w:r>
      <w:r w:rsidR="00505FC4">
        <w:t xml:space="preserve"> </w:t>
      </w:r>
      <w:r w:rsidR="00730338">
        <w:t xml:space="preserve">PECO’s </w:t>
      </w:r>
      <w:r w:rsidR="00FE4847">
        <w:t xml:space="preserve">preferred </w:t>
      </w:r>
      <w:r>
        <w:t xml:space="preserve">method for lifetime savings includes a 1.92 factor that incorporates both the 33.3% decay rate and a 6% churn rate over three years. </w:t>
      </w:r>
      <w:r w:rsidR="00E70A23">
        <w:t xml:space="preserve"> PECO Comments at </w:t>
      </w:r>
      <w:r w:rsidR="00240DA4">
        <w:t>9 and 29-33.</w:t>
      </w:r>
    </w:p>
    <w:p w14:paraId="54894057" w14:textId="1DD2966B" w:rsidR="00F11D61" w:rsidRDefault="00F11D61" w:rsidP="00AA2116"/>
    <w:p w14:paraId="7FB0B5E6" w14:textId="3D7AD117" w:rsidR="00A84250" w:rsidRDefault="5826BB76" w:rsidP="00453F14">
      <w:pPr>
        <w:pStyle w:val="Heading4"/>
        <w:numPr>
          <w:ilvl w:val="2"/>
          <w:numId w:val="19"/>
        </w:numPr>
      </w:pPr>
      <w:r>
        <w:t>Disposition</w:t>
      </w:r>
    </w:p>
    <w:p w14:paraId="13202733" w14:textId="6555E697" w:rsidR="00ED7A5E" w:rsidRDefault="00ED7A5E" w:rsidP="00AA2116">
      <w:r w:rsidRPr="00ED7A5E">
        <w:t xml:space="preserve">The formulae of the lifetime savings calculations have been updated to </w:t>
      </w:r>
      <w:r w:rsidR="00AD3EB4">
        <w:t>minimize</w:t>
      </w:r>
      <w:r w:rsidRPr="00ED7A5E">
        <w:t xml:space="preserve"> confusion.  </w:t>
      </w:r>
      <w:r w:rsidR="009639BD">
        <w:t xml:space="preserve">We find that </w:t>
      </w:r>
      <w:r w:rsidRPr="00ED7A5E">
        <w:t xml:space="preserve">PPL’s suggestion that </w:t>
      </w:r>
      <w:r>
        <w:t>EDCs have the flexibility</w:t>
      </w:r>
      <w:r w:rsidR="008E2609">
        <w:t xml:space="preserve"> to</w:t>
      </w:r>
      <w:r w:rsidRPr="00ED7A5E">
        <w:t xml:space="preserve"> provide </w:t>
      </w:r>
      <w:r w:rsidR="00D53037">
        <w:t>their</w:t>
      </w:r>
      <w:r w:rsidRPr="00ED7A5E">
        <w:t xml:space="preserve"> own decay rate calculated from </w:t>
      </w:r>
      <w:r w:rsidR="009C101B">
        <w:t>their</w:t>
      </w:r>
      <w:r w:rsidRPr="00ED7A5E">
        <w:t xml:space="preserve"> own evaluation is reasonable</w:t>
      </w:r>
      <w:r w:rsidR="008E2609">
        <w:t xml:space="preserve">.  </w:t>
      </w:r>
      <w:r w:rsidR="009639BD">
        <w:t>As a result, w</w:t>
      </w:r>
      <w:r w:rsidR="008E2609">
        <w:t>e have update</w:t>
      </w:r>
      <w:r w:rsidR="00D05783">
        <w:t xml:space="preserve">d the “decay” term in </w:t>
      </w:r>
      <w:r w:rsidR="00D05783" w:rsidRPr="00D3498B">
        <w:t>Table 2-1</w:t>
      </w:r>
      <w:r w:rsidR="009B24DB">
        <w:t>35</w:t>
      </w:r>
      <w:r w:rsidRPr="00ED7A5E">
        <w:t xml:space="preserve"> </w:t>
      </w:r>
      <w:r w:rsidR="00D05783">
        <w:t xml:space="preserve">to allow </w:t>
      </w:r>
      <w:r w:rsidR="00D3498B">
        <w:t>“</w:t>
      </w:r>
      <w:r w:rsidR="00D05783" w:rsidRPr="00D3498B">
        <w:t>EDC Data Gathering</w:t>
      </w:r>
      <w:r w:rsidR="00D3498B">
        <w:t>”</w:t>
      </w:r>
      <w:r w:rsidR="00D05783">
        <w:t xml:space="preserve"> while preserving the 31.3% annual decay rate as a </w:t>
      </w:r>
      <w:r w:rsidR="001554CC">
        <w:t>default value</w:t>
      </w:r>
      <w:r w:rsidRPr="00ED7A5E">
        <w:t xml:space="preserve">. </w:t>
      </w:r>
      <w:r w:rsidR="001554CC">
        <w:t xml:space="preserve"> The Commission appreciates PPL’s </w:t>
      </w:r>
      <w:r w:rsidR="0040758B">
        <w:t xml:space="preserve">comment regarding dual participation in other EE programs. </w:t>
      </w:r>
      <w:r w:rsidR="00AD3EB4">
        <w:t xml:space="preserve"> </w:t>
      </w:r>
      <w:r w:rsidR="0040758B">
        <w:t>The Final 2021 TRM clarifies that a</w:t>
      </w:r>
      <w:r w:rsidRPr="00ED7A5E">
        <w:t>ll treatment effect estimates in the algorithms should be adjusted for joint savings</w:t>
      </w:r>
      <w:r w:rsidR="0040758B">
        <w:t>.</w:t>
      </w:r>
      <w:r w:rsidR="001E598B">
        <w:t xml:space="preserve">  </w:t>
      </w:r>
      <w:r w:rsidR="00C51DC3" w:rsidRPr="00ED7A5E">
        <w:t>In regard to</w:t>
      </w:r>
      <w:r w:rsidRPr="00ED7A5E">
        <w:t xml:space="preserve"> </w:t>
      </w:r>
      <w:r w:rsidR="002147CB">
        <w:t>FirstEnergy</w:t>
      </w:r>
      <w:r w:rsidRPr="00ED7A5E">
        <w:t>’s comment, the decay rate is applied annually</w:t>
      </w:r>
      <w:r w:rsidR="00495E45">
        <w:t xml:space="preserve">.  </w:t>
      </w:r>
      <w:r w:rsidR="00C51DC3">
        <w:t>M</w:t>
      </w:r>
      <w:r w:rsidRPr="00ED7A5E">
        <w:t>onthly readings can be calculated in a similar fashion</w:t>
      </w:r>
      <w:r w:rsidR="00267188">
        <w:t>. T</w:t>
      </w:r>
      <w:r w:rsidRPr="00ED7A5E">
        <w:t>he Co</w:t>
      </w:r>
      <w:r w:rsidR="003B0D77">
        <w:t>m</w:t>
      </w:r>
      <w:r w:rsidRPr="00ED7A5E">
        <w:t>mission</w:t>
      </w:r>
      <w:r w:rsidR="00267188">
        <w:t>, however, finds</w:t>
      </w:r>
      <w:r w:rsidR="00267188" w:rsidRPr="00ED7A5E">
        <w:t xml:space="preserve"> </w:t>
      </w:r>
      <w:r w:rsidRPr="00ED7A5E">
        <w:t>that an annual savings calculation is more intuitive and simpler to apply to HER cost-</w:t>
      </w:r>
      <w:r w:rsidRPr="00ED7A5E">
        <w:lastRenderedPageBreak/>
        <w:t xml:space="preserve">benefit </w:t>
      </w:r>
      <w:r w:rsidR="003B0D77">
        <w:t xml:space="preserve">calculations as Act 129 </w:t>
      </w:r>
      <w:r w:rsidR="00736EAA">
        <w:t>goals and reporting are on an annual basis</w:t>
      </w:r>
      <w:r w:rsidRPr="00ED7A5E">
        <w:t xml:space="preserve">. </w:t>
      </w:r>
      <w:r w:rsidR="001E598B">
        <w:t xml:space="preserve"> </w:t>
      </w:r>
      <w:r w:rsidR="00820480">
        <w:t>Responding</w:t>
      </w:r>
      <w:r w:rsidRPr="00ED7A5E">
        <w:t xml:space="preserve"> to </w:t>
      </w:r>
      <w:r w:rsidR="005467F0">
        <w:t xml:space="preserve">Oracle’s request to include </w:t>
      </w:r>
      <w:r w:rsidRPr="00ED7A5E">
        <w:t xml:space="preserve">the (x- 0.5) term in the lifetime savings equation, the Commission notes that the decay factor of 31.3% is the decay by the end of the year, not </w:t>
      </w:r>
      <w:r w:rsidR="00736EAA">
        <w:t xml:space="preserve">the average observed across </w:t>
      </w:r>
      <w:r w:rsidRPr="00ED7A5E">
        <w:t>the whole year</w:t>
      </w:r>
      <w:r w:rsidR="00495E45">
        <w:t xml:space="preserve">.  </w:t>
      </w:r>
      <w:r w:rsidRPr="00ED7A5E">
        <w:t xml:space="preserve">Including this adjustment </w:t>
      </w:r>
      <w:r w:rsidR="00736EAA">
        <w:t xml:space="preserve">captures </w:t>
      </w:r>
      <w:r w:rsidRPr="00ED7A5E">
        <w:t xml:space="preserve">the midpoint of the savings in each year, better reflecting </w:t>
      </w:r>
      <w:r w:rsidR="0026539C">
        <w:t>the amount of decay throughout the program year</w:t>
      </w:r>
      <w:r w:rsidRPr="00ED7A5E">
        <w:t xml:space="preserve">. </w:t>
      </w:r>
    </w:p>
    <w:p w14:paraId="074D3B42" w14:textId="77777777" w:rsidR="00AA2B50" w:rsidRPr="00ED7A5E" w:rsidRDefault="00AA2B50" w:rsidP="00AA2116"/>
    <w:p w14:paraId="4388B099" w14:textId="77777777" w:rsidR="001E598B" w:rsidRDefault="00ED7A5E" w:rsidP="00AA2116">
      <w:r w:rsidRPr="00ED7A5E">
        <w:t xml:space="preserve">Oracle makes several suggestions about how to adjust the savings calculations. </w:t>
      </w:r>
      <w:r w:rsidR="00736EAA">
        <w:t xml:space="preserve"> </w:t>
      </w:r>
      <w:r w:rsidRPr="00ED7A5E">
        <w:t xml:space="preserve">On the critiques of the </w:t>
      </w:r>
      <w:r w:rsidRPr="00077537">
        <w:t>linearity and constancy of the persistence rate</w:t>
      </w:r>
      <w:r w:rsidRPr="00ED7A5E">
        <w:t>, the Com</w:t>
      </w:r>
      <w:r w:rsidR="00736EAA">
        <w:t>m</w:t>
      </w:r>
      <w:r w:rsidRPr="00ED7A5E">
        <w:t>ission notes Oracle’s concern, but maintains that a simple, linear model provides the best tradeoff between accuracy and ease of comprehension and use</w:t>
      </w:r>
      <w:r w:rsidR="00495E45">
        <w:t xml:space="preserve">.  </w:t>
      </w:r>
      <w:r w:rsidRPr="00ED7A5E">
        <w:t xml:space="preserve">The suggestion to use a one-year measure life for the HER program cannot be supported with the results of persistence studies across the United States, but particularly in Pennsylvania. </w:t>
      </w:r>
      <w:r w:rsidR="00736EAA">
        <w:t xml:space="preserve"> </w:t>
      </w:r>
      <w:r w:rsidRPr="00ED7A5E">
        <w:t xml:space="preserve">Oracle </w:t>
      </w:r>
      <w:r w:rsidR="001E598B">
        <w:t xml:space="preserve">also </w:t>
      </w:r>
      <w:r w:rsidRPr="00ED7A5E">
        <w:t>suggests using an average savings model if the program does run across multiple years</w:t>
      </w:r>
      <w:r w:rsidR="00495E45">
        <w:t xml:space="preserve">.  </w:t>
      </w:r>
      <w:r w:rsidRPr="00ED7A5E">
        <w:t>The Commission reviewed the referenced report from Illume</w:t>
      </w:r>
      <w:r w:rsidR="00736EAA">
        <w:t xml:space="preserve"> Advising</w:t>
      </w:r>
      <w:r w:rsidRPr="00ED7A5E">
        <w:t xml:space="preserve"> in Minnesota</w:t>
      </w:r>
      <w:r w:rsidRPr="00ED7A5E">
        <w:rPr>
          <w:vertAlign w:val="superscript"/>
        </w:rPr>
        <w:footnoteReference w:id="11"/>
      </w:r>
      <w:r w:rsidRPr="00ED7A5E">
        <w:t xml:space="preserve"> and </w:t>
      </w:r>
      <w:r w:rsidR="00F94139">
        <w:t xml:space="preserve">found that, </w:t>
      </w:r>
      <w:r w:rsidRPr="00ED7A5E">
        <w:t xml:space="preserve">rather than supporting the average savings method, </w:t>
      </w:r>
      <w:r w:rsidR="00C24547">
        <w:t xml:space="preserve">the </w:t>
      </w:r>
      <w:r w:rsidR="00BC7E8B">
        <w:t>Minnesota Department of Commerce Division of Energy Resources</w:t>
      </w:r>
      <w:r w:rsidRPr="00C24547">
        <w:t xml:space="preserve"> recommended</w:t>
      </w:r>
      <w:r w:rsidRPr="00ED7A5E">
        <w:t xml:space="preserve"> that Minnesota switch to the avoided decay method that is functionally equivalent to </w:t>
      </w:r>
      <w:r w:rsidR="003C2A20">
        <w:t>our</w:t>
      </w:r>
      <w:r w:rsidR="00736EAA">
        <w:t xml:space="preserve"> proposal in the Tentative 2021 TRM</w:t>
      </w:r>
      <w:r w:rsidRPr="00ED7A5E">
        <w:t xml:space="preserve">. </w:t>
      </w:r>
      <w:r w:rsidR="00736EAA">
        <w:t xml:space="preserve"> </w:t>
      </w:r>
    </w:p>
    <w:p w14:paraId="0464A458" w14:textId="77777777" w:rsidR="001E598B" w:rsidRDefault="001E598B" w:rsidP="00AA2116"/>
    <w:p w14:paraId="7E8B5F60" w14:textId="6DEBA6A3" w:rsidR="00AA2B50" w:rsidRPr="00ED7A5E" w:rsidRDefault="00ED7A5E" w:rsidP="00AA2116">
      <w:r w:rsidRPr="00ED7A5E">
        <w:t xml:space="preserve">Finally, Oracle notes that due to the complex nature of the savings accounting, the program has the potential for “increased risk in forecasting and program delivery, an inconsistent and negative customer experience, and challenges achieving equitable scale.” The Commission does not share Oracle’s concerns in these areas. </w:t>
      </w:r>
      <w:r w:rsidR="00736EAA">
        <w:t xml:space="preserve"> </w:t>
      </w:r>
      <w:r w:rsidRPr="00ED7A5E">
        <w:t>Instead</w:t>
      </w:r>
      <w:r w:rsidR="00575E63">
        <w:t>,</w:t>
      </w:r>
      <w:r w:rsidRPr="00ED7A5E">
        <w:t xml:space="preserve"> </w:t>
      </w:r>
      <w:r w:rsidR="00EC6407">
        <w:t>we</w:t>
      </w:r>
      <w:r w:rsidRPr="00ED7A5E">
        <w:t xml:space="preserve"> expect that a </w:t>
      </w:r>
      <w:r w:rsidR="0026539C">
        <w:t>transparent</w:t>
      </w:r>
      <w:r w:rsidRPr="00ED7A5E">
        <w:t xml:space="preserve"> and accurate accounting method will allow </w:t>
      </w:r>
      <w:r w:rsidR="00591948">
        <w:t>EDCs and CSPs</w:t>
      </w:r>
      <w:r w:rsidRPr="00ED7A5E">
        <w:t xml:space="preserve"> to focus on </w:t>
      </w:r>
      <w:r w:rsidR="00591948">
        <w:t>optimizing</w:t>
      </w:r>
      <w:r w:rsidRPr="00ED7A5E">
        <w:t xml:space="preserve"> program </w:t>
      </w:r>
      <w:r w:rsidR="00591948">
        <w:t>delivery</w:t>
      </w:r>
      <w:r w:rsidRPr="00ED7A5E">
        <w:t xml:space="preserve"> in a way that delivers </w:t>
      </w:r>
      <w:r w:rsidR="001A5DF1">
        <w:t>defensible and cost-effective energy savings to the Commonwealth and its ratepayers</w:t>
      </w:r>
      <w:r w:rsidRPr="00ED7A5E">
        <w:t xml:space="preserve">. </w:t>
      </w:r>
      <w:r w:rsidR="001A5DF1">
        <w:t xml:space="preserve"> </w:t>
      </w:r>
      <w:r w:rsidR="002F1D1F">
        <w:t xml:space="preserve">The purpose of the TRM is to </w:t>
      </w:r>
      <w:r w:rsidR="002F1D1F">
        <w:lastRenderedPageBreak/>
        <w:t>document the calculation methods for savings</w:t>
      </w:r>
      <w:r w:rsidR="00E37C22">
        <w:t xml:space="preserve">.  We </w:t>
      </w:r>
      <w:r w:rsidR="00267188">
        <w:t xml:space="preserve">find </w:t>
      </w:r>
      <w:r w:rsidR="00E37C22">
        <w:t xml:space="preserve">that </w:t>
      </w:r>
      <w:r w:rsidR="0026539C">
        <w:t>program design and</w:t>
      </w:r>
      <w:r w:rsidR="00E37C22">
        <w:t xml:space="preserve"> customer experience considerations are outside of the scope of the</w:t>
      </w:r>
      <w:r w:rsidR="00865DE6">
        <w:t xml:space="preserve"> </w:t>
      </w:r>
      <w:r w:rsidR="00E37C22">
        <w:t xml:space="preserve">TRM and best handled through EDC EE&amp;C plans. </w:t>
      </w:r>
    </w:p>
    <w:p w14:paraId="789D0E67" w14:textId="77777777" w:rsidR="00ED7A5E" w:rsidRPr="00ED7A5E" w:rsidRDefault="00ED7A5E" w:rsidP="00AA2116"/>
    <w:p w14:paraId="640596FC" w14:textId="6F7B4E3A" w:rsidR="00ED7A5E" w:rsidRDefault="00ED7A5E" w:rsidP="00AA2116">
      <w:r w:rsidRPr="00ED7A5E">
        <w:t>The Commission finds that PE</w:t>
      </w:r>
      <w:r w:rsidRPr="00DD127D">
        <w:t xml:space="preserve">CO’s suggestion to adjust the decay rate to 33.3% </w:t>
      </w:r>
      <w:r w:rsidR="00DD127D" w:rsidRPr="00DD127D">
        <w:t xml:space="preserve">is </w:t>
      </w:r>
      <w:r w:rsidR="0026539C" w:rsidRPr="00DD127D">
        <w:t>arbitrary</w:t>
      </w:r>
      <w:r w:rsidRPr="00DD127D">
        <w:t>, as the</w:t>
      </w:r>
      <w:r w:rsidRPr="00ED7A5E">
        <w:t xml:space="preserve"> decay rate was found empirically from data </w:t>
      </w:r>
      <w:r w:rsidR="0026539C">
        <w:t>from</w:t>
      </w:r>
      <w:r w:rsidR="00D76CE0">
        <w:t xml:space="preserve"> six</w:t>
      </w:r>
      <w:r w:rsidR="0026539C">
        <w:t xml:space="preserve"> Pennsylvania</w:t>
      </w:r>
      <w:r w:rsidRPr="00ED7A5E">
        <w:t xml:space="preserve"> EDCs with </w:t>
      </w:r>
      <w:r w:rsidR="00D76CE0">
        <w:t xml:space="preserve">natural persistence experiments in their </w:t>
      </w:r>
      <w:r w:rsidRPr="00ED7A5E">
        <w:t xml:space="preserve">HER programs. </w:t>
      </w:r>
      <w:r w:rsidR="001E598B">
        <w:t xml:space="preserve"> </w:t>
      </w:r>
      <w:r w:rsidR="00267188">
        <w:t>T</w:t>
      </w:r>
      <w:r w:rsidRPr="00ED7A5E">
        <w:t>he Commission</w:t>
      </w:r>
      <w:r w:rsidR="00267188">
        <w:t>, however,</w:t>
      </w:r>
      <w:r w:rsidRPr="00ED7A5E">
        <w:t xml:space="preserve"> </w:t>
      </w:r>
      <w:r w:rsidR="000444EE">
        <w:t xml:space="preserve">agrees </w:t>
      </w:r>
      <w:r w:rsidR="00D76CE0">
        <w:t xml:space="preserve">with </w:t>
      </w:r>
      <w:r w:rsidR="00D76CE0" w:rsidRPr="00DD127D">
        <w:t>PPL</w:t>
      </w:r>
      <w:r w:rsidR="00DD127D">
        <w:t xml:space="preserve"> </w:t>
      </w:r>
      <w:r w:rsidRPr="00ED7A5E">
        <w:t xml:space="preserve">that </w:t>
      </w:r>
      <w:r w:rsidRPr="00ED7A5E" w:rsidDel="006B65B5">
        <w:t xml:space="preserve">the </w:t>
      </w:r>
      <w:r w:rsidRPr="00ED7A5E">
        <w:t xml:space="preserve">EDCs should be able to use their own decay rate found from empirical research. </w:t>
      </w:r>
      <w:r w:rsidR="00E37C22">
        <w:t xml:space="preserve"> </w:t>
      </w:r>
      <w:r w:rsidRPr="00ED7A5E">
        <w:t xml:space="preserve">The Commission </w:t>
      </w:r>
      <w:r w:rsidR="00D93401">
        <w:t xml:space="preserve">appreciates </w:t>
      </w:r>
      <w:r w:rsidR="004A4ABD">
        <w:t>PECO’s method summarizing</w:t>
      </w:r>
      <w:r w:rsidR="00D937CE">
        <w:t xml:space="preserve"> </w:t>
      </w:r>
      <w:r w:rsidRPr="00ED7A5E">
        <w:t>the lifetime savings calculation as a scalar factor of customer churn, decay rate, and incremental savings for that delivery year</w:t>
      </w:r>
      <w:r w:rsidR="00495E45">
        <w:t xml:space="preserve">.  </w:t>
      </w:r>
      <w:r w:rsidRPr="00ED7A5E">
        <w:t xml:space="preserve">That method and its explanation have been added to the discussion of lifetime savings in </w:t>
      </w:r>
      <w:r w:rsidR="00F94139">
        <w:t>the Manual</w:t>
      </w:r>
      <w:r w:rsidR="00D76CE0">
        <w:t>, although the SWE-calculated scalar value is s</w:t>
      </w:r>
      <w:r w:rsidR="00651521">
        <w:t>lightly higher with lifetime savings equal to 2.44 times the incremental annual savings</w:t>
      </w:r>
      <w:r w:rsidRPr="00ED7A5E">
        <w:t xml:space="preserve">. </w:t>
      </w:r>
      <w:r w:rsidR="001E598B">
        <w:t xml:space="preserve"> </w:t>
      </w:r>
      <w:r w:rsidRPr="00ED7A5E">
        <w:t>Finally, the Commission concurs with two of Oracle’s comments</w:t>
      </w:r>
      <w:r w:rsidR="00495E45">
        <w:t xml:space="preserve">.  </w:t>
      </w:r>
      <w:r w:rsidRPr="00ED7A5E">
        <w:t xml:space="preserve">Residential HER programs do not include commercial customers in their comparison groups, and program design and implementation guidance are not appropriate for inclusion in a technical discussion of how to calculate program savings. </w:t>
      </w:r>
      <w:r w:rsidR="00D8341F">
        <w:t xml:space="preserve"> The relevant</w:t>
      </w:r>
      <w:r w:rsidRPr="00ED7A5E">
        <w:t xml:space="preserve"> </w:t>
      </w:r>
      <w:r w:rsidR="000A38B6" w:rsidRPr="00ED7A5E">
        <w:t>segments</w:t>
      </w:r>
      <w:r w:rsidRPr="00ED7A5E">
        <w:t xml:space="preserve"> </w:t>
      </w:r>
      <w:r w:rsidR="00D8341F">
        <w:t xml:space="preserve">of </w:t>
      </w:r>
      <w:r w:rsidR="00D8341F" w:rsidRPr="00DD127D">
        <w:t>Section 2.7.5</w:t>
      </w:r>
      <w:r w:rsidR="00D8341F">
        <w:t xml:space="preserve"> </w:t>
      </w:r>
      <w:r w:rsidRPr="00ED7A5E">
        <w:t xml:space="preserve">have been adjusted to reflect this feedback. </w:t>
      </w:r>
    </w:p>
    <w:p w14:paraId="6874F477" w14:textId="77777777" w:rsidR="007D061D" w:rsidRPr="00ED7A5E" w:rsidRDefault="007D061D" w:rsidP="00AA2116"/>
    <w:p w14:paraId="57F736AC" w14:textId="21A8A50F" w:rsidR="00707482" w:rsidRDefault="00707482" w:rsidP="00453F14">
      <w:pPr>
        <w:pStyle w:val="Heading3"/>
        <w:numPr>
          <w:ilvl w:val="1"/>
          <w:numId w:val="19"/>
        </w:numPr>
      </w:pPr>
      <w:bookmarkStart w:id="97" w:name="_Toc15657900"/>
      <w:r w:rsidRPr="003F5DA0">
        <w:t>Properly Sized Cooling</w:t>
      </w:r>
      <w:r w:rsidR="00ED75A9">
        <w:rPr>
          <w:rStyle w:val="FootnoteReference"/>
        </w:rPr>
        <w:footnoteReference w:id="12"/>
      </w:r>
      <w:bookmarkEnd w:id="97"/>
    </w:p>
    <w:p w14:paraId="10E752B1" w14:textId="77777777" w:rsidR="00707482" w:rsidRDefault="00707482" w:rsidP="00453F14">
      <w:pPr>
        <w:pStyle w:val="Heading4"/>
        <w:numPr>
          <w:ilvl w:val="2"/>
          <w:numId w:val="19"/>
        </w:numPr>
      </w:pPr>
      <w:r>
        <w:t>Comments</w:t>
      </w:r>
    </w:p>
    <w:p w14:paraId="53FCEA77" w14:textId="0D1848AE" w:rsidR="00707482" w:rsidRDefault="00707482" w:rsidP="00707482">
      <w:r>
        <w:t>PECO recommends incorporating this as a factor into the High Efficiency Equipment measures (Sections 2.2.1 and 2.2.2 in the proposed 2021 TRM) and excluding properly sized baseline units from eligibility.  PECO Comments at 7, 22, 23, 28.</w:t>
      </w:r>
      <w:r w:rsidR="001E598B">
        <w:t xml:space="preserve">  </w:t>
      </w:r>
      <w:r>
        <w:t xml:space="preserve">FirstEnergy </w:t>
      </w:r>
      <w:r w:rsidRPr="00DC2E18">
        <w:t>comments that</w:t>
      </w:r>
      <w:r>
        <w:t xml:space="preserve"> a</w:t>
      </w:r>
      <w:r w:rsidRPr="00DC2E18">
        <w:t xml:space="preserve"> page reference in</w:t>
      </w:r>
      <w:r>
        <w:t xml:space="preserve"> the cited source document from Northeast Energy Efficiency Partnerships is incorrect.  FirstEnergy Comments at 1.</w:t>
      </w:r>
    </w:p>
    <w:p w14:paraId="28BBA7B5" w14:textId="77777777" w:rsidR="00707482" w:rsidRDefault="00707482" w:rsidP="00707482"/>
    <w:p w14:paraId="421D8160" w14:textId="77777777" w:rsidR="00707482" w:rsidRDefault="00707482" w:rsidP="00453F14">
      <w:pPr>
        <w:pStyle w:val="Heading4"/>
        <w:numPr>
          <w:ilvl w:val="2"/>
          <w:numId w:val="19"/>
        </w:numPr>
      </w:pPr>
      <w:r>
        <w:lastRenderedPageBreak/>
        <w:t>Disposition</w:t>
      </w:r>
    </w:p>
    <w:p w14:paraId="0484F346" w14:textId="2F17CBD4" w:rsidR="00707482" w:rsidRDefault="00707482" w:rsidP="00707482">
      <w:r>
        <w:t xml:space="preserve">The Commission agrees with PECO’s recommendation and has removed the separate measure for Properly Sized Cooling.  This measure is now an additional term in the savings algorithm for the </w:t>
      </w:r>
      <w:r w:rsidRPr="00B52672">
        <w:t>High Efficiency Equipment: ASHP, CAC, GSHP, PTAC, PTHP</w:t>
      </w:r>
      <w:r>
        <w:t xml:space="preserve"> </w:t>
      </w:r>
      <w:r w:rsidRPr="00025ADF">
        <w:t>measure and the</w:t>
      </w:r>
      <w:r>
        <w:t xml:space="preserve"> </w:t>
      </w:r>
      <w:r w:rsidRPr="005662E1">
        <w:t xml:space="preserve">High Efficiency Equipment: </w:t>
      </w:r>
      <w:r>
        <w:t>Ductless Heat Pumps with Midstream Delivery Option (Sections 2.2.1 and 2.2.2 in the 2021 TRM).</w:t>
      </w:r>
      <w:r w:rsidR="001E598B">
        <w:t xml:space="preserve">  </w:t>
      </w:r>
      <w:r>
        <w:t>In response to FirstEnergy’s comment, the Commission has corrected the page reference error.</w:t>
      </w:r>
    </w:p>
    <w:p w14:paraId="3EF34295" w14:textId="77777777" w:rsidR="003E02EA" w:rsidRPr="00192A4D" w:rsidRDefault="003E02EA" w:rsidP="00707482"/>
    <w:p w14:paraId="64602475" w14:textId="0F69B33E" w:rsidR="00471058" w:rsidRDefault="00471058" w:rsidP="00453F14">
      <w:pPr>
        <w:pStyle w:val="Heading3"/>
        <w:numPr>
          <w:ilvl w:val="1"/>
          <w:numId w:val="19"/>
        </w:numPr>
      </w:pPr>
      <w:bookmarkStart w:id="98" w:name="_Ref12531843"/>
      <w:bookmarkStart w:id="99" w:name="_Toc15657901"/>
      <w:r w:rsidRPr="0082744A">
        <w:t>Basement Wall</w:t>
      </w:r>
      <w:r w:rsidRPr="425E547D">
        <w:t xml:space="preserve"> Insulation</w:t>
      </w:r>
      <w:bookmarkEnd w:id="98"/>
      <w:r w:rsidR="00730E08">
        <w:rPr>
          <w:rStyle w:val="FootnoteReference"/>
        </w:rPr>
        <w:footnoteReference w:id="13"/>
      </w:r>
      <w:bookmarkEnd w:id="99"/>
    </w:p>
    <w:p w14:paraId="576390C1" w14:textId="77777777" w:rsidR="00471058" w:rsidRPr="00EC44F3" w:rsidRDefault="00471058" w:rsidP="00453F14">
      <w:pPr>
        <w:pStyle w:val="Heading4"/>
        <w:numPr>
          <w:ilvl w:val="2"/>
          <w:numId w:val="19"/>
        </w:numPr>
      </w:pPr>
      <w:r w:rsidRPr="088D1F4A">
        <w:t>Comments</w:t>
      </w:r>
    </w:p>
    <w:p w14:paraId="764B6BB3" w14:textId="55A48F72" w:rsidR="00471058" w:rsidRDefault="00471058" w:rsidP="00471058">
      <w:r>
        <w:t>FirstEnergy requests additional values to be added to Table 2-122, Below-Grade R-values, to include below-grade R-values at depths greater than eight feet.  FirstEnergy Comments at 7.</w:t>
      </w:r>
      <w:r w:rsidR="001E598B">
        <w:t xml:space="preserve">  </w:t>
      </w:r>
      <w:r>
        <w:t>FirstEnergy and Franklin Energy point out an error in the savings algorithm in which the additional R-value is subtracted from the existing R-value when it should be added.  FirstEnergy Comments at 7</w:t>
      </w:r>
      <w:r w:rsidR="001E598B">
        <w:t>,</w:t>
      </w:r>
      <w:r>
        <w:t xml:space="preserve"> Franklin Energy Comments at 171.</w:t>
      </w:r>
      <w:r w:rsidR="003E02EA">
        <w:t xml:space="preserve">  </w:t>
      </w:r>
      <w:r>
        <w:t xml:space="preserve">Franklin Energy requests clarification on whether the existing R-value variable is needed since the R-value of added insulation already includes R1 for the existing concrete wall.  They cite the Illinois TRM as not including an existing R-value for this measure.  Franklin Energy requests an additional factor to be added to both the heating and cooling savings </w:t>
      </w:r>
      <w:r w:rsidRPr="007D4069">
        <w:t>algorithms, an adjustment factor that accounts for prescriptive engineering algorithms overclaiming savings.</w:t>
      </w:r>
      <w:r>
        <w:t xml:space="preserve">  </w:t>
      </w:r>
      <w:r w:rsidRPr="007D4069">
        <w:t>They cite the Illinois TRM as including this factor.</w:t>
      </w:r>
      <w:r>
        <w:t xml:space="preserve">  Franklin Energy requests an additional distribution efficiency factor to be added to the savings algorithm to account for duct losses for air source heat pumps.  They cite the Illinois TRM as having this factor.  Franklin Energy Comments at </w:t>
      </w:r>
      <w:r w:rsidR="001E598B">
        <w:t xml:space="preserve">171, </w:t>
      </w:r>
      <w:r>
        <w:t>173.</w:t>
      </w:r>
    </w:p>
    <w:p w14:paraId="466FAFD5" w14:textId="77777777" w:rsidR="00471058" w:rsidRPr="00367D8C" w:rsidRDefault="00471058" w:rsidP="00471058"/>
    <w:p w14:paraId="45B95752" w14:textId="77777777" w:rsidR="00471058" w:rsidRDefault="00471058" w:rsidP="00453F14">
      <w:pPr>
        <w:pStyle w:val="Heading4"/>
        <w:numPr>
          <w:ilvl w:val="2"/>
          <w:numId w:val="19"/>
        </w:numPr>
      </w:pPr>
      <w:r>
        <w:lastRenderedPageBreak/>
        <w:t>Disposition</w:t>
      </w:r>
    </w:p>
    <w:p w14:paraId="2E4BF256" w14:textId="251FFA15" w:rsidR="00471058" w:rsidRDefault="00471058" w:rsidP="00471058">
      <w:r>
        <w:t xml:space="preserve">After reviewing FirstEnergy’s and Franklin Energy’s comments for this measure and the comments received regarding Crawl Space Wall Insulation (Section 2.6.7 in the 2016 TRM), the Commission has, in the interest of consistency, combined these two similar measures.  Also, in the interest of simplifying the TRM and reducing the opportunity for introducing inconsistent values in the future, the Commission has replaced the table of default heating and cooling system efficiency values in this measure with a reference to </w:t>
      </w:r>
      <w:r w:rsidRPr="008A1C4E">
        <w:t>Table 2-8: Default Baseline Equipment Efficiency for High Efficiency</w:t>
      </w:r>
      <w:r>
        <w:t xml:space="preserve"> Equipment in Section 2.2.1 - </w:t>
      </w:r>
      <w:r w:rsidRPr="00452FDC">
        <w:t>High Efficiency Equipment: ASHP, CAC, GSHP, PTAC, PTHP</w:t>
      </w:r>
      <w:r>
        <w:t>.  The Commission has also added clarifying text to the Below Grade Thermal Resistance Values table.</w:t>
      </w:r>
      <w:r w:rsidR="001E598B">
        <w:t xml:space="preserve">  </w:t>
      </w:r>
      <w:r>
        <w:t xml:space="preserve">The Commission has been unable to find an authoritative source for thermal resistance values at depths greater than eight </w:t>
      </w:r>
      <w:r w:rsidRPr="008A1C4E">
        <w:t xml:space="preserve">feet and </w:t>
      </w:r>
      <w:r>
        <w:t>therefore, rejects FirstEnergy’s request to include additional values in this table.  We also find that foundation walls greater than eight feet below grade are rare enough that the provided values will cover the great majority of projects under this measure.</w:t>
      </w:r>
      <w:r w:rsidR="001E598B">
        <w:t xml:space="preserve">  </w:t>
      </w:r>
    </w:p>
    <w:p w14:paraId="56C9C029" w14:textId="77777777" w:rsidR="003E02EA" w:rsidRDefault="003E02EA" w:rsidP="00471058"/>
    <w:p w14:paraId="22346ED6" w14:textId="5247B5A9" w:rsidR="00471058" w:rsidRDefault="00471058" w:rsidP="00471058">
      <w:r>
        <w:t>The Commission agrees with FirstEnergy and Franklin Energy regarding the error in the savings algorithm and has corrected this for the combined measure.</w:t>
      </w:r>
      <w:r w:rsidR="001E598B">
        <w:t xml:space="preserve">  </w:t>
      </w:r>
      <w:r>
        <w:t>In response to Franklin Energy’s request, the Commission clarifies that the existing R-value variable is included to account for situations in which additional insulation is added to a stud wall with existing insulation.  Furthermore, the Crawl Space Wall Insulation measure included an adjustment factor for prescriptive engineering algorithms overclaiming savings.  This factor is maintained in the combined measure.</w:t>
      </w:r>
      <w:r w:rsidR="001E598B">
        <w:t xml:space="preserve">  </w:t>
      </w:r>
      <w:r>
        <w:t>The Commission rejects Franklin Energy’s suggestion to add a distribution efficiency adjustment factor to this measure, and notes that the Illinois TRM does not cite any source for the distribution efficiency factor used in their measure.</w:t>
      </w:r>
    </w:p>
    <w:p w14:paraId="26C0C271" w14:textId="77777777" w:rsidR="00471058" w:rsidRPr="00471058" w:rsidRDefault="00471058" w:rsidP="00471058"/>
    <w:p w14:paraId="79312C81" w14:textId="3AB08D95" w:rsidR="00707482" w:rsidRPr="005A17E3" w:rsidRDefault="00707482" w:rsidP="00453F14">
      <w:pPr>
        <w:pStyle w:val="Heading3"/>
        <w:numPr>
          <w:ilvl w:val="1"/>
          <w:numId w:val="19"/>
        </w:numPr>
      </w:pPr>
      <w:bookmarkStart w:id="100" w:name="_Toc15657902"/>
      <w:r>
        <w:lastRenderedPageBreak/>
        <w:t>Low-Rise Multifamily New Construction</w:t>
      </w:r>
      <w:r>
        <w:rPr>
          <w:rStyle w:val="FootnoteReference"/>
        </w:rPr>
        <w:footnoteReference w:id="14"/>
      </w:r>
      <w:bookmarkEnd w:id="100"/>
    </w:p>
    <w:p w14:paraId="6E855901" w14:textId="77777777" w:rsidR="00707482" w:rsidRPr="005A17E3" w:rsidRDefault="00707482" w:rsidP="00453F14">
      <w:pPr>
        <w:pStyle w:val="Heading4"/>
        <w:numPr>
          <w:ilvl w:val="2"/>
          <w:numId w:val="19"/>
        </w:numPr>
      </w:pPr>
      <w:r>
        <w:t>Combining with Residential New Construction, Expanding Eligibility</w:t>
      </w:r>
    </w:p>
    <w:p w14:paraId="0CB47D38" w14:textId="77777777" w:rsidR="00707482" w:rsidRDefault="00707482" w:rsidP="00453F14">
      <w:pPr>
        <w:pStyle w:val="Heading5"/>
        <w:numPr>
          <w:ilvl w:val="3"/>
          <w:numId w:val="18"/>
        </w:numPr>
      </w:pPr>
      <w:r>
        <w:t>Comments</w:t>
      </w:r>
    </w:p>
    <w:p w14:paraId="71953BC9" w14:textId="2036E936" w:rsidR="00707482" w:rsidRDefault="00707482" w:rsidP="00707482">
      <w:r>
        <w:t xml:space="preserve">PECO and Performance Systems Development recommend combining this measure with the Residential New Construction measure to increase flexibility.  PECO Comments at 9.  </w:t>
      </w:r>
      <w:r>
        <w:softHyphen/>
        <w:t xml:space="preserve">Performance Systems Development recommends eliminating the height limit of three stories for this measure as many buildings greater than three stories use individual residential electricity meters and should be serviced by residential EE&amp;C programs.  They note that the ENERGY STAR homes program does not limit participating buildings to three stories and express concern that a three-story limit will limit participation of affordable housing developers.  </w:t>
      </w:r>
      <w:r w:rsidRPr="00F848C6">
        <w:t>The</w:t>
      </w:r>
      <w:r>
        <w:t>y</w:t>
      </w:r>
      <w:r w:rsidRPr="00F848C6">
        <w:t xml:space="preserve"> note that</w:t>
      </w:r>
      <w:r>
        <w:t xml:space="preserve"> allowing buildings of greater than three stories will require a set of separate baseline values as these buildings are covered by the commercial building code, which has different requirements than the residential building code.  Performance Systems Development Comments at 4.</w:t>
      </w:r>
    </w:p>
    <w:p w14:paraId="05237068" w14:textId="77777777" w:rsidR="00707482" w:rsidRDefault="00707482" w:rsidP="00707482"/>
    <w:p w14:paraId="3B9BE5ED" w14:textId="77777777" w:rsidR="00707482" w:rsidRDefault="00707482" w:rsidP="00453F14">
      <w:pPr>
        <w:pStyle w:val="Heading5"/>
        <w:numPr>
          <w:ilvl w:val="3"/>
          <w:numId w:val="18"/>
        </w:numPr>
      </w:pPr>
      <w:r>
        <w:t>Disposition</w:t>
      </w:r>
    </w:p>
    <w:p w14:paraId="66D08C03" w14:textId="77777777" w:rsidR="00707482" w:rsidRPr="001C608A" w:rsidRDefault="00707482" w:rsidP="00707482">
      <w:r>
        <w:t xml:space="preserve">The Commission agrees with PECO’s and Performance Systems Development’s recommendation that a single Residential New Construction measure that covers single and multifamily buildings is preferable to separate measures.  The Commission has removed the Low-Rise Multifamily New Construction measure and expanded the eligibility under Residential New Construction to include </w:t>
      </w:r>
      <w:r w:rsidRPr="001C608A">
        <w:t>multifamily residential buildings that meet the following requirements</w:t>
      </w:r>
      <w:r>
        <w:t xml:space="preserve">, adapted from ENERGY STAR </w:t>
      </w:r>
      <w:r w:rsidRPr="00B9518A">
        <w:t>guidelines</w:t>
      </w:r>
      <w:r w:rsidRPr="00B9518A">
        <w:rPr>
          <w:rStyle w:val="FootnoteReference"/>
        </w:rPr>
        <w:footnoteReference w:id="15"/>
      </w:r>
      <w:r w:rsidRPr="00B9518A">
        <w:t>:</w:t>
      </w:r>
    </w:p>
    <w:p w14:paraId="699843E7" w14:textId="77777777" w:rsidR="00707482" w:rsidRPr="003C0F53" w:rsidRDefault="00707482" w:rsidP="00453F14">
      <w:pPr>
        <w:pStyle w:val="ListParagraph"/>
        <w:numPr>
          <w:ilvl w:val="0"/>
          <w:numId w:val="12"/>
        </w:numPr>
        <w:rPr>
          <w:sz w:val="26"/>
          <w:szCs w:val="26"/>
        </w:rPr>
      </w:pPr>
      <w:r w:rsidRPr="003C0F53">
        <w:rPr>
          <w:sz w:val="26"/>
          <w:szCs w:val="26"/>
        </w:rPr>
        <w:t>All units must be individually metered.</w:t>
      </w:r>
    </w:p>
    <w:p w14:paraId="1171D594" w14:textId="77777777" w:rsidR="00707482" w:rsidRPr="003C0F53" w:rsidRDefault="00707482" w:rsidP="00453F14">
      <w:pPr>
        <w:pStyle w:val="ListParagraph"/>
        <w:numPr>
          <w:ilvl w:val="0"/>
          <w:numId w:val="12"/>
        </w:numPr>
        <w:rPr>
          <w:sz w:val="26"/>
          <w:szCs w:val="26"/>
        </w:rPr>
      </w:pPr>
      <w:r w:rsidRPr="003C0F53">
        <w:rPr>
          <w:sz w:val="26"/>
          <w:szCs w:val="26"/>
        </w:rPr>
        <w:lastRenderedPageBreak/>
        <w:t>Each unit must have its own residential-grade heating, cooling, and water heating equipment.</w:t>
      </w:r>
    </w:p>
    <w:p w14:paraId="571B4E61" w14:textId="77777777" w:rsidR="00707482" w:rsidRPr="003C0F53" w:rsidRDefault="00707482" w:rsidP="00453F14">
      <w:pPr>
        <w:pStyle w:val="ListParagraph"/>
        <w:numPr>
          <w:ilvl w:val="0"/>
          <w:numId w:val="12"/>
        </w:numPr>
        <w:rPr>
          <w:sz w:val="26"/>
          <w:szCs w:val="26"/>
        </w:rPr>
      </w:pPr>
      <w:r w:rsidRPr="003C0F53">
        <w:rPr>
          <w:sz w:val="26"/>
          <w:szCs w:val="26"/>
        </w:rPr>
        <w:t>The building must be under six stories.</w:t>
      </w:r>
    </w:p>
    <w:p w14:paraId="4D9AC13E" w14:textId="77777777" w:rsidR="00707482" w:rsidRPr="003C0F53" w:rsidRDefault="00707482" w:rsidP="00453F14">
      <w:pPr>
        <w:pStyle w:val="ListParagraph"/>
        <w:numPr>
          <w:ilvl w:val="0"/>
          <w:numId w:val="12"/>
        </w:numPr>
        <w:rPr>
          <w:sz w:val="26"/>
          <w:szCs w:val="26"/>
        </w:rPr>
      </w:pPr>
      <w:r w:rsidRPr="003C0F53">
        <w:rPr>
          <w:sz w:val="26"/>
          <w:szCs w:val="26"/>
        </w:rPr>
        <w:t>Dwelling units must comprise at least 80% of the occupiable</w:t>
      </w:r>
      <w:r w:rsidRPr="003C0F53">
        <w:rPr>
          <w:sz w:val="26"/>
          <w:szCs w:val="26"/>
          <w:vertAlign w:val="superscript"/>
        </w:rPr>
        <w:footnoteReference w:id="16"/>
      </w:r>
      <w:r w:rsidRPr="003C0F53">
        <w:rPr>
          <w:sz w:val="26"/>
          <w:szCs w:val="26"/>
        </w:rPr>
        <w:t xml:space="preserve"> space of the building.</w:t>
      </w:r>
      <w:r w:rsidRPr="003C0F53">
        <w:rPr>
          <w:sz w:val="26"/>
          <w:szCs w:val="26"/>
          <w:vertAlign w:val="superscript"/>
        </w:rPr>
        <w:footnoteReference w:id="17"/>
      </w:r>
    </w:p>
    <w:p w14:paraId="44F457D7" w14:textId="77777777" w:rsidR="00707482" w:rsidRDefault="00707482" w:rsidP="001E598B">
      <w:pPr>
        <w:ind w:firstLine="0"/>
      </w:pPr>
      <w:r>
        <w:t>Furthermore, we added separate baseline building specifications for buildings of four stories or more that are subject to the commercial building code.</w:t>
      </w:r>
    </w:p>
    <w:p w14:paraId="6CDAB7A8" w14:textId="77777777" w:rsidR="00707482" w:rsidRPr="003F5DA0" w:rsidRDefault="00707482" w:rsidP="00707482"/>
    <w:p w14:paraId="1DC49F18" w14:textId="77777777" w:rsidR="00707482" w:rsidRPr="005A17E3" w:rsidRDefault="00707482" w:rsidP="00453F14">
      <w:pPr>
        <w:pStyle w:val="Heading4"/>
        <w:numPr>
          <w:ilvl w:val="2"/>
          <w:numId w:val="20"/>
        </w:numPr>
      </w:pPr>
      <w:r>
        <w:t>Energy Modeling</w:t>
      </w:r>
    </w:p>
    <w:p w14:paraId="1B182753" w14:textId="77777777" w:rsidR="00707482" w:rsidRPr="003F5DA0" w:rsidRDefault="00707482" w:rsidP="00453F14">
      <w:pPr>
        <w:pStyle w:val="Heading5"/>
        <w:numPr>
          <w:ilvl w:val="3"/>
          <w:numId w:val="20"/>
        </w:numPr>
      </w:pPr>
      <w:r>
        <w:t>Comments</w:t>
      </w:r>
    </w:p>
    <w:p w14:paraId="72A4B955" w14:textId="37B86F03" w:rsidR="00707482" w:rsidRDefault="00707482" w:rsidP="00707482">
      <w:r>
        <w:t>Performance Systems Development recommends offering per-unit and whole-building modeling paths for calculating savings, stating that this will be best aligned with industry practice and ENERGY STAR guidelines for single and multifamily new construction.  They recommend allowing additional modeling software options for whole-building modeling of multifamily structures, including approaches used in the IECC Total Building Performance Pathway and ASHRAE 90.</w:t>
      </w:r>
      <w:r w:rsidRPr="00647CA7">
        <w:t>1</w:t>
      </w:r>
      <w:r>
        <w:t>,</w:t>
      </w:r>
      <w:r w:rsidRPr="00647CA7">
        <w:t xml:space="preserve"> Appendix G</w:t>
      </w:r>
      <w:r>
        <w:t xml:space="preserve">.  They also support allowing all savings to be calculated using energy modeling, rather than only the savings due to weather-dependent elements, such as insulation and infiltration.  Performance Systems Development Comments at 3, 4, 8, 9.  PECO recommends allowing use of additional modeling </w:t>
      </w:r>
      <w:r w:rsidRPr="00647CA7">
        <w:t>platforms</w:t>
      </w:r>
      <w:r>
        <w:t>,</w:t>
      </w:r>
      <w:r w:rsidRPr="00647CA7">
        <w:t xml:space="preserve"> such as BEOpt</w:t>
      </w:r>
      <w:r>
        <w:t>, that would allow EDCs to use calibrated models based on actual consumption or billing data.  PECO Comments at 9.  FirstEnergy recommends allowing sampling in multifamily buildings and simulation in software like EnergyPlus to reduce implementation costs due to energy modeling of several identical unit designs.  FirstEnergy Comments 7.</w:t>
      </w:r>
    </w:p>
    <w:p w14:paraId="3987919E" w14:textId="77777777" w:rsidR="0061674E" w:rsidRDefault="0061674E" w:rsidP="00707482"/>
    <w:p w14:paraId="6A98D5DC" w14:textId="77777777" w:rsidR="00707482" w:rsidRDefault="00707482" w:rsidP="00453F14">
      <w:pPr>
        <w:pStyle w:val="Heading5"/>
        <w:numPr>
          <w:ilvl w:val="3"/>
          <w:numId w:val="21"/>
        </w:numPr>
      </w:pPr>
      <w:r>
        <w:lastRenderedPageBreak/>
        <w:t>Disposition</w:t>
      </w:r>
    </w:p>
    <w:p w14:paraId="7D9763CF" w14:textId="40180353" w:rsidR="00707482" w:rsidRDefault="00707482" w:rsidP="00707482">
      <w:r>
        <w:t xml:space="preserve">The Commission agrees with Performance Systems Development’s recommendation that a measure based solely on modeled savings with no requirement to calculate savings for non-weather sensitive measures using separate sections of the TRM would </w:t>
      </w:r>
      <w:r w:rsidRPr="006138A1">
        <w:t>simplif</w:t>
      </w:r>
      <w:r>
        <w:t>y</w:t>
      </w:r>
      <w:r w:rsidRPr="006138A1">
        <w:t xml:space="preserve"> program participation, savings calculations, and evaluation.</w:t>
      </w:r>
      <w:r>
        <w:t xml:space="preserve">  The Commission has modified the measure so that all energy savings are calculated using energy models.</w:t>
      </w:r>
      <w:r w:rsidR="001E598B">
        <w:t xml:space="preserve">  </w:t>
      </w:r>
      <w:r>
        <w:t>The Commission declines to adopt PECO’s recommendation to specify additional approved energy modeling software.  Expanding the list of approved software will require additional research into current and planned EDC program design, industry trends around energy modeling and tools, and implications of additional models on program evaluation.  In response to FirstEnergy’s recommendation, the Commission has added language defining three methods to calculate savings for multifamily building savings: 1) by modeling all of the building’s individual units using any approved software, 2) by modeling the entire building using Passive House accreditation software, or 3) by using RESNET multifamily sampling protocols and modeling a representative sample of units in a building.</w:t>
      </w:r>
      <w:r>
        <w:rPr>
          <w:rStyle w:val="FootnoteReference"/>
        </w:rPr>
        <w:footnoteReference w:id="18"/>
      </w:r>
    </w:p>
    <w:p w14:paraId="33DCFD3A" w14:textId="77777777" w:rsidR="00707482" w:rsidRDefault="00707482" w:rsidP="00707482"/>
    <w:p w14:paraId="3FEB6BD1" w14:textId="77777777" w:rsidR="00707482" w:rsidRPr="005430F7" w:rsidRDefault="00707482" w:rsidP="00453F14">
      <w:pPr>
        <w:pStyle w:val="Heading4"/>
        <w:numPr>
          <w:ilvl w:val="2"/>
          <w:numId w:val="22"/>
        </w:numPr>
      </w:pPr>
      <w:r>
        <w:t>Other Comments</w:t>
      </w:r>
    </w:p>
    <w:p w14:paraId="45941149" w14:textId="77777777" w:rsidR="00707482" w:rsidRPr="00670F39" w:rsidRDefault="00707482" w:rsidP="00453F14">
      <w:pPr>
        <w:pStyle w:val="Heading5"/>
        <w:numPr>
          <w:ilvl w:val="3"/>
          <w:numId w:val="23"/>
        </w:numPr>
      </w:pPr>
      <w:r>
        <w:t>Comments</w:t>
      </w:r>
    </w:p>
    <w:p w14:paraId="08F5D313" w14:textId="682FDDDB" w:rsidR="00707482" w:rsidRDefault="00707482" w:rsidP="00707482">
      <w:r>
        <w:t xml:space="preserve">PPL asks for clarification about assumptions for lighting and appliance standards to be used in the baseline reference model.  </w:t>
      </w:r>
      <w:r w:rsidRPr="00B9518A">
        <w:t>PPL comments that the values for frame wall U-factor for IECC climate zone 6A should be 0.045 instead of 0.060, and that the infiltration requirement should be 5.0 ACH50 instead of 3.0 ACH 50, to reflect Pennsylvania-specific amendments to the 2015 IECC code.</w:t>
      </w:r>
      <w:r>
        <w:t xml:space="preserve">  PPL Comments at 4.</w:t>
      </w:r>
    </w:p>
    <w:p w14:paraId="59AF25D1" w14:textId="77777777" w:rsidR="00707482" w:rsidRDefault="00707482" w:rsidP="00707482"/>
    <w:p w14:paraId="2F4A9952" w14:textId="77777777" w:rsidR="00707482" w:rsidRPr="00282E36" w:rsidRDefault="00707482" w:rsidP="00453F14">
      <w:pPr>
        <w:pStyle w:val="Heading5"/>
        <w:numPr>
          <w:ilvl w:val="3"/>
          <w:numId w:val="23"/>
        </w:numPr>
      </w:pPr>
      <w:r>
        <w:lastRenderedPageBreak/>
        <w:t>Disposition</w:t>
      </w:r>
    </w:p>
    <w:p w14:paraId="5AF1021A" w14:textId="3B14D496" w:rsidR="00707482" w:rsidRDefault="00707482" w:rsidP="00707482">
      <w:r>
        <w:t xml:space="preserve">Regarding PPL’s comment on lighting and appliance standards, the Commission has updated the language in the TRM to clarify the appropriate values.  The Commission has proposed an annual review process that will allow updates to the TRM to include updates to state and federal standards (see </w:t>
      </w:r>
      <w:r>
        <w:fldChar w:fldCharType="begin"/>
      </w:r>
      <w:r>
        <w:instrText xml:space="preserve"> REF _Ref12975332 \w \h  \* MERGEFORMAT </w:instrText>
      </w:r>
      <w:r>
        <w:fldChar w:fldCharType="separate"/>
      </w:r>
      <w:r w:rsidR="00B10CDB">
        <w:t>B.2</w:t>
      </w:r>
      <w:r>
        <w:fldChar w:fldCharType="end"/>
      </w:r>
      <w:r>
        <w:t xml:space="preserve"> </w:t>
      </w:r>
      <w:r>
        <w:fldChar w:fldCharType="begin"/>
      </w:r>
      <w:r>
        <w:instrText xml:space="preserve"> REF _Ref12975346 \h  \* MERGEFORMAT </w:instrText>
      </w:r>
      <w:r>
        <w:fldChar w:fldCharType="separate"/>
      </w:r>
      <w:r w:rsidR="00B10CDB">
        <w:t>Process for Code Change Updates</w:t>
      </w:r>
      <w:r>
        <w:fldChar w:fldCharType="end"/>
      </w:r>
      <w:r>
        <w:t>).</w:t>
      </w:r>
      <w:r w:rsidR="001E598B">
        <w:t xml:space="preserve">  </w:t>
      </w:r>
      <w:r>
        <w:t>The Commission agrees with PPL’s comments and has corrected the values for frame wall U</w:t>
      </w:r>
      <w:r w:rsidR="001E598B">
        <w:noBreakHyphen/>
      </w:r>
      <w:r>
        <w:t xml:space="preserve">factor and maximum air infiltration to reflect Pennsylvania amendments to the 2015 IECC. </w:t>
      </w:r>
    </w:p>
    <w:p w14:paraId="6A4C4CCA" w14:textId="77777777" w:rsidR="00C64F77" w:rsidRPr="00EB04FD" w:rsidRDefault="00C64F77" w:rsidP="00AA2116">
      <w:pPr>
        <w:pStyle w:val="p14"/>
      </w:pPr>
    </w:p>
    <w:p w14:paraId="0FA10850" w14:textId="3650BB1A" w:rsidR="002B72C1" w:rsidRPr="009C3B3D" w:rsidRDefault="002B72C1" w:rsidP="00453F14">
      <w:pPr>
        <w:pStyle w:val="Heading2"/>
        <w:numPr>
          <w:ilvl w:val="0"/>
          <w:numId w:val="24"/>
        </w:numPr>
      </w:pPr>
      <w:bookmarkStart w:id="101" w:name="_Additional_C&amp;I_EE&amp;C"/>
      <w:bookmarkStart w:id="102" w:name="_Toc413415434"/>
      <w:bookmarkStart w:id="103" w:name="_Toc15657903"/>
      <w:bookmarkEnd w:id="101"/>
      <w:r w:rsidRPr="009C3B3D">
        <w:t xml:space="preserve">Additional </w:t>
      </w:r>
      <w:r w:rsidR="007A2AE6">
        <w:t>C&amp;I</w:t>
      </w:r>
      <w:r w:rsidRPr="009C3B3D">
        <w:t xml:space="preserve"> EE</w:t>
      </w:r>
      <w:r w:rsidR="008359BE">
        <w:t>-</w:t>
      </w:r>
      <w:r w:rsidRPr="009C3B3D">
        <w:t>&amp;C Measure Protocols</w:t>
      </w:r>
      <w:bookmarkEnd w:id="55"/>
      <w:bookmarkEnd w:id="56"/>
      <w:bookmarkEnd w:id="57"/>
      <w:bookmarkEnd w:id="102"/>
      <w:bookmarkEnd w:id="103"/>
    </w:p>
    <w:p w14:paraId="532E3910" w14:textId="2C25CDA1" w:rsidR="007C1BA9" w:rsidRPr="0098410B" w:rsidRDefault="002B72C1" w:rsidP="00AA2116">
      <w:pPr>
        <w:pStyle w:val="p3"/>
      </w:pPr>
      <w:r w:rsidRPr="0098410B">
        <w:t xml:space="preserve">As with </w:t>
      </w:r>
      <w:r w:rsidR="00494F93" w:rsidRPr="0098410B">
        <w:t xml:space="preserve">residential </w:t>
      </w:r>
      <w:r w:rsidRPr="0098410B">
        <w:t>measures, expansion of the C&amp;I section of the TRM is also essential for the</w:t>
      </w:r>
      <w:r w:rsidR="007A2AE6" w:rsidRPr="007A2AE6">
        <w:t xml:space="preserve"> </w:t>
      </w:r>
      <w:r w:rsidR="007A2AE6" w:rsidRPr="0098410B">
        <w:t>accurate and timely</w:t>
      </w:r>
      <w:r w:rsidRPr="0098410B">
        <w:t xml:space="preserve"> </w:t>
      </w:r>
      <w:r w:rsidR="00494F93" w:rsidRPr="0098410B">
        <w:t>M&amp;V</w:t>
      </w:r>
      <w:r w:rsidR="009C3B3D">
        <w:t xml:space="preserve"> of the</w:t>
      </w:r>
      <w:r w:rsidR="007A2AE6">
        <w:t>se</w:t>
      </w:r>
      <w:r w:rsidR="009C3B3D">
        <w:t xml:space="preserve"> EE&amp;C programs</w:t>
      </w:r>
      <w:r w:rsidR="00A0651F">
        <w:t xml:space="preserve">.  </w:t>
      </w:r>
      <w:r w:rsidRPr="0098410B">
        <w:t>Based on collaborative discussio</w:t>
      </w:r>
      <w:r w:rsidR="004F4A45">
        <w:t xml:space="preserve">ns between the SWE and the EDCs, as well as a review of </w:t>
      </w:r>
      <w:r w:rsidRPr="0098410B">
        <w:t xml:space="preserve">the </w:t>
      </w:r>
      <w:r w:rsidR="00494F93" w:rsidRPr="0098410B">
        <w:t>available</w:t>
      </w:r>
      <w:r w:rsidRPr="0098410B">
        <w:t xml:space="preserve"> research, </w:t>
      </w:r>
      <w:r w:rsidR="004F4A45">
        <w:t>we propose</w:t>
      </w:r>
      <w:r w:rsidR="004D6FD0">
        <w:t>d</w:t>
      </w:r>
      <w:r w:rsidR="004F4A45">
        <w:t xml:space="preserve"> the inclusion of </w:t>
      </w:r>
      <w:r w:rsidR="007C1BA9">
        <w:t>2</w:t>
      </w:r>
      <w:r w:rsidR="004D6FD0">
        <w:t>5</w:t>
      </w:r>
      <w:r w:rsidR="007C1BA9" w:rsidRPr="0098410B">
        <w:t xml:space="preserve"> new C&amp;I EE&amp;C me</w:t>
      </w:r>
      <w:r w:rsidR="00E67800">
        <w:t xml:space="preserve">asures and associated protocols.  As these measures are new, the section numbers in the list below reference the 2021 TRM, not the 2016 TRM.  The </w:t>
      </w:r>
      <w:r w:rsidR="00E67800" w:rsidRPr="004A2FAD">
        <w:t>measures are</w:t>
      </w:r>
      <w:r w:rsidR="00D60318">
        <w:t xml:space="preserve"> as follows</w:t>
      </w:r>
      <w:r w:rsidR="00E67800" w:rsidRPr="004A2FAD">
        <w:t>:</w:t>
      </w:r>
    </w:p>
    <w:p w14:paraId="2F500F54" w14:textId="087D8118" w:rsidR="007C1BA9" w:rsidRPr="002B7F5F" w:rsidRDefault="007C1BA9" w:rsidP="00AA2116">
      <w:pPr>
        <w:pStyle w:val="p3"/>
        <w:numPr>
          <w:ilvl w:val="0"/>
          <w:numId w:val="5"/>
        </w:numPr>
      </w:pPr>
      <w:r w:rsidRPr="002B7F5F">
        <w:t>Section 3.1.7 – Lighting Improvements for Midstream Delivery Programs</w:t>
      </w:r>
      <w:r w:rsidR="001646BD">
        <w:t>;</w:t>
      </w:r>
    </w:p>
    <w:p w14:paraId="2D68CE4D" w14:textId="7FBBE59D" w:rsidR="007C1BA9" w:rsidRPr="002B7F5F" w:rsidRDefault="007C1BA9" w:rsidP="00AA2116">
      <w:pPr>
        <w:pStyle w:val="p3"/>
        <w:numPr>
          <w:ilvl w:val="0"/>
          <w:numId w:val="5"/>
        </w:numPr>
      </w:pPr>
      <w:r w:rsidRPr="002B7F5F">
        <w:t>Section 3.2.10 – Computer Room Air Conditioner</w:t>
      </w:r>
      <w:r w:rsidR="001646BD">
        <w:t>;</w:t>
      </w:r>
    </w:p>
    <w:p w14:paraId="28BF3013" w14:textId="2985D2BB" w:rsidR="007C1BA9" w:rsidRPr="002B7F5F" w:rsidRDefault="007C1BA9" w:rsidP="00AA2116">
      <w:pPr>
        <w:pStyle w:val="p3"/>
        <w:numPr>
          <w:ilvl w:val="0"/>
          <w:numId w:val="5"/>
        </w:numPr>
      </w:pPr>
      <w:r w:rsidRPr="002B7F5F">
        <w:t>Section 3.2.11 – Computer Room Air Conditioner</w:t>
      </w:r>
      <w:r w:rsidR="00E67D9F">
        <w:t xml:space="preserve"> </w:t>
      </w:r>
      <w:r w:rsidRPr="002B7F5F">
        <w:t>/</w:t>
      </w:r>
      <w:r w:rsidR="00E67D9F">
        <w:t xml:space="preserve"> </w:t>
      </w:r>
      <w:r w:rsidRPr="002B7F5F">
        <w:t>Handler Electronically Commutated Plug Fans</w:t>
      </w:r>
      <w:r w:rsidR="001646BD">
        <w:t>;</w:t>
      </w:r>
    </w:p>
    <w:p w14:paraId="49A4030C" w14:textId="0FA436B3" w:rsidR="007C1BA9" w:rsidRPr="002B7F5F" w:rsidRDefault="007C1BA9" w:rsidP="00AA2116">
      <w:pPr>
        <w:pStyle w:val="p3"/>
        <w:numPr>
          <w:ilvl w:val="0"/>
          <w:numId w:val="5"/>
        </w:numPr>
      </w:pPr>
      <w:r w:rsidRPr="002B7F5F">
        <w:t>Section 3.2.12 – Computer Room Air Conditioner</w:t>
      </w:r>
      <w:r w:rsidR="00E67D9F">
        <w:t xml:space="preserve"> </w:t>
      </w:r>
      <w:r w:rsidRPr="002B7F5F">
        <w:t>/</w:t>
      </w:r>
      <w:r w:rsidR="00E67D9F">
        <w:t xml:space="preserve"> </w:t>
      </w:r>
      <w:r w:rsidRPr="002B7F5F">
        <w:t>Handler VSD on AC Fan Motors</w:t>
      </w:r>
      <w:r w:rsidR="001646BD">
        <w:t>;</w:t>
      </w:r>
    </w:p>
    <w:p w14:paraId="3415BB67" w14:textId="298D50B1" w:rsidR="007C1BA9" w:rsidRPr="002B7F5F" w:rsidRDefault="007C1BA9" w:rsidP="00AA2116">
      <w:pPr>
        <w:pStyle w:val="p3"/>
        <w:numPr>
          <w:ilvl w:val="0"/>
          <w:numId w:val="5"/>
        </w:numPr>
      </w:pPr>
      <w:r w:rsidRPr="002B7F5F">
        <w:t>Section 3.2.13 – Circulation Fan: High-</w:t>
      </w:r>
      <w:r w:rsidR="00E70C60">
        <w:t>v</w:t>
      </w:r>
      <w:r w:rsidRPr="002B7F5F">
        <w:t>olume Low-</w:t>
      </w:r>
      <w:r w:rsidR="00E67D9F">
        <w:t>s</w:t>
      </w:r>
      <w:r w:rsidRPr="002B7F5F">
        <w:t>peed</w:t>
      </w:r>
      <w:r w:rsidR="001646BD">
        <w:t>;</w:t>
      </w:r>
    </w:p>
    <w:p w14:paraId="40C3224E" w14:textId="6AF5FC81" w:rsidR="007C1BA9" w:rsidRPr="002B7F5F" w:rsidRDefault="007C1BA9" w:rsidP="00AA2116">
      <w:pPr>
        <w:pStyle w:val="p3"/>
        <w:numPr>
          <w:ilvl w:val="0"/>
          <w:numId w:val="5"/>
        </w:numPr>
      </w:pPr>
      <w:r w:rsidRPr="002B7F5F">
        <w:t>Section 3.3.5 – ECM Circulator Pump</w:t>
      </w:r>
      <w:r w:rsidR="001646BD">
        <w:t>;</w:t>
      </w:r>
    </w:p>
    <w:p w14:paraId="1907D38B" w14:textId="5C23B938" w:rsidR="007C1BA9" w:rsidRDefault="007C1BA9" w:rsidP="00AA2116">
      <w:pPr>
        <w:pStyle w:val="p3"/>
        <w:numPr>
          <w:ilvl w:val="0"/>
          <w:numId w:val="5"/>
        </w:numPr>
      </w:pPr>
      <w:r w:rsidRPr="002B7F5F">
        <w:t>Section 3.3.6 – High</w:t>
      </w:r>
      <w:r w:rsidR="00E67D9F">
        <w:t>-e</w:t>
      </w:r>
      <w:r w:rsidRPr="002B7F5F">
        <w:t>fficiency Pump</w:t>
      </w:r>
      <w:r w:rsidR="003C0690">
        <w:t>s</w:t>
      </w:r>
      <w:r w:rsidR="001646BD">
        <w:t>;</w:t>
      </w:r>
    </w:p>
    <w:p w14:paraId="5C4B40BA" w14:textId="719BC9AA" w:rsidR="007C1BA9" w:rsidRDefault="007C1BA9" w:rsidP="00AA2116">
      <w:pPr>
        <w:pStyle w:val="p3"/>
        <w:numPr>
          <w:ilvl w:val="0"/>
          <w:numId w:val="5"/>
        </w:numPr>
      </w:pPr>
      <w:r>
        <w:t>Section 3.5.16 – Air-</w:t>
      </w:r>
      <w:r w:rsidR="00E67D9F">
        <w:t>c</w:t>
      </w:r>
      <w:r>
        <w:t>ooled Refrigeration Condenser</w:t>
      </w:r>
      <w:r w:rsidR="001646BD">
        <w:t>;</w:t>
      </w:r>
    </w:p>
    <w:p w14:paraId="4DFF197A" w14:textId="3E766D14" w:rsidR="007C1BA9" w:rsidRDefault="007C1BA9" w:rsidP="00AA2116">
      <w:pPr>
        <w:pStyle w:val="p3"/>
        <w:numPr>
          <w:ilvl w:val="0"/>
          <w:numId w:val="5"/>
        </w:numPr>
      </w:pPr>
      <w:r>
        <w:t>Section 3.5.17 – Refrigerated Case Light Occupancy Sensor</w:t>
      </w:r>
      <w:r w:rsidR="009D27C2">
        <w:t>s</w:t>
      </w:r>
      <w:r w:rsidR="001646BD">
        <w:t>;</w:t>
      </w:r>
    </w:p>
    <w:p w14:paraId="4E814B77" w14:textId="57BF18EE" w:rsidR="007C1BA9" w:rsidRDefault="007C1BA9" w:rsidP="00AA2116">
      <w:pPr>
        <w:pStyle w:val="p3"/>
        <w:numPr>
          <w:ilvl w:val="0"/>
          <w:numId w:val="5"/>
        </w:numPr>
      </w:pPr>
      <w:r>
        <w:t>Section 3.5.18 – Refrigeration Economizers</w:t>
      </w:r>
      <w:r w:rsidR="001646BD">
        <w:t>;</w:t>
      </w:r>
    </w:p>
    <w:p w14:paraId="5138EE85" w14:textId="442A5BEE" w:rsidR="007C1BA9" w:rsidRDefault="007C1BA9" w:rsidP="00AA2116">
      <w:pPr>
        <w:pStyle w:val="p3"/>
        <w:numPr>
          <w:ilvl w:val="0"/>
          <w:numId w:val="5"/>
        </w:numPr>
      </w:pPr>
      <w:r>
        <w:t xml:space="preserve">Section 3.6.2 – ENERGY STAR Bathroom Ventilation Fan in Commercial </w:t>
      </w:r>
      <w:r>
        <w:lastRenderedPageBreak/>
        <w:t>Applications</w:t>
      </w:r>
      <w:r w:rsidR="001646BD">
        <w:t>;</w:t>
      </w:r>
    </w:p>
    <w:p w14:paraId="325F3E5A" w14:textId="46CF4972" w:rsidR="007C1BA9" w:rsidRDefault="6C95303B" w:rsidP="00AA2116">
      <w:pPr>
        <w:pStyle w:val="p3"/>
        <w:numPr>
          <w:ilvl w:val="0"/>
          <w:numId w:val="5"/>
        </w:numPr>
      </w:pPr>
      <w:r>
        <w:t>Section 3.7.5 – ENERGY STAR Combination Oven;</w:t>
      </w:r>
    </w:p>
    <w:p w14:paraId="0AE7D32C" w14:textId="4DF6DF02" w:rsidR="007C1BA9" w:rsidRDefault="6C95303B" w:rsidP="00AA2116">
      <w:pPr>
        <w:pStyle w:val="p3"/>
        <w:numPr>
          <w:ilvl w:val="0"/>
          <w:numId w:val="5"/>
        </w:numPr>
      </w:pPr>
      <w:r>
        <w:t>Section 3.7.6 – ENERGY STAR Commercial Convection Oven;</w:t>
      </w:r>
    </w:p>
    <w:p w14:paraId="7A9CF59B" w14:textId="2E217635" w:rsidR="007C1BA9" w:rsidRDefault="007C1BA9" w:rsidP="00AA2116">
      <w:pPr>
        <w:pStyle w:val="p3"/>
        <w:numPr>
          <w:ilvl w:val="0"/>
          <w:numId w:val="5"/>
        </w:numPr>
      </w:pPr>
      <w:r>
        <w:t>Section 3.7.7 – ENERGY STAR Commercial Fryer</w:t>
      </w:r>
      <w:r w:rsidR="001646BD">
        <w:t>;</w:t>
      </w:r>
    </w:p>
    <w:p w14:paraId="7287251B" w14:textId="2C3EC8BA" w:rsidR="007C1BA9" w:rsidRDefault="007C1BA9" w:rsidP="00AA2116">
      <w:pPr>
        <w:pStyle w:val="p3"/>
        <w:numPr>
          <w:ilvl w:val="0"/>
          <w:numId w:val="5"/>
        </w:numPr>
      </w:pPr>
      <w:r>
        <w:t>Section 3.7.8 – ENERGY STAR Commercial Hot Food Holding Cabinet</w:t>
      </w:r>
      <w:r w:rsidR="001646BD">
        <w:t>;</w:t>
      </w:r>
    </w:p>
    <w:p w14:paraId="45A768EE" w14:textId="4D3B7B56" w:rsidR="007C1BA9" w:rsidRDefault="007C1BA9" w:rsidP="00AA2116">
      <w:pPr>
        <w:pStyle w:val="p3"/>
        <w:numPr>
          <w:ilvl w:val="0"/>
          <w:numId w:val="5"/>
        </w:numPr>
      </w:pPr>
      <w:r>
        <w:t>Section 3.7.9 – ENERGY STAR Commercial Dishwasher</w:t>
      </w:r>
      <w:r w:rsidR="001646BD">
        <w:t>;</w:t>
      </w:r>
    </w:p>
    <w:p w14:paraId="4271507F" w14:textId="5ABB3790" w:rsidR="007C1BA9" w:rsidRDefault="007C1BA9" w:rsidP="00AA2116">
      <w:pPr>
        <w:pStyle w:val="p3"/>
        <w:numPr>
          <w:ilvl w:val="0"/>
          <w:numId w:val="5"/>
        </w:numPr>
      </w:pPr>
      <w:r>
        <w:t>Section 3.7.10 – ENERGY STAR Commercial Griddle</w:t>
      </w:r>
      <w:r w:rsidR="001646BD">
        <w:t>;</w:t>
      </w:r>
    </w:p>
    <w:p w14:paraId="1029F068" w14:textId="1923647C" w:rsidR="007C1BA9" w:rsidRDefault="007C1BA9" w:rsidP="00AA2116">
      <w:pPr>
        <w:pStyle w:val="p3"/>
        <w:numPr>
          <w:ilvl w:val="0"/>
          <w:numId w:val="5"/>
        </w:numPr>
      </w:pPr>
      <w:r>
        <w:t>Section 3.9.5 – Server Virtualization</w:t>
      </w:r>
      <w:r w:rsidR="001646BD">
        <w:t>;</w:t>
      </w:r>
    </w:p>
    <w:p w14:paraId="33F87836" w14:textId="00947EAA" w:rsidR="007C1BA9" w:rsidRDefault="007C1BA9" w:rsidP="00AA2116">
      <w:pPr>
        <w:pStyle w:val="p3"/>
        <w:numPr>
          <w:ilvl w:val="0"/>
          <w:numId w:val="5"/>
        </w:numPr>
      </w:pPr>
      <w:r>
        <w:t>Section 3.10.5 – Variable-</w:t>
      </w:r>
      <w:r w:rsidR="00E67D9F">
        <w:t>s</w:t>
      </w:r>
      <w:r>
        <w:t>peed Drive Air Compressor</w:t>
      </w:r>
      <w:r w:rsidR="001646BD">
        <w:t>;</w:t>
      </w:r>
    </w:p>
    <w:p w14:paraId="5E286C75" w14:textId="1C4155A3" w:rsidR="007C1BA9" w:rsidRDefault="007C1BA9" w:rsidP="00AA2116">
      <w:pPr>
        <w:pStyle w:val="p3"/>
        <w:numPr>
          <w:ilvl w:val="0"/>
          <w:numId w:val="5"/>
        </w:numPr>
      </w:pPr>
      <w:r>
        <w:t>Section 3.10.6 – Compressed Air Controller</w:t>
      </w:r>
      <w:r w:rsidR="001646BD">
        <w:t>;</w:t>
      </w:r>
    </w:p>
    <w:p w14:paraId="4FD5B139" w14:textId="5BCBF5A1" w:rsidR="007C1BA9" w:rsidRDefault="007C1BA9" w:rsidP="00AA2116">
      <w:pPr>
        <w:pStyle w:val="p3"/>
        <w:numPr>
          <w:ilvl w:val="0"/>
          <w:numId w:val="5"/>
        </w:numPr>
      </w:pPr>
      <w:r>
        <w:t xml:space="preserve">Section 3.10.7 – Compressed </w:t>
      </w:r>
      <w:r w:rsidRPr="00E70C60">
        <w:t>Air Low</w:t>
      </w:r>
      <w:r w:rsidR="00E70C60">
        <w:t>-p</w:t>
      </w:r>
      <w:r w:rsidRPr="00E70C60">
        <w:t>ressure</w:t>
      </w:r>
      <w:r>
        <w:t xml:space="preserve"> Drop Filters</w:t>
      </w:r>
      <w:r w:rsidR="001646BD">
        <w:t>;</w:t>
      </w:r>
    </w:p>
    <w:p w14:paraId="53FCC70D" w14:textId="37357339" w:rsidR="007C1BA9" w:rsidRDefault="007C1BA9" w:rsidP="00AA2116">
      <w:pPr>
        <w:pStyle w:val="p3"/>
        <w:numPr>
          <w:ilvl w:val="0"/>
          <w:numId w:val="5"/>
        </w:numPr>
      </w:pPr>
      <w:r>
        <w:t>Section 3.10.8 – Compressed Air Mist Eliminators</w:t>
      </w:r>
      <w:r w:rsidR="001646BD">
        <w:t>;</w:t>
      </w:r>
    </w:p>
    <w:p w14:paraId="236D146B" w14:textId="3A9B1255" w:rsidR="007C1BA9" w:rsidRDefault="007C1BA9" w:rsidP="00AA2116">
      <w:pPr>
        <w:pStyle w:val="p3"/>
        <w:numPr>
          <w:ilvl w:val="0"/>
          <w:numId w:val="5"/>
        </w:numPr>
      </w:pPr>
      <w:r>
        <w:t>Section 3.11.1 – High</w:t>
      </w:r>
      <w:r w:rsidR="00E67D9F">
        <w:t>-e</w:t>
      </w:r>
      <w:r>
        <w:t>fficiency Transformer</w:t>
      </w:r>
      <w:r w:rsidR="001646BD">
        <w:t>;</w:t>
      </w:r>
    </w:p>
    <w:p w14:paraId="2AB5066B" w14:textId="21615F62" w:rsidR="007C1BA9" w:rsidRDefault="007C1BA9" w:rsidP="00AA2116">
      <w:pPr>
        <w:pStyle w:val="p3"/>
        <w:numPr>
          <w:ilvl w:val="0"/>
          <w:numId w:val="5"/>
        </w:numPr>
      </w:pPr>
      <w:r>
        <w:t>Section 3.11.2 – Engine Block Heat Timer</w:t>
      </w:r>
      <w:r w:rsidR="001646BD">
        <w:t>; and</w:t>
      </w:r>
    </w:p>
    <w:p w14:paraId="7DC3FD86" w14:textId="69D35A8F" w:rsidR="007C1BA9" w:rsidRDefault="007C1BA9" w:rsidP="00AA2116">
      <w:pPr>
        <w:pStyle w:val="p3"/>
        <w:numPr>
          <w:ilvl w:val="0"/>
          <w:numId w:val="5"/>
        </w:numPr>
      </w:pPr>
      <w:r>
        <w:t>Section 3.11.3 – High</w:t>
      </w:r>
      <w:r w:rsidR="00E67D9F">
        <w:t>-f</w:t>
      </w:r>
      <w:r>
        <w:t>requency Battery Chargers</w:t>
      </w:r>
      <w:r w:rsidR="001646BD">
        <w:t>.</w:t>
      </w:r>
    </w:p>
    <w:p w14:paraId="6C461E47" w14:textId="77777777" w:rsidR="007D061D" w:rsidRPr="002B7F5F" w:rsidRDefault="007D061D" w:rsidP="007D061D">
      <w:pPr>
        <w:pStyle w:val="p3"/>
        <w:ind w:left="1080" w:firstLine="0"/>
      </w:pPr>
    </w:p>
    <w:p w14:paraId="6E3D5F4A" w14:textId="59046D12" w:rsidR="008C04EB" w:rsidRPr="007D061D" w:rsidRDefault="008C04EB" w:rsidP="007D061D">
      <w:pPr>
        <w:rPr>
          <w:szCs w:val="26"/>
        </w:rPr>
      </w:pPr>
      <w:bookmarkStart w:id="104" w:name="_Toc364755758"/>
      <w:bookmarkStart w:id="105" w:name="_Toc394648173"/>
      <w:bookmarkStart w:id="106" w:name="_Toc396910602"/>
      <w:r w:rsidRPr="0098410B">
        <w:t xml:space="preserve">The following sections describe clarifications and modifications to the </w:t>
      </w:r>
      <w:r w:rsidR="00B712C7">
        <w:t xml:space="preserve">new </w:t>
      </w:r>
      <w:r>
        <w:t xml:space="preserve">C&amp;I </w:t>
      </w:r>
      <w:r w:rsidR="00B712C7">
        <w:t xml:space="preserve">EE&amp;C </w:t>
      </w:r>
      <w:r w:rsidRPr="0098410B">
        <w:t>measure protocols</w:t>
      </w:r>
      <w:r>
        <w:t xml:space="preserve">.  Some of the proposed changes received no stakeholder comments.  Those proposed changes, which are not reproduced in the sections to follow, are hereby </w:t>
      </w:r>
      <w:r w:rsidRPr="007D061D">
        <w:rPr>
          <w:szCs w:val="26"/>
        </w:rPr>
        <w:t>adopted by the Commission for use in Phase IV.  Affected measures include:</w:t>
      </w:r>
    </w:p>
    <w:p w14:paraId="4A658C72" w14:textId="553C8C71" w:rsidR="008C04EB" w:rsidRPr="007D061D" w:rsidRDefault="008C04EB" w:rsidP="00453F14">
      <w:pPr>
        <w:pStyle w:val="ListParagraph"/>
        <w:numPr>
          <w:ilvl w:val="0"/>
          <w:numId w:val="15"/>
        </w:numPr>
        <w:rPr>
          <w:sz w:val="26"/>
          <w:szCs w:val="26"/>
        </w:rPr>
      </w:pPr>
      <w:r w:rsidRPr="007D061D">
        <w:rPr>
          <w:sz w:val="26"/>
          <w:szCs w:val="26"/>
        </w:rPr>
        <w:t>Section 3.2.10 – Computer Room Air Conditioner:</w:t>
      </w:r>
    </w:p>
    <w:p w14:paraId="2D66A108" w14:textId="77777777" w:rsidR="008C04EB" w:rsidRPr="007D061D" w:rsidRDefault="008C04EB" w:rsidP="00453F14">
      <w:pPr>
        <w:pStyle w:val="p3"/>
        <w:numPr>
          <w:ilvl w:val="0"/>
          <w:numId w:val="15"/>
        </w:numPr>
        <w:rPr>
          <w:szCs w:val="26"/>
        </w:rPr>
      </w:pPr>
      <w:r w:rsidRPr="007D061D">
        <w:rPr>
          <w:szCs w:val="26"/>
        </w:rPr>
        <w:t>Section 3.7.5 – ENERGY STAR Combination Oven;</w:t>
      </w:r>
    </w:p>
    <w:p w14:paraId="76769AE6" w14:textId="77777777" w:rsidR="008C04EB" w:rsidRPr="007D061D" w:rsidRDefault="008C04EB" w:rsidP="00453F14">
      <w:pPr>
        <w:pStyle w:val="p3"/>
        <w:numPr>
          <w:ilvl w:val="0"/>
          <w:numId w:val="15"/>
        </w:numPr>
        <w:rPr>
          <w:szCs w:val="26"/>
        </w:rPr>
      </w:pPr>
      <w:r w:rsidRPr="007D061D">
        <w:rPr>
          <w:szCs w:val="26"/>
        </w:rPr>
        <w:t>Section 3.7.6 – ENERGY STAR Commercial Convection Oven;</w:t>
      </w:r>
    </w:p>
    <w:p w14:paraId="43E9372F" w14:textId="002AE5EB" w:rsidR="008C04EB" w:rsidRPr="007D061D" w:rsidRDefault="008C04EB" w:rsidP="00453F14">
      <w:pPr>
        <w:pStyle w:val="ListParagraph"/>
        <w:numPr>
          <w:ilvl w:val="0"/>
          <w:numId w:val="15"/>
        </w:numPr>
        <w:rPr>
          <w:sz w:val="26"/>
          <w:szCs w:val="26"/>
        </w:rPr>
      </w:pPr>
      <w:r w:rsidRPr="007D061D">
        <w:rPr>
          <w:sz w:val="26"/>
          <w:szCs w:val="26"/>
        </w:rPr>
        <w:t>Section 3.9.5 – Server Virtualization</w:t>
      </w:r>
    </w:p>
    <w:p w14:paraId="3FB7A98F" w14:textId="77777777" w:rsidR="008C04EB" w:rsidRDefault="008C04EB" w:rsidP="008C04EB"/>
    <w:p w14:paraId="36C37F14" w14:textId="2302964F" w:rsidR="00B712C7" w:rsidRDefault="00B712C7" w:rsidP="00B712C7">
      <w:pPr>
        <w:pStyle w:val="p14"/>
      </w:pPr>
      <w:r>
        <w:t xml:space="preserve">  Comments received on the remaining new C&amp;I EE&amp;C measure protocols are addressed below. </w:t>
      </w:r>
    </w:p>
    <w:p w14:paraId="360E3BBD" w14:textId="77777777" w:rsidR="007E54C2" w:rsidRPr="004769D9" w:rsidRDefault="007E54C2" w:rsidP="00AA2116">
      <w:pPr>
        <w:pStyle w:val="p3"/>
      </w:pPr>
    </w:p>
    <w:p w14:paraId="4FAB8111" w14:textId="0A08BF61" w:rsidR="55119DC7" w:rsidRDefault="55119DC7" w:rsidP="00453F14">
      <w:pPr>
        <w:pStyle w:val="Heading3"/>
        <w:numPr>
          <w:ilvl w:val="1"/>
          <w:numId w:val="25"/>
        </w:numPr>
      </w:pPr>
      <w:bookmarkStart w:id="107" w:name="_Ref13206725"/>
      <w:bookmarkStart w:id="108" w:name="_Toc15657904"/>
      <w:r w:rsidRPr="55119DC7">
        <w:lastRenderedPageBreak/>
        <w:t>Section 3.1.7 – Lighting Improvements for Midstream Delivery Programs</w:t>
      </w:r>
      <w:bookmarkEnd w:id="107"/>
      <w:bookmarkEnd w:id="108"/>
    </w:p>
    <w:p w14:paraId="50FCF8BB" w14:textId="08213D3E" w:rsidR="55119DC7" w:rsidRDefault="55119DC7" w:rsidP="00453F14">
      <w:pPr>
        <w:pStyle w:val="Heading4"/>
        <w:numPr>
          <w:ilvl w:val="2"/>
          <w:numId w:val="26"/>
        </w:numPr>
      </w:pPr>
      <w:r w:rsidRPr="55119DC7">
        <w:t>Comments</w:t>
      </w:r>
    </w:p>
    <w:p w14:paraId="18FE8698" w14:textId="77777777" w:rsidR="001E598B" w:rsidRDefault="002147CB" w:rsidP="001E598B">
      <w:r>
        <w:t>FirstEnergy</w:t>
      </w:r>
      <w:r w:rsidR="55119DC7">
        <w:t xml:space="preserve"> comments that in </w:t>
      </w:r>
      <w:r w:rsidR="55119DC7" w:rsidRPr="00DD127D">
        <w:t>Table 3-21</w:t>
      </w:r>
      <w:r w:rsidR="55119DC7">
        <w:t xml:space="preserve">, for omnidirectional lamps, the first bin should be the same as the second bin.  </w:t>
      </w:r>
      <w:r w:rsidR="55119DC7" w:rsidRPr="003761C8">
        <w:t>The first bin shows a WATTS</w:t>
      </w:r>
      <w:r w:rsidR="55119DC7" w:rsidRPr="006161C2">
        <w:rPr>
          <w:vertAlign w:val="subscript"/>
        </w:rPr>
        <w:t>base</w:t>
      </w:r>
      <w:r w:rsidR="55119DC7" w:rsidRPr="003761C8">
        <w:t xml:space="preserve"> of 25 (same as incandescent equivalent) wh</w:t>
      </w:r>
      <w:r w:rsidR="006D7409">
        <w:t>ile</w:t>
      </w:r>
      <w:r w:rsidR="55119DC7" w:rsidRPr="003761C8">
        <w:t xml:space="preserve"> the second bin has a WATTS</w:t>
      </w:r>
      <w:r w:rsidR="55119DC7" w:rsidRPr="006161C2">
        <w:rPr>
          <w:vertAlign w:val="subscript"/>
        </w:rPr>
        <w:t>base</w:t>
      </w:r>
      <w:r w:rsidR="55119DC7" w:rsidRPr="003761C8">
        <w:t xml:space="preserve"> of 8 with the same incandescent equivalent of 25.</w:t>
      </w:r>
      <w:r w:rsidR="55119DC7">
        <w:t xml:space="preserve">  </w:t>
      </w:r>
      <w:r>
        <w:t>FirstEnergy</w:t>
      </w:r>
      <w:r w:rsidR="55119DC7">
        <w:t xml:space="preserve"> Comments at 8.</w:t>
      </w:r>
      <w:r w:rsidR="001E598B">
        <w:t xml:space="preserve">  </w:t>
      </w:r>
      <w:r w:rsidR="55119DC7" w:rsidRPr="55119DC7">
        <w:t>PECO recommend</w:t>
      </w:r>
      <w:r w:rsidR="00651521">
        <w:t>s</w:t>
      </w:r>
      <w:r w:rsidR="55119DC7" w:rsidRPr="55119DC7">
        <w:t xml:space="preserve"> including LED exit signs as eligible for midstream implementation, consistent with a current</w:t>
      </w:r>
      <w:r w:rsidR="00651521">
        <w:t>ly</w:t>
      </w:r>
      <w:r w:rsidR="55119DC7" w:rsidRPr="55119DC7">
        <w:t xml:space="preserve"> approved IMP.  PECO Comments at 10.</w:t>
      </w:r>
      <w:r w:rsidR="001E598B">
        <w:t xml:space="preserve">  EAP comments propose the inclusion of “composite” inputs to savings algorithm.  EAP Comments at 5-37.</w:t>
      </w:r>
    </w:p>
    <w:p w14:paraId="1B48E27F" w14:textId="77777777" w:rsidR="00AA2B50" w:rsidRDefault="00AA2B50" w:rsidP="00AA2116"/>
    <w:p w14:paraId="3F9B080E" w14:textId="39291DC4" w:rsidR="55119DC7" w:rsidRDefault="55119DC7" w:rsidP="00AA2116">
      <w:r>
        <w:t xml:space="preserve">PPL comments that </w:t>
      </w:r>
      <w:r w:rsidRPr="003761C8">
        <w:t>Tables 3-21, 3-22, and 3-23</w:t>
      </w:r>
      <w:r>
        <w:t xml:space="preserve"> assume the 45 lumen per watt standard will apply to all bulbs sold </w:t>
      </w:r>
      <w:r w:rsidRPr="003761C8">
        <w:t>starting in 2020 (except for lumen ranges above 3,301) and notes that this standard will not apply to reflector</w:t>
      </w:r>
      <w:r w:rsidR="00531DA4">
        <w:t xml:space="preserve"> lamps</w:t>
      </w:r>
      <w:r w:rsidRPr="003761C8">
        <w:t>, previously-exempt specialty bulbs, and lamps over 2</w:t>
      </w:r>
      <w:r w:rsidR="00441C6D">
        <w:t>,</w:t>
      </w:r>
      <w:r w:rsidRPr="003761C8">
        <w:t>600 lumens if the DOE’s proposed withdrawal of its revised definition of a General Service Lamps is finalized</w:t>
      </w:r>
      <w:r>
        <w:t xml:space="preserve">. </w:t>
      </w:r>
      <w:r w:rsidR="00914F6A">
        <w:t xml:space="preserve"> </w:t>
      </w:r>
      <w:r>
        <w:t>PPL recommend</w:t>
      </w:r>
      <w:r w:rsidR="00C841CD">
        <w:t>s</w:t>
      </w:r>
      <w:r>
        <w:t xml:space="preserve"> that the TRM be updated to allow for the application of either market or pre-EISA standard baselines to non-General Service Lamp bulbs if this proposed rulemaking becomes final.  </w:t>
      </w:r>
      <w:r w:rsidR="00603270">
        <w:t xml:space="preserve">PPL comments further that, should </w:t>
      </w:r>
      <w:r w:rsidR="00603270" w:rsidRPr="66E8B1E4">
        <w:rPr>
          <w:szCs w:val="26"/>
        </w:rPr>
        <w:t xml:space="preserve">DOE’s proposed withdrawal of its revised definition of a GSL </w:t>
      </w:r>
      <w:r w:rsidR="00603270" w:rsidRPr="00F23656">
        <w:rPr>
          <w:i/>
          <w:iCs/>
          <w:szCs w:val="26"/>
        </w:rPr>
        <w:t xml:space="preserve">not </w:t>
      </w:r>
      <w:r w:rsidR="00603270">
        <w:rPr>
          <w:szCs w:val="26"/>
        </w:rPr>
        <w:t>be</w:t>
      </w:r>
      <w:r w:rsidR="00603270" w:rsidRPr="66E8B1E4">
        <w:rPr>
          <w:szCs w:val="26"/>
        </w:rPr>
        <w:t xml:space="preserve"> </w:t>
      </w:r>
      <w:r w:rsidR="004869E0">
        <w:rPr>
          <w:szCs w:val="26"/>
        </w:rPr>
        <w:t>implemented, meaning</w:t>
      </w:r>
      <w:r w:rsidR="004869E0" w:rsidRPr="66E8B1E4">
        <w:rPr>
          <w:szCs w:val="26"/>
        </w:rPr>
        <w:t xml:space="preserve"> the 45 lumen per watt standard applies to high-lumen lamps,</w:t>
      </w:r>
      <w:r w:rsidR="004869E0">
        <w:rPr>
          <w:szCs w:val="26"/>
        </w:rPr>
        <w:t xml:space="preserve"> then</w:t>
      </w:r>
      <w:r w:rsidR="004869E0" w:rsidRPr="66E8B1E4">
        <w:rPr>
          <w:szCs w:val="26"/>
        </w:rPr>
        <w:t xml:space="preserve"> WATTS</w:t>
      </w:r>
      <w:r w:rsidR="004869E0" w:rsidRPr="0060700E">
        <w:rPr>
          <w:szCs w:val="26"/>
          <w:vertAlign w:val="subscript"/>
        </w:rPr>
        <w:t>base</w:t>
      </w:r>
      <w:r w:rsidR="004869E0" w:rsidRPr="66E8B1E4">
        <w:rPr>
          <w:szCs w:val="26"/>
        </w:rPr>
        <w:t xml:space="preserve"> for minimum lumen bin of 3,301 should be 81 (instead of 200 showing in </w:t>
      </w:r>
      <w:r w:rsidR="004869E0" w:rsidRPr="003761C8">
        <w:rPr>
          <w:szCs w:val="26"/>
        </w:rPr>
        <w:t>Table 3-21</w:t>
      </w:r>
      <w:r w:rsidR="004869E0" w:rsidRPr="66E8B1E4">
        <w:rPr>
          <w:szCs w:val="26"/>
        </w:rPr>
        <w:t>), and WATTS</w:t>
      </w:r>
      <w:r w:rsidR="004869E0" w:rsidRPr="0060700E">
        <w:rPr>
          <w:szCs w:val="26"/>
          <w:vertAlign w:val="subscript"/>
        </w:rPr>
        <w:t>base</w:t>
      </w:r>
      <w:r w:rsidR="004869E0" w:rsidRPr="66E8B1E4">
        <w:rPr>
          <w:szCs w:val="26"/>
        </w:rPr>
        <w:t xml:space="preserve"> for minimum lumen bin of 4,000 should be 111 (instead of 300 showing in </w:t>
      </w:r>
      <w:r w:rsidR="004869E0" w:rsidRPr="003761C8">
        <w:rPr>
          <w:szCs w:val="26"/>
        </w:rPr>
        <w:t>Table 3-21</w:t>
      </w:r>
      <w:r w:rsidR="004869E0" w:rsidRPr="66E8B1E4">
        <w:rPr>
          <w:szCs w:val="26"/>
        </w:rPr>
        <w:t>).  PPL Comments at 7.</w:t>
      </w:r>
      <w:r w:rsidR="001E598B">
        <w:rPr>
          <w:szCs w:val="26"/>
        </w:rPr>
        <w:t xml:space="preserve">  </w:t>
      </w:r>
      <w:r w:rsidRPr="55119DC7">
        <w:t xml:space="preserve">PPL comments that in </w:t>
      </w:r>
      <w:r w:rsidRPr="003761C8">
        <w:t>Table 3-22</w:t>
      </w:r>
      <w:r w:rsidRPr="55119DC7">
        <w:t xml:space="preserve"> the last minimum lumen value should read 1050 and not 1049.  In addition, PPL comments that in </w:t>
      </w:r>
      <w:r w:rsidRPr="003761C8">
        <w:t>Table 3-23</w:t>
      </w:r>
      <w:r w:rsidRPr="55119DC7">
        <w:t xml:space="preserve"> the WATTS</w:t>
      </w:r>
      <w:r w:rsidRPr="00F23656">
        <w:rPr>
          <w:vertAlign w:val="subscript"/>
        </w:rPr>
        <w:t>base</w:t>
      </w:r>
      <w:r w:rsidRPr="55119DC7">
        <w:t xml:space="preserve"> for the lumen bin 3,301 for Reflector Lamp &gt;2.25" and reflector lamp PAR MR MRX should be 87 not 200, unless exempt.  </w:t>
      </w:r>
      <w:r w:rsidRPr="003761C8">
        <w:t>PPL request</w:t>
      </w:r>
      <w:r w:rsidR="003761C8">
        <w:t>s</w:t>
      </w:r>
      <w:r w:rsidRPr="003761C8">
        <w:t xml:space="preserve"> that if they are exempt, this fact should be stated in the tables</w:t>
      </w:r>
      <w:r w:rsidR="00495E45">
        <w:t xml:space="preserve">.  </w:t>
      </w:r>
      <w:r w:rsidRPr="55119DC7">
        <w:t>PPL Comments at 8.</w:t>
      </w:r>
    </w:p>
    <w:p w14:paraId="01473B0E" w14:textId="688C4F36" w:rsidR="55119DC7" w:rsidRDefault="55119DC7" w:rsidP="00AA2116"/>
    <w:p w14:paraId="5631FC78" w14:textId="721ABD3A" w:rsidR="55119DC7" w:rsidRDefault="66E8B1E4" w:rsidP="00453F14">
      <w:pPr>
        <w:pStyle w:val="Heading4"/>
        <w:numPr>
          <w:ilvl w:val="2"/>
          <w:numId w:val="26"/>
        </w:numPr>
      </w:pPr>
      <w:r w:rsidRPr="4D894D3B">
        <w:lastRenderedPageBreak/>
        <w:t>Disposition</w:t>
      </w:r>
    </w:p>
    <w:p w14:paraId="49E18F63" w14:textId="3F981838" w:rsidR="66E8B1E4" w:rsidRDefault="66E8B1E4" w:rsidP="00AA2116">
      <w:r>
        <w:t xml:space="preserve">The Commission rejects </w:t>
      </w:r>
      <w:r w:rsidR="002147CB">
        <w:t>FirstEnergy</w:t>
      </w:r>
      <w:r>
        <w:t>’s comment regarding the appropriate WATTS</w:t>
      </w:r>
      <w:r w:rsidRPr="00F23656">
        <w:rPr>
          <w:vertAlign w:val="subscript"/>
        </w:rPr>
        <w:t>base</w:t>
      </w:r>
      <w:r>
        <w:t xml:space="preserve"> for the 250-309 lumen bin in </w:t>
      </w:r>
      <w:r w:rsidRPr="003761C8">
        <w:t>Table 3-21</w:t>
      </w:r>
      <w:r>
        <w:t>.  Per the January 2017 Final Rule (Energy Conservation Program: Energy Conservation Standards for General Service Lamps; Final Rule. Federal Register / Vol. 82, No. 12. January 19, 2017)</w:t>
      </w:r>
      <w:r w:rsidR="001A56F4">
        <w:t>,</w:t>
      </w:r>
      <w:r>
        <w:t xml:space="preserve"> a general service lamp “has an initial lumen output of greater than or equal to 310 lumens (or 232 lumens for modified spectrum general service incandescent lamps) and less than or equal to 3,300 lumens.” Therefore, the</w:t>
      </w:r>
      <w:r w:rsidR="0037325B">
        <w:t xml:space="preserve"> 2020 </w:t>
      </w:r>
      <w:r w:rsidR="00D5564F">
        <w:t>efficacy backstop provision implemented in</w:t>
      </w:r>
      <w:r>
        <w:t xml:space="preserve"> </w:t>
      </w:r>
      <w:r w:rsidRPr="003761C8">
        <w:t xml:space="preserve">EISA 2007 </w:t>
      </w:r>
      <w:r>
        <w:t>does not apply to lamps with lumen output of less than 310 lumens.</w:t>
      </w:r>
      <w:r w:rsidR="001E598B">
        <w:t xml:space="preserve">  </w:t>
      </w:r>
      <w:r w:rsidR="00894BC5">
        <w:t>We also reject</w:t>
      </w:r>
      <w:r>
        <w:t xml:space="preserve"> PECO’s </w:t>
      </w:r>
      <w:r w:rsidR="00CE49A9">
        <w:t>recommendation</w:t>
      </w:r>
      <w:r w:rsidR="00E4304D">
        <w:t xml:space="preserve"> </w:t>
      </w:r>
      <w:r>
        <w:t>regarding the eligibility of LED exit signs for midstream implementation.  Federal standards require that all illuminated exit signs manufactured on or after January 1, 2006</w:t>
      </w:r>
      <w:r w:rsidR="00250C49">
        <w:t>,</w:t>
      </w:r>
      <w:r>
        <w:t xml:space="preserve"> have an input power of 5 </w:t>
      </w:r>
      <w:r w:rsidR="002521A9">
        <w:t>W</w:t>
      </w:r>
      <w:r>
        <w:t>atts or less per face, essentially requiring LED exit signs.  In other words, those purchasing a new exit sign in 2021 or beyond have no choice but to choose an efficient option</w:t>
      </w:r>
      <w:r w:rsidR="00250C49">
        <w:t>,</w:t>
      </w:r>
      <w:r>
        <w:t xml:space="preserve"> making a midstream approach inappropriate.</w:t>
      </w:r>
    </w:p>
    <w:p w14:paraId="63433D03" w14:textId="77777777" w:rsidR="00AA2B50" w:rsidRDefault="00AA2B50" w:rsidP="00AA2116"/>
    <w:p w14:paraId="331ADB11" w14:textId="2ABAA81D" w:rsidR="66E8B1E4" w:rsidRDefault="006A0837" w:rsidP="00AA2116">
      <w:r>
        <w:t>In response to</w:t>
      </w:r>
      <w:r w:rsidRPr="00105C3A">
        <w:t xml:space="preserve"> </w:t>
      </w:r>
      <w:r w:rsidR="66E8B1E4" w:rsidRPr="00105C3A">
        <w:t xml:space="preserve">PPL’s comments on the </w:t>
      </w:r>
      <w:r w:rsidR="0033793E">
        <w:t xml:space="preserve">U.S. </w:t>
      </w:r>
      <w:r w:rsidR="66E8B1E4" w:rsidRPr="00105C3A">
        <w:t>DOE’s potential withdrawal of the revised GSL definition and the associated recommendation to include baseline wattages that address both the new and old GSL definitions to cover both potential outcomes</w:t>
      </w:r>
      <w:r w:rsidR="006F4A2C">
        <w:t>, w</w:t>
      </w:r>
      <w:r w:rsidR="00A86C94">
        <w:t xml:space="preserve">e note that the </w:t>
      </w:r>
      <w:r w:rsidR="66E8B1E4" w:rsidRPr="00105C3A">
        <w:t xml:space="preserve">TRM </w:t>
      </w:r>
      <w:r w:rsidR="002521A9">
        <w:t>historically</w:t>
      </w:r>
      <w:r w:rsidR="66E8B1E4" w:rsidRPr="00105C3A">
        <w:t xml:space="preserve"> includes only those standards (and associated product definitions) that have been established in a Final Rule.</w:t>
      </w:r>
      <w:r w:rsidR="66E8B1E4">
        <w:t xml:space="preserve">  The </w:t>
      </w:r>
      <w:r w:rsidR="003A769D">
        <w:t>U</w:t>
      </w:r>
      <w:r w:rsidR="00B46770">
        <w:t xml:space="preserve">.S. DOE’s </w:t>
      </w:r>
      <w:r w:rsidR="66E8B1E4">
        <w:t xml:space="preserve">proposal to withdraw the GSL definition change is currently in the Notice of Proposed Rulemaking Status (NOPR).  As recent public comments </w:t>
      </w:r>
      <w:r w:rsidR="00984254">
        <w:t>to</w:t>
      </w:r>
      <w:r w:rsidR="66E8B1E4">
        <w:t xml:space="preserve"> the NOPR have shown, th</w:t>
      </w:r>
      <w:r w:rsidR="00984254">
        <w:t>e proposal to withdraw the GSL definition change</w:t>
      </w:r>
      <w:r w:rsidR="00A832FD">
        <w:t xml:space="preserve"> </w:t>
      </w:r>
      <w:r w:rsidR="66E8B1E4">
        <w:t>is heavily contested by all but the product manufacturers and their trade organizations.</w:t>
      </w:r>
      <w:r w:rsidR="66E8B1E4" w:rsidRPr="66E8B1E4">
        <w:rPr>
          <w:rStyle w:val="FootnoteReference"/>
        </w:rPr>
        <w:footnoteReference w:id="19"/>
      </w:r>
      <w:r w:rsidR="66E8B1E4">
        <w:t xml:space="preserve">  Further</w:t>
      </w:r>
      <w:r w:rsidR="00A832FD">
        <w:t>more</w:t>
      </w:r>
      <w:r w:rsidR="66E8B1E4">
        <w:t xml:space="preserve">, if </w:t>
      </w:r>
      <w:r w:rsidR="0033793E">
        <w:t xml:space="preserve">the U.S. </w:t>
      </w:r>
      <w:r w:rsidR="66E8B1E4">
        <w:t xml:space="preserve">DOE </w:t>
      </w:r>
      <w:r w:rsidR="00A832FD">
        <w:t>should follow</w:t>
      </w:r>
      <w:r w:rsidR="003A769D">
        <w:t xml:space="preserve"> </w:t>
      </w:r>
      <w:r w:rsidR="66E8B1E4">
        <w:t>through with the proposed withdrawal</w:t>
      </w:r>
      <w:r w:rsidR="00065846">
        <w:t>,</w:t>
      </w:r>
      <w:r w:rsidR="66E8B1E4">
        <w:t xml:space="preserve"> it is likely that litigation will continue for </w:t>
      </w:r>
      <w:r w:rsidR="66E8B1E4">
        <w:lastRenderedPageBreak/>
        <w:t>months</w:t>
      </w:r>
      <w:r w:rsidR="0093723E">
        <w:t>,</w:t>
      </w:r>
      <w:r w:rsidR="66E8B1E4">
        <w:t xml:space="preserve"> if not years.  </w:t>
      </w:r>
      <w:r w:rsidR="002506FB">
        <w:t xml:space="preserve">Therefore, </w:t>
      </w:r>
      <w:r w:rsidR="00D96ABF">
        <w:t>the Commission</w:t>
      </w:r>
      <w:r w:rsidR="002506FB">
        <w:t xml:space="preserve"> reject</w:t>
      </w:r>
      <w:r w:rsidR="00D96ABF">
        <w:t>s</w:t>
      </w:r>
      <w:r w:rsidR="002506FB">
        <w:t xml:space="preserve"> PPL’s recommendation to </w:t>
      </w:r>
      <w:r w:rsidR="00F90B11">
        <w:t xml:space="preserve">update the TRM to allow for the application of either market or pre-EISA standard baselines to non-General Service Lamp bulbs. </w:t>
      </w:r>
      <w:r w:rsidR="001E598B">
        <w:t xml:space="preserve"> </w:t>
      </w:r>
      <w:r w:rsidR="66E8B1E4">
        <w:t>The Commission accepts PPL’s</w:t>
      </w:r>
      <w:r w:rsidR="00D078CC">
        <w:t xml:space="preserve"> recommendation</w:t>
      </w:r>
      <w:r w:rsidR="66E8B1E4" w:rsidRPr="004D11EF">
        <w:t xml:space="preserve"> </w:t>
      </w:r>
      <w:r w:rsidR="0055571E">
        <w:t>to correct</w:t>
      </w:r>
      <w:r w:rsidR="66E8B1E4">
        <w:t xml:space="preserve"> </w:t>
      </w:r>
      <w:r w:rsidR="66E8B1E4" w:rsidRPr="004D11EF">
        <w:t>Table 3-22</w:t>
      </w:r>
      <w:r w:rsidR="00495E45">
        <w:t xml:space="preserve">.  </w:t>
      </w:r>
      <w:r w:rsidR="000610F7">
        <w:t>The last</w:t>
      </w:r>
      <w:r w:rsidR="66E8B1E4">
        <w:t xml:space="preserve"> minimum lumen value should read 1050 and not 1049</w:t>
      </w:r>
      <w:r w:rsidR="009E2301">
        <w:t>; we h</w:t>
      </w:r>
      <w:r w:rsidR="009B1F7F">
        <w:t xml:space="preserve">ave made this correction. </w:t>
      </w:r>
    </w:p>
    <w:p w14:paraId="55D03401" w14:textId="77777777" w:rsidR="001E598B" w:rsidRDefault="001E598B" w:rsidP="00AA2116"/>
    <w:p w14:paraId="04B86AE5" w14:textId="777D02B1" w:rsidR="66E8B1E4" w:rsidRDefault="00373AF8" w:rsidP="00AA2116">
      <w:r>
        <w:t xml:space="preserve">In response to </w:t>
      </w:r>
      <w:r w:rsidR="01B40B79">
        <w:t>PPL’s comment</w:t>
      </w:r>
      <w:r>
        <w:t>,</w:t>
      </w:r>
      <w:r w:rsidR="01B40B79">
        <w:t xml:space="preserve"> that in </w:t>
      </w:r>
      <w:r w:rsidR="01B40B79" w:rsidRPr="004D11EF">
        <w:t>Table 3-23</w:t>
      </w:r>
      <w:r w:rsidR="01B40B79">
        <w:t xml:space="preserve"> the WATTS</w:t>
      </w:r>
      <w:r w:rsidR="01B40B79" w:rsidRPr="007F5365">
        <w:rPr>
          <w:vertAlign w:val="subscript"/>
        </w:rPr>
        <w:t>base</w:t>
      </w:r>
      <w:r w:rsidR="01B40B79">
        <w:t xml:space="preserve"> for the lumen bin 3,301 for Reflector Lamp &gt;2.25" and reflector lamp PAR MR MRX should be 87 not 200, unless exempt</w:t>
      </w:r>
      <w:r w:rsidR="00450D1F">
        <w:t xml:space="preserve">. </w:t>
      </w:r>
      <w:r w:rsidR="00F12FCB">
        <w:t xml:space="preserve"> We note </w:t>
      </w:r>
      <w:r w:rsidR="01B40B79">
        <w:t>that</w:t>
      </w:r>
      <w:r w:rsidR="001E78A7">
        <w:t>,</w:t>
      </w:r>
      <w:r w:rsidR="01B40B79">
        <w:t xml:space="preserve"> per the January 2017 Final Rule, lamps with lumen output greater than 3,300 lumens do not fall under the GSL definition and are therefore exempt from standards</w:t>
      </w:r>
      <w:r w:rsidR="00562C45">
        <w:t>; however, a</w:t>
      </w:r>
      <w:r w:rsidR="01B40B79">
        <w:t xml:space="preserve"> footnote will be added</w:t>
      </w:r>
      <w:r w:rsidR="00562C45">
        <w:t xml:space="preserve"> to</w:t>
      </w:r>
      <w:r w:rsidR="01B40B79">
        <w:t xml:space="preserve"> the TRM </w:t>
      </w:r>
      <w:r w:rsidR="00562C45">
        <w:t xml:space="preserve">to </w:t>
      </w:r>
      <w:r w:rsidR="01B40B79">
        <w:t>clarify this exemption.</w:t>
      </w:r>
    </w:p>
    <w:p w14:paraId="3292EE7E" w14:textId="77777777" w:rsidR="00A23F68" w:rsidRDefault="00A23F68" w:rsidP="00AA2116"/>
    <w:p w14:paraId="16C10BD5" w14:textId="6BC82DFB" w:rsidR="66E8B1E4" w:rsidRDefault="00B2378D" w:rsidP="00AA2116">
      <w:r>
        <w:t xml:space="preserve">The Commission accepts </w:t>
      </w:r>
      <w:r w:rsidR="01B40B79">
        <w:t xml:space="preserve">EAP’s </w:t>
      </w:r>
      <w:r w:rsidR="00FD0AC5">
        <w:t>suggestion to include</w:t>
      </w:r>
      <w:r w:rsidR="01B40B79">
        <w:t xml:space="preserve"> “composite” inputs</w:t>
      </w:r>
      <w:r w:rsidR="00C66191">
        <w:t xml:space="preserve"> </w:t>
      </w:r>
      <w:r w:rsidR="0046113C">
        <w:t>for</w:t>
      </w:r>
      <w:r w:rsidR="01B40B79">
        <w:t xml:space="preserve"> the street lighting form </w:t>
      </w:r>
      <w:r w:rsidR="00562C45">
        <w:t>factor</w:t>
      </w:r>
      <w:r w:rsidR="001A148F">
        <w:t xml:space="preserve"> and has made the appropriate </w:t>
      </w:r>
      <w:r w:rsidR="00CD1CA7">
        <w:t>change.</w:t>
      </w:r>
      <w:r w:rsidR="001A148F">
        <w:t xml:space="preserve"> </w:t>
      </w:r>
      <w:r w:rsidR="00562C45">
        <w:t xml:space="preserve"> </w:t>
      </w:r>
      <w:r w:rsidR="00551598">
        <w:t xml:space="preserve">No comments were received on this aspect of the measure, but </w:t>
      </w:r>
      <w:r w:rsidR="66E8B1E4" w:rsidRPr="66E8B1E4">
        <w:t xml:space="preserve">the Commission notes that a </w:t>
      </w:r>
      <w:r w:rsidR="66E8B1E4" w:rsidRPr="00603604">
        <w:t>new IMP for PY11 for Lighting Improvements for Midstream Delivery Programs updating</w:t>
      </w:r>
      <w:r w:rsidR="66E8B1E4" w:rsidRPr="66E8B1E4">
        <w:t xml:space="preserve"> SVG assumptions and addressing fixtures with integrated controls has been completed</w:t>
      </w:r>
      <w:r w:rsidR="00495E45">
        <w:t xml:space="preserve">.  </w:t>
      </w:r>
      <w:r w:rsidR="66E8B1E4" w:rsidRPr="66E8B1E4">
        <w:t xml:space="preserve">The TRM now </w:t>
      </w:r>
      <w:r w:rsidR="00341E44">
        <w:t>incorporates</w:t>
      </w:r>
      <w:r w:rsidR="00341E44" w:rsidRPr="66E8B1E4">
        <w:t xml:space="preserve"> </w:t>
      </w:r>
      <w:r w:rsidR="66E8B1E4" w:rsidRPr="66E8B1E4">
        <w:t>these revisions to the measure protocol.</w:t>
      </w:r>
    </w:p>
    <w:p w14:paraId="0481234E" w14:textId="77777777" w:rsidR="00ED6D05" w:rsidRDefault="00ED6D05" w:rsidP="00AA2116"/>
    <w:p w14:paraId="38F0B0DA" w14:textId="7BF3AAB1" w:rsidR="55119DC7" w:rsidRDefault="55119DC7" w:rsidP="00453F14">
      <w:pPr>
        <w:pStyle w:val="Heading3"/>
        <w:numPr>
          <w:ilvl w:val="1"/>
          <w:numId w:val="26"/>
        </w:numPr>
      </w:pPr>
      <w:bookmarkStart w:id="109" w:name="_Toc14686829"/>
      <w:bookmarkStart w:id="110" w:name="_Toc14686976"/>
      <w:bookmarkStart w:id="111" w:name="_Toc14687123"/>
      <w:bookmarkStart w:id="112" w:name="_Toc15657905"/>
      <w:bookmarkEnd w:id="109"/>
      <w:bookmarkEnd w:id="110"/>
      <w:bookmarkEnd w:id="111"/>
      <w:r w:rsidRPr="55119DC7">
        <w:t>Section 3.2.11 – Computer Room Air Conditioner / Handler Electronically Commutated Plug Fans Programs</w:t>
      </w:r>
      <w:bookmarkEnd w:id="112"/>
    </w:p>
    <w:p w14:paraId="569D2F6E" w14:textId="462546D4" w:rsidR="55119DC7" w:rsidRPr="00D37CB5" w:rsidRDefault="55119DC7" w:rsidP="00453F14">
      <w:pPr>
        <w:pStyle w:val="Heading4"/>
        <w:numPr>
          <w:ilvl w:val="2"/>
          <w:numId w:val="26"/>
        </w:numPr>
      </w:pPr>
      <w:r w:rsidRPr="00D37CB5">
        <w:t>Comments</w:t>
      </w:r>
    </w:p>
    <w:p w14:paraId="2AF56159" w14:textId="01B01AD3" w:rsidR="00AF763A" w:rsidRPr="00AF763A" w:rsidRDefault="002147CB" w:rsidP="00AA2116">
      <w:r>
        <w:t>FirstEnergy</w:t>
      </w:r>
      <w:r w:rsidR="55119DC7">
        <w:t xml:space="preserve"> comments that in </w:t>
      </w:r>
      <w:r w:rsidR="55119DC7" w:rsidRPr="004D11EF">
        <w:t>Table 3-58</w:t>
      </w:r>
      <w:r w:rsidR="00551AE7" w:rsidRPr="004D11EF">
        <w:t>,</w:t>
      </w:r>
      <w:r w:rsidR="55119DC7">
        <w:t xml:space="preserve"> the documented Source 5 for UDSF results in an additional 12.7</w:t>
      </w:r>
      <w:r w:rsidR="55119DC7" w:rsidRPr="00705569">
        <w:t>%</w:t>
      </w:r>
      <w:r w:rsidR="00705569">
        <w:t>,</w:t>
      </w:r>
      <w:r w:rsidR="55119DC7" w:rsidRPr="00705569">
        <w:t xml:space="preserve"> not 13.3%</w:t>
      </w:r>
      <w:r w:rsidR="00705569">
        <w:t>,</w:t>
      </w:r>
      <w:r w:rsidR="55119DC7" w:rsidRPr="00705569">
        <w:t xml:space="preserve"> savings from installing the fans underfloor as opposed to installing them in the unit</w:t>
      </w:r>
      <w:r w:rsidR="55119DC7">
        <w:t xml:space="preserve">.  </w:t>
      </w:r>
      <w:r>
        <w:t>FirstEnergy</w:t>
      </w:r>
      <w:r w:rsidR="55119DC7">
        <w:t xml:space="preserve"> Comments at 9.</w:t>
      </w:r>
      <w:r w:rsidR="00A23F68">
        <w:t xml:space="preserve">  </w:t>
      </w:r>
      <w:r w:rsidR="55119DC7">
        <w:t>Franklin Energy comments note that installing any mechanism that could potentially modify the airflow of the supply fan on a DX system (CRAC units) has potential to freeze the coil.  Franklin Energy recommends that any installation of an ECM on a CRAC unit should be verified with the manufacturer.  Franklin Energy</w:t>
      </w:r>
      <w:r w:rsidR="00E44B51">
        <w:t xml:space="preserve"> Comments</w:t>
      </w:r>
      <w:r w:rsidR="55119DC7">
        <w:t xml:space="preserve"> at 319.</w:t>
      </w:r>
    </w:p>
    <w:p w14:paraId="54A05613" w14:textId="77777777" w:rsidR="00333C6F" w:rsidRDefault="00333C6F" w:rsidP="00AA2116"/>
    <w:p w14:paraId="30E8737E" w14:textId="721ABD3A" w:rsidR="55119DC7" w:rsidRPr="00D37CB5" w:rsidRDefault="55119DC7" w:rsidP="00453F14">
      <w:pPr>
        <w:pStyle w:val="Heading4"/>
        <w:numPr>
          <w:ilvl w:val="2"/>
          <w:numId w:val="17"/>
        </w:numPr>
      </w:pPr>
      <w:r w:rsidRPr="00D37CB5">
        <w:t>Disposition</w:t>
      </w:r>
    </w:p>
    <w:p w14:paraId="12AE07C8" w14:textId="22DA735A" w:rsidR="55119DC7" w:rsidRDefault="55119DC7" w:rsidP="00AA2116">
      <w:r>
        <w:t>The Commission accepts</w:t>
      </w:r>
      <w:r w:rsidR="00B55465">
        <w:t xml:space="preserve"> </w:t>
      </w:r>
      <w:r w:rsidR="00F82B8E">
        <w:t>FirstEnergy</w:t>
      </w:r>
      <w:r w:rsidR="00D1796B">
        <w:t>’s and Franklin Energy’s recommendation</w:t>
      </w:r>
      <w:r w:rsidR="00B55465">
        <w:t>s</w:t>
      </w:r>
      <w:r w:rsidR="00D1796B">
        <w:t xml:space="preserve"> </w:t>
      </w:r>
      <w:r w:rsidRPr="00705569">
        <w:t xml:space="preserve">and </w:t>
      </w:r>
      <w:r w:rsidR="00C8502F">
        <w:t xml:space="preserve">has </w:t>
      </w:r>
      <w:r w:rsidRPr="00705569">
        <w:t>update</w:t>
      </w:r>
      <w:r w:rsidR="00705569">
        <w:t>d</w:t>
      </w:r>
      <w:r>
        <w:t xml:space="preserve"> the measure protocol accordingly.</w:t>
      </w:r>
    </w:p>
    <w:p w14:paraId="6C7F82F1" w14:textId="0C62F39B" w:rsidR="55119DC7" w:rsidRDefault="55119DC7" w:rsidP="00AA2116"/>
    <w:p w14:paraId="7A17F63E" w14:textId="3CF98179" w:rsidR="55119DC7" w:rsidRDefault="55119DC7" w:rsidP="00453F14">
      <w:pPr>
        <w:pStyle w:val="Heading3"/>
        <w:numPr>
          <w:ilvl w:val="1"/>
          <w:numId w:val="17"/>
        </w:numPr>
      </w:pPr>
      <w:bookmarkStart w:id="113" w:name="_Toc15657906"/>
      <w:r w:rsidRPr="01858A96">
        <w:t xml:space="preserve">Section 3.2.12 – Computer </w:t>
      </w:r>
      <w:r w:rsidRPr="55119DC7">
        <w:t>Room Air Conditioner / Handler VSD on AC Fan Motors</w:t>
      </w:r>
      <w:bookmarkEnd w:id="113"/>
    </w:p>
    <w:p w14:paraId="69097AD6" w14:textId="462546D4" w:rsidR="55119DC7" w:rsidRDefault="55119DC7" w:rsidP="00453F14">
      <w:pPr>
        <w:pStyle w:val="Heading4"/>
        <w:numPr>
          <w:ilvl w:val="2"/>
          <w:numId w:val="17"/>
        </w:numPr>
      </w:pPr>
      <w:r w:rsidRPr="01858A96">
        <w:t>Comments</w:t>
      </w:r>
    </w:p>
    <w:p w14:paraId="41B873F9" w14:textId="6459D163" w:rsidR="55119DC7" w:rsidRDefault="55119DC7" w:rsidP="00AA2116">
      <w:r>
        <w:t>Franklin Energy comments that installing any mechanism that could potentially modify the airflow of the supply fan on a DX system (CRAC units) has potential to freeze the coil.  Franklin Energy recommends that any installation of a VFD on a CRAC unit should be verified with the manufacturer.  Franklin Energy</w:t>
      </w:r>
      <w:r w:rsidR="00A8673A">
        <w:t xml:space="preserve"> Comments</w:t>
      </w:r>
      <w:r>
        <w:t xml:space="preserve"> at 322.</w:t>
      </w:r>
    </w:p>
    <w:p w14:paraId="4ECF4F17" w14:textId="5D7D423F" w:rsidR="55119DC7" w:rsidRDefault="55119DC7" w:rsidP="00AA2116"/>
    <w:p w14:paraId="279B5C89" w14:textId="1643AC74" w:rsidR="55119DC7" w:rsidRDefault="55119DC7" w:rsidP="00453F14">
      <w:pPr>
        <w:pStyle w:val="Heading4"/>
        <w:numPr>
          <w:ilvl w:val="2"/>
          <w:numId w:val="17"/>
        </w:numPr>
      </w:pPr>
      <w:r w:rsidRPr="00C921D2">
        <w:t>Disposition</w:t>
      </w:r>
    </w:p>
    <w:p w14:paraId="4C57DADC" w14:textId="7E79D9AC" w:rsidR="0051230E" w:rsidRDefault="0051230E" w:rsidP="00AA2116">
      <w:r>
        <w:t xml:space="preserve">The Commission accepts Franklin Energy’s recommendation </w:t>
      </w:r>
      <w:r w:rsidRPr="00705569">
        <w:t xml:space="preserve">and </w:t>
      </w:r>
      <w:r>
        <w:t xml:space="preserve">has </w:t>
      </w:r>
      <w:r w:rsidRPr="00705569">
        <w:t>update</w:t>
      </w:r>
      <w:r>
        <w:t>d the measure protocol accordingly.</w:t>
      </w:r>
    </w:p>
    <w:p w14:paraId="2CFD2537" w14:textId="4BD048E7" w:rsidR="01858A96" w:rsidRDefault="01858A96" w:rsidP="00AA2116"/>
    <w:p w14:paraId="1DC685E6" w14:textId="7C309463" w:rsidR="55119DC7" w:rsidRDefault="55119DC7" w:rsidP="00453F14">
      <w:pPr>
        <w:pStyle w:val="Heading3"/>
        <w:numPr>
          <w:ilvl w:val="1"/>
          <w:numId w:val="17"/>
        </w:numPr>
      </w:pPr>
      <w:bookmarkStart w:id="114" w:name="_Toc15657907"/>
      <w:r w:rsidRPr="01858A96">
        <w:t>Section 3.2.13 – Circulation Fan: High-volume Low-speed</w:t>
      </w:r>
      <w:bookmarkEnd w:id="114"/>
    </w:p>
    <w:p w14:paraId="43CBE4F3" w14:textId="462546D4" w:rsidR="55119DC7" w:rsidRDefault="55119DC7" w:rsidP="00453F14">
      <w:pPr>
        <w:pStyle w:val="Heading4"/>
        <w:numPr>
          <w:ilvl w:val="2"/>
          <w:numId w:val="17"/>
        </w:numPr>
      </w:pPr>
      <w:r w:rsidRPr="33AF9F3C">
        <w:t>Comments</w:t>
      </w:r>
    </w:p>
    <w:p w14:paraId="17E002FB" w14:textId="0FAA3D27" w:rsidR="55119DC7" w:rsidRDefault="002147CB" w:rsidP="00AA2116">
      <w:r>
        <w:t>FirstEnergy</w:t>
      </w:r>
      <w:r w:rsidR="55119DC7">
        <w:t xml:space="preserve"> comments that the measure description should be revised to change the </w:t>
      </w:r>
      <w:r w:rsidR="55119DC7" w:rsidRPr="0032796A">
        <w:t xml:space="preserve">reference </w:t>
      </w:r>
      <w:r w:rsidR="00105994">
        <w:t>from</w:t>
      </w:r>
      <w:r w:rsidR="55119DC7" w:rsidRPr="0032796A">
        <w:t xml:space="preserve"> “IMP” to “measure</w:t>
      </w:r>
      <w:r w:rsidR="55119DC7">
        <w:t xml:space="preserve">.”  </w:t>
      </w:r>
      <w:r>
        <w:t>FirstEnergy</w:t>
      </w:r>
      <w:r w:rsidR="55119DC7">
        <w:t xml:space="preserve"> Comments at 9.</w:t>
      </w:r>
      <w:r w:rsidR="00A23F68">
        <w:t xml:space="preserve">  </w:t>
      </w:r>
      <w:r w:rsidR="55119DC7">
        <w:t>PECO comments that “Efficient wattage source</w:t>
      </w:r>
      <w:r w:rsidR="009D7B98">
        <w:t>,</w:t>
      </w:r>
      <w:r w:rsidR="55119DC7">
        <w:t>” “baseline definition</w:t>
      </w:r>
      <w:r w:rsidR="009D7B98">
        <w:t>,</w:t>
      </w:r>
      <w:r w:rsidR="55119DC7">
        <w:t>” and “baseline source” are not defined terms and recommends defining these terms by wattage required to move an equivalent amount of air, volume, or size</w:t>
      </w:r>
      <w:r w:rsidR="00495E45">
        <w:t xml:space="preserve">.  </w:t>
      </w:r>
      <w:r w:rsidR="55119DC7">
        <w:t>PECO Comments at 10.</w:t>
      </w:r>
    </w:p>
    <w:p w14:paraId="52E201EF" w14:textId="5D7D423F" w:rsidR="55119DC7" w:rsidRDefault="55119DC7" w:rsidP="00AA2116"/>
    <w:p w14:paraId="1AD7A161" w14:textId="1643AC74" w:rsidR="55119DC7" w:rsidRDefault="55119DC7" w:rsidP="00453F14">
      <w:pPr>
        <w:pStyle w:val="Heading4"/>
        <w:numPr>
          <w:ilvl w:val="2"/>
          <w:numId w:val="17"/>
        </w:numPr>
      </w:pPr>
      <w:r w:rsidRPr="33AF9F3C">
        <w:t>Disposition</w:t>
      </w:r>
    </w:p>
    <w:p w14:paraId="1B61181D" w14:textId="26CC6B94" w:rsidR="55119DC7" w:rsidRDefault="55119DC7" w:rsidP="00AA2116">
      <w:r>
        <w:t xml:space="preserve">The Commission accepts </w:t>
      </w:r>
      <w:r w:rsidR="002147CB">
        <w:t>FirstEnergy</w:t>
      </w:r>
      <w:r>
        <w:t xml:space="preserve">’s </w:t>
      </w:r>
      <w:r w:rsidR="00EA5465">
        <w:t>suggestion</w:t>
      </w:r>
      <w:r w:rsidR="005A7705">
        <w:t xml:space="preserve"> to</w:t>
      </w:r>
      <w:r w:rsidR="00AE1211">
        <w:t xml:space="preserve"> change the reference from “IMP” to measure</w:t>
      </w:r>
      <w:r w:rsidR="00EA5465">
        <w:t xml:space="preserve"> </w:t>
      </w:r>
      <w:r>
        <w:t xml:space="preserve">and </w:t>
      </w:r>
      <w:r w:rsidR="00AE1211">
        <w:t xml:space="preserve">has </w:t>
      </w:r>
      <w:r w:rsidRPr="00BA0110">
        <w:t>update</w:t>
      </w:r>
      <w:r w:rsidR="00BA0110">
        <w:t>d</w:t>
      </w:r>
      <w:r>
        <w:t xml:space="preserve"> the measure protocol accordingly</w:t>
      </w:r>
      <w:r w:rsidR="00341E44">
        <w:t xml:space="preserve">.  </w:t>
      </w:r>
      <w:r w:rsidR="00E60E66">
        <w:t>The Commission,</w:t>
      </w:r>
      <w:r w:rsidR="00E50E35">
        <w:t xml:space="preserve"> however, </w:t>
      </w:r>
      <w:r>
        <w:t>reject</w:t>
      </w:r>
      <w:r w:rsidR="00E60E66">
        <w:t>s</w:t>
      </w:r>
      <w:r>
        <w:t xml:space="preserve"> PECO’s </w:t>
      </w:r>
      <w:r w:rsidR="00DB708F">
        <w:t xml:space="preserve">suggestion to define </w:t>
      </w:r>
      <w:r w:rsidR="00525B80">
        <w:t>terms by wattage required to move an equivalent amount of air, volume or size</w:t>
      </w:r>
      <w:r w:rsidR="00495E45">
        <w:t xml:space="preserve">.  </w:t>
      </w:r>
      <w:r w:rsidRPr="00BA0110">
        <w:t>The measure</w:t>
      </w:r>
      <w:r>
        <w:t xml:space="preserve"> already presents baseline </w:t>
      </w:r>
      <w:r>
        <w:lastRenderedPageBreak/>
        <w:t>(W</w:t>
      </w:r>
      <w:r w:rsidRPr="55119DC7">
        <w:rPr>
          <w:vertAlign w:val="subscript"/>
        </w:rPr>
        <w:t>conventional</w:t>
      </w:r>
      <w:r>
        <w:t>) and efficient (W</w:t>
      </w:r>
      <w:r w:rsidRPr="55119DC7">
        <w:rPr>
          <w:vertAlign w:val="subscript"/>
        </w:rPr>
        <w:t>HVLS</w:t>
      </w:r>
      <w:r>
        <w:t>) wattages based on the efficient fan diameter assuming equivalent air movement.</w:t>
      </w:r>
    </w:p>
    <w:p w14:paraId="717008CE" w14:textId="30EC929D" w:rsidR="55119DC7" w:rsidRDefault="55119DC7" w:rsidP="00AA2116">
      <w:pPr>
        <w:pStyle w:val="p3"/>
      </w:pPr>
    </w:p>
    <w:p w14:paraId="378B36BA" w14:textId="5BFF3431" w:rsidR="6C95303B" w:rsidRDefault="6C95303B" w:rsidP="00453F14">
      <w:pPr>
        <w:pStyle w:val="Heading3"/>
        <w:numPr>
          <w:ilvl w:val="1"/>
          <w:numId w:val="17"/>
        </w:numPr>
      </w:pPr>
      <w:bookmarkStart w:id="115" w:name="_Toc15657908"/>
      <w:r w:rsidRPr="01858A96">
        <w:t>Section 3.3.5 – ECM Circulator Pumps</w:t>
      </w:r>
      <w:bookmarkEnd w:id="115"/>
    </w:p>
    <w:p w14:paraId="6300BF38" w14:textId="1988F80D" w:rsidR="6C95303B" w:rsidRDefault="6C95303B" w:rsidP="00453F14">
      <w:pPr>
        <w:pStyle w:val="Heading4"/>
        <w:numPr>
          <w:ilvl w:val="2"/>
          <w:numId w:val="17"/>
        </w:numPr>
      </w:pPr>
      <w:r w:rsidRPr="33AF9F3C">
        <w:t>Comments</w:t>
      </w:r>
    </w:p>
    <w:p w14:paraId="4FD25646" w14:textId="013667BC" w:rsidR="2E88F06F" w:rsidRDefault="2E88F06F" w:rsidP="00AA2116">
      <w:r w:rsidRPr="00BA0110">
        <w:t xml:space="preserve">Franklin Energy </w:t>
      </w:r>
      <w:r w:rsidR="00BA0110" w:rsidRPr="00BA0110">
        <w:t>suggest</w:t>
      </w:r>
      <w:r w:rsidR="00BA0110">
        <w:t>s</w:t>
      </w:r>
      <w:r w:rsidR="00BA0110" w:rsidRPr="00BA0110">
        <w:t xml:space="preserve"> </w:t>
      </w:r>
      <w:r w:rsidRPr="00BA0110">
        <w:t>adding a</w:t>
      </w:r>
      <w:r>
        <w:t xml:space="preserve"> load factor to maintain consistency with other pumping measures.  Franklin Energy Comments at 350.  Franklin </w:t>
      </w:r>
      <w:r w:rsidRPr="00BA0110">
        <w:t xml:space="preserve">Energy also </w:t>
      </w:r>
      <w:r w:rsidR="00BA0110" w:rsidRPr="00BA0110">
        <w:t>comment</w:t>
      </w:r>
      <w:r w:rsidR="00BA0110">
        <w:t xml:space="preserve">s </w:t>
      </w:r>
      <w:r>
        <w:t>that another application of this measure is freeze protection for hot water coils</w:t>
      </w:r>
      <w:r w:rsidR="00495E45">
        <w:t xml:space="preserve">.  </w:t>
      </w:r>
      <w:r>
        <w:t>Franklin Energy Comments at 349.</w:t>
      </w:r>
      <w:r w:rsidR="00A23F68">
        <w:t xml:space="preserve">  </w:t>
      </w:r>
      <w:r w:rsidR="002147CB">
        <w:t>FirstEnergy</w:t>
      </w:r>
      <w:r w:rsidRPr="2E88F06F">
        <w:t xml:space="preserve"> </w:t>
      </w:r>
      <w:r w:rsidRPr="00BA0110">
        <w:t>suggest</w:t>
      </w:r>
      <w:r w:rsidR="00BA0110">
        <w:t>s</w:t>
      </w:r>
      <w:r w:rsidRPr="00BA0110">
        <w:t xml:space="preserve"> reframing the savings factor because of a perceived format inconsistency.  </w:t>
      </w:r>
      <w:r w:rsidR="002147CB">
        <w:t>FirstEnergy</w:t>
      </w:r>
      <w:r w:rsidRPr="00BA0110">
        <w:t xml:space="preserve"> also </w:t>
      </w:r>
      <w:r w:rsidR="00BA0110" w:rsidRPr="00BA0110">
        <w:t>comment</w:t>
      </w:r>
      <w:r w:rsidR="00BA0110">
        <w:t>s</w:t>
      </w:r>
      <w:r w:rsidR="00BA0110" w:rsidRPr="00BA0110">
        <w:t xml:space="preserve"> </w:t>
      </w:r>
      <w:r w:rsidRPr="00BA0110">
        <w:t>that</w:t>
      </w:r>
      <w:r w:rsidRPr="2E88F06F">
        <w:t xml:space="preserve"> the measure description was lacking mention of baseline and efficient case controls</w:t>
      </w:r>
      <w:r w:rsidR="00495E45">
        <w:t xml:space="preserve">.  </w:t>
      </w:r>
      <w:r w:rsidR="002147CB">
        <w:t>FirstEnergy</w:t>
      </w:r>
      <w:r w:rsidRPr="2E88F06F">
        <w:t xml:space="preserve"> Comments at 9 and 10.</w:t>
      </w:r>
    </w:p>
    <w:p w14:paraId="0527D4F4" w14:textId="5D7D423F" w:rsidR="6C95303B" w:rsidRDefault="6C95303B" w:rsidP="00AA2116"/>
    <w:p w14:paraId="22690049" w14:textId="1643AC74" w:rsidR="6C95303B" w:rsidRDefault="2E88F06F" w:rsidP="00453F14">
      <w:pPr>
        <w:pStyle w:val="Heading4"/>
        <w:numPr>
          <w:ilvl w:val="2"/>
          <w:numId w:val="17"/>
        </w:numPr>
      </w:pPr>
      <w:r w:rsidRPr="33AF9F3C">
        <w:t>Disposition</w:t>
      </w:r>
    </w:p>
    <w:p w14:paraId="7DE0767F" w14:textId="3A615CCE" w:rsidR="6C95303B" w:rsidRDefault="2E88F06F" w:rsidP="00AA2116">
      <w:r w:rsidRPr="2E88F06F">
        <w:t>The Commission accepts Franklin Energy’s suggestion regarding load factor</w:t>
      </w:r>
      <w:r w:rsidR="00867ECC">
        <w:t xml:space="preserve"> and has added </w:t>
      </w:r>
      <w:r w:rsidR="00D965A4">
        <w:t>the</w:t>
      </w:r>
      <w:r w:rsidR="00867ECC">
        <w:t xml:space="preserve"> load factor </w:t>
      </w:r>
      <w:r w:rsidR="0050668A">
        <w:t>with a default value of 0.9 defined</w:t>
      </w:r>
      <w:r w:rsidRPr="2E88F06F">
        <w:t xml:space="preserve"> to </w:t>
      </w:r>
      <w:r w:rsidR="005E4C91">
        <w:t xml:space="preserve">the </w:t>
      </w:r>
      <w:r w:rsidRPr="2E88F06F">
        <w:t xml:space="preserve">energy and demand savings algorithms for this measure.  </w:t>
      </w:r>
      <w:r w:rsidR="00E60E66">
        <w:t>W</w:t>
      </w:r>
      <w:r w:rsidR="00157DE8">
        <w:t>e</w:t>
      </w:r>
      <w:r w:rsidR="00E60E66">
        <w:t>, however, decline to</w:t>
      </w:r>
      <w:r w:rsidR="00157DE8">
        <w:t xml:space="preserve"> </w:t>
      </w:r>
      <w:r w:rsidRPr="2E88F06F">
        <w:t xml:space="preserve">make </w:t>
      </w:r>
      <w:r w:rsidR="00EC2DDB" w:rsidRPr="2E88F06F">
        <w:t>additional</w:t>
      </w:r>
      <w:r w:rsidRPr="2E88F06F">
        <w:t xml:space="preserve"> adjustments regarding freeze protection for hot water coils because of</w:t>
      </w:r>
      <w:r w:rsidR="00D965A4">
        <w:t xml:space="preserve"> the</w:t>
      </w:r>
      <w:r w:rsidRPr="2E88F06F">
        <w:t xml:space="preserve"> limited applicability of that application.</w:t>
      </w:r>
      <w:r w:rsidR="00A23F68">
        <w:t xml:space="preserve">  </w:t>
      </w:r>
      <w:r w:rsidRPr="2E88F06F">
        <w:t xml:space="preserve">The Commission rejects </w:t>
      </w:r>
      <w:r w:rsidR="002147CB">
        <w:t>FirstEnergy</w:t>
      </w:r>
      <w:r w:rsidRPr="2E88F06F">
        <w:t xml:space="preserve">’s suggestion </w:t>
      </w:r>
      <w:r w:rsidR="00D7259C">
        <w:t>to reframe the</w:t>
      </w:r>
      <w:r w:rsidR="00D7259C" w:rsidRPr="2E88F06F">
        <w:t xml:space="preserve"> </w:t>
      </w:r>
      <w:r w:rsidRPr="2E88F06F">
        <w:t xml:space="preserve">savings factor formatting.  After further review, </w:t>
      </w:r>
      <w:r w:rsidR="00B40709">
        <w:t>we</w:t>
      </w:r>
      <w:r w:rsidRPr="2E88F06F">
        <w:t xml:space="preserve"> found the current version of the algorithm and savings factor to be correct.  The Commission </w:t>
      </w:r>
      <w:r w:rsidR="009208DC">
        <w:t xml:space="preserve">however </w:t>
      </w:r>
      <w:r w:rsidRPr="2E88F06F">
        <w:t xml:space="preserve">accepts </w:t>
      </w:r>
      <w:r w:rsidR="002147CB">
        <w:t>FirstEnergy</w:t>
      </w:r>
      <w:r w:rsidRPr="2E88F06F">
        <w:t xml:space="preserve">’s </w:t>
      </w:r>
      <w:r w:rsidR="005F67BA">
        <w:t>recommendation</w:t>
      </w:r>
      <w:r w:rsidR="005F67BA" w:rsidRPr="2E88F06F">
        <w:t xml:space="preserve"> </w:t>
      </w:r>
      <w:r w:rsidRPr="2E88F06F">
        <w:t xml:space="preserve">regarding </w:t>
      </w:r>
      <w:r w:rsidR="005F67BA">
        <w:t xml:space="preserve">the </w:t>
      </w:r>
      <w:r w:rsidRPr="2E88F06F">
        <w:t>baseline definition in the measure description</w:t>
      </w:r>
      <w:r w:rsidR="005F67BA">
        <w:t xml:space="preserve"> and we have</w:t>
      </w:r>
      <w:r w:rsidR="00C60D56">
        <w:t xml:space="preserve"> </w:t>
      </w:r>
      <w:r w:rsidRPr="2E88F06F">
        <w:t xml:space="preserve">added </w:t>
      </w:r>
      <w:r w:rsidR="00C60D56">
        <w:t xml:space="preserve">text </w:t>
      </w:r>
      <w:r w:rsidRPr="2E88F06F">
        <w:t xml:space="preserve">to the measure description to more clearly define </w:t>
      </w:r>
      <w:r w:rsidR="00C60D56">
        <w:t xml:space="preserve">the </w:t>
      </w:r>
      <w:r w:rsidRPr="2E88F06F">
        <w:t>appropriate baseline condition</w:t>
      </w:r>
      <w:r>
        <w:t>.</w:t>
      </w:r>
    </w:p>
    <w:p w14:paraId="2B5A936A" w14:textId="7C6C9C4B" w:rsidR="6C95303B" w:rsidRDefault="6C95303B" w:rsidP="00AA2116"/>
    <w:p w14:paraId="565911D4" w14:textId="1715DA64" w:rsidR="6C95303B" w:rsidRDefault="6C95303B" w:rsidP="00453F14">
      <w:pPr>
        <w:pStyle w:val="Heading3"/>
        <w:numPr>
          <w:ilvl w:val="1"/>
          <w:numId w:val="17"/>
        </w:numPr>
      </w:pPr>
      <w:bookmarkStart w:id="116" w:name="_Toc15657909"/>
      <w:r w:rsidRPr="524F78EB">
        <w:t>Section 3.3.6 – High Efficiency Pumps</w:t>
      </w:r>
      <w:bookmarkEnd w:id="116"/>
    </w:p>
    <w:p w14:paraId="6A1BABEB" w14:textId="1988F80D" w:rsidR="6C95303B" w:rsidRDefault="6C95303B" w:rsidP="00453F14">
      <w:pPr>
        <w:pStyle w:val="Heading4"/>
        <w:numPr>
          <w:ilvl w:val="2"/>
          <w:numId w:val="17"/>
        </w:numPr>
      </w:pPr>
      <w:r w:rsidRPr="00C921D2">
        <w:t>Comments</w:t>
      </w:r>
    </w:p>
    <w:p w14:paraId="6A0AD262" w14:textId="547EDDF5" w:rsidR="6C95303B" w:rsidRDefault="002147CB" w:rsidP="00AA2116">
      <w:r>
        <w:t>FirstEnergy</w:t>
      </w:r>
      <w:r w:rsidR="6C95303B" w:rsidRPr="00BA0110">
        <w:t xml:space="preserve"> suggest</w:t>
      </w:r>
      <w:r w:rsidR="00BA0110">
        <w:t>s</w:t>
      </w:r>
      <w:r w:rsidR="6C95303B" w:rsidRPr="6C95303B">
        <w:t xml:space="preserve"> removing motor load factor and efficiency from the algorithms for this </w:t>
      </w:r>
      <w:r w:rsidR="6C95303B" w:rsidRPr="0060589C">
        <w:t>measure</w:t>
      </w:r>
      <w:r w:rsidR="00495E45">
        <w:t xml:space="preserve">.  </w:t>
      </w:r>
      <w:r w:rsidR="0060589C">
        <w:t>Their reason is</w:t>
      </w:r>
      <w:r w:rsidR="6C95303B" w:rsidRPr="0060589C">
        <w:t xml:space="preserve"> that</w:t>
      </w:r>
      <w:r w:rsidR="6C95303B" w:rsidRPr="6C95303B">
        <w:t xml:space="preserve"> PEI (Pump Energy Index) values already incorporate those values.  </w:t>
      </w:r>
      <w:r>
        <w:t>FirstEnergy</w:t>
      </w:r>
      <w:r w:rsidR="6C95303B" w:rsidRPr="6C95303B">
        <w:t xml:space="preserve"> Comments at 10.  Franklin Energy </w:t>
      </w:r>
      <w:r w:rsidR="0060589C" w:rsidRPr="0060589C">
        <w:lastRenderedPageBreak/>
        <w:t>comment</w:t>
      </w:r>
      <w:r w:rsidR="0060589C">
        <w:t>s,</w:t>
      </w:r>
      <w:r w:rsidR="0060589C" w:rsidRPr="0060589C">
        <w:t xml:space="preserve"> </w:t>
      </w:r>
      <w:r w:rsidR="6C95303B" w:rsidRPr="0060589C">
        <w:t>more</w:t>
      </w:r>
      <w:r w:rsidR="6C95303B" w:rsidRPr="6C95303B">
        <w:t xml:space="preserve"> specifically</w:t>
      </w:r>
      <w:r w:rsidR="0060589C">
        <w:t>,</w:t>
      </w:r>
      <w:r w:rsidR="6C95303B" w:rsidRPr="6C95303B">
        <w:t xml:space="preserve"> that motor efficiency is unnecessary for pump packages.  Franklin Energy Comments at 354.</w:t>
      </w:r>
    </w:p>
    <w:p w14:paraId="60C4F9D5" w14:textId="7DE7E7C7" w:rsidR="6C95303B" w:rsidRDefault="6C95303B" w:rsidP="00AA2116"/>
    <w:p w14:paraId="40C198A4" w14:textId="1643AC74" w:rsidR="6C95303B" w:rsidRDefault="6C95303B" w:rsidP="00453F14">
      <w:pPr>
        <w:pStyle w:val="Heading4"/>
        <w:numPr>
          <w:ilvl w:val="2"/>
          <w:numId w:val="17"/>
        </w:numPr>
      </w:pPr>
      <w:r w:rsidRPr="00CA40E2">
        <w:t>Disposition</w:t>
      </w:r>
    </w:p>
    <w:p w14:paraId="3CED9D73" w14:textId="51DD6F73" w:rsidR="6C95303B" w:rsidRDefault="6C95303B" w:rsidP="00AA2116">
      <w:r w:rsidRPr="6C95303B">
        <w:t xml:space="preserve">The Commission agrees with Franklin Energy’s comment that motor efficiency is included in the PEI value for pump packages </w:t>
      </w:r>
      <w:r w:rsidR="00F77571" w:rsidRPr="6C95303B">
        <w:t>wherever</w:t>
      </w:r>
      <w:r w:rsidRPr="6C95303B">
        <w:t xml:space="preserve"> a pump is being sold as a packaged unit with </w:t>
      </w:r>
      <w:r w:rsidR="00522346">
        <w:t>the</w:t>
      </w:r>
      <w:r w:rsidRPr="6C95303B">
        <w:t xml:space="preserve"> motor included.  In these cases, motor efficiency does not need to be included in the algorithm</w:t>
      </w:r>
      <w:r w:rsidR="00495E45">
        <w:t xml:space="preserve">.  </w:t>
      </w:r>
      <w:r w:rsidR="005655DC">
        <w:t xml:space="preserve">Based on that, we have </w:t>
      </w:r>
      <w:r w:rsidRPr="6C95303B">
        <w:t>clarified the algorithm definition for pump packages by stipulating a motor efficiency of 1.0 for that type of equipment.  Bare pump PEI values do not include motor efficiency.  Additionally, no PEI values include load factor for any equipment configuration</w:t>
      </w:r>
      <w:r w:rsidR="00B561A5" w:rsidRPr="6C95303B">
        <w:t>,</w:t>
      </w:r>
      <w:r w:rsidRPr="6C95303B">
        <w:t xml:space="preserve"> </w:t>
      </w:r>
      <w:r w:rsidR="00265EFB">
        <w:t>for that reason</w:t>
      </w:r>
      <w:r w:rsidRPr="6C95303B">
        <w:t xml:space="preserve"> the Commission did not adjust that part of the algorithm.</w:t>
      </w:r>
    </w:p>
    <w:p w14:paraId="78AD77A5" w14:textId="77777777" w:rsidR="00921481" w:rsidRDefault="00921481" w:rsidP="00AA2116"/>
    <w:p w14:paraId="512E211F" w14:textId="31B91C6B" w:rsidR="0004032E" w:rsidRPr="0096379A" w:rsidRDefault="6C95303B" w:rsidP="00453F14">
      <w:pPr>
        <w:pStyle w:val="Heading3"/>
        <w:numPr>
          <w:ilvl w:val="1"/>
          <w:numId w:val="17"/>
        </w:numPr>
      </w:pPr>
      <w:bookmarkStart w:id="117" w:name="_Toc15657910"/>
      <w:r w:rsidRPr="524F78EB">
        <w:t>Section 3.5.16 – Air-cooled Refrigeration Condenser</w:t>
      </w:r>
      <w:bookmarkEnd w:id="117"/>
    </w:p>
    <w:p w14:paraId="31CCAE33" w14:textId="1988F80D" w:rsidR="608C6196" w:rsidRDefault="608C6196" w:rsidP="00453F14">
      <w:pPr>
        <w:pStyle w:val="Heading4"/>
        <w:numPr>
          <w:ilvl w:val="2"/>
          <w:numId w:val="17"/>
        </w:numPr>
        <w:rPr>
          <w:bCs/>
        </w:rPr>
      </w:pPr>
      <w:r w:rsidRPr="608C6196">
        <w:t>Comments</w:t>
      </w:r>
    </w:p>
    <w:p w14:paraId="763667F5" w14:textId="2D142B71" w:rsidR="0004032E" w:rsidRPr="00DA2182" w:rsidRDefault="002147CB" w:rsidP="00AA2116">
      <w:r>
        <w:t>FirstEnergy</w:t>
      </w:r>
      <w:r w:rsidR="0004032E">
        <w:t xml:space="preserve"> recommends changing the kW/ton value in the peak demand savings algorithm to “kWh/ton/8760” to be consistent with the methodology of previous sections.  </w:t>
      </w:r>
      <w:r>
        <w:t>FirstEnergy</w:t>
      </w:r>
      <w:r w:rsidR="0004032E">
        <w:t xml:space="preserve"> </w:t>
      </w:r>
      <w:r w:rsidR="00A56119">
        <w:t>C</w:t>
      </w:r>
      <w:r w:rsidR="0004032E">
        <w:t xml:space="preserve">omments at 11. </w:t>
      </w:r>
    </w:p>
    <w:p w14:paraId="203F0C54" w14:textId="77777777" w:rsidR="0004032E" w:rsidRPr="0096379A" w:rsidRDefault="0004032E" w:rsidP="00AA2116"/>
    <w:p w14:paraId="7B65EB06" w14:textId="1643AC74" w:rsidR="608C6196" w:rsidRDefault="608C6196" w:rsidP="00453F14">
      <w:pPr>
        <w:pStyle w:val="Heading4"/>
        <w:numPr>
          <w:ilvl w:val="2"/>
          <w:numId w:val="17"/>
        </w:numPr>
        <w:rPr>
          <w:bCs/>
        </w:rPr>
      </w:pPr>
      <w:r w:rsidRPr="608C6196">
        <w:t>Disposition</w:t>
      </w:r>
    </w:p>
    <w:p w14:paraId="09E4A14A" w14:textId="6DFF7485" w:rsidR="0004032E" w:rsidRDefault="0004032E" w:rsidP="00AA2116">
      <w:r>
        <w:t>The Commission agrees with the spirit of this comment.  Consistency across sections is generally good</w:t>
      </w:r>
      <w:r w:rsidR="003E11B0">
        <w:t xml:space="preserve">; however, </w:t>
      </w:r>
      <w:r w:rsidR="00AF4630">
        <w:t>in</w:t>
      </w:r>
      <w:r>
        <w:t xml:space="preserve"> this case, the protocol uses a methodology consistent with the source documents</w:t>
      </w:r>
      <w:r w:rsidR="00B16713">
        <w:t xml:space="preserve">, </w:t>
      </w:r>
      <w:r w:rsidR="00F05B6B">
        <w:t>therefore FirstEnergy’s</w:t>
      </w:r>
      <w:r w:rsidR="00B16713">
        <w:t xml:space="preserve"> </w:t>
      </w:r>
      <w:r w:rsidR="0025369E">
        <w:t xml:space="preserve">request to </w:t>
      </w:r>
      <w:r w:rsidR="00B16713">
        <w:t>change</w:t>
      </w:r>
      <w:r w:rsidR="00891764">
        <w:t xml:space="preserve"> the kW/ton value in the peak demand savings algorithm</w:t>
      </w:r>
      <w:r w:rsidR="00B16713">
        <w:t xml:space="preserve"> is rejected</w:t>
      </w:r>
      <w:r>
        <w:t>.</w:t>
      </w:r>
      <w:r w:rsidR="00891764">
        <w:t xml:space="preserve"> </w:t>
      </w:r>
    </w:p>
    <w:p w14:paraId="7C25F285" w14:textId="77777777" w:rsidR="0061674E" w:rsidRDefault="0061674E" w:rsidP="00AA2116"/>
    <w:p w14:paraId="2799376D" w14:textId="77777777" w:rsidR="0004032E" w:rsidRPr="0096379A" w:rsidRDefault="6C95303B" w:rsidP="00453F14">
      <w:pPr>
        <w:pStyle w:val="Heading3"/>
        <w:numPr>
          <w:ilvl w:val="1"/>
          <w:numId w:val="17"/>
        </w:numPr>
      </w:pPr>
      <w:bookmarkStart w:id="118" w:name="_Toc15657911"/>
      <w:r w:rsidRPr="608C6196">
        <w:t>Section 3.5.18 – Refrigeration Economizer</w:t>
      </w:r>
      <w:r w:rsidRPr="6C95303B">
        <w:rPr>
          <w:bCs/>
        </w:rPr>
        <w:t>s</w:t>
      </w:r>
      <w:bookmarkEnd w:id="118"/>
    </w:p>
    <w:p w14:paraId="5D439AB7" w14:textId="1988F80D" w:rsidR="608C6196" w:rsidRDefault="608C6196" w:rsidP="00453F14">
      <w:pPr>
        <w:pStyle w:val="Heading4"/>
        <w:numPr>
          <w:ilvl w:val="2"/>
          <w:numId w:val="17"/>
        </w:numPr>
        <w:rPr>
          <w:bCs/>
        </w:rPr>
      </w:pPr>
      <w:r w:rsidRPr="608C6196">
        <w:t>Comments</w:t>
      </w:r>
    </w:p>
    <w:p w14:paraId="6F5FD95C" w14:textId="24D0834A" w:rsidR="0004032E" w:rsidRDefault="0004032E" w:rsidP="00AA2116">
      <w:r>
        <w:t xml:space="preserve">Franklin Energy suggests that using “runs 24 hours” as an eligibility requirement is unrealistic, as the fans will not run during active defrost.  Franklin Energy </w:t>
      </w:r>
      <w:r w:rsidR="00A56119">
        <w:t>C</w:t>
      </w:r>
      <w:r>
        <w:t xml:space="preserve">omments at 411.  Franklin Energy also notes that the default COP value seems high based on </w:t>
      </w:r>
      <w:r>
        <w:lastRenderedPageBreak/>
        <w:t xml:space="preserve">values that were used in other measures.  Franklin Energy </w:t>
      </w:r>
      <w:r w:rsidR="00A56119">
        <w:t>C</w:t>
      </w:r>
      <w:r>
        <w:t>omments at 414.</w:t>
      </w:r>
      <w:r w:rsidR="00A23F68">
        <w:t xml:space="preserve">  </w:t>
      </w:r>
      <w:r>
        <w:t xml:space="preserve">PECO suggests utilizing the “Discus” type as an option for one of the algorithm inputs when the type of compressor </w:t>
      </w:r>
      <w:r w:rsidR="00C26938">
        <w:t>i</w:t>
      </w:r>
      <w:r>
        <w:t xml:space="preserve">s unknown.  PECO </w:t>
      </w:r>
      <w:r w:rsidR="003B28D1">
        <w:t>C</w:t>
      </w:r>
      <w:r>
        <w:t>omments at 11.</w:t>
      </w:r>
    </w:p>
    <w:p w14:paraId="4B228FB7" w14:textId="77777777" w:rsidR="0004032E" w:rsidRDefault="0004032E" w:rsidP="00AA2116"/>
    <w:p w14:paraId="2C701E90" w14:textId="1643AC74" w:rsidR="608C6196" w:rsidRDefault="608C6196" w:rsidP="00453F14">
      <w:pPr>
        <w:pStyle w:val="Heading4"/>
        <w:numPr>
          <w:ilvl w:val="2"/>
          <w:numId w:val="17"/>
        </w:numPr>
        <w:rPr>
          <w:bCs/>
        </w:rPr>
      </w:pPr>
      <w:r w:rsidRPr="608C6196">
        <w:t>Disposition</w:t>
      </w:r>
    </w:p>
    <w:p w14:paraId="1E63D369" w14:textId="2016D49D" w:rsidR="00747D29" w:rsidRDefault="00E038AC" w:rsidP="00AA2116">
      <w:r>
        <w:t xml:space="preserve">The Commission agrees with </w:t>
      </w:r>
      <w:r w:rsidR="006137B7">
        <w:t>Franklin Energy’s suggestion r</w:t>
      </w:r>
      <w:r w:rsidR="0004032E">
        <w:t xml:space="preserve">egarding the eligibility </w:t>
      </w:r>
      <w:r w:rsidR="00D0314A">
        <w:t>requirement and has added</w:t>
      </w:r>
      <w:r w:rsidR="0004032E">
        <w:t xml:space="preserve"> a note to the TRM about defrost cycles.  Regarding </w:t>
      </w:r>
      <w:r w:rsidR="001C734F">
        <w:t xml:space="preserve">the other </w:t>
      </w:r>
      <w:r w:rsidR="0004032E">
        <w:t>comment</w:t>
      </w:r>
      <w:r w:rsidR="003745E5">
        <w:t xml:space="preserve"> made by Franklin Energy</w:t>
      </w:r>
      <w:r w:rsidR="0004032E">
        <w:t xml:space="preserve"> about the COP value,</w:t>
      </w:r>
      <w:r w:rsidR="00DE7EC2">
        <w:t xml:space="preserve"> the Commission </w:t>
      </w:r>
      <w:r w:rsidR="00282113">
        <w:t xml:space="preserve">agreed and </w:t>
      </w:r>
      <w:r w:rsidR="00DE7EC2">
        <w:t>changed</w:t>
      </w:r>
      <w:r w:rsidR="0004032E">
        <w:t xml:space="preserve"> the source for this value</w:t>
      </w:r>
      <w:r w:rsidR="00DE7EC2">
        <w:t xml:space="preserve"> </w:t>
      </w:r>
      <w:r w:rsidR="0004032E">
        <w:t>to the same source that is used in</w:t>
      </w:r>
      <w:r w:rsidR="003E741C">
        <w:t xml:space="preserve"> the 2021</w:t>
      </w:r>
      <w:r w:rsidR="0004032E">
        <w:t xml:space="preserve"> </w:t>
      </w:r>
      <w:r w:rsidR="00441C6D">
        <w:t xml:space="preserve">TRM section </w:t>
      </w:r>
      <w:r w:rsidR="0004032E">
        <w:t xml:space="preserve">3.5.7 (previously </w:t>
      </w:r>
      <w:r w:rsidR="00967D2E">
        <w:t xml:space="preserve">section </w:t>
      </w:r>
      <w:r w:rsidR="0004032E">
        <w:t>3.5.8</w:t>
      </w:r>
      <w:r w:rsidR="00967D2E">
        <w:t xml:space="preserve"> of the 2016 TRM</w:t>
      </w:r>
      <w:r w:rsidR="0004032E">
        <w:t xml:space="preserve">).  </w:t>
      </w:r>
      <w:r w:rsidR="0004032E" w:rsidRPr="00A56050">
        <w:t>This COP value is specific to walk-ins, not reach-ins</w:t>
      </w:r>
      <w:r w:rsidR="0004032E">
        <w:t>, which explain</w:t>
      </w:r>
      <w:r w:rsidR="008160D2">
        <w:t>s</w:t>
      </w:r>
      <w:r w:rsidR="0004032E">
        <w:t xml:space="preserve"> why it seems high.</w:t>
      </w:r>
      <w:r w:rsidR="00A23F68">
        <w:t xml:space="preserve">  </w:t>
      </w:r>
      <w:r w:rsidR="0010350A">
        <w:t xml:space="preserve">We also agree with </w:t>
      </w:r>
      <w:r w:rsidR="0004032E">
        <w:t xml:space="preserve">PECO’s suggestion </w:t>
      </w:r>
      <w:r w:rsidR="0045002B">
        <w:t>t</w:t>
      </w:r>
      <w:r w:rsidR="0053035B">
        <w:t xml:space="preserve">hat </w:t>
      </w:r>
      <w:r w:rsidR="0045002B">
        <w:t xml:space="preserve">of the three compressor types </w:t>
      </w:r>
      <w:r w:rsidR="0053035B">
        <w:t>the “Discus” type provides the least savings</w:t>
      </w:r>
      <w:r w:rsidR="009D7891">
        <w:t xml:space="preserve"> and have </w:t>
      </w:r>
      <w:r w:rsidR="00231C6A">
        <w:t>made</w:t>
      </w:r>
      <w:r w:rsidR="00243CA2">
        <w:t xml:space="preserve"> the appropriate changes. </w:t>
      </w:r>
    </w:p>
    <w:p w14:paraId="71495958" w14:textId="5F709138" w:rsidR="0004032E" w:rsidRDefault="0004032E" w:rsidP="00AA2116"/>
    <w:p w14:paraId="4FBF97C5" w14:textId="19A1CF53" w:rsidR="00472AF2" w:rsidRPr="00472AF2" w:rsidRDefault="6C95303B" w:rsidP="00453F14">
      <w:pPr>
        <w:pStyle w:val="Heading3"/>
        <w:numPr>
          <w:ilvl w:val="1"/>
          <w:numId w:val="17"/>
        </w:numPr>
      </w:pPr>
      <w:bookmarkStart w:id="119" w:name="_Toc15657912"/>
      <w:r w:rsidRPr="608C6196">
        <w:t>Section 3.6.2 – ENERGY STAR Bathroom Ventilation Fan in Commercial Applications</w:t>
      </w:r>
      <w:bookmarkEnd w:id="119"/>
    </w:p>
    <w:p w14:paraId="2ADCB139" w14:textId="1988F80D" w:rsidR="608C6196" w:rsidRDefault="608C6196" w:rsidP="00453F14">
      <w:pPr>
        <w:pStyle w:val="Heading4"/>
        <w:numPr>
          <w:ilvl w:val="2"/>
          <w:numId w:val="17"/>
        </w:numPr>
        <w:rPr>
          <w:bCs/>
        </w:rPr>
      </w:pPr>
      <w:r w:rsidRPr="608C6196">
        <w:t>Comments</w:t>
      </w:r>
    </w:p>
    <w:p w14:paraId="6EACB38E" w14:textId="33B46B36" w:rsidR="00A65EA3" w:rsidRPr="00995534" w:rsidRDefault="002147CB" w:rsidP="00AA2116">
      <w:r>
        <w:t>FirstEnergy</w:t>
      </w:r>
      <w:r w:rsidR="00A65EA3" w:rsidRPr="00995534">
        <w:t xml:space="preserve"> </w:t>
      </w:r>
      <w:r w:rsidR="009E01AB" w:rsidRPr="00995534">
        <w:t>note</w:t>
      </w:r>
      <w:r w:rsidR="009E01AB">
        <w:t xml:space="preserve">s </w:t>
      </w:r>
      <w:r w:rsidR="00A65EA3" w:rsidRPr="00995534">
        <w:t xml:space="preserve">that in Table 3-132, the table and corresponding source refer to residential fans, but this is a commercial protocol.  They also request default efficiencies for each of the CFM ranges.  </w:t>
      </w:r>
      <w:r>
        <w:t>FirstEnergy</w:t>
      </w:r>
      <w:r w:rsidR="00A65EA3" w:rsidRPr="00995534">
        <w:t xml:space="preserve"> </w:t>
      </w:r>
      <w:r w:rsidR="00B4499F">
        <w:t>C</w:t>
      </w:r>
      <w:r w:rsidR="00A65EA3" w:rsidRPr="00995534">
        <w:t xml:space="preserve">omments at 12. </w:t>
      </w:r>
    </w:p>
    <w:p w14:paraId="6F5E9B3A" w14:textId="77777777" w:rsidR="00F6397D" w:rsidRDefault="00F6397D" w:rsidP="00AA2116"/>
    <w:p w14:paraId="37260416" w14:textId="1643AC74" w:rsidR="608C6196" w:rsidRDefault="608C6196" w:rsidP="00453F14">
      <w:pPr>
        <w:pStyle w:val="Heading4"/>
        <w:numPr>
          <w:ilvl w:val="2"/>
          <w:numId w:val="17"/>
        </w:numPr>
        <w:rPr>
          <w:bCs/>
        </w:rPr>
      </w:pPr>
      <w:r w:rsidRPr="608C6196">
        <w:t>Disposition</w:t>
      </w:r>
    </w:p>
    <w:p w14:paraId="3C72136C" w14:textId="2BFDF2F3" w:rsidR="00A65EA3" w:rsidRPr="0049773E" w:rsidRDefault="002147CB" w:rsidP="00AA2116">
      <w:pPr>
        <w:rPr>
          <w:sz w:val="27"/>
          <w:szCs w:val="27"/>
        </w:rPr>
      </w:pPr>
      <w:r>
        <w:t>FirstEnergy</w:t>
      </w:r>
      <w:r w:rsidR="00A65EA3">
        <w:t xml:space="preserve"> was correct in identifying that the source material applies to residential fans.  However, the products covered by the ENERGY STAR standards for ventilation are also approved for commercial applications</w:t>
      </w:r>
      <w:r w:rsidR="00B4499F">
        <w:t>,</w:t>
      </w:r>
      <w:r w:rsidR="00A65EA3">
        <w:t xml:space="preserve"> as noted in the ENERGY STAR product criteria scoping section.  The Commission has removed the word residential from the table title to avoid </w:t>
      </w:r>
      <w:r w:rsidR="006D6504">
        <w:t>confusion but</w:t>
      </w:r>
      <w:r w:rsidR="00A65EA3">
        <w:t xml:space="preserve"> </w:t>
      </w:r>
      <w:r w:rsidR="006D6504">
        <w:t xml:space="preserve">notes that </w:t>
      </w:r>
      <w:r w:rsidR="00A65EA3">
        <w:t xml:space="preserve">the information therein is correct.  </w:t>
      </w:r>
      <w:r w:rsidR="006D6504">
        <w:t xml:space="preserve">In response to FirstEnergy requesting default efficiencies, the Commission </w:t>
      </w:r>
      <w:r w:rsidR="00721FCA">
        <w:t>agreed and has included</w:t>
      </w:r>
      <w:r w:rsidR="006D6504">
        <w:t xml:space="preserve"> the default efficiency values as a matter of convenience</w:t>
      </w:r>
      <w:r w:rsidR="009E7947">
        <w:t xml:space="preserve">.  </w:t>
      </w:r>
      <w:r w:rsidR="006D6504">
        <w:t xml:space="preserve">The </w:t>
      </w:r>
      <w:r w:rsidR="006D6504">
        <w:lastRenderedPageBreak/>
        <w:t>difference between the energy efficient and baseline values is consistent across CFM ranges and the default savings are provided by binned CFM ranges.</w:t>
      </w:r>
    </w:p>
    <w:p w14:paraId="7DFEC60A" w14:textId="5923B0BB" w:rsidR="6C95303B" w:rsidRDefault="6C95303B" w:rsidP="00AA2116"/>
    <w:p w14:paraId="126EA539" w14:textId="1247A648" w:rsidR="6C95303B" w:rsidRDefault="6C95303B" w:rsidP="00453F14">
      <w:pPr>
        <w:pStyle w:val="Heading3"/>
        <w:numPr>
          <w:ilvl w:val="1"/>
          <w:numId w:val="17"/>
        </w:numPr>
      </w:pPr>
      <w:bookmarkStart w:id="120" w:name="_Toc15657913"/>
      <w:r w:rsidRPr="524F78EB">
        <w:t>Section 3.7.7 – ENERGY STAR Commercial Fryer</w:t>
      </w:r>
      <w:bookmarkEnd w:id="120"/>
    </w:p>
    <w:p w14:paraId="45CEA6AF" w14:textId="1988F80D" w:rsidR="608C6196" w:rsidRDefault="608C6196" w:rsidP="00453F14">
      <w:pPr>
        <w:pStyle w:val="Heading4"/>
        <w:numPr>
          <w:ilvl w:val="2"/>
          <w:numId w:val="17"/>
        </w:numPr>
        <w:rPr>
          <w:bCs/>
        </w:rPr>
      </w:pPr>
      <w:r w:rsidRPr="608C6196">
        <w:t>Comments</w:t>
      </w:r>
    </w:p>
    <w:p w14:paraId="34410CC3" w14:textId="793B3369" w:rsidR="6C95303B" w:rsidRDefault="002147CB" w:rsidP="00AA2116">
      <w:pPr>
        <w:rPr>
          <w:sz w:val="24"/>
          <w:szCs w:val="24"/>
        </w:rPr>
      </w:pPr>
      <w:r>
        <w:t>FirstEnergy</w:t>
      </w:r>
      <w:r w:rsidR="6C95303B">
        <w:t xml:space="preserve"> comment</w:t>
      </w:r>
      <w:r w:rsidR="00FF719F">
        <w:t>s</w:t>
      </w:r>
      <w:r w:rsidR="6C95303B">
        <w:t xml:space="preserve"> that the baseline IDLE energy rate for standard fryers be revised to 1,050 watts per the ENERGY STAR calculator. </w:t>
      </w:r>
      <w:r w:rsidR="608C6196">
        <w:t xml:space="preserve"> </w:t>
      </w:r>
      <w:r>
        <w:t>FirstEnergy</w:t>
      </w:r>
      <w:r w:rsidR="6C95303B">
        <w:t xml:space="preserve"> Comments at 13</w:t>
      </w:r>
      <w:r w:rsidR="6C95303B" w:rsidRPr="6C95303B">
        <w:rPr>
          <w:sz w:val="24"/>
          <w:szCs w:val="24"/>
        </w:rPr>
        <w:t xml:space="preserve">.  </w:t>
      </w:r>
    </w:p>
    <w:p w14:paraId="3B1C5327" w14:textId="77777777" w:rsidR="00B16713" w:rsidRDefault="00B16713" w:rsidP="00AA2116"/>
    <w:p w14:paraId="738A730F" w14:textId="1643AC74" w:rsidR="608C6196" w:rsidRDefault="608C6196" w:rsidP="00453F14">
      <w:pPr>
        <w:pStyle w:val="Heading4"/>
        <w:numPr>
          <w:ilvl w:val="2"/>
          <w:numId w:val="17"/>
        </w:numPr>
        <w:rPr>
          <w:bCs/>
        </w:rPr>
      </w:pPr>
      <w:r w:rsidRPr="608C6196">
        <w:t>Disposition</w:t>
      </w:r>
    </w:p>
    <w:p w14:paraId="7473817B" w14:textId="1E4024E8" w:rsidR="6C95303B" w:rsidRDefault="6C95303B" w:rsidP="00AA2116">
      <w:r w:rsidRPr="6C95303B">
        <w:t>The Commission accepts</w:t>
      </w:r>
      <w:r w:rsidR="00721FCA">
        <w:t xml:space="preserve"> FirstEnergy’s</w:t>
      </w:r>
      <w:r w:rsidRPr="6C95303B">
        <w:t xml:space="preserve"> </w:t>
      </w:r>
      <w:r w:rsidR="00FF719F">
        <w:t xml:space="preserve">proposed </w:t>
      </w:r>
      <w:r w:rsidRPr="6C95303B">
        <w:t>revision</w:t>
      </w:r>
      <w:r w:rsidR="00721FCA">
        <w:t xml:space="preserve"> to the baseline IDLE energy rate for standard fryers and has made the appropriate changes</w:t>
      </w:r>
      <w:r w:rsidRPr="6C95303B">
        <w:t xml:space="preserve">.  This </w:t>
      </w:r>
      <w:r w:rsidR="00721FCA">
        <w:t>revision</w:t>
      </w:r>
      <w:r w:rsidR="00BF14C7">
        <w:t xml:space="preserve"> to the baseline IDLE energy rate</w:t>
      </w:r>
      <w:r w:rsidRPr="6C95303B">
        <w:t xml:space="preserve"> resulted in a change </w:t>
      </w:r>
      <w:r w:rsidR="00BF14C7">
        <w:t>to</w:t>
      </w:r>
      <w:r w:rsidRPr="6C95303B">
        <w:t xml:space="preserve"> the default energy and demand savings for standard fryers.</w:t>
      </w:r>
    </w:p>
    <w:p w14:paraId="248B459B" w14:textId="42BEFCE9" w:rsidR="6C95303B" w:rsidRDefault="6C95303B" w:rsidP="00AA2116"/>
    <w:p w14:paraId="6264B3C4" w14:textId="503F48F6" w:rsidR="6C95303B" w:rsidRDefault="6C95303B" w:rsidP="00453F14">
      <w:pPr>
        <w:pStyle w:val="Heading3"/>
        <w:numPr>
          <w:ilvl w:val="1"/>
          <w:numId w:val="17"/>
        </w:numPr>
      </w:pPr>
      <w:bookmarkStart w:id="121" w:name="_Toc15657914"/>
      <w:r w:rsidRPr="524F78EB">
        <w:t xml:space="preserve">Section 3.7.8 – </w:t>
      </w:r>
      <w:r w:rsidRPr="55119DC7">
        <w:t>ENERGY STAR Commercial Hot Food Holding</w:t>
      </w:r>
      <w:bookmarkEnd w:id="121"/>
    </w:p>
    <w:p w14:paraId="02BD8838" w14:textId="1988F80D" w:rsidR="608C6196" w:rsidRDefault="608C6196" w:rsidP="00453F14">
      <w:pPr>
        <w:pStyle w:val="Heading4"/>
        <w:numPr>
          <w:ilvl w:val="2"/>
          <w:numId w:val="17"/>
        </w:numPr>
        <w:rPr>
          <w:bCs/>
        </w:rPr>
      </w:pPr>
      <w:r w:rsidRPr="608C6196">
        <w:t>Comments</w:t>
      </w:r>
    </w:p>
    <w:p w14:paraId="4B9217D2" w14:textId="59F40C07" w:rsidR="6C95303B" w:rsidRDefault="6C95303B" w:rsidP="00AA2116">
      <w:r w:rsidRPr="6C95303B">
        <w:t>PECO recommend</w:t>
      </w:r>
      <w:r w:rsidR="00FF719F">
        <w:t>s</w:t>
      </w:r>
      <w:r w:rsidRPr="6C95303B">
        <w:t xml:space="preserve"> that the TRM provide a default value for the volume of the Hot Food Holding Cabinet.  PECO Comments at 12.</w:t>
      </w:r>
    </w:p>
    <w:p w14:paraId="3A230707" w14:textId="5EFC5667" w:rsidR="6C95303B" w:rsidRDefault="6C95303B" w:rsidP="00AA2116"/>
    <w:p w14:paraId="50853FF3" w14:textId="1643AC74" w:rsidR="608C6196" w:rsidRDefault="608C6196" w:rsidP="00453F14">
      <w:pPr>
        <w:pStyle w:val="Heading4"/>
        <w:numPr>
          <w:ilvl w:val="2"/>
          <w:numId w:val="17"/>
        </w:numPr>
        <w:rPr>
          <w:bCs/>
        </w:rPr>
      </w:pPr>
      <w:r w:rsidRPr="608C6196">
        <w:t>Disposition</w:t>
      </w:r>
    </w:p>
    <w:p w14:paraId="39C75820" w14:textId="44CEF7F7" w:rsidR="6C95303B" w:rsidRDefault="6C95303B" w:rsidP="00AA2116">
      <w:r w:rsidRPr="6C95303B">
        <w:t xml:space="preserve">The Commission accepts </w:t>
      </w:r>
      <w:r w:rsidR="00BF14C7">
        <w:t>PECO’s</w:t>
      </w:r>
      <w:r w:rsidRPr="6C95303B">
        <w:t xml:space="preserve"> recommendation and </w:t>
      </w:r>
      <w:r w:rsidR="00BF14C7">
        <w:t xml:space="preserve">has </w:t>
      </w:r>
      <w:r w:rsidRPr="00325963">
        <w:t>added a default</w:t>
      </w:r>
      <w:r w:rsidRPr="6C95303B">
        <w:t xml:space="preserve"> value of 15 cubic feet for</w:t>
      </w:r>
      <w:r w:rsidR="00BF14C7">
        <w:t xml:space="preserve"> </w:t>
      </w:r>
      <w:r w:rsidRPr="6C95303B">
        <w:t>the Hot Food Holding Cabine</w:t>
      </w:r>
      <w:r w:rsidR="00BF14C7">
        <w:t>t volume</w:t>
      </w:r>
      <w:r w:rsidRPr="6C95303B">
        <w:t xml:space="preserve">, based on ENERGY STAR.  </w:t>
      </w:r>
      <w:r w:rsidR="00BF14C7">
        <w:t xml:space="preserve">Adding the default volume value resulted in a change to the </w:t>
      </w:r>
      <w:r w:rsidRPr="6C95303B">
        <w:t>default energy and demand savings for this measure.</w:t>
      </w:r>
    </w:p>
    <w:p w14:paraId="33D14849" w14:textId="6F77A53B" w:rsidR="6C95303B" w:rsidRDefault="6C95303B" w:rsidP="00AA2116"/>
    <w:p w14:paraId="1F3BA1F9" w14:textId="5969AF7C" w:rsidR="6C95303B" w:rsidRDefault="6C95303B" w:rsidP="00453F14">
      <w:pPr>
        <w:pStyle w:val="Heading3"/>
        <w:numPr>
          <w:ilvl w:val="1"/>
          <w:numId w:val="17"/>
        </w:numPr>
      </w:pPr>
      <w:bookmarkStart w:id="122" w:name="_Toc15657915"/>
      <w:r w:rsidRPr="524F78EB">
        <w:t>Section 3.7.9 – ENERGY STAR Commercial Dishwasher</w:t>
      </w:r>
      <w:bookmarkEnd w:id="122"/>
    </w:p>
    <w:p w14:paraId="63821C70" w14:textId="1988F80D" w:rsidR="608C6196" w:rsidRDefault="608C6196" w:rsidP="00453F14">
      <w:pPr>
        <w:pStyle w:val="Heading4"/>
        <w:numPr>
          <w:ilvl w:val="2"/>
          <w:numId w:val="17"/>
        </w:numPr>
        <w:rPr>
          <w:bCs/>
        </w:rPr>
      </w:pPr>
      <w:r w:rsidRPr="608C6196">
        <w:t>Comments</w:t>
      </w:r>
    </w:p>
    <w:p w14:paraId="6B291DAA" w14:textId="26E73ED0" w:rsidR="6C95303B" w:rsidRDefault="002147CB" w:rsidP="00AA2116">
      <w:r>
        <w:t>FirstEnergy</w:t>
      </w:r>
      <w:r w:rsidR="6C95303B" w:rsidRPr="6C95303B">
        <w:t xml:space="preserve"> note</w:t>
      </w:r>
      <w:r w:rsidR="00FF719F">
        <w:t>s</w:t>
      </w:r>
      <w:r w:rsidR="6C95303B" w:rsidRPr="6C95303B">
        <w:t xml:space="preserve"> </w:t>
      </w:r>
      <w:r w:rsidR="00FA2DCD">
        <w:t xml:space="preserve">that </w:t>
      </w:r>
      <w:r w:rsidR="6C95303B" w:rsidRPr="6C95303B">
        <w:t xml:space="preserve">a correction </w:t>
      </w:r>
      <w:r w:rsidR="00FA2DCD">
        <w:t xml:space="preserve">needs </w:t>
      </w:r>
      <w:r w:rsidR="6C95303B" w:rsidRPr="6C95303B">
        <w:t>to be made to the units for a conversion factor</w:t>
      </w:r>
      <w:r w:rsidR="00ED4C2D">
        <w:t xml:space="preserve"> and </w:t>
      </w:r>
      <w:r w:rsidR="00AC0782">
        <w:t>asks whether a rounded value</w:t>
      </w:r>
      <w:r w:rsidR="00ED4C2D">
        <w:t xml:space="preserve"> </w:t>
      </w:r>
      <w:r w:rsidR="00AC0782">
        <w:t>was</w:t>
      </w:r>
      <w:r w:rsidR="00ED4C2D">
        <w:t xml:space="preserve"> used for the conversion factor</w:t>
      </w:r>
      <w:r w:rsidR="00AC0782">
        <w:t xml:space="preserve"> as their calculations did not match </w:t>
      </w:r>
      <w:r w:rsidR="00E60E66">
        <w:t>those in the proposed TRM</w:t>
      </w:r>
      <w:r w:rsidR="6C95303B" w:rsidRPr="6C95303B">
        <w:t xml:space="preserve">.  </w:t>
      </w:r>
      <w:r w:rsidR="00FA2DCD">
        <w:t>In addition, FirstEnergy</w:t>
      </w:r>
      <w:r w:rsidR="00FA2DCD" w:rsidRPr="6C95303B">
        <w:t xml:space="preserve"> </w:t>
      </w:r>
      <w:r w:rsidR="00FA2DCD" w:rsidRPr="6C95303B">
        <w:lastRenderedPageBreak/>
        <w:t>recommend</w:t>
      </w:r>
      <w:r w:rsidR="00FA2DCD">
        <w:t>s</w:t>
      </w:r>
      <w:r w:rsidR="00FA2DCD" w:rsidRPr="6C95303B">
        <w:t xml:space="preserve"> adding default kW savings to the TRM</w:t>
      </w:r>
      <w:r w:rsidR="009E7947">
        <w:t xml:space="preserve">.  </w:t>
      </w:r>
      <w:r w:rsidR="00FA2DCD">
        <w:t>FirstEnergy</w:t>
      </w:r>
      <w:r w:rsidR="00FA2DCD" w:rsidRPr="6C95303B">
        <w:t xml:space="preserve"> Comments at 13.  </w:t>
      </w:r>
      <w:r w:rsidR="6C95303B" w:rsidRPr="6C95303B">
        <w:t xml:space="preserve">PECO suggests defining </w:t>
      </w:r>
      <w:r w:rsidR="00325963">
        <w:t>“</w:t>
      </w:r>
      <w:r w:rsidR="6C95303B" w:rsidRPr="00325963">
        <w:t>low temperature</w:t>
      </w:r>
      <w:r w:rsidR="00325963">
        <w:t>”</w:t>
      </w:r>
      <w:r w:rsidR="6C95303B" w:rsidRPr="00325963">
        <w:t xml:space="preserve"> and </w:t>
      </w:r>
      <w:r w:rsidR="00325963">
        <w:t>“</w:t>
      </w:r>
      <w:r w:rsidR="6C95303B" w:rsidRPr="00325963">
        <w:t>high temperature</w:t>
      </w:r>
      <w:r w:rsidR="00325963">
        <w:t>”</w:t>
      </w:r>
      <w:r w:rsidR="6C95303B" w:rsidRPr="6C95303B">
        <w:t xml:space="preserve"> </w:t>
      </w:r>
      <w:r w:rsidR="00DE25D3" w:rsidRPr="6C95303B">
        <w:t>to</w:t>
      </w:r>
      <w:r w:rsidR="6C95303B" w:rsidRPr="6C95303B">
        <w:t xml:space="preserve"> help facilit</w:t>
      </w:r>
      <w:r w:rsidR="00FF719F">
        <w:t>ate</w:t>
      </w:r>
      <w:r w:rsidR="6C95303B" w:rsidRPr="6C95303B">
        <w:t xml:space="preserve"> implementation.  </w:t>
      </w:r>
      <w:r w:rsidR="00FA2DCD">
        <w:t xml:space="preserve">Furthermore, </w:t>
      </w:r>
      <w:r w:rsidR="6C95303B" w:rsidRPr="6C95303B">
        <w:t xml:space="preserve">PECO recommends a default savings value based on the lowest energy savings values provided in the TRM or based on a typical/average installation type. </w:t>
      </w:r>
      <w:r w:rsidR="00FF719F">
        <w:t xml:space="preserve"> </w:t>
      </w:r>
      <w:r w:rsidR="6C95303B" w:rsidRPr="6C95303B">
        <w:t>PECO Comments at 12.</w:t>
      </w:r>
    </w:p>
    <w:p w14:paraId="12AE93CA" w14:textId="0216281C" w:rsidR="6C95303B" w:rsidRDefault="6C95303B" w:rsidP="00AA2116"/>
    <w:p w14:paraId="554190F3" w14:textId="1643AC74" w:rsidR="372FEFCB" w:rsidRDefault="372FEFCB" w:rsidP="00453F14">
      <w:pPr>
        <w:pStyle w:val="Heading4"/>
        <w:numPr>
          <w:ilvl w:val="2"/>
          <w:numId w:val="17"/>
        </w:numPr>
        <w:rPr>
          <w:bCs/>
        </w:rPr>
      </w:pPr>
      <w:r w:rsidRPr="372FEFCB">
        <w:t>Disposition</w:t>
      </w:r>
    </w:p>
    <w:p w14:paraId="102801BB" w14:textId="61A86A1F" w:rsidR="6C95303B" w:rsidRDefault="6C95303B" w:rsidP="00AA2116">
      <w:r w:rsidRPr="6C95303B">
        <w:t xml:space="preserve">The Commission accepts </w:t>
      </w:r>
      <w:r w:rsidR="002147CB">
        <w:t>FirstEnergy</w:t>
      </w:r>
      <w:r w:rsidRPr="6C95303B">
        <w:t xml:space="preserve">’s </w:t>
      </w:r>
      <w:r w:rsidR="00FA2DCD">
        <w:t xml:space="preserve">recommendation to correct </w:t>
      </w:r>
      <w:r w:rsidR="00FA2DCD" w:rsidRPr="6C95303B">
        <w:t xml:space="preserve">the units for a conversion factor </w:t>
      </w:r>
      <w:r w:rsidRPr="6C95303B">
        <w:t xml:space="preserve">and </w:t>
      </w:r>
      <w:r w:rsidR="00B77B98">
        <w:t xml:space="preserve">to add </w:t>
      </w:r>
      <w:r w:rsidR="00B77B98" w:rsidRPr="6C95303B">
        <w:t>default kW</w:t>
      </w:r>
      <w:r w:rsidR="00B77B98" w:rsidRPr="6C95303B">
        <w:rPr>
          <w:vertAlign w:val="subscript"/>
        </w:rPr>
        <w:t>peak</w:t>
      </w:r>
      <w:r w:rsidR="00B77B98" w:rsidRPr="6C95303B">
        <w:t xml:space="preserve"> savings</w:t>
      </w:r>
      <w:r w:rsidR="00B77B98">
        <w:t xml:space="preserve">.  </w:t>
      </w:r>
      <w:r w:rsidR="00050966">
        <w:t>Accordingly, w</w:t>
      </w:r>
      <w:r w:rsidR="00B77B98">
        <w:t>e have</w:t>
      </w:r>
      <w:r w:rsidR="00CC656C">
        <w:t xml:space="preserve"> </w:t>
      </w:r>
      <w:r w:rsidR="00FA2DCD">
        <w:t xml:space="preserve">made the </w:t>
      </w:r>
      <w:r w:rsidR="00050966">
        <w:t>appropriate changes</w:t>
      </w:r>
      <w:r w:rsidRPr="6C95303B">
        <w:t xml:space="preserve">.  </w:t>
      </w:r>
      <w:r w:rsidR="00214938" w:rsidRPr="00214938">
        <w:rPr>
          <w:szCs w:val="26"/>
        </w:rPr>
        <w:t xml:space="preserve"> </w:t>
      </w:r>
      <w:r w:rsidR="00214938">
        <w:rPr>
          <w:szCs w:val="26"/>
        </w:rPr>
        <w:t>The</w:t>
      </w:r>
      <w:r w:rsidR="00214938" w:rsidRPr="6C95303B">
        <w:rPr>
          <w:szCs w:val="26"/>
        </w:rPr>
        <w:t xml:space="preserve"> Commission </w:t>
      </w:r>
      <w:r w:rsidR="00214938">
        <w:rPr>
          <w:szCs w:val="26"/>
        </w:rPr>
        <w:t>notes that the value</w:t>
      </w:r>
      <w:r w:rsidR="00E60E66">
        <w:rPr>
          <w:szCs w:val="26"/>
        </w:rPr>
        <w:t>s</w:t>
      </w:r>
      <w:r w:rsidR="00214938">
        <w:rPr>
          <w:szCs w:val="26"/>
        </w:rPr>
        <w:t xml:space="preserve"> </w:t>
      </w:r>
      <w:r w:rsidR="00E60E66">
        <w:rPr>
          <w:szCs w:val="26"/>
        </w:rPr>
        <w:t>in</w:t>
      </w:r>
      <w:r w:rsidR="00214938">
        <w:rPr>
          <w:szCs w:val="26"/>
        </w:rPr>
        <w:t xml:space="preserve"> the default annual energy savings match the values shown</w:t>
      </w:r>
      <w:r w:rsidR="00214938" w:rsidRPr="6C95303B">
        <w:rPr>
          <w:szCs w:val="26"/>
        </w:rPr>
        <w:t xml:space="preserve"> in the ENERGY STAR calculator.</w:t>
      </w:r>
      <w:r w:rsidR="00214938">
        <w:rPr>
          <w:szCs w:val="26"/>
        </w:rPr>
        <w:t xml:space="preserve">  The discrepancy between the default savings values shown in the TRM and the values calculated by FirstEnergy could be explained by decimal precision.  For this reason, we have adjusted the default value for the “density of water” input to contain three significant digits rather than one.</w:t>
      </w:r>
      <w:r w:rsidR="00A23F68">
        <w:rPr>
          <w:szCs w:val="26"/>
        </w:rPr>
        <w:t xml:space="preserve">  </w:t>
      </w:r>
      <w:r w:rsidRPr="6C95303B">
        <w:t xml:space="preserve">The Commission </w:t>
      </w:r>
      <w:r w:rsidR="00050966">
        <w:t xml:space="preserve">also </w:t>
      </w:r>
      <w:r w:rsidRPr="6C95303B">
        <w:t xml:space="preserve">accepts PECO’s suggestion and </w:t>
      </w:r>
      <w:r w:rsidR="0092073B">
        <w:t xml:space="preserve">has </w:t>
      </w:r>
      <w:r w:rsidRPr="6C95303B">
        <w:t xml:space="preserve">added a definition </w:t>
      </w:r>
      <w:r w:rsidRPr="00325963">
        <w:t xml:space="preserve">for </w:t>
      </w:r>
      <w:r w:rsidR="00325963">
        <w:t>“</w:t>
      </w:r>
      <w:r w:rsidRPr="00325963">
        <w:t>low temperature</w:t>
      </w:r>
      <w:r w:rsidR="00325963">
        <w:t>”</w:t>
      </w:r>
      <w:r w:rsidRPr="00325963">
        <w:t xml:space="preserve"> and </w:t>
      </w:r>
      <w:r w:rsidR="00325963">
        <w:t>“</w:t>
      </w:r>
      <w:r w:rsidRPr="00325963">
        <w:t>high temperature</w:t>
      </w:r>
      <w:r w:rsidR="00325963">
        <w:t>”</w:t>
      </w:r>
      <w:r w:rsidRPr="6C95303B">
        <w:t xml:space="preserve"> machines.  </w:t>
      </w:r>
      <w:r w:rsidR="00050966">
        <w:t>However, we reject PECO’s</w:t>
      </w:r>
      <w:r w:rsidRPr="6C95303B">
        <w:t xml:space="preserve"> suggestion </w:t>
      </w:r>
      <w:r w:rsidR="00050966">
        <w:t>to add</w:t>
      </w:r>
      <w:r w:rsidRPr="6C95303B">
        <w:t xml:space="preserve"> one default value for this measure.  Default energy and demand values are already provided in the TRM at a level of detail that can be gathered by the </w:t>
      </w:r>
      <w:r w:rsidR="000A000C">
        <w:t>CSP</w:t>
      </w:r>
      <w:r w:rsidRPr="6C95303B">
        <w:t xml:space="preserve">/contractor.  </w:t>
      </w:r>
    </w:p>
    <w:p w14:paraId="52969EE0" w14:textId="77AD2138" w:rsidR="6C95303B" w:rsidRDefault="6C95303B" w:rsidP="00AA2116"/>
    <w:p w14:paraId="40A9B7E8" w14:textId="291FB271" w:rsidR="6C95303B" w:rsidRDefault="6C95303B" w:rsidP="00453F14">
      <w:pPr>
        <w:pStyle w:val="Heading3"/>
        <w:numPr>
          <w:ilvl w:val="1"/>
          <w:numId w:val="17"/>
        </w:numPr>
      </w:pPr>
      <w:bookmarkStart w:id="123" w:name="_Toc15657916"/>
      <w:r w:rsidRPr="524F78EB">
        <w:t xml:space="preserve">Section 3.7.10 – ENERGY STAR Commercial </w:t>
      </w:r>
      <w:r w:rsidRPr="002D05AA">
        <w:rPr>
          <w:bCs/>
        </w:rPr>
        <w:t>Griddle</w:t>
      </w:r>
      <w:bookmarkEnd w:id="123"/>
    </w:p>
    <w:p w14:paraId="63165A74" w14:textId="1988F80D" w:rsidR="372FEFCB" w:rsidRDefault="372FEFCB" w:rsidP="00453F14">
      <w:pPr>
        <w:pStyle w:val="Heading4"/>
        <w:numPr>
          <w:ilvl w:val="2"/>
          <w:numId w:val="17"/>
        </w:numPr>
        <w:rPr>
          <w:bCs/>
        </w:rPr>
      </w:pPr>
      <w:r w:rsidRPr="00CA40E2">
        <w:t>Comments</w:t>
      </w:r>
    </w:p>
    <w:p w14:paraId="36AF6238" w14:textId="423F3BC6" w:rsidR="6C95303B" w:rsidRDefault="002147CB" w:rsidP="00AA2116">
      <w:r>
        <w:t>FirstEnergy</w:t>
      </w:r>
      <w:r w:rsidR="6C95303B" w:rsidRPr="6C95303B">
        <w:t xml:space="preserve"> recommends inserting a vinculum symbol in the default values for production capacity</w:t>
      </w:r>
      <w:r w:rsidR="00050966">
        <w:t xml:space="preserve"> and notes an error in the units for default energy savings</w:t>
      </w:r>
      <w:r w:rsidR="6C95303B" w:rsidRPr="6C95303B">
        <w:t xml:space="preserve">.  </w:t>
      </w:r>
      <w:r>
        <w:t>FirstEnergy</w:t>
      </w:r>
      <w:r w:rsidR="6C95303B" w:rsidRPr="6C95303B">
        <w:t xml:space="preserve"> Comments at 13.  </w:t>
      </w:r>
    </w:p>
    <w:p w14:paraId="54025C61" w14:textId="74831A57" w:rsidR="372FEFCB" w:rsidRPr="0058230D" w:rsidRDefault="372FEFCB" w:rsidP="00453F14">
      <w:pPr>
        <w:pStyle w:val="ListParagraph"/>
        <w:numPr>
          <w:ilvl w:val="2"/>
          <w:numId w:val="27"/>
        </w:numPr>
        <w:rPr>
          <w:b/>
          <w:bCs/>
        </w:rPr>
      </w:pPr>
      <w:r w:rsidRPr="0058230D">
        <w:rPr>
          <w:b/>
          <w:bCs/>
        </w:rPr>
        <w:t>Disposition</w:t>
      </w:r>
    </w:p>
    <w:p w14:paraId="10E8E6D5" w14:textId="38940BA6" w:rsidR="6C95303B" w:rsidRDefault="6C95303B" w:rsidP="00AA2116">
      <w:r w:rsidRPr="6C95303B">
        <w:t xml:space="preserve">The Commission rejects </w:t>
      </w:r>
      <w:r w:rsidR="00050966">
        <w:t>FirstEnergy’s</w:t>
      </w:r>
      <w:r w:rsidRPr="6C95303B">
        <w:t xml:space="preserve"> recommendation </w:t>
      </w:r>
      <w:r w:rsidR="00050966">
        <w:t>to insert a</w:t>
      </w:r>
      <w:r w:rsidRPr="6C95303B">
        <w:t xml:space="preserve"> vinculum symbol in the default values for production capacity.</w:t>
      </w:r>
      <w:r w:rsidR="00C55D78">
        <w:t xml:space="preserve">  </w:t>
      </w:r>
      <w:r w:rsidR="00050966">
        <w:t xml:space="preserve">However, we agree with FirstEnergy and </w:t>
      </w:r>
      <w:r w:rsidRPr="6C95303B">
        <w:t xml:space="preserve">corrected the error in the units for the default energy savings.  </w:t>
      </w:r>
    </w:p>
    <w:p w14:paraId="29494CA9" w14:textId="72DA75F9" w:rsidR="6C95303B" w:rsidRDefault="6C95303B" w:rsidP="00AA2116"/>
    <w:p w14:paraId="08FE150F" w14:textId="2570B2AA" w:rsidR="6C95303B" w:rsidRDefault="6C95303B" w:rsidP="00453F14">
      <w:pPr>
        <w:pStyle w:val="Heading3"/>
        <w:numPr>
          <w:ilvl w:val="1"/>
          <w:numId w:val="28"/>
        </w:numPr>
      </w:pPr>
      <w:bookmarkStart w:id="124" w:name="_Toc15657917"/>
      <w:r w:rsidRPr="524F78EB">
        <w:lastRenderedPageBreak/>
        <w:t xml:space="preserve">Section 3.10.5 – </w:t>
      </w:r>
      <w:r w:rsidRPr="00CA40E2">
        <w:t>Variable</w:t>
      </w:r>
      <w:r w:rsidRPr="55119DC7">
        <w:t xml:space="preserve"> Speed Drive Air Compressor</w:t>
      </w:r>
      <w:bookmarkEnd w:id="124"/>
    </w:p>
    <w:p w14:paraId="0A3EF984" w14:textId="1988F80D" w:rsidR="1784FE15" w:rsidRDefault="1784FE15" w:rsidP="00453F14">
      <w:pPr>
        <w:pStyle w:val="Heading4"/>
        <w:numPr>
          <w:ilvl w:val="2"/>
          <w:numId w:val="28"/>
        </w:numPr>
        <w:rPr>
          <w:bCs/>
        </w:rPr>
      </w:pPr>
      <w:r w:rsidRPr="00CA40E2">
        <w:t>Comments</w:t>
      </w:r>
    </w:p>
    <w:p w14:paraId="22BDFBF5" w14:textId="3E37D8BC" w:rsidR="6C95303B" w:rsidRDefault="002147CB" w:rsidP="00AA2116">
      <w:r>
        <w:t>FirstEnergy</w:t>
      </w:r>
      <w:r w:rsidR="6C95303B" w:rsidRPr="6C95303B">
        <w:t xml:space="preserve"> suggests that the useful measure life should be 13 years based on </w:t>
      </w:r>
      <w:r w:rsidR="00C55D78">
        <w:t xml:space="preserve">the </w:t>
      </w:r>
      <w:r w:rsidR="00513BE8">
        <w:rPr>
          <w:szCs w:val="26"/>
        </w:rPr>
        <w:t>source cited for the measure life (Illinois TRM v7.0).</w:t>
      </w:r>
      <w:r w:rsidR="00513BE8" w:rsidRPr="6C95303B">
        <w:rPr>
          <w:szCs w:val="26"/>
        </w:rPr>
        <w:t xml:space="preserve">  </w:t>
      </w:r>
      <w:r>
        <w:t>FirstEnergy</w:t>
      </w:r>
      <w:r w:rsidR="6C95303B" w:rsidRPr="6C95303B">
        <w:t xml:space="preserve"> Comments at 14. </w:t>
      </w:r>
      <w:r w:rsidR="00A23F68">
        <w:t xml:space="preserve"> </w:t>
      </w:r>
      <w:r w:rsidR="6C95303B" w:rsidRPr="6C95303B">
        <w:t xml:space="preserve"> Franklin Energy comments that the default baseline compressor factor characterization may not be </w:t>
      </w:r>
      <w:r w:rsidR="6C95303B" w:rsidRPr="00C7516C">
        <w:t xml:space="preserve">representative and </w:t>
      </w:r>
      <w:r w:rsidR="00C7516C">
        <w:t xml:space="preserve">may be </w:t>
      </w:r>
      <w:r w:rsidR="6C95303B" w:rsidRPr="00C7516C">
        <w:t>too aggressive.</w:t>
      </w:r>
      <w:r w:rsidR="6C95303B" w:rsidRPr="6C95303B">
        <w:t xml:space="preserve">  Franklin Energy </w:t>
      </w:r>
      <w:r w:rsidR="00C55D78">
        <w:t xml:space="preserve">Comments </w:t>
      </w:r>
      <w:r w:rsidR="6C95303B" w:rsidRPr="6C95303B">
        <w:t>at 497.</w:t>
      </w:r>
    </w:p>
    <w:p w14:paraId="4B336FD5" w14:textId="6673A79F" w:rsidR="6C95303B" w:rsidRDefault="6C95303B" w:rsidP="00AA2116"/>
    <w:p w14:paraId="18094FB5" w14:textId="1643AC74" w:rsidR="1784FE15" w:rsidRDefault="1784FE15" w:rsidP="00453F14">
      <w:pPr>
        <w:pStyle w:val="Heading4"/>
        <w:numPr>
          <w:ilvl w:val="2"/>
          <w:numId w:val="27"/>
        </w:numPr>
        <w:rPr>
          <w:bCs/>
        </w:rPr>
      </w:pPr>
      <w:r w:rsidRPr="1784FE15">
        <w:t>Disposition</w:t>
      </w:r>
    </w:p>
    <w:p w14:paraId="7A3F9C33" w14:textId="5FA7ED33" w:rsidR="6C95303B" w:rsidRDefault="6C95303B" w:rsidP="00A23F68">
      <w:r w:rsidRPr="6C95303B">
        <w:t xml:space="preserve">The Commission </w:t>
      </w:r>
      <w:r w:rsidR="00F10D76">
        <w:t xml:space="preserve">agrees with </w:t>
      </w:r>
      <w:r w:rsidRPr="6C95303B">
        <w:t xml:space="preserve">the </w:t>
      </w:r>
      <w:r w:rsidR="002147CB">
        <w:t>FirstEnergy</w:t>
      </w:r>
      <w:r w:rsidRPr="6C95303B">
        <w:t xml:space="preserve"> suggestion </w:t>
      </w:r>
      <w:r w:rsidR="00F10D76">
        <w:t xml:space="preserve">that the </w:t>
      </w:r>
      <w:r w:rsidR="009055C9">
        <w:t xml:space="preserve">measure life </w:t>
      </w:r>
      <w:r w:rsidR="00041CAA">
        <w:rPr>
          <w:szCs w:val="26"/>
        </w:rPr>
        <w:t>of the variable speed drive air compressor</w:t>
      </w:r>
      <w:r w:rsidR="00041CAA">
        <w:t xml:space="preserve"> </w:t>
      </w:r>
      <w:r w:rsidR="009055C9">
        <w:t xml:space="preserve">should </w:t>
      </w:r>
      <w:r w:rsidR="008B6ACA">
        <w:t xml:space="preserve">be </w:t>
      </w:r>
      <w:r w:rsidR="009055C9">
        <w:t>13 years based on the Illinois TRM</w:t>
      </w:r>
      <w:r w:rsidR="00D8353B">
        <w:t xml:space="preserve"> and </w:t>
      </w:r>
      <w:r w:rsidR="00B9088D">
        <w:t>has made t</w:t>
      </w:r>
      <w:r w:rsidR="0048654D">
        <w:t xml:space="preserve">he </w:t>
      </w:r>
      <w:r w:rsidR="00B60667">
        <w:t>appropriate changes.</w:t>
      </w:r>
      <w:r w:rsidR="00A23F68">
        <w:t xml:space="preserve">  </w:t>
      </w:r>
      <w:r w:rsidR="00E153B4">
        <w:t>However, we disagree</w:t>
      </w:r>
      <w:r w:rsidRPr="6C95303B">
        <w:t xml:space="preserve"> </w:t>
      </w:r>
      <w:r w:rsidR="00D8353B">
        <w:t xml:space="preserve">with Franklin Energy’s opinion </w:t>
      </w:r>
      <w:r w:rsidRPr="6C95303B">
        <w:t xml:space="preserve">that a change to the default value of the baseline compressor factor is necessary.  While </w:t>
      </w:r>
      <w:r w:rsidR="00D8353B">
        <w:t xml:space="preserve">the </w:t>
      </w:r>
      <w:r w:rsidRPr="6C95303B">
        <w:t xml:space="preserve">comment has merit, there is not sufficient data to support an alternate point estimate condition.  The measure eligibility is established at a low horsepower threshold, where compressor controls are less prevalent.  The primary source of the baseline compressor factor should be site-specific conditions, as available, and the default value should represent the unknown baseline conditions only.  </w:t>
      </w:r>
    </w:p>
    <w:p w14:paraId="457B12E0" w14:textId="77777777" w:rsidR="00F6397D" w:rsidRDefault="00F6397D" w:rsidP="00AA2116"/>
    <w:p w14:paraId="3B87884D" w14:textId="6FDF0290" w:rsidR="6C95303B" w:rsidRDefault="6C95303B" w:rsidP="00453F14">
      <w:pPr>
        <w:pStyle w:val="Heading3"/>
        <w:numPr>
          <w:ilvl w:val="1"/>
          <w:numId w:val="29"/>
        </w:numPr>
      </w:pPr>
      <w:bookmarkStart w:id="125" w:name="_Toc15657918"/>
      <w:r w:rsidRPr="524F78EB">
        <w:t xml:space="preserve">Section 3.10.6 – Compressed Air </w:t>
      </w:r>
      <w:r w:rsidRPr="002D05AA">
        <w:rPr>
          <w:bCs/>
        </w:rPr>
        <w:t>Controller</w:t>
      </w:r>
      <w:bookmarkEnd w:id="125"/>
    </w:p>
    <w:p w14:paraId="15BBAEBD" w14:textId="1988F80D" w:rsidR="3AAC877C" w:rsidRDefault="3AAC877C" w:rsidP="00453F14">
      <w:pPr>
        <w:pStyle w:val="Heading4"/>
        <w:numPr>
          <w:ilvl w:val="2"/>
          <w:numId w:val="29"/>
        </w:numPr>
        <w:rPr>
          <w:bCs/>
        </w:rPr>
      </w:pPr>
      <w:r w:rsidRPr="3AAC877C">
        <w:t>Comments</w:t>
      </w:r>
    </w:p>
    <w:p w14:paraId="09DBB614" w14:textId="5C30F374" w:rsidR="6C95303B" w:rsidRDefault="002147CB" w:rsidP="00AA2116">
      <w:r>
        <w:t>FirstEnergy</w:t>
      </w:r>
      <w:r w:rsidR="6C95303B" w:rsidRPr="6C95303B">
        <w:t xml:space="preserve"> and Franklin Energy suggest clarification that </w:t>
      </w:r>
      <w:r w:rsidR="0045132F">
        <w:t xml:space="preserve">VFDs </w:t>
      </w:r>
      <w:r w:rsidR="6C95303B" w:rsidRPr="6C95303B">
        <w:t>are not included with this measure</w:t>
      </w:r>
      <w:r w:rsidR="0082760A">
        <w:t xml:space="preserve">.  </w:t>
      </w:r>
      <w:r w:rsidR="6C95303B" w:rsidRPr="6C95303B">
        <w:t>Franklin Energy comments that the measure eligibility should require a minimum storage capacity</w:t>
      </w:r>
      <w:r w:rsidR="00D66DE8">
        <w:t xml:space="preserve"> and </w:t>
      </w:r>
      <w:r w:rsidR="00D66DE8" w:rsidRPr="6C95303B">
        <w:t>that the default compressor load factor should match factors in other compressor air measures</w:t>
      </w:r>
      <w:r w:rsidR="6C95303B" w:rsidRPr="6C95303B">
        <w:t xml:space="preserve">.  </w:t>
      </w:r>
      <w:r w:rsidR="009E671A">
        <w:t xml:space="preserve">Furthermore, </w:t>
      </w:r>
      <w:r w:rsidR="009E671A" w:rsidRPr="6C95303B">
        <w:t xml:space="preserve">Franklin Energy </w:t>
      </w:r>
      <w:r w:rsidR="001808BA">
        <w:t>opines</w:t>
      </w:r>
      <w:r w:rsidR="009E671A" w:rsidRPr="6C95303B">
        <w:t xml:space="preserve"> that the default motor efficiency may be overstated for some conditions</w:t>
      </w:r>
      <w:r w:rsidR="00351ECB">
        <w:t xml:space="preserve">.  </w:t>
      </w:r>
      <w:r w:rsidR="00A23F68">
        <w:t>FirstEnergy</w:t>
      </w:r>
      <w:r w:rsidR="00A23F68" w:rsidRPr="6C95303B">
        <w:t xml:space="preserve"> Comments at 14</w:t>
      </w:r>
      <w:r w:rsidR="00A23F68">
        <w:t xml:space="preserve">, </w:t>
      </w:r>
      <w:r w:rsidR="6C95303B" w:rsidRPr="6C95303B">
        <w:t>Franklin Energy Comments at 499</w:t>
      </w:r>
      <w:r w:rsidR="00D66DE8">
        <w:t>, 500</w:t>
      </w:r>
      <w:r w:rsidR="6C95303B" w:rsidRPr="6C95303B">
        <w:t>.</w:t>
      </w:r>
    </w:p>
    <w:p w14:paraId="52090312" w14:textId="1040D9CB" w:rsidR="6C95303B" w:rsidRDefault="6C95303B" w:rsidP="00AA2116"/>
    <w:p w14:paraId="2B283395" w14:textId="1643AC74" w:rsidR="3AAC877C" w:rsidRDefault="3AAC877C" w:rsidP="00453F14">
      <w:pPr>
        <w:pStyle w:val="Heading4"/>
        <w:numPr>
          <w:ilvl w:val="2"/>
          <w:numId w:val="30"/>
        </w:numPr>
        <w:rPr>
          <w:bCs/>
        </w:rPr>
      </w:pPr>
      <w:r w:rsidRPr="3AAC877C">
        <w:t>Disposition</w:t>
      </w:r>
    </w:p>
    <w:p w14:paraId="44B9C636" w14:textId="67A1459E" w:rsidR="6C95303B" w:rsidRDefault="6C95303B" w:rsidP="00AA2116">
      <w:r w:rsidRPr="6C95303B">
        <w:t>The Commission agrees with suggestion</w:t>
      </w:r>
      <w:r w:rsidR="00EF6709">
        <w:t>s</w:t>
      </w:r>
      <w:r w:rsidRPr="6C95303B">
        <w:t xml:space="preserve"> from </w:t>
      </w:r>
      <w:r w:rsidR="002147CB">
        <w:t>FirstEnergy</w:t>
      </w:r>
      <w:r w:rsidRPr="6C95303B">
        <w:t xml:space="preserve"> and Franklin Energy and </w:t>
      </w:r>
      <w:r w:rsidR="005A143B">
        <w:t>has added</w:t>
      </w:r>
      <w:r w:rsidRPr="00C7516C">
        <w:t xml:space="preserve"> clarification</w:t>
      </w:r>
      <w:r w:rsidRPr="6C95303B">
        <w:t xml:space="preserve"> to eliminate the reference to </w:t>
      </w:r>
      <w:r w:rsidR="00362443">
        <w:t>VFDs</w:t>
      </w:r>
      <w:r w:rsidRPr="6C95303B">
        <w:t xml:space="preserve"> for this measure.</w:t>
      </w:r>
      <w:r w:rsidR="00A23F68">
        <w:t xml:space="preserve">  </w:t>
      </w:r>
      <w:r w:rsidR="00E569A9">
        <w:t>We also</w:t>
      </w:r>
      <w:r w:rsidRPr="6C95303B">
        <w:t xml:space="preserve"> </w:t>
      </w:r>
      <w:r w:rsidRPr="6C95303B">
        <w:lastRenderedPageBreak/>
        <w:t>agree with</w:t>
      </w:r>
      <w:r w:rsidR="00AB31DC">
        <w:t xml:space="preserve"> </w:t>
      </w:r>
      <w:r w:rsidRPr="6C95303B">
        <w:t>Franklin Energy</w:t>
      </w:r>
      <w:r w:rsidR="008E40C0">
        <w:t>’s</w:t>
      </w:r>
      <w:r w:rsidRPr="6C95303B">
        <w:t xml:space="preserve"> suggestion to add a minimum storage requirement</w:t>
      </w:r>
      <w:r w:rsidR="000C4A6C">
        <w:t xml:space="preserve"> </w:t>
      </w:r>
      <w:r w:rsidR="00071C64">
        <w:t>and ha</w:t>
      </w:r>
      <w:r w:rsidR="00AB31DC">
        <w:t>ve</w:t>
      </w:r>
      <w:r w:rsidR="00071C64">
        <w:t xml:space="preserve"> incorporated a minimum value of</w:t>
      </w:r>
      <w:r w:rsidR="000C4A6C">
        <w:t xml:space="preserve"> </w:t>
      </w:r>
      <w:r w:rsidR="00D96678">
        <w:t>three</w:t>
      </w:r>
      <w:r w:rsidR="000C4A6C">
        <w:t xml:space="preserve"> gallons per CFM based on engineering judgement and industry experience</w:t>
      </w:r>
      <w:r w:rsidRPr="6C95303B">
        <w:t>.</w:t>
      </w:r>
      <w:r w:rsidR="00AB31DC">
        <w:t xml:space="preserve">  However, we di</w:t>
      </w:r>
      <w:r w:rsidR="00CC34EF">
        <w:t>sa</w:t>
      </w:r>
      <w:r w:rsidR="00F3433B">
        <w:t>gree with Franklin Energy</w:t>
      </w:r>
      <w:r w:rsidR="00E35358">
        <w:t>’s recommendation</w:t>
      </w:r>
      <w:r w:rsidR="003C4F12">
        <w:t xml:space="preserve"> </w:t>
      </w:r>
      <w:r w:rsidR="003C4F12" w:rsidRPr="6C95303B">
        <w:t xml:space="preserve">that </w:t>
      </w:r>
      <w:r w:rsidR="00E35358">
        <w:t>changes</w:t>
      </w:r>
      <w:r w:rsidR="003C4F12" w:rsidRPr="6C95303B">
        <w:t xml:space="preserve"> to the default compressor load factor </w:t>
      </w:r>
      <w:r w:rsidR="00F843D5">
        <w:t xml:space="preserve">and </w:t>
      </w:r>
      <w:r w:rsidR="005C25FD">
        <w:t xml:space="preserve">the </w:t>
      </w:r>
      <w:r w:rsidR="00F843D5" w:rsidRPr="6C95303B">
        <w:t xml:space="preserve">value of the baseline compressor motor efficiency </w:t>
      </w:r>
      <w:r w:rsidR="009C3571">
        <w:t>are</w:t>
      </w:r>
      <w:r w:rsidR="003C4F12" w:rsidRPr="6C95303B">
        <w:t xml:space="preserve"> necessary for this measure.  This measure utilizes the same default compressor load factor of 0.92 for other compressed air measures</w:t>
      </w:r>
      <w:r w:rsidR="005C25FD">
        <w:t xml:space="preserve"> and </w:t>
      </w:r>
      <w:r w:rsidR="005C25FD" w:rsidRPr="6C95303B">
        <w:t>is to be applied to existing motors and an efficiency below current manufacturing standards may be possible.  The primary source of the baseline compressor factor should be site-specific conditions, as available, and the default value should</w:t>
      </w:r>
      <w:r w:rsidR="005C25FD">
        <w:t xml:space="preserve"> only</w:t>
      </w:r>
      <w:r w:rsidR="005C25FD" w:rsidRPr="6C95303B">
        <w:t xml:space="preserve"> represent the unknown baseline conditions.</w:t>
      </w:r>
    </w:p>
    <w:p w14:paraId="438C723A" w14:textId="4ED50A48" w:rsidR="6C95303B" w:rsidRDefault="6C95303B" w:rsidP="00AA2116"/>
    <w:p w14:paraId="499F871A" w14:textId="1DA94F93" w:rsidR="6C95303B" w:rsidRDefault="6C95303B" w:rsidP="00453F14">
      <w:pPr>
        <w:pStyle w:val="Heading3"/>
        <w:numPr>
          <w:ilvl w:val="1"/>
          <w:numId w:val="31"/>
        </w:numPr>
      </w:pPr>
      <w:bookmarkStart w:id="126" w:name="_Ref14702699"/>
      <w:bookmarkStart w:id="127" w:name="_Toc15657919"/>
      <w:r w:rsidRPr="524F78EB">
        <w:t xml:space="preserve">Section 3.10.7 – </w:t>
      </w:r>
      <w:r w:rsidRPr="55119DC7">
        <w:t>Compressed Air Low Pressure Drop Filters</w:t>
      </w:r>
      <w:bookmarkEnd w:id="126"/>
      <w:bookmarkEnd w:id="127"/>
    </w:p>
    <w:p w14:paraId="295C6D9E" w14:textId="1988F80D" w:rsidR="1EAA9381" w:rsidRDefault="1EAA9381" w:rsidP="00453F14">
      <w:pPr>
        <w:pStyle w:val="Heading4"/>
        <w:numPr>
          <w:ilvl w:val="2"/>
          <w:numId w:val="32"/>
        </w:numPr>
        <w:rPr>
          <w:bCs/>
        </w:rPr>
      </w:pPr>
      <w:r w:rsidRPr="1EAA9381">
        <w:t>Comments</w:t>
      </w:r>
    </w:p>
    <w:p w14:paraId="7657458B" w14:textId="6FE747A7" w:rsidR="6C95303B" w:rsidRDefault="6C95303B" w:rsidP="00AA2116">
      <w:r w:rsidRPr="6C95303B">
        <w:t>Franklin Energy comments that the measure algorithm should include a load factor in the algorithm.  Franklin Energy Comments at 502.</w:t>
      </w:r>
    </w:p>
    <w:p w14:paraId="7FD1F804" w14:textId="13087433" w:rsidR="6C95303B" w:rsidRDefault="6C95303B" w:rsidP="00AA2116"/>
    <w:p w14:paraId="06E522E6" w14:textId="1643AC74" w:rsidR="1EAA9381" w:rsidRDefault="1EAA9381" w:rsidP="00453F14">
      <w:pPr>
        <w:pStyle w:val="Heading4"/>
        <w:numPr>
          <w:ilvl w:val="2"/>
          <w:numId w:val="32"/>
        </w:numPr>
        <w:rPr>
          <w:bCs/>
        </w:rPr>
      </w:pPr>
      <w:r w:rsidRPr="1EAA9381">
        <w:t>Disposition</w:t>
      </w:r>
    </w:p>
    <w:p w14:paraId="5D8E7D20" w14:textId="03C10D32" w:rsidR="6C95303B" w:rsidRDefault="6C95303B" w:rsidP="00AA2116">
      <w:r w:rsidRPr="6C95303B">
        <w:t>The Commission agrees with Franklin Energy</w:t>
      </w:r>
      <w:r w:rsidR="002E645D">
        <w:t>’s</w:t>
      </w:r>
      <w:r w:rsidRPr="6C95303B">
        <w:t xml:space="preserve"> suggestion to add a system load factor</w:t>
      </w:r>
      <w:r w:rsidR="00463806">
        <w:t xml:space="preserve"> for consistency with other compressed air measures.  </w:t>
      </w:r>
      <w:r w:rsidR="000533DB">
        <w:t xml:space="preserve">A </w:t>
      </w:r>
      <w:r w:rsidR="00463806">
        <w:t xml:space="preserve">load factor </w:t>
      </w:r>
      <w:r w:rsidR="000533DB">
        <w:t xml:space="preserve">of 0.92 </w:t>
      </w:r>
      <w:r w:rsidR="000B49C6">
        <w:rPr>
          <w:szCs w:val="26"/>
        </w:rPr>
        <w:t>has been added to the algorithm.  This load factor is</w:t>
      </w:r>
      <w:r w:rsidR="00463806">
        <w:t xml:space="preserve"> based on a load factor study on motors, including compressed air applications, </w:t>
      </w:r>
      <w:r w:rsidR="00BF56E5">
        <w:rPr>
          <w:szCs w:val="26"/>
        </w:rPr>
        <w:t xml:space="preserve">completed by Cascade Energy </w:t>
      </w:r>
      <w:r w:rsidR="00463806">
        <w:t xml:space="preserve">for the </w:t>
      </w:r>
      <w:r w:rsidR="00832C5C">
        <w:t>Regional Technical Forum (</w:t>
      </w:r>
      <w:r w:rsidR="001F363C">
        <w:t>RTF</w:t>
      </w:r>
      <w:r w:rsidR="00832C5C">
        <w:t>)</w:t>
      </w:r>
      <w:r w:rsidR="00463806">
        <w:t>.</w:t>
      </w:r>
      <w:r w:rsidR="000A51F4">
        <w:rPr>
          <w:rStyle w:val="FootnoteReference"/>
        </w:rPr>
        <w:footnoteReference w:id="20"/>
      </w:r>
    </w:p>
    <w:p w14:paraId="3FFC7AD3" w14:textId="4ED74AE5" w:rsidR="6C95303B" w:rsidRDefault="6C95303B" w:rsidP="00AA2116"/>
    <w:p w14:paraId="58D8DB0D" w14:textId="5B7BB0E5" w:rsidR="6C95303B" w:rsidRDefault="6C95303B" w:rsidP="00453F14">
      <w:pPr>
        <w:pStyle w:val="Heading3"/>
        <w:numPr>
          <w:ilvl w:val="1"/>
          <w:numId w:val="32"/>
        </w:numPr>
      </w:pPr>
      <w:bookmarkStart w:id="128" w:name="_Toc15657920"/>
      <w:r w:rsidRPr="524F78EB">
        <w:t xml:space="preserve">Section 3.10.8 – </w:t>
      </w:r>
      <w:r w:rsidRPr="55119DC7">
        <w:t>Compressed Air Mist Eliminators</w:t>
      </w:r>
      <w:bookmarkEnd w:id="128"/>
    </w:p>
    <w:p w14:paraId="720B2863" w14:textId="1988F80D" w:rsidR="1EAA9381" w:rsidRDefault="1EAA9381" w:rsidP="00453F14">
      <w:pPr>
        <w:pStyle w:val="Heading4"/>
        <w:numPr>
          <w:ilvl w:val="2"/>
          <w:numId w:val="32"/>
        </w:numPr>
        <w:rPr>
          <w:bCs/>
        </w:rPr>
      </w:pPr>
      <w:r w:rsidRPr="1EAA9381">
        <w:t>Comments</w:t>
      </w:r>
    </w:p>
    <w:p w14:paraId="5362F181" w14:textId="3A666122" w:rsidR="6C95303B" w:rsidRDefault="6C95303B" w:rsidP="00AA2116">
      <w:r w:rsidRPr="6C95303B">
        <w:t xml:space="preserve">PECO comments that the measure eligibility should be limited to 40 HP for consistency with other compressed air measure eligibility thresholds.  PECO Comments </w:t>
      </w:r>
      <w:r w:rsidRPr="6C95303B">
        <w:lastRenderedPageBreak/>
        <w:t>at 14.</w:t>
      </w:r>
      <w:r w:rsidR="00A23F68">
        <w:t xml:space="preserve">  </w:t>
      </w:r>
      <w:r w:rsidRPr="6C95303B">
        <w:t>Franklin Energy comments that the default compressor load factor is too low</w:t>
      </w:r>
      <w:r w:rsidR="0082760A">
        <w:t xml:space="preserve">.  </w:t>
      </w:r>
      <w:r w:rsidRPr="6C95303B">
        <w:t>Franklin Energy Comments at 506.</w:t>
      </w:r>
    </w:p>
    <w:p w14:paraId="2EFAFC72" w14:textId="13087433" w:rsidR="6C95303B" w:rsidRDefault="6C95303B" w:rsidP="00AA2116"/>
    <w:p w14:paraId="26B065AB" w14:textId="1643AC74" w:rsidR="7573D1BF" w:rsidRDefault="7573D1BF" w:rsidP="00453F14">
      <w:pPr>
        <w:pStyle w:val="Heading4"/>
        <w:numPr>
          <w:ilvl w:val="3"/>
          <w:numId w:val="33"/>
        </w:numPr>
        <w:rPr>
          <w:bCs/>
        </w:rPr>
      </w:pPr>
      <w:r w:rsidRPr="7573D1BF">
        <w:t>Disposition</w:t>
      </w:r>
    </w:p>
    <w:p w14:paraId="2CA99D3B" w14:textId="2F794636" w:rsidR="6C95303B" w:rsidRDefault="6C95303B" w:rsidP="00AA2116">
      <w:r w:rsidRPr="6C95303B">
        <w:t>The Commission agrees with PECO</w:t>
      </w:r>
      <w:r w:rsidR="006F513E">
        <w:t>’s</w:t>
      </w:r>
      <w:r w:rsidRPr="6C95303B">
        <w:t xml:space="preserve"> suggestion to align the system threshold horsepower with other compressed air measures</w:t>
      </w:r>
      <w:r w:rsidR="006F513E">
        <w:t xml:space="preserve"> and has made changes accordingly</w:t>
      </w:r>
      <w:r w:rsidRPr="6C95303B">
        <w:t>.</w:t>
      </w:r>
      <w:r w:rsidR="00A23F68">
        <w:t xml:space="preserve">  </w:t>
      </w:r>
      <w:r>
        <w:t xml:space="preserve">The Commission disagrees </w:t>
      </w:r>
      <w:r w:rsidR="006F513E">
        <w:t xml:space="preserve">with Franklin Energy’s opinion </w:t>
      </w:r>
      <w:r>
        <w:t>that a change to the default compressor load factor is necessary for this measure.  This measure utilizes the same default compressor load factor of 0.92 for other compressed air measures.</w:t>
      </w:r>
    </w:p>
    <w:p w14:paraId="031C882E" w14:textId="77777777" w:rsidR="00921481" w:rsidRDefault="00921481" w:rsidP="00AA2116"/>
    <w:p w14:paraId="2E830A3B" w14:textId="4090AFD6" w:rsidR="6C95303B" w:rsidRDefault="6C95303B" w:rsidP="00453F14">
      <w:pPr>
        <w:pStyle w:val="Heading3"/>
        <w:numPr>
          <w:ilvl w:val="2"/>
          <w:numId w:val="34"/>
        </w:numPr>
      </w:pPr>
      <w:bookmarkStart w:id="129" w:name="_Toc15657921"/>
      <w:r w:rsidRPr="33AF9F3C">
        <w:t>Section 3.11.1 – High Efficiency Transformers</w:t>
      </w:r>
      <w:bookmarkEnd w:id="129"/>
    </w:p>
    <w:p w14:paraId="7C82324C" w14:textId="1988F80D" w:rsidR="7573D1BF" w:rsidRDefault="7573D1BF" w:rsidP="00453F14">
      <w:pPr>
        <w:pStyle w:val="Heading4"/>
        <w:numPr>
          <w:ilvl w:val="3"/>
          <w:numId w:val="34"/>
        </w:numPr>
        <w:rPr>
          <w:bCs/>
        </w:rPr>
      </w:pPr>
      <w:r w:rsidRPr="7573D1BF">
        <w:t>Comments</w:t>
      </w:r>
    </w:p>
    <w:p w14:paraId="413F9BF8" w14:textId="71165974" w:rsidR="6C95303B" w:rsidRDefault="002147CB" w:rsidP="00AA2116">
      <w:r>
        <w:t>FirstEnergy</w:t>
      </w:r>
      <w:r w:rsidR="6C95303B" w:rsidRPr="6C95303B">
        <w:t xml:space="preserve"> comment</w:t>
      </w:r>
      <w:r w:rsidR="00407793">
        <w:t>s</w:t>
      </w:r>
      <w:r w:rsidR="6C95303B" w:rsidRPr="6C95303B">
        <w:t xml:space="preserve"> on several typographical issues in the measure description and source numbering</w:t>
      </w:r>
      <w:r w:rsidR="00847F16">
        <w:t>.</w:t>
      </w:r>
      <w:r w:rsidR="00AC0FB7">
        <w:t xml:space="preserve">  </w:t>
      </w:r>
      <w:r w:rsidR="00AC0FB7" w:rsidRPr="6C95303B">
        <w:t xml:space="preserve">Franklin Energy </w:t>
      </w:r>
      <w:r w:rsidR="008A25DF">
        <w:t>suggests</w:t>
      </w:r>
      <w:r w:rsidR="00AC0FB7" w:rsidRPr="6C95303B">
        <w:t xml:space="preserve"> that several eligibility requirements should be updated to align with the Illinois Technical Reference Manual</w:t>
      </w:r>
      <w:r w:rsidR="6C95303B" w:rsidRPr="6C95303B">
        <w:t xml:space="preserve">.  </w:t>
      </w:r>
      <w:r>
        <w:t>FirstEnergy</w:t>
      </w:r>
      <w:r w:rsidR="6C95303B" w:rsidRPr="6C95303B">
        <w:t xml:space="preserve"> Comments at 14</w:t>
      </w:r>
      <w:r w:rsidR="008A25DF">
        <w:t xml:space="preserve">, </w:t>
      </w:r>
      <w:r w:rsidR="008A25DF" w:rsidRPr="6C95303B">
        <w:t xml:space="preserve">Franklin Energy </w:t>
      </w:r>
      <w:r w:rsidR="008A25DF">
        <w:t>C</w:t>
      </w:r>
      <w:r w:rsidR="008A25DF" w:rsidRPr="6C95303B">
        <w:t>omments at 508.</w:t>
      </w:r>
    </w:p>
    <w:p w14:paraId="728D6895" w14:textId="13087433" w:rsidR="6C95303B" w:rsidRDefault="6C95303B" w:rsidP="00AA2116"/>
    <w:p w14:paraId="6237177F" w14:textId="1643AC74" w:rsidR="1133095B" w:rsidRDefault="1133095B" w:rsidP="00453F14">
      <w:pPr>
        <w:pStyle w:val="Heading4"/>
        <w:numPr>
          <w:ilvl w:val="3"/>
          <w:numId w:val="35"/>
        </w:numPr>
        <w:rPr>
          <w:bCs/>
        </w:rPr>
      </w:pPr>
      <w:r w:rsidRPr="1133095B">
        <w:t>Disposition</w:t>
      </w:r>
    </w:p>
    <w:p w14:paraId="6C42CFD5" w14:textId="3C39BC0A" w:rsidR="6C95303B" w:rsidRDefault="6C95303B" w:rsidP="00AA2116">
      <w:r w:rsidRPr="0008064A">
        <w:t>The Commission agrees</w:t>
      </w:r>
      <w:r w:rsidR="005F496B">
        <w:t xml:space="preserve"> with First Energy’s recommendation</w:t>
      </w:r>
      <w:r w:rsidRPr="0008064A">
        <w:t xml:space="preserve"> that typographical issues should be corrected</w:t>
      </w:r>
      <w:r w:rsidR="005D0BC8">
        <w:t xml:space="preserve"> and has made appropriate corrections</w:t>
      </w:r>
      <w:r w:rsidR="00D13B92">
        <w:t>.</w:t>
      </w:r>
      <w:r w:rsidR="00A23F68">
        <w:t xml:space="preserve">  </w:t>
      </w:r>
      <w:r w:rsidR="005D0BC8">
        <w:t xml:space="preserve">However, we disagree with Franklin Energy’s </w:t>
      </w:r>
      <w:r w:rsidR="00BC51C2">
        <w:t>recommendation</w:t>
      </w:r>
      <w:r w:rsidRPr="000E0C0A">
        <w:t xml:space="preserve"> that the </w:t>
      </w:r>
      <w:r w:rsidR="00665B92" w:rsidRPr="000E0C0A">
        <w:t xml:space="preserve">scope of the </w:t>
      </w:r>
      <w:r w:rsidRPr="000E0C0A">
        <w:t xml:space="preserve">Pennsylvania </w:t>
      </w:r>
      <w:r w:rsidR="0054459A">
        <w:t>TRM</w:t>
      </w:r>
      <w:r w:rsidRPr="000E0C0A">
        <w:t xml:space="preserve"> should </w:t>
      </w:r>
      <w:r w:rsidR="00665B92" w:rsidRPr="000E0C0A">
        <w:t xml:space="preserve">be expanded </w:t>
      </w:r>
      <w:r w:rsidR="0068723F" w:rsidRPr="000E0C0A">
        <w:t xml:space="preserve">to </w:t>
      </w:r>
      <w:r w:rsidR="003840F0" w:rsidRPr="000E0C0A">
        <w:t xml:space="preserve">include non-dry type transformers solely </w:t>
      </w:r>
      <w:r w:rsidR="00665B92" w:rsidRPr="000E0C0A">
        <w:t>to</w:t>
      </w:r>
      <w:r w:rsidRPr="000E0C0A">
        <w:t xml:space="preserve"> align with the Illinois TRM.</w:t>
      </w:r>
      <w:r w:rsidR="002405A7" w:rsidRPr="000E0C0A">
        <w:t xml:space="preserve">  The suggested expansion has limited application</w:t>
      </w:r>
      <w:r w:rsidR="0054459A">
        <w:t>.</w:t>
      </w:r>
    </w:p>
    <w:p w14:paraId="46361BB1" w14:textId="69D28D95" w:rsidR="6C95303B" w:rsidRDefault="6C95303B" w:rsidP="00AA2116"/>
    <w:p w14:paraId="789F68CD" w14:textId="5F70DFAC" w:rsidR="0004032E" w:rsidRPr="00F6397D" w:rsidRDefault="6C95303B" w:rsidP="00453F14">
      <w:pPr>
        <w:pStyle w:val="Heading3"/>
        <w:numPr>
          <w:ilvl w:val="2"/>
          <w:numId w:val="35"/>
        </w:numPr>
      </w:pPr>
      <w:bookmarkStart w:id="130" w:name="_Toc15657922"/>
      <w:r w:rsidRPr="33AF9F3C">
        <w:t>Section 3.11.3 – High Frequency Battery Chargers</w:t>
      </w:r>
      <w:bookmarkEnd w:id="130"/>
    </w:p>
    <w:p w14:paraId="11F8ECD8" w14:textId="21CBEC30" w:rsidR="1133095B" w:rsidRDefault="1133095B" w:rsidP="00453F14">
      <w:pPr>
        <w:pStyle w:val="Heading4"/>
        <w:numPr>
          <w:ilvl w:val="3"/>
          <w:numId w:val="35"/>
        </w:numPr>
      </w:pPr>
      <w:r w:rsidRPr="1133095B">
        <w:t>Comments</w:t>
      </w:r>
    </w:p>
    <w:p w14:paraId="5B7F4E29" w14:textId="3B47A02D" w:rsidR="00042E61" w:rsidRDefault="00042E61" w:rsidP="00AA2116">
      <w:r>
        <w:t xml:space="preserve">Franklin Energy </w:t>
      </w:r>
      <w:r w:rsidR="00D215A0">
        <w:t>provides</w:t>
      </w:r>
      <w:r>
        <w:t xml:space="preserve"> several comments on this measure.  The first comment deals with duplicate sentences in the eligibility section of the measure.  Franklin Energy </w:t>
      </w:r>
      <w:r w:rsidRPr="00C7516C">
        <w:t>also note</w:t>
      </w:r>
      <w:r w:rsidR="00C7516C">
        <w:t>s</w:t>
      </w:r>
      <w:r>
        <w:t xml:space="preserve"> that the interactive effects multipliers used in this measure are based on reduced waste heat from LED bulbs</w:t>
      </w:r>
      <w:r w:rsidR="00C93FDD">
        <w:t>, and</w:t>
      </w:r>
      <w:r w:rsidR="003C1C02">
        <w:t xml:space="preserve"> </w:t>
      </w:r>
      <w:r>
        <w:t>suggest</w:t>
      </w:r>
      <w:r w:rsidR="00C93FDD">
        <w:t>s</w:t>
      </w:r>
      <w:r>
        <w:t xml:space="preserve"> </w:t>
      </w:r>
      <w:r w:rsidR="00F54E5D">
        <w:t xml:space="preserve">that </w:t>
      </w:r>
      <w:r>
        <w:t xml:space="preserve">LED bulb waste heat may not be </w:t>
      </w:r>
      <w:r>
        <w:lastRenderedPageBreak/>
        <w:t>representative of battery charger waste heat.</w:t>
      </w:r>
      <w:r w:rsidR="00F54E5D">
        <w:t xml:space="preserve">  </w:t>
      </w:r>
      <w:r w:rsidR="00E64191">
        <w:t xml:space="preserve">In addition, </w:t>
      </w:r>
      <w:r>
        <w:t>Franklin Energy recommends using different default coincidence factor values based on the number of charges completed per day (rather than one default value).  The Illinois TRM uses multiple defaults, and this measure is based on a measure on the Illinois TRM.</w:t>
      </w:r>
      <w:r>
        <w:rPr>
          <w:rStyle w:val="FootnoteReference"/>
        </w:rPr>
        <w:footnoteReference w:id="21"/>
      </w:r>
      <w:r>
        <w:t xml:space="preserve">  Franklin Energy Comments at </w:t>
      </w:r>
      <w:r w:rsidR="00887CA3">
        <w:t xml:space="preserve">514, </w:t>
      </w:r>
      <w:r>
        <w:t xml:space="preserve">515. </w:t>
      </w:r>
      <w:r w:rsidR="00A23F68">
        <w:t xml:space="preserve"> </w:t>
      </w:r>
      <w:r w:rsidRPr="000E0C0A">
        <w:t>PECO suggest</w:t>
      </w:r>
      <w:r w:rsidR="000E0C0A">
        <w:t>s</w:t>
      </w:r>
      <w:r>
        <w:t xml:space="preserve"> </w:t>
      </w:r>
      <w:r w:rsidRPr="006738A6">
        <w:t>that the TRM include conservative default savings for unknown options to allow for midstream or instant discounts</w:t>
      </w:r>
      <w:r w:rsidR="0082760A">
        <w:t xml:space="preserve">.  </w:t>
      </w:r>
      <w:r>
        <w:t>PECO Comments at 13.</w:t>
      </w:r>
    </w:p>
    <w:p w14:paraId="2730A137" w14:textId="77777777" w:rsidR="00042E61" w:rsidRPr="004A2FAD" w:rsidRDefault="00042E61" w:rsidP="00AA2116"/>
    <w:p w14:paraId="02D0ABEC" w14:textId="0995B7CD" w:rsidR="0004032E" w:rsidRDefault="00042E61" w:rsidP="00453F14">
      <w:pPr>
        <w:pStyle w:val="Heading4"/>
        <w:numPr>
          <w:ilvl w:val="3"/>
          <w:numId w:val="35"/>
        </w:numPr>
      </w:pPr>
      <w:r>
        <w:t>Disposition</w:t>
      </w:r>
    </w:p>
    <w:p w14:paraId="762964AB" w14:textId="61F78307" w:rsidR="0004032E" w:rsidRDefault="0004032E" w:rsidP="00AA2116">
      <w:r>
        <w:t>The algorithms for this measure are drawn from an identical measure in the Illinois TRM.</w:t>
      </w:r>
      <w:r>
        <w:rPr>
          <w:rStyle w:val="FootnoteReference"/>
        </w:rPr>
        <w:footnoteReference w:id="22"/>
      </w:r>
      <w:r>
        <w:t xml:space="preserve">  The algorithms in the Illinois TRM do not account for waste heat</w:t>
      </w:r>
      <w:r w:rsidR="007A7EA6">
        <w:t>.</w:t>
      </w:r>
      <w:r>
        <w:t xml:space="preserve">  </w:t>
      </w:r>
      <w:r w:rsidR="007A7EA6">
        <w:t>T</w:t>
      </w:r>
      <w:r>
        <w:t>he</w:t>
      </w:r>
      <w:r w:rsidR="00D7171C">
        <w:t>refore</w:t>
      </w:r>
      <w:r w:rsidR="00FC4F4B">
        <w:t>,</w:t>
      </w:r>
      <w:r w:rsidR="00D7171C">
        <w:t xml:space="preserve"> we</w:t>
      </w:r>
      <w:r>
        <w:t xml:space="preserve"> </w:t>
      </w:r>
      <w:r w:rsidR="001254DA">
        <w:t xml:space="preserve">concur </w:t>
      </w:r>
      <w:r w:rsidR="00DE3E02">
        <w:t>with Fran</w:t>
      </w:r>
      <w:r w:rsidR="00222D6C">
        <w:t>klin Energy</w:t>
      </w:r>
      <w:r w:rsidR="0048141D">
        <w:t>’s opinion</w:t>
      </w:r>
      <w:r>
        <w:t xml:space="preserve"> that waste heat </w:t>
      </w:r>
      <w:r w:rsidR="005D64B8">
        <w:t xml:space="preserve">produced by an inefficient bulb may not be a good proxy for the waste heat produced by the baseline battery charger. </w:t>
      </w:r>
      <w:r>
        <w:t xml:space="preserve"> Further research did not reveal a better value to use in place of the </w:t>
      </w:r>
      <w:r w:rsidR="005D64B8">
        <w:t xml:space="preserve">lighting </w:t>
      </w:r>
      <w:r>
        <w:t xml:space="preserve">waste heat factors.  </w:t>
      </w:r>
      <w:r w:rsidR="005D64B8">
        <w:t>Additionally, it</w:t>
      </w:r>
      <w:r w:rsidR="0071397A">
        <w:t xml:space="preserve"> i</w:t>
      </w:r>
      <w:r w:rsidR="005D64B8">
        <w:t xml:space="preserve">s </w:t>
      </w:r>
      <w:r w:rsidR="009A155C">
        <w:t>likely</w:t>
      </w:r>
      <w:r w:rsidR="005D64B8">
        <w:t xml:space="preserve"> that these chargers are commonly used in unconditioned spaces.  </w:t>
      </w:r>
      <w:r>
        <w:t xml:space="preserve">For these reasons, </w:t>
      </w:r>
      <w:r w:rsidR="00425247">
        <w:t>the Commission has removed</w:t>
      </w:r>
      <w:r w:rsidR="00BF04B5">
        <w:t xml:space="preserve"> </w:t>
      </w:r>
      <w:r>
        <w:t xml:space="preserve">interactive effect multipliers from the annual energy and peak demand savings algorithms for this measure. </w:t>
      </w:r>
    </w:p>
    <w:p w14:paraId="6B967F89" w14:textId="77777777" w:rsidR="00691FDB" w:rsidRDefault="00691FDB" w:rsidP="00AA2116"/>
    <w:p w14:paraId="2571431C" w14:textId="45D8B32B" w:rsidR="0004032E" w:rsidRPr="0096379A" w:rsidRDefault="0004032E" w:rsidP="00AA2116">
      <w:r>
        <w:t xml:space="preserve">Regarding coincidence factors, the Commission agrees </w:t>
      </w:r>
      <w:r w:rsidR="00425247">
        <w:t xml:space="preserve">with Franklin Energy’s </w:t>
      </w:r>
      <w:r w:rsidR="00E129E9">
        <w:t xml:space="preserve">suggestion </w:t>
      </w:r>
      <w:r>
        <w:t>that using one default value may be overly simplistic.  One of the papers</w:t>
      </w:r>
      <w:r w:rsidR="00C3491D">
        <w:t>,</w:t>
      </w:r>
      <w:r>
        <w:t xml:space="preserve"> on which this algorithm is based</w:t>
      </w:r>
      <w:r w:rsidR="00C3491D">
        <w:t>,</w:t>
      </w:r>
      <w:r>
        <w:t xml:space="preserve"> suggests that charging typically begins at 5:00 </w:t>
      </w:r>
      <w:r w:rsidR="00456006">
        <w:t>pm</w:t>
      </w:r>
      <w:r>
        <w:t xml:space="preserve"> for single and </w:t>
      </w:r>
      <w:r w:rsidR="00192D9C">
        <w:t>two</w:t>
      </w:r>
      <w:r>
        <w:t>-shift schedules.</w:t>
      </w:r>
      <w:r>
        <w:rPr>
          <w:rStyle w:val="FootnoteReference"/>
        </w:rPr>
        <w:footnoteReference w:id="23"/>
      </w:r>
      <w:r>
        <w:t xml:space="preserve">  </w:t>
      </w:r>
      <w:r w:rsidR="009B52EC">
        <w:t>As a result</w:t>
      </w:r>
      <w:r>
        <w:t xml:space="preserve">, a coincidence factor of 0.25 (5:00 </w:t>
      </w:r>
      <w:r w:rsidR="00456006">
        <w:t>pm</w:t>
      </w:r>
      <w:r>
        <w:t xml:space="preserve"> – 6:00 </w:t>
      </w:r>
      <w:r w:rsidR="00456006">
        <w:t>pm</w:t>
      </w:r>
      <w:r>
        <w:t xml:space="preserve"> represents 25% of the peak load period) </w:t>
      </w:r>
      <w:r w:rsidR="00EB5EF6">
        <w:t>is now</w:t>
      </w:r>
      <w:r w:rsidR="005D64B8">
        <w:t xml:space="preserve"> </w:t>
      </w:r>
      <w:r>
        <w:t xml:space="preserve">the default </w:t>
      </w:r>
      <w:r w:rsidR="00EB5EF6">
        <w:t xml:space="preserve">coincidence factor in </w:t>
      </w:r>
      <w:r w:rsidR="00EB5EF6">
        <w:lastRenderedPageBreak/>
        <w:t xml:space="preserve">the TRM </w:t>
      </w:r>
      <w:r>
        <w:t xml:space="preserve">for single and </w:t>
      </w:r>
      <w:r w:rsidR="00192D9C">
        <w:t>two</w:t>
      </w:r>
      <w:r>
        <w:t xml:space="preserve">-shift schedules.  For </w:t>
      </w:r>
      <w:r w:rsidR="00192D9C">
        <w:t>three</w:t>
      </w:r>
      <w:r>
        <w:t xml:space="preserve">-shift and </w:t>
      </w:r>
      <w:r w:rsidR="00192D9C">
        <w:t>four</w:t>
      </w:r>
      <w:r>
        <w:t xml:space="preserve">-shift schedules, charging occurs 24 hours per day.  </w:t>
      </w:r>
      <w:r w:rsidR="00E72FDF">
        <w:t>Therefore</w:t>
      </w:r>
      <w:r>
        <w:t xml:space="preserve">, a coincidence factor of 1 </w:t>
      </w:r>
      <w:r w:rsidR="00875619" w:rsidRPr="00875619">
        <w:t>is now the default coincidence factor in the TRM</w:t>
      </w:r>
      <w:r>
        <w:t xml:space="preserve"> for these schedules.</w:t>
      </w:r>
      <w:r w:rsidR="009533B1">
        <w:t xml:space="preserve">  </w:t>
      </w:r>
      <w:r w:rsidR="007B27E9">
        <w:t>In response to</w:t>
      </w:r>
      <w:r w:rsidR="6C95303B">
        <w:t xml:space="preserve"> PECO’s comment regarding including conservative defaults, </w:t>
      </w:r>
      <w:r w:rsidR="007B27E9">
        <w:t xml:space="preserve">the Commission </w:t>
      </w:r>
      <w:r w:rsidR="00610CEA">
        <w:t>agree</w:t>
      </w:r>
      <w:r w:rsidR="00E44EB8">
        <w:t>s</w:t>
      </w:r>
      <w:r w:rsidR="00610CEA">
        <w:t xml:space="preserve"> </w:t>
      </w:r>
      <w:r w:rsidR="00F14CB3">
        <w:t xml:space="preserve">with PECO’s recommendation and </w:t>
      </w:r>
      <w:r w:rsidR="003A4AB6">
        <w:t xml:space="preserve">has </w:t>
      </w:r>
      <w:r w:rsidR="007B27E9">
        <w:t xml:space="preserve">adjusted </w:t>
      </w:r>
      <w:r w:rsidR="6C95303B">
        <w:t>the default savings table so that the “</w:t>
      </w:r>
      <w:r w:rsidR="000276E6">
        <w:t>one</w:t>
      </w:r>
      <w:r w:rsidR="6C95303B">
        <w:t>-Shift Schedule</w:t>
      </w:r>
      <w:r w:rsidR="000276E6">
        <w:t>,</w:t>
      </w:r>
      <w:r w:rsidR="6C95303B">
        <w:t xml:space="preserve">” which produces less savings than the other schedules, </w:t>
      </w:r>
      <w:r w:rsidR="00ED12B0">
        <w:t>and is</w:t>
      </w:r>
      <w:r w:rsidR="6C95303B">
        <w:t xml:space="preserve"> set as the “Default” schedule type if the actual schedule is unknown.</w:t>
      </w:r>
    </w:p>
    <w:p w14:paraId="1EBCB409" w14:textId="77777777" w:rsidR="005D64B8" w:rsidRPr="0096379A" w:rsidRDefault="005D64B8" w:rsidP="00AA2116"/>
    <w:p w14:paraId="54C3BC82" w14:textId="35AC6F3D" w:rsidR="55119DC7" w:rsidRDefault="55119DC7" w:rsidP="00453F14">
      <w:pPr>
        <w:pStyle w:val="Heading3"/>
        <w:numPr>
          <w:ilvl w:val="2"/>
          <w:numId w:val="35"/>
        </w:numPr>
        <w:ind w:left="1440" w:hanging="720"/>
        <w:rPr>
          <w:bCs/>
        </w:rPr>
      </w:pPr>
      <w:bookmarkStart w:id="131" w:name="_Toc15657923"/>
      <w:r w:rsidRPr="55119DC7">
        <w:t>Additional C&amp;I EE&amp;C Measures Protocols Recommended by Commenters</w:t>
      </w:r>
      <w:bookmarkEnd w:id="131"/>
    </w:p>
    <w:p w14:paraId="7148B01D" w14:textId="2BA9F84C" w:rsidR="55119DC7" w:rsidRDefault="55119DC7" w:rsidP="00453F14">
      <w:pPr>
        <w:pStyle w:val="Heading4"/>
        <w:numPr>
          <w:ilvl w:val="3"/>
          <w:numId w:val="35"/>
        </w:numPr>
      </w:pPr>
      <w:r w:rsidRPr="55119DC7">
        <w:t>Comments</w:t>
      </w:r>
    </w:p>
    <w:p w14:paraId="56722660" w14:textId="6FBF827C" w:rsidR="004A2FAD" w:rsidRDefault="004A2FAD" w:rsidP="00AA2116">
      <w:r w:rsidRPr="55119DC7">
        <w:t xml:space="preserve">Brian McGowan </w:t>
      </w:r>
      <w:r w:rsidR="004B1640">
        <w:t xml:space="preserve">recommends </w:t>
      </w:r>
      <w:r w:rsidR="00CD78A3">
        <w:t>that</w:t>
      </w:r>
      <w:r w:rsidR="004B1640">
        <w:t xml:space="preserve"> </w:t>
      </w:r>
      <w:r w:rsidRPr="55119DC7">
        <w:t>drain water heat recovery measure protocols</w:t>
      </w:r>
      <w:r w:rsidR="000B5AEE">
        <w:t xml:space="preserve"> </w:t>
      </w:r>
      <w:r w:rsidR="001E3DBE">
        <w:t xml:space="preserve">should </w:t>
      </w:r>
      <w:r w:rsidR="000B5AEE">
        <w:t>be added</w:t>
      </w:r>
      <w:r w:rsidRPr="55119DC7">
        <w:t xml:space="preserve"> for several C&amp;I applications.  Brian McGowan Comments at 2-3.</w:t>
      </w:r>
    </w:p>
    <w:p w14:paraId="32A74796" w14:textId="77777777" w:rsidR="004A2FAD" w:rsidRPr="004A2FAD" w:rsidRDefault="004A2FAD" w:rsidP="00AA2116"/>
    <w:p w14:paraId="476DA631" w14:textId="411BA01A" w:rsidR="004A2FAD" w:rsidRPr="00757613" w:rsidRDefault="004A2FAD" w:rsidP="00453F14">
      <w:pPr>
        <w:pStyle w:val="Heading4"/>
        <w:numPr>
          <w:ilvl w:val="3"/>
          <w:numId w:val="35"/>
        </w:numPr>
      </w:pPr>
      <w:r w:rsidRPr="00757613">
        <w:t>Disposition</w:t>
      </w:r>
    </w:p>
    <w:p w14:paraId="3BE45558" w14:textId="00C1BC58" w:rsidR="55119DC7" w:rsidRDefault="55119DC7" w:rsidP="00AA2116">
      <w:r>
        <w:t xml:space="preserve">The Commission acknowledges the energy savings potential of drain water heat recovery </w:t>
      </w:r>
      <w:r w:rsidR="00757613">
        <w:t>systems but</w:t>
      </w:r>
      <w:r>
        <w:t xml:space="preserve"> believe</w:t>
      </w:r>
      <w:r w:rsidR="0072183A">
        <w:t>s</w:t>
      </w:r>
      <w:r>
        <w:t xml:space="preserve"> the energy savings of such systems are better assessed with custom, site-specific protocols</w:t>
      </w:r>
      <w:r w:rsidR="0082760A">
        <w:t xml:space="preserve">.  </w:t>
      </w:r>
      <w:r>
        <w:t xml:space="preserve">The appropriate analysis of these systems depends on piping configurations, water usage patterns, and other </w:t>
      </w:r>
      <w:r w:rsidRPr="00816B9A">
        <w:t>factors</w:t>
      </w:r>
      <w:r>
        <w:t>.</w:t>
      </w:r>
    </w:p>
    <w:p w14:paraId="4F48F61E" w14:textId="77777777" w:rsidR="00E017C7" w:rsidRDefault="00E017C7" w:rsidP="00AA2116"/>
    <w:p w14:paraId="0FA10856" w14:textId="2BAF1E3B" w:rsidR="00764387" w:rsidRPr="009C3B3D" w:rsidRDefault="00764387" w:rsidP="00453F14">
      <w:pPr>
        <w:pStyle w:val="Heading2"/>
        <w:numPr>
          <w:ilvl w:val="1"/>
          <w:numId w:val="36"/>
        </w:numPr>
      </w:pPr>
      <w:bookmarkStart w:id="132" w:name="_Toc14686849"/>
      <w:bookmarkStart w:id="133" w:name="_Toc14686996"/>
      <w:bookmarkStart w:id="134" w:name="_Toc14687143"/>
      <w:bookmarkStart w:id="135" w:name="_Existing_Residential_EE&amp;C"/>
      <w:bookmarkStart w:id="136" w:name="_Toc413415435"/>
      <w:bookmarkStart w:id="137" w:name="_Toc15657924"/>
      <w:bookmarkEnd w:id="132"/>
      <w:bookmarkEnd w:id="133"/>
      <w:bookmarkEnd w:id="134"/>
      <w:bookmarkEnd w:id="135"/>
      <w:r w:rsidRPr="009C3B3D">
        <w:t>Existing Residential EE&amp;C Measure Protocols and Processes</w:t>
      </w:r>
      <w:bookmarkEnd w:id="104"/>
      <w:bookmarkEnd w:id="105"/>
      <w:bookmarkEnd w:id="106"/>
      <w:bookmarkEnd w:id="136"/>
      <w:bookmarkEnd w:id="137"/>
    </w:p>
    <w:p w14:paraId="0FA10857" w14:textId="0674E499" w:rsidR="007600DD" w:rsidRDefault="00764387" w:rsidP="00AA2116">
      <w:r w:rsidRPr="0098410B">
        <w:t>The following sections describe clarifications and modifications to the residential measure protocols</w:t>
      </w:r>
      <w:r w:rsidR="0072183A">
        <w:t>.</w:t>
      </w:r>
      <w:r w:rsidR="00B62E4A">
        <w:t xml:space="preserve">  </w:t>
      </w:r>
      <w:r w:rsidR="00D063B2">
        <w:t xml:space="preserve">Some of the </w:t>
      </w:r>
      <w:r w:rsidR="006C7FA2">
        <w:t xml:space="preserve">proposed </w:t>
      </w:r>
      <w:r w:rsidR="00D063B2">
        <w:t>changes</w:t>
      </w:r>
      <w:r w:rsidR="0028362A">
        <w:t xml:space="preserve"> </w:t>
      </w:r>
      <w:r w:rsidR="00D063B2">
        <w:t>received no stakeholder comments.  Those proposed changes, which are not reproduced in the sections to follow, are hereby adopted by the Commission for use in Phase IV.  Affected measures include:</w:t>
      </w:r>
    </w:p>
    <w:p w14:paraId="6CFA7B42" w14:textId="2E05B6B6" w:rsidR="00A85851" w:rsidRPr="005932E6" w:rsidRDefault="00A85851" w:rsidP="00AA2116">
      <w:r>
        <w:rPr>
          <w:szCs w:val="26"/>
        </w:rPr>
        <w:t xml:space="preserve">Section 2.1.1 </w:t>
      </w:r>
      <w:r w:rsidR="005932E6">
        <w:rPr>
          <w:szCs w:val="26"/>
        </w:rPr>
        <w:t>–</w:t>
      </w:r>
      <w:r>
        <w:rPr>
          <w:szCs w:val="26"/>
        </w:rPr>
        <w:t xml:space="preserve"> </w:t>
      </w:r>
      <w:r w:rsidR="005932E6">
        <w:rPr>
          <w:szCs w:val="26"/>
        </w:rPr>
        <w:t xml:space="preserve">ENERGY STAR Lighting </w:t>
      </w:r>
      <w:r w:rsidR="005932E6" w:rsidRPr="005932E6">
        <w:rPr>
          <w:szCs w:val="26"/>
        </w:rPr>
        <w:t>(</w:t>
      </w:r>
      <w:r w:rsidR="005932E6" w:rsidRPr="007F5365">
        <w:t>Default Values for Non-residential End-uses (Cross-sector Sales)</w:t>
      </w:r>
      <w:r w:rsidR="00C21A7C">
        <w:t>)</w:t>
      </w:r>
    </w:p>
    <w:p w14:paraId="00CB2491" w14:textId="0BA25098" w:rsidR="00EB0728" w:rsidRPr="00EB0728" w:rsidRDefault="00EB0728" w:rsidP="00AA2116">
      <w:r w:rsidRPr="00EB0728">
        <w:t>Section 2.1.2 – Residential Occupancy Sensors</w:t>
      </w:r>
    </w:p>
    <w:p w14:paraId="0C46739E" w14:textId="77777777" w:rsidR="00EB0728" w:rsidRPr="00EB0728" w:rsidRDefault="00EB0728" w:rsidP="00AA2116">
      <w:r w:rsidRPr="00EB0728">
        <w:t xml:space="preserve">Section 2.1.3 – Electroluminescent Nightlight </w:t>
      </w:r>
    </w:p>
    <w:p w14:paraId="05CE3CEF" w14:textId="77777777" w:rsidR="00EB0728" w:rsidRPr="00EB0728" w:rsidRDefault="00EB0728" w:rsidP="00AA2116">
      <w:r w:rsidRPr="00EB0728">
        <w:t>Section 2.1.4 – LED Nightlight</w:t>
      </w:r>
    </w:p>
    <w:p w14:paraId="54045535" w14:textId="77777777" w:rsidR="00EB0728" w:rsidRPr="00EB0728" w:rsidRDefault="00EB0728" w:rsidP="00AA2116">
      <w:r w:rsidRPr="00EB0728">
        <w:lastRenderedPageBreak/>
        <w:t>Section 2.2.2 – Fuel Switching: Electric Heat to Gas / Propane / Oil Heat</w:t>
      </w:r>
    </w:p>
    <w:p w14:paraId="4545B32C" w14:textId="77777777" w:rsidR="00EB0728" w:rsidRPr="00EB0728" w:rsidRDefault="00EB0728" w:rsidP="00AA2116">
      <w:r w:rsidRPr="00EB0728">
        <w:t xml:space="preserve">Section 2.2.3 – Ductless Mini-split Heat Pumps </w:t>
      </w:r>
      <w:r w:rsidRPr="00EB0728">
        <w:rPr>
          <w:bCs/>
        </w:rPr>
        <w:t>(Add Midstream Delivery Option; Rename)</w:t>
      </w:r>
    </w:p>
    <w:p w14:paraId="1DF78A22" w14:textId="77777777" w:rsidR="00EB0728" w:rsidRPr="00EB0728" w:rsidRDefault="00EB0728" w:rsidP="00AA2116">
      <w:r w:rsidRPr="00EB0728">
        <w:t>Section 2.2.5 – Room AC (RAC) Retirement</w:t>
      </w:r>
    </w:p>
    <w:p w14:paraId="3C7B0A73" w14:textId="77777777" w:rsidR="00EB0728" w:rsidRPr="00EB0728" w:rsidRDefault="00EB0728" w:rsidP="00AA2116">
      <w:r w:rsidRPr="00EB0728">
        <w:t>Section 2.2.6 – Duct Sealing (</w:t>
      </w:r>
      <w:r w:rsidRPr="00EB0728">
        <w:rPr>
          <w:bCs/>
        </w:rPr>
        <w:t>Measure Verification Methods)</w:t>
      </w:r>
    </w:p>
    <w:p w14:paraId="574CBE49" w14:textId="77777777" w:rsidR="00EB0728" w:rsidRPr="00EB0728" w:rsidRDefault="00EB0728" w:rsidP="00AA2116">
      <w:r w:rsidRPr="00EB0728">
        <w:rPr>
          <w:bCs/>
        </w:rPr>
        <w:t>Section</w:t>
      </w:r>
      <w:r w:rsidRPr="00EB0728">
        <w:t xml:space="preserve"> 2.2.7 – Furnace Whistle</w:t>
      </w:r>
    </w:p>
    <w:p w14:paraId="362CCE90" w14:textId="77777777" w:rsidR="00EB0728" w:rsidRPr="00EB0728" w:rsidRDefault="00EB0728" w:rsidP="00AA2116">
      <w:r w:rsidRPr="00EB0728">
        <w:t>Section 2.2.10 – Packaged Terminal Systems</w:t>
      </w:r>
    </w:p>
    <w:p w14:paraId="6FFD2E32" w14:textId="77777777" w:rsidR="00EB0728" w:rsidRPr="00EB0728" w:rsidRDefault="00EB0728" w:rsidP="00AA2116">
      <w:r w:rsidRPr="00EB0728">
        <w:t>Section 2.3.5 – Water Heater Tank Wrap</w:t>
      </w:r>
    </w:p>
    <w:p w14:paraId="5EE223BB" w14:textId="77777777" w:rsidR="00EB0728" w:rsidRPr="00EB0728" w:rsidRDefault="00EB0728" w:rsidP="00AA2116">
      <w:r w:rsidRPr="00EB0728">
        <w:t>Section 2.4.3 – Refrigerator / Freezer Recycling with and without Replacement (</w:t>
      </w:r>
      <w:r w:rsidRPr="00EB0728">
        <w:rPr>
          <w:bCs/>
        </w:rPr>
        <w:t>Part Use Factor Default Values; Measure Life)</w:t>
      </w:r>
    </w:p>
    <w:p w14:paraId="2481A89C" w14:textId="77777777" w:rsidR="00EB0728" w:rsidRPr="00EB0728" w:rsidRDefault="00EB0728" w:rsidP="00AA2116">
      <w:r w:rsidRPr="00EB0728">
        <w:t>Section 2.4.4 – ENERGY STAR Clothes Washers</w:t>
      </w:r>
    </w:p>
    <w:p w14:paraId="1D2E1CD3" w14:textId="77777777" w:rsidR="00EB0728" w:rsidRPr="00EB0728" w:rsidRDefault="00EB0728" w:rsidP="00AA2116">
      <w:r w:rsidRPr="00EB0728">
        <w:t>Section 2.4.6 – Fuel Switching: Electric Clothes Dryer to Gas Clothes Dryer</w:t>
      </w:r>
    </w:p>
    <w:p w14:paraId="0D148E51" w14:textId="77777777" w:rsidR="00EB0728" w:rsidRPr="00EB0728" w:rsidRDefault="00EB0728" w:rsidP="00AA2116">
      <w:r w:rsidRPr="00EB0728">
        <w:t>Section 2.4.7 – ENERGY STAR Dishwashers</w:t>
      </w:r>
    </w:p>
    <w:p w14:paraId="68A46DB9" w14:textId="77777777" w:rsidR="00EB0728" w:rsidRPr="00EB0728" w:rsidRDefault="00EB0728" w:rsidP="00AA2116">
      <w:r w:rsidRPr="00EB0728">
        <w:t>Section 2.4.8 – ENERGY STAR Dehumidifiers</w:t>
      </w:r>
    </w:p>
    <w:p w14:paraId="07124A2C" w14:textId="77777777" w:rsidR="00EB0728" w:rsidRPr="00EB0728" w:rsidRDefault="00EB0728" w:rsidP="00AA2116">
      <w:r w:rsidRPr="00EB0728">
        <w:t>Section 2.5.2 – ENERGY STAR Office Equipment</w:t>
      </w:r>
    </w:p>
    <w:p w14:paraId="63B4260A" w14:textId="77777777" w:rsidR="00EB0728" w:rsidRPr="00EB0728" w:rsidRDefault="00EB0728" w:rsidP="00AA2116">
      <w:r w:rsidRPr="00EB0728">
        <w:t>Section 2.6.8 – Rim Joist Insulation</w:t>
      </w:r>
    </w:p>
    <w:p w14:paraId="11244658" w14:textId="77777777" w:rsidR="00EB0728" w:rsidRPr="00EB0728" w:rsidRDefault="00EB0728" w:rsidP="00AA2116">
      <w:r w:rsidRPr="00EB0728">
        <w:t>Section 2.7.2 – Variable Speed Pool Pumps (with Load Shifting Option)</w:t>
      </w:r>
    </w:p>
    <w:p w14:paraId="7B700E9B" w14:textId="1F5EDF4C" w:rsidR="00F257CE" w:rsidRDefault="00435F6B" w:rsidP="00A23F68">
      <w:pPr>
        <w:ind w:firstLine="0"/>
      </w:pPr>
      <w:bookmarkStart w:id="138" w:name="_Toc413415436"/>
      <w:bookmarkStart w:id="139" w:name="_Toc364755773"/>
      <w:r w:rsidRPr="0098410B">
        <w:t>The following sections describe clarifications and modifications to the residential measure protocol</w:t>
      </w:r>
      <w:r w:rsidR="001F7D44">
        <w:t xml:space="preserve">s.  </w:t>
      </w:r>
      <w:r w:rsidR="00640F06">
        <w:t xml:space="preserve">The </w:t>
      </w:r>
      <w:r w:rsidR="002F05E0">
        <w:t xml:space="preserve">changes proposed </w:t>
      </w:r>
      <w:r w:rsidR="00C727B9">
        <w:t xml:space="preserve">by the Commission </w:t>
      </w:r>
      <w:r w:rsidR="002F05E0">
        <w:t xml:space="preserve">in our </w:t>
      </w:r>
      <w:r w:rsidR="00892A9F">
        <w:t>T</w:t>
      </w:r>
      <w:r w:rsidR="002F05E0">
        <w:t xml:space="preserve">entative </w:t>
      </w:r>
      <w:r w:rsidR="00892A9F">
        <w:t>O</w:t>
      </w:r>
      <w:r w:rsidR="002F05E0">
        <w:t>rder</w:t>
      </w:r>
      <w:r w:rsidR="00640F06">
        <w:t xml:space="preserve"> </w:t>
      </w:r>
      <w:r w:rsidR="00867FA8">
        <w:t>that receive</w:t>
      </w:r>
      <w:r w:rsidR="00CC1720">
        <w:t>d</w:t>
      </w:r>
      <w:r w:rsidR="001D4EBB">
        <w:t xml:space="preserve"> stakeholder</w:t>
      </w:r>
      <w:r>
        <w:t xml:space="preserve"> comments</w:t>
      </w:r>
      <w:r w:rsidR="00640F06">
        <w:t xml:space="preserve"> </w:t>
      </w:r>
      <w:r>
        <w:t xml:space="preserve">are </w:t>
      </w:r>
      <w:r w:rsidR="000B31F3">
        <w:t>addressed below</w:t>
      </w:r>
      <w:r>
        <w:t xml:space="preserve">.  </w:t>
      </w:r>
    </w:p>
    <w:p w14:paraId="006A0E45" w14:textId="77777777" w:rsidR="00435F6B" w:rsidRPr="00A120D9" w:rsidRDefault="00435F6B" w:rsidP="00AA2116"/>
    <w:p w14:paraId="14ED5037" w14:textId="4751D22A" w:rsidR="00F257CE" w:rsidRPr="001323BE" w:rsidRDefault="00F257CE" w:rsidP="00453F14">
      <w:pPr>
        <w:pStyle w:val="Heading3"/>
        <w:numPr>
          <w:ilvl w:val="2"/>
          <w:numId w:val="37"/>
        </w:numPr>
      </w:pPr>
      <w:bookmarkStart w:id="140" w:name="_Toc536177770"/>
      <w:bookmarkStart w:id="141" w:name="_Toc15657925"/>
      <w:r w:rsidRPr="001323BE">
        <w:t xml:space="preserve">Section 2.1.1 – </w:t>
      </w:r>
      <w:r w:rsidRPr="0082744A">
        <w:t>ENERGY STAR</w:t>
      </w:r>
      <w:r w:rsidRPr="001323BE">
        <w:t xml:space="preserve"> Lighting</w:t>
      </w:r>
      <w:bookmarkEnd w:id="138"/>
      <w:bookmarkEnd w:id="140"/>
      <w:r w:rsidR="004440A9">
        <w:rPr>
          <w:rStyle w:val="FootnoteReference"/>
        </w:rPr>
        <w:footnoteReference w:id="24"/>
      </w:r>
      <w:bookmarkEnd w:id="141"/>
    </w:p>
    <w:p w14:paraId="6F2B03DA" w14:textId="77777777" w:rsidR="00F257CE" w:rsidRPr="001323BE" w:rsidRDefault="00F257CE" w:rsidP="00453F14">
      <w:pPr>
        <w:pStyle w:val="Heading4"/>
        <w:numPr>
          <w:ilvl w:val="3"/>
          <w:numId w:val="37"/>
        </w:numPr>
      </w:pPr>
      <w:bookmarkStart w:id="142" w:name="_Ref12020759"/>
      <w:r w:rsidRPr="00AD3036">
        <w:t>Baseline</w:t>
      </w:r>
      <w:r w:rsidRPr="001323BE">
        <w:t xml:space="preserve"> </w:t>
      </w:r>
      <w:r w:rsidRPr="0010452D">
        <w:t>Wattage</w:t>
      </w:r>
      <w:bookmarkEnd w:id="142"/>
    </w:p>
    <w:p w14:paraId="603FB309" w14:textId="1F06FDD7" w:rsidR="00F257CE" w:rsidRDefault="00F257CE" w:rsidP="00AA2116">
      <w:r w:rsidRPr="001323BE">
        <w:t>The Commission propose</w:t>
      </w:r>
      <w:r w:rsidR="003A7E30">
        <w:t>d</w:t>
      </w:r>
      <w:r w:rsidRPr="001323BE">
        <w:t xml:space="preserve"> replacing the table of tiered baseline wattages based on lumen ranges with a simple calculation based on the </w:t>
      </w:r>
      <w:r w:rsidR="005F2548">
        <w:t>Energy Independence and Security Act of 2017 (</w:t>
      </w:r>
      <w:r w:rsidRPr="001323BE">
        <w:t>EISA</w:t>
      </w:r>
      <w:r w:rsidR="005F2548">
        <w:t>)</w:t>
      </w:r>
      <w:r w:rsidRPr="001323BE">
        <w:t xml:space="preserve"> standard of 45 lumens per watt</w:t>
      </w:r>
      <w:r w:rsidR="00A0651F">
        <w:t xml:space="preserve">.  </w:t>
      </w:r>
    </w:p>
    <w:p w14:paraId="4DD942E8" w14:textId="77D3D68D" w:rsidR="00747D29" w:rsidRDefault="00747D29" w:rsidP="00AA2116"/>
    <w:p w14:paraId="1F779190" w14:textId="285E3D3F" w:rsidR="00747D29" w:rsidRPr="00DF1F96" w:rsidRDefault="00747D29" w:rsidP="00453F14">
      <w:pPr>
        <w:pStyle w:val="Heading5"/>
        <w:numPr>
          <w:ilvl w:val="4"/>
          <w:numId w:val="38"/>
        </w:numPr>
      </w:pPr>
      <w:r w:rsidRPr="00DF1F96">
        <w:lastRenderedPageBreak/>
        <w:t>Comments</w:t>
      </w:r>
    </w:p>
    <w:p w14:paraId="699BC73A" w14:textId="60436E5B" w:rsidR="009E2073" w:rsidRDefault="007F7568" w:rsidP="00AA2116">
      <w:r>
        <w:t>Duquesne com</w:t>
      </w:r>
      <w:r w:rsidR="00B05F95">
        <w:t xml:space="preserve">ments </w:t>
      </w:r>
      <w:r w:rsidR="00B56075">
        <w:t>that</w:t>
      </w:r>
      <w:r w:rsidR="00792278">
        <w:t xml:space="preserve"> </w:t>
      </w:r>
      <w:r w:rsidR="00963759">
        <w:t xml:space="preserve">it </w:t>
      </w:r>
      <w:r w:rsidR="0015772D">
        <w:t>is premature to shift to a 45 lm/W</w:t>
      </w:r>
      <w:r w:rsidR="005A62B5">
        <w:t xml:space="preserve"> baseline</w:t>
      </w:r>
      <w:r w:rsidR="00EC3921">
        <w:t>,</w:t>
      </w:r>
      <w:r w:rsidR="00661E7A">
        <w:t xml:space="preserve"> given </w:t>
      </w:r>
      <w:r w:rsidR="00FC5C33">
        <w:t xml:space="preserve">the </w:t>
      </w:r>
      <w:r w:rsidR="00E84AC9">
        <w:t xml:space="preserve">U.S. </w:t>
      </w:r>
      <w:r w:rsidR="009D4E1F">
        <w:t>DOE</w:t>
      </w:r>
      <w:r w:rsidR="000A02F6">
        <w:t>’s</w:t>
      </w:r>
      <w:r w:rsidR="00FC5C33">
        <w:t xml:space="preserve"> Notice of Proposed </w:t>
      </w:r>
      <w:r w:rsidR="00FC5C33" w:rsidRPr="00F5056E">
        <w:t>Rulemaking (NOP</w:t>
      </w:r>
      <w:r w:rsidR="00A168BD" w:rsidRPr="00F5056E">
        <w:t>R)</w:t>
      </w:r>
      <w:r w:rsidR="00540A8F" w:rsidRPr="00F5056E">
        <w:t xml:space="preserve"> </w:t>
      </w:r>
      <w:r w:rsidR="00563030">
        <w:t>from</w:t>
      </w:r>
      <w:r w:rsidR="000A02F6">
        <w:t xml:space="preserve"> February 1</w:t>
      </w:r>
      <w:r w:rsidR="00F30088">
        <w:t>1</w:t>
      </w:r>
      <w:r w:rsidR="000A02F6">
        <w:t>, 2019</w:t>
      </w:r>
      <w:r w:rsidR="00F30088">
        <w:rPr>
          <w:rStyle w:val="FootnoteReference"/>
        </w:rPr>
        <w:footnoteReference w:id="25"/>
      </w:r>
      <w:r w:rsidR="00441C6D">
        <w:t xml:space="preserve"> </w:t>
      </w:r>
      <w:r w:rsidR="00067263">
        <w:t>state</w:t>
      </w:r>
      <w:r w:rsidR="00BE7371">
        <w:t>s</w:t>
      </w:r>
      <w:r w:rsidR="00067263">
        <w:t xml:space="preserve"> </w:t>
      </w:r>
      <w:r w:rsidR="009C2374">
        <w:t xml:space="preserve">that </w:t>
      </w:r>
      <w:r w:rsidR="00B45873">
        <w:t xml:space="preserve">the </w:t>
      </w:r>
      <w:r w:rsidR="003B555D">
        <w:t xml:space="preserve">U.S. </w:t>
      </w:r>
      <w:r w:rsidR="001938B8">
        <w:t>DOE had not yet made a determination on whether</w:t>
      </w:r>
      <w:r w:rsidR="00C52FF0">
        <w:t xml:space="preserve"> to amend standards </w:t>
      </w:r>
      <w:r w:rsidR="007773AC">
        <w:t>for general service lamps (GSLs)</w:t>
      </w:r>
      <w:r w:rsidR="00103B4D">
        <w:t xml:space="preserve"> </w:t>
      </w:r>
      <w:r w:rsidR="00103B4D" w:rsidRPr="00816B9A">
        <w:t>and thus</w:t>
      </w:r>
      <w:r w:rsidR="00816B9A">
        <w:t>,</w:t>
      </w:r>
      <w:r w:rsidR="00103B4D" w:rsidRPr="00816B9A">
        <w:t xml:space="preserve"> had</w:t>
      </w:r>
      <w:r w:rsidR="00103B4D">
        <w:t xml:space="preserve"> not </w:t>
      </w:r>
      <w:r w:rsidR="00A22451">
        <w:t xml:space="preserve">determined whether the </w:t>
      </w:r>
      <w:r w:rsidR="00B45873">
        <w:t>45 lm/W standard</w:t>
      </w:r>
      <w:r w:rsidR="00D0761B">
        <w:t xml:space="preserve"> </w:t>
      </w:r>
      <w:r w:rsidR="00EC5C51">
        <w:t>established</w:t>
      </w:r>
      <w:r w:rsidR="00337742">
        <w:t xml:space="preserve"> in </w:t>
      </w:r>
      <w:r w:rsidR="005F2548">
        <w:t>EISA</w:t>
      </w:r>
      <w:r w:rsidR="00384CAA">
        <w:t xml:space="preserve"> </w:t>
      </w:r>
      <w:r w:rsidR="007B4313">
        <w:t>would be imposed.</w:t>
      </w:r>
      <w:r w:rsidR="00BC03BB">
        <w:t xml:space="preserve"> </w:t>
      </w:r>
      <w:r w:rsidR="00F61E6A">
        <w:t xml:space="preserve"> </w:t>
      </w:r>
      <w:r w:rsidR="00C15506">
        <w:t>Duquesne Comm</w:t>
      </w:r>
      <w:r w:rsidR="009D78DF">
        <w:t>ents at 5-6.</w:t>
      </w:r>
      <w:r w:rsidR="00A23F68">
        <w:t xml:space="preserve">  </w:t>
      </w:r>
      <w:r w:rsidR="002147CB">
        <w:t>FirstEnergy</w:t>
      </w:r>
      <w:r w:rsidR="009E2073">
        <w:t xml:space="preserve"> comments</w:t>
      </w:r>
      <w:r w:rsidR="001D7511">
        <w:t xml:space="preserve"> that </w:t>
      </w:r>
      <w:r w:rsidR="001A35CD">
        <w:t>our</w:t>
      </w:r>
      <w:r w:rsidR="001D7511">
        <w:t xml:space="preserve"> </w:t>
      </w:r>
      <w:r w:rsidR="00C729EC">
        <w:t xml:space="preserve">proposed </w:t>
      </w:r>
      <w:r w:rsidR="001D7511">
        <w:t xml:space="preserve">2021 </w:t>
      </w:r>
      <w:r w:rsidR="001453C7">
        <w:t xml:space="preserve">TRM </w:t>
      </w:r>
      <w:r w:rsidR="00424345">
        <w:t xml:space="preserve">does not contain </w:t>
      </w:r>
      <w:r w:rsidR="00185C26">
        <w:t xml:space="preserve">the </w:t>
      </w:r>
      <w:r w:rsidR="00424345">
        <w:t xml:space="preserve">lumen bins and baseline wattages </w:t>
      </w:r>
      <w:r w:rsidR="00185C26">
        <w:t xml:space="preserve">table </w:t>
      </w:r>
      <w:r w:rsidR="00424345">
        <w:t>mentioned</w:t>
      </w:r>
      <w:r w:rsidR="001453C7">
        <w:t xml:space="preserve"> in the text</w:t>
      </w:r>
      <w:r w:rsidR="0082760A">
        <w:t xml:space="preserve">.  </w:t>
      </w:r>
      <w:r w:rsidR="002147CB">
        <w:t>FirstEnergy</w:t>
      </w:r>
      <w:r w:rsidR="001453C7">
        <w:t xml:space="preserve"> Comments at 2.</w:t>
      </w:r>
    </w:p>
    <w:p w14:paraId="15ED8DF3" w14:textId="77777777" w:rsidR="009D27C2" w:rsidRDefault="009D27C2" w:rsidP="00AA2116"/>
    <w:p w14:paraId="1A018F5D" w14:textId="2F8D597E" w:rsidR="00747D29" w:rsidRPr="001062F9" w:rsidRDefault="00747D29" w:rsidP="00453F14">
      <w:pPr>
        <w:pStyle w:val="Heading5"/>
        <w:numPr>
          <w:ilvl w:val="4"/>
          <w:numId w:val="38"/>
        </w:numPr>
      </w:pPr>
      <w:r w:rsidRPr="001062F9">
        <w:t>Disposition</w:t>
      </w:r>
    </w:p>
    <w:p w14:paraId="291F9216" w14:textId="4E25BA95" w:rsidR="00DF7143" w:rsidRDefault="00DE1D31" w:rsidP="00AA2116">
      <w:r>
        <w:t xml:space="preserve">In the absence of a final ruling from </w:t>
      </w:r>
      <w:r w:rsidR="003B555D">
        <w:t xml:space="preserve">the U.S. </w:t>
      </w:r>
      <w:r>
        <w:t>DOE</w:t>
      </w:r>
      <w:r w:rsidR="000C7826">
        <w:t>,</w:t>
      </w:r>
      <w:r w:rsidR="00AB22C2">
        <w:t xml:space="preserve"> rescinding</w:t>
      </w:r>
      <w:r>
        <w:t xml:space="preserve"> </w:t>
      </w:r>
      <w:r w:rsidR="002326DC">
        <w:t>the 45 lm/W</w:t>
      </w:r>
      <w:r w:rsidR="00AB22C2">
        <w:t xml:space="preserve"> baseline</w:t>
      </w:r>
      <w:r>
        <w:t>,</w:t>
      </w:r>
      <w:r w:rsidR="002A3B59">
        <w:t xml:space="preserve"> </w:t>
      </w:r>
      <w:r w:rsidR="00F57AD4">
        <w:t xml:space="preserve">the Commission </w:t>
      </w:r>
      <w:r w:rsidR="00C13AC1">
        <w:t xml:space="preserve">disagrees with </w:t>
      </w:r>
      <w:r w:rsidR="00700E79">
        <w:t xml:space="preserve">Duquesne’s </w:t>
      </w:r>
      <w:r w:rsidR="00F57AD4">
        <w:t xml:space="preserve">comment. </w:t>
      </w:r>
      <w:r w:rsidR="00BC03BB">
        <w:t xml:space="preserve"> </w:t>
      </w:r>
      <w:r w:rsidR="002A3B59">
        <w:t xml:space="preserve">As recent public comments on the NOPR have shown, this proposal is heavily contested </w:t>
      </w:r>
      <w:r w:rsidR="002A3B59" w:rsidRPr="00F5056E">
        <w:t>by all</w:t>
      </w:r>
      <w:r w:rsidR="00D82151">
        <w:t>, except</w:t>
      </w:r>
      <w:r w:rsidR="002A3B59" w:rsidRPr="00F5056E">
        <w:t xml:space="preserve"> the</w:t>
      </w:r>
      <w:r w:rsidR="002A3B59">
        <w:t xml:space="preserve"> product manufacturers and their trade organizations.</w:t>
      </w:r>
      <w:r w:rsidR="002A3B59" w:rsidRPr="66E8B1E4">
        <w:rPr>
          <w:rStyle w:val="FootnoteReference"/>
        </w:rPr>
        <w:footnoteReference w:id="26"/>
      </w:r>
      <w:r w:rsidR="002A3B59">
        <w:t xml:space="preserve">  Further</w:t>
      </w:r>
      <w:r w:rsidR="008D5094">
        <w:t xml:space="preserve">more, should </w:t>
      </w:r>
      <w:r w:rsidR="003B555D">
        <w:t xml:space="preserve">the U.S. </w:t>
      </w:r>
      <w:r w:rsidR="002A3B59">
        <w:t>DOE follow through with the proposed withdrawal</w:t>
      </w:r>
      <w:r w:rsidR="00673511">
        <w:t>,</w:t>
      </w:r>
      <w:r w:rsidR="002A3B59">
        <w:t xml:space="preserve"> it is likely that litigation will continue for months</w:t>
      </w:r>
      <w:r w:rsidR="00673511">
        <w:t>,</w:t>
      </w:r>
      <w:r w:rsidR="002A3B59">
        <w:t xml:space="preserve"> if not years.  </w:t>
      </w:r>
      <w:r w:rsidR="0066690B">
        <w:t xml:space="preserve">In response to FirstEnergy’s comment, </w:t>
      </w:r>
      <w:r w:rsidR="007D4C8C">
        <w:t>t</w:t>
      </w:r>
      <w:r w:rsidR="00395B4E">
        <w:t>he</w:t>
      </w:r>
      <w:r w:rsidR="001453C7">
        <w:t xml:space="preserve"> Commission </w:t>
      </w:r>
      <w:r w:rsidR="00395B4E">
        <w:t xml:space="preserve">agrees and </w:t>
      </w:r>
      <w:r w:rsidR="001453C7">
        <w:t xml:space="preserve">has </w:t>
      </w:r>
      <w:r w:rsidR="00C10337">
        <w:t xml:space="preserve">removed the </w:t>
      </w:r>
      <w:r w:rsidR="00342DDD">
        <w:t xml:space="preserve">erroneous </w:t>
      </w:r>
      <w:r w:rsidR="00C10337">
        <w:t>language</w:t>
      </w:r>
      <w:r w:rsidR="00F07829">
        <w:t>.</w:t>
      </w:r>
      <w:r w:rsidR="00C10337">
        <w:t xml:space="preserve"> </w:t>
      </w:r>
    </w:p>
    <w:p w14:paraId="494806EA" w14:textId="77777777" w:rsidR="00342DDD" w:rsidRPr="001323BE" w:rsidRDefault="00342DDD" w:rsidP="00AA2116"/>
    <w:p w14:paraId="06C44F64" w14:textId="77777777" w:rsidR="00F257CE" w:rsidRPr="001323BE" w:rsidRDefault="00F257CE" w:rsidP="00453F14">
      <w:pPr>
        <w:pStyle w:val="Heading4"/>
        <w:numPr>
          <w:ilvl w:val="3"/>
          <w:numId w:val="38"/>
        </w:numPr>
      </w:pPr>
      <w:r w:rsidRPr="001323BE">
        <w:t xml:space="preserve">Specialty Lamp </w:t>
      </w:r>
      <w:r w:rsidRPr="003D1B5C">
        <w:t>Baselines</w:t>
      </w:r>
      <w:r w:rsidRPr="001323BE">
        <w:t xml:space="preserve"> Removed</w:t>
      </w:r>
    </w:p>
    <w:p w14:paraId="3426711E" w14:textId="1E0754D2" w:rsidR="00F257CE" w:rsidRDefault="00F257CE" w:rsidP="00AA2116">
      <w:r w:rsidRPr="001323BE">
        <w:t>The Commission propose</w:t>
      </w:r>
      <w:r w:rsidR="003C0ADD">
        <w:t>d</w:t>
      </w:r>
      <w:r w:rsidRPr="001323BE">
        <w:t xml:space="preserve"> eliminating the separate</w:t>
      </w:r>
      <w:r w:rsidR="00BD3834">
        <w:t xml:space="preserve"> </w:t>
      </w:r>
      <w:r w:rsidRPr="001323BE">
        <w:t xml:space="preserve">baseline wattages for specialty lamps </w:t>
      </w:r>
      <w:r w:rsidR="00BD3834">
        <w:t xml:space="preserve">table </w:t>
      </w:r>
      <w:r w:rsidRPr="001323BE">
        <w:t>to reflect the broadened definition of general service lamps under the provisions of EISA</w:t>
      </w:r>
      <w:r w:rsidR="00A0651F">
        <w:t xml:space="preserve">.  </w:t>
      </w:r>
      <w:r w:rsidR="00114E60">
        <w:t xml:space="preserve">This recommendation </w:t>
      </w:r>
      <w:r w:rsidR="00FC39BD">
        <w:t xml:space="preserve">was </w:t>
      </w:r>
      <w:r w:rsidR="00C96D88">
        <w:t xml:space="preserve">based on </w:t>
      </w:r>
      <w:r w:rsidR="00E942A0">
        <w:t xml:space="preserve">a </w:t>
      </w:r>
      <w:r w:rsidR="003B555D">
        <w:t xml:space="preserve">U.S. </w:t>
      </w:r>
      <w:r w:rsidR="0088010E">
        <w:t>DOE</w:t>
      </w:r>
      <w:r w:rsidR="00E942A0">
        <w:t xml:space="preserve"> ruling in 2017 that </w:t>
      </w:r>
      <w:r w:rsidR="00214B21">
        <w:t xml:space="preserve">would </w:t>
      </w:r>
      <w:r w:rsidR="000D7A5C">
        <w:t xml:space="preserve">eliminate exemptions </w:t>
      </w:r>
      <w:r w:rsidR="00FD3E46">
        <w:t>from the 45 lm/Watt standard for specialty lamp types including</w:t>
      </w:r>
      <w:r w:rsidR="007831DE">
        <w:t xml:space="preserve"> </w:t>
      </w:r>
      <w:r w:rsidR="007831DE" w:rsidRPr="00E70C60">
        <w:t>reflectors</w:t>
      </w:r>
      <w:r w:rsidR="005E3BD5" w:rsidRPr="00E70C60">
        <w:t xml:space="preserve"> and</w:t>
      </w:r>
      <w:r w:rsidR="007831DE" w:rsidRPr="0013297A">
        <w:t xml:space="preserve"> 3-way lamps</w:t>
      </w:r>
      <w:r w:rsidR="001A7844" w:rsidRPr="00F65FB3">
        <w:t>, to take</w:t>
      </w:r>
      <w:r w:rsidR="001A7844">
        <w:t xml:space="preserve"> effect January 2020</w:t>
      </w:r>
      <w:r w:rsidR="00C421E4">
        <w:t>.</w:t>
      </w:r>
      <w:r w:rsidR="00D43103">
        <w:rPr>
          <w:rStyle w:val="FootnoteReference"/>
        </w:rPr>
        <w:footnoteReference w:id="27"/>
      </w:r>
      <w:r w:rsidR="00C421E4">
        <w:t xml:space="preserve"> </w:t>
      </w:r>
      <w:r w:rsidR="004C7C02">
        <w:t xml:space="preserve"> </w:t>
      </w:r>
      <w:r w:rsidR="00214B21">
        <w:t xml:space="preserve">The status of this </w:t>
      </w:r>
      <w:r w:rsidR="00214B21">
        <w:lastRenderedPageBreak/>
        <w:t xml:space="preserve">ruling </w:t>
      </w:r>
      <w:r w:rsidR="00C0354B">
        <w:t>is currently in question</w:t>
      </w:r>
      <w:r w:rsidR="004000C7">
        <w:t xml:space="preserve"> as the </w:t>
      </w:r>
      <w:r w:rsidR="003B555D">
        <w:t xml:space="preserve">U.S. </w:t>
      </w:r>
      <w:r w:rsidR="004000C7">
        <w:t xml:space="preserve">DOE has proposed to take back the 2017 ruling and maintain the exemptions for reflectors and </w:t>
      </w:r>
      <w:r w:rsidR="00B00373">
        <w:t>other specialty lamp types</w:t>
      </w:r>
      <w:r w:rsidR="00A0651F">
        <w:t xml:space="preserve">.  </w:t>
      </w:r>
      <w:r w:rsidR="000563AA">
        <w:t xml:space="preserve">The </w:t>
      </w:r>
      <w:r w:rsidR="00C11CB5">
        <w:t xml:space="preserve">U.S. </w:t>
      </w:r>
      <w:r w:rsidR="000563AA">
        <w:t xml:space="preserve">DOE </w:t>
      </w:r>
      <w:r w:rsidR="0007083A">
        <w:t>held a public meeting on February 27, 2019</w:t>
      </w:r>
      <w:r w:rsidR="00433C42">
        <w:t xml:space="preserve"> </w:t>
      </w:r>
      <w:r w:rsidR="008A7A1E">
        <w:t>regarding th</w:t>
      </w:r>
      <w:r w:rsidR="00EE33FD">
        <w:t>is</w:t>
      </w:r>
      <w:r w:rsidR="008A7A1E">
        <w:t xml:space="preserve"> proposed rulemaking with public comments due by</w:t>
      </w:r>
      <w:r w:rsidR="00EE33FD">
        <w:t xml:space="preserve"> </w:t>
      </w:r>
      <w:r w:rsidR="000563AA">
        <w:t>May 3, 2019</w:t>
      </w:r>
      <w:r w:rsidR="00A0651F">
        <w:t>.</w:t>
      </w:r>
      <w:r w:rsidR="007C6AA9">
        <w:rPr>
          <w:rStyle w:val="FootnoteReference"/>
        </w:rPr>
        <w:footnoteReference w:id="28"/>
      </w:r>
      <w:r w:rsidR="00A0651F">
        <w:t xml:space="preserve"> </w:t>
      </w:r>
      <w:r w:rsidR="00BC03BB">
        <w:t xml:space="preserve"> </w:t>
      </w:r>
      <w:r w:rsidR="00556B84">
        <w:t>At this time,</w:t>
      </w:r>
      <w:r w:rsidR="007440D9">
        <w:t xml:space="preserve"> a final </w:t>
      </w:r>
      <w:r w:rsidR="00556B84">
        <w:t>decision has not been made</w:t>
      </w:r>
      <w:r w:rsidR="003C0ADD">
        <w:t>.</w:t>
      </w:r>
    </w:p>
    <w:p w14:paraId="4A147155" w14:textId="77777777" w:rsidR="00747D29" w:rsidRDefault="00747D29" w:rsidP="00AA2116"/>
    <w:p w14:paraId="0D4CB3AE" w14:textId="4B65BA14" w:rsidR="00747D29" w:rsidRPr="00EA32FE" w:rsidRDefault="00747D29" w:rsidP="00453F14">
      <w:pPr>
        <w:pStyle w:val="Heading5"/>
        <w:numPr>
          <w:ilvl w:val="4"/>
          <w:numId w:val="38"/>
        </w:numPr>
      </w:pPr>
      <w:r w:rsidRPr="00BB7109">
        <w:t>Comments</w:t>
      </w:r>
    </w:p>
    <w:p w14:paraId="5295DFF8" w14:textId="2F1EF629" w:rsidR="00747D29" w:rsidRDefault="007A4460" w:rsidP="00AA2116">
      <w:r>
        <w:t xml:space="preserve">Duquesne </w:t>
      </w:r>
      <w:r w:rsidR="00957056">
        <w:t xml:space="preserve">suggests </w:t>
      </w:r>
      <w:r>
        <w:t xml:space="preserve">that </w:t>
      </w:r>
      <w:r w:rsidR="0076745E">
        <w:t xml:space="preserve">the </w:t>
      </w:r>
      <w:r w:rsidR="003B555D">
        <w:t xml:space="preserve">U.S. </w:t>
      </w:r>
      <w:r w:rsidR="00FE070F">
        <w:t xml:space="preserve">DOE NOPR retracts the </w:t>
      </w:r>
      <w:r w:rsidR="00240B8B">
        <w:t>broadened</w:t>
      </w:r>
      <w:r w:rsidR="00FE07A3">
        <w:t xml:space="preserve"> definition of </w:t>
      </w:r>
      <w:r w:rsidR="00240B8B">
        <w:t>general service lamps</w:t>
      </w:r>
      <w:r w:rsidR="00305A98">
        <w:t xml:space="preserve">, </w:t>
      </w:r>
      <w:r w:rsidR="000720B7">
        <w:t xml:space="preserve">for this reason </w:t>
      </w:r>
      <w:r w:rsidR="00305A98">
        <w:t xml:space="preserve">it is premature to </w:t>
      </w:r>
      <w:r w:rsidR="006F335E">
        <w:t xml:space="preserve">impose the 45 lm/W baseline </w:t>
      </w:r>
      <w:r w:rsidR="00A81105">
        <w:t xml:space="preserve">to </w:t>
      </w:r>
      <w:r w:rsidR="002824D2">
        <w:t xml:space="preserve">standard and specialty lamp types in the 2021 TRM. </w:t>
      </w:r>
      <w:r w:rsidR="00BC03BB">
        <w:t xml:space="preserve"> </w:t>
      </w:r>
      <w:r w:rsidR="002824D2">
        <w:t xml:space="preserve">Duquesne Comments at 5-6. </w:t>
      </w:r>
      <w:r w:rsidR="00BC03BB">
        <w:t xml:space="preserve"> PPL</w:t>
      </w:r>
      <w:r w:rsidR="009207B2">
        <w:t xml:space="preserve"> </w:t>
      </w:r>
      <w:r w:rsidR="00C231DE">
        <w:t>also notes th</w:t>
      </w:r>
      <w:r w:rsidR="00CC7009">
        <w:t xml:space="preserve">at the </w:t>
      </w:r>
      <w:r w:rsidR="0076745E">
        <w:t xml:space="preserve">U.S. </w:t>
      </w:r>
      <w:r w:rsidR="00CC7009">
        <w:t xml:space="preserve">DOE NOPR would retain exemptions </w:t>
      </w:r>
      <w:r w:rsidR="001E42C0">
        <w:t xml:space="preserve">from the 45 lm/W standard for certain lamp </w:t>
      </w:r>
      <w:r w:rsidR="001E42C0" w:rsidRPr="005E1744">
        <w:t>types and suggests</w:t>
      </w:r>
      <w:r w:rsidR="002672A3" w:rsidRPr="005E1744">
        <w:t xml:space="preserve"> a</w:t>
      </w:r>
      <w:r w:rsidR="00843BB9" w:rsidRPr="005E1744">
        <w:t>n approach in the 2021 TRM that would allow for application of the market or</w:t>
      </w:r>
      <w:r w:rsidR="00843BB9">
        <w:t xml:space="preserve"> pre-EISA standard baselines to the exempted </w:t>
      </w:r>
      <w:r w:rsidR="00233397">
        <w:t>lamp types if the proposed rulemaking becomes final</w:t>
      </w:r>
      <w:r w:rsidR="0082760A">
        <w:t xml:space="preserve">.  </w:t>
      </w:r>
      <w:r w:rsidR="005B3B9B">
        <w:t>PPL</w:t>
      </w:r>
      <w:r w:rsidR="00A335D5">
        <w:t xml:space="preserve"> </w:t>
      </w:r>
      <w:r w:rsidR="005B3B9B">
        <w:t>Comments at 3.</w:t>
      </w:r>
    </w:p>
    <w:p w14:paraId="5ABE0B0D" w14:textId="77777777" w:rsidR="00747D29" w:rsidRDefault="00747D29" w:rsidP="00AA2116"/>
    <w:p w14:paraId="47BAE962" w14:textId="5C997FB8" w:rsidR="00747D29" w:rsidRPr="001062F9" w:rsidRDefault="00747D29" w:rsidP="00453F14">
      <w:pPr>
        <w:pStyle w:val="Heading5"/>
        <w:numPr>
          <w:ilvl w:val="4"/>
          <w:numId w:val="38"/>
        </w:numPr>
      </w:pPr>
      <w:r w:rsidRPr="001062F9">
        <w:t>Disposition</w:t>
      </w:r>
    </w:p>
    <w:p w14:paraId="68983183" w14:textId="35ACE8C1" w:rsidR="00747D29" w:rsidRDefault="00F94455" w:rsidP="00AA2116">
      <w:r>
        <w:t xml:space="preserve">As </w:t>
      </w:r>
      <w:r w:rsidR="0090106B">
        <w:t xml:space="preserve">previously </w:t>
      </w:r>
      <w:r w:rsidR="000A60B3">
        <w:t xml:space="preserve">stated </w:t>
      </w:r>
      <w:r>
        <w:t>in</w:t>
      </w:r>
      <w:r w:rsidR="005078DC">
        <w:t xml:space="preserve"> the Commission’s disposition</w:t>
      </w:r>
      <w:r w:rsidR="001E7474">
        <w:t xml:space="preserve"> in section E.1.a.ii</w:t>
      </w:r>
      <w:r w:rsidR="005078DC">
        <w:t xml:space="preserve"> regarding the 45 lm/W baseline</w:t>
      </w:r>
      <w:r w:rsidR="00D5611D">
        <w:t>,</w:t>
      </w:r>
      <w:r w:rsidR="005078DC">
        <w:t xml:space="preserve"> </w:t>
      </w:r>
      <w:r w:rsidR="00270EF6">
        <w:t xml:space="preserve">we </w:t>
      </w:r>
      <w:r w:rsidR="00C40FA1">
        <w:t xml:space="preserve">disagree with Duquesne’s and PPL’s </w:t>
      </w:r>
      <w:r w:rsidR="00DC428C">
        <w:t xml:space="preserve">recommendations </w:t>
      </w:r>
      <w:r w:rsidR="00671C67">
        <w:t xml:space="preserve">in the absence of a final ruling from </w:t>
      </w:r>
      <w:r w:rsidR="0076745E">
        <w:t xml:space="preserve">the U.S. </w:t>
      </w:r>
      <w:r w:rsidR="00671C67">
        <w:t>DOE</w:t>
      </w:r>
      <w:r w:rsidR="007C2739">
        <w:t xml:space="preserve"> </w:t>
      </w:r>
      <w:r w:rsidR="002964CC">
        <w:t xml:space="preserve">on this topic, </w:t>
      </w:r>
      <w:r w:rsidR="007C2739">
        <w:t xml:space="preserve">and the </w:t>
      </w:r>
      <w:r w:rsidR="00D23F5E">
        <w:t>probability that</w:t>
      </w:r>
      <w:r w:rsidR="007C2739">
        <w:t xml:space="preserve"> </w:t>
      </w:r>
      <w:r w:rsidR="00470FA6">
        <w:t xml:space="preserve">lengthy </w:t>
      </w:r>
      <w:r w:rsidR="007C2739">
        <w:t xml:space="preserve">litigation </w:t>
      </w:r>
      <w:r w:rsidR="00F05D5E">
        <w:t>w</w:t>
      </w:r>
      <w:r w:rsidR="00D23F5E">
        <w:t>ill</w:t>
      </w:r>
      <w:r w:rsidR="007C2739">
        <w:t xml:space="preserve"> leave th</w:t>
      </w:r>
      <w:r w:rsidR="00D308FF">
        <w:t>is</w:t>
      </w:r>
      <w:r w:rsidR="007C2739">
        <w:t xml:space="preserve"> issue unresolved through 2021</w:t>
      </w:r>
      <w:r w:rsidR="00671C67">
        <w:t xml:space="preserve">. </w:t>
      </w:r>
      <w:r>
        <w:t xml:space="preserve">    </w:t>
      </w:r>
    </w:p>
    <w:p w14:paraId="5175A8BB" w14:textId="77777777" w:rsidR="00F257CE" w:rsidRPr="001323BE" w:rsidRDefault="00F257CE" w:rsidP="00AA2116">
      <w:bookmarkStart w:id="143" w:name="_Toc413415437"/>
      <w:bookmarkStart w:id="144" w:name="_Toc536518386"/>
    </w:p>
    <w:p w14:paraId="1C1999D1" w14:textId="5D146E94" w:rsidR="00FA012E" w:rsidRDefault="00FA012E" w:rsidP="00453F14">
      <w:pPr>
        <w:pStyle w:val="Heading3"/>
        <w:numPr>
          <w:ilvl w:val="2"/>
          <w:numId w:val="63"/>
        </w:numPr>
      </w:pPr>
      <w:bookmarkStart w:id="145" w:name="_Toc15657926"/>
      <w:r w:rsidRPr="00FA592D">
        <w:t>Section 2.</w:t>
      </w:r>
      <w:r w:rsidRPr="0082744A">
        <w:t>1.5 – Holiday Lights</w:t>
      </w:r>
      <w:r w:rsidR="008337FC" w:rsidRPr="0034065D">
        <w:rPr>
          <w:rStyle w:val="FootnoteReference"/>
          <w:b w:val="0"/>
          <w:bCs/>
        </w:rPr>
        <w:footnoteReference w:id="29"/>
      </w:r>
      <w:bookmarkEnd w:id="145"/>
    </w:p>
    <w:p w14:paraId="3C955553" w14:textId="6E3E53E8" w:rsidR="00C0053D" w:rsidRDefault="00EE7CFC" w:rsidP="00AA2116">
      <w:pPr>
        <w:rPr>
          <w:bCs/>
        </w:rPr>
      </w:pPr>
      <w:r w:rsidRPr="001062F9">
        <w:t xml:space="preserve">The Commission did not propose any changes to </w:t>
      </w:r>
      <w:r>
        <w:t>S</w:t>
      </w:r>
      <w:r w:rsidRPr="001062F9">
        <w:t xml:space="preserve">ection </w:t>
      </w:r>
      <w:r w:rsidR="0060373B">
        <w:t xml:space="preserve">2.1.5 </w:t>
      </w:r>
      <w:r w:rsidRPr="001062F9">
        <w:t xml:space="preserve">– </w:t>
      </w:r>
      <w:r w:rsidR="0060373B">
        <w:t>Holiday Lights</w:t>
      </w:r>
      <w:r w:rsidRPr="001062F9">
        <w:t xml:space="preserve">. </w:t>
      </w:r>
      <w:r>
        <w:t xml:space="preserve"> </w:t>
      </w:r>
      <w:r w:rsidRPr="001062F9">
        <w:t xml:space="preserve">However, comments were received and are </w:t>
      </w:r>
      <w:r>
        <w:t>addressed below</w:t>
      </w:r>
      <w:r w:rsidR="00AC00F3">
        <w:t>.</w:t>
      </w:r>
    </w:p>
    <w:p w14:paraId="331455CB" w14:textId="77777777" w:rsidR="00421259" w:rsidRDefault="00421259" w:rsidP="00AA2116"/>
    <w:p w14:paraId="090ABA72" w14:textId="484C8A36" w:rsidR="00C0053D" w:rsidRDefault="00EF1E86" w:rsidP="00453F14">
      <w:pPr>
        <w:pStyle w:val="Heading4"/>
        <w:numPr>
          <w:ilvl w:val="3"/>
          <w:numId w:val="63"/>
        </w:numPr>
      </w:pPr>
      <w:r w:rsidRPr="007175AF">
        <w:lastRenderedPageBreak/>
        <w:t>Comments</w:t>
      </w:r>
    </w:p>
    <w:p w14:paraId="0EEF50A5" w14:textId="3C4488F5" w:rsidR="00D86F3E" w:rsidRDefault="002147CB" w:rsidP="00AA2116">
      <w:r>
        <w:t>FirstEnergy</w:t>
      </w:r>
      <w:r w:rsidR="00DE79DD">
        <w:t xml:space="preserve"> comments that the </w:t>
      </w:r>
      <w:r w:rsidR="009E53CA">
        <w:t>measure unit in the introductory table indicates a 25-bulb strand</w:t>
      </w:r>
      <w:r w:rsidR="0068729B">
        <w:t>,</w:t>
      </w:r>
      <w:r w:rsidR="009E53CA">
        <w:t xml:space="preserve"> while the </w:t>
      </w:r>
      <w:r w:rsidR="000F2738">
        <w:t>default value for the algorithm is a 50-bulb strand.</w:t>
      </w:r>
    </w:p>
    <w:p w14:paraId="32E75ED8" w14:textId="77777777" w:rsidR="00BC58C2" w:rsidRDefault="00BC58C2" w:rsidP="00AA2116"/>
    <w:p w14:paraId="3644B8E6" w14:textId="1D32FE25" w:rsidR="000F2738" w:rsidRDefault="000F2738" w:rsidP="00453F14">
      <w:pPr>
        <w:pStyle w:val="Heading4"/>
        <w:numPr>
          <w:ilvl w:val="3"/>
          <w:numId w:val="63"/>
        </w:numPr>
      </w:pPr>
      <w:r>
        <w:t>Disposition</w:t>
      </w:r>
    </w:p>
    <w:p w14:paraId="3EFACA59" w14:textId="572D2858" w:rsidR="000F2738" w:rsidRPr="000F2738" w:rsidRDefault="000F2738" w:rsidP="00AA2116">
      <w:r>
        <w:t xml:space="preserve">The Commission </w:t>
      </w:r>
      <w:r w:rsidR="00AC00F3">
        <w:t>agrees with FirstEnergy</w:t>
      </w:r>
      <w:r w:rsidR="0008149E">
        <w:t>’s recommendation</w:t>
      </w:r>
      <w:r w:rsidR="00AC00F3">
        <w:t xml:space="preserve"> and </w:t>
      </w:r>
      <w:r>
        <w:t>has corrected the introductory table to define the measure unit as a 50-bulb strand.</w:t>
      </w:r>
    </w:p>
    <w:p w14:paraId="28E50BBB" w14:textId="77777777" w:rsidR="00C0053D" w:rsidRPr="00C0053D" w:rsidRDefault="00C0053D" w:rsidP="00AA2116"/>
    <w:p w14:paraId="29D6FBDB" w14:textId="042860E3" w:rsidR="00F257CE" w:rsidRPr="001323BE" w:rsidRDefault="00F257CE" w:rsidP="00453F14">
      <w:pPr>
        <w:pStyle w:val="Heading3"/>
        <w:numPr>
          <w:ilvl w:val="2"/>
          <w:numId w:val="63"/>
        </w:numPr>
      </w:pPr>
      <w:bookmarkStart w:id="146" w:name="_Toc15657927"/>
      <w:r w:rsidRPr="001323BE">
        <w:t>Section 2.2</w:t>
      </w:r>
      <w:r w:rsidRPr="0082744A">
        <w:t>.1 – Electric HVAC</w:t>
      </w:r>
      <w:r w:rsidRPr="001323BE">
        <w:rPr>
          <w:rStyle w:val="FootnoteReference"/>
          <w:b w:val="0"/>
        </w:rPr>
        <w:footnoteReference w:id="30"/>
      </w:r>
      <w:bookmarkEnd w:id="143"/>
      <w:bookmarkEnd w:id="144"/>
      <w:bookmarkEnd w:id="146"/>
    </w:p>
    <w:p w14:paraId="3788C5F1" w14:textId="77777777" w:rsidR="00F257CE" w:rsidRPr="001323BE" w:rsidRDefault="5826BB76" w:rsidP="00453F14">
      <w:pPr>
        <w:pStyle w:val="Heading4"/>
        <w:numPr>
          <w:ilvl w:val="3"/>
          <w:numId w:val="63"/>
        </w:numPr>
      </w:pPr>
      <w:r w:rsidRPr="008E20E0">
        <w:t>Changes</w:t>
      </w:r>
      <w:r>
        <w:t xml:space="preserve"> to Name and Section Structure</w:t>
      </w:r>
    </w:p>
    <w:p w14:paraId="151E9009" w14:textId="5D68C112" w:rsidR="00F257CE" w:rsidRDefault="00F257CE" w:rsidP="00AA2116">
      <w:r w:rsidRPr="001323BE">
        <w:t xml:space="preserve">This measure in the </w:t>
      </w:r>
      <w:r w:rsidR="00E001E2">
        <w:t>2016</w:t>
      </w:r>
      <w:r w:rsidRPr="001323BE">
        <w:t xml:space="preserve"> TRM includes a variety of HVAC-related but dissimilar measures</w:t>
      </w:r>
      <w:r w:rsidR="00A0651F">
        <w:t xml:space="preserve">.  </w:t>
      </w:r>
      <w:r w:rsidRPr="001323BE">
        <w:t>The Commission propose</w:t>
      </w:r>
      <w:r w:rsidR="00BB05DF">
        <w:t>d</w:t>
      </w:r>
      <w:r w:rsidRPr="001323BE">
        <w:t xml:space="preserve"> to limit this measure to new electric HVAC equipment, with the other measures separated into their own sections of the TRM</w:t>
      </w:r>
      <w:r w:rsidR="003B0B41">
        <w:t>, and to rename</w:t>
      </w:r>
      <w:r w:rsidR="007C542D">
        <w:t xml:space="preserve"> </w:t>
      </w:r>
      <w:r w:rsidRPr="005E1744">
        <w:t>this measure High</w:t>
      </w:r>
      <w:r w:rsidR="00E70C60" w:rsidRPr="005E1744">
        <w:t>-e</w:t>
      </w:r>
      <w:r w:rsidRPr="005E1744">
        <w:t>fficiency Equipment: ASHP, CAC, GSHP, PTAC, PTHP to clearly define the equipment covered</w:t>
      </w:r>
      <w:r w:rsidR="00F86E48">
        <w:t>.</w:t>
      </w:r>
      <w:r w:rsidR="00A0651F">
        <w:t xml:space="preserve">  </w:t>
      </w:r>
      <w:r w:rsidRPr="001323BE">
        <w:t>PTAC and PTHP systems had previously been included in Section 2.2.1</w:t>
      </w:r>
      <w:r w:rsidR="00945755">
        <w:t>0</w:t>
      </w:r>
      <w:r w:rsidRPr="001323BE">
        <w:t xml:space="preserve"> – Packaged Terminal Systems</w:t>
      </w:r>
      <w:r w:rsidR="00E70C60">
        <w:t>,</w:t>
      </w:r>
      <w:r w:rsidRPr="001323BE">
        <w:rPr>
          <w:vertAlign w:val="superscript"/>
        </w:rPr>
        <w:footnoteReference w:id="31"/>
      </w:r>
      <w:r w:rsidRPr="001323BE">
        <w:t xml:space="preserve"> though the savings algorithms are similar to other electric HVAC equipment</w:t>
      </w:r>
      <w:r w:rsidR="00A0651F">
        <w:t xml:space="preserve">.  </w:t>
      </w:r>
      <w:r w:rsidR="00D94687">
        <w:t>We</w:t>
      </w:r>
      <w:r w:rsidRPr="001323BE">
        <w:t xml:space="preserve"> propose</w:t>
      </w:r>
      <w:r w:rsidR="00BF59F5">
        <w:t>d</w:t>
      </w:r>
      <w:r w:rsidRPr="001323BE">
        <w:t xml:space="preserve"> </w:t>
      </w:r>
      <w:r w:rsidR="00DD277F">
        <w:t xml:space="preserve">to remove </w:t>
      </w:r>
      <w:r w:rsidR="00EC1733">
        <w:t xml:space="preserve">the measures related to </w:t>
      </w:r>
      <w:r w:rsidRPr="001323BE">
        <w:t>Properly Sized Cooling, ECM Circulation Fans, GSHP Desuperheaters, and Air Conditioner &amp; Heat Pump Maintenance</w:t>
      </w:r>
      <w:r w:rsidR="007B298C">
        <w:t xml:space="preserve"> from the section</w:t>
      </w:r>
      <w:r w:rsidR="00A0651F">
        <w:t xml:space="preserve">.  </w:t>
      </w:r>
    </w:p>
    <w:p w14:paraId="6A5E435E" w14:textId="77777777" w:rsidR="00747D29" w:rsidRDefault="00747D29" w:rsidP="00AA2116"/>
    <w:p w14:paraId="3D4B4BA2" w14:textId="6F8D96B1" w:rsidR="00747D29" w:rsidRPr="001062F9" w:rsidRDefault="00747D29" w:rsidP="00453F14">
      <w:pPr>
        <w:pStyle w:val="Heading5"/>
        <w:numPr>
          <w:ilvl w:val="4"/>
          <w:numId w:val="39"/>
        </w:numPr>
      </w:pPr>
      <w:r w:rsidRPr="008E20E0">
        <w:t>Comments</w:t>
      </w:r>
    </w:p>
    <w:p w14:paraId="42A9C53E" w14:textId="5A306762" w:rsidR="005875BD" w:rsidRDefault="005875BD" w:rsidP="00AA2116">
      <w:r>
        <w:t xml:space="preserve">PECO recommends </w:t>
      </w:r>
      <w:r w:rsidR="00891AEE">
        <w:t>incorporating</w:t>
      </w:r>
      <w:r>
        <w:t xml:space="preserve"> </w:t>
      </w:r>
      <w:r w:rsidR="00AC452F">
        <w:t>Properly Sized Cooling</w:t>
      </w:r>
      <w:r>
        <w:t xml:space="preserve"> as a factor into the High Efficiency Equipment measures (</w:t>
      </w:r>
      <w:r w:rsidR="008C36AA">
        <w:t>see</w:t>
      </w:r>
      <w:r w:rsidR="00A25BBB">
        <w:t xml:space="preserve"> </w:t>
      </w:r>
      <w:r>
        <w:t xml:space="preserve">Sections 2.2.1 and 2.2.2 in the </w:t>
      </w:r>
      <w:r w:rsidR="0046354C">
        <w:t>proposed</w:t>
      </w:r>
      <w:r w:rsidR="001026CE">
        <w:t xml:space="preserve"> </w:t>
      </w:r>
      <w:r>
        <w:t>TRM)</w:t>
      </w:r>
      <w:r w:rsidR="0021635A">
        <w:t xml:space="preserve"> but</w:t>
      </w:r>
      <w:r>
        <w:t xml:space="preserve"> </w:t>
      </w:r>
      <w:r w:rsidR="0021635A">
        <w:t xml:space="preserve">to exclude </w:t>
      </w:r>
      <w:r>
        <w:t>properly sized baseline units from eligibility.  PECO Comments at 7, 22, 23, 28.</w:t>
      </w:r>
    </w:p>
    <w:p w14:paraId="2628B7BE" w14:textId="77777777" w:rsidR="00747D29" w:rsidRDefault="00747D29" w:rsidP="00AA2116"/>
    <w:p w14:paraId="031DB31E" w14:textId="25DAF525" w:rsidR="00747D29" w:rsidRPr="001062F9" w:rsidRDefault="00747D29" w:rsidP="00453F14">
      <w:pPr>
        <w:pStyle w:val="Heading5"/>
        <w:numPr>
          <w:ilvl w:val="4"/>
          <w:numId w:val="39"/>
        </w:numPr>
      </w:pPr>
      <w:r w:rsidRPr="00BF59F5">
        <w:lastRenderedPageBreak/>
        <w:t>Disposition</w:t>
      </w:r>
    </w:p>
    <w:p w14:paraId="5FF0B12B" w14:textId="28895CDC" w:rsidR="00B431D0" w:rsidRDefault="009A4FE0" w:rsidP="00AA2116">
      <w:r>
        <w:t>The Commission agrees</w:t>
      </w:r>
      <w:r w:rsidR="008C36AA">
        <w:t xml:space="preserve"> with PECO’s recommendation</w:t>
      </w:r>
      <w:r>
        <w:t xml:space="preserve"> and has removed the separate measure for Properly Sized Cooling</w:t>
      </w:r>
      <w:r w:rsidR="0082760A">
        <w:t xml:space="preserve">.  </w:t>
      </w:r>
      <w:r>
        <w:t xml:space="preserve">This measure is now an additional term in the savings algorithm for the </w:t>
      </w:r>
      <w:r w:rsidRPr="00B52672">
        <w:t>High Efficiency Equipment: ASHP, CAC, GSHP, PTAC, PTHP</w:t>
      </w:r>
      <w:r>
        <w:t xml:space="preserve"> measure and the </w:t>
      </w:r>
      <w:r w:rsidRPr="005662E1">
        <w:t xml:space="preserve">High Efficiency Equipment: </w:t>
      </w:r>
      <w:r>
        <w:t>Ductless Heat Pumps with Midstream Delivery Option (</w:t>
      </w:r>
      <w:r w:rsidR="008C36AA">
        <w:t xml:space="preserve">see </w:t>
      </w:r>
      <w:r>
        <w:t>Sections 2.2.1 and 2.2.2).</w:t>
      </w:r>
    </w:p>
    <w:p w14:paraId="798E478C" w14:textId="77777777" w:rsidR="00D43376" w:rsidRPr="001323BE" w:rsidRDefault="00D43376" w:rsidP="00AA2116"/>
    <w:p w14:paraId="508868CF" w14:textId="77777777" w:rsidR="00F257CE" w:rsidRPr="001323BE" w:rsidRDefault="5826BB76" w:rsidP="00453F14">
      <w:pPr>
        <w:pStyle w:val="Heading4"/>
        <w:numPr>
          <w:ilvl w:val="3"/>
          <w:numId w:val="39"/>
        </w:numPr>
      </w:pPr>
      <w:r>
        <w:t>Updates to Default Values</w:t>
      </w:r>
    </w:p>
    <w:p w14:paraId="1C29A83D" w14:textId="26A436C6" w:rsidR="00F257CE" w:rsidRPr="001323BE" w:rsidRDefault="00F257CE" w:rsidP="00FF0754">
      <w:r w:rsidRPr="001323BE">
        <w:t>The Commission propose</w:t>
      </w:r>
      <w:r w:rsidR="00CB2A87">
        <w:t>d</w:t>
      </w:r>
      <w:r w:rsidRPr="001323BE">
        <w:t xml:space="preserve"> </w:t>
      </w:r>
      <w:r w:rsidR="002A0E6A">
        <w:t>to update</w:t>
      </w:r>
      <w:r w:rsidRPr="001323BE">
        <w:t xml:space="preserve"> the default efficiencies for early replacement equipment using data from the </w:t>
      </w:r>
      <w:r w:rsidR="00026D62" w:rsidRPr="001323BE">
        <w:t xml:space="preserve">2018 Pennsylvania Residential Baseline Study </w:t>
      </w:r>
      <w:r w:rsidRPr="001323BE">
        <w:t xml:space="preserve">and </w:t>
      </w:r>
      <w:r w:rsidR="002A0E6A">
        <w:t>the</w:t>
      </w:r>
      <w:r w:rsidRPr="001323BE">
        <w:t xml:space="preserve"> default efficiencies for replace on burnout or new construction installations based on applicable updates to </w:t>
      </w:r>
      <w:r w:rsidR="00AE05B4">
        <w:t>f</w:t>
      </w:r>
      <w:r w:rsidRPr="001323BE">
        <w:t>ederal standards</w:t>
      </w:r>
      <w:r w:rsidR="00A0651F">
        <w:t xml:space="preserve">.  </w:t>
      </w:r>
      <w:r w:rsidRPr="001323BE">
        <w:t>This measure is also affected by updates to climate-dependent values</w:t>
      </w:r>
      <w:r w:rsidR="00E70C60">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B10CDB">
        <w:t>B</w:t>
      </w:r>
      <w:r w:rsidRPr="001323BE">
        <w:fldChar w:fldCharType="end"/>
      </w:r>
      <w:r w:rsidRPr="001323BE">
        <w:t>.</w:t>
      </w:r>
      <w:r w:rsidR="00A46714">
        <w:t>5</w:t>
      </w:r>
      <w:r w:rsidRPr="001323BE">
        <w:t>.</w:t>
      </w:r>
    </w:p>
    <w:p w14:paraId="572D9FB3" w14:textId="77777777" w:rsidR="00747D29" w:rsidRDefault="00747D29" w:rsidP="00AA2116">
      <w:bookmarkStart w:id="147" w:name="_Toc536518387"/>
    </w:p>
    <w:p w14:paraId="0C54800E" w14:textId="63BE2B6C" w:rsidR="00747D29" w:rsidRPr="001062F9" w:rsidRDefault="00747D29" w:rsidP="00453F14">
      <w:pPr>
        <w:pStyle w:val="Heading5"/>
        <w:numPr>
          <w:ilvl w:val="4"/>
          <w:numId w:val="39"/>
        </w:numPr>
      </w:pPr>
      <w:r w:rsidRPr="137D8D93">
        <w:t>Comments</w:t>
      </w:r>
    </w:p>
    <w:p w14:paraId="45E234F9" w14:textId="381386D5" w:rsidR="00D106F5" w:rsidRDefault="002147CB" w:rsidP="00AA2116">
      <w:r>
        <w:t>FirstEnergy</w:t>
      </w:r>
      <w:r w:rsidR="00912EA5">
        <w:t xml:space="preserve"> comments that </w:t>
      </w:r>
      <w:r w:rsidR="007700EA">
        <w:t>the value definition for the algorithm term EFLH</w:t>
      </w:r>
      <w:r w:rsidR="007700EA" w:rsidRPr="007700EA">
        <w:rPr>
          <w:vertAlign w:val="subscript"/>
        </w:rPr>
        <w:t>heat</w:t>
      </w:r>
      <w:r w:rsidR="007700EA">
        <w:t xml:space="preserve"> refers to </w:t>
      </w:r>
      <w:r w:rsidR="00912EA5">
        <w:t xml:space="preserve">“Secondary HP” </w:t>
      </w:r>
      <w:r w:rsidR="00CC01D0">
        <w:t>in</w:t>
      </w:r>
      <w:r w:rsidR="7EA9A3E2">
        <w:t xml:space="preserve"> Vol. 1, App. A (</w:t>
      </w:r>
      <w:r w:rsidR="7EA9A3E2" w:rsidRPr="005E1744">
        <w:t>Table 1-8)</w:t>
      </w:r>
      <w:r w:rsidR="00CC01D0">
        <w:t xml:space="preserve"> and that Secondary HP is not clearly defined there</w:t>
      </w:r>
      <w:r w:rsidR="0082760A">
        <w:t xml:space="preserve">.  </w:t>
      </w:r>
      <w:r w:rsidR="009209A2">
        <w:t xml:space="preserve">Furthermore, FirstEnergy comments that default values are not provided for PTHPs and PTACs and that it is unclear if PTACs and PTHPs should </w:t>
      </w:r>
      <w:r w:rsidR="00FB2915">
        <w:t xml:space="preserve">be </w:t>
      </w:r>
      <w:r w:rsidR="009209A2">
        <w:t>use</w:t>
      </w:r>
      <w:r w:rsidR="004E1272">
        <w:t xml:space="preserve">d </w:t>
      </w:r>
      <w:r w:rsidR="009209A2">
        <w:t xml:space="preserve">for CAC and HP rows in the table of default oversize factor values as they are not </w:t>
      </w:r>
      <w:r w:rsidR="006A64CD" w:rsidRPr="006A64CD">
        <w:t>“</w:t>
      </w:r>
      <w:r w:rsidR="009209A2">
        <w:t>central.</w:t>
      </w:r>
      <w:r w:rsidR="006A64CD" w:rsidRPr="006A64CD">
        <w:t xml:space="preserve"> </w:t>
      </w:r>
      <w:r w:rsidR="006A64CD">
        <w:t>”</w:t>
      </w:r>
      <w:r w:rsidR="00FB2915">
        <w:t xml:space="preserve">  </w:t>
      </w:r>
      <w:r>
        <w:t>FirstEnergy</w:t>
      </w:r>
      <w:r w:rsidR="00CC01D0">
        <w:t xml:space="preserve"> Comments</w:t>
      </w:r>
      <w:r w:rsidR="00D106F5">
        <w:t xml:space="preserve"> at 1.</w:t>
      </w:r>
    </w:p>
    <w:p w14:paraId="32C2A090" w14:textId="77777777" w:rsidR="00747D29" w:rsidRDefault="00747D29" w:rsidP="00AA2116"/>
    <w:p w14:paraId="6F9686BB" w14:textId="1194B69D" w:rsidR="00747D29" w:rsidRPr="001062F9" w:rsidRDefault="00747D29" w:rsidP="00453F14">
      <w:pPr>
        <w:pStyle w:val="Heading5"/>
        <w:numPr>
          <w:ilvl w:val="4"/>
          <w:numId w:val="39"/>
        </w:numPr>
      </w:pPr>
      <w:r w:rsidRPr="0D9F0738">
        <w:t>Disposition</w:t>
      </w:r>
    </w:p>
    <w:p w14:paraId="72332DF0" w14:textId="1FF99C10" w:rsidR="00146087" w:rsidRPr="00146087" w:rsidRDefault="002064E6" w:rsidP="00AA2116">
      <w:r>
        <w:t>The Commission</w:t>
      </w:r>
      <w:r w:rsidR="004E1272">
        <w:t xml:space="preserve"> agrees with FirstEnergy’s suggestion and</w:t>
      </w:r>
      <w:r>
        <w:t xml:space="preserve"> has </w:t>
      </w:r>
      <w:r w:rsidR="0067622B">
        <w:t>clarified the definition of Secondary HP in Volume 1, Appendix A</w:t>
      </w:r>
      <w:r w:rsidR="000F74AC">
        <w:t xml:space="preserve"> and </w:t>
      </w:r>
      <w:r w:rsidR="00DC5BEC">
        <w:t xml:space="preserve">also </w:t>
      </w:r>
      <w:r w:rsidR="000F74AC">
        <w:t>added a table of primary and secondary locations to the Appendix A spreadsheet tool</w:t>
      </w:r>
      <w:r w:rsidR="0067622B">
        <w:t>.</w:t>
      </w:r>
      <w:r w:rsidR="00A23F68">
        <w:t xml:space="preserve">  </w:t>
      </w:r>
      <w:r w:rsidR="0067622B">
        <w:t>The Commission notes that default efficiency values for PTHPs and PTACs are capacity-dependent</w:t>
      </w:r>
      <w:r w:rsidR="004B4433">
        <w:t xml:space="preserve"> and must be calculated using the provided formulas</w:t>
      </w:r>
      <w:r w:rsidR="00D57797">
        <w:t xml:space="preserve">.  </w:t>
      </w:r>
      <w:r w:rsidR="00571F6B">
        <w:t xml:space="preserve">We agree with </w:t>
      </w:r>
      <w:r w:rsidR="003837C2">
        <w:t>FirstEnergy’s opinion</w:t>
      </w:r>
      <w:r w:rsidR="00571F6B">
        <w:t xml:space="preserve"> that o</w:t>
      </w:r>
      <w:r w:rsidR="009C1620">
        <w:t xml:space="preserve">versize factors do not depend on installation of a central system and </w:t>
      </w:r>
      <w:r w:rsidR="00D57797">
        <w:t xml:space="preserve">therefore </w:t>
      </w:r>
      <w:r w:rsidR="009C1620">
        <w:t>has added PTAC to the table of default oversize factors for clarity.</w:t>
      </w:r>
    </w:p>
    <w:p w14:paraId="53E1C5FF" w14:textId="77777777" w:rsidR="00F257CE" w:rsidRPr="001323BE" w:rsidRDefault="00F257CE" w:rsidP="00AA2116">
      <w:bookmarkStart w:id="148" w:name="_Toc536518388"/>
      <w:bookmarkEnd w:id="147"/>
    </w:p>
    <w:p w14:paraId="17759E7B" w14:textId="6BFC9DDA" w:rsidR="00F257CE" w:rsidRPr="001323BE" w:rsidRDefault="00F257CE" w:rsidP="00453F14">
      <w:pPr>
        <w:pStyle w:val="Heading3"/>
        <w:numPr>
          <w:ilvl w:val="2"/>
          <w:numId w:val="40"/>
        </w:numPr>
      </w:pPr>
      <w:bookmarkStart w:id="149" w:name="_Toc15657928"/>
      <w:r w:rsidRPr="001323BE">
        <w:t>Section 2.2.</w:t>
      </w:r>
      <w:r w:rsidRPr="0082744A">
        <w:t>3 – Ductless Mini-</w:t>
      </w:r>
      <w:r w:rsidR="00D007CB" w:rsidRPr="0082744A">
        <w:t>s</w:t>
      </w:r>
      <w:r w:rsidRPr="0082744A">
        <w:t>plit Heat Pumps</w:t>
      </w:r>
      <w:r w:rsidRPr="001323BE">
        <w:rPr>
          <w:rStyle w:val="FootnoteReference"/>
        </w:rPr>
        <w:footnoteReference w:id="32"/>
      </w:r>
      <w:bookmarkEnd w:id="148"/>
      <w:bookmarkEnd w:id="149"/>
    </w:p>
    <w:p w14:paraId="7D422ADE" w14:textId="550A3A24" w:rsidR="00F257CE" w:rsidRPr="001323BE" w:rsidRDefault="5826BB76" w:rsidP="00453F14">
      <w:pPr>
        <w:pStyle w:val="Heading4"/>
        <w:numPr>
          <w:ilvl w:val="3"/>
          <w:numId w:val="40"/>
        </w:numPr>
      </w:pPr>
      <w:r>
        <w:t>Eligibility and Default Values</w:t>
      </w:r>
    </w:p>
    <w:p w14:paraId="6AA9C6ED" w14:textId="257A9600" w:rsidR="00F257CE" w:rsidRPr="001323BE" w:rsidRDefault="00F257CE" w:rsidP="00AA2116">
      <w:r w:rsidRPr="001323BE">
        <w:t>The Commission propose</w:t>
      </w:r>
      <w:r w:rsidR="00D70F6F">
        <w:t>d</w:t>
      </w:r>
      <w:r w:rsidRPr="001323BE">
        <w:t xml:space="preserve"> that eligibility for efficient ductless heat pumps be limited to ENERGY STAR-qualified models.</w:t>
      </w:r>
      <w:r w:rsidR="00A31012">
        <w:t xml:space="preserve">  </w:t>
      </w:r>
      <w:r w:rsidR="0041033F">
        <w:t>We</w:t>
      </w:r>
      <w:r w:rsidRPr="001323BE">
        <w:t xml:space="preserve"> </w:t>
      </w:r>
      <w:r w:rsidR="00A31012">
        <w:t xml:space="preserve">also </w:t>
      </w:r>
      <w:r w:rsidRPr="001323BE">
        <w:t>propose</w:t>
      </w:r>
      <w:r w:rsidR="00181145">
        <w:t>d</w:t>
      </w:r>
      <w:r w:rsidRPr="001323BE">
        <w:t xml:space="preserve"> </w:t>
      </w:r>
      <w:r w:rsidR="0041033F">
        <w:t>to update</w:t>
      </w:r>
      <w:r w:rsidRPr="001323BE">
        <w:t xml:space="preserve"> the default efficiencies for early replacement equipment</w:t>
      </w:r>
      <w:r w:rsidR="00055AE3">
        <w:t>,</w:t>
      </w:r>
      <w:r w:rsidRPr="001323BE">
        <w:t xml:space="preserve"> using data from the</w:t>
      </w:r>
      <w:r w:rsidR="00026D62">
        <w:t xml:space="preserve"> </w:t>
      </w:r>
      <w:r w:rsidR="00026D62" w:rsidRPr="001323BE">
        <w:t>2018 Pennsylvania Residential Baseline Study</w:t>
      </w:r>
      <w:r w:rsidR="00055AE3">
        <w:t>,</w:t>
      </w:r>
      <w:r w:rsidR="00026D62" w:rsidRPr="001323BE">
        <w:t xml:space="preserve"> </w:t>
      </w:r>
      <w:r w:rsidRPr="001323BE">
        <w:t>and for replace on burnout or new construction installations based on applicable updates to Federal standards</w:t>
      </w:r>
      <w:r w:rsidR="00A0651F">
        <w:t xml:space="preserve">.  </w:t>
      </w:r>
      <w:r w:rsidRPr="001323BE">
        <w:t>This measure is also affected by updates to climate-dependent values</w:t>
      </w:r>
      <w:r w:rsidR="00E70C60">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B10CDB">
        <w:t>B</w:t>
      </w:r>
      <w:r w:rsidRPr="001323BE">
        <w:fldChar w:fldCharType="end"/>
      </w:r>
      <w:r w:rsidRPr="001323BE">
        <w:t>.</w:t>
      </w:r>
    </w:p>
    <w:p w14:paraId="42B47990" w14:textId="77777777" w:rsidR="008C1D28" w:rsidRDefault="008C1D28" w:rsidP="00AA2116">
      <w:bookmarkStart w:id="150" w:name="_Hlk536458710"/>
      <w:bookmarkStart w:id="151" w:name="_Toc536518389"/>
    </w:p>
    <w:p w14:paraId="7CB4037D" w14:textId="46F5AF20" w:rsidR="00C60630" w:rsidRPr="001062F9" w:rsidRDefault="00C60630" w:rsidP="00453F14">
      <w:pPr>
        <w:pStyle w:val="Heading5"/>
        <w:numPr>
          <w:ilvl w:val="4"/>
          <w:numId w:val="41"/>
        </w:numPr>
      </w:pPr>
      <w:r w:rsidRPr="001062F9">
        <w:t>Comments</w:t>
      </w:r>
    </w:p>
    <w:p w14:paraId="4D2F7B6F" w14:textId="4EF9835C" w:rsidR="00777B5E" w:rsidRDefault="002147CB" w:rsidP="00AA2116">
      <w:r>
        <w:t>FirstEnergy</w:t>
      </w:r>
      <w:r w:rsidR="000752EC">
        <w:t xml:space="preserve"> comments that the table numbering is incorrect for  </w:t>
      </w:r>
      <w:r w:rsidR="00F43560">
        <w:t>T</w:t>
      </w:r>
      <w:r w:rsidR="0054006A">
        <w:t>able</w:t>
      </w:r>
      <w:r w:rsidR="00F43560">
        <w:t xml:space="preserve"> 2-13:</w:t>
      </w:r>
      <w:r w:rsidR="0054006A">
        <w:t xml:space="preserve">  Oversize and Duct Leakage factors for High Efficiency Equipment</w:t>
      </w:r>
      <w:r w:rsidR="008B5D8C">
        <w:t xml:space="preserve"> </w:t>
      </w:r>
      <w:r w:rsidR="0023642C">
        <w:t>(</w:t>
      </w:r>
      <w:r w:rsidR="007D0BBB">
        <w:t>T</w:t>
      </w:r>
      <w:r w:rsidR="0023642C">
        <w:t xml:space="preserve">able </w:t>
      </w:r>
      <w:r w:rsidR="00985371">
        <w:t xml:space="preserve">in the TRM) </w:t>
      </w:r>
      <w:r w:rsidR="00544245">
        <w:t xml:space="preserve">and </w:t>
      </w:r>
      <w:r w:rsidR="008B5D8C">
        <w:t>that the page reference</w:t>
      </w:r>
      <w:r w:rsidR="004B706F">
        <w:t>d</w:t>
      </w:r>
      <w:r w:rsidR="008B5D8C">
        <w:t xml:space="preserve"> in the cited source document from Northeast Energy Efficiency Partnerships is incorrect</w:t>
      </w:r>
      <w:r w:rsidR="007D7784">
        <w:t xml:space="preserve">.  Furthermore, </w:t>
      </w:r>
      <w:r w:rsidR="00071793">
        <w:t>FirstEnergy requests that the Commission consider adding a statewide weighted average EFLH in the absence of zip code data for purchased products as the installation zip code may not always be available.  FirstEnergy Comments at 1.</w:t>
      </w:r>
      <w:r w:rsidR="00A23F68">
        <w:t xml:space="preserve">  </w:t>
      </w:r>
      <w:r w:rsidR="00AD5AEA">
        <w:rPr>
          <w:szCs w:val="26"/>
        </w:rPr>
        <w:t>Franklin Energy comments that the</w:t>
      </w:r>
      <w:r w:rsidR="7EA9A3E2">
        <w:rPr>
          <w:szCs w:val="26"/>
        </w:rPr>
        <w:t xml:space="preserve"> </w:t>
      </w:r>
      <w:r w:rsidR="7EA9A3E2">
        <w:t xml:space="preserve">baseline could also be no </w:t>
      </w:r>
      <w:r w:rsidR="00044AAD">
        <w:t>air conditioning</w:t>
      </w:r>
      <w:r w:rsidR="7EA9A3E2">
        <w:t xml:space="preserve"> for installation cases other than New Construction.  Franklin Energy Comments at 28.</w:t>
      </w:r>
      <w:r w:rsidR="00A23F68">
        <w:t xml:space="preserve">  </w:t>
      </w:r>
      <w:r w:rsidR="004C5D82">
        <w:rPr>
          <w:szCs w:val="26"/>
        </w:rPr>
        <w:t xml:space="preserve">PECO comments that </w:t>
      </w:r>
      <w:r w:rsidR="004C5D82">
        <w:t>certain</w:t>
      </w:r>
      <w:r w:rsidR="7EA9A3E2">
        <w:t xml:space="preserve"> composite EFLH values are not consistent with the values in approved IMPs</w:t>
      </w:r>
      <w:r w:rsidR="00DA2BBB">
        <w:t xml:space="preserve"> and</w:t>
      </w:r>
      <w:r w:rsidR="7EA9A3E2">
        <w:t xml:space="preserve"> recommends that the TRM be updated to be consistent with the approved IMP.  </w:t>
      </w:r>
      <w:r w:rsidR="00FE4E19">
        <w:t>PECO Comments at</w:t>
      </w:r>
      <w:r w:rsidR="00123156">
        <w:t xml:space="preserve"> 7.</w:t>
      </w:r>
    </w:p>
    <w:p w14:paraId="2D478CFF" w14:textId="27F69751" w:rsidR="00E017C7" w:rsidRPr="00777B5E" w:rsidRDefault="00E95100" w:rsidP="00AA2116">
      <w:r>
        <w:tab/>
      </w:r>
    </w:p>
    <w:p w14:paraId="6DF3113A" w14:textId="7BDEA5BF" w:rsidR="00084F17" w:rsidRPr="001062F9" w:rsidRDefault="00084F17" w:rsidP="00453F14">
      <w:pPr>
        <w:pStyle w:val="Heading5"/>
        <w:numPr>
          <w:ilvl w:val="4"/>
          <w:numId w:val="41"/>
        </w:numPr>
      </w:pPr>
      <w:r w:rsidRPr="00552675">
        <w:t>Disposition</w:t>
      </w:r>
    </w:p>
    <w:p w14:paraId="481276B6" w14:textId="2BCA0A49" w:rsidR="00BB7515" w:rsidRDefault="00AB2E1B" w:rsidP="00FF0754">
      <w:r>
        <w:t xml:space="preserve">The Commission </w:t>
      </w:r>
      <w:r w:rsidR="0064352B">
        <w:t xml:space="preserve">agrees with FirstEnergy’s recommendation and </w:t>
      </w:r>
      <w:r>
        <w:t>has corrected the table numbering for Oversize and Duct Leakage factors for High Efficiency Equipment</w:t>
      </w:r>
      <w:r w:rsidR="008C48D9">
        <w:t xml:space="preserve"> and the page reference for the Northeast Energy Efficiency Partnerships source document</w:t>
      </w:r>
      <w:r>
        <w:t>.</w:t>
      </w:r>
      <w:r w:rsidR="00A23F68">
        <w:t xml:space="preserve">  </w:t>
      </w:r>
      <w:r w:rsidR="005C088C">
        <w:t>We also</w:t>
      </w:r>
      <w:r w:rsidR="001B3B46" w:rsidRPr="001B3B46">
        <w:t xml:space="preserve"> agree</w:t>
      </w:r>
      <w:r w:rsidR="005C088C">
        <w:t xml:space="preserve"> </w:t>
      </w:r>
      <w:r w:rsidR="001B3B46" w:rsidRPr="001B3B46">
        <w:t xml:space="preserve">with </w:t>
      </w:r>
      <w:r w:rsidR="002147CB">
        <w:t>FirstEnergy</w:t>
      </w:r>
      <w:r w:rsidR="001B3B46" w:rsidRPr="001B3B46">
        <w:t xml:space="preserve">’s </w:t>
      </w:r>
      <w:r w:rsidR="00FC1D1C">
        <w:t>suggestion to</w:t>
      </w:r>
      <w:r w:rsidR="001B3B46" w:rsidRPr="001B3B46">
        <w:t xml:space="preserve"> add detail to assist with the </w:t>
      </w:r>
      <w:r w:rsidR="001B3B46" w:rsidRPr="001B3B46">
        <w:lastRenderedPageBreak/>
        <w:t xml:space="preserve">calculation of blended EFLH values for use in </w:t>
      </w:r>
      <w:r w:rsidR="00563857">
        <w:t>mid</w:t>
      </w:r>
      <w:r w:rsidR="001B3B46" w:rsidRPr="001B3B46">
        <w:t>stream program delivery where the service address of the participant is unknown</w:t>
      </w:r>
      <w:r w:rsidR="007D7839">
        <w:t xml:space="preserve"> and ha</w:t>
      </w:r>
      <w:r w:rsidR="00A021B4">
        <w:t>ve</w:t>
      </w:r>
      <w:r w:rsidR="007D7839">
        <w:t xml:space="preserve"> made the appropriate corrections</w:t>
      </w:r>
      <w:r w:rsidR="001B3B46" w:rsidRPr="001B3B46">
        <w:t>.  We do not provide all EDC specific EFLH values, but these can be calculated using a simple weighted average of the EDC Climate Region Weights (Table 1-6) and the EFLH cooling and heating values provided in the Residential HVAC Equivalent Full Load Hour and Coincidence Factor Assumptions table (Table 1-8)</w:t>
      </w:r>
      <w:r w:rsidR="0082760A">
        <w:t xml:space="preserve">.  </w:t>
      </w:r>
      <w:r w:rsidR="00303E5E">
        <w:t xml:space="preserve">See </w:t>
      </w:r>
      <w:r w:rsidR="00903A2F">
        <w:t xml:space="preserve">Section </w:t>
      </w:r>
      <w:r w:rsidR="008221AC">
        <w:fldChar w:fldCharType="begin"/>
      </w:r>
      <w:r w:rsidR="008221AC">
        <w:instrText xml:space="preserve"> REF _Ref13214212 \r \h </w:instrText>
      </w:r>
      <w:r w:rsidR="00704BEC">
        <w:instrText xml:space="preserve"> \* MERGEFORMAT </w:instrText>
      </w:r>
      <w:r w:rsidR="008221AC">
        <w:fldChar w:fldCharType="separate"/>
      </w:r>
      <w:r w:rsidR="00B10CDB">
        <w:t>5</w:t>
      </w:r>
      <w:r w:rsidR="008221AC">
        <w:fldChar w:fldCharType="end"/>
      </w:r>
      <w:r w:rsidR="008221AC">
        <w:t xml:space="preserve"> of this order </w:t>
      </w:r>
      <w:r w:rsidR="00056ADB">
        <w:t>for further discussion and a calculation example.</w:t>
      </w:r>
    </w:p>
    <w:p w14:paraId="1885C158" w14:textId="77777777" w:rsidR="00AD1671" w:rsidRPr="00BB7515" w:rsidRDefault="00AD1671" w:rsidP="00AA2116"/>
    <w:p w14:paraId="42DE1D69" w14:textId="76CE0FFE" w:rsidR="00EF27F3" w:rsidRDefault="007722D6" w:rsidP="00FF0754">
      <w:r>
        <w:t xml:space="preserve">The Commission </w:t>
      </w:r>
      <w:r w:rsidR="00574FC1">
        <w:t xml:space="preserve">rejects </w:t>
      </w:r>
      <w:r w:rsidR="0044652D">
        <w:t>Franklin Energy</w:t>
      </w:r>
      <w:r w:rsidR="00A021B4">
        <w:t>’s recommendation</w:t>
      </w:r>
      <w:r w:rsidR="0044652D">
        <w:t xml:space="preserve"> regarding baseline conditions. </w:t>
      </w:r>
      <w:r>
        <w:t xml:space="preserve"> </w:t>
      </w:r>
      <w:r w:rsidR="0044652D">
        <w:t xml:space="preserve">In cases of </w:t>
      </w:r>
      <w:r w:rsidR="00526839">
        <w:t xml:space="preserve">homes with no air conditioning, </w:t>
      </w:r>
      <w:r w:rsidR="001C636D">
        <w:t>the baseline assumption, as defined in the measure, is a standard-efficiency ductless unit.</w:t>
      </w:r>
      <w:r w:rsidR="00A23F68">
        <w:t xml:space="preserve">  </w:t>
      </w:r>
      <w:r w:rsidR="00BF5F6A">
        <w:t xml:space="preserve">We also reject </w:t>
      </w:r>
      <w:r w:rsidR="00EF27F3">
        <w:t>PECO</w:t>
      </w:r>
      <w:r w:rsidR="00BF5F6A">
        <w:t xml:space="preserve">’s </w:t>
      </w:r>
      <w:r w:rsidR="000A70E5">
        <w:t>suggestion</w:t>
      </w:r>
      <w:r w:rsidR="00EF27F3">
        <w:t xml:space="preserve"> regarding consistency of the composite EFLH values with the IMP.</w:t>
      </w:r>
      <w:r w:rsidR="00AD279F">
        <w:t xml:space="preserve">  </w:t>
      </w:r>
      <w:r w:rsidR="00F43560">
        <w:t xml:space="preserve">As described in section </w:t>
      </w:r>
      <w:r w:rsidR="00C50AC5">
        <w:t xml:space="preserve">B.4 – Updated Climate Assumptions </w:t>
      </w:r>
      <w:r w:rsidR="00DF56E3">
        <w:t>of this order</w:t>
      </w:r>
      <w:r w:rsidR="00F43560">
        <w:t xml:space="preserve">, the Commission </w:t>
      </w:r>
      <w:r w:rsidR="00761FC8">
        <w:t xml:space="preserve">has </w:t>
      </w:r>
      <w:r w:rsidR="00F43560">
        <w:t xml:space="preserve">developed an updated set of EFLH values to be used for all </w:t>
      </w:r>
      <w:r w:rsidR="007B0F27">
        <w:t xml:space="preserve">applicable </w:t>
      </w:r>
      <w:r w:rsidR="00F43560">
        <w:t xml:space="preserve">TRM measures.  </w:t>
      </w:r>
      <w:r w:rsidR="00AD279F" w:rsidRPr="00B8749F">
        <w:t>See</w:t>
      </w:r>
      <w:r w:rsidR="000F74AC" w:rsidRPr="00B8749F">
        <w:t xml:space="preserve"> </w:t>
      </w:r>
      <w:r w:rsidR="00DF56E3">
        <w:t xml:space="preserve">also general </w:t>
      </w:r>
      <w:r w:rsidR="000F74AC" w:rsidRPr="00B8749F">
        <w:t>comments on th</w:t>
      </w:r>
      <w:r w:rsidR="00761FC8">
        <w:t>e issue of consistency with values in Phase III IMPs</w:t>
      </w:r>
      <w:r w:rsidR="000F74AC" w:rsidRPr="00B8749F">
        <w:t xml:space="preserve"> in</w:t>
      </w:r>
      <w:r w:rsidR="00AD279F" w:rsidRPr="00B8749F">
        <w:t xml:space="preserve"> </w:t>
      </w:r>
      <w:r w:rsidR="008221AC">
        <w:t>section C.</w:t>
      </w:r>
      <w:r w:rsidR="008221AC">
        <w:fldChar w:fldCharType="begin"/>
      </w:r>
      <w:r w:rsidR="008221AC">
        <w:instrText xml:space="preserve"> REF _Ref12267395 \r \h </w:instrText>
      </w:r>
      <w:r w:rsidR="00704BEC">
        <w:instrText xml:space="preserve"> \* MERGEFORMAT </w:instrText>
      </w:r>
      <w:r w:rsidR="008221AC">
        <w:fldChar w:fldCharType="separate"/>
      </w:r>
      <w:r w:rsidR="00B10CDB">
        <w:t>1</w:t>
      </w:r>
      <w:r w:rsidR="008221AC">
        <w:fldChar w:fldCharType="end"/>
      </w:r>
      <w:r w:rsidR="008221AC">
        <w:t xml:space="preserve"> of this order.</w:t>
      </w:r>
    </w:p>
    <w:p w14:paraId="1B691EAE" w14:textId="77777777" w:rsidR="00C32973" w:rsidRDefault="00F54195" w:rsidP="00AA2116">
      <w:r>
        <w:tab/>
      </w:r>
    </w:p>
    <w:p w14:paraId="3C978A60" w14:textId="0C81B55A" w:rsidR="00C32973" w:rsidRDefault="00C32973" w:rsidP="00453F14">
      <w:pPr>
        <w:pStyle w:val="Heading4"/>
        <w:numPr>
          <w:ilvl w:val="3"/>
          <w:numId w:val="41"/>
        </w:numPr>
      </w:pPr>
      <w:r>
        <w:t>Evaluation Protocols</w:t>
      </w:r>
    </w:p>
    <w:p w14:paraId="77B02553" w14:textId="6D89FF04" w:rsidR="00C32973" w:rsidRDefault="00C32973" w:rsidP="00453F14">
      <w:pPr>
        <w:pStyle w:val="Heading5"/>
        <w:numPr>
          <w:ilvl w:val="4"/>
          <w:numId w:val="41"/>
        </w:numPr>
      </w:pPr>
      <w:r>
        <w:t>Comments</w:t>
      </w:r>
    </w:p>
    <w:p w14:paraId="6358421F" w14:textId="03B9CAE9" w:rsidR="00C32973" w:rsidRDefault="00C32973" w:rsidP="00AA2116">
      <w:r>
        <w:t xml:space="preserve">PECO comments that </w:t>
      </w:r>
      <w:r w:rsidR="002A03A1">
        <w:t>in our proposed</w:t>
      </w:r>
      <w:r w:rsidR="00D834C7">
        <w:t xml:space="preserve"> </w:t>
      </w:r>
      <w:r>
        <w:t xml:space="preserve">TRM </w:t>
      </w:r>
      <w:r w:rsidR="00D834C7">
        <w:t xml:space="preserve">the Commission </w:t>
      </w:r>
      <w:r>
        <w:t>added additional evaluation protocols, such as verification of installation and pre/post metering or billing analysis, which were not part of the relevant IMP.  PECO recommends that the evaluation protocols</w:t>
      </w:r>
      <w:r w:rsidR="00D834C7">
        <w:t xml:space="preserve"> </w:t>
      </w:r>
      <w:r>
        <w:t>be consistent with the IMP.  PECO Comments at 7.</w:t>
      </w:r>
    </w:p>
    <w:p w14:paraId="4E6669D4" w14:textId="77777777" w:rsidR="00C32973" w:rsidRDefault="00C32973" w:rsidP="00AA2116"/>
    <w:p w14:paraId="178E2906" w14:textId="20B053FE" w:rsidR="00C32973" w:rsidRPr="00C32973" w:rsidRDefault="00C32973" w:rsidP="00453F14">
      <w:pPr>
        <w:pStyle w:val="Heading5"/>
        <w:numPr>
          <w:ilvl w:val="4"/>
          <w:numId w:val="41"/>
        </w:numPr>
      </w:pPr>
      <w:r>
        <w:t>Disposition</w:t>
      </w:r>
    </w:p>
    <w:p w14:paraId="0E415741" w14:textId="4E7E747F" w:rsidR="00F45093" w:rsidRPr="00F45093" w:rsidRDefault="00F54195" w:rsidP="00AA2116">
      <w:r>
        <w:t xml:space="preserve">The Commission agrees with PECO’s </w:t>
      </w:r>
      <w:r w:rsidR="00C521A1">
        <w:t xml:space="preserve">recommendation </w:t>
      </w:r>
      <w:r>
        <w:t xml:space="preserve">regarding additional evaluation protocols </w:t>
      </w:r>
      <w:r w:rsidR="007D4E7D">
        <w:t xml:space="preserve">and has </w:t>
      </w:r>
      <w:r w:rsidR="00901BD3">
        <w:t>changed</w:t>
      </w:r>
      <w:r w:rsidR="007D4E7D">
        <w:t xml:space="preserve"> the evaluation protocols.</w:t>
      </w:r>
    </w:p>
    <w:p w14:paraId="69825F46" w14:textId="77777777" w:rsidR="00F54195" w:rsidRPr="001323BE" w:rsidRDefault="00F54195" w:rsidP="00AA2116"/>
    <w:p w14:paraId="7BBD1454" w14:textId="77777777" w:rsidR="00F257CE" w:rsidRPr="001323BE" w:rsidRDefault="00F257CE" w:rsidP="00453F14">
      <w:pPr>
        <w:pStyle w:val="Heading3"/>
        <w:numPr>
          <w:ilvl w:val="2"/>
          <w:numId w:val="64"/>
        </w:numPr>
      </w:pPr>
      <w:bookmarkStart w:id="152" w:name="_Toc15657929"/>
      <w:r w:rsidRPr="001323BE">
        <w:lastRenderedPageBreak/>
        <w:t xml:space="preserve">Section 2.2.4 – </w:t>
      </w:r>
      <w:bookmarkEnd w:id="150"/>
      <w:r w:rsidRPr="009B24DB">
        <w:t>ENERGY STAR</w:t>
      </w:r>
      <w:r w:rsidRPr="001323BE">
        <w:t xml:space="preserve"> Room Air Conditioners</w:t>
      </w:r>
      <w:r w:rsidRPr="001323BE">
        <w:rPr>
          <w:rStyle w:val="FootnoteReference"/>
        </w:rPr>
        <w:footnoteReference w:id="33"/>
      </w:r>
      <w:bookmarkEnd w:id="151"/>
      <w:bookmarkEnd w:id="152"/>
    </w:p>
    <w:p w14:paraId="4504F911" w14:textId="2C5E6BCC" w:rsidR="00F257CE" w:rsidRPr="001323BE" w:rsidRDefault="00F257CE" w:rsidP="00AA2116">
      <w:r w:rsidRPr="001323BE">
        <w:t xml:space="preserve">The Commission </w:t>
      </w:r>
      <w:r w:rsidR="4D1643AF">
        <w:t>proposed</w:t>
      </w:r>
      <w:r w:rsidRPr="001323BE">
        <w:t xml:space="preserve"> using the Combined Energy Efficiency Ratio (CEER), the current Federal standard metric for room air conditioner efficiency, in the savings algorithms.</w:t>
      </w:r>
      <w:r w:rsidR="00A31012">
        <w:t xml:space="preserve">  </w:t>
      </w:r>
      <w:r w:rsidR="00BD457D">
        <w:t>We</w:t>
      </w:r>
      <w:r w:rsidRPr="001323BE">
        <w:t xml:space="preserve"> </w:t>
      </w:r>
      <w:r w:rsidR="00A31012">
        <w:t xml:space="preserve">also </w:t>
      </w:r>
      <w:r w:rsidRPr="001323BE">
        <w:t xml:space="preserve">proposed </w:t>
      </w:r>
      <w:r w:rsidR="00BD457D">
        <w:t>to update</w:t>
      </w:r>
      <w:r w:rsidRPr="001323BE">
        <w:t xml:space="preserve"> the</w:t>
      </w:r>
      <w:r w:rsidR="00BD457D">
        <w:t xml:space="preserve"> </w:t>
      </w:r>
      <w:r w:rsidRPr="001323BE">
        <w:t>default for average RAC capacity</w:t>
      </w:r>
      <w:r w:rsidR="00BE2A9E">
        <w:t>,</w:t>
      </w:r>
      <w:r w:rsidRPr="001323BE">
        <w:t xml:space="preserve"> based on data from the</w:t>
      </w:r>
      <w:r w:rsidR="00026D62">
        <w:t xml:space="preserve"> </w:t>
      </w:r>
      <w:r w:rsidR="00026D62" w:rsidRPr="001323BE">
        <w:t>2018 Pennsylvania Residential Baseline Study</w:t>
      </w:r>
      <w:r w:rsidR="00A0651F">
        <w:t xml:space="preserve">.  </w:t>
      </w:r>
      <w:r w:rsidRPr="001323BE">
        <w:t>This measure was also affected by updates to climate-dependent values</w:t>
      </w:r>
      <w:r w:rsidR="00E70C60">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B10CDB">
        <w:t>B</w:t>
      </w:r>
      <w:r w:rsidRPr="001323BE">
        <w:fldChar w:fldCharType="end"/>
      </w:r>
      <w:r w:rsidRPr="001323BE">
        <w:t>.</w:t>
      </w:r>
    </w:p>
    <w:p w14:paraId="4EF125EB" w14:textId="77777777" w:rsidR="008C1D28" w:rsidRDefault="008C1D28" w:rsidP="00AA2116"/>
    <w:p w14:paraId="14489026" w14:textId="43ACFE28" w:rsidR="008C1D28" w:rsidRPr="001062F9" w:rsidRDefault="008C1D28" w:rsidP="00453F14">
      <w:pPr>
        <w:pStyle w:val="Heading4"/>
        <w:numPr>
          <w:ilvl w:val="3"/>
          <w:numId w:val="64"/>
        </w:numPr>
      </w:pPr>
      <w:r w:rsidRPr="585F2F26">
        <w:t>Comments</w:t>
      </w:r>
    </w:p>
    <w:p w14:paraId="10463725" w14:textId="56D5E136" w:rsidR="585F2F26" w:rsidRDefault="002147CB" w:rsidP="00AA2116">
      <w:r>
        <w:t>FirstEnergy</w:t>
      </w:r>
      <w:r w:rsidR="7EA9A3E2">
        <w:t xml:space="preserve"> points out errors in </w:t>
      </w:r>
      <w:r w:rsidR="009B24DB">
        <w:t>units for a value in</w:t>
      </w:r>
      <w:r w:rsidR="7EA9A3E2">
        <w:t xml:space="preserve"> Table 2-2</w:t>
      </w:r>
      <w:r w:rsidR="009B24DB">
        <w:t>3</w:t>
      </w:r>
      <w:r w:rsidR="7EA9A3E2">
        <w:t xml:space="preserve"> and </w:t>
      </w:r>
      <w:r w:rsidR="009B24DB">
        <w:t xml:space="preserve">a federal standard efficiency value in </w:t>
      </w:r>
      <w:r w:rsidR="7EA9A3E2">
        <w:t>Table 2-2</w:t>
      </w:r>
      <w:r w:rsidR="009B24DB">
        <w:t>4</w:t>
      </w:r>
      <w:r w:rsidR="7EA9A3E2">
        <w:t xml:space="preserve">.  </w:t>
      </w:r>
      <w:r>
        <w:t>FirstEnergy</w:t>
      </w:r>
      <w:r w:rsidR="7EA9A3E2">
        <w:t xml:space="preserve"> </w:t>
      </w:r>
      <w:r w:rsidR="009D7EE4">
        <w:t>C</w:t>
      </w:r>
      <w:r w:rsidR="7EA9A3E2">
        <w:t>omments at 1.</w:t>
      </w:r>
    </w:p>
    <w:p w14:paraId="662DA90F" w14:textId="77777777" w:rsidR="0061674E" w:rsidRDefault="0061674E" w:rsidP="00AA2116"/>
    <w:p w14:paraId="21463C5F" w14:textId="699184D7" w:rsidR="008C1D28" w:rsidRPr="001062F9" w:rsidRDefault="008C1D28" w:rsidP="00453F14">
      <w:pPr>
        <w:pStyle w:val="Heading4"/>
        <w:numPr>
          <w:ilvl w:val="3"/>
          <w:numId w:val="64"/>
        </w:numPr>
      </w:pPr>
      <w:r w:rsidRPr="31F92A4D">
        <w:t>Disposition</w:t>
      </w:r>
    </w:p>
    <w:p w14:paraId="4AB02281" w14:textId="77916F94" w:rsidR="008C1D28" w:rsidRDefault="31F92A4D" w:rsidP="00AA2116">
      <w:r>
        <w:t>The Commission agrees</w:t>
      </w:r>
      <w:r w:rsidR="003E5962">
        <w:t xml:space="preserve"> with FirstEnergy’s suggestion</w:t>
      </w:r>
      <w:r>
        <w:t xml:space="preserve"> and </w:t>
      </w:r>
      <w:r w:rsidR="001C3966">
        <w:t xml:space="preserve">has corrected </w:t>
      </w:r>
      <w:r>
        <w:t>th</w:t>
      </w:r>
      <w:r w:rsidR="00536528">
        <w:t>e applicable</w:t>
      </w:r>
      <w:r>
        <w:t xml:space="preserve"> default </w:t>
      </w:r>
      <w:r w:rsidR="4D1643AF">
        <w:t>values.</w:t>
      </w:r>
    </w:p>
    <w:p w14:paraId="64902A17" w14:textId="77777777" w:rsidR="00F257CE" w:rsidRPr="001323BE" w:rsidRDefault="00F257CE" w:rsidP="00AA2116"/>
    <w:p w14:paraId="09ABA427" w14:textId="77777777" w:rsidR="00F257CE" w:rsidRDefault="00F257CE" w:rsidP="00453F14">
      <w:pPr>
        <w:pStyle w:val="Heading3"/>
        <w:numPr>
          <w:ilvl w:val="2"/>
          <w:numId w:val="64"/>
        </w:numPr>
      </w:pPr>
      <w:bookmarkStart w:id="153" w:name="_Toc15657930"/>
      <w:r w:rsidRPr="001323BE">
        <w:t xml:space="preserve">Section 2.2.6 </w:t>
      </w:r>
      <w:r w:rsidRPr="009B24DB">
        <w:t>– Duct Sealing</w:t>
      </w:r>
      <w:r w:rsidRPr="001323BE">
        <w:rPr>
          <w:rStyle w:val="FootnoteReference"/>
        </w:rPr>
        <w:footnoteReference w:id="34"/>
      </w:r>
      <w:bookmarkEnd w:id="153"/>
    </w:p>
    <w:p w14:paraId="30F002A3" w14:textId="6F9D782D" w:rsidR="00F257CE" w:rsidRDefault="00F257CE" w:rsidP="00AA2116">
      <w:r w:rsidRPr="001323BE">
        <w:t xml:space="preserve">The Commission </w:t>
      </w:r>
      <w:r w:rsidR="2EC735D7">
        <w:t>proposed</w:t>
      </w:r>
      <w:r w:rsidRPr="001323BE">
        <w:t xml:space="preserve"> renaming this measure to Duct Sealing and Insulation to reflect the added option of duct insulation.</w:t>
      </w:r>
      <w:r w:rsidR="00A31012">
        <w:t xml:space="preserve">  </w:t>
      </w:r>
      <w:r w:rsidR="00743387">
        <w:t>We</w:t>
      </w:r>
      <w:r w:rsidRPr="001323BE">
        <w:t xml:space="preserve"> </w:t>
      </w:r>
      <w:r w:rsidR="00A31012">
        <w:t xml:space="preserve">also </w:t>
      </w:r>
      <w:r w:rsidR="2EC735D7">
        <w:t>proposed</w:t>
      </w:r>
      <w:r w:rsidRPr="001323BE">
        <w:t xml:space="preserve"> to include the installation of duct insulation in unconditioned or semi-conditioned spaces in addition to duct sealing with mastic or metal tape</w:t>
      </w:r>
      <w:r w:rsidR="00743387">
        <w:t xml:space="preserve"> in this measure</w:t>
      </w:r>
      <w:r w:rsidR="00A0651F">
        <w:t xml:space="preserve">.  </w:t>
      </w:r>
      <w:r w:rsidRPr="001323BE">
        <w:t xml:space="preserve">Duct insulation provides sealing qualities that can be assessed using the Evaluation of Distribution Efficiency method already in use in the </w:t>
      </w:r>
      <w:r w:rsidR="00E001E2">
        <w:t>2016 TRM</w:t>
      </w:r>
      <w:r w:rsidR="00A0651F">
        <w:t xml:space="preserve">.  </w:t>
      </w:r>
      <w:r w:rsidRPr="001323BE">
        <w:t xml:space="preserve">In cases where duct insulation is involved with the improvement, </w:t>
      </w:r>
      <w:r w:rsidR="0055375A">
        <w:t>we</w:t>
      </w:r>
      <w:r w:rsidR="00454BFD">
        <w:t xml:space="preserve"> </w:t>
      </w:r>
      <w:r w:rsidR="00611D80">
        <w:t>proposed</w:t>
      </w:r>
      <w:r w:rsidR="00454BFD">
        <w:t xml:space="preserve"> </w:t>
      </w:r>
      <w:r w:rsidRPr="001323BE">
        <w:t>that the TRM require the use of the Evaluation of Distribution Efficiency method for assessing the work as opposed to RESNET Test 380 4.4.2.</w:t>
      </w:r>
    </w:p>
    <w:p w14:paraId="4F860BA9" w14:textId="77777777" w:rsidR="008C1D28" w:rsidRDefault="008C1D28" w:rsidP="00AA2116"/>
    <w:p w14:paraId="647A379F" w14:textId="252AC66A" w:rsidR="008C1D28" w:rsidRPr="001062F9" w:rsidRDefault="008C1D28" w:rsidP="00453F14">
      <w:pPr>
        <w:pStyle w:val="Heading4"/>
        <w:numPr>
          <w:ilvl w:val="3"/>
          <w:numId w:val="64"/>
        </w:numPr>
      </w:pPr>
      <w:r w:rsidRPr="5C7D27BD">
        <w:lastRenderedPageBreak/>
        <w:t>Comments</w:t>
      </w:r>
    </w:p>
    <w:p w14:paraId="66FFF7A3" w14:textId="288E723B" w:rsidR="3B0F6D71" w:rsidRDefault="002147CB" w:rsidP="00AA2116">
      <w:r>
        <w:t>FirstEnergy</w:t>
      </w:r>
      <w:r w:rsidR="7EA9A3E2">
        <w:t xml:space="preserve"> </w:t>
      </w:r>
      <w:r w:rsidR="00AD4CB4">
        <w:t>comments that</w:t>
      </w:r>
      <w:r w:rsidR="7EA9A3E2">
        <w:t xml:space="preserve"> the </w:t>
      </w:r>
      <w:r w:rsidR="00AD4CB4">
        <w:t>algorithm includes a term for the COP of heating equipment</w:t>
      </w:r>
      <w:r w:rsidR="7EA9A3E2">
        <w:t xml:space="preserve"> </w:t>
      </w:r>
      <w:r w:rsidR="00AD4CB4">
        <w:t xml:space="preserve">but </w:t>
      </w:r>
      <w:r w:rsidR="00BF0E51">
        <w:t>provides default values only for HSPF</w:t>
      </w:r>
      <w:r w:rsidR="0082760A">
        <w:t xml:space="preserve">.  </w:t>
      </w:r>
      <w:r w:rsidR="7EA9A3E2">
        <w:t xml:space="preserve">They request clarification on default assumptions for </w:t>
      </w:r>
      <w:r w:rsidR="006A64CD">
        <w:t>“</w:t>
      </w:r>
      <w:r w:rsidR="7EA9A3E2">
        <w:t>Leaky</w:t>
      </w:r>
      <w:r w:rsidR="00FB5F25">
        <w:t>,</w:t>
      </w:r>
      <w:r w:rsidR="006A64CD">
        <w:t>”</w:t>
      </w:r>
      <w:r w:rsidR="7EA9A3E2">
        <w:t xml:space="preserve"> </w:t>
      </w:r>
      <w:r w:rsidR="006A64CD">
        <w:t>“</w:t>
      </w:r>
      <w:r w:rsidR="7EA9A3E2">
        <w:t>Average</w:t>
      </w:r>
      <w:r w:rsidR="00FB5F25">
        <w:t>,</w:t>
      </w:r>
      <w:r w:rsidR="006A64CD">
        <w:t>”</w:t>
      </w:r>
      <w:r w:rsidR="7EA9A3E2">
        <w:t xml:space="preserve"> and </w:t>
      </w:r>
      <w:r w:rsidR="006A64CD">
        <w:t>“</w:t>
      </w:r>
      <w:r w:rsidR="7EA9A3E2">
        <w:t>Tight</w:t>
      </w:r>
      <w:r w:rsidR="006A64CD">
        <w:t>”</w:t>
      </w:r>
      <w:r w:rsidR="7EA9A3E2">
        <w:t xml:space="preserve"> ducts in Table 2-3</w:t>
      </w:r>
      <w:r w:rsidR="009B24DB">
        <w:t>1</w:t>
      </w:r>
      <w:r w:rsidR="00D93407">
        <w:t xml:space="preserve">.  </w:t>
      </w:r>
      <w:r>
        <w:t>FirstEnergy</w:t>
      </w:r>
      <w:r w:rsidR="00D93407">
        <w:t xml:space="preserve"> also requests clarification on</w:t>
      </w:r>
      <w:r w:rsidR="00C25536">
        <w:t xml:space="preserve"> a reference to ductless </w:t>
      </w:r>
      <w:r w:rsidR="5115C0FF">
        <w:t>mini</w:t>
      </w:r>
      <w:r w:rsidR="001D22A1">
        <w:t>-</w:t>
      </w:r>
      <w:r w:rsidR="5115C0FF">
        <w:t>splits in this section</w:t>
      </w:r>
      <w:r w:rsidR="7EA9A3E2">
        <w:t xml:space="preserve">.  </w:t>
      </w:r>
      <w:r>
        <w:t>FirstEnergy</w:t>
      </w:r>
      <w:r w:rsidR="7EA9A3E2">
        <w:t xml:space="preserve"> Comments at 1.</w:t>
      </w:r>
    </w:p>
    <w:p w14:paraId="12FC735E" w14:textId="77777777" w:rsidR="008C1D28" w:rsidRDefault="008C1D28" w:rsidP="00AA2116"/>
    <w:p w14:paraId="79E29797" w14:textId="4B0D8B3D" w:rsidR="008C1D28" w:rsidRPr="001062F9" w:rsidRDefault="008C1D28" w:rsidP="00453F14">
      <w:pPr>
        <w:pStyle w:val="Heading4"/>
        <w:numPr>
          <w:ilvl w:val="3"/>
          <w:numId w:val="64"/>
        </w:numPr>
      </w:pPr>
      <w:r w:rsidRPr="78759DC4">
        <w:t>Disposition</w:t>
      </w:r>
    </w:p>
    <w:p w14:paraId="2DCB0222" w14:textId="48B82D36" w:rsidR="008C1D28" w:rsidRDefault="7EA9A3E2" w:rsidP="00AA2116">
      <w:r>
        <w:t xml:space="preserve">The Commission </w:t>
      </w:r>
      <w:r w:rsidR="0011432B">
        <w:t>agree</w:t>
      </w:r>
      <w:r w:rsidR="00A45375">
        <w:t>s</w:t>
      </w:r>
      <w:r w:rsidR="0011432B">
        <w:t xml:space="preserve"> with FirstEnergy’s request and </w:t>
      </w:r>
      <w:r w:rsidR="00BF0E51">
        <w:t>has modified</w:t>
      </w:r>
      <w:r>
        <w:t xml:space="preserve"> the algorithm to use HSPF instead of COP</w:t>
      </w:r>
      <w:r w:rsidR="00D57905">
        <w:t>, along with</w:t>
      </w:r>
      <w:r w:rsidR="0055284F">
        <w:t xml:space="preserve"> </w:t>
      </w:r>
      <w:r>
        <w:t>a note to refer to GSHP derating for converting COP values</w:t>
      </w:r>
      <w:r w:rsidR="003A4A7E">
        <w:t xml:space="preserve"> to HSPF</w:t>
      </w:r>
      <w:r w:rsidR="0055284F">
        <w:t>.  In addition, we</w:t>
      </w:r>
      <w:r w:rsidR="00A2674A">
        <w:t xml:space="preserve"> added </w:t>
      </w:r>
      <w:r w:rsidR="003A0B8B">
        <w:t>more</w:t>
      </w:r>
      <w:r>
        <w:t xml:space="preserve"> language for guidance on distribution efficiency assessment from the Building Performance Institute (BPI).</w:t>
      </w:r>
      <w:r w:rsidR="00EA0444">
        <w:t xml:space="preserve">  </w:t>
      </w:r>
      <w:r w:rsidR="002B56ED">
        <w:t>I</w:t>
      </w:r>
      <w:r w:rsidR="00244A62">
        <w:t xml:space="preserve">n the interest of simplifying the TRM and reducing the opportunity for introducing inconsistent values in the future, the Commission has replaced the table of default heating and cooling system efficiency values in this measure with a reference to Table 2-8: Default Baseline Equipment Efficiency for High Efficiency Equipment in Section 2.2.1 - </w:t>
      </w:r>
      <w:r w:rsidR="00244A62" w:rsidRPr="00452FDC">
        <w:t>High Efficiency Equipment: ASHP, CAC, GSHP, PTAC, PTHP</w:t>
      </w:r>
      <w:r w:rsidR="00244A62">
        <w:t>.</w:t>
      </w:r>
    </w:p>
    <w:p w14:paraId="2A08DEBF" w14:textId="77777777" w:rsidR="009017A9" w:rsidRDefault="009017A9" w:rsidP="00AA2116"/>
    <w:p w14:paraId="5906C600" w14:textId="421571C1" w:rsidR="000B09C0" w:rsidRDefault="007E34BD" w:rsidP="00453F14">
      <w:pPr>
        <w:pStyle w:val="Heading3"/>
        <w:numPr>
          <w:ilvl w:val="2"/>
          <w:numId w:val="64"/>
        </w:numPr>
      </w:pPr>
      <w:bookmarkStart w:id="154" w:name="_Toc15657931"/>
      <w:r w:rsidRPr="78438B6E">
        <w:t xml:space="preserve">Section </w:t>
      </w:r>
      <w:r w:rsidR="0082744A">
        <w:t>2.</w:t>
      </w:r>
      <w:r w:rsidRPr="78438B6E">
        <w:t>3</w:t>
      </w:r>
      <w:r w:rsidR="002B43CE" w:rsidRPr="0082744A">
        <w:t xml:space="preserve"> – </w:t>
      </w:r>
      <w:r w:rsidR="00275DF4" w:rsidRPr="0082744A">
        <w:t>Domestic Hot</w:t>
      </w:r>
      <w:r w:rsidR="00275DF4" w:rsidRPr="78438B6E">
        <w:t xml:space="preserve"> Water</w:t>
      </w:r>
      <w:bookmarkEnd w:id="154"/>
    </w:p>
    <w:p w14:paraId="1D8008AF" w14:textId="2929BB6F" w:rsidR="004C6147" w:rsidRDefault="004C6147" w:rsidP="00AA2116">
      <w:r w:rsidRPr="001323BE">
        <w:t xml:space="preserve">The current </w:t>
      </w:r>
      <w:r>
        <w:t xml:space="preserve">U.S. </w:t>
      </w:r>
      <w:r w:rsidRPr="001323BE">
        <w:t>DOE metric for efficiency of water heaters is the Uniform Energy Factor (UEF), which has superseded the prior metric, Energy Factor (EF)</w:t>
      </w:r>
      <w:r>
        <w:t xml:space="preserve">.  </w:t>
      </w:r>
      <w:r w:rsidRPr="001323BE">
        <w:t>The Commission propose</w:t>
      </w:r>
      <w:r>
        <w:t>d</w:t>
      </w:r>
      <w:r w:rsidRPr="001323BE">
        <w:t xml:space="preserve"> </w:t>
      </w:r>
      <w:r>
        <w:t xml:space="preserve">to update </w:t>
      </w:r>
      <w:r w:rsidR="007F4FA1">
        <w:t>residential measures for domestic hot water</w:t>
      </w:r>
      <w:r w:rsidRPr="001323BE">
        <w:t xml:space="preserve"> to specify baseline and efficient equipment by UEF</w:t>
      </w:r>
      <w:r>
        <w:t xml:space="preserve"> and also the </w:t>
      </w:r>
      <w:r w:rsidRPr="001323BE">
        <w:t>table of minimum baseline UEF values to comply with current Federal standards for water heaters.</w:t>
      </w:r>
      <w:r>
        <w:t xml:space="preserve">  </w:t>
      </w:r>
    </w:p>
    <w:p w14:paraId="41085B6E" w14:textId="77777777" w:rsidR="00393E78" w:rsidRPr="00BD2767" w:rsidRDefault="00393E78" w:rsidP="00AA2116"/>
    <w:p w14:paraId="31B90954" w14:textId="725A1CB4" w:rsidR="00275DF4" w:rsidRPr="002A53F0" w:rsidRDefault="00275DF4" w:rsidP="00453F14">
      <w:pPr>
        <w:pStyle w:val="Heading4"/>
        <w:numPr>
          <w:ilvl w:val="3"/>
          <w:numId w:val="64"/>
        </w:numPr>
      </w:pPr>
      <w:r w:rsidRPr="002A53F0">
        <w:t>Comments</w:t>
      </w:r>
    </w:p>
    <w:p w14:paraId="3DB4745A" w14:textId="1FC64973" w:rsidR="001D28D5" w:rsidRDefault="003F52D1" w:rsidP="00AA2116">
      <w:r w:rsidRPr="00925283">
        <w:t>Bradford White points out some inconsistenc</w:t>
      </w:r>
      <w:r w:rsidR="00282112" w:rsidRPr="00925283">
        <w:t>y</w:t>
      </w:r>
      <w:r w:rsidRPr="00925283">
        <w:t xml:space="preserve"> in the use of Energy Factor</w:t>
      </w:r>
      <w:r w:rsidR="00736E1F">
        <w:t xml:space="preserve"> or EF</w:t>
      </w:r>
      <w:r>
        <w:t xml:space="preserve"> </w:t>
      </w:r>
      <w:r w:rsidRPr="00925283">
        <w:t>instead of Unif</w:t>
      </w:r>
      <w:r w:rsidR="00B90006" w:rsidRPr="00925283">
        <w:t>orm</w:t>
      </w:r>
      <w:r w:rsidRPr="00925283">
        <w:t xml:space="preserve"> Energy Factor</w:t>
      </w:r>
      <w:r w:rsidR="00736E1F">
        <w:t xml:space="preserve"> or UEF</w:t>
      </w:r>
      <w:r w:rsidRPr="00925283">
        <w:t xml:space="preserve"> in the </w:t>
      </w:r>
      <w:r w:rsidR="00DF0BC1" w:rsidRPr="00925283">
        <w:t xml:space="preserve">Domestic Hot </w:t>
      </w:r>
      <w:r w:rsidRPr="00925283">
        <w:t>Water section</w:t>
      </w:r>
      <w:r w:rsidR="0082760A">
        <w:t xml:space="preserve">.  </w:t>
      </w:r>
      <w:r w:rsidR="001C3364" w:rsidRPr="00925283">
        <w:t xml:space="preserve">Bradford White </w:t>
      </w:r>
      <w:r w:rsidR="00EC0C33">
        <w:t>C</w:t>
      </w:r>
      <w:r w:rsidR="001C3364" w:rsidRPr="00925283">
        <w:t xml:space="preserve">omments at 3. </w:t>
      </w:r>
    </w:p>
    <w:p w14:paraId="14FC8869" w14:textId="77777777" w:rsidR="009D27C2" w:rsidRDefault="009D27C2" w:rsidP="00AA2116"/>
    <w:p w14:paraId="1229725A" w14:textId="23E5E645" w:rsidR="004B2A11" w:rsidRPr="00925283" w:rsidRDefault="004B2A11" w:rsidP="00453F14">
      <w:pPr>
        <w:pStyle w:val="Heading4"/>
        <w:numPr>
          <w:ilvl w:val="3"/>
          <w:numId w:val="64"/>
        </w:numPr>
      </w:pPr>
      <w:r w:rsidRPr="00925283">
        <w:lastRenderedPageBreak/>
        <w:t xml:space="preserve">Disposition </w:t>
      </w:r>
    </w:p>
    <w:p w14:paraId="000662A6" w14:textId="7A9F4448" w:rsidR="00B15456" w:rsidRDefault="008C7DF4" w:rsidP="00AA2116">
      <w:r w:rsidRPr="00925283">
        <w:t xml:space="preserve">The </w:t>
      </w:r>
      <w:r w:rsidR="00EC0C33">
        <w:t>C</w:t>
      </w:r>
      <w:r w:rsidRPr="00925283">
        <w:t xml:space="preserve">ommission </w:t>
      </w:r>
      <w:r w:rsidR="00790C01">
        <w:t xml:space="preserve">agrees </w:t>
      </w:r>
      <w:r w:rsidR="0042330C">
        <w:t xml:space="preserve">with Bradford White’s </w:t>
      </w:r>
      <w:r w:rsidR="006A1292">
        <w:t xml:space="preserve">recommendation </w:t>
      </w:r>
      <w:r w:rsidR="00790C01">
        <w:t xml:space="preserve">and has </w:t>
      </w:r>
      <w:r w:rsidR="00B90006" w:rsidRPr="00925283">
        <w:t xml:space="preserve">updated </w:t>
      </w:r>
      <w:r w:rsidR="006E2A6C" w:rsidRPr="00925283">
        <w:t>instances where</w:t>
      </w:r>
      <w:r w:rsidR="00B90006" w:rsidRPr="00925283">
        <w:t xml:space="preserve"> </w:t>
      </w:r>
      <w:r w:rsidR="006E2A6C" w:rsidRPr="00925283">
        <w:t>“</w:t>
      </w:r>
      <w:r w:rsidR="00B90006" w:rsidRPr="00925283">
        <w:t>Energy Factor</w:t>
      </w:r>
      <w:r w:rsidR="006E2A6C" w:rsidRPr="00925283">
        <w:t>” was used</w:t>
      </w:r>
      <w:r w:rsidR="00B90006" w:rsidRPr="00925283">
        <w:t xml:space="preserve"> to read </w:t>
      </w:r>
      <w:r w:rsidR="006E2A6C" w:rsidRPr="00925283">
        <w:t>“</w:t>
      </w:r>
      <w:r w:rsidR="00B90006" w:rsidRPr="00925283">
        <w:t>Uniform Energy Factor</w:t>
      </w:r>
      <w:r w:rsidR="00FB5F25">
        <w:t>,</w:t>
      </w:r>
      <w:r w:rsidR="006E2A6C" w:rsidRPr="00925283">
        <w:t>”</w:t>
      </w:r>
      <w:r w:rsidR="00B90006" w:rsidRPr="00925283">
        <w:t xml:space="preserve"> where not already updated.  </w:t>
      </w:r>
    </w:p>
    <w:p w14:paraId="250E139D" w14:textId="77777777" w:rsidR="00EC0C33" w:rsidRPr="00925283" w:rsidRDefault="00EC0C33" w:rsidP="00AA2116"/>
    <w:p w14:paraId="2204C5B3" w14:textId="1676645B" w:rsidR="00F257CE" w:rsidRPr="001323BE" w:rsidRDefault="00F257CE" w:rsidP="00453F14">
      <w:pPr>
        <w:pStyle w:val="Heading3"/>
        <w:numPr>
          <w:ilvl w:val="2"/>
          <w:numId w:val="64"/>
        </w:numPr>
        <w:ind w:left="1440" w:hanging="720"/>
      </w:pPr>
      <w:bookmarkStart w:id="155" w:name="_Toc15657932"/>
      <w:r w:rsidRPr="001323BE">
        <w:t xml:space="preserve">Section 2.3.1 – </w:t>
      </w:r>
      <w:r w:rsidRPr="0082744A">
        <w:t>Heat Pump Water Heaters</w:t>
      </w:r>
      <w:r w:rsidR="00D007CB" w:rsidRPr="0082744A">
        <w:t>,</w:t>
      </w:r>
      <w:r w:rsidRPr="0082744A">
        <w:rPr>
          <w:rStyle w:val="FootnoteReference"/>
        </w:rPr>
        <w:footnoteReference w:id="35"/>
      </w:r>
      <w:r w:rsidRPr="0082744A">
        <w:t xml:space="preserve"> Section 2.3.2 – Solar Water Heaters</w:t>
      </w:r>
      <w:r w:rsidR="00D007CB" w:rsidRPr="0082744A">
        <w:t>,</w:t>
      </w:r>
      <w:r w:rsidRPr="0082744A">
        <w:rPr>
          <w:rStyle w:val="FootnoteReference"/>
        </w:rPr>
        <w:footnoteReference w:id="36"/>
      </w:r>
      <w:r w:rsidRPr="0082744A">
        <w:t xml:space="preserve"> </w:t>
      </w:r>
      <w:r w:rsidR="005A4CD3" w:rsidRPr="0082744A">
        <w:t xml:space="preserve">and </w:t>
      </w:r>
      <w:r w:rsidRPr="0082744A">
        <w:t>Section 2.3.3 – Fuel Switching: Electric Resistance to Fossil Fuel Water Heater</w:t>
      </w:r>
      <w:r w:rsidRPr="0082744A">
        <w:rPr>
          <w:rStyle w:val="FootnoteReference"/>
        </w:rPr>
        <w:footnoteReference w:id="37"/>
      </w:r>
      <w:bookmarkEnd w:id="155"/>
    </w:p>
    <w:p w14:paraId="259D18EA" w14:textId="473FF465" w:rsidR="00F257CE" w:rsidRPr="001323BE" w:rsidRDefault="00393E78" w:rsidP="00AA2116">
      <w:r>
        <w:t xml:space="preserve">The Commission </w:t>
      </w:r>
      <w:r w:rsidR="007A10F0">
        <w:t xml:space="preserve">proposed to revise </w:t>
      </w:r>
      <w:r w:rsidR="007A10F0" w:rsidRPr="001323BE">
        <w:t>the assumed cold-water inlet temperature to 52F, and the assumed value for hot water used per day to 45.5 gallons, with these value</w:t>
      </w:r>
      <w:r w:rsidR="007A10F0">
        <w:t>s</w:t>
      </w:r>
      <w:r w:rsidR="007A10F0" w:rsidRPr="001323BE">
        <w:t xml:space="preserve"> to be applied across all measures that incorporate these factors</w:t>
      </w:r>
      <w:r w:rsidR="007A10F0">
        <w:t xml:space="preserve">.  </w:t>
      </w:r>
      <w:r w:rsidR="007A10F0" w:rsidRPr="001323BE">
        <w:t xml:space="preserve">Section 2.3.1 – Heat Pump Water Heaters </w:t>
      </w:r>
      <w:r w:rsidR="007A10F0">
        <w:t>was</w:t>
      </w:r>
      <w:r w:rsidR="007A10F0" w:rsidRPr="001323BE">
        <w:t xml:space="preserve"> also affected by updates to climate</w:t>
      </w:r>
      <w:r w:rsidR="007A10F0">
        <w:noBreakHyphen/>
      </w:r>
      <w:r w:rsidR="007A10F0" w:rsidRPr="001323BE">
        <w:t>dependent values</w:t>
      </w:r>
      <w:r w:rsidR="007A10F0">
        <w:t>,</w:t>
      </w:r>
      <w:r w:rsidR="007A10F0" w:rsidRPr="001323BE">
        <w:t xml:space="preserve"> described in Section </w:t>
      </w:r>
      <w:r w:rsidR="007A10F0" w:rsidRPr="001323BE">
        <w:fldChar w:fldCharType="begin"/>
      </w:r>
      <w:r w:rsidR="007A10F0" w:rsidRPr="001323BE">
        <w:instrText xml:space="preserve"> REF _Ref263442 \w \h </w:instrText>
      </w:r>
      <w:r w:rsidR="007A10F0">
        <w:instrText xml:space="preserve"> \* MERGEFORMAT </w:instrText>
      </w:r>
      <w:r w:rsidR="007A10F0" w:rsidRPr="001323BE">
        <w:fldChar w:fldCharType="separate"/>
      </w:r>
      <w:r w:rsidR="00B10CDB">
        <w:t>B</w:t>
      </w:r>
      <w:r w:rsidR="007A10F0" w:rsidRPr="001323BE">
        <w:fldChar w:fldCharType="end"/>
      </w:r>
      <w:r w:rsidR="007A10F0" w:rsidRPr="001323BE">
        <w:t xml:space="preserve"> (in relation to interactive heating</w:t>
      </w:r>
      <w:r w:rsidR="007A10F0">
        <w:t xml:space="preserve"> </w:t>
      </w:r>
      <w:r w:rsidR="007A10F0" w:rsidRPr="001323BE">
        <w:t>/</w:t>
      </w:r>
      <w:r w:rsidR="007A10F0">
        <w:t xml:space="preserve"> </w:t>
      </w:r>
      <w:r w:rsidR="007A10F0" w:rsidRPr="001323BE">
        <w:t>cooling effects).</w:t>
      </w:r>
    </w:p>
    <w:p w14:paraId="53322BDF" w14:textId="77777777" w:rsidR="008C1D28" w:rsidRDefault="008C1D28" w:rsidP="00AA2116"/>
    <w:p w14:paraId="46C9E5E0" w14:textId="595B3B69" w:rsidR="008C1D28" w:rsidRPr="001062F9" w:rsidRDefault="008C1D28" w:rsidP="00453F14">
      <w:pPr>
        <w:pStyle w:val="Heading4"/>
        <w:numPr>
          <w:ilvl w:val="3"/>
          <w:numId w:val="64"/>
        </w:numPr>
      </w:pPr>
      <w:r w:rsidRPr="001062F9">
        <w:t>Comments</w:t>
      </w:r>
    </w:p>
    <w:p w14:paraId="3ACBFA6C" w14:textId="5E557D49" w:rsidR="004878F1" w:rsidRDefault="002147CB" w:rsidP="00AA2116">
      <w:r>
        <w:t>FirstEnergy</w:t>
      </w:r>
      <w:r w:rsidR="00674B67" w:rsidRPr="005E311B">
        <w:t xml:space="preserve"> request</w:t>
      </w:r>
      <w:r w:rsidR="007A2804">
        <w:t>s</w:t>
      </w:r>
      <w:r w:rsidR="00674B67" w:rsidRPr="005E311B">
        <w:t xml:space="preserve"> clarification </w:t>
      </w:r>
      <w:r w:rsidR="0045089D" w:rsidRPr="005E311B">
        <w:t>or</w:t>
      </w:r>
      <w:r w:rsidR="00674B67" w:rsidRPr="005E311B">
        <w:t xml:space="preserve"> </w:t>
      </w:r>
      <w:r w:rsidR="008B2EC8" w:rsidRPr="005E311B">
        <w:t xml:space="preserve">correction for </w:t>
      </w:r>
      <w:r w:rsidR="007203D7" w:rsidRPr="005E311B">
        <w:t>several values in the heat pump water heater measure; including correcting the units for</w:t>
      </w:r>
      <w:r w:rsidR="00E67FE5" w:rsidRPr="005E311B">
        <w:t xml:space="preserve"> default</w:t>
      </w:r>
      <w:r w:rsidR="007203D7" w:rsidRPr="005E311B">
        <w:t xml:space="preserve"> UEF</w:t>
      </w:r>
      <w:r w:rsidR="007203D7" w:rsidRPr="005E311B">
        <w:rPr>
          <w:vertAlign w:val="subscript"/>
        </w:rPr>
        <w:t>ee</w:t>
      </w:r>
      <w:r w:rsidR="007203D7" w:rsidRPr="005E311B">
        <w:t>, correcting the</w:t>
      </w:r>
      <w:r w:rsidR="00427BAB" w:rsidRPr="005E311B">
        <w:t xml:space="preserve"> HPWH</w:t>
      </w:r>
      <w:r w:rsidR="007203D7" w:rsidRPr="005E311B">
        <w:t xml:space="preserve"> default savings </w:t>
      </w:r>
      <w:r w:rsidR="00427BAB" w:rsidRPr="005E311B">
        <w:t>value</w:t>
      </w:r>
      <w:r w:rsidR="007203D7" w:rsidRPr="005E311B">
        <w:t>, and clarifying the definition of the V</w:t>
      </w:r>
      <w:r w:rsidR="007203D7" w:rsidRPr="005E311B">
        <w:rPr>
          <w:vertAlign w:val="subscript"/>
        </w:rPr>
        <w:t>r</w:t>
      </w:r>
      <w:r w:rsidR="007203D7" w:rsidRPr="005E311B">
        <w:t xml:space="preserve"> variable in the UEF</w:t>
      </w:r>
      <w:r w:rsidR="007203D7" w:rsidRPr="005E311B">
        <w:rPr>
          <w:vertAlign w:val="subscript"/>
        </w:rPr>
        <w:t>base</w:t>
      </w:r>
      <w:r w:rsidR="007203D7" w:rsidRPr="005E311B">
        <w:t xml:space="preserve"> table</w:t>
      </w:r>
      <w:r w:rsidR="0082760A">
        <w:t xml:space="preserve">.  </w:t>
      </w:r>
      <w:r>
        <w:t>FirstEnergy</w:t>
      </w:r>
      <w:r w:rsidR="007203D7" w:rsidRPr="005E311B">
        <w:t xml:space="preserve"> </w:t>
      </w:r>
      <w:r w:rsidR="00076391">
        <w:t>C</w:t>
      </w:r>
      <w:r w:rsidR="007203D7" w:rsidRPr="005E311B">
        <w:t xml:space="preserve">omments at 2. </w:t>
      </w:r>
      <w:r w:rsidR="00EA0444">
        <w:t xml:space="preserve"> </w:t>
      </w:r>
      <w:r w:rsidR="00427BAB" w:rsidRPr="005E311B">
        <w:t>PECO request</w:t>
      </w:r>
      <w:r w:rsidR="007A2804">
        <w:t>s</w:t>
      </w:r>
      <w:r w:rsidR="00427BAB" w:rsidRPr="005E311B">
        <w:t xml:space="preserve"> that </w:t>
      </w:r>
      <w:r w:rsidR="003F2E18" w:rsidRPr="005E311B">
        <w:t xml:space="preserve">UEF values be rounded to </w:t>
      </w:r>
      <w:r w:rsidR="00535B0D">
        <w:t xml:space="preserve">two digits to </w:t>
      </w:r>
      <w:r w:rsidR="003F2E18" w:rsidRPr="005E311B">
        <w:t>align with federal standards</w:t>
      </w:r>
      <w:r w:rsidR="00535B0D">
        <w:t xml:space="preserve">, </w:t>
      </w:r>
      <w:r w:rsidR="00D66560">
        <w:t xml:space="preserve">as well as clarification on </w:t>
      </w:r>
      <w:r w:rsidR="0056358A">
        <w:t>sources for listed default efficiencies and</w:t>
      </w:r>
      <w:r w:rsidR="00514737">
        <w:t xml:space="preserve"> for defining the draw pattern used to determine </w:t>
      </w:r>
      <w:r w:rsidR="000E3B7C">
        <w:t>efficiency values</w:t>
      </w:r>
      <w:r w:rsidR="001F0717">
        <w:t xml:space="preserve"> (this </w:t>
      </w:r>
      <w:r w:rsidR="00AA77D0">
        <w:t>applies to Sections 2.3.2 and 2.3.3 as well</w:t>
      </w:r>
      <w:r w:rsidR="001F0717">
        <w:t>)</w:t>
      </w:r>
      <w:r w:rsidR="0082760A">
        <w:t xml:space="preserve">.  </w:t>
      </w:r>
      <w:r w:rsidR="003F2E18" w:rsidRPr="005E311B">
        <w:t xml:space="preserve">PECO </w:t>
      </w:r>
      <w:r w:rsidR="00076391">
        <w:t>C</w:t>
      </w:r>
      <w:r w:rsidR="003F2E18" w:rsidRPr="005E311B">
        <w:t xml:space="preserve">omments at 8.  </w:t>
      </w:r>
    </w:p>
    <w:p w14:paraId="10B4481E" w14:textId="77777777" w:rsidR="0061674E" w:rsidRDefault="0061674E" w:rsidP="00AA2116"/>
    <w:p w14:paraId="4FDB7455" w14:textId="29B76CB4" w:rsidR="008C1D28" w:rsidRPr="001062F9" w:rsidRDefault="008C1D28" w:rsidP="00453F14">
      <w:pPr>
        <w:pStyle w:val="Heading4"/>
        <w:numPr>
          <w:ilvl w:val="3"/>
          <w:numId w:val="64"/>
        </w:numPr>
      </w:pPr>
      <w:r w:rsidRPr="006F6884">
        <w:t>Disposition</w:t>
      </w:r>
    </w:p>
    <w:p w14:paraId="536C1A44" w14:textId="63F97101" w:rsidR="00D667AE" w:rsidRPr="005E311B" w:rsidRDefault="004D65C3" w:rsidP="00AA2116">
      <w:r w:rsidRPr="005E311B">
        <w:t xml:space="preserve">The </w:t>
      </w:r>
      <w:r w:rsidR="00076391">
        <w:t>C</w:t>
      </w:r>
      <w:r w:rsidRPr="005E311B">
        <w:t xml:space="preserve">ommission </w:t>
      </w:r>
      <w:r w:rsidR="00BD4B1D" w:rsidRPr="005E311B">
        <w:t xml:space="preserve">agrees with </w:t>
      </w:r>
      <w:r w:rsidR="002147CB">
        <w:t>FirstEnergy</w:t>
      </w:r>
      <w:r w:rsidR="00DE44D4">
        <w:t>’s</w:t>
      </w:r>
      <w:r w:rsidR="00BD4B1D" w:rsidRPr="005E311B">
        <w:t xml:space="preserve"> and PECO</w:t>
      </w:r>
      <w:r w:rsidR="00DE44D4">
        <w:t>’s</w:t>
      </w:r>
      <w:r w:rsidR="00681F07">
        <w:t xml:space="preserve"> recommendations</w:t>
      </w:r>
      <w:r w:rsidR="00BD4B1D" w:rsidRPr="005E311B">
        <w:t xml:space="preserve"> and </w:t>
      </w:r>
      <w:r w:rsidR="00825AA3">
        <w:t xml:space="preserve">has </w:t>
      </w:r>
      <w:r w:rsidR="00BD4B1D" w:rsidRPr="005E311B">
        <w:t xml:space="preserve">corrected </w:t>
      </w:r>
      <w:r w:rsidR="00B229D5" w:rsidRPr="005E311B">
        <w:t xml:space="preserve">the specified values and provided clarification </w:t>
      </w:r>
      <w:r w:rsidR="00D50413">
        <w:t>where requested</w:t>
      </w:r>
      <w:r w:rsidR="0082760A">
        <w:t xml:space="preserve">.  </w:t>
      </w:r>
      <w:r w:rsidR="00D50413">
        <w:t>This includes adding a</w:t>
      </w:r>
      <w:r w:rsidR="00B229D5" w:rsidRPr="005E311B">
        <w:t xml:space="preserve"> table </w:t>
      </w:r>
      <w:r w:rsidR="00845572">
        <w:t xml:space="preserve">defining draw pattern for water heaters. </w:t>
      </w:r>
      <w:r w:rsidR="00EA0444">
        <w:t xml:space="preserve"> </w:t>
      </w:r>
      <w:r w:rsidR="007E7440" w:rsidRPr="005E311B">
        <w:t xml:space="preserve">Although no </w:t>
      </w:r>
      <w:r w:rsidR="007E7440" w:rsidRPr="005E311B">
        <w:lastRenderedPageBreak/>
        <w:t xml:space="preserve">stakeholders commented on the error, </w:t>
      </w:r>
      <w:r w:rsidR="00A5068D">
        <w:t xml:space="preserve">we </w:t>
      </w:r>
      <w:r w:rsidR="007E7440" w:rsidRPr="005E311B">
        <w:t>not</w:t>
      </w:r>
      <w:r w:rsidR="005876FE">
        <w:t>iced</w:t>
      </w:r>
      <w:r w:rsidR="007E7440" w:rsidRPr="005E311B">
        <w:t xml:space="preserve"> during</w:t>
      </w:r>
      <w:r w:rsidR="00390E0B">
        <w:t xml:space="preserve"> the</w:t>
      </w:r>
      <w:r w:rsidR="007E7440" w:rsidRPr="005E311B">
        <w:t xml:space="preserve"> review of </w:t>
      </w:r>
      <w:r w:rsidR="00390E0B">
        <w:t>our</w:t>
      </w:r>
      <w:r w:rsidR="007E7440" w:rsidRPr="005E311B">
        <w:t xml:space="preserve"> proposed manual</w:t>
      </w:r>
      <w:r w:rsidR="005B505B" w:rsidRPr="005E311B">
        <w:t xml:space="preserve"> that</w:t>
      </w:r>
      <w:r w:rsidR="003C76BC" w:rsidRPr="005E311B">
        <w:t xml:space="preserve"> Section 2.3.3 – Fuel Switching still </w:t>
      </w:r>
      <w:r w:rsidR="00BF0110" w:rsidRPr="005E311B">
        <w:t>refer</w:t>
      </w:r>
      <w:r w:rsidR="00773242">
        <w:t>enc</w:t>
      </w:r>
      <w:r w:rsidR="00BF0110" w:rsidRPr="005E311B">
        <w:t>ed</w:t>
      </w:r>
      <w:r w:rsidR="003C76BC" w:rsidRPr="005E311B">
        <w:t xml:space="preserve"> oil-fired water heaters, which the </w:t>
      </w:r>
      <w:r w:rsidR="00B23469">
        <w:t>C</w:t>
      </w:r>
      <w:r w:rsidR="003C76BC" w:rsidRPr="005E311B">
        <w:t>ommission has removed</w:t>
      </w:r>
      <w:r w:rsidR="003911B3">
        <w:t>.</w:t>
      </w:r>
      <w:r w:rsidR="003C76BC" w:rsidRPr="005E311B">
        <w:t xml:space="preserve"> </w:t>
      </w:r>
    </w:p>
    <w:p w14:paraId="4E8C948F" w14:textId="77777777" w:rsidR="00F257CE" w:rsidRPr="001323BE" w:rsidRDefault="00F257CE" w:rsidP="00AA2116"/>
    <w:p w14:paraId="022C2186" w14:textId="77777777" w:rsidR="00F257CE" w:rsidRPr="001323BE" w:rsidRDefault="00F257CE" w:rsidP="00453F14">
      <w:pPr>
        <w:pStyle w:val="Heading3"/>
        <w:numPr>
          <w:ilvl w:val="2"/>
          <w:numId w:val="64"/>
        </w:numPr>
      </w:pPr>
      <w:bookmarkStart w:id="156" w:name="_Toc15657933"/>
      <w:r w:rsidRPr="001323BE">
        <w:t>Section 2.</w:t>
      </w:r>
      <w:r w:rsidRPr="0082744A">
        <w:t>3.6 –Water Heater Temperature</w:t>
      </w:r>
      <w:r w:rsidRPr="001323BE">
        <w:t xml:space="preserve"> Setback</w:t>
      </w:r>
      <w:r w:rsidRPr="001323BE">
        <w:rPr>
          <w:rStyle w:val="FootnoteReference"/>
        </w:rPr>
        <w:footnoteReference w:id="38"/>
      </w:r>
      <w:bookmarkEnd w:id="156"/>
    </w:p>
    <w:p w14:paraId="72EEA5EA" w14:textId="558139A1" w:rsidR="00F257CE" w:rsidRPr="001323BE" w:rsidRDefault="00F257CE" w:rsidP="00AA2116">
      <w:r w:rsidRPr="001323BE">
        <w:t>The Commission propose</w:t>
      </w:r>
      <w:r w:rsidR="00E5413C">
        <w:t>d</w:t>
      </w:r>
      <w:r w:rsidRPr="001323BE">
        <w:t xml:space="preserve"> adding a term for the assumed number of clothes washer cycles per year, which </w:t>
      </w:r>
      <w:r w:rsidR="0033273B">
        <w:t xml:space="preserve">is </w:t>
      </w:r>
      <w:r w:rsidR="00246352">
        <w:t>not included</w:t>
      </w:r>
      <w:r w:rsidR="0033273B">
        <w:t xml:space="preserve"> in</w:t>
      </w:r>
      <w:r w:rsidRPr="00B310A3">
        <w:t xml:space="preserve"> the </w:t>
      </w:r>
      <w:r w:rsidR="00E001E2" w:rsidRPr="00B310A3">
        <w:t>2016 TRM</w:t>
      </w:r>
      <w:r w:rsidR="00B310A3">
        <w:t>,</w:t>
      </w:r>
      <w:r w:rsidRPr="00B310A3">
        <w:t xml:space="preserve"> though the algorithm includes a term for the volume of hot water used in each clothes washer cycle.</w:t>
      </w:r>
      <w:r w:rsidR="00A31012">
        <w:t xml:space="preserve">  In addition, t</w:t>
      </w:r>
      <w:r w:rsidRPr="001323BE">
        <w:t xml:space="preserve">he current </w:t>
      </w:r>
      <w:r w:rsidR="0076745E">
        <w:t xml:space="preserve">U.S. </w:t>
      </w:r>
      <w:r w:rsidRPr="001323BE">
        <w:t>DOE metric for efficiency of water heaters is the Uniform Energy Factor (UEF), which has superseded the prior metric, Energy Factor (EF)</w:t>
      </w:r>
      <w:r w:rsidR="00A0651F">
        <w:t xml:space="preserve">.  </w:t>
      </w:r>
      <w:r w:rsidRPr="001323BE">
        <w:t>The Commission propose</w:t>
      </w:r>
      <w:r w:rsidR="006F6884">
        <w:t>d</w:t>
      </w:r>
      <w:r w:rsidRPr="001323BE">
        <w:t xml:space="preserve"> updating this measure to specify baseline and efficient equipment by UEF.</w:t>
      </w:r>
    </w:p>
    <w:p w14:paraId="41A4D10C" w14:textId="77777777" w:rsidR="008C1D28" w:rsidRDefault="008C1D28" w:rsidP="00AA2116"/>
    <w:p w14:paraId="6AF484E3" w14:textId="16BCEEB7" w:rsidR="008C1D28" w:rsidRPr="0018365E" w:rsidRDefault="008C1D28" w:rsidP="00453F14">
      <w:pPr>
        <w:pStyle w:val="Heading4"/>
        <w:numPr>
          <w:ilvl w:val="3"/>
          <w:numId w:val="64"/>
        </w:numPr>
      </w:pPr>
      <w:r w:rsidRPr="0018365E">
        <w:t>Comments</w:t>
      </w:r>
    </w:p>
    <w:p w14:paraId="6C0CC5DF" w14:textId="0CF07258" w:rsidR="008C1D28" w:rsidRDefault="002147CB" w:rsidP="00AA2116">
      <w:r>
        <w:t>FirstEnergy</w:t>
      </w:r>
      <w:r w:rsidR="00EF3D63">
        <w:t xml:space="preserve"> </w:t>
      </w:r>
      <w:r w:rsidR="009A43D8">
        <w:t>c</w:t>
      </w:r>
      <w:r w:rsidR="00EF3D63">
        <w:t xml:space="preserve">omments that </w:t>
      </w:r>
      <w:r w:rsidR="00834036">
        <w:t xml:space="preserve">incorrect units are used for the </w:t>
      </w:r>
      <w:r w:rsidR="00834036" w:rsidRPr="00B041C5">
        <w:t>V</w:t>
      </w:r>
      <w:r w:rsidR="00834036" w:rsidRPr="005D1CC6">
        <w:rPr>
          <w:vertAlign w:val="subscript"/>
        </w:rPr>
        <w:t>HW</w:t>
      </w:r>
      <w:r w:rsidR="00834036">
        <w:t xml:space="preserve"> variable, and </w:t>
      </w:r>
      <w:r w:rsidR="00700736">
        <w:t xml:space="preserve">that the incorrect source table was given for the </w:t>
      </w:r>
      <w:r w:rsidR="00700736" w:rsidRPr="00B041C5">
        <w:t>A</w:t>
      </w:r>
      <w:r w:rsidR="00700736" w:rsidRPr="005D1CC6">
        <w:rPr>
          <w:vertAlign w:val="subscript"/>
        </w:rPr>
        <w:t>tank</w:t>
      </w:r>
      <w:r w:rsidR="00700736">
        <w:t xml:space="preserve"> variable</w:t>
      </w:r>
      <w:r w:rsidR="0082760A">
        <w:t xml:space="preserve">.  </w:t>
      </w:r>
      <w:r>
        <w:t>FirstEnergy</w:t>
      </w:r>
      <w:r w:rsidR="00700736">
        <w:t xml:space="preserve"> Comments at 2.</w:t>
      </w:r>
      <w:r w:rsidR="00EA0444">
        <w:t xml:space="preserve">  </w:t>
      </w:r>
      <w:r w:rsidR="00CF0E65">
        <w:t xml:space="preserve">PECO </w:t>
      </w:r>
      <w:r w:rsidR="00A50927">
        <w:t>comment</w:t>
      </w:r>
      <w:r w:rsidR="00651865">
        <w:t>s</w:t>
      </w:r>
      <w:r w:rsidR="00A50927">
        <w:t xml:space="preserve"> that cycles</w:t>
      </w:r>
      <w:r w:rsidR="00A50927">
        <w:rPr>
          <w:vertAlign w:val="subscript"/>
        </w:rPr>
        <w:t>wash</w:t>
      </w:r>
      <w:r w:rsidR="00A50927">
        <w:t xml:space="preserve"> values were not aligned between tables</w:t>
      </w:r>
      <w:r w:rsidR="00CC39A8">
        <w:t xml:space="preserve"> within the measure and</w:t>
      </w:r>
      <w:r w:rsidR="00A50927">
        <w:t xml:space="preserve"> </w:t>
      </w:r>
      <w:r w:rsidR="00CC39A8">
        <w:t>request</w:t>
      </w:r>
      <w:r w:rsidR="007A2804">
        <w:t>s</w:t>
      </w:r>
      <w:r w:rsidR="00A50927">
        <w:t xml:space="preserve"> </w:t>
      </w:r>
      <w:r w:rsidR="00CC39A8">
        <w:t>clarification</w:t>
      </w:r>
      <w:r w:rsidR="00A50927">
        <w:t xml:space="preserve"> </w:t>
      </w:r>
      <w:r w:rsidR="00CC39A8">
        <w:t xml:space="preserve">on the </w:t>
      </w:r>
      <w:r w:rsidR="00591743">
        <w:t xml:space="preserve">presence of a washer in default savings </w:t>
      </w:r>
      <w:r w:rsidR="00CC39A8">
        <w:t>scenarios</w:t>
      </w:r>
      <w:r w:rsidR="00591743">
        <w:t xml:space="preserve"> </w:t>
      </w:r>
      <w:r w:rsidR="00202424">
        <w:t>utilizing the cycles</w:t>
      </w:r>
      <w:r w:rsidR="00202424">
        <w:rPr>
          <w:vertAlign w:val="subscript"/>
        </w:rPr>
        <w:t>wash</w:t>
      </w:r>
      <w:r w:rsidR="00202424">
        <w:t xml:space="preserve"> variable</w:t>
      </w:r>
      <w:r w:rsidR="0082760A">
        <w:t xml:space="preserve">.  </w:t>
      </w:r>
      <w:r w:rsidR="00202424">
        <w:t>PECO Comments at 8</w:t>
      </w:r>
      <w:r w:rsidR="0082760A">
        <w:t xml:space="preserve">.  </w:t>
      </w:r>
    </w:p>
    <w:p w14:paraId="0AF04465" w14:textId="77777777" w:rsidR="009A43D8" w:rsidRPr="00202424" w:rsidRDefault="009A43D8" w:rsidP="00AA2116"/>
    <w:p w14:paraId="410FFCBD" w14:textId="0FA9F9EB" w:rsidR="008C1D28" w:rsidRDefault="008C1D28" w:rsidP="00453F14">
      <w:pPr>
        <w:pStyle w:val="Heading4"/>
        <w:numPr>
          <w:ilvl w:val="3"/>
          <w:numId w:val="64"/>
        </w:numPr>
      </w:pPr>
      <w:r w:rsidRPr="001062F9">
        <w:t>Disposition</w:t>
      </w:r>
    </w:p>
    <w:p w14:paraId="1D5FBAE6" w14:textId="7F5F626C" w:rsidR="008C1D28" w:rsidRPr="00741CF0" w:rsidRDefault="007A6754" w:rsidP="00AA2116">
      <w:r>
        <w:t xml:space="preserve">The Commission accepts all </w:t>
      </w:r>
      <w:r w:rsidR="00D106B1">
        <w:t>suggestions</w:t>
      </w:r>
      <w:r>
        <w:t xml:space="preserve"> from </w:t>
      </w:r>
      <w:r w:rsidR="002147CB">
        <w:t>FirstEnergy</w:t>
      </w:r>
      <w:r>
        <w:t xml:space="preserve"> and PECO and </w:t>
      </w:r>
      <w:r w:rsidR="00D106B1">
        <w:t xml:space="preserve">has </w:t>
      </w:r>
      <w:r>
        <w:t xml:space="preserve">made the </w:t>
      </w:r>
      <w:r w:rsidR="00336A2D">
        <w:t>necessary corrections and updates</w:t>
      </w:r>
      <w:r w:rsidR="0082760A">
        <w:t xml:space="preserve">.  </w:t>
      </w:r>
      <w:r w:rsidR="001F7E4D" w:rsidRPr="005E311B">
        <w:t xml:space="preserve">Although no stakeholders commented on the error, </w:t>
      </w:r>
      <w:r w:rsidR="0087151D">
        <w:t>we</w:t>
      </w:r>
      <w:r w:rsidR="001F7E4D" w:rsidRPr="005E311B">
        <w:t xml:space="preserve"> not</w:t>
      </w:r>
      <w:r w:rsidR="001F7E4D">
        <w:t>iced</w:t>
      </w:r>
      <w:r w:rsidR="001F7E4D" w:rsidRPr="005E311B">
        <w:t xml:space="preserve"> during </w:t>
      </w:r>
      <w:r w:rsidR="0087151D">
        <w:t xml:space="preserve">the </w:t>
      </w:r>
      <w:r w:rsidR="001F7E4D" w:rsidRPr="005E311B">
        <w:t xml:space="preserve">review of </w:t>
      </w:r>
      <w:r w:rsidR="0087151D">
        <w:t>our</w:t>
      </w:r>
      <w:r w:rsidR="001F7E4D" w:rsidRPr="005E311B">
        <w:t xml:space="preserve"> proposed manual</w:t>
      </w:r>
      <w:r w:rsidR="001F7E4D">
        <w:t xml:space="preserve"> that the UEF value</w:t>
      </w:r>
      <w:r w:rsidR="00C13EB7">
        <w:t xml:space="preserve">s </w:t>
      </w:r>
      <w:r w:rsidR="00665276">
        <w:t>were not consistently rounded to the second digit</w:t>
      </w:r>
      <w:r w:rsidR="0082760A">
        <w:t xml:space="preserve">.  </w:t>
      </w:r>
      <w:r w:rsidR="00D71E4C">
        <w:t>The</w:t>
      </w:r>
      <w:r w:rsidR="000D2593">
        <w:t xml:space="preserve"> Commission has </w:t>
      </w:r>
      <w:r w:rsidR="00071571">
        <w:t>updated</w:t>
      </w:r>
      <w:r w:rsidR="000D2593">
        <w:t xml:space="preserve"> </w:t>
      </w:r>
      <w:r w:rsidR="0029234B">
        <w:t>the</w:t>
      </w:r>
      <w:r w:rsidR="00782534">
        <w:t>se</w:t>
      </w:r>
      <w:r w:rsidR="0029234B">
        <w:t xml:space="preserve"> UEF values</w:t>
      </w:r>
      <w:r w:rsidR="0082760A">
        <w:t xml:space="preserve">.  </w:t>
      </w:r>
      <w:r w:rsidR="00D71E4C">
        <w:t xml:space="preserve"> </w:t>
      </w:r>
    </w:p>
    <w:p w14:paraId="25AC2A17" w14:textId="2D54C84B" w:rsidR="00F257CE" w:rsidRPr="001323BE" w:rsidRDefault="00F257CE" w:rsidP="00453F14">
      <w:pPr>
        <w:pStyle w:val="Heading3"/>
        <w:numPr>
          <w:ilvl w:val="2"/>
          <w:numId w:val="64"/>
        </w:numPr>
      </w:pPr>
      <w:bookmarkStart w:id="157" w:name="_Toc15657934"/>
      <w:r w:rsidRPr="001323BE">
        <w:lastRenderedPageBreak/>
        <w:t xml:space="preserve">Section 2.3.7 </w:t>
      </w:r>
      <w:r w:rsidRPr="0082744A">
        <w:t>–</w:t>
      </w:r>
      <w:r w:rsidR="005D7221" w:rsidRPr="0082744A">
        <w:t xml:space="preserve"> </w:t>
      </w:r>
      <w:r w:rsidRPr="0082744A">
        <w:t>Water Heater Pipe</w:t>
      </w:r>
      <w:r w:rsidRPr="001323BE">
        <w:t xml:space="preserve"> Insulation</w:t>
      </w:r>
      <w:r w:rsidRPr="001323BE">
        <w:rPr>
          <w:rStyle w:val="FootnoteReference"/>
        </w:rPr>
        <w:footnoteReference w:id="39"/>
      </w:r>
      <w:bookmarkEnd w:id="157"/>
    </w:p>
    <w:p w14:paraId="5F0F9600" w14:textId="1099B424" w:rsidR="00F257CE" w:rsidRPr="001323BE" w:rsidRDefault="00F257CE" w:rsidP="00AA2116">
      <w:pPr>
        <w:pStyle w:val="Explanationtext"/>
      </w:pPr>
      <w:r w:rsidRPr="001323BE">
        <w:t>The Commission propose</w:t>
      </w:r>
      <w:r w:rsidR="001E14A0">
        <w:t>d</w:t>
      </w:r>
      <w:r w:rsidRPr="001323BE">
        <w:t xml:space="preserve"> updating the assumed energy use of an electric water heater to correspond with updated baseline values in Section 2.3.1 – Heat Pump Water Heaters</w:t>
      </w:r>
      <w:r w:rsidR="00A0651F">
        <w:t xml:space="preserve">.  </w:t>
      </w:r>
      <w:r w:rsidRPr="001323BE">
        <w:t>This results in a deemed savings of 8.82 kWh per year per foot of pipe insulation, versus the former value of 9.43 kWh per year per foot.</w:t>
      </w:r>
    </w:p>
    <w:p w14:paraId="688B6F1B" w14:textId="77777777" w:rsidR="008C1D28" w:rsidRDefault="008C1D28" w:rsidP="00AA2116"/>
    <w:p w14:paraId="48325652" w14:textId="14F98F9F" w:rsidR="008C1D28" w:rsidRPr="001062F9" w:rsidRDefault="008C1D28" w:rsidP="00453F14">
      <w:pPr>
        <w:pStyle w:val="Heading4"/>
        <w:numPr>
          <w:ilvl w:val="3"/>
          <w:numId w:val="64"/>
        </w:numPr>
      </w:pPr>
      <w:r w:rsidRPr="001062F9">
        <w:t>Comments</w:t>
      </w:r>
    </w:p>
    <w:p w14:paraId="692699DA" w14:textId="3709F07F" w:rsidR="00FC6C7E" w:rsidRDefault="002147CB" w:rsidP="00AA2116">
      <w:r>
        <w:t>FirstEnergy</w:t>
      </w:r>
      <w:r w:rsidR="00DB2B8E">
        <w:t xml:space="preserve"> </w:t>
      </w:r>
      <w:r w:rsidR="00DF78D1">
        <w:t>c</w:t>
      </w:r>
      <w:r w:rsidR="00DB2B8E">
        <w:t>omment</w:t>
      </w:r>
      <w:r w:rsidR="0067315B">
        <w:t>s</w:t>
      </w:r>
      <w:r w:rsidR="00DB2B8E">
        <w:t xml:space="preserve"> that </w:t>
      </w:r>
      <w:r w:rsidR="00372CAE">
        <w:t xml:space="preserve">the </w:t>
      </w:r>
      <w:r w:rsidR="0079198C">
        <w:t>e</w:t>
      </w:r>
      <w:r w:rsidR="00950952">
        <w:t xml:space="preserve">ligibility description of the measure </w:t>
      </w:r>
      <w:r w:rsidR="00D35A54">
        <w:t>use</w:t>
      </w:r>
      <w:r w:rsidR="00CD187E">
        <w:t>s a</w:t>
      </w:r>
      <w:r w:rsidR="00B67C0B">
        <w:t>n insulation</w:t>
      </w:r>
      <w:r w:rsidR="00CD187E">
        <w:t xml:space="preserve"> thickness of </w:t>
      </w:r>
      <w:r w:rsidR="00BE618A">
        <w:t xml:space="preserve">¾," </w:t>
      </w:r>
      <w:r w:rsidR="00CD187E">
        <w:t>whi</w:t>
      </w:r>
      <w:r w:rsidR="00B67C0B">
        <w:t>le other thicknesses (</w:t>
      </w:r>
      <w:r w:rsidR="008A5EBC">
        <w:t>½</w:t>
      </w:r>
      <w:r w:rsidR="00585F64">
        <w:t>"</w:t>
      </w:r>
      <w:r w:rsidR="008A5EBC">
        <w:t xml:space="preserve"> </w:t>
      </w:r>
      <w:r w:rsidR="00B67C0B">
        <w:t>to 1</w:t>
      </w:r>
      <w:r w:rsidR="00585F64">
        <w:t>"</w:t>
      </w:r>
      <w:r w:rsidR="00B67C0B">
        <w:t>)</w:t>
      </w:r>
      <w:r w:rsidR="00A26EBC">
        <w:t xml:space="preserve"> </w:t>
      </w:r>
      <w:r w:rsidR="00B67C0B">
        <w:t>would be acceptable</w:t>
      </w:r>
      <w:r w:rsidR="0082760A">
        <w:t xml:space="preserve">.  </w:t>
      </w:r>
      <w:r>
        <w:t>FirstEnergy</w:t>
      </w:r>
      <w:r w:rsidR="00B67C0B">
        <w:t xml:space="preserve"> Comments at 2.  </w:t>
      </w:r>
      <w:r w:rsidR="001650D4">
        <w:t>Franklin Energy suggests including a more detailed definition of unconditioned space</w:t>
      </w:r>
      <w:r w:rsidR="0082760A">
        <w:t xml:space="preserve">.  </w:t>
      </w:r>
      <w:r w:rsidR="00FC6C7E" w:rsidRPr="00FC6C7E">
        <w:t xml:space="preserve">Franklin Energy </w:t>
      </w:r>
      <w:r w:rsidR="003B28D1">
        <w:t>C</w:t>
      </w:r>
      <w:r w:rsidR="00FC6C7E" w:rsidRPr="00FC6C7E">
        <w:t>omments at 87.</w:t>
      </w:r>
      <w:r w:rsidR="00FC6C7E">
        <w:t xml:space="preserve"> </w:t>
      </w:r>
    </w:p>
    <w:p w14:paraId="135C1580" w14:textId="77777777" w:rsidR="009D27C2" w:rsidRDefault="009D27C2" w:rsidP="00AA2116"/>
    <w:p w14:paraId="0E481724" w14:textId="100D1688" w:rsidR="008C1D28" w:rsidRDefault="008C1D28" w:rsidP="00453F14">
      <w:pPr>
        <w:pStyle w:val="Heading4"/>
        <w:numPr>
          <w:ilvl w:val="3"/>
          <w:numId w:val="64"/>
        </w:numPr>
      </w:pPr>
      <w:r w:rsidRPr="001062F9">
        <w:t>Disposition</w:t>
      </w:r>
    </w:p>
    <w:p w14:paraId="794E1F9E" w14:textId="16C97CAD" w:rsidR="00D06BFC" w:rsidRDefault="00964313" w:rsidP="00AA2116">
      <w:r>
        <w:t xml:space="preserve">The Commission </w:t>
      </w:r>
      <w:r w:rsidR="00DF2D74">
        <w:t>agrees with</w:t>
      </w:r>
      <w:r>
        <w:t xml:space="preserve"> </w:t>
      </w:r>
      <w:r w:rsidR="002147CB">
        <w:t>FirstEnergy</w:t>
      </w:r>
      <w:r w:rsidR="00DF2D74">
        <w:t>’s opinion</w:t>
      </w:r>
      <w:r w:rsidR="00B93E4C">
        <w:t xml:space="preserve">, acknowledging that multiple insulation and pipe configurations can meet the </w:t>
      </w:r>
      <w:r w:rsidR="00A809D1">
        <w:t>insulation levels necessary to claim savings</w:t>
      </w:r>
      <w:r w:rsidR="0082760A">
        <w:t xml:space="preserve">.  </w:t>
      </w:r>
      <w:r w:rsidR="00A004C2">
        <w:t>We have changed</w:t>
      </w:r>
      <w:r>
        <w:t xml:space="preserve"> the eligibility definition of the measure to be the 2015 IECC code minimum of R-3</w:t>
      </w:r>
      <w:r w:rsidR="008800FC">
        <w:t xml:space="preserve"> or above</w:t>
      </w:r>
      <w:r w:rsidR="00A809D1">
        <w:t xml:space="preserve">, rather than </w:t>
      </w:r>
      <w:r w:rsidR="00D76BBE">
        <w:t>specifying insulation thickness</w:t>
      </w:r>
      <w:r w:rsidR="00A809D1">
        <w:t>.</w:t>
      </w:r>
      <w:r w:rsidR="00A809D1">
        <w:rPr>
          <w:rStyle w:val="FootnoteReference"/>
        </w:rPr>
        <w:footnoteReference w:id="40"/>
      </w:r>
      <w:r w:rsidR="00D06BFC">
        <w:t xml:space="preserve"> </w:t>
      </w:r>
      <w:r w:rsidR="007F72C4">
        <w:t xml:space="preserve"> </w:t>
      </w:r>
      <w:r w:rsidR="00D06BFC">
        <w:t xml:space="preserve">However, the Commission disagrees </w:t>
      </w:r>
      <w:r w:rsidR="00330886">
        <w:t xml:space="preserve">with </w:t>
      </w:r>
      <w:r w:rsidR="00D06BFC">
        <w:t>the suggestion made by Franklin Energy</w:t>
      </w:r>
      <w:r w:rsidR="00357270">
        <w:t xml:space="preserve"> to include a more detailed definition of unconditioned space.</w:t>
      </w:r>
      <w:r w:rsidR="00D06BFC">
        <w:t xml:space="preserve"> </w:t>
      </w:r>
    </w:p>
    <w:p w14:paraId="54715940" w14:textId="77777777" w:rsidR="00441C6D" w:rsidRDefault="00441C6D" w:rsidP="00AA2116"/>
    <w:p w14:paraId="686CE93B" w14:textId="343AF30F" w:rsidR="00F257CE" w:rsidRPr="0082744A" w:rsidRDefault="00F257CE" w:rsidP="00453F14">
      <w:pPr>
        <w:pStyle w:val="Heading3"/>
        <w:numPr>
          <w:ilvl w:val="2"/>
          <w:numId w:val="64"/>
        </w:numPr>
        <w:ind w:left="1440" w:hanging="720"/>
      </w:pPr>
      <w:bookmarkStart w:id="158" w:name="_Toc13771228"/>
      <w:bookmarkStart w:id="159" w:name="_Toc13771229"/>
      <w:bookmarkStart w:id="160" w:name="_Toc13771230"/>
      <w:bookmarkStart w:id="161" w:name="_Toc15657935"/>
      <w:bookmarkEnd w:id="158"/>
      <w:bookmarkEnd w:id="159"/>
      <w:bookmarkEnd w:id="160"/>
      <w:r w:rsidRPr="001323BE">
        <w:t xml:space="preserve">Section 2.3.8 – </w:t>
      </w:r>
      <w:r w:rsidRPr="0082744A">
        <w:t>Low</w:t>
      </w:r>
      <w:r w:rsidR="0075240B" w:rsidRPr="0082744A">
        <w:t>-f</w:t>
      </w:r>
      <w:r w:rsidRPr="0082744A">
        <w:t>low Faucet Aerators</w:t>
      </w:r>
      <w:r w:rsidRPr="0082744A">
        <w:rPr>
          <w:rStyle w:val="FootnoteReference"/>
        </w:rPr>
        <w:footnoteReference w:id="41"/>
      </w:r>
      <w:r w:rsidRPr="0082744A">
        <w:t xml:space="preserve"> and Section 2.3.9 – Low</w:t>
      </w:r>
      <w:r w:rsidR="00FE378E" w:rsidRPr="0082744A">
        <w:t>-f</w:t>
      </w:r>
      <w:r w:rsidRPr="0082744A">
        <w:t>low Showerheads</w:t>
      </w:r>
      <w:r w:rsidRPr="0082744A">
        <w:rPr>
          <w:rStyle w:val="FootnoteReference"/>
        </w:rPr>
        <w:footnoteReference w:id="42"/>
      </w:r>
      <w:bookmarkEnd w:id="161"/>
    </w:p>
    <w:p w14:paraId="2B6978E9" w14:textId="19EB5B85" w:rsidR="008C1D28" w:rsidRDefault="00F257CE" w:rsidP="00AA2116">
      <w:pPr>
        <w:pStyle w:val="Explanationtext"/>
      </w:pPr>
      <w:r w:rsidRPr="001323BE">
        <w:t>The Commission propose</w:t>
      </w:r>
      <w:r w:rsidR="009D6F08">
        <w:t>d</w:t>
      </w:r>
      <w:r w:rsidRPr="001323BE">
        <w:t xml:space="preserve"> </w:t>
      </w:r>
      <w:r w:rsidR="00B30FA8">
        <w:t xml:space="preserve">to revise </w:t>
      </w:r>
      <w:r w:rsidRPr="001323BE">
        <w:t>the assumed cold</w:t>
      </w:r>
      <w:r w:rsidR="00087E87">
        <w:t>-</w:t>
      </w:r>
      <w:r w:rsidRPr="001323BE">
        <w:t>water inlet temperature to 52F, as used in other updated domestic hot water measures</w:t>
      </w:r>
      <w:r w:rsidR="00885F46">
        <w:t xml:space="preserve"> and to update</w:t>
      </w:r>
      <w:r w:rsidR="00614169">
        <w:t xml:space="preserve"> </w:t>
      </w:r>
      <w:r w:rsidR="00614169" w:rsidRPr="001323BE">
        <w:t>values for persons per household, faucets per home, and share of homes with electric water heaters using results from the</w:t>
      </w:r>
      <w:r w:rsidR="00614169">
        <w:t xml:space="preserve"> </w:t>
      </w:r>
      <w:r w:rsidR="00614169" w:rsidRPr="001323BE">
        <w:t>2018 Pennsylvania Residential Baseline Study</w:t>
      </w:r>
      <w:r w:rsidR="00A0651F">
        <w:t xml:space="preserve">.  </w:t>
      </w:r>
      <w:r w:rsidR="00213B91">
        <w:t>We also</w:t>
      </w:r>
      <w:r w:rsidRPr="001323BE">
        <w:t xml:space="preserve"> propose</w:t>
      </w:r>
      <w:r w:rsidR="00B463BB">
        <w:t>d</w:t>
      </w:r>
      <w:r w:rsidRPr="001323BE">
        <w:t xml:space="preserve"> </w:t>
      </w:r>
      <w:r w:rsidRPr="001323BE">
        <w:lastRenderedPageBreak/>
        <w:t xml:space="preserve">to include a default in-service rate of 28% for aerators and 35% for showerheads delivered in kits, based on evaluations of PY9 from </w:t>
      </w:r>
      <w:r w:rsidR="002147CB">
        <w:t>FirstEnergy</w:t>
      </w:r>
      <w:r w:rsidRPr="001323BE">
        <w:t xml:space="preserve"> EDCs.</w:t>
      </w:r>
    </w:p>
    <w:p w14:paraId="12E3F73B" w14:textId="77777777" w:rsidR="006A19C7" w:rsidRDefault="006A19C7" w:rsidP="00AA2116">
      <w:pPr>
        <w:pStyle w:val="Explanationtext"/>
      </w:pPr>
    </w:p>
    <w:p w14:paraId="08504A94" w14:textId="57C42197" w:rsidR="008C1D28" w:rsidRDefault="008C1D28" w:rsidP="00453F14">
      <w:pPr>
        <w:pStyle w:val="Heading4"/>
        <w:numPr>
          <w:ilvl w:val="3"/>
          <w:numId w:val="64"/>
        </w:numPr>
      </w:pPr>
      <w:r w:rsidRPr="001062F9">
        <w:t>Comments</w:t>
      </w:r>
    </w:p>
    <w:p w14:paraId="7279A9FD" w14:textId="4646027F" w:rsidR="00001F27" w:rsidRDefault="002147CB" w:rsidP="00AA2116">
      <w:r>
        <w:t>FirstEnergy</w:t>
      </w:r>
      <w:r w:rsidR="00516F01">
        <w:t xml:space="preserve"> requests clarification that </w:t>
      </w:r>
      <w:r w:rsidR="00D42976">
        <w:t>both aerators and low-flow shower heads can be installed in new construction</w:t>
      </w:r>
      <w:r w:rsidR="0082760A">
        <w:t xml:space="preserve">.  </w:t>
      </w:r>
      <w:r>
        <w:t>FirstEnergy</w:t>
      </w:r>
      <w:r w:rsidR="006729C7">
        <w:t xml:space="preserve"> Comments at </w:t>
      </w:r>
      <w:r w:rsidR="005D464D">
        <w:t xml:space="preserve">2. </w:t>
      </w:r>
      <w:r w:rsidR="007F72C4">
        <w:t xml:space="preserve"> </w:t>
      </w:r>
      <w:r w:rsidR="00380D01">
        <w:t xml:space="preserve">Franklin Energy </w:t>
      </w:r>
      <w:r w:rsidR="008F2AAD">
        <w:t>requests</w:t>
      </w:r>
      <w:r w:rsidR="00380D01">
        <w:t xml:space="preserve"> that clarification be provided in the introduction to both the aerator and shower head measures </w:t>
      </w:r>
      <w:r w:rsidR="006914CC">
        <w:t>about what type of equipment is eligible (HPWH, standard resistive</w:t>
      </w:r>
      <w:r w:rsidR="00231E6D">
        <w:t>,</w:t>
      </w:r>
      <w:r w:rsidR="006914CC">
        <w:t xml:space="preserve"> or instantaneous</w:t>
      </w:r>
      <w:r w:rsidR="00231E6D">
        <w:t xml:space="preserve"> electric water heaters</w:t>
      </w:r>
      <w:r w:rsidR="006914CC">
        <w:t>) and what type</w:t>
      </w:r>
      <w:r w:rsidR="005F6E43">
        <w:t>s</w:t>
      </w:r>
      <w:r w:rsidR="006914CC">
        <w:t xml:space="preserve"> </w:t>
      </w:r>
      <w:r w:rsidR="005F6E43">
        <w:t>are</w:t>
      </w:r>
      <w:r w:rsidR="006914CC">
        <w:t xml:space="preserve"> not (non-electric water heaters)</w:t>
      </w:r>
      <w:r w:rsidR="0082760A">
        <w:t xml:space="preserve">.  </w:t>
      </w:r>
      <w:r w:rsidR="00231E6D">
        <w:t xml:space="preserve"> </w:t>
      </w:r>
      <w:r w:rsidR="007F72C4">
        <w:t xml:space="preserve"> </w:t>
      </w:r>
      <w:r w:rsidR="007B0F27">
        <w:t xml:space="preserve">Franklin Energy </w:t>
      </w:r>
      <w:r w:rsidR="004D5EA6">
        <w:t>c</w:t>
      </w:r>
      <w:r w:rsidR="009A04C5">
        <w:t xml:space="preserve">omments </w:t>
      </w:r>
      <w:r w:rsidR="00FF05A5">
        <w:t>under faucet aerators that laminar flow restrictors should also be eligible under this measure</w:t>
      </w:r>
      <w:r w:rsidR="0082760A">
        <w:t xml:space="preserve">.  </w:t>
      </w:r>
      <w:r w:rsidR="007F72C4">
        <w:t xml:space="preserve">Franklin Energy Comments at 89 and 94.  </w:t>
      </w:r>
      <w:r>
        <w:t>FirstEnergy</w:t>
      </w:r>
      <w:r w:rsidR="00001F27">
        <w:t xml:space="preserve"> requests the addition of a default value for GPM</w:t>
      </w:r>
      <w:r w:rsidR="00001F27" w:rsidRPr="00001F27">
        <w:rPr>
          <w:vertAlign w:val="subscript"/>
        </w:rPr>
        <w:t>low</w:t>
      </w:r>
      <w:r w:rsidR="00001F27">
        <w:t xml:space="preserve"> of 1.5 GPM for low-flow showerheads.</w:t>
      </w:r>
      <w:r w:rsidR="003D4822">
        <w:t xml:space="preserve">  FirstEnergy comments at 6.</w:t>
      </w:r>
    </w:p>
    <w:p w14:paraId="06DAA772" w14:textId="77777777" w:rsidR="007F72C4" w:rsidRDefault="007F72C4" w:rsidP="00AA2116"/>
    <w:p w14:paraId="262017FA" w14:textId="01F78683" w:rsidR="006A19C7" w:rsidRPr="00170DFF" w:rsidRDefault="00A51E0E" w:rsidP="00AA2116">
      <w:r>
        <w:t xml:space="preserve">Franklin Energy </w:t>
      </w:r>
      <w:r w:rsidR="004D5EA6">
        <w:t>c</w:t>
      </w:r>
      <w:r>
        <w:t xml:space="preserve">omments that </w:t>
      </w:r>
      <w:r w:rsidR="002D5C2A">
        <w:t xml:space="preserve">legend text for load shape </w:t>
      </w:r>
      <w:r w:rsidR="00E53AC0">
        <w:t>graphs</w:t>
      </w:r>
      <w:r w:rsidR="002D5C2A">
        <w:t xml:space="preserve"> </w:t>
      </w:r>
      <w:r w:rsidR="00E53AC0">
        <w:t>is</w:t>
      </w:r>
      <w:r w:rsidR="002D5C2A">
        <w:t xml:space="preserve"> unclear in figures included for faucet aerators and shower heads</w:t>
      </w:r>
      <w:r w:rsidR="0082760A">
        <w:t xml:space="preserve">.  </w:t>
      </w:r>
      <w:r w:rsidR="00771CE7">
        <w:t xml:space="preserve">In addition, Franklin Energy </w:t>
      </w:r>
      <w:r w:rsidR="00431F23">
        <w:t>asks if a default GPM is necessary for a new unit where a proposed GPM might be unknown for faucet aerators and requests the addition of “EDC Data Gathering” as an option for GPM</w:t>
      </w:r>
      <w:r w:rsidR="00431F23">
        <w:rPr>
          <w:vertAlign w:val="subscript"/>
        </w:rPr>
        <w:t>base</w:t>
      </w:r>
      <w:r w:rsidR="00431F23">
        <w:t xml:space="preserve"> for the shower head measure</w:t>
      </w:r>
      <w:r w:rsidR="00680E4C">
        <w:t xml:space="preserve">.  Furthermore, Franklin Energy recommends noting that 0.98 is a default for electric resistance water heaters where default values are listed for both faucet aerators and low-flow shower heads. </w:t>
      </w:r>
      <w:r w:rsidR="00841F07">
        <w:t xml:space="preserve"> </w:t>
      </w:r>
      <w:r w:rsidR="00680E4C">
        <w:t xml:space="preserve">Franklin Energy Comments at 90 and 95. </w:t>
      </w:r>
      <w:r w:rsidR="007F72C4">
        <w:t xml:space="preserve"> </w:t>
      </w:r>
      <w:r w:rsidR="00992B15">
        <w:t xml:space="preserve">PECO </w:t>
      </w:r>
      <w:r w:rsidR="004847BA">
        <w:t xml:space="preserve">points out that ISRs for both faucet aerators and shower heads in the proposed manual are based on PY9 data from </w:t>
      </w:r>
      <w:r w:rsidR="002147CB">
        <w:t>FirstEnergy</w:t>
      </w:r>
      <w:r w:rsidR="004847BA">
        <w:t xml:space="preserve"> </w:t>
      </w:r>
      <w:r w:rsidR="006F48F8">
        <w:t>EDCs and</w:t>
      </w:r>
      <w:r w:rsidR="004847BA">
        <w:t xml:space="preserve"> recommends including data from additional EDCs over the course of multiple years</w:t>
      </w:r>
      <w:r w:rsidR="0082760A">
        <w:t xml:space="preserve">.  </w:t>
      </w:r>
      <w:r w:rsidR="00680E4C">
        <w:t>PECO Comments at</w:t>
      </w:r>
      <w:r w:rsidR="00841F07">
        <w:t xml:space="preserve"> 8.</w:t>
      </w:r>
    </w:p>
    <w:p w14:paraId="6FE01C5B" w14:textId="77777777" w:rsidR="006F48F8" w:rsidRPr="00CD1996" w:rsidRDefault="006F48F8" w:rsidP="00AA2116"/>
    <w:p w14:paraId="3DF50990" w14:textId="01E3D997" w:rsidR="008C1D28" w:rsidRDefault="008C1D28" w:rsidP="00453F14">
      <w:pPr>
        <w:pStyle w:val="Heading4"/>
        <w:numPr>
          <w:ilvl w:val="3"/>
          <w:numId w:val="64"/>
        </w:numPr>
      </w:pPr>
      <w:r w:rsidRPr="001062F9">
        <w:t>Disposition</w:t>
      </w:r>
    </w:p>
    <w:p w14:paraId="77CEF348" w14:textId="4630524B" w:rsidR="00001F27" w:rsidRDefault="00BD4453" w:rsidP="00AA2116">
      <w:r>
        <w:t>The Commission agrees with requests for clarification</w:t>
      </w:r>
      <w:r w:rsidR="00103B64">
        <w:t xml:space="preserve"> from </w:t>
      </w:r>
      <w:r w:rsidR="002147CB">
        <w:t>FirstEnergy</w:t>
      </w:r>
      <w:r w:rsidR="00103B64">
        <w:t xml:space="preserve"> and Franklin Energy</w:t>
      </w:r>
      <w:r>
        <w:t xml:space="preserve"> </w:t>
      </w:r>
      <w:r w:rsidR="00103B64">
        <w:t>regarding</w:t>
      </w:r>
      <w:r>
        <w:t xml:space="preserve"> </w:t>
      </w:r>
      <w:r w:rsidR="00420760">
        <w:t xml:space="preserve">the eligibility of new construction for each measure, </w:t>
      </w:r>
      <w:r w:rsidR="00420760">
        <w:lastRenderedPageBreak/>
        <w:t xml:space="preserve">equipment </w:t>
      </w:r>
      <w:r w:rsidR="00E416DB">
        <w:t xml:space="preserve">type </w:t>
      </w:r>
      <w:r w:rsidR="00420760">
        <w:t xml:space="preserve">eligibility, </w:t>
      </w:r>
      <w:r w:rsidR="00EF213F">
        <w:t xml:space="preserve">load shape types </w:t>
      </w:r>
      <w:r w:rsidR="005437CF">
        <w:t xml:space="preserve">in graph legends, and </w:t>
      </w:r>
      <w:r w:rsidR="00505AD6">
        <w:t>specifying</w:t>
      </w:r>
      <w:r w:rsidR="006C7C77">
        <w:t xml:space="preserve"> </w:t>
      </w:r>
      <w:r w:rsidR="006A19C7">
        <w:t>0</w:t>
      </w:r>
      <w:r w:rsidR="006C7C77">
        <w:t>.98 as a default for electric resistive water heaters</w:t>
      </w:r>
      <w:r w:rsidR="00994C4A">
        <w:t xml:space="preserve">.  </w:t>
      </w:r>
      <w:r w:rsidR="00DC6D8B">
        <w:t xml:space="preserve">We have made the </w:t>
      </w:r>
      <w:r w:rsidR="00577CAD">
        <w:t>corresponding</w:t>
      </w:r>
      <w:r w:rsidR="006C7C77">
        <w:t xml:space="preserve"> edits. </w:t>
      </w:r>
      <w:r w:rsidR="007F72C4">
        <w:t xml:space="preserve"> </w:t>
      </w:r>
      <w:r w:rsidR="00001F27">
        <w:t xml:space="preserve">The Commission rejects </w:t>
      </w:r>
      <w:r w:rsidR="002147CB">
        <w:t>FirstEnergy</w:t>
      </w:r>
      <w:r w:rsidR="00001F27">
        <w:t xml:space="preserve">’s request for a </w:t>
      </w:r>
      <w:r w:rsidR="00DE7749">
        <w:t>default GPM</w:t>
      </w:r>
      <w:r w:rsidR="00DE7749" w:rsidRPr="00DE7749">
        <w:rPr>
          <w:vertAlign w:val="subscript"/>
        </w:rPr>
        <w:t>low</w:t>
      </w:r>
      <w:r w:rsidR="00DE7749">
        <w:t xml:space="preserve"> value of 1.5 for low-flow showerheads</w:t>
      </w:r>
      <w:r w:rsidR="0082760A">
        <w:t xml:space="preserve">.  </w:t>
      </w:r>
      <w:r w:rsidR="00DE7749">
        <w:t xml:space="preserve">Low-flow showerheads are </w:t>
      </w:r>
      <w:r w:rsidR="001A47BF">
        <w:t xml:space="preserve">commonly </w:t>
      </w:r>
      <w:r w:rsidR="00DE7749">
        <w:t xml:space="preserve">available in a </w:t>
      </w:r>
      <w:r w:rsidR="001A47BF">
        <w:t xml:space="preserve">wider </w:t>
      </w:r>
      <w:r w:rsidR="00DE7749">
        <w:t>range of flow values</w:t>
      </w:r>
      <w:r w:rsidR="001A47BF">
        <w:t xml:space="preserve"> than faucet aerators (where a default GPM</w:t>
      </w:r>
      <w:r w:rsidR="001A47BF" w:rsidRPr="001A47BF">
        <w:rPr>
          <w:vertAlign w:val="subscript"/>
        </w:rPr>
        <w:t>low</w:t>
      </w:r>
      <w:r w:rsidR="001A47BF">
        <w:t xml:space="preserve"> of 1.5 is provided)</w:t>
      </w:r>
      <w:r w:rsidR="0082760A">
        <w:t xml:space="preserve">.  </w:t>
      </w:r>
      <w:r w:rsidR="00C47576">
        <w:t xml:space="preserve">We </w:t>
      </w:r>
      <w:r w:rsidR="008F0BC1">
        <w:t>find that</w:t>
      </w:r>
      <w:r w:rsidR="0092314D">
        <w:t xml:space="preserve"> it is </w:t>
      </w:r>
      <w:r w:rsidR="008F0BC1">
        <w:t xml:space="preserve">not </w:t>
      </w:r>
      <w:r w:rsidR="0092314D">
        <w:t>an undue burden to require EDCs to submit data on the specific flow rates</w:t>
      </w:r>
      <w:r w:rsidR="005B4037">
        <w:t xml:space="preserve"> of showerheads provided through their programs</w:t>
      </w:r>
      <w:r w:rsidR="0082760A">
        <w:t xml:space="preserve">.  </w:t>
      </w:r>
      <w:r w:rsidR="001A47BF">
        <w:t xml:space="preserve">A review of </w:t>
      </w:r>
      <w:r w:rsidR="0084043A">
        <w:t xml:space="preserve">prior years’ project files identified just one specification sheet for low-flow showerheads provided by </w:t>
      </w:r>
      <w:r w:rsidR="002147CB">
        <w:t>FirstEnergy</w:t>
      </w:r>
      <w:r w:rsidR="00607347">
        <w:t xml:space="preserve">, which </w:t>
      </w:r>
      <w:r w:rsidR="00FA1203">
        <w:t>listed</w:t>
      </w:r>
      <w:r w:rsidR="0084043A">
        <w:t xml:space="preserve"> a flow rate </w:t>
      </w:r>
      <w:r w:rsidR="00FA1203">
        <w:t xml:space="preserve">of </w:t>
      </w:r>
      <w:r w:rsidR="0084043A">
        <w:t xml:space="preserve">1.6 GPM. </w:t>
      </w:r>
    </w:p>
    <w:p w14:paraId="45DF4EF7" w14:textId="77777777" w:rsidR="00AD1671" w:rsidRDefault="00AD1671" w:rsidP="00AA2116"/>
    <w:p w14:paraId="1D1F388B" w14:textId="130AC909" w:rsidR="00A61587" w:rsidRPr="00B544F2" w:rsidRDefault="00B82F4B" w:rsidP="00AA2116">
      <w:r>
        <w:t>The Commission agrees with Franklin Energy</w:t>
      </w:r>
      <w:r w:rsidR="00950186">
        <w:t>’s suggestion</w:t>
      </w:r>
      <w:r>
        <w:t xml:space="preserve"> </w:t>
      </w:r>
      <w:r w:rsidR="00FF58AE">
        <w:t xml:space="preserve">that this measure is applicable to laminar flow restrictors </w:t>
      </w:r>
      <w:r w:rsidR="00626E9B">
        <w:t xml:space="preserve">and </w:t>
      </w:r>
      <w:r w:rsidR="00950186">
        <w:t xml:space="preserve">we have therefore </w:t>
      </w:r>
      <w:r w:rsidR="00626E9B">
        <w:t xml:space="preserve">expanded </w:t>
      </w:r>
      <w:r w:rsidR="00950186">
        <w:t xml:space="preserve">the </w:t>
      </w:r>
      <w:r w:rsidR="00626E9B">
        <w:t xml:space="preserve">eligibility to include </w:t>
      </w:r>
      <w:r w:rsidR="00E02D82">
        <w:t>them.</w:t>
      </w:r>
      <w:r w:rsidR="00CC4C38">
        <w:t xml:space="preserve"> </w:t>
      </w:r>
      <w:r w:rsidR="00092D78">
        <w:t xml:space="preserve"> </w:t>
      </w:r>
      <w:r w:rsidR="00CC4C38">
        <w:t xml:space="preserve">A default </w:t>
      </w:r>
      <w:r w:rsidR="00092D78">
        <w:t>value of 1.5 GPM</w:t>
      </w:r>
      <w:r w:rsidR="00092D78">
        <w:rPr>
          <w:vertAlign w:val="subscript"/>
        </w:rPr>
        <w:t>low</w:t>
      </w:r>
      <w:r w:rsidR="00092D78">
        <w:t xml:space="preserve"> is provided for use in faucet aerator savings calculations where EDC gathered data is</w:t>
      </w:r>
      <w:r w:rsidR="00685B9D">
        <w:t xml:space="preserve"> </w:t>
      </w:r>
      <w:r w:rsidR="00092D78">
        <w:t>n</w:t>
      </w:r>
      <w:r w:rsidR="00685B9D">
        <w:t>o</w:t>
      </w:r>
      <w:r w:rsidR="00092D78">
        <w:t>t available, the Commission believes this satisfies Franklin Energy’s question regarding a value for GPM</w:t>
      </w:r>
      <w:r w:rsidR="00092D78">
        <w:rPr>
          <w:vertAlign w:val="subscript"/>
        </w:rPr>
        <w:t xml:space="preserve">low </w:t>
      </w:r>
      <w:r w:rsidR="00092D78">
        <w:t>where the proposed GPM of a replacement aerator is unknow</w:t>
      </w:r>
      <w:r w:rsidR="00B56E14">
        <w:t xml:space="preserve">n. </w:t>
      </w:r>
      <w:r w:rsidR="00421879">
        <w:t xml:space="preserve"> </w:t>
      </w:r>
      <w:r w:rsidR="0064055F">
        <w:t xml:space="preserve">The Commission agrees with </w:t>
      </w:r>
      <w:r w:rsidR="009248F3">
        <w:t>Franklin Energy</w:t>
      </w:r>
      <w:r w:rsidR="00DE5C5A">
        <w:t>’s opinion</w:t>
      </w:r>
      <w:r w:rsidR="009248F3">
        <w:t xml:space="preserve"> that “EDC Data Gathering” should be an option for the</w:t>
      </w:r>
      <w:r w:rsidR="00B544F2">
        <w:t xml:space="preserve"> GPM</w:t>
      </w:r>
      <w:r w:rsidR="00B544F2">
        <w:rPr>
          <w:vertAlign w:val="subscript"/>
        </w:rPr>
        <w:t xml:space="preserve">base </w:t>
      </w:r>
      <w:r w:rsidR="00B544F2">
        <w:t xml:space="preserve">variable in the showerhead measure and </w:t>
      </w:r>
      <w:r w:rsidR="00ED6EE3">
        <w:t xml:space="preserve">as a result </w:t>
      </w:r>
      <w:r w:rsidR="00B544F2">
        <w:t xml:space="preserve">has added </w:t>
      </w:r>
      <w:r w:rsidR="00D93143">
        <w:t xml:space="preserve">“EDC Data Gathering” as an </w:t>
      </w:r>
      <w:r w:rsidR="00817323">
        <w:t>alternative</w:t>
      </w:r>
      <w:r w:rsidR="00B544F2">
        <w:t xml:space="preserve">. </w:t>
      </w:r>
      <w:r w:rsidR="007F72C4">
        <w:t xml:space="preserve"> </w:t>
      </w:r>
      <w:r w:rsidR="00B544F2">
        <w:t xml:space="preserve">The Commission </w:t>
      </w:r>
      <w:r w:rsidR="007F25A7">
        <w:t>appreciates PECO’s recommendation</w:t>
      </w:r>
      <w:r w:rsidR="00B544F2">
        <w:t xml:space="preserve"> </w:t>
      </w:r>
      <w:r w:rsidR="00564F83">
        <w:t>to include</w:t>
      </w:r>
      <w:r w:rsidR="00B544F2">
        <w:t xml:space="preserve"> additional data from other EDCs and other program years </w:t>
      </w:r>
      <w:r w:rsidR="00EA7158">
        <w:t xml:space="preserve">to be used </w:t>
      </w:r>
      <w:r w:rsidR="00A676EA">
        <w:t xml:space="preserve">for </w:t>
      </w:r>
      <w:r w:rsidR="00EA7158">
        <w:t xml:space="preserve">faucet </w:t>
      </w:r>
      <w:r w:rsidR="00CD56AA">
        <w:t>aerator and shower head ISRs</w:t>
      </w:r>
      <w:r w:rsidR="00FB49AB">
        <w:t xml:space="preserve">.  </w:t>
      </w:r>
      <w:r w:rsidR="00D6204D">
        <w:t>However, w</w:t>
      </w:r>
      <w:r w:rsidR="00FB49AB">
        <w:t>e</w:t>
      </w:r>
      <w:r w:rsidR="009146F6">
        <w:t xml:space="preserve"> </w:t>
      </w:r>
      <w:r w:rsidR="0093173C">
        <w:t xml:space="preserve">decline </w:t>
      </w:r>
      <w:r w:rsidR="003401D4">
        <w:t xml:space="preserve">PECO’s request to include data from other EDCs as we have </w:t>
      </w:r>
      <w:r w:rsidR="009146F6">
        <w:t xml:space="preserve">not seen </w:t>
      </w:r>
      <w:r w:rsidR="001D1466">
        <w:t>specific research that provides additional kit versus direct-install data for</w:t>
      </w:r>
      <w:r w:rsidR="00CD56AA">
        <w:t xml:space="preserve"> each measure. </w:t>
      </w:r>
      <w:r w:rsidR="001D1466">
        <w:t xml:space="preserve"> </w:t>
      </w:r>
    </w:p>
    <w:p w14:paraId="098721B7" w14:textId="77777777" w:rsidR="00F257CE" w:rsidRPr="001323BE" w:rsidRDefault="00F257CE" w:rsidP="00AA2116"/>
    <w:p w14:paraId="20252653" w14:textId="17F1FC54" w:rsidR="00F257CE" w:rsidRPr="001323BE" w:rsidRDefault="00F257CE" w:rsidP="00453F14">
      <w:pPr>
        <w:pStyle w:val="Heading3"/>
        <w:numPr>
          <w:ilvl w:val="2"/>
          <w:numId w:val="64"/>
        </w:numPr>
      </w:pPr>
      <w:bookmarkStart w:id="162" w:name="_Toc15657936"/>
      <w:r w:rsidRPr="001323BE">
        <w:t>Section 2.3.</w:t>
      </w:r>
      <w:r w:rsidRPr="0082744A">
        <w:t>10 – Thermostatic Shower</w:t>
      </w:r>
      <w:r w:rsidRPr="001323BE">
        <w:t xml:space="preserve"> Restriction Valve</w:t>
      </w:r>
      <w:r w:rsidRPr="001323BE">
        <w:rPr>
          <w:rStyle w:val="FootnoteReference"/>
        </w:rPr>
        <w:footnoteReference w:id="43"/>
      </w:r>
      <w:bookmarkEnd w:id="162"/>
    </w:p>
    <w:p w14:paraId="0F3FEC19" w14:textId="6450706C" w:rsidR="008C1D28" w:rsidRDefault="00F257CE" w:rsidP="00AA2116">
      <w:pPr>
        <w:pStyle w:val="Explanationtext"/>
      </w:pPr>
      <w:r w:rsidRPr="001323BE">
        <w:t>The Commission propose</w:t>
      </w:r>
      <w:r w:rsidR="008641D4">
        <w:t>d</w:t>
      </w:r>
      <w:r w:rsidRPr="001323BE">
        <w:t xml:space="preserve"> updating default values to reflect findings from the</w:t>
      </w:r>
      <w:r w:rsidR="00F253F1" w:rsidRPr="00F253F1">
        <w:t xml:space="preserve"> </w:t>
      </w:r>
      <w:r w:rsidR="00F253F1" w:rsidRPr="001323BE">
        <w:t>2018 Pennsylvania Residential Baseline Study</w:t>
      </w:r>
      <w:r w:rsidR="00A0651F">
        <w:t xml:space="preserve">.  </w:t>
      </w:r>
      <w:r w:rsidRPr="001323BE">
        <w:t xml:space="preserve">Updated data available from the study includes persons per household, showerheads per home, and the default percent of homes </w:t>
      </w:r>
      <w:r w:rsidRPr="001323BE">
        <w:lastRenderedPageBreak/>
        <w:t>with electric heat</w:t>
      </w:r>
      <w:r w:rsidR="00A0651F">
        <w:t xml:space="preserve">.  </w:t>
      </w:r>
      <w:r w:rsidR="00190972">
        <w:t>We also</w:t>
      </w:r>
      <w:r w:rsidRPr="001323BE">
        <w:t xml:space="preserve"> propose</w:t>
      </w:r>
      <w:r w:rsidR="00BB22DC">
        <w:t>d</w:t>
      </w:r>
      <w:r w:rsidRPr="001323BE">
        <w:t xml:space="preserve"> revising the assumed </w:t>
      </w:r>
      <w:r w:rsidR="00180DB6" w:rsidRPr="001323BE">
        <w:t>cold-water</w:t>
      </w:r>
      <w:r w:rsidRPr="001323BE">
        <w:t xml:space="preserve"> inlet temperature to 52F, as used in other updated domestic hot water measures</w:t>
      </w:r>
      <w:r w:rsidR="00A0651F">
        <w:t xml:space="preserve">.  </w:t>
      </w:r>
      <w:r w:rsidRPr="001323BE">
        <w:t>Default savings will change with adjustments to these inputs</w:t>
      </w:r>
      <w:r w:rsidR="00A0651F">
        <w:t xml:space="preserve">.  </w:t>
      </w:r>
      <w:r w:rsidR="00606593">
        <w:t xml:space="preserve">In addition, the </w:t>
      </w:r>
      <w:r w:rsidRPr="001323BE">
        <w:t>Commission</w:t>
      </w:r>
      <w:r w:rsidR="00A31012">
        <w:t xml:space="preserve"> </w:t>
      </w:r>
      <w:r w:rsidRPr="001323BE">
        <w:t>propose</w:t>
      </w:r>
      <w:r w:rsidR="00BB22DC">
        <w:t>d</w:t>
      </w:r>
      <w:r w:rsidRPr="001323BE">
        <w:t xml:space="preserve"> that the measure life for thermostatic shower restriction valves be increased from </w:t>
      </w:r>
      <w:r w:rsidR="002E476B">
        <w:t>ten</w:t>
      </w:r>
      <w:r w:rsidRPr="001323BE">
        <w:t xml:space="preserve"> to the maximum of 15 years</w:t>
      </w:r>
      <w:r w:rsidR="00A0651F">
        <w:t xml:space="preserve">.  </w:t>
      </w:r>
      <w:r w:rsidRPr="001323BE">
        <w:t xml:space="preserve">This is based on the </w:t>
      </w:r>
      <w:r w:rsidRPr="001323BE">
        <w:rPr>
          <w:rFonts w:cs="Arial"/>
        </w:rPr>
        <w:t>International Association of Plumbing and Mechanical Officials’</w:t>
      </w:r>
      <w:r w:rsidRPr="001323BE">
        <w:t xml:space="preserve"> Uniform Plumbing Code (UPC) standards that require a device last 10,000 cycles without failure.</w:t>
      </w:r>
      <w:r w:rsidRPr="001323BE">
        <w:rPr>
          <w:rStyle w:val="FootnoteReference"/>
        </w:rPr>
        <w:footnoteReference w:id="44"/>
      </w:r>
    </w:p>
    <w:p w14:paraId="3E0CA595" w14:textId="77777777" w:rsidR="005F101D" w:rsidRDefault="005F101D" w:rsidP="00AA2116">
      <w:pPr>
        <w:pStyle w:val="Explanationtext"/>
      </w:pPr>
    </w:p>
    <w:p w14:paraId="22513CF2" w14:textId="63C8D0DC" w:rsidR="008C1D28" w:rsidRDefault="008C1D28" w:rsidP="00453F14">
      <w:pPr>
        <w:pStyle w:val="Heading4"/>
        <w:numPr>
          <w:ilvl w:val="3"/>
          <w:numId w:val="64"/>
        </w:numPr>
      </w:pPr>
      <w:r w:rsidRPr="00BB22DC">
        <w:t>Comments</w:t>
      </w:r>
    </w:p>
    <w:p w14:paraId="2A0171B9" w14:textId="3AAE2E62" w:rsidR="00D35548" w:rsidRDefault="002147CB" w:rsidP="00AA2116">
      <w:r>
        <w:t>FirstEnergy</w:t>
      </w:r>
      <w:r w:rsidR="00D35548">
        <w:t xml:space="preserve"> requests clarification that this measure can be installed in new </w:t>
      </w:r>
      <w:r w:rsidR="004B1673">
        <w:t>construction and</w:t>
      </w:r>
      <w:r w:rsidR="009F5E35">
        <w:t xml:space="preserve"> point</w:t>
      </w:r>
      <w:r w:rsidR="00232920">
        <w:t>s out a</w:t>
      </w:r>
      <w:r w:rsidR="000A5EF7">
        <w:t xml:space="preserve"> typographical</w:t>
      </w:r>
      <w:r w:rsidR="00232920">
        <w:t xml:space="preserve"> error in </w:t>
      </w:r>
      <w:r w:rsidR="00F43B64">
        <w:t xml:space="preserve">the </w:t>
      </w:r>
      <w:r w:rsidR="004B1673">
        <w:t>source used to determine the</w:t>
      </w:r>
      <w:r w:rsidR="00DF3FCF">
        <w:t xml:space="preserve"> coincidence factor </w:t>
      </w:r>
      <w:r w:rsidR="004011FB">
        <w:t xml:space="preserve">(CF) </w:t>
      </w:r>
      <w:r w:rsidR="00787880">
        <w:t>that informs the</w:t>
      </w:r>
      <w:r w:rsidR="004011FB">
        <w:t xml:space="preserve"> calculati</w:t>
      </w:r>
      <w:r w:rsidR="00787880">
        <w:t>on of</w:t>
      </w:r>
      <w:r w:rsidR="004011FB">
        <w:t xml:space="preserve"> the</w:t>
      </w:r>
      <w:r w:rsidR="004B1673">
        <w:t xml:space="preserve"> energy to demand actor (ETDF)</w:t>
      </w:r>
      <w:r w:rsidR="0082760A">
        <w:t xml:space="preserve">.  </w:t>
      </w:r>
      <w:r>
        <w:t>FirstEnergy</w:t>
      </w:r>
      <w:r w:rsidR="00D35548">
        <w:t xml:space="preserve"> </w:t>
      </w:r>
      <w:r w:rsidR="00F91ED6">
        <w:t>C</w:t>
      </w:r>
      <w:r w:rsidR="00D35548">
        <w:t xml:space="preserve">omments at 2. </w:t>
      </w:r>
      <w:r w:rsidR="007F72C4">
        <w:t xml:space="preserve"> </w:t>
      </w:r>
      <w:r w:rsidR="009D10E2">
        <w:t xml:space="preserve">Franklin Energy </w:t>
      </w:r>
      <w:r w:rsidR="00E678F5">
        <w:t xml:space="preserve">asks for </w:t>
      </w:r>
      <w:r w:rsidR="00D62485">
        <w:t xml:space="preserve">clarification </w:t>
      </w:r>
      <w:r w:rsidR="00105A43">
        <w:t xml:space="preserve">on equipment type eligibility, </w:t>
      </w:r>
      <w:r w:rsidR="00656E1B">
        <w:t xml:space="preserve">the load shape types included in the legend of the load shapes </w:t>
      </w:r>
      <w:r w:rsidR="00862E4B">
        <w:t>plot, and that the default 0.98 recovery efficiency is specific to electric resistance water heaters</w:t>
      </w:r>
      <w:r w:rsidR="0082760A">
        <w:t xml:space="preserve">.  </w:t>
      </w:r>
      <w:r w:rsidR="00151A71">
        <w:t xml:space="preserve">Franklin Energy </w:t>
      </w:r>
      <w:r w:rsidR="00F91ED6">
        <w:t>C</w:t>
      </w:r>
      <w:r w:rsidR="00151A71">
        <w:t xml:space="preserve">omments at </w:t>
      </w:r>
      <w:r w:rsidR="006633BA">
        <w:t xml:space="preserve">99 and 100. </w:t>
      </w:r>
    </w:p>
    <w:p w14:paraId="0FD02381" w14:textId="77777777" w:rsidR="005F101D" w:rsidRPr="00D35548" w:rsidRDefault="005F101D" w:rsidP="00AA2116"/>
    <w:p w14:paraId="7B3C0352" w14:textId="1071A4B3" w:rsidR="008C1D28" w:rsidRPr="001062F9" w:rsidRDefault="008C1D28" w:rsidP="00453F14">
      <w:pPr>
        <w:pStyle w:val="Heading4"/>
        <w:numPr>
          <w:ilvl w:val="3"/>
          <w:numId w:val="64"/>
        </w:numPr>
      </w:pPr>
      <w:r w:rsidRPr="001062F9">
        <w:t>Disposition</w:t>
      </w:r>
    </w:p>
    <w:p w14:paraId="0E0B6228" w14:textId="1731FFE9" w:rsidR="001E6ECC" w:rsidRDefault="0017131E" w:rsidP="00AA2116">
      <w:r>
        <w:t xml:space="preserve">The Commission accepts </w:t>
      </w:r>
      <w:r w:rsidR="008E507E">
        <w:t>the</w:t>
      </w:r>
      <w:r>
        <w:t xml:space="preserve"> </w:t>
      </w:r>
      <w:r w:rsidR="000E3ACD">
        <w:t xml:space="preserve">recommendations </w:t>
      </w:r>
      <w:r w:rsidR="00415535">
        <w:t xml:space="preserve">from </w:t>
      </w:r>
      <w:r w:rsidR="002147CB">
        <w:t>FirstEnergy</w:t>
      </w:r>
      <w:r w:rsidR="00415535">
        <w:t xml:space="preserve"> and </w:t>
      </w:r>
      <w:r w:rsidR="00CD2F06">
        <w:t>F</w:t>
      </w:r>
      <w:r w:rsidR="00415535">
        <w:t>rankli</w:t>
      </w:r>
      <w:r w:rsidR="00CD2F06">
        <w:t xml:space="preserve">n Energy </w:t>
      </w:r>
      <w:r>
        <w:t xml:space="preserve">and </w:t>
      </w:r>
      <w:r w:rsidR="004E4073">
        <w:t xml:space="preserve">has </w:t>
      </w:r>
      <w:r w:rsidR="0031160A">
        <w:t>consequently</w:t>
      </w:r>
      <w:r>
        <w:t xml:space="preserve"> made</w:t>
      </w:r>
      <w:r w:rsidR="00B61228">
        <w:t xml:space="preserve"> </w:t>
      </w:r>
      <w:r w:rsidR="008E507E">
        <w:t xml:space="preserve">all </w:t>
      </w:r>
      <w:r w:rsidR="003E0B06">
        <w:t>suggested add</w:t>
      </w:r>
      <w:r w:rsidR="00347539">
        <w:t>itions</w:t>
      </w:r>
      <w:r w:rsidR="00C828BF">
        <w:t xml:space="preserve"> </w:t>
      </w:r>
      <w:r w:rsidR="00415535">
        <w:t xml:space="preserve">and clarifications </w:t>
      </w:r>
      <w:r w:rsidR="00CD2F06">
        <w:t xml:space="preserve">to </w:t>
      </w:r>
      <w:r w:rsidR="00C828BF">
        <w:t xml:space="preserve">Section </w:t>
      </w:r>
      <w:r w:rsidR="00C828BF" w:rsidRPr="001323BE">
        <w:t>2.3.</w:t>
      </w:r>
      <w:r w:rsidR="00C828BF" w:rsidRPr="0082744A">
        <w:t>10 – Thermostatic Shower</w:t>
      </w:r>
      <w:r w:rsidR="00C828BF" w:rsidRPr="001323BE">
        <w:t xml:space="preserve"> Restriction Valve</w:t>
      </w:r>
      <w:r w:rsidR="004D0670">
        <w:t>.</w:t>
      </w:r>
      <w:r w:rsidR="005177A8">
        <w:t xml:space="preserve">  We </w:t>
      </w:r>
      <w:r w:rsidR="002D1AB9">
        <w:t xml:space="preserve">have </w:t>
      </w:r>
      <w:r w:rsidR="005177A8">
        <w:t>also added</w:t>
      </w:r>
      <w:r w:rsidR="00037A15">
        <w:t xml:space="preserve"> </w:t>
      </w:r>
      <w:r w:rsidR="00A3519C">
        <w:t>a footnote to the load shapes plot</w:t>
      </w:r>
      <w:r w:rsidR="00892F69">
        <w:t xml:space="preserve"> and </w:t>
      </w:r>
      <w:r w:rsidR="00C91051">
        <w:t>includ</w:t>
      </w:r>
      <w:r w:rsidR="00037A15">
        <w:t>ed</w:t>
      </w:r>
      <w:r w:rsidR="00955707">
        <w:t xml:space="preserve"> </w:t>
      </w:r>
      <w:r w:rsidR="00CD2F06">
        <w:t>new construction to the eligibility</w:t>
      </w:r>
      <w:r w:rsidR="00892F69">
        <w:t>.</w:t>
      </w:r>
      <w:r w:rsidR="00CB1EDF">
        <w:t xml:space="preserve"> </w:t>
      </w:r>
      <w:r w:rsidR="00F40A9E">
        <w:t xml:space="preserve"> Furthermore, w</w:t>
      </w:r>
      <w:r w:rsidR="00CB1EDF">
        <w:t xml:space="preserve">e </w:t>
      </w:r>
      <w:r w:rsidR="00EC3E84">
        <w:t>have</w:t>
      </w:r>
      <w:r w:rsidR="00CB1EDF">
        <w:t xml:space="preserve"> corrected</w:t>
      </w:r>
      <w:r w:rsidR="00EC3E84">
        <w:t xml:space="preserve"> </w:t>
      </w:r>
      <w:r w:rsidR="00F91ED6">
        <w:t xml:space="preserve">the erroneous CF value </w:t>
      </w:r>
      <w:r w:rsidR="00CB1EDF">
        <w:t>a</w:t>
      </w:r>
      <w:r w:rsidR="0093185C">
        <w:t>nd</w:t>
      </w:r>
      <w:r w:rsidR="00CB1EDF">
        <w:t xml:space="preserve"> added language</w:t>
      </w:r>
      <w:r w:rsidR="00F91ED6">
        <w:t xml:space="preserve"> to specify the default savings assume an electric resistance water heater with </w:t>
      </w:r>
      <w:r w:rsidR="00BD5B99">
        <w:t xml:space="preserve">a </w:t>
      </w:r>
      <w:r w:rsidR="00695560">
        <w:t>recovery efficiency</w:t>
      </w:r>
      <w:r w:rsidR="00F91ED6">
        <w:t xml:space="preserve"> of 0.98.</w:t>
      </w:r>
    </w:p>
    <w:p w14:paraId="7DBEF386" w14:textId="77777777" w:rsidR="002F3AB5" w:rsidRPr="001323BE" w:rsidRDefault="002F3AB5" w:rsidP="00AA2116"/>
    <w:p w14:paraId="4F1297E4" w14:textId="3969DC36" w:rsidR="00F257CE" w:rsidRPr="001323BE" w:rsidRDefault="00F257CE" w:rsidP="00453F14">
      <w:pPr>
        <w:pStyle w:val="Heading3"/>
        <w:numPr>
          <w:ilvl w:val="2"/>
          <w:numId w:val="64"/>
        </w:numPr>
        <w:ind w:left="1440" w:hanging="720"/>
      </w:pPr>
      <w:bookmarkStart w:id="163" w:name="_Toc15657937"/>
      <w:r w:rsidRPr="001323BE">
        <w:lastRenderedPageBreak/>
        <w:t>Section 2.4.1 – ENERGY STAR Refrigerators</w:t>
      </w:r>
      <w:r w:rsidRPr="001323BE">
        <w:rPr>
          <w:rStyle w:val="FootnoteReference"/>
        </w:rPr>
        <w:footnoteReference w:id="45"/>
      </w:r>
      <w:r w:rsidRPr="001323BE">
        <w:t xml:space="preserve"> and Section 2.4.2 – ENERGY STAR Freezers</w:t>
      </w:r>
      <w:r w:rsidRPr="001323BE">
        <w:rPr>
          <w:rStyle w:val="FootnoteReference"/>
        </w:rPr>
        <w:footnoteReference w:id="46"/>
      </w:r>
      <w:bookmarkEnd w:id="163"/>
    </w:p>
    <w:p w14:paraId="59F0D3A5" w14:textId="08BF119F" w:rsidR="00F257CE" w:rsidRPr="001323BE" w:rsidRDefault="00F257CE" w:rsidP="00AA2116">
      <w:pPr>
        <w:pStyle w:val="Explanationtext"/>
      </w:pPr>
      <w:r w:rsidRPr="001323BE">
        <w:t>The Commission propose</w:t>
      </w:r>
      <w:r w:rsidR="008641D4">
        <w:t>d</w:t>
      </w:r>
      <w:r w:rsidRPr="001323BE">
        <w:t xml:space="preserve"> updating the equations for Adjusted Volume to </w:t>
      </w:r>
      <w:r w:rsidRPr="00E30AE0">
        <w:rPr>
          <w:rFonts w:cs="Arial"/>
        </w:rPr>
        <w:t>correspond</w:t>
      </w:r>
      <w:r w:rsidRPr="001323BE">
        <w:t xml:space="preserve"> to the Federal definition of this term.</w:t>
      </w:r>
      <w:r w:rsidR="00A31012">
        <w:t xml:space="preserve">  In </w:t>
      </w:r>
      <w:r w:rsidR="00A31012" w:rsidRPr="00E30AE0">
        <w:rPr>
          <w:rFonts w:cs="Arial"/>
        </w:rPr>
        <w:t>addition</w:t>
      </w:r>
      <w:r w:rsidR="00A31012">
        <w:t>, f</w:t>
      </w:r>
      <w:r w:rsidRPr="001323BE">
        <w:t>or Section 2.4.1 only, the Commission propose</w:t>
      </w:r>
      <w:r w:rsidR="008641D4">
        <w:t>d</w:t>
      </w:r>
      <w:r w:rsidRPr="001323BE">
        <w:t xml:space="preserve"> updating the criteria for determining the maximum energy use of refrigerators with top-mounted freezers to correspond to the ENERGY STAR Most Efficient specifications.</w:t>
      </w:r>
      <w:r w:rsidR="00A31012">
        <w:t xml:space="preserve">  Furthermore, t</w:t>
      </w:r>
      <w:r w:rsidRPr="001323BE">
        <w:t xml:space="preserve">he </w:t>
      </w:r>
      <w:r w:rsidRPr="00E30AE0">
        <w:rPr>
          <w:rFonts w:cs="Arial"/>
        </w:rPr>
        <w:t>Commission</w:t>
      </w:r>
      <w:r w:rsidRPr="001323BE">
        <w:t xml:space="preserve"> propose</w:t>
      </w:r>
      <w:r w:rsidR="008641D4">
        <w:t>d</w:t>
      </w:r>
      <w:r w:rsidRPr="001323BE">
        <w:t xml:space="preserve"> using an updated value for the Energy to Demand Factor (ETDF) term that matches the value found in the Mid-Atlantic, Illinois, and Wisconsin TRMs.</w:t>
      </w:r>
    </w:p>
    <w:p w14:paraId="40E442A3" w14:textId="77777777" w:rsidR="008C1D28" w:rsidRDefault="008C1D28" w:rsidP="00AA2116"/>
    <w:p w14:paraId="0FDD3F69" w14:textId="4B075089" w:rsidR="008C1D28" w:rsidRPr="001062F9" w:rsidRDefault="008C1D28" w:rsidP="00453F14">
      <w:pPr>
        <w:pStyle w:val="Heading4"/>
        <w:numPr>
          <w:ilvl w:val="3"/>
          <w:numId w:val="64"/>
        </w:numPr>
      </w:pPr>
      <w:r w:rsidRPr="001062F9">
        <w:t>Comments</w:t>
      </w:r>
    </w:p>
    <w:p w14:paraId="4E7D10ED" w14:textId="4116EAA9" w:rsidR="00650AFF" w:rsidRDefault="002147CB" w:rsidP="00AA2116">
      <w:pPr>
        <w:pStyle w:val="Explanationtext"/>
      </w:pPr>
      <w:r>
        <w:t>FirstEnergy</w:t>
      </w:r>
      <w:r w:rsidR="000A4DCD">
        <w:t xml:space="preserve"> </w:t>
      </w:r>
      <w:r w:rsidR="00F7294E">
        <w:t>c</w:t>
      </w:r>
      <w:r w:rsidR="000A4DCD">
        <w:t xml:space="preserve">omments </w:t>
      </w:r>
      <w:r w:rsidR="009E1AA0" w:rsidRPr="00C10598">
        <w:t xml:space="preserve">that </w:t>
      </w:r>
      <w:r w:rsidR="00F7294E">
        <w:t>total volume rather than adjusted volume is used in the default savings calculations</w:t>
      </w:r>
      <w:r w:rsidR="00B95861">
        <w:t xml:space="preserve"> for the refrigerator and freezer measures</w:t>
      </w:r>
      <w:r w:rsidR="00402B93">
        <w:t xml:space="preserve">.  </w:t>
      </w:r>
      <w:r>
        <w:t>FirstEnergy</w:t>
      </w:r>
      <w:r w:rsidR="00402B93">
        <w:t xml:space="preserve"> also comments</w:t>
      </w:r>
      <w:r w:rsidR="002D2587">
        <w:t xml:space="preserve"> </w:t>
      </w:r>
      <w:r w:rsidR="00616473" w:rsidRPr="00C10598">
        <w:t>that</w:t>
      </w:r>
      <w:r w:rsidR="002D2587">
        <w:t>, in the table of maximum energy consumption formulas for refrigerators,</w:t>
      </w:r>
      <w:r w:rsidR="007030F1" w:rsidRPr="00C10598">
        <w:t xml:space="preserve"> refrigerator</w:t>
      </w:r>
      <w:r w:rsidR="007030F1">
        <w:t xml:space="preserve"> category 956 is unclear</w:t>
      </w:r>
      <w:r w:rsidR="002B2184">
        <w:t xml:space="preserve"> and</w:t>
      </w:r>
      <w:r w:rsidR="007030F1">
        <w:t xml:space="preserve"> </w:t>
      </w:r>
      <w:r w:rsidR="002B2184">
        <w:t>c</w:t>
      </w:r>
      <w:r w:rsidR="007030F1">
        <w:t>ategories 3, 3-BI, 3</w:t>
      </w:r>
      <w:r w:rsidR="009131A8">
        <w:t>-</w:t>
      </w:r>
      <w:r w:rsidR="007030F1">
        <w:t xml:space="preserve">I do not </w:t>
      </w:r>
      <w:r w:rsidR="00F35D05">
        <w:t>include</w:t>
      </w:r>
      <w:r w:rsidR="007030F1">
        <w:t xml:space="preserve"> </w:t>
      </w:r>
      <w:r w:rsidR="00F35D05">
        <w:t>the</w:t>
      </w:r>
      <w:r w:rsidR="00A747BC">
        <w:t xml:space="preserve"> </w:t>
      </w:r>
      <w:r w:rsidR="007030F1">
        <w:t>E</w:t>
      </w:r>
      <w:r w:rsidR="007030F1" w:rsidRPr="00FF7CD9">
        <w:rPr>
          <w:vertAlign w:val="subscript"/>
        </w:rPr>
        <w:t>ann</w:t>
      </w:r>
      <w:r w:rsidR="007030F1">
        <w:t xml:space="preserve"> </w:t>
      </w:r>
      <w:r w:rsidR="00F35D05">
        <w:t>term</w:t>
      </w:r>
      <w:r w:rsidR="007030F1">
        <w:t>.</w:t>
      </w:r>
      <w:r w:rsidR="00616473">
        <w:t xml:space="preserve"> </w:t>
      </w:r>
      <w:r w:rsidR="00A747BC">
        <w:t xml:space="preserve"> </w:t>
      </w:r>
      <w:r>
        <w:t>FirstEnergy</w:t>
      </w:r>
      <w:r w:rsidR="00E4765A">
        <w:t xml:space="preserve"> Comments at 6.</w:t>
      </w:r>
    </w:p>
    <w:p w14:paraId="78F8DD45" w14:textId="77777777" w:rsidR="008C1D28" w:rsidRDefault="008C1D28" w:rsidP="00AA2116"/>
    <w:p w14:paraId="7E4D8C69" w14:textId="4BACBF0A" w:rsidR="008C1D28" w:rsidRPr="001062F9" w:rsidRDefault="008C1D28" w:rsidP="00453F14">
      <w:pPr>
        <w:pStyle w:val="Heading4"/>
        <w:numPr>
          <w:ilvl w:val="3"/>
          <w:numId w:val="64"/>
        </w:numPr>
      </w:pPr>
      <w:r w:rsidRPr="001062F9">
        <w:t>Disposition</w:t>
      </w:r>
    </w:p>
    <w:p w14:paraId="4F523177" w14:textId="4E45A848" w:rsidR="002C5E2B" w:rsidRDefault="00404EBD" w:rsidP="00AA2116">
      <w:r>
        <w:t xml:space="preserve">The Commission </w:t>
      </w:r>
      <w:r w:rsidR="00C30A65">
        <w:t xml:space="preserve">agrees with FirstEnergy’s suggestions and </w:t>
      </w:r>
      <w:r>
        <w:t>has updated the assumed adjusted volume values used in the default savings calculations</w:t>
      </w:r>
      <w:r w:rsidR="00EA6952">
        <w:t xml:space="preserve"> and</w:t>
      </w:r>
      <w:r w:rsidR="00862C17">
        <w:t xml:space="preserve"> the default savings values</w:t>
      </w:r>
      <w:r w:rsidR="00EA6952">
        <w:t>.</w:t>
      </w:r>
      <w:r w:rsidR="00B26019">
        <w:t xml:space="preserve">  Furthermore</w:t>
      </w:r>
      <w:r w:rsidR="00E5222D">
        <w:t>,</w:t>
      </w:r>
      <w:r w:rsidR="002805C0">
        <w:t xml:space="preserve"> we have</w:t>
      </w:r>
      <w:r w:rsidR="00EA62EC">
        <w:t xml:space="preserve"> </w:t>
      </w:r>
      <w:r w:rsidR="005163CD">
        <w:t>corrected the typographical error for freezer category 6</w:t>
      </w:r>
      <w:r w:rsidR="004E1510">
        <w:t xml:space="preserve"> and clarified the E</w:t>
      </w:r>
      <w:r w:rsidR="004E1510" w:rsidRPr="00D71839">
        <w:rPr>
          <w:vertAlign w:val="subscript"/>
        </w:rPr>
        <w:t>ann</w:t>
      </w:r>
      <w:r w:rsidR="004E1510">
        <w:t xml:space="preserve"> formulas.</w:t>
      </w:r>
    </w:p>
    <w:p w14:paraId="06F43FF4" w14:textId="77777777" w:rsidR="00F257CE" w:rsidRPr="001323BE" w:rsidRDefault="00F257CE" w:rsidP="00AA2116"/>
    <w:p w14:paraId="63463367" w14:textId="7E8A3020" w:rsidR="00F257CE" w:rsidRPr="001323BE" w:rsidRDefault="00F257CE" w:rsidP="00453F14">
      <w:pPr>
        <w:pStyle w:val="Heading3"/>
        <w:numPr>
          <w:ilvl w:val="2"/>
          <w:numId w:val="64"/>
        </w:numPr>
        <w:ind w:left="1440" w:hanging="720"/>
      </w:pPr>
      <w:bookmarkStart w:id="164" w:name="_Toc15657938"/>
      <w:r w:rsidRPr="001323BE">
        <w:t>Section 2.4.</w:t>
      </w:r>
      <w:r w:rsidRPr="009B24DB">
        <w:t>3 – Refrigerator</w:t>
      </w:r>
      <w:r w:rsidR="0075240B" w:rsidRPr="009B24DB">
        <w:t xml:space="preserve"> </w:t>
      </w:r>
      <w:r w:rsidRPr="009B24DB">
        <w:t>/</w:t>
      </w:r>
      <w:r w:rsidR="0075240B" w:rsidRPr="009B24DB">
        <w:t xml:space="preserve"> </w:t>
      </w:r>
      <w:r w:rsidRPr="009B24DB">
        <w:t>Freezer Recycling</w:t>
      </w:r>
      <w:r w:rsidRPr="001323BE">
        <w:t xml:space="preserve"> with and </w:t>
      </w:r>
      <w:r w:rsidR="00875ADC">
        <w:t>w</w:t>
      </w:r>
      <w:r w:rsidRPr="001323BE">
        <w:t>ithout Replacement</w:t>
      </w:r>
      <w:r w:rsidRPr="001323BE">
        <w:rPr>
          <w:rStyle w:val="FootnoteReference"/>
        </w:rPr>
        <w:footnoteReference w:id="47"/>
      </w:r>
      <w:bookmarkEnd w:id="164"/>
    </w:p>
    <w:p w14:paraId="7D483F7E" w14:textId="10BCC41E" w:rsidR="00F257CE" w:rsidRDefault="00F257CE" w:rsidP="00AA2116">
      <w:pPr>
        <w:pStyle w:val="Explanationtext"/>
      </w:pPr>
      <w:r w:rsidRPr="001323BE">
        <w:t xml:space="preserve">The </w:t>
      </w:r>
      <w:r w:rsidR="00E001E2">
        <w:t>2016 TRM</w:t>
      </w:r>
      <w:r w:rsidRPr="001323BE">
        <w:t xml:space="preserve"> provides a set of EDC-specific default coefficients for calculating the Unit Energy Consumption (UEC) of existing refrigerators</w:t>
      </w:r>
      <w:r w:rsidR="00A0651F">
        <w:t xml:space="preserve">.  </w:t>
      </w:r>
      <w:r w:rsidRPr="001323BE">
        <w:t xml:space="preserve">The Commission </w:t>
      </w:r>
      <w:r w:rsidRPr="001323BE">
        <w:lastRenderedPageBreak/>
        <w:t>propose</w:t>
      </w:r>
      <w:r w:rsidR="00330DED">
        <w:t>d</w:t>
      </w:r>
      <w:r w:rsidRPr="001323BE">
        <w:t xml:space="preserve"> removing these values and requiring the use of program data to calculate UEC val</w:t>
      </w:r>
      <w:r w:rsidR="00091399">
        <w:t>u</w:t>
      </w:r>
      <w:r w:rsidRPr="001323BE">
        <w:t>es</w:t>
      </w:r>
      <w:r w:rsidR="00A0651F">
        <w:t xml:space="preserve">.  </w:t>
      </w:r>
      <w:r w:rsidRPr="001323BE">
        <w:t>A recycling program, by its nature, provides EDCs the opportunity to collect the required information to calculate the actual UEC rather than using defaults.</w:t>
      </w:r>
    </w:p>
    <w:p w14:paraId="7C0FC104" w14:textId="77777777" w:rsidR="008C1D28" w:rsidRDefault="008C1D28" w:rsidP="00AA2116"/>
    <w:p w14:paraId="036CA3A1" w14:textId="6BA58050" w:rsidR="008C1D28" w:rsidRPr="001062F9" w:rsidRDefault="008C1D28" w:rsidP="00453F14">
      <w:pPr>
        <w:pStyle w:val="Heading4"/>
        <w:numPr>
          <w:ilvl w:val="3"/>
          <w:numId w:val="64"/>
        </w:numPr>
      </w:pPr>
      <w:r w:rsidRPr="001062F9">
        <w:t>Comments</w:t>
      </w:r>
    </w:p>
    <w:p w14:paraId="2E56C082" w14:textId="75BA589C" w:rsidR="6D7D8E6F" w:rsidRDefault="382DB7C9" w:rsidP="00AA2116">
      <w:r>
        <w:t xml:space="preserve">Duquesne requests that default values be retained and </w:t>
      </w:r>
      <w:r w:rsidR="01625864">
        <w:t xml:space="preserve">updated based on EM&amp;V sampling for appliance recycling.  Duquesne Comments at </w:t>
      </w:r>
      <w:r w:rsidR="6D7D8E6F">
        <w:t>2.</w:t>
      </w:r>
      <w:r w:rsidR="007F72C4">
        <w:t xml:space="preserve">  </w:t>
      </w:r>
      <w:r w:rsidR="002147CB">
        <w:t>FirstEnergy</w:t>
      </w:r>
      <w:r w:rsidR="6D7D8E6F">
        <w:t xml:space="preserve"> comments that the equation for the UEC of refrigerators is missing the variable for the fraction of refrigerators manufactured before 1990</w:t>
      </w:r>
      <w:r w:rsidR="009F0EFA">
        <w:t xml:space="preserve"> </w:t>
      </w:r>
      <w:r w:rsidR="00775367">
        <w:t>and</w:t>
      </w:r>
      <w:r w:rsidR="009F0EFA">
        <w:t xml:space="preserve"> </w:t>
      </w:r>
      <w:r w:rsidR="6D7D8E6F">
        <w:t xml:space="preserve">that the value for ETDF in Table 2-75 is not consistent with the ETDF for the same measures in previous sections.  </w:t>
      </w:r>
      <w:r w:rsidR="002147CB">
        <w:t>FirstEnergy</w:t>
      </w:r>
      <w:r w:rsidR="390F4BA4">
        <w:t xml:space="preserve"> Comments at 6.</w:t>
      </w:r>
    </w:p>
    <w:p w14:paraId="725867BC" w14:textId="77777777" w:rsidR="003E32DC" w:rsidRDefault="003E32DC" w:rsidP="00AA2116"/>
    <w:p w14:paraId="6B06E344" w14:textId="473860A4" w:rsidR="008C1D28" w:rsidRPr="001062F9" w:rsidRDefault="008C1D28" w:rsidP="00453F14">
      <w:pPr>
        <w:pStyle w:val="Heading4"/>
        <w:numPr>
          <w:ilvl w:val="3"/>
          <w:numId w:val="64"/>
        </w:numPr>
      </w:pPr>
      <w:r w:rsidRPr="001062F9">
        <w:t>Disposition</w:t>
      </w:r>
    </w:p>
    <w:p w14:paraId="66FF142F" w14:textId="3B531BAC" w:rsidR="059B61E6" w:rsidRDefault="390F4BA4" w:rsidP="00AA2116">
      <w:pPr>
        <w:pStyle w:val="Explanationtext"/>
      </w:pPr>
      <w:r>
        <w:t>The Commission rejects Duquesne</w:t>
      </w:r>
      <w:r w:rsidR="003F7DCC">
        <w:t>’s recommendation</w:t>
      </w:r>
      <w:r w:rsidR="0060742B">
        <w:t xml:space="preserve"> that default values be retained and updated based on EM&amp;V sampling for appliance recycling</w:t>
      </w:r>
      <w:r w:rsidR="0010272B">
        <w:t xml:space="preserve">. </w:t>
      </w:r>
      <w:r w:rsidR="00BB6814">
        <w:t xml:space="preserve"> </w:t>
      </w:r>
      <w:r w:rsidR="000E0320">
        <w:t>CSPs</w:t>
      </w:r>
      <w:r w:rsidR="00AE3BD8">
        <w:t xml:space="preserve"> have provided data for every recycled unit in Phases I</w:t>
      </w:r>
      <w:r w:rsidR="003F7DCC">
        <w:t xml:space="preserve"> to</w:t>
      </w:r>
      <w:r w:rsidR="009F0EFA">
        <w:t xml:space="preserve"> </w:t>
      </w:r>
      <w:r w:rsidR="00AE3BD8">
        <w:t>III</w:t>
      </w:r>
      <w:r w:rsidR="00A54DCE">
        <w:t>.</w:t>
      </w:r>
      <w:r>
        <w:t xml:space="preserve"> </w:t>
      </w:r>
      <w:r w:rsidR="007F72C4">
        <w:t xml:space="preserve"> </w:t>
      </w:r>
      <w:r w:rsidR="059B61E6">
        <w:t>The Commission</w:t>
      </w:r>
      <w:r w:rsidR="00BB6814">
        <w:t xml:space="preserve"> however</w:t>
      </w:r>
      <w:r w:rsidR="059B61E6">
        <w:t xml:space="preserve"> agrees with </w:t>
      </w:r>
      <w:r w:rsidR="002147CB">
        <w:t>FirstEnergy</w:t>
      </w:r>
      <w:r w:rsidR="00D60B11">
        <w:t xml:space="preserve">’s </w:t>
      </w:r>
      <w:r w:rsidR="005623A2">
        <w:t>statement</w:t>
      </w:r>
      <w:r w:rsidR="059B61E6">
        <w:t xml:space="preserve"> </w:t>
      </w:r>
      <w:r w:rsidR="00BB6814">
        <w:t>that the equation for the UEC of refrigerators is missing the variable for the fraction of refrigerators manufactured before 1990</w:t>
      </w:r>
      <w:r w:rsidR="005623A2">
        <w:t>,</w:t>
      </w:r>
      <w:r w:rsidR="00763EAD">
        <w:t xml:space="preserve"> </w:t>
      </w:r>
      <w:r w:rsidR="059B61E6">
        <w:t xml:space="preserve">and </w:t>
      </w:r>
      <w:r w:rsidR="00763EAD">
        <w:t>therefore have</w:t>
      </w:r>
      <w:r w:rsidR="003E32DC">
        <w:t xml:space="preserve"> </w:t>
      </w:r>
      <w:r w:rsidR="00424743">
        <w:t xml:space="preserve">made the </w:t>
      </w:r>
      <w:r w:rsidR="00763EAD">
        <w:t xml:space="preserve">appropriate </w:t>
      </w:r>
      <w:r w:rsidR="00424743">
        <w:t>corrections</w:t>
      </w:r>
      <w:r w:rsidR="00763EAD">
        <w:t xml:space="preserve"> to </w:t>
      </w:r>
      <w:r w:rsidR="00763EAD" w:rsidRPr="001323BE">
        <w:t>Section 2.4.</w:t>
      </w:r>
      <w:r w:rsidR="00763EAD" w:rsidRPr="009B24DB">
        <w:t>3 – Refrigerator / Freezer Recycling</w:t>
      </w:r>
      <w:r w:rsidR="00763EAD" w:rsidRPr="001323BE">
        <w:t xml:space="preserve"> with and </w:t>
      </w:r>
      <w:r w:rsidR="00763EAD">
        <w:t>w</w:t>
      </w:r>
      <w:r w:rsidR="00763EAD" w:rsidRPr="001323BE">
        <w:t>ithout Replacement</w:t>
      </w:r>
      <w:r w:rsidR="74CC4B29">
        <w:t xml:space="preserve">. </w:t>
      </w:r>
    </w:p>
    <w:p w14:paraId="4FE0ECCB" w14:textId="77777777" w:rsidR="00F257CE" w:rsidRPr="001323BE" w:rsidRDefault="00F257CE" w:rsidP="00AA2116"/>
    <w:p w14:paraId="02E9076F" w14:textId="6C406C3A" w:rsidR="00F257CE" w:rsidRPr="001323BE" w:rsidRDefault="00F257CE" w:rsidP="00453F14">
      <w:pPr>
        <w:pStyle w:val="Heading3"/>
        <w:numPr>
          <w:ilvl w:val="2"/>
          <w:numId w:val="64"/>
        </w:numPr>
      </w:pPr>
      <w:bookmarkStart w:id="165" w:name="_Toc15657939"/>
      <w:r w:rsidRPr="001323BE">
        <w:t xml:space="preserve">Section </w:t>
      </w:r>
      <w:r w:rsidRPr="0082744A">
        <w:t>2.4.5 – ENERGY STAR Dryers</w:t>
      </w:r>
      <w:r w:rsidRPr="001323BE">
        <w:rPr>
          <w:rStyle w:val="FootnoteReference"/>
        </w:rPr>
        <w:footnoteReference w:id="48"/>
      </w:r>
      <w:bookmarkEnd w:id="165"/>
    </w:p>
    <w:p w14:paraId="7FC1039A" w14:textId="799E19A0" w:rsidR="0012177F" w:rsidRDefault="00F257CE" w:rsidP="00AA2116">
      <w:pPr>
        <w:pStyle w:val="Explanationtext"/>
      </w:pPr>
      <w:r w:rsidRPr="001323BE">
        <w:t>The Commission propose</w:t>
      </w:r>
      <w:r w:rsidR="008B5FDF">
        <w:t>d</w:t>
      </w:r>
      <w:r w:rsidRPr="001323BE">
        <w:t xml:space="preserve"> changing the name of this section to ENERGY STAR Clothes Dryers to add specificity.</w:t>
      </w:r>
      <w:r w:rsidR="00331B88">
        <w:t xml:space="preserve"> </w:t>
      </w:r>
      <w:r w:rsidR="003F31B4">
        <w:t xml:space="preserve"> </w:t>
      </w:r>
      <w:r w:rsidR="0012177F">
        <w:t xml:space="preserve">In addition, </w:t>
      </w:r>
      <w:r w:rsidR="0033147D">
        <w:t xml:space="preserve">we </w:t>
      </w:r>
      <w:r w:rsidR="002711C5" w:rsidRPr="001323BE">
        <w:t>propose</w:t>
      </w:r>
      <w:r w:rsidR="002711C5">
        <w:t>d</w:t>
      </w:r>
      <w:r w:rsidR="002711C5" w:rsidRPr="001323BE">
        <w:t xml:space="preserve"> to introduce terms for baseline and efficient dryer cycle times in lieu of the single cycle time term in the current algorithm.</w:t>
      </w:r>
      <w:r w:rsidR="002711C5">
        <w:t xml:space="preserve">  </w:t>
      </w:r>
      <w:r w:rsidR="0012177F">
        <w:t>Furthermore, t</w:t>
      </w:r>
      <w:r w:rsidR="0012177F" w:rsidRPr="001323BE">
        <w:t>he Commission propose</w:t>
      </w:r>
      <w:r w:rsidR="0012177F">
        <w:t>d</w:t>
      </w:r>
      <w:r w:rsidR="0012177F" w:rsidRPr="001323BE">
        <w:t xml:space="preserve"> updating default values in this measure to reflect data on frequency of clothes dryer use from the</w:t>
      </w:r>
      <w:r w:rsidR="0012177F">
        <w:t xml:space="preserve"> U.S.</w:t>
      </w:r>
      <w:r w:rsidR="0012177F" w:rsidRPr="001323BE">
        <w:t xml:space="preserve"> DOE 2015 </w:t>
      </w:r>
      <w:r w:rsidR="0012177F" w:rsidRPr="001323BE">
        <w:lastRenderedPageBreak/>
        <w:t>Residential Energy Consumption Survey</w:t>
      </w:r>
      <w:r w:rsidR="0012177F">
        <w:t xml:space="preserve">.  </w:t>
      </w:r>
      <w:r w:rsidR="0012177F" w:rsidRPr="001323BE">
        <w:t>The Commission propose</w:t>
      </w:r>
      <w:r w:rsidR="0012177F">
        <w:t>d</w:t>
      </w:r>
      <w:r w:rsidR="0012177F" w:rsidRPr="001323BE">
        <w:t xml:space="preserve"> to use the same </w:t>
      </w:r>
      <w:r w:rsidR="0012177F">
        <w:t xml:space="preserve">CF </w:t>
      </w:r>
      <w:r w:rsidR="0012177F" w:rsidRPr="001323BE">
        <w:t>value as used for ENERGY STAR Clothes Washers.</w:t>
      </w:r>
    </w:p>
    <w:p w14:paraId="414A1399" w14:textId="77777777" w:rsidR="00441C6D" w:rsidRPr="001323BE" w:rsidRDefault="00441C6D" w:rsidP="00AA2116">
      <w:pPr>
        <w:pStyle w:val="Explanationtext"/>
      </w:pPr>
    </w:p>
    <w:p w14:paraId="193AAFB1" w14:textId="70BDD5FF" w:rsidR="00850D62" w:rsidRDefault="008C1D28" w:rsidP="00453F14">
      <w:pPr>
        <w:pStyle w:val="Heading4"/>
        <w:numPr>
          <w:ilvl w:val="3"/>
          <w:numId w:val="64"/>
        </w:numPr>
      </w:pPr>
      <w:r w:rsidRPr="001062F9">
        <w:t>Comments</w:t>
      </w:r>
    </w:p>
    <w:p w14:paraId="7B72E892" w14:textId="79959E40" w:rsidR="008C1D28" w:rsidRDefault="00583474" w:rsidP="00AA2116">
      <w:r>
        <w:t>PECO comments that this measure should include ventless ENERGY STAR clothes dryers</w:t>
      </w:r>
      <w:r w:rsidR="0082760A">
        <w:t xml:space="preserve">.  </w:t>
      </w:r>
      <w:r>
        <w:t xml:space="preserve">PECO Comments at </w:t>
      </w:r>
      <w:r w:rsidR="00EF4023">
        <w:t>8</w:t>
      </w:r>
      <w:r w:rsidR="00505649">
        <w:t>.</w:t>
      </w:r>
    </w:p>
    <w:p w14:paraId="02512FFD" w14:textId="77777777" w:rsidR="008C1D28" w:rsidRDefault="008C1D28" w:rsidP="00AA2116"/>
    <w:p w14:paraId="7FAAB5A1" w14:textId="3DC77D77" w:rsidR="008C1D28" w:rsidRPr="001062F9" w:rsidRDefault="008C1D28" w:rsidP="00453F14">
      <w:pPr>
        <w:pStyle w:val="Heading4"/>
        <w:numPr>
          <w:ilvl w:val="3"/>
          <w:numId w:val="64"/>
        </w:numPr>
      </w:pPr>
      <w:r w:rsidRPr="001062F9">
        <w:t>Disposition</w:t>
      </w:r>
    </w:p>
    <w:p w14:paraId="5306CE96" w14:textId="40D2160D" w:rsidR="008C1D28" w:rsidRDefault="00AC33F2" w:rsidP="00AA2116">
      <w:r>
        <w:t xml:space="preserve">The Commission </w:t>
      </w:r>
      <w:r w:rsidR="00EF4023">
        <w:t xml:space="preserve">agrees </w:t>
      </w:r>
      <w:r w:rsidR="0060251A">
        <w:t xml:space="preserve">with PECO’s suggestion </w:t>
      </w:r>
      <w:r w:rsidR="00EF4023">
        <w:t xml:space="preserve">and has </w:t>
      </w:r>
      <w:r w:rsidR="004A55CA">
        <w:t xml:space="preserve">modified this measure to </w:t>
      </w:r>
      <w:r w:rsidR="00EF4023">
        <w:t>include</w:t>
      </w:r>
      <w:r w:rsidR="004A55CA">
        <w:t xml:space="preserve"> ventless </w:t>
      </w:r>
      <w:r w:rsidR="00583474">
        <w:t>ENERGY STAR</w:t>
      </w:r>
      <w:r w:rsidR="004A55CA">
        <w:t xml:space="preserve"> clothes dryers</w:t>
      </w:r>
      <w:r w:rsidR="00EF4023">
        <w:t>.</w:t>
      </w:r>
    </w:p>
    <w:p w14:paraId="1D9436F9" w14:textId="77777777" w:rsidR="00F257CE" w:rsidRPr="001323BE" w:rsidRDefault="00F257CE" w:rsidP="00AA2116"/>
    <w:p w14:paraId="2A5C8414" w14:textId="77777777" w:rsidR="00F257CE" w:rsidRPr="001323BE" w:rsidRDefault="00F257CE" w:rsidP="00453F14">
      <w:pPr>
        <w:pStyle w:val="Heading3"/>
        <w:numPr>
          <w:ilvl w:val="2"/>
          <w:numId w:val="64"/>
        </w:numPr>
      </w:pPr>
      <w:bookmarkStart w:id="166" w:name="_Toc14101527"/>
      <w:bookmarkStart w:id="167" w:name="_Toc14101529"/>
      <w:bookmarkStart w:id="168" w:name="_Toc14101531"/>
      <w:bookmarkStart w:id="169" w:name="_Toc14101532"/>
      <w:bookmarkStart w:id="170" w:name="_Toc14101534"/>
      <w:bookmarkStart w:id="171" w:name="_Toc14101535"/>
      <w:bookmarkStart w:id="172" w:name="_Toc15657940"/>
      <w:bookmarkEnd w:id="166"/>
      <w:bookmarkEnd w:id="167"/>
      <w:bookmarkEnd w:id="168"/>
      <w:bookmarkEnd w:id="169"/>
      <w:bookmarkEnd w:id="170"/>
      <w:bookmarkEnd w:id="171"/>
      <w:r w:rsidRPr="001323BE">
        <w:t xml:space="preserve">Section 2.4.10 – </w:t>
      </w:r>
      <w:r w:rsidRPr="0082744A">
        <w:t>ENERGY STAR Ceiling</w:t>
      </w:r>
      <w:r w:rsidRPr="001323BE">
        <w:t xml:space="preserve"> Fans</w:t>
      </w:r>
      <w:r w:rsidRPr="001323BE">
        <w:rPr>
          <w:rStyle w:val="FootnoteReference"/>
        </w:rPr>
        <w:footnoteReference w:id="49"/>
      </w:r>
      <w:bookmarkEnd w:id="172"/>
    </w:p>
    <w:p w14:paraId="55D879B6" w14:textId="293E59AB" w:rsidR="00F257CE" w:rsidRPr="001323BE" w:rsidRDefault="00F257CE" w:rsidP="00AA2116">
      <w:pPr>
        <w:pStyle w:val="Explanationtext"/>
      </w:pPr>
      <w:r w:rsidRPr="001323BE">
        <w:t>The Commission propose</w:t>
      </w:r>
      <w:r w:rsidR="000B206B">
        <w:t>d</w:t>
      </w:r>
      <w:r w:rsidRPr="001323BE">
        <w:t xml:space="preserve"> a simplified algorithm with a default assumed wattage reduction table that depends on fan type and diameter</w:t>
      </w:r>
      <w:r w:rsidR="00A0651F">
        <w:t xml:space="preserve">.  </w:t>
      </w:r>
      <w:r w:rsidRPr="001323BE">
        <w:t>The default wattage reductions are based on currently available ENERGY STAR-qualified models and a weighted average fan airflow.</w:t>
      </w:r>
    </w:p>
    <w:p w14:paraId="2DB7219E" w14:textId="77777777" w:rsidR="008C1D28" w:rsidRDefault="008C1D28" w:rsidP="00AA2116"/>
    <w:p w14:paraId="65916345" w14:textId="1BEB9E46" w:rsidR="008C1D28" w:rsidRPr="001062F9" w:rsidRDefault="008C1D28" w:rsidP="00453F14">
      <w:pPr>
        <w:pStyle w:val="Heading4"/>
        <w:numPr>
          <w:ilvl w:val="3"/>
          <w:numId w:val="64"/>
        </w:numPr>
      </w:pPr>
      <w:r w:rsidRPr="001062F9">
        <w:t>Comments</w:t>
      </w:r>
    </w:p>
    <w:p w14:paraId="159A2E3D" w14:textId="07424FD4" w:rsidR="008C1D28" w:rsidRDefault="007D0A03" w:rsidP="00AA2116">
      <w:pPr>
        <w:pStyle w:val="Explanationtext"/>
      </w:pPr>
      <w:r w:rsidRPr="007D0A03">
        <w:t>PECO recommends adding 25 kWh/year and 0.002 kW as default values for units with diameters greater than 36 inches</w:t>
      </w:r>
      <w:r w:rsidR="0082760A">
        <w:t xml:space="preserve">.  </w:t>
      </w:r>
      <w:r w:rsidR="00122A62" w:rsidRPr="00122A62">
        <w:t>PECO Comments at 8.</w:t>
      </w:r>
    </w:p>
    <w:p w14:paraId="56ECA5FD" w14:textId="77777777" w:rsidR="008C1D28" w:rsidRDefault="008C1D28" w:rsidP="00AA2116"/>
    <w:p w14:paraId="4FA8ADDB" w14:textId="6663C1B6" w:rsidR="008C1D28" w:rsidRPr="001062F9" w:rsidRDefault="008C1D28" w:rsidP="00453F14">
      <w:pPr>
        <w:pStyle w:val="Heading4"/>
        <w:numPr>
          <w:ilvl w:val="3"/>
          <w:numId w:val="64"/>
        </w:numPr>
      </w:pPr>
      <w:r w:rsidRPr="001062F9">
        <w:t>Disposition</w:t>
      </w:r>
    </w:p>
    <w:p w14:paraId="15228753" w14:textId="3541AB53" w:rsidR="008C1D28" w:rsidRDefault="00B3572B" w:rsidP="00AA2116">
      <w:pPr>
        <w:pStyle w:val="Explanationtext"/>
      </w:pPr>
      <w:r>
        <w:t xml:space="preserve">The Commission disagrees with PECO’s recommendation to add </w:t>
      </w:r>
      <w:r w:rsidRPr="007D0A03">
        <w:t>25 kWh/year and 0.002 kW as default values for units with diameters greater than 36 inches</w:t>
      </w:r>
      <w:r w:rsidR="00395480">
        <w:t xml:space="preserve">.  </w:t>
      </w:r>
      <w:r w:rsidR="00396344">
        <w:t xml:space="preserve">These </w:t>
      </w:r>
      <w:r w:rsidR="00396344" w:rsidRPr="007D0A03">
        <w:t xml:space="preserve">default values </w:t>
      </w:r>
      <w:r w:rsidR="00396344">
        <w:t xml:space="preserve">are already </w:t>
      </w:r>
      <w:r w:rsidR="00D54DAC">
        <w:t>listed in the default savings table</w:t>
      </w:r>
      <w:r w:rsidR="0082760A">
        <w:t xml:space="preserve">.  </w:t>
      </w:r>
    </w:p>
    <w:p w14:paraId="6F6185C8" w14:textId="77777777" w:rsidR="00F257CE" w:rsidRPr="002723BA" w:rsidRDefault="00F257CE" w:rsidP="00AA2116"/>
    <w:p w14:paraId="0B562CA4" w14:textId="5A69C188" w:rsidR="00F257CE" w:rsidRPr="00A9619A" w:rsidRDefault="00F257CE" w:rsidP="00453F14">
      <w:pPr>
        <w:pStyle w:val="Heading3"/>
        <w:numPr>
          <w:ilvl w:val="2"/>
          <w:numId w:val="64"/>
        </w:numPr>
      </w:pPr>
      <w:bookmarkStart w:id="173" w:name="_Toc15657941"/>
      <w:r w:rsidRPr="00A9619A">
        <w:lastRenderedPageBreak/>
        <w:t xml:space="preserve">Section 2.5.3 </w:t>
      </w:r>
      <w:r w:rsidRPr="0082744A">
        <w:t>– Smart Strip Plug Outlets</w:t>
      </w:r>
      <w:r w:rsidRPr="00A9619A">
        <w:rPr>
          <w:rStyle w:val="FootnoteReference"/>
        </w:rPr>
        <w:footnoteReference w:id="50"/>
      </w:r>
      <w:bookmarkEnd w:id="173"/>
    </w:p>
    <w:p w14:paraId="10E8C7B6" w14:textId="566383A9" w:rsidR="00F257CE" w:rsidRPr="001323BE" w:rsidRDefault="00F257CE" w:rsidP="00AA2116">
      <w:pPr>
        <w:pStyle w:val="Explanationtext"/>
      </w:pPr>
      <w:r>
        <w:t xml:space="preserve">The </w:t>
      </w:r>
      <w:r w:rsidRPr="001323BE">
        <w:t>Commission propose</w:t>
      </w:r>
      <w:r w:rsidR="00DD76BF">
        <w:t>d</w:t>
      </w:r>
      <w:r w:rsidRPr="001323BE">
        <w:t xml:space="preserve"> renaming this measure to Advanced Power Strips</w:t>
      </w:r>
      <w:r w:rsidR="006D634F">
        <w:t xml:space="preserve"> (APS)</w:t>
      </w:r>
      <w:r w:rsidRPr="001323BE">
        <w:t xml:space="preserve"> to better reflect market terminology.</w:t>
      </w:r>
      <w:r w:rsidR="00AB4F24">
        <w:t xml:space="preserve">  </w:t>
      </w:r>
      <w:r w:rsidR="0042290A">
        <w:t xml:space="preserve">We also proposed to </w:t>
      </w:r>
      <w:r w:rsidR="0042290A" w:rsidRPr="001323BE">
        <w:t>replace the existing algorithms with similar but simplified versions that use assumed values for particular end uses of advanced power strips (home office, entertainment center, unspecified), an Energy Reduction Percentage value that depends on end use and strip type (Tier 1 or Tier 2), an in-service rate, and a realization rate</w:t>
      </w:r>
      <w:r w:rsidR="0042290A">
        <w:t xml:space="preserve">.  </w:t>
      </w:r>
      <w:r w:rsidR="0042290A" w:rsidRPr="001323BE">
        <w:t>The new algorithms and default values are based on recent research in Massachusetts by NMR Group, Inc</w:t>
      </w:r>
      <w:r w:rsidR="0042290A">
        <w:t xml:space="preserve">.  </w:t>
      </w:r>
      <w:r w:rsidR="0042290A" w:rsidRPr="001323BE">
        <w:t xml:space="preserve">The default energy and demand savings increase for Tier 1 advanced power strips and decrease for Tier 2 strips compared to the </w:t>
      </w:r>
      <w:r w:rsidR="0042290A">
        <w:t>2016 TRM</w:t>
      </w:r>
      <w:r w:rsidR="0042290A" w:rsidRPr="001323BE">
        <w:t>.</w:t>
      </w:r>
    </w:p>
    <w:p w14:paraId="129FCE1B" w14:textId="77777777" w:rsidR="008C1D28" w:rsidRDefault="008C1D28" w:rsidP="00AA2116"/>
    <w:p w14:paraId="531C4E95" w14:textId="2BACDDDE" w:rsidR="001C6432" w:rsidRPr="001C6432" w:rsidRDefault="008C1D28" w:rsidP="00453F14">
      <w:pPr>
        <w:pStyle w:val="Heading4"/>
        <w:numPr>
          <w:ilvl w:val="3"/>
          <w:numId w:val="64"/>
        </w:numPr>
      </w:pPr>
      <w:r w:rsidRPr="001062F9">
        <w:t>Comments</w:t>
      </w:r>
    </w:p>
    <w:p w14:paraId="2809F3EC" w14:textId="355F6D72" w:rsidR="001853B7" w:rsidRPr="001853B7" w:rsidRDefault="002147CB" w:rsidP="00AA2116">
      <w:r>
        <w:t>FirstEnergy</w:t>
      </w:r>
      <w:r w:rsidR="001A7A8C" w:rsidRPr="007374A2">
        <w:t xml:space="preserve"> comments</w:t>
      </w:r>
      <w:r w:rsidR="0054232C" w:rsidRPr="007374A2">
        <w:t xml:space="preserve"> </w:t>
      </w:r>
      <w:r w:rsidR="005C2D23">
        <w:t>that the shares of</w:t>
      </w:r>
      <w:r w:rsidR="006B61E9">
        <w:t xml:space="preserve"> Tier 1 APS</w:t>
      </w:r>
      <w:r w:rsidR="005C2D23">
        <w:t>s</w:t>
      </w:r>
      <w:r w:rsidR="006B61E9">
        <w:t xml:space="preserve"> used in home and office settings, </w:t>
      </w:r>
      <w:r w:rsidR="005C2D23">
        <w:t xml:space="preserve">as </w:t>
      </w:r>
      <w:r w:rsidR="006B61E9">
        <w:t>noted in the footnote for Annual_Usage</w:t>
      </w:r>
      <w:r w:rsidR="006B61E9" w:rsidRPr="006B61E9">
        <w:rPr>
          <w:vertAlign w:val="subscript"/>
        </w:rPr>
        <w:t>unspecified</w:t>
      </w:r>
      <w:r w:rsidR="006B61E9" w:rsidRPr="006B61E9">
        <w:t xml:space="preserve">, do </w:t>
      </w:r>
      <w:r w:rsidR="006B61E9">
        <w:t>not match the values in the source document</w:t>
      </w:r>
      <w:r w:rsidR="0082760A">
        <w:t xml:space="preserve">.  </w:t>
      </w:r>
      <w:r>
        <w:t>FirstEnergy</w:t>
      </w:r>
      <w:r w:rsidR="006B61E9">
        <w:t xml:space="preserve"> Comments at 6.</w:t>
      </w:r>
      <w:r w:rsidR="007F72C4">
        <w:t xml:space="preserve">  </w:t>
      </w:r>
      <w:r w:rsidR="008D49D4">
        <w:t xml:space="preserve">Franklin Energy comments that the measure life is seven years for C&amp;I </w:t>
      </w:r>
      <w:r w:rsidR="008D49D4" w:rsidRPr="001323BE">
        <w:t>advanced power strips</w:t>
      </w:r>
      <w:r w:rsidR="008D49D4">
        <w:t xml:space="preserve"> but only five years for residential </w:t>
      </w:r>
      <w:r w:rsidR="008D49D4" w:rsidRPr="001323BE">
        <w:t>advanced power strips</w:t>
      </w:r>
      <w:r w:rsidR="0082760A">
        <w:t xml:space="preserve">.  </w:t>
      </w:r>
      <w:r w:rsidR="008D49D4">
        <w:t>Franklin Energy Comments at 152.</w:t>
      </w:r>
      <w:r w:rsidR="007F72C4">
        <w:t xml:space="preserve">  </w:t>
      </w:r>
      <w:r w:rsidR="00CF5382">
        <w:t>Trickle</w:t>
      </w:r>
      <w:r w:rsidR="0042236E">
        <w:t xml:space="preserve">star, Inc. comments that the terminology used for this measure is inconsistent in the text and that all references should be </w:t>
      </w:r>
      <w:r w:rsidR="00CE29E0">
        <w:t xml:space="preserve">changed </w:t>
      </w:r>
      <w:r w:rsidR="0042236E">
        <w:t>to “Advanced Power Strips.” Tricklestar, Inc</w:t>
      </w:r>
      <w:r w:rsidR="0082760A">
        <w:t xml:space="preserve">.  </w:t>
      </w:r>
      <w:r w:rsidR="0042236E">
        <w:t>Comments at 1, 2.</w:t>
      </w:r>
    </w:p>
    <w:p w14:paraId="6492E708" w14:textId="77777777" w:rsidR="008C1D28" w:rsidRDefault="008C1D28" w:rsidP="00AA2116"/>
    <w:p w14:paraId="72B608C0" w14:textId="59EF2F3B" w:rsidR="008C1D28" w:rsidRPr="001062F9" w:rsidRDefault="008C1D28" w:rsidP="00453F14">
      <w:pPr>
        <w:pStyle w:val="Heading4"/>
        <w:numPr>
          <w:ilvl w:val="3"/>
          <w:numId w:val="64"/>
        </w:numPr>
      </w:pPr>
      <w:r w:rsidRPr="001062F9">
        <w:t>Disposition</w:t>
      </w:r>
    </w:p>
    <w:p w14:paraId="54A89C29" w14:textId="1885CA31" w:rsidR="001E37D8" w:rsidRDefault="001E37D8" w:rsidP="00AA2116">
      <w:r w:rsidRPr="001E37D8">
        <w:t>The Com</w:t>
      </w:r>
      <w:r>
        <w:t xml:space="preserve">mission </w:t>
      </w:r>
      <w:r w:rsidR="007874AE">
        <w:t xml:space="preserve">agrees with FirstEnergy’s recommendation and </w:t>
      </w:r>
      <w:r>
        <w:t>has corrected the values in the footnote for Annual_Usage</w:t>
      </w:r>
      <w:r w:rsidRPr="00F722E9">
        <w:rPr>
          <w:vertAlign w:val="subscript"/>
        </w:rPr>
        <w:t>unspecified</w:t>
      </w:r>
      <w:r>
        <w:t>.</w:t>
      </w:r>
      <w:r w:rsidR="00D65CA3">
        <w:t xml:space="preserve">  We also agree with </w:t>
      </w:r>
      <w:r w:rsidR="00383E15">
        <w:t>Franklin Energy’s suggestion and have updated the measure life value for the C&amp;I advanced power strips measure to match the value of five years for residential advanced power strips</w:t>
      </w:r>
      <w:r w:rsidR="0082760A">
        <w:t xml:space="preserve">.  </w:t>
      </w:r>
      <w:r w:rsidR="00383E15">
        <w:t xml:space="preserve">See </w:t>
      </w:r>
      <w:r w:rsidR="008F0BC1">
        <w:t xml:space="preserve">Section </w:t>
      </w:r>
      <w:r w:rsidR="00A60B22">
        <w:t xml:space="preserve">F.37 </w:t>
      </w:r>
      <w:r w:rsidR="00385E7F">
        <w:t>of this order</w:t>
      </w:r>
      <w:r w:rsidR="00E610E7">
        <w:t xml:space="preserve">.  In addition, in agreement with Tricklestar, Inc.’s </w:t>
      </w:r>
      <w:r w:rsidR="00D12EAE">
        <w:t>suggestion, we have updated the measure to refer only to “Advanced Power Strips</w:t>
      </w:r>
      <w:r w:rsidR="000157C6">
        <w:t>.</w:t>
      </w:r>
      <w:r w:rsidR="00D12EAE">
        <w:t>”</w:t>
      </w:r>
    </w:p>
    <w:p w14:paraId="34027099" w14:textId="77777777" w:rsidR="00F257CE" w:rsidRPr="001323BE" w:rsidRDefault="00F257CE" w:rsidP="00AA2116"/>
    <w:p w14:paraId="5CA66F8D" w14:textId="3753DB95" w:rsidR="00F257CE" w:rsidRPr="001323BE" w:rsidRDefault="00F257CE" w:rsidP="00453F14">
      <w:pPr>
        <w:pStyle w:val="Heading3"/>
        <w:numPr>
          <w:ilvl w:val="2"/>
          <w:numId w:val="64"/>
        </w:numPr>
      </w:pPr>
      <w:bookmarkStart w:id="174" w:name="_Toc15657942"/>
      <w:r w:rsidRPr="001323BE">
        <w:t>Section 2.6.</w:t>
      </w:r>
      <w:r w:rsidRPr="0082744A">
        <w:t>1 – Ceiling</w:t>
      </w:r>
      <w:r w:rsidR="0075240B" w:rsidRPr="0082744A">
        <w:t xml:space="preserve"> </w:t>
      </w:r>
      <w:r w:rsidRPr="0082744A">
        <w:t>/</w:t>
      </w:r>
      <w:r w:rsidR="0075240B" w:rsidRPr="0082744A">
        <w:t xml:space="preserve"> </w:t>
      </w:r>
      <w:r w:rsidRPr="0082744A">
        <w:t>Attic</w:t>
      </w:r>
      <w:r w:rsidRPr="001323BE">
        <w:t xml:space="preserve"> and Wall Insulation</w:t>
      </w:r>
      <w:r w:rsidRPr="001323BE">
        <w:rPr>
          <w:rStyle w:val="FootnoteReference"/>
        </w:rPr>
        <w:footnoteReference w:id="51"/>
      </w:r>
      <w:bookmarkEnd w:id="174"/>
    </w:p>
    <w:p w14:paraId="06FC0B78" w14:textId="5147A4FB" w:rsidR="00F257CE" w:rsidRPr="001323BE" w:rsidRDefault="00F257CE" w:rsidP="00AA2116">
      <w:pPr>
        <w:pStyle w:val="Explanationtext"/>
      </w:pPr>
      <w:r w:rsidRPr="001323BE">
        <w:t>The Commission propose</w:t>
      </w:r>
      <w:r w:rsidR="00A4075A">
        <w:t>d</w:t>
      </w:r>
      <w:r w:rsidRPr="001323BE">
        <w:t xml:space="preserve"> consolidating above-grade insulation measures in this section, to include the existing </w:t>
      </w:r>
      <w:r w:rsidR="00BA381E">
        <w:t>C</w:t>
      </w:r>
      <w:r w:rsidRPr="001323BE">
        <w:t>eiling</w:t>
      </w:r>
      <w:r w:rsidR="00BA381E">
        <w:t xml:space="preserve"> </w:t>
      </w:r>
      <w:r w:rsidRPr="001323BE">
        <w:t>/</w:t>
      </w:r>
      <w:r w:rsidR="00BA381E">
        <w:t xml:space="preserve"> A</w:t>
      </w:r>
      <w:r w:rsidRPr="001323BE">
        <w:t xml:space="preserve">ttic and </w:t>
      </w:r>
      <w:r w:rsidR="00BA381E">
        <w:t>W</w:t>
      </w:r>
      <w:r w:rsidRPr="001323BE">
        <w:t>all insulation measures</w:t>
      </w:r>
      <w:r w:rsidR="00DA4EDB">
        <w:t>,</w:t>
      </w:r>
      <w:r w:rsidRPr="001323BE">
        <w:t xml:space="preserve"> as well as Rim Joist insulation (Section 2.6.8 of the </w:t>
      </w:r>
      <w:r w:rsidR="00E001E2">
        <w:t>2016 TRM</w:t>
      </w:r>
      <w:r w:rsidRPr="001323BE">
        <w:t>) and Floor Insulation (from a Phase III IMP).</w:t>
      </w:r>
      <w:r w:rsidRPr="00EF0860">
        <w:rPr>
          <w:vertAlign w:val="superscript"/>
        </w:rPr>
        <w:footnoteReference w:id="52"/>
      </w:r>
      <w:r w:rsidRPr="001323BE">
        <w:t xml:space="preserve"> </w:t>
      </w:r>
      <w:r w:rsidR="008966B8">
        <w:t xml:space="preserve"> </w:t>
      </w:r>
      <w:r w:rsidRPr="001323BE">
        <w:t xml:space="preserve">To reflect these changes, </w:t>
      </w:r>
      <w:r w:rsidR="008A26AF">
        <w:t>we</w:t>
      </w:r>
      <w:r w:rsidRPr="001323BE">
        <w:t xml:space="preserve"> propose</w:t>
      </w:r>
      <w:r w:rsidR="004E35EB">
        <w:t>d</w:t>
      </w:r>
      <w:r w:rsidRPr="001323BE">
        <w:t xml:space="preserve"> renaming the section to Ceiling</w:t>
      </w:r>
      <w:r w:rsidR="0075240B">
        <w:t xml:space="preserve"> </w:t>
      </w:r>
      <w:r w:rsidRPr="001323BE">
        <w:t>/</w:t>
      </w:r>
      <w:r w:rsidR="0075240B">
        <w:t xml:space="preserve"> </w:t>
      </w:r>
      <w:r w:rsidRPr="001323BE">
        <w:t>Attic, Wall, Floor, and Rim Joist Insulation</w:t>
      </w:r>
      <w:r w:rsidR="00A0651F">
        <w:t xml:space="preserve">.  </w:t>
      </w:r>
      <w:r w:rsidR="003F31B4">
        <w:t>In addition, t</w:t>
      </w:r>
      <w:r w:rsidRPr="001323BE">
        <w:t>he Commission propose</w:t>
      </w:r>
      <w:r w:rsidR="00A4075A">
        <w:t>d</w:t>
      </w:r>
      <w:r w:rsidRPr="001323BE">
        <w:t xml:space="preserve"> a similar but simplified and reduced set of algorithms for calculating savings using the same set of terms</w:t>
      </w:r>
      <w:r w:rsidR="0004438A">
        <w:t xml:space="preserve"> and to update </w:t>
      </w:r>
      <w:r w:rsidR="0004438A" w:rsidRPr="001323BE">
        <w:t>default baseline HVAC system efficiency values with data from the</w:t>
      </w:r>
      <w:r w:rsidR="0004438A">
        <w:t xml:space="preserve"> </w:t>
      </w:r>
      <w:r w:rsidR="0004438A" w:rsidRPr="001323BE">
        <w:t>2018 Pennsylvania Residential Baseline Study</w:t>
      </w:r>
      <w:r w:rsidRPr="001323BE">
        <w:t>.</w:t>
      </w:r>
      <w:r w:rsidR="009E3570">
        <w:t xml:space="preserve">  </w:t>
      </w:r>
      <w:r w:rsidR="009E3570" w:rsidRPr="001323BE">
        <w:t>This section is also affected by updates to climate-dependent values</w:t>
      </w:r>
      <w:r w:rsidR="009E3570">
        <w:t>,</w:t>
      </w:r>
      <w:r w:rsidR="009E3570" w:rsidRPr="001323BE">
        <w:t xml:space="preserve"> described in Section </w:t>
      </w:r>
      <w:r w:rsidR="009E3570" w:rsidRPr="001323BE">
        <w:fldChar w:fldCharType="begin"/>
      </w:r>
      <w:r w:rsidR="009E3570" w:rsidRPr="001323BE">
        <w:instrText xml:space="preserve"> REF _Ref263442 \w \h </w:instrText>
      </w:r>
      <w:r w:rsidR="009E3570">
        <w:instrText xml:space="preserve"> \* MERGEFORMAT </w:instrText>
      </w:r>
      <w:r w:rsidR="009E3570" w:rsidRPr="001323BE">
        <w:fldChar w:fldCharType="separate"/>
      </w:r>
      <w:r w:rsidR="00B10CDB">
        <w:t>B</w:t>
      </w:r>
      <w:r w:rsidR="009E3570" w:rsidRPr="001323BE">
        <w:fldChar w:fldCharType="end"/>
      </w:r>
      <w:r w:rsidR="009E3570" w:rsidRPr="001323BE">
        <w:t>.</w:t>
      </w:r>
    </w:p>
    <w:p w14:paraId="656CA3B5" w14:textId="77777777" w:rsidR="008C1D28" w:rsidRDefault="008C1D28" w:rsidP="00AA2116"/>
    <w:p w14:paraId="13D140A1" w14:textId="5C52B7D2" w:rsidR="008C1D28" w:rsidRPr="001062F9" w:rsidRDefault="008C1D28" w:rsidP="00453F14">
      <w:pPr>
        <w:pStyle w:val="Heading4"/>
        <w:numPr>
          <w:ilvl w:val="3"/>
          <w:numId w:val="64"/>
        </w:numPr>
      </w:pPr>
      <w:r w:rsidRPr="001062F9">
        <w:t>Comments</w:t>
      </w:r>
    </w:p>
    <w:p w14:paraId="5DA92D37" w14:textId="0817CC09" w:rsidR="008C1D28" w:rsidRDefault="002147CB" w:rsidP="00AA2116">
      <w:r>
        <w:t>FirstEnergy</w:t>
      </w:r>
      <w:r w:rsidR="005040F0">
        <w:t xml:space="preserve"> </w:t>
      </w:r>
      <w:r w:rsidR="00827532">
        <w:t>request</w:t>
      </w:r>
      <w:r w:rsidR="007A2804">
        <w:t>s</w:t>
      </w:r>
      <w:r w:rsidR="00827532">
        <w:t xml:space="preserve"> the addition of a </w:t>
      </w:r>
      <w:r w:rsidR="00076BD0">
        <w:t xml:space="preserve">default </w:t>
      </w:r>
      <w:r w:rsidR="00E91D8F">
        <w:t>COP</w:t>
      </w:r>
      <w:r w:rsidR="00E91D8F" w:rsidRPr="00E91D8F">
        <w:rPr>
          <w:vertAlign w:val="subscript"/>
        </w:rPr>
        <w:t>g</w:t>
      </w:r>
      <w:r w:rsidR="00E91D8F">
        <w:t xml:space="preserve"> </w:t>
      </w:r>
      <w:r w:rsidR="00076BD0">
        <w:t>value for ground source heat pumps</w:t>
      </w:r>
      <w:r w:rsidR="0082760A">
        <w:t xml:space="preserve">.  </w:t>
      </w:r>
      <w:r>
        <w:t>FirstEnergy</w:t>
      </w:r>
      <w:r w:rsidR="006F43CA">
        <w:t xml:space="preserve"> </w:t>
      </w:r>
      <w:r w:rsidR="00E13F65">
        <w:t xml:space="preserve">Comments </w:t>
      </w:r>
      <w:r w:rsidR="005B06B9">
        <w:t>at 7.</w:t>
      </w:r>
    </w:p>
    <w:p w14:paraId="3E3870D2" w14:textId="77777777" w:rsidR="008C1D28" w:rsidRDefault="008C1D28" w:rsidP="00AA2116"/>
    <w:p w14:paraId="164CF9F7" w14:textId="2CA0B863" w:rsidR="008C1D28" w:rsidRPr="001062F9" w:rsidRDefault="008C1D28" w:rsidP="00453F14">
      <w:pPr>
        <w:pStyle w:val="Heading4"/>
        <w:numPr>
          <w:ilvl w:val="3"/>
          <w:numId w:val="64"/>
        </w:numPr>
      </w:pPr>
      <w:r w:rsidRPr="001062F9">
        <w:t>Disposition</w:t>
      </w:r>
    </w:p>
    <w:p w14:paraId="221E2BC2" w14:textId="7E7CB891" w:rsidR="008C1D28" w:rsidRDefault="00256D8E" w:rsidP="00AA2116">
      <w:r>
        <w:t xml:space="preserve">The Commission rejects </w:t>
      </w:r>
      <w:r w:rsidR="00823AA0">
        <w:t xml:space="preserve">FirstEnergy’s request </w:t>
      </w:r>
      <w:r w:rsidR="003B5A40">
        <w:t>to add a default COP</w:t>
      </w:r>
      <w:r w:rsidR="003B5A40" w:rsidRPr="00E91D8F">
        <w:rPr>
          <w:vertAlign w:val="subscript"/>
        </w:rPr>
        <w:t>g</w:t>
      </w:r>
      <w:r w:rsidR="003B5A40">
        <w:t xml:space="preserve"> value for ground source heat pumps</w:t>
      </w:r>
      <w:r>
        <w:t xml:space="preserve">. </w:t>
      </w:r>
      <w:r w:rsidR="00F72ABE">
        <w:t xml:space="preserve"> </w:t>
      </w:r>
      <w:r>
        <w:t>A COP</w:t>
      </w:r>
      <w:r w:rsidRPr="00256D8E">
        <w:rPr>
          <w:vertAlign w:val="subscript"/>
        </w:rPr>
        <w:t>g</w:t>
      </w:r>
      <w:r w:rsidR="006E0DCA">
        <w:t xml:space="preserve"> value is required only to calculate the value of HSPF for the savings algorithm</w:t>
      </w:r>
      <w:r w:rsidR="00BA20CF">
        <w:t xml:space="preserve"> when not using default efficiency values</w:t>
      </w:r>
      <w:r w:rsidR="006E0DCA">
        <w:t xml:space="preserve">. </w:t>
      </w:r>
      <w:r w:rsidR="00BE01C0">
        <w:t xml:space="preserve"> </w:t>
      </w:r>
      <w:r w:rsidR="00872AA7">
        <w:t>A default HSPF value is provided</w:t>
      </w:r>
      <w:r w:rsidR="0085273F">
        <w:t xml:space="preserve"> for ground source heat pumps</w:t>
      </w:r>
      <w:r w:rsidR="00692C36">
        <w:t xml:space="preserve"> in Sec</w:t>
      </w:r>
      <w:r w:rsidR="008B2225">
        <w:t>tion</w:t>
      </w:r>
      <w:r w:rsidR="00692C36">
        <w:t xml:space="preserve"> 2.2.1 High Efficiency Equipment</w:t>
      </w:r>
      <w:r w:rsidR="002262D5">
        <w:t>, referred to in this measure.</w:t>
      </w:r>
      <w:r w:rsidR="007309CE">
        <w:t xml:space="preserve"> </w:t>
      </w:r>
      <w:r w:rsidR="00744112">
        <w:t xml:space="preserve">  </w:t>
      </w:r>
    </w:p>
    <w:p w14:paraId="0E50B08C" w14:textId="77777777" w:rsidR="00F257CE" w:rsidRPr="001323BE" w:rsidRDefault="00F257CE" w:rsidP="00AA2116"/>
    <w:p w14:paraId="489195F1" w14:textId="3000E4A2" w:rsidR="00F257CE" w:rsidRPr="001323BE" w:rsidRDefault="00F257CE" w:rsidP="00453F14">
      <w:pPr>
        <w:pStyle w:val="Heading3"/>
        <w:numPr>
          <w:ilvl w:val="2"/>
          <w:numId w:val="64"/>
        </w:numPr>
      </w:pPr>
      <w:bookmarkStart w:id="175" w:name="_Toc15657943"/>
      <w:r w:rsidRPr="001323BE">
        <w:lastRenderedPageBreak/>
        <w:t>Section 2.6.</w:t>
      </w:r>
      <w:r w:rsidRPr="0082744A">
        <w:t>2 – ENERGY STAR</w:t>
      </w:r>
      <w:r w:rsidRPr="001323BE">
        <w:t xml:space="preserve"> Windows</w:t>
      </w:r>
      <w:r w:rsidRPr="001323BE">
        <w:rPr>
          <w:rStyle w:val="FootnoteReference"/>
        </w:rPr>
        <w:footnoteReference w:id="53"/>
      </w:r>
      <w:bookmarkEnd w:id="175"/>
    </w:p>
    <w:p w14:paraId="636B08A4" w14:textId="13FB23A7" w:rsidR="00F257CE" w:rsidRPr="001323BE" w:rsidRDefault="00F257CE" w:rsidP="00AA2116">
      <w:pPr>
        <w:pStyle w:val="Explanationtext"/>
      </w:pPr>
      <w:r w:rsidRPr="001323BE">
        <w:t>Savings estimates under this section depend on an energy model of a representative prototype home</w:t>
      </w:r>
      <w:r w:rsidR="00A0651F">
        <w:t xml:space="preserve">.  </w:t>
      </w:r>
      <w:r w:rsidRPr="001323BE">
        <w:t>The Commission propose</w:t>
      </w:r>
      <w:r w:rsidR="004C633A">
        <w:t>d</w:t>
      </w:r>
      <w:r w:rsidRPr="001323BE">
        <w:t xml:space="preserve"> replacing the current model with a new energy model created in BEopt v.2.8.0, a </w:t>
      </w:r>
      <w:r w:rsidR="00C02E39">
        <w:t>modeling</w:t>
      </w:r>
      <w:r w:rsidRPr="001323BE">
        <w:t xml:space="preserve"> tool developed by NREL.</w:t>
      </w:r>
      <w:r w:rsidRPr="001323BE">
        <w:rPr>
          <w:rStyle w:val="FootnoteReference"/>
        </w:rPr>
        <w:footnoteReference w:id="54"/>
      </w:r>
      <w:r w:rsidRPr="001323BE">
        <w:t xml:space="preserve"> </w:t>
      </w:r>
      <w:r w:rsidR="00FF3512">
        <w:t xml:space="preserve"> </w:t>
      </w:r>
      <w:r w:rsidRPr="001323BE">
        <w:t xml:space="preserve">The characteristics of the prototype model are based on data from the 2018 </w:t>
      </w:r>
      <w:r w:rsidR="00B50214">
        <w:t xml:space="preserve">Pennsylvania </w:t>
      </w:r>
      <w:r w:rsidRPr="001323BE">
        <w:t xml:space="preserve">Residential </w:t>
      </w:r>
      <w:r w:rsidR="00B50214">
        <w:t>B</w:t>
      </w:r>
      <w:r w:rsidRPr="001323BE">
        <w:t xml:space="preserve">aseline </w:t>
      </w:r>
      <w:r w:rsidR="00B50214">
        <w:t>S</w:t>
      </w:r>
      <w:r w:rsidRPr="001323BE">
        <w:t>tudy</w:t>
      </w:r>
      <w:r w:rsidR="00A0651F">
        <w:t xml:space="preserve">.  </w:t>
      </w:r>
      <w:r w:rsidRPr="001323BE">
        <w:t>Results from running the model under varying climate reference locations and HVAC configurations are used to generate a table of Unit Energy Savings (UES) factors identifying the kWh savings per square foot of replaced window</w:t>
      </w:r>
      <w:r w:rsidR="00A0651F">
        <w:t xml:space="preserve">.  </w:t>
      </w:r>
      <w:r w:rsidRPr="001323BE">
        <w:t>These factors are used in a new algorithm, along with window area and the ratio of heating or cooling system efficiency in the actual baseline home to the assumed system efficiency in the prototype model.</w:t>
      </w:r>
    </w:p>
    <w:p w14:paraId="6D5E55F8" w14:textId="77777777" w:rsidR="008C1D28" w:rsidRDefault="008C1D28" w:rsidP="00AA2116"/>
    <w:p w14:paraId="57150AEC" w14:textId="5F78BA94" w:rsidR="008C1D28" w:rsidRPr="001062F9" w:rsidRDefault="008C1D28" w:rsidP="00453F14">
      <w:pPr>
        <w:pStyle w:val="Heading4"/>
        <w:numPr>
          <w:ilvl w:val="3"/>
          <w:numId w:val="64"/>
        </w:numPr>
      </w:pPr>
      <w:r w:rsidRPr="001062F9">
        <w:t>Comments</w:t>
      </w:r>
    </w:p>
    <w:p w14:paraId="010B35D7" w14:textId="249381DB" w:rsidR="008C1D28" w:rsidRDefault="002147CB" w:rsidP="00AA2116">
      <w:r>
        <w:t>FirstEnergy</w:t>
      </w:r>
      <w:r w:rsidR="00D17E54">
        <w:t xml:space="preserve"> requests clarification </w:t>
      </w:r>
      <w:r w:rsidR="00AC165F">
        <w:t xml:space="preserve">on what values to use for the </w:t>
      </w:r>
      <m:oMath>
        <m:sSub>
          <m:sSubPr>
            <m:ctrlPr>
              <w:rPr>
                <w:rFonts w:ascii="Cambria Math" w:hAnsi="Cambria Math" w:cs="Arial"/>
              </w:rPr>
            </m:ctrlPr>
          </m:sSubPr>
          <m:e>
            <m:r>
              <w:rPr>
                <w:rFonts w:ascii="Cambria Math" w:hAnsi="Cambria Math" w:cs="Arial"/>
              </w:rPr>
              <m:t>η</m:t>
            </m:r>
          </m:e>
          <m:sub>
            <m:r>
              <w:rPr>
                <w:rFonts w:ascii="Cambria Math" w:hAnsi="Cambria Math" w:cs="Arial"/>
              </w:rPr>
              <m:t>proto</m:t>
            </m:r>
          </m:sub>
        </m:sSub>
      </m:oMath>
      <w:r w:rsidR="00100C8B">
        <w:t>, the equipment efficiency of the prototype home</w:t>
      </w:r>
      <w:r w:rsidR="0082760A">
        <w:t xml:space="preserve">.  </w:t>
      </w:r>
      <w:r>
        <w:t>FirstEnergy</w:t>
      </w:r>
      <w:r w:rsidR="00757C3E">
        <w:t xml:space="preserve"> Comments at </w:t>
      </w:r>
      <w:r w:rsidR="00EA25C5">
        <w:t>7</w:t>
      </w:r>
      <w:r w:rsidR="00757C3E">
        <w:t xml:space="preserve">. </w:t>
      </w:r>
    </w:p>
    <w:p w14:paraId="0BA4EFA7" w14:textId="77777777" w:rsidR="00BF708B" w:rsidRDefault="00BF708B" w:rsidP="00AA2116"/>
    <w:p w14:paraId="261D16DB" w14:textId="254C7697" w:rsidR="008C1D28" w:rsidRPr="001062F9" w:rsidRDefault="008C1D28" w:rsidP="00453F14">
      <w:pPr>
        <w:pStyle w:val="Heading4"/>
        <w:numPr>
          <w:ilvl w:val="3"/>
          <w:numId w:val="42"/>
        </w:numPr>
      </w:pPr>
      <w:r w:rsidRPr="001062F9">
        <w:t>Disposition</w:t>
      </w:r>
    </w:p>
    <w:p w14:paraId="5906D181" w14:textId="356DA94F" w:rsidR="00482696" w:rsidRDefault="00836B05" w:rsidP="00AA2116">
      <w:r>
        <w:t>The Commission</w:t>
      </w:r>
      <w:r w:rsidR="00842215">
        <w:t xml:space="preserve"> agrees </w:t>
      </w:r>
      <w:r w:rsidR="00274C5E">
        <w:t xml:space="preserve">with FirstEnergy’s request </w:t>
      </w:r>
      <w:r w:rsidR="00842215">
        <w:t xml:space="preserve">that </w:t>
      </w:r>
      <w:r w:rsidR="00101D21">
        <w:t xml:space="preserve">including a </w:t>
      </w:r>
      <w:r w:rsidR="00842215">
        <w:t xml:space="preserve">clarification </w:t>
      </w:r>
      <w:r w:rsidR="006A5C13">
        <w:t>in this measure</w:t>
      </w:r>
      <w:r w:rsidR="00842215">
        <w:t xml:space="preserve"> would be </w:t>
      </w:r>
      <w:r w:rsidR="00F45093">
        <w:t>helpful and</w:t>
      </w:r>
      <w:r w:rsidR="00842215">
        <w:t xml:space="preserve"> has </w:t>
      </w:r>
      <w:r w:rsidR="00101D21">
        <w:t xml:space="preserve">therefore </w:t>
      </w:r>
      <w:r w:rsidR="00842215">
        <w:t xml:space="preserve">added </w:t>
      </w:r>
      <w:r w:rsidR="00F45093">
        <w:t xml:space="preserve">general </w:t>
      </w:r>
      <w:r w:rsidR="00757D9F">
        <w:t xml:space="preserve">guidance on calculating values, as well as clarification on </w:t>
      </w:r>
      <w:r w:rsidR="00A779F2">
        <w:t xml:space="preserve">the nature of the </w:t>
      </w:r>
      <m:oMath>
        <m:sSub>
          <m:sSubPr>
            <m:ctrlPr>
              <w:rPr>
                <w:rFonts w:ascii="Cambria Math" w:hAnsi="Cambria Math" w:cs="Arial"/>
              </w:rPr>
            </m:ctrlPr>
          </m:sSubPr>
          <m:e>
            <m:r>
              <w:rPr>
                <w:rFonts w:ascii="Cambria Math" w:hAnsi="Cambria Math" w:cs="Arial"/>
              </w:rPr>
              <m:t>η</m:t>
            </m:r>
          </m:e>
          <m:sub>
            <m:r>
              <w:rPr>
                <w:rFonts w:ascii="Cambria Math" w:hAnsi="Cambria Math" w:cs="Arial"/>
              </w:rPr>
              <m:t>proto</m:t>
            </m:r>
          </m:sub>
        </m:sSub>
      </m:oMath>
      <w:r w:rsidR="00BE4717">
        <w:t xml:space="preserve"> and </w:t>
      </w:r>
      <m:oMath>
        <m:sSub>
          <m:sSubPr>
            <m:ctrlPr>
              <w:rPr>
                <w:rFonts w:ascii="Cambria Math" w:hAnsi="Cambria Math" w:cs="Arial"/>
              </w:rPr>
            </m:ctrlPr>
          </m:sSubPr>
          <m:e>
            <m:r>
              <w:rPr>
                <w:rFonts w:ascii="Cambria Math" w:hAnsi="Cambria Math" w:cs="Arial"/>
              </w:rPr>
              <m:t>η</m:t>
            </m:r>
          </m:e>
          <m:sub>
            <m:r>
              <w:rPr>
                <w:rFonts w:ascii="Cambria Math" w:hAnsi="Cambria Math" w:cs="Arial"/>
              </w:rPr>
              <m:t>base</m:t>
            </m:r>
          </m:sub>
        </m:sSub>
      </m:oMath>
      <w:r w:rsidR="00C51E83">
        <w:t xml:space="preserve">. </w:t>
      </w:r>
      <w:r w:rsidR="007F72C4">
        <w:t xml:space="preserve"> </w:t>
      </w:r>
      <w:r w:rsidR="00101D21">
        <w:t>In</w:t>
      </w:r>
      <w:r w:rsidR="00482696">
        <w:t xml:space="preserve"> the interest of simplifying the TRM and reducing the opportunity for introducing inconsistent values in the future, the Commission has replaced the table of default heating and cooling system efficiency values in this measure with a reference to Table 2-8: Default Baseline Equipment Efficiency for High Efficiency Equipment in Section 2.2.1 - </w:t>
      </w:r>
      <w:r w:rsidR="00482696" w:rsidRPr="00452FDC">
        <w:t>High Efficiency Equipment: ASHP, CAC, GSHP, PTAC, PTHP</w:t>
      </w:r>
      <w:r w:rsidR="00482696">
        <w:t>.</w:t>
      </w:r>
    </w:p>
    <w:p w14:paraId="1C376C93" w14:textId="77777777" w:rsidR="00F257CE" w:rsidRPr="001323BE" w:rsidRDefault="00F257CE" w:rsidP="00AA2116"/>
    <w:p w14:paraId="341E807D" w14:textId="77777777" w:rsidR="00242F0F" w:rsidRPr="001323BE" w:rsidRDefault="00242F0F" w:rsidP="00453F14">
      <w:pPr>
        <w:pStyle w:val="Heading3"/>
        <w:numPr>
          <w:ilvl w:val="2"/>
          <w:numId w:val="43"/>
        </w:numPr>
      </w:pPr>
      <w:bookmarkStart w:id="176" w:name="_Toc15657944"/>
      <w:r w:rsidRPr="001323BE">
        <w:lastRenderedPageBreak/>
        <w:t>Section 2.6.3 – Residential New Construction</w:t>
      </w:r>
      <w:r w:rsidRPr="001323BE">
        <w:rPr>
          <w:rStyle w:val="FootnoteReference"/>
        </w:rPr>
        <w:footnoteReference w:id="55"/>
      </w:r>
      <w:bookmarkEnd w:id="176"/>
    </w:p>
    <w:p w14:paraId="54CD3D56" w14:textId="16451A0B" w:rsidR="00242F0F" w:rsidRDefault="00242F0F" w:rsidP="00AA2116">
      <w:pPr>
        <w:pStyle w:val="Explanationtext"/>
      </w:pPr>
      <w:r w:rsidRPr="001323BE">
        <w:t xml:space="preserve">The </w:t>
      </w:r>
      <w:r>
        <w:t>2016 TRM</w:t>
      </w:r>
      <w:r w:rsidRPr="001323BE">
        <w:t xml:space="preserve"> requires two methods to estimate savings under this measure</w:t>
      </w:r>
      <w:r>
        <w:t xml:space="preserve">.  </w:t>
      </w:r>
      <w:r w:rsidRPr="001323BE">
        <w:t xml:space="preserve">Climate-dependent savings, such as from insulation or HVAC systems, are estimated using the results of energy </w:t>
      </w:r>
      <w:r w:rsidR="00C02E39">
        <w:t>modeling</w:t>
      </w:r>
      <w:r w:rsidRPr="001323BE">
        <w:t xml:space="preserve"> comparing the as-designed home to a minimally code-compliant baseline building</w:t>
      </w:r>
      <w:r>
        <w:t xml:space="preserve">.  </w:t>
      </w:r>
      <w:r w:rsidRPr="001323BE">
        <w:t>Non-climate-dependent savings from measures such as lighting and appliances must be calculated using the specific measure algorithm from the appropriate section elsewhere in the TRM</w:t>
      </w:r>
      <w:r>
        <w:t xml:space="preserve">.  </w:t>
      </w:r>
      <w:r w:rsidRPr="001323BE">
        <w:t>The Commission propose</w:t>
      </w:r>
      <w:r>
        <w:t>d</w:t>
      </w:r>
      <w:r w:rsidRPr="001323BE">
        <w:t xml:space="preserve"> allowing the option of estimating all savings using energy modeling</w:t>
      </w:r>
      <w:r>
        <w:t xml:space="preserve">.  </w:t>
      </w:r>
      <w:r w:rsidR="00C619F7">
        <w:t>We</w:t>
      </w:r>
      <w:r w:rsidRPr="001323BE">
        <w:t xml:space="preserve"> </w:t>
      </w:r>
      <w:r>
        <w:t xml:space="preserve">also </w:t>
      </w:r>
      <w:r w:rsidRPr="001323BE">
        <w:t>propose</w:t>
      </w:r>
      <w:r>
        <w:t>d</w:t>
      </w:r>
      <w:r w:rsidRPr="001323BE">
        <w:t xml:space="preserve"> expanding the range of energy </w:t>
      </w:r>
      <w:r w:rsidR="00C02E39">
        <w:t>modeling</w:t>
      </w:r>
      <w:r w:rsidRPr="001323BE">
        <w:t xml:space="preserve"> software approved for estimating savings under this measure to include any RESNET-accredited </w:t>
      </w:r>
      <w:r w:rsidRPr="009166CB">
        <w:t>software</w:t>
      </w:r>
      <w:r>
        <w:t>,</w:t>
      </w:r>
      <w:r w:rsidRPr="009166CB">
        <w:t xml:space="preserve"> as well as Passive</w:t>
      </w:r>
      <w:r w:rsidRPr="001323BE">
        <w:t xml:space="preserve"> House accreditation packages Passive House Planning Package and WUFI Passive.</w:t>
      </w:r>
      <w:r>
        <w:t xml:space="preserve">  Furthermore, t</w:t>
      </w:r>
      <w:r w:rsidRPr="001323BE">
        <w:t>he Commission propose</w:t>
      </w:r>
      <w:r>
        <w:t>d</w:t>
      </w:r>
      <w:r w:rsidRPr="001323BE">
        <w:t xml:space="preserve"> updating the parameters of the baseline code-compliant home according to the requirements of the 2015 IECC and updated Federal standards.</w:t>
      </w:r>
    </w:p>
    <w:p w14:paraId="6EDDAB18" w14:textId="77777777" w:rsidR="008A771A" w:rsidRPr="001323BE" w:rsidRDefault="008A771A" w:rsidP="00AA2116">
      <w:pPr>
        <w:pStyle w:val="Explanationtext"/>
      </w:pPr>
    </w:p>
    <w:p w14:paraId="60B6DE83" w14:textId="799707DF" w:rsidR="00242F0F" w:rsidRDefault="00810505" w:rsidP="00453F14">
      <w:pPr>
        <w:pStyle w:val="Heading4"/>
        <w:numPr>
          <w:ilvl w:val="3"/>
          <w:numId w:val="44"/>
        </w:numPr>
      </w:pPr>
      <w:r>
        <w:t>Combining with Low-Rise Multifamily Measure</w:t>
      </w:r>
    </w:p>
    <w:p w14:paraId="6283325C" w14:textId="77777777" w:rsidR="00242F0F" w:rsidRDefault="00242F0F" w:rsidP="00453F14">
      <w:pPr>
        <w:pStyle w:val="Heading5"/>
        <w:numPr>
          <w:ilvl w:val="4"/>
          <w:numId w:val="44"/>
        </w:numPr>
      </w:pPr>
      <w:r w:rsidRPr="001062F9">
        <w:t>Comments</w:t>
      </w:r>
    </w:p>
    <w:p w14:paraId="0DB32587" w14:textId="06B4895B" w:rsidR="00810505" w:rsidRDefault="00242F0F" w:rsidP="00AA2116">
      <w:r>
        <w:t xml:space="preserve">PECO and Performance Systems Development recommend combining this measure with the Residential New Construction measure to increase flexibility.  </w:t>
      </w:r>
      <w:r w:rsidR="009D6953">
        <w:t xml:space="preserve">PECO Comments at 9 and </w:t>
      </w:r>
      <w:r>
        <w:t>Performance Systems Development Comments at 4</w:t>
      </w:r>
      <w:r w:rsidR="0082760A">
        <w:t xml:space="preserve">.  </w:t>
      </w:r>
    </w:p>
    <w:p w14:paraId="5E2FED67" w14:textId="0B77CAFE" w:rsidR="00242F0F" w:rsidRDefault="00242F0F" w:rsidP="00AA2116">
      <w:r>
        <w:t xml:space="preserve"> </w:t>
      </w:r>
    </w:p>
    <w:p w14:paraId="0D7CC5C9" w14:textId="58E4C7FD" w:rsidR="00810505" w:rsidRDefault="00810505" w:rsidP="00453F14">
      <w:pPr>
        <w:pStyle w:val="Heading5"/>
        <w:numPr>
          <w:ilvl w:val="4"/>
          <w:numId w:val="44"/>
        </w:numPr>
      </w:pPr>
      <w:r>
        <w:t>Disposition</w:t>
      </w:r>
    </w:p>
    <w:p w14:paraId="5254EB82" w14:textId="35448547" w:rsidR="00810505" w:rsidRDefault="00810505" w:rsidP="00FF0754">
      <w:r>
        <w:t>The Commission agrees</w:t>
      </w:r>
      <w:r w:rsidR="00254479">
        <w:t xml:space="preserve"> with </w:t>
      </w:r>
      <w:r w:rsidR="009D6953">
        <w:t xml:space="preserve">the suggestions of </w:t>
      </w:r>
      <w:r w:rsidR="00254479">
        <w:t>PECO and Performance Systems Development</w:t>
      </w:r>
      <w:r>
        <w:t xml:space="preserve"> </w:t>
      </w:r>
      <w:r w:rsidR="00865B3E">
        <w:t xml:space="preserve">suggestion </w:t>
      </w:r>
      <w:r>
        <w:t xml:space="preserve">that a single Residential New Construction measure </w:t>
      </w:r>
      <w:r w:rsidR="00950305">
        <w:t xml:space="preserve">covering </w:t>
      </w:r>
      <w:r w:rsidR="009D7F01">
        <w:t xml:space="preserve">both </w:t>
      </w:r>
      <w:r>
        <w:t>single and multifamily buildings is preferable to separate measures</w:t>
      </w:r>
      <w:r w:rsidR="0096205B">
        <w:t xml:space="preserve"> and</w:t>
      </w:r>
      <w:r w:rsidR="00865B3E">
        <w:t xml:space="preserve"> </w:t>
      </w:r>
      <w:r>
        <w:t xml:space="preserve">has </w:t>
      </w:r>
      <w:r w:rsidR="005941E8">
        <w:t xml:space="preserve">therefore </w:t>
      </w:r>
      <w:r>
        <w:t xml:space="preserve">removed the Low-Rise Multifamily New Construction measure and expanded the eligibility under Residential New Construction to include </w:t>
      </w:r>
      <w:r w:rsidRPr="001C608A">
        <w:t>multifamily residential buildings</w:t>
      </w:r>
      <w:r w:rsidR="0082760A">
        <w:t xml:space="preserve">.  </w:t>
      </w:r>
      <w:r>
        <w:t xml:space="preserve">See </w:t>
      </w:r>
      <w:r w:rsidR="00C50AC5">
        <w:t xml:space="preserve">C.15 – Low Rise Multifamily New Construction </w:t>
      </w:r>
      <w:r>
        <w:t>for a more detailed description of proposed changes regarding multifamily buildings under this measure.</w:t>
      </w:r>
    </w:p>
    <w:p w14:paraId="79C8B2F3" w14:textId="77777777" w:rsidR="00810505" w:rsidRDefault="00810505" w:rsidP="00AA2116"/>
    <w:p w14:paraId="5BD928AC" w14:textId="5D51B546" w:rsidR="00810505" w:rsidRDefault="00670F39" w:rsidP="00453F14">
      <w:pPr>
        <w:pStyle w:val="Heading4"/>
        <w:numPr>
          <w:ilvl w:val="3"/>
          <w:numId w:val="44"/>
        </w:numPr>
      </w:pPr>
      <w:r>
        <w:t>Energy Modeling</w:t>
      </w:r>
    </w:p>
    <w:p w14:paraId="57817182" w14:textId="2C7915E9" w:rsidR="00810505" w:rsidRPr="00810505" w:rsidRDefault="00810505" w:rsidP="00453F14">
      <w:pPr>
        <w:pStyle w:val="Heading5"/>
        <w:numPr>
          <w:ilvl w:val="4"/>
          <w:numId w:val="44"/>
        </w:numPr>
      </w:pPr>
      <w:r>
        <w:t>Comments</w:t>
      </w:r>
    </w:p>
    <w:p w14:paraId="67E3DA6A" w14:textId="583AEE26" w:rsidR="00810505" w:rsidRDefault="002147CB" w:rsidP="00AA2116">
      <w:pPr>
        <w:rPr>
          <w:szCs w:val="26"/>
        </w:rPr>
      </w:pPr>
      <w:r>
        <w:t>FirstEnergy</w:t>
      </w:r>
      <w:r w:rsidR="00810505">
        <w:t xml:space="preserve"> requests that the savings calculation methods that use TRM algorithms be expanded to allow reasonable and appropriate approximation methods to estimate and simulate savings rather than force an inventory in each home. </w:t>
      </w:r>
      <w:r w:rsidR="00F72ABE">
        <w:t xml:space="preserve"> </w:t>
      </w:r>
      <w:r>
        <w:t>FirstEnergy</w:t>
      </w:r>
      <w:r w:rsidR="00810505">
        <w:t xml:space="preserve"> Comments at 7.  Performance Systems Development supports the use of models for all </w:t>
      </w:r>
      <w:r w:rsidR="00810505" w:rsidRPr="00A41878">
        <w:rPr>
          <w:szCs w:val="26"/>
        </w:rPr>
        <w:t>savings calculations, removing the distinction between weat</w:t>
      </w:r>
      <w:r w:rsidR="00810505" w:rsidRPr="004A2FAD">
        <w:rPr>
          <w:szCs w:val="26"/>
        </w:rPr>
        <w:t xml:space="preserve">her-sensitive and non-weather-sensitive measures. </w:t>
      </w:r>
      <w:r w:rsidR="00F72ABE">
        <w:rPr>
          <w:szCs w:val="26"/>
        </w:rPr>
        <w:t xml:space="preserve"> </w:t>
      </w:r>
      <w:r w:rsidR="00810505" w:rsidRPr="004A2FAD">
        <w:rPr>
          <w:szCs w:val="26"/>
        </w:rPr>
        <w:t xml:space="preserve">They also recommend calculating demand savings for all measures, not just weather-sensitive measures. </w:t>
      </w:r>
      <w:r w:rsidR="00F72ABE">
        <w:rPr>
          <w:szCs w:val="26"/>
        </w:rPr>
        <w:t xml:space="preserve"> </w:t>
      </w:r>
      <w:r w:rsidR="00810505" w:rsidRPr="004A2FAD">
        <w:rPr>
          <w:szCs w:val="26"/>
        </w:rPr>
        <w:t>P</w:t>
      </w:r>
      <w:r w:rsidR="00810505" w:rsidRPr="000E7833">
        <w:rPr>
          <w:szCs w:val="26"/>
        </w:rPr>
        <w:t>erformance Systems Development Comments at 3, 13.</w:t>
      </w:r>
    </w:p>
    <w:p w14:paraId="1C57A59A" w14:textId="77777777" w:rsidR="00670F39" w:rsidRDefault="00670F39" w:rsidP="00AA2116"/>
    <w:p w14:paraId="0D801284" w14:textId="4430DA2B" w:rsidR="00670F39" w:rsidRDefault="00670F39" w:rsidP="00453F14">
      <w:pPr>
        <w:pStyle w:val="Heading5"/>
        <w:numPr>
          <w:ilvl w:val="4"/>
          <w:numId w:val="44"/>
        </w:numPr>
      </w:pPr>
      <w:r>
        <w:t>Disposition</w:t>
      </w:r>
    </w:p>
    <w:p w14:paraId="2D18BF5D" w14:textId="0C2E40BA" w:rsidR="00670F39" w:rsidRDefault="00670F39" w:rsidP="00AA2116">
      <w:r>
        <w:t>The Commission agrees</w:t>
      </w:r>
      <w:r w:rsidR="002B7D05">
        <w:t xml:space="preserve"> with </w:t>
      </w:r>
      <w:r w:rsidR="009D6953">
        <w:t xml:space="preserve">the suggestions of </w:t>
      </w:r>
      <w:r w:rsidR="002B7D05">
        <w:t xml:space="preserve">FirstEnergy and Performance Systems Development </w:t>
      </w:r>
      <w:r>
        <w:t xml:space="preserve">that a measure based solely on modeled savings with no requirement to calculate savings for non-weather sensitive measures using separate sections of the TRM would </w:t>
      </w:r>
      <w:r w:rsidRPr="006138A1">
        <w:t>simplif</w:t>
      </w:r>
      <w:r>
        <w:t>y</w:t>
      </w:r>
      <w:r w:rsidRPr="006138A1">
        <w:t xml:space="preserve"> program participation, savings calculations, and evaluation</w:t>
      </w:r>
      <w:r w:rsidR="0082760A">
        <w:t xml:space="preserve">.  </w:t>
      </w:r>
      <w:r>
        <w:t>The Commission has</w:t>
      </w:r>
      <w:r w:rsidR="002B7D05">
        <w:t xml:space="preserve"> therefore</w:t>
      </w:r>
      <w:r>
        <w:t xml:space="preserve"> modified the measure so that all energy savings are calculated using energy models. </w:t>
      </w:r>
      <w:r w:rsidR="00F72ABE">
        <w:t xml:space="preserve"> </w:t>
      </w:r>
      <w:r>
        <w:t xml:space="preserve">The approved energy models for this measure cannot calculate demand savings for measures other than cooling, so the Commission rejects Performance Systems Developments’ request to calculate demand savings for all measures. </w:t>
      </w:r>
      <w:r w:rsidR="00F72ABE">
        <w:t xml:space="preserve"> </w:t>
      </w:r>
      <w:r>
        <w:t>The Commission has included the option of calculating and claiming additional demand savings from other measures by using the corresponding demand savings algorithms in the specific TRM measures for which demand savings will be claimed.</w:t>
      </w:r>
    </w:p>
    <w:p w14:paraId="32808997" w14:textId="09DB55C2" w:rsidR="00670F39" w:rsidRDefault="00670F39" w:rsidP="00453F14">
      <w:pPr>
        <w:pStyle w:val="Heading4"/>
        <w:numPr>
          <w:ilvl w:val="3"/>
          <w:numId w:val="44"/>
        </w:numPr>
      </w:pPr>
      <w:r>
        <w:t>Other Comments</w:t>
      </w:r>
    </w:p>
    <w:p w14:paraId="3E759A24" w14:textId="4BAD2473" w:rsidR="00670F39" w:rsidRPr="00670F39" w:rsidRDefault="00670F39" w:rsidP="00453F14">
      <w:pPr>
        <w:pStyle w:val="Heading5"/>
        <w:numPr>
          <w:ilvl w:val="4"/>
          <w:numId w:val="44"/>
        </w:numPr>
      </w:pPr>
      <w:r>
        <w:t>Comments</w:t>
      </w:r>
    </w:p>
    <w:p w14:paraId="6E5F806F" w14:textId="5D62D33E" w:rsidR="00242F0F" w:rsidRDefault="00242F0F" w:rsidP="00AA2116">
      <w:r>
        <w:t>PPL requests clarification that the Commission’s inten</w:t>
      </w:r>
      <w:r w:rsidRPr="00861D8D">
        <w:t>t is for software and the baseline reference design home to include up-to-date assumptions</w:t>
      </w:r>
      <w:r>
        <w:t xml:space="preserve"> reflecting current state and federal lighting and appliance standards.  PPL Comments at 3.</w:t>
      </w:r>
      <w:r w:rsidR="007F72C4">
        <w:t xml:space="preserve">  </w:t>
      </w:r>
      <w:r w:rsidR="002147CB">
        <w:t>FirstEnergy</w:t>
      </w:r>
      <w:r>
        <w:t xml:space="preserve">, </w:t>
      </w:r>
      <w:r>
        <w:lastRenderedPageBreak/>
        <w:t>Performance Systems Development, and PPL comment that the values for frame wall U-factor for IECC climate zone 6A should be 0.045 instead of 0.060</w:t>
      </w:r>
      <w:r w:rsidRPr="003F23B3">
        <w:t>, and that the infiltration requirement should be 5.0 ACH50 instead of 3.0 ACH 50,</w:t>
      </w:r>
      <w:r>
        <w:t xml:space="preserve"> to reflect Pennsylvania-specific amendments to the 2015 IECC code. </w:t>
      </w:r>
      <w:r w:rsidR="00F72ABE">
        <w:t xml:space="preserve"> </w:t>
      </w:r>
      <w:r w:rsidR="002147CB">
        <w:t>FirstEnergy</w:t>
      </w:r>
      <w:r>
        <w:t xml:space="preserve"> Comments at 7, Performance Systems Development Comments at 3, and PPL Comments at 4.</w:t>
      </w:r>
      <w:r w:rsidR="007F72C4">
        <w:t xml:space="preserve">  </w:t>
      </w:r>
      <w:r>
        <w:t>Franklin Energy suggests language changes to clarify the meaning of the “</w:t>
      </w:r>
      <w:r w:rsidRPr="003F23B3">
        <w:t xml:space="preserve">baseline” home and </w:t>
      </w:r>
      <w:r>
        <w:t xml:space="preserve">suggests </w:t>
      </w:r>
      <w:r w:rsidRPr="003F23B3">
        <w:t>us</w:t>
      </w:r>
      <w:r>
        <w:t xml:space="preserve">ing “building modeling” instead of “software output.”  Franklin Energy Comments at 185, 186.  PECO suggests a correction to the description in the Algorithms section to remove a reference to “multifamily.”  PECO also identifies an erroneous use of “EF” instead of “UEF” for water heater efficiency units.  PECO Comments at 9. </w:t>
      </w:r>
    </w:p>
    <w:p w14:paraId="60CF22AD" w14:textId="77777777" w:rsidR="00242F0F" w:rsidRDefault="00242F0F" w:rsidP="00AA2116"/>
    <w:p w14:paraId="05722689" w14:textId="77777777" w:rsidR="00242F0F" w:rsidRPr="001062F9" w:rsidRDefault="00242F0F" w:rsidP="00453F14">
      <w:pPr>
        <w:pStyle w:val="Heading5"/>
        <w:numPr>
          <w:ilvl w:val="4"/>
          <w:numId w:val="44"/>
        </w:numPr>
      </w:pPr>
      <w:r w:rsidRPr="001062F9">
        <w:t>Disposition</w:t>
      </w:r>
    </w:p>
    <w:p w14:paraId="068FAEE6" w14:textId="19553417" w:rsidR="008C1D28" w:rsidRDefault="002F2FE4" w:rsidP="00AA2116">
      <w:r>
        <w:t>The</w:t>
      </w:r>
      <w:r w:rsidR="00242F0F">
        <w:t xml:space="preserve"> Commission</w:t>
      </w:r>
      <w:r w:rsidR="000618FA">
        <w:t xml:space="preserve"> agrees with PPL’s comment</w:t>
      </w:r>
      <w:r w:rsidR="00242F0F">
        <w:t xml:space="preserve"> </w:t>
      </w:r>
      <w:r w:rsidR="00810505">
        <w:t>regarding lighting and appliances in the tables of baseline values to use in the reference building</w:t>
      </w:r>
      <w:r>
        <w:t xml:space="preserve"> and has added clarifying language</w:t>
      </w:r>
      <w:r w:rsidR="00810505">
        <w:t xml:space="preserve">.  The Commission </w:t>
      </w:r>
      <w:r w:rsidR="00242F0F">
        <w:t xml:space="preserve">notes that EDCs should use the values as included in the current version of the TRM.  The Commission has proposed an annual review process </w:t>
      </w:r>
      <w:r w:rsidR="00242F0F" w:rsidRPr="008A2E41">
        <w:t>that will allow updates to the TRM to include updates</w:t>
      </w:r>
      <w:r w:rsidR="00242F0F">
        <w:t xml:space="preserve"> to state and federal standards</w:t>
      </w:r>
      <w:r w:rsidR="00810505">
        <w:t xml:space="preserve"> that occur during Phase IV</w:t>
      </w:r>
      <w:r w:rsidR="00242F0F">
        <w:t xml:space="preserve"> </w:t>
      </w:r>
      <w:r w:rsidR="00670F39">
        <w:t xml:space="preserve">(see </w:t>
      </w:r>
      <w:r w:rsidR="00670F39">
        <w:fldChar w:fldCharType="begin"/>
      </w:r>
      <w:r w:rsidR="00670F39">
        <w:instrText xml:space="preserve"> REF _Ref12975332 \w \h </w:instrText>
      </w:r>
      <w:r w:rsidR="00704BEC">
        <w:instrText xml:space="preserve"> \* MERGEFORMAT </w:instrText>
      </w:r>
      <w:r w:rsidR="00670F39">
        <w:fldChar w:fldCharType="separate"/>
      </w:r>
      <w:r w:rsidR="00B10CDB">
        <w:t>B.2</w:t>
      </w:r>
      <w:r w:rsidR="00670F39">
        <w:fldChar w:fldCharType="end"/>
      </w:r>
      <w:r w:rsidR="00670F39">
        <w:t xml:space="preserve"> </w:t>
      </w:r>
      <w:r w:rsidR="00670F39">
        <w:fldChar w:fldCharType="begin"/>
      </w:r>
      <w:r w:rsidR="00670F39">
        <w:instrText xml:space="preserve"> REF _Ref12975346 \h </w:instrText>
      </w:r>
      <w:r w:rsidR="00704BEC">
        <w:instrText xml:space="preserve"> \* MERGEFORMAT </w:instrText>
      </w:r>
      <w:r w:rsidR="00670F39">
        <w:fldChar w:fldCharType="separate"/>
      </w:r>
      <w:r w:rsidR="00B10CDB">
        <w:t>Process for Code Change Updates</w:t>
      </w:r>
      <w:r w:rsidR="00670F39">
        <w:fldChar w:fldCharType="end"/>
      </w:r>
      <w:r w:rsidR="00670F39">
        <w:t>)</w:t>
      </w:r>
      <w:r w:rsidR="00242F0F">
        <w:t>.</w:t>
      </w:r>
      <w:r w:rsidR="007F72C4">
        <w:t xml:space="preserve">  </w:t>
      </w:r>
      <w:r w:rsidR="00242F0F">
        <w:t xml:space="preserve">The Commission </w:t>
      </w:r>
      <w:r>
        <w:t xml:space="preserve">agrees with </w:t>
      </w:r>
      <w:r w:rsidR="009D6953">
        <w:t xml:space="preserve">the comments of </w:t>
      </w:r>
      <w:r>
        <w:t xml:space="preserve">FirstEnergy, Performance Systems Development, and PPL and </w:t>
      </w:r>
      <w:r w:rsidR="00242F0F">
        <w:t xml:space="preserve">has corrected the values for frame wall U-factor and maximum air infiltration to reflect Pennsylvania amendments to the 2015 IECC.  The Commission </w:t>
      </w:r>
      <w:r>
        <w:t xml:space="preserve">agrees with Franklin Energy’s and PECO’s comment and </w:t>
      </w:r>
      <w:r w:rsidR="00242F0F">
        <w:t xml:space="preserve">has revised the language in the measure to address the textual changes. </w:t>
      </w:r>
      <w:r w:rsidR="007F72C4">
        <w:t xml:space="preserve"> </w:t>
      </w:r>
      <w:r w:rsidR="00242F0F">
        <w:t xml:space="preserve">Also, in </w:t>
      </w:r>
      <w:r w:rsidR="00242F0F" w:rsidRPr="00242F0F">
        <w:t>the</w:t>
      </w:r>
      <w:r w:rsidR="00242F0F">
        <w:t xml:space="preserve"> interest of simplifying the TRM and reducing the opportunity for introducing inconsistent values in the future, the Commission has replaced the default heating and cooling system efficiency values in this measure with a reference to </w:t>
      </w:r>
      <w:r w:rsidR="00242F0F" w:rsidRPr="008A2E41">
        <w:t>Table 2-8: Default Baseline Equipment Efficiency for High Efficiency Equipment in Section 2.2.1 - High Efficiency Equipment: ASHP, CAC, GSHP, PTAC, PTHP.</w:t>
      </w:r>
    </w:p>
    <w:p w14:paraId="5753B3B9" w14:textId="77777777" w:rsidR="00F257CE" w:rsidRPr="001323BE" w:rsidRDefault="00F257CE" w:rsidP="00AA2116"/>
    <w:p w14:paraId="412294F4" w14:textId="3B8F076F" w:rsidR="00F257CE" w:rsidRPr="001323BE" w:rsidRDefault="00F257CE" w:rsidP="00453F14">
      <w:pPr>
        <w:pStyle w:val="Heading3"/>
        <w:numPr>
          <w:ilvl w:val="2"/>
          <w:numId w:val="65"/>
        </w:numPr>
      </w:pPr>
      <w:bookmarkStart w:id="177" w:name="_Toc15657945"/>
      <w:r w:rsidRPr="001323BE">
        <w:lastRenderedPageBreak/>
        <w:t xml:space="preserve">Section 2.6.5 – </w:t>
      </w:r>
      <w:r w:rsidRPr="00810505">
        <w:t>ENERGY STAR Manufactured</w:t>
      </w:r>
      <w:r w:rsidRPr="001323BE">
        <w:t xml:space="preserve"> Homes</w:t>
      </w:r>
      <w:r w:rsidRPr="001323BE">
        <w:rPr>
          <w:rStyle w:val="FootnoteReference"/>
        </w:rPr>
        <w:footnoteReference w:id="56"/>
      </w:r>
      <w:bookmarkEnd w:id="177"/>
    </w:p>
    <w:p w14:paraId="01A48D3F" w14:textId="132452F2" w:rsidR="008C1D28" w:rsidRPr="00810505" w:rsidRDefault="008C1D28" w:rsidP="00453F14">
      <w:pPr>
        <w:pStyle w:val="Heading4"/>
        <w:numPr>
          <w:ilvl w:val="3"/>
          <w:numId w:val="65"/>
        </w:numPr>
      </w:pPr>
      <w:r w:rsidRPr="00810505">
        <w:t>Comments</w:t>
      </w:r>
    </w:p>
    <w:p w14:paraId="20CB6DD7" w14:textId="304F16DF" w:rsidR="008C1D28" w:rsidRPr="00810505" w:rsidRDefault="002147CB" w:rsidP="00AA2116">
      <w:pPr>
        <w:rPr>
          <w:highlight w:val="yellow"/>
        </w:rPr>
      </w:pPr>
      <w:r>
        <w:t>FirstEnergy</w:t>
      </w:r>
      <w:r w:rsidR="00810505">
        <w:t xml:space="preserve"> requests adding “or by other models approved by the SWE” to Algorithms section defining approved energy modeling software</w:t>
      </w:r>
      <w:r w:rsidR="0082760A">
        <w:t xml:space="preserve">.  </w:t>
      </w:r>
      <w:r>
        <w:t>FirstEnergy</w:t>
      </w:r>
      <w:r w:rsidR="00810505">
        <w:t xml:space="preserve"> Comments at 8</w:t>
      </w:r>
      <w:r w:rsidR="0082760A">
        <w:t xml:space="preserve">.  </w:t>
      </w:r>
      <w:r w:rsidR="00810505">
        <w:t>PPL asks the Commission to confirm the approved software for energy modeling</w:t>
      </w:r>
      <w:r w:rsidR="0082760A">
        <w:t xml:space="preserve">.  </w:t>
      </w:r>
      <w:r w:rsidR="00810505">
        <w:t>PPL Comments at 4.</w:t>
      </w:r>
      <w:r w:rsidR="007F72C4">
        <w:t xml:space="preserve">  </w:t>
      </w:r>
      <w:r w:rsidR="00810505">
        <w:t>PECO notes that the minimum water heater efficiency unit should be UEF and not EF</w:t>
      </w:r>
      <w:r w:rsidR="0082760A">
        <w:t xml:space="preserve">.  </w:t>
      </w:r>
      <w:r w:rsidR="00810505">
        <w:t>PECO Comments at 9.</w:t>
      </w:r>
      <w:r w:rsidR="007F72C4">
        <w:t xml:space="preserve">  </w:t>
      </w:r>
      <w:r w:rsidR="00810505">
        <w:t>Performance Systems Development supports the use of models for all savings calculations, removing the distinction between weather-sensitive and non-weather-sensitive measures</w:t>
      </w:r>
      <w:r w:rsidR="0082760A">
        <w:t xml:space="preserve">.  </w:t>
      </w:r>
      <w:r w:rsidR="00810505">
        <w:t>They also recommend calculating demand savings for all measures, not just weather-sensitive measures</w:t>
      </w:r>
      <w:r w:rsidR="0082760A">
        <w:t xml:space="preserve">.  </w:t>
      </w:r>
      <w:r w:rsidR="00810505">
        <w:t>P</w:t>
      </w:r>
      <w:r w:rsidR="00810505" w:rsidRPr="00EF0860">
        <w:rPr>
          <w:szCs w:val="26"/>
        </w:rPr>
        <w:t>erformance Systems Development Comments at 3, 13.</w:t>
      </w:r>
    </w:p>
    <w:p w14:paraId="37419206" w14:textId="77777777" w:rsidR="008C1D28" w:rsidRPr="00810505" w:rsidRDefault="008C1D28" w:rsidP="00AA2116">
      <w:pPr>
        <w:rPr>
          <w:highlight w:val="yellow"/>
        </w:rPr>
      </w:pPr>
    </w:p>
    <w:p w14:paraId="698BC21D" w14:textId="624A4018" w:rsidR="008C1D28" w:rsidRPr="00810505" w:rsidRDefault="008C1D28" w:rsidP="00453F14">
      <w:pPr>
        <w:pStyle w:val="Heading4"/>
        <w:numPr>
          <w:ilvl w:val="3"/>
          <w:numId w:val="65"/>
        </w:numPr>
      </w:pPr>
      <w:r w:rsidRPr="00810505">
        <w:t>Disposition</w:t>
      </w:r>
    </w:p>
    <w:p w14:paraId="2A21C9C6" w14:textId="18E30289" w:rsidR="00810505" w:rsidRDefault="00810505" w:rsidP="00AA2116">
      <w:r>
        <w:t xml:space="preserve">The Commission </w:t>
      </w:r>
      <w:r w:rsidR="00835B81">
        <w:t xml:space="preserve">rejects </w:t>
      </w:r>
      <w:r w:rsidR="00EC52F0">
        <w:t xml:space="preserve">FirstEnergy’s </w:t>
      </w:r>
      <w:r w:rsidR="00835B81">
        <w:t xml:space="preserve">suggestion </w:t>
      </w:r>
      <w:r w:rsidR="00EC52F0">
        <w:t xml:space="preserve">and </w:t>
      </w:r>
      <w:r w:rsidR="00835B81">
        <w:t xml:space="preserve">confirms, responding to </w:t>
      </w:r>
      <w:r w:rsidR="00EC52F0">
        <w:t>PPL</w:t>
      </w:r>
      <w:r w:rsidR="00835B81">
        <w:t xml:space="preserve">, that the only currently </w:t>
      </w:r>
      <w:r>
        <w:t>approved software models are those on the RESNET list of accredited software rating programs, as cited in the measure.</w:t>
      </w:r>
      <w:r w:rsidR="007F72C4">
        <w:t xml:space="preserve">  </w:t>
      </w:r>
      <w:r>
        <w:t xml:space="preserve">The Commission </w:t>
      </w:r>
      <w:r w:rsidR="00EC52F0">
        <w:t xml:space="preserve">agrees with PECO’s suggestion and </w:t>
      </w:r>
      <w:r>
        <w:t xml:space="preserve">has corrected the efficiency units for water heaters. </w:t>
      </w:r>
      <w:r w:rsidR="007F72C4">
        <w:t xml:space="preserve"> </w:t>
      </w:r>
      <w:r w:rsidR="00F12843">
        <w:t>We also agree</w:t>
      </w:r>
      <w:r>
        <w:t xml:space="preserve"> </w:t>
      </w:r>
      <w:r w:rsidR="00EC52F0">
        <w:t>with Performance Systems Development suggesti</w:t>
      </w:r>
      <w:r w:rsidR="00C5438A">
        <w:t>on</w:t>
      </w:r>
      <w:r w:rsidR="00EC52F0">
        <w:t xml:space="preserve"> </w:t>
      </w:r>
      <w:r>
        <w:t>that a measure based only on modeled savings would be preferable to simplify program participation, savings calculations, and evaluation</w:t>
      </w:r>
      <w:r w:rsidR="0082760A">
        <w:t xml:space="preserve">.  </w:t>
      </w:r>
      <w:r>
        <w:t>The Commission has modified the measure so that all energy savings are calculated using energy models</w:t>
      </w:r>
      <w:r w:rsidR="0082760A">
        <w:t xml:space="preserve">.  </w:t>
      </w:r>
      <w:r>
        <w:t>The approved energy models for this measure cannot calculate demand savings for measures other than cooling, so the Commission rejects Performance Systems Development</w:t>
      </w:r>
      <w:r w:rsidR="003F5DA0">
        <w:t>’</w:t>
      </w:r>
      <w:r>
        <w:t>s request to calculate demand savings for all measures</w:t>
      </w:r>
      <w:r w:rsidR="0082760A">
        <w:t xml:space="preserve">.  </w:t>
      </w:r>
      <w:r>
        <w:t>The Commission has included the option of calculating and claiming additional demand savings from other measure by using the corresponding demand savings algorithms in the specific TRM measures for which demand savings will be claimed.</w:t>
      </w:r>
    </w:p>
    <w:p w14:paraId="0DC1160C" w14:textId="77777777" w:rsidR="00AD1671" w:rsidRDefault="00AD1671" w:rsidP="00AA2116"/>
    <w:p w14:paraId="31A2B119" w14:textId="6D467530" w:rsidR="008C1D28" w:rsidRDefault="00810505" w:rsidP="00AA2116">
      <w:r>
        <w:lastRenderedPageBreak/>
        <w:t xml:space="preserve">Also, in the interest of simplifying the TRM and reducing the opportunity for introducing inconsistent values in the future, the Commission has replaced the default heating and cooling system efficiency values in this measure with a reference to Table 2-8: Default Baseline Equipment Efficiency for High Efficiency Equipment in Section 2.2.1 - </w:t>
      </w:r>
      <w:r w:rsidRPr="00452FDC">
        <w:t>High Efficiency Equipment: ASHP, CAC, GSHP, PTAC, PTHP</w:t>
      </w:r>
      <w:r>
        <w:t>.</w:t>
      </w:r>
    </w:p>
    <w:p w14:paraId="18839C7B" w14:textId="77777777" w:rsidR="00F257CE" w:rsidRPr="001323BE" w:rsidRDefault="00F257CE" w:rsidP="00AA2116"/>
    <w:p w14:paraId="0C16C8EB" w14:textId="791D08A9" w:rsidR="00F257CE" w:rsidRPr="001323BE" w:rsidRDefault="00F257CE" w:rsidP="00453F14">
      <w:pPr>
        <w:pStyle w:val="Heading3"/>
        <w:numPr>
          <w:ilvl w:val="2"/>
          <w:numId w:val="65"/>
        </w:numPr>
      </w:pPr>
      <w:bookmarkStart w:id="178" w:name="_Toc15657946"/>
      <w:r w:rsidRPr="001323BE">
        <w:t xml:space="preserve">Section 2.6.6 – </w:t>
      </w:r>
      <w:r w:rsidRPr="003F5DA0">
        <w:t>Residential A</w:t>
      </w:r>
      <w:r w:rsidRPr="001323BE">
        <w:t>ir Sealing</w:t>
      </w:r>
      <w:r w:rsidRPr="001323BE">
        <w:rPr>
          <w:rStyle w:val="FootnoteReference"/>
        </w:rPr>
        <w:footnoteReference w:id="57"/>
      </w:r>
      <w:bookmarkEnd w:id="178"/>
    </w:p>
    <w:p w14:paraId="2046BBB9" w14:textId="4053CFC7" w:rsidR="00F257CE" w:rsidRPr="001323BE" w:rsidRDefault="00F257CE" w:rsidP="00AA2116">
      <w:pPr>
        <w:pStyle w:val="Explanationtext"/>
      </w:pPr>
      <w:r w:rsidRPr="001323BE">
        <w:t>Savings estimates under this section depend on an energy model of a representative prototype home</w:t>
      </w:r>
      <w:r w:rsidR="00A0651F">
        <w:t xml:space="preserve">.  </w:t>
      </w:r>
      <w:r w:rsidRPr="001323BE">
        <w:t>The Commission propose</w:t>
      </w:r>
      <w:r w:rsidR="002E5342">
        <w:t>d</w:t>
      </w:r>
      <w:r w:rsidRPr="001323BE">
        <w:t xml:space="preserve"> replacing the current model with a new energy model created in BEopt v.2.8.0, a </w:t>
      </w:r>
      <w:r w:rsidR="00C02E39">
        <w:t>modeling</w:t>
      </w:r>
      <w:r w:rsidRPr="001323BE">
        <w:t xml:space="preserve"> tool developed by NREL.</w:t>
      </w:r>
      <w:r w:rsidRPr="001323BE">
        <w:rPr>
          <w:rStyle w:val="FootnoteReference"/>
        </w:rPr>
        <w:footnoteReference w:id="58"/>
      </w:r>
      <w:r w:rsidRPr="001323BE">
        <w:t xml:space="preserve"> </w:t>
      </w:r>
      <w:r w:rsidR="001E1D66">
        <w:t xml:space="preserve"> </w:t>
      </w:r>
      <w:r w:rsidRPr="001323BE">
        <w:t xml:space="preserve">The characteristics of the prototype model are based on data from the 2018 </w:t>
      </w:r>
      <w:r w:rsidR="00B50214">
        <w:t xml:space="preserve">Pennsylvania </w:t>
      </w:r>
      <w:r w:rsidRPr="001323BE">
        <w:t xml:space="preserve">Residential </w:t>
      </w:r>
      <w:r w:rsidR="00B50214">
        <w:t>B</w:t>
      </w:r>
      <w:r w:rsidRPr="001323BE">
        <w:t xml:space="preserve">aseline </w:t>
      </w:r>
      <w:r w:rsidR="00B50214">
        <w:t>S</w:t>
      </w:r>
      <w:r w:rsidRPr="001323BE">
        <w:t>tudy</w:t>
      </w:r>
      <w:r w:rsidR="00A0651F">
        <w:t xml:space="preserve">.  </w:t>
      </w:r>
      <w:r w:rsidRPr="001323BE">
        <w:t>Results from running the model under varying climate reference locations and HVAC configurations were used to generate a quadratic regression model and a table of regression coefficients</w:t>
      </w:r>
      <w:r w:rsidR="00A0651F">
        <w:t xml:space="preserve">.  </w:t>
      </w:r>
      <w:r w:rsidRPr="001323BE">
        <w:t>Savings are calculated by selecting the appropriate coefficients for the location and HVAC configuration and applying them in the algorithm along with factors defining the ratio of duct efficiency and HVAC equipment efficiency in the air-sealed home versus the prototype model and the pre- and post-air sealing air infiltration measurements in the home.</w:t>
      </w:r>
    </w:p>
    <w:p w14:paraId="0DE83FDA" w14:textId="77777777" w:rsidR="008C1D28" w:rsidRDefault="008C1D28" w:rsidP="00AA2116"/>
    <w:p w14:paraId="21E636BC" w14:textId="62ED656C" w:rsidR="008C1D28" w:rsidRPr="001062F9" w:rsidRDefault="008C1D28" w:rsidP="00453F14">
      <w:pPr>
        <w:pStyle w:val="Heading4"/>
        <w:numPr>
          <w:ilvl w:val="3"/>
          <w:numId w:val="65"/>
        </w:numPr>
      </w:pPr>
      <w:r w:rsidRPr="001062F9">
        <w:t>Comments</w:t>
      </w:r>
    </w:p>
    <w:p w14:paraId="6945B4E2" w14:textId="064052D8" w:rsidR="008C1D28" w:rsidRDefault="002147CB" w:rsidP="00AA2116">
      <w:r>
        <w:t>FirstEnergy</w:t>
      </w:r>
      <w:r w:rsidR="00EF49E6">
        <w:t xml:space="preserve"> </w:t>
      </w:r>
      <w:r w:rsidR="00B43D0D">
        <w:t xml:space="preserve">asks if the measure is also applicable to buildings with 2-4 dwelling </w:t>
      </w:r>
      <w:r w:rsidR="007F6092">
        <w:t>units or</w:t>
      </w:r>
      <w:r w:rsidR="00B43D0D">
        <w:t xml:space="preserve"> manufactured/mobile homes</w:t>
      </w:r>
      <w:r w:rsidR="0082760A">
        <w:t xml:space="preserve">.  </w:t>
      </w:r>
      <w:r>
        <w:t>FirstEnergy</w:t>
      </w:r>
      <w:r w:rsidR="00161752">
        <w:t xml:space="preserve"> points out th</w:t>
      </w:r>
      <w:r w:rsidR="00983724">
        <w:t>at</w:t>
      </w:r>
      <w:r w:rsidR="00161752">
        <w:t xml:space="preserve"> the value for </w:t>
      </w:r>
      <w:r w:rsidR="00EE4F7E" w:rsidRPr="00EE4F7E">
        <w:rPr>
          <w:i/>
        </w:rPr>
        <w:t>Duct</w:t>
      </w:r>
      <w:r w:rsidR="00EE4F7E" w:rsidRPr="00EE4F7E">
        <w:rPr>
          <w:i/>
          <w:vertAlign w:val="subscript"/>
        </w:rPr>
        <w:t>base</w:t>
      </w:r>
      <w:r w:rsidR="00EE4F7E">
        <w:rPr>
          <w:i/>
          <w:vertAlign w:val="subscript"/>
        </w:rPr>
        <w:t xml:space="preserve"> </w:t>
      </w:r>
      <w:r w:rsidR="00EE4F7E">
        <w:t>is currently limited to measurement via EDC data gathering and asks if there is a default value</w:t>
      </w:r>
      <w:r w:rsidR="0082760A">
        <w:t xml:space="preserve">.  </w:t>
      </w:r>
      <w:r>
        <w:t>FirstEnergy</w:t>
      </w:r>
      <w:r w:rsidR="00006D39">
        <w:t xml:space="preserve"> Comments at </w:t>
      </w:r>
      <w:r w:rsidR="007F72C4">
        <w:t xml:space="preserve">6, </w:t>
      </w:r>
      <w:r w:rsidR="00161752">
        <w:t>7</w:t>
      </w:r>
      <w:r w:rsidR="00006D39">
        <w:t xml:space="preserve">.  </w:t>
      </w:r>
    </w:p>
    <w:p w14:paraId="25A16917" w14:textId="77777777" w:rsidR="00857BB1" w:rsidRDefault="00857BB1" w:rsidP="00AA2116"/>
    <w:p w14:paraId="3239265B" w14:textId="6F20816F" w:rsidR="008C1D28" w:rsidRPr="001062F9" w:rsidRDefault="008C1D28" w:rsidP="00453F14">
      <w:pPr>
        <w:pStyle w:val="Heading4"/>
        <w:numPr>
          <w:ilvl w:val="3"/>
          <w:numId w:val="65"/>
        </w:numPr>
      </w:pPr>
      <w:r w:rsidRPr="001062F9">
        <w:lastRenderedPageBreak/>
        <w:t>Disposition</w:t>
      </w:r>
    </w:p>
    <w:p w14:paraId="455187A1" w14:textId="1C7B6A76" w:rsidR="005E00D8" w:rsidRPr="00416FE7" w:rsidRDefault="0098116F" w:rsidP="00AA2116">
      <w:r w:rsidRPr="000E26CA">
        <w:t>Th</w:t>
      </w:r>
      <w:r w:rsidR="00D84195" w:rsidRPr="000E26CA">
        <w:t xml:space="preserve">e Commission notes that savings calculations for this measure depend on </w:t>
      </w:r>
      <w:r w:rsidR="007C450B" w:rsidRPr="000E26CA">
        <w:t xml:space="preserve">coefficient values generated from prototype models based on </w:t>
      </w:r>
      <w:r w:rsidR="000E26CA" w:rsidRPr="000E26CA">
        <w:t xml:space="preserve">data from </w:t>
      </w:r>
      <w:r w:rsidR="007C450B" w:rsidRPr="000E26CA">
        <w:t>detached single</w:t>
      </w:r>
      <w:r w:rsidR="00C605B8">
        <w:noBreakHyphen/>
      </w:r>
      <w:r w:rsidR="007C450B" w:rsidRPr="000E26CA">
        <w:t>family homes</w:t>
      </w:r>
      <w:r w:rsidR="00C842BF">
        <w:t xml:space="preserve"> from the </w:t>
      </w:r>
      <w:r w:rsidR="00C842BF" w:rsidRPr="001323BE">
        <w:t xml:space="preserve">2018 </w:t>
      </w:r>
      <w:r w:rsidR="00C842BF">
        <w:t xml:space="preserve">Pennsylvania </w:t>
      </w:r>
      <w:r w:rsidR="00C842BF" w:rsidRPr="001323BE">
        <w:t xml:space="preserve">Residential </w:t>
      </w:r>
      <w:r w:rsidR="00C842BF">
        <w:t>B</w:t>
      </w:r>
      <w:r w:rsidR="00C842BF" w:rsidRPr="001323BE">
        <w:t xml:space="preserve">aseline </w:t>
      </w:r>
      <w:r w:rsidR="00C842BF">
        <w:t>S</w:t>
      </w:r>
      <w:r w:rsidR="00C842BF" w:rsidRPr="001323BE">
        <w:t>tudy</w:t>
      </w:r>
      <w:r w:rsidR="00833DBB">
        <w:t>.  This dataset includes manufactured and mobile homes and the Commission has updated the proposed manual to clarify eligibility</w:t>
      </w:r>
      <w:r w:rsidR="0082760A">
        <w:t xml:space="preserve">.  </w:t>
      </w:r>
      <w:r w:rsidR="0088728E">
        <w:t>Therefore, the Commission rejects FirstEnergy’s suggestion that the measure eligibility be expanded to t</w:t>
      </w:r>
      <w:r w:rsidR="00833DBB">
        <w:t>wo-four dwelling unit structures.</w:t>
      </w:r>
      <w:r w:rsidR="007F72C4">
        <w:t xml:space="preserve">  </w:t>
      </w:r>
      <w:r w:rsidR="005E00D8" w:rsidRPr="005E00D8">
        <w:t>The</w:t>
      </w:r>
      <w:r w:rsidR="005E00D8">
        <w:t xml:space="preserve"> Commission has added clarif</w:t>
      </w:r>
      <w:r w:rsidR="00416FE7">
        <w:t>ying text to the</w:t>
      </w:r>
      <w:r w:rsidR="00FC43AB">
        <w:t xml:space="preserve"> 2021 TRM</w:t>
      </w:r>
      <w:r w:rsidR="00416FE7">
        <w:t xml:space="preserve"> regarding</w:t>
      </w:r>
      <w:r w:rsidR="005E00D8">
        <w:t xml:space="preserve"> </w:t>
      </w:r>
      <w:r w:rsidR="005E00D8" w:rsidRPr="005E00D8">
        <w:rPr>
          <w:i/>
        </w:rPr>
        <w:t>Duct</w:t>
      </w:r>
      <w:r w:rsidR="005E00D8" w:rsidRPr="005E00D8">
        <w:rPr>
          <w:i/>
          <w:vertAlign w:val="subscript"/>
        </w:rPr>
        <w:t>base</w:t>
      </w:r>
      <w:r w:rsidR="005E00D8">
        <w:t xml:space="preserve">, values which may come from measurement or by selecting an appropriate value from the </w:t>
      </w:r>
      <w:r w:rsidR="006B0DD1">
        <w:t>Distribution Efficiency table provided in the Duct Sealing &amp; Insulation measure.  There will not be a default value</w:t>
      </w:r>
      <w:r w:rsidR="00416FE7">
        <w:t xml:space="preserve"> provided</w:t>
      </w:r>
      <w:r w:rsidR="006B0DD1">
        <w:t xml:space="preserve"> </w:t>
      </w:r>
      <w:r w:rsidR="00416FE7">
        <w:t xml:space="preserve">for </w:t>
      </w:r>
      <w:r w:rsidR="00416FE7" w:rsidRPr="005E00D8">
        <w:rPr>
          <w:i/>
        </w:rPr>
        <w:t>Duct</w:t>
      </w:r>
      <w:r w:rsidR="00416FE7" w:rsidRPr="005E00D8">
        <w:rPr>
          <w:i/>
          <w:vertAlign w:val="subscript"/>
        </w:rPr>
        <w:t>base</w:t>
      </w:r>
      <w:r w:rsidR="00416FE7">
        <w:t>.</w:t>
      </w:r>
    </w:p>
    <w:p w14:paraId="703D25A6" w14:textId="77777777" w:rsidR="006B0DD1" w:rsidRPr="005E00D8" w:rsidRDefault="006B0DD1" w:rsidP="00AA2116"/>
    <w:p w14:paraId="0D8A3958" w14:textId="06DC1D02" w:rsidR="00F257CE" w:rsidRPr="001323BE" w:rsidRDefault="00F257CE" w:rsidP="00453F14">
      <w:pPr>
        <w:pStyle w:val="Heading3"/>
        <w:numPr>
          <w:ilvl w:val="2"/>
          <w:numId w:val="65"/>
        </w:numPr>
      </w:pPr>
      <w:bookmarkStart w:id="179" w:name="_Toc15657947"/>
      <w:r w:rsidRPr="001323BE">
        <w:t>Section 2.6.7 – Crawl Space Wall Insulation</w:t>
      </w:r>
      <w:r w:rsidRPr="001323BE">
        <w:rPr>
          <w:rStyle w:val="FootnoteReference"/>
        </w:rPr>
        <w:footnoteReference w:id="59"/>
      </w:r>
      <w:bookmarkEnd w:id="179"/>
    </w:p>
    <w:p w14:paraId="012EEF71" w14:textId="6E0E33D3" w:rsidR="00F257CE" w:rsidRDefault="00F257CE" w:rsidP="00AA2116">
      <w:pPr>
        <w:pStyle w:val="Explanationtext"/>
      </w:pPr>
      <w:r w:rsidRPr="001323BE">
        <w:t>The Commission propose</w:t>
      </w:r>
      <w:r w:rsidR="00F06B46">
        <w:t>d</w:t>
      </w:r>
      <w:r w:rsidRPr="001323BE">
        <w:t xml:space="preserve"> updating default baseline HVAC system efficiency values with data from the</w:t>
      </w:r>
      <w:r w:rsidR="00F253F1" w:rsidRPr="00F253F1">
        <w:t xml:space="preserve"> </w:t>
      </w:r>
      <w:r w:rsidR="00F253F1" w:rsidRPr="001323BE">
        <w:t>2018 Pennsylvania Residential Baseline Study</w:t>
      </w:r>
      <w:r w:rsidR="00A0651F">
        <w:t xml:space="preserve">.  </w:t>
      </w:r>
      <w:r w:rsidRPr="001323BE">
        <w:t>This section is also affected by updates to climate-dependent values</w:t>
      </w:r>
      <w:r w:rsidR="00956246">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B10CDB">
        <w:t>B</w:t>
      </w:r>
      <w:r w:rsidRPr="001323BE">
        <w:fldChar w:fldCharType="end"/>
      </w:r>
      <w:r w:rsidRPr="001323BE">
        <w:t>.</w:t>
      </w:r>
    </w:p>
    <w:p w14:paraId="12A6551F" w14:textId="77777777" w:rsidR="00C50AC5" w:rsidRPr="001323BE" w:rsidRDefault="00C50AC5" w:rsidP="00AA2116">
      <w:pPr>
        <w:pStyle w:val="Explanationtext"/>
      </w:pPr>
    </w:p>
    <w:p w14:paraId="42AC1BF3" w14:textId="5194C8DD" w:rsidR="008C1D28" w:rsidRPr="001062F9" w:rsidRDefault="008C1D28" w:rsidP="00453F14">
      <w:pPr>
        <w:pStyle w:val="Heading4"/>
        <w:numPr>
          <w:ilvl w:val="3"/>
          <w:numId w:val="65"/>
        </w:numPr>
      </w:pPr>
      <w:r w:rsidRPr="001062F9">
        <w:t>Comments</w:t>
      </w:r>
    </w:p>
    <w:p w14:paraId="5CA31A9A" w14:textId="371214F7" w:rsidR="008C1D28" w:rsidRDefault="002147CB" w:rsidP="00AA2116">
      <w:r>
        <w:t>FirstEnergy</w:t>
      </w:r>
      <w:r w:rsidR="00F306E9">
        <w:t xml:space="preserve"> asks if a crawl space </w:t>
      </w:r>
      <w:r w:rsidR="0098291D">
        <w:t xml:space="preserve">is required to contain ductwork to be eligible for this </w:t>
      </w:r>
      <w:r w:rsidR="00797CE9">
        <w:t>measure and</w:t>
      </w:r>
      <w:r w:rsidR="0098291D">
        <w:t xml:space="preserve"> requests a default </w:t>
      </w:r>
      <w:r w:rsidR="0098291D" w:rsidRPr="0051380F">
        <w:rPr>
          <w:i/>
        </w:rPr>
        <w:t>COP</w:t>
      </w:r>
      <w:r w:rsidR="00D440BF" w:rsidRPr="0051380F">
        <w:rPr>
          <w:i/>
          <w:vertAlign w:val="subscript"/>
        </w:rPr>
        <w:t>GSHP</w:t>
      </w:r>
      <w:r w:rsidR="0051380F">
        <w:rPr>
          <w:i/>
          <w:vertAlign w:val="subscript"/>
        </w:rPr>
        <w:t xml:space="preserve"> </w:t>
      </w:r>
      <w:r w:rsidR="0051380F">
        <w:t>be provided</w:t>
      </w:r>
      <w:r w:rsidR="0082760A">
        <w:t xml:space="preserve">.  </w:t>
      </w:r>
      <w:r>
        <w:t>FirstEnergy</w:t>
      </w:r>
      <w:r w:rsidR="0051380F">
        <w:t xml:space="preserve"> Comments at 7. </w:t>
      </w:r>
    </w:p>
    <w:p w14:paraId="252E412C" w14:textId="77777777" w:rsidR="00A211F0" w:rsidRDefault="00A211F0" w:rsidP="00AA2116"/>
    <w:p w14:paraId="78405CEF" w14:textId="2A841F1C" w:rsidR="008C1D28" w:rsidRPr="001062F9" w:rsidRDefault="008C1D28" w:rsidP="00453F14">
      <w:pPr>
        <w:pStyle w:val="Heading4"/>
        <w:numPr>
          <w:ilvl w:val="3"/>
          <w:numId w:val="65"/>
        </w:numPr>
      </w:pPr>
      <w:r w:rsidRPr="001062F9">
        <w:t>Disposition</w:t>
      </w:r>
    </w:p>
    <w:p w14:paraId="6CC388E4" w14:textId="06E14B25" w:rsidR="00BB7A1A" w:rsidRDefault="000B49C6" w:rsidP="00AA2116">
      <w:r>
        <w:t xml:space="preserve">The Commission has revised the eligibility to remove reference to ductwork.  The Commission disagrees with FirstEnergy’s suggestion and rejects the request to add a default </w:t>
      </w:r>
      <w:r w:rsidRPr="00367D8C">
        <w:rPr>
          <w:i/>
        </w:rPr>
        <w:t>COP</w:t>
      </w:r>
      <w:r w:rsidRPr="00367D8C">
        <w:rPr>
          <w:i/>
          <w:vertAlign w:val="subscript"/>
        </w:rPr>
        <w:t>GSHP</w:t>
      </w:r>
      <w:r>
        <w:rPr>
          <w:vertAlign w:val="subscript"/>
        </w:rPr>
        <w:t xml:space="preserve"> </w:t>
      </w:r>
      <w:r>
        <w:t xml:space="preserve">because a default HSPF is already provided. </w:t>
      </w:r>
      <w:r w:rsidR="007F72C4">
        <w:t xml:space="preserve"> </w:t>
      </w:r>
      <w:r w:rsidR="00F2690E">
        <w:t xml:space="preserve">No comments were received on this aspect of the measure, but </w:t>
      </w:r>
      <w:r w:rsidR="00C605B8">
        <w:t>up</w:t>
      </w:r>
      <w:r w:rsidR="00F2690E">
        <w:t xml:space="preserve">on review of the comments for this measure and those for </w:t>
      </w:r>
      <w:r w:rsidR="00A201E5">
        <w:t xml:space="preserve">Basement </w:t>
      </w:r>
      <w:r w:rsidR="00F2690E">
        <w:t>Wall Insulation (Se</w:t>
      </w:r>
      <w:r w:rsidR="00B115EA">
        <w:t xml:space="preserve">e </w:t>
      </w:r>
      <w:r w:rsidR="00B115EA">
        <w:fldChar w:fldCharType="begin"/>
      </w:r>
      <w:r w:rsidR="00B115EA">
        <w:instrText xml:space="preserve"> REF _Ref12531843 \w \h </w:instrText>
      </w:r>
      <w:r w:rsidR="00704BEC">
        <w:instrText xml:space="preserve"> \* MERGEFORMAT </w:instrText>
      </w:r>
      <w:r w:rsidR="00B115EA">
        <w:fldChar w:fldCharType="separate"/>
      </w:r>
      <w:r w:rsidR="00B10CDB">
        <w:t>A.14</w:t>
      </w:r>
      <w:r w:rsidR="00B115EA">
        <w:fldChar w:fldCharType="end"/>
      </w:r>
      <w:r w:rsidR="00E00E0A">
        <w:t>)</w:t>
      </w:r>
      <w:r w:rsidR="00F2690E">
        <w:t>, the Commission has elected to combine these two similar measures in the interest of consistency</w:t>
      </w:r>
      <w:r w:rsidR="0082760A">
        <w:t xml:space="preserve">.  </w:t>
      </w:r>
      <w:r w:rsidR="00F2690E">
        <w:t xml:space="preserve">The proposed manual </w:t>
      </w:r>
      <w:r w:rsidR="00F2690E">
        <w:lastRenderedPageBreak/>
        <w:t xml:space="preserve">includes a single measure </w:t>
      </w:r>
      <w:r w:rsidR="00132EA5">
        <w:t>entitled</w:t>
      </w:r>
      <w:r w:rsidR="00F2690E">
        <w:t xml:space="preserve"> Basement and Crawl</w:t>
      </w:r>
      <w:r w:rsidR="00132EA5">
        <w:t xml:space="preserve"> S</w:t>
      </w:r>
      <w:r w:rsidR="00F2690E">
        <w:t xml:space="preserve">pace Wall Insulation. </w:t>
      </w:r>
      <w:r w:rsidR="00BB7A1A">
        <w:t xml:space="preserve"> </w:t>
      </w:r>
      <w:r w:rsidR="005D5469">
        <w:t>The Commission has made these changes in combining the measures:</w:t>
      </w:r>
    </w:p>
    <w:p w14:paraId="16CCC577" w14:textId="4BF7C3FC" w:rsidR="005D5469" w:rsidRPr="004D50A9" w:rsidRDefault="005D5469" w:rsidP="00453F14">
      <w:pPr>
        <w:pStyle w:val="ListParagraph"/>
        <w:numPr>
          <w:ilvl w:val="0"/>
          <w:numId w:val="11"/>
        </w:numPr>
        <w:rPr>
          <w:sz w:val="26"/>
          <w:szCs w:val="26"/>
        </w:rPr>
      </w:pPr>
      <w:r w:rsidRPr="004D50A9">
        <w:rPr>
          <w:sz w:val="26"/>
          <w:szCs w:val="26"/>
        </w:rPr>
        <w:t>Expanded eligibility to include basements</w:t>
      </w:r>
      <w:r w:rsidR="00A201E5" w:rsidRPr="004D50A9">
        <w:rPr>
          <w:sz w:val="26"/>
          <w:szCs w:val="26"/>
        </w:rPr>
        <w:t xml:space="preserve"> as well as crawl</w:t>
      </w:r>
      <w:r w:rsidR="00774DE1" w:rsidRPr="004D50A9">
        <w:rPr>
          <w:sz w:val="26"/>
          <w:szCs w:val="26"/>
        </w:rPr>
        <w:t xml:space="preserve"> </w:t>
      </w:r>
      <w:r w:rsidR="00A201E5" w:rsidRPr="004D50A9">
        <w:rPr>
          <w:sz w:val="26"/>
          <w:szCs w:val="26"/>
        </w:rPr>
        <w:t>spaces;</w:t>
      </w:r>
    </w:p>
    <w:p w14:paraId="5108CCE1" w14:textId="5B9EED64" w:rsidR="00A201E5" w:rsidRPr="004D50A9" w:rsidRDefault="00A201E5" w:rsidP="00453F14">
      <w:pPr>
        <w:pStyle w:val="ListParagraph"/>
        <w:numPr>
          <w:ilvl w:val="0"/>
          <w:numId w:val="11"/>
        </w:numPr>
        <w:rPr>
          <w:sz w:val="26"/>
          <w:szCs w:val="26"/>
        </w:rPr>
      </w:pPr>
      <w:r w:rsidRPr="004D50A9">
        <w:rPr>
          <w:sz w:val="26"/>
          <w:szCs w:val="26"/>
        </w:rPr>
        <w:t>Added an adjustment factor to related insulated area to area served by room air conditioners, FRAC, which was included in the Basement Wall Insulation measure.</w:t>
      </w:r>
    </w:p>
    <w:p w14:paraId="7B0600EC" w14:textId="3C8948AD" w:rsidR="00E00E0A" w:rsidRPr="004D50A9" w:rsidRDefault="00E00E0A" w:rsidP="00453F14">
      <w:pPr>
        <w:pStyle w:val="ListParagraph"/>
        <w:numPr>
          <w:ilvl w:val="0"/>
          <w:numId w:val="11"/>
        </w:numPr>
        <w:rPr>
          <w:sz w:val="26"/>
          <w:szCs w:val="26"/>
        </w:rPr>
      </w:pPr>
      <w:r w:rsidRPr="004D50A9">
        <w:rPr>
          <w:sz w:val="26"/>
          <w:szCs w:val="26"/>
        </w:rPr>
        <w:t>Updated the default R-value and source</w:t>
      </w:r>
      <w:r w:rsidR="00210954" w:rsidRPr="004D50A9">
        <w:rPr>
          <w:sz w:val="26"/>
          <w:szCs w:val="26"/>
        </w:rPr>
        <w:t xml:space="preserve"> to a value of R-1.</w:t>
      </w:r>
    </w:p>
    <w:p w14:paraId="79B5DD26" w14:textId="11F67879" w:rsidR="00210954" w:rsidRPr="004D50A9" w:rsidRDefault="00210954" w:rsidP="00453F14">
      <w:pPr>
        <w:pStyle w:val="ListParagraph"/>
        <w:numPr>
          <w:ilvl w:val="0"/>
          <w:numId w:val="11"/>
        </w:numPr>
        <w:rPr>
          <w:sz w:val="26"/>
          <w:szCs w:val="26"/>
        </w:rPr>
      </w:pPr>
      <w:r w:rsidRPr="004D50A9">
        <w:rPr>
          <w:sz w:val="26"/>
          <w:szCs w:val="26"/>
        </w:rPr>
        <w:t>Updated the source for the framing factor values.</w:t>
      </w:r>
    </w:p>
    <w:p w14:paraId="3474EC2C" w14:textId="77777777" w:rsidR="00BB7A1A" w:rsidRDefault="00BB7A1A" w:rsidP="00AA2116"/>
    <w:p w14:paraId="76DBA635" w14:textId="3EB5028F" w:rsidR="00F2690E" w:rsidRDefault="005B2D4E" w:rsidP="00AA2116">
      <w:r>
        <w:t>Furthermore</w:t>
      </w:r>
      <w:r w:rsidR="00F2690E">
        <w:t xml:space="preserve">, in the interest of simplifying the TRM and </w:t>
      </w:r>
      <w:r>
        <w:t xml:space="preserve">to minimize the introduction of inconsistent </w:t>
      </w:r>
      <w:r w:rsidR="00F2690E">
        <w:t xml:space="preserve">values in the future, the Commission has replaced the table of default heating and cooling system efficiency values </w:t>
      </w:r>
      <w:r>
        <w:t xml:space="preserve">for </w:t>
      </w:r>
      <w:r w:rsidR="00F2690E">
        <w:t xml:space="preserve">this measure with a reference to Table 2-8: Default Baseline Equipment Efficiency for High Efficiency Equipment in Section 2.2.1 - </w:t>
      </w:r>
      <w:r w:rsidR="00F2690E" w:rsidRPr="00452FDC">
        <w:t>High Efficiency Equipment: ASHP, CAC, GSHP, PTAC, PTHP</w:t>
      </w:r>
      <w:r w:rsidR="00F2690E">
        <w:t xml:space="preserve">.  The Commission has also added clarifying text </w:t>
      </w:r>
      <w:r w:rsidR="0082744A">
        <w:t>to the</w:t>
      </w:r>
      <w:r w:rsidR="00F2690E">
        <w:t xml:space="preserve"> Below Grade Thermal Resistance Values</w:t>
      </w:r>
      <w:r w:rsidR="0082744A">
        <w:t xml:space="preserve"> table</w:t>
      </w:r>
      <w:r w:rsidR="00F2690E">
        <w:t>.</w:t>
      </w:r>
      <w:r w:rsidR="00BB7A1A">
        <w:t xml:space="preserve">  </w:t>
      </w:r>
    </w:p>
    <w:p w14:paraId="05BDF848" w14:textId="77777777" w:rsidR="00112393" w:rsidRPr="001062F9" w:rsidRDefault="00112393" w:rsidP="00AA2116"/>
    <w:p w14:paraId="31AA6B82" w14:textId="734D01C8" w:rsidR="00CC67EC" w:rsidRPr="001323BE" w:rsidRDefault="00CC67EC" w:rsidP="00453F14">
      <w:pPr>
        <w:pStyle w:val="Heading3"/>
        <w:numPr>
          <w:ilvl w:val="2"/>
          <w:numId w:val="65"/>
        </w:numPr>
        <w:ind w:left="1440" w:hanging="720"/>
      </w:pPr>
      <w:bookmarkStart w:id="180" w:name="_Toc15657948"/>
      <w:r w:rsidRPr="001323BE">
        <w:t>Section 2.</w:t>
      </w:r>
      <w:r>
        <w:t>9.</w:t>
      </w:r>
      <w:r w:rsidRPr="003F5DA0">
        <w:t xml:space="preserve">1 </w:t>
      </w:r>
      <w:r w:rsidR="00112393" w:rsidRPr="003F5DA0">
        <w:t>– Direct Load Control and</w:t>
      </w:r>
      <w:r w:rsidR="00112393">
        <w:t xml:space="preserve"> Behavior-Based Demand Response Programs</w:t>
      </w:r>
      <w:bookmarkEnd w:id="180"/>
    </w:p>
    <w:p w14:paraId="62CFA20F" w14:textId="7BEB14AD" w:rsidR="00FA58B2" w:rsidRPr="0096379A" w:rsidRDefault="00CC67EC" w:rsidP="00AA2116">
      <w:r w:rsidRPr="001323BE">
        <w:t xml:space="preserve">The </w:t>
      </w:r>
      <w:r w:rsidR="00112393">
        <w:t xml:space="preserve">Commission did not propose changes to </w:t>
      </w:r>
      <w:r w:rsidR="00453626" w:rsidRPr="001323BE">
        <w:t>Section 2.</w:t>
      </w:r>
      <w:r w:rsidR="00453626">
        <w:t>9.</w:t>
      </w:r>
      <w:r w:rsidR="00453626" w:rsidRPr="003F5DA0">
        <w:t>1 – Direct Load Control and</w:t>
      </w:r>
      <w:r w:rsidR="00453626">
        <w:t xml:space="preserve"> Behavior-Based Demand Response Programs. </w:t>
      </w:r>
      <w:r w:rsidR="00453626" w:rsidDel="00453626">
        <w:t xml:space="preserve"> </w:t>
      </w:r>
      <w:r w:rsidR="00FA58B2" w:rsidRPr="00523C38">
        <w:t>However, comments were received and are addressed below.</w:t>
      </w:r>
    </w:p>
    <w:p w14:paraId="4BFEF57F" w14:textId="77777777" w:rsidR="00CC67EC" w:rsidRDefault="00CC67EC" w:rsidP="00AA2116"/>
    <w:p w14:paraId="0F1CE899" w14:textId="687670D8" w:rsidR="00CC67EC" w:rsidRPr="001062F9" w:rsidRDefault="00CC67EC" w:rsidP="00453F14">
      <w:pPr>
        <w:pStyle w:val="Heading4"/>
        <w:numPr>
          <w:ilvl w:val="3"/>
          <w:numId w:val="65"/>
        </w:numPr>
      </w:pPr>
      <w:r w:rsidRPr="001062F9">
        <w:t>Comments</w:t>
      </w:r>
    </w:p>
    <w:p w14:paraId="103C5AF7" w14:textId="1735D375" w:rsidR="00CC67EC" w:rsidRDefault="00584812" w:rsidP="00AA2116">
      <w:r>
        <w:t>PPL Electric requests that the Commission clarify: (1) the basis for this assumption; and</w:t>
      </w:r>
      <w:r w:rsidR="00761152">
        <w:t xml:space="preserve"> </w:t>
      </w:r>
      <w:r>
        <w:t>(2) whether the 10-year measure life applies to behavioral DR programs, or whether the measure</w:t>
      </w:r>
      <w:r w:rsidR="00761152">
        <w:t xml:space="preserve"> </w:t>
      </w:r>
      <w:r>
        <w:t>life for behavioral DR programs should be a one-year measure life</w:t>
      </w:r>
      <w:r w:rsidR="0082760A">
        <w:t xml:space="preserve">.  </w:t>
      </w:r>
      <w:r w:rsidR="00761152">
        <w:t>PPL Comments at 5.</w:t>
      </w:r>
    </w:p>
    <w:p w14:paraId="260BC0FD" w14:textId="77777777" w:rsidR="00E529A2" w:rsidRDefault="00E529A2" w:rsidP="00AA2116"/>
    <w:p w14:paraId="767A79B0" w14:textId="1F4F4C0E" w:rsidR="00CC67EC" w:rsidRPr="001062F9" w:rsidRDefault="00CC67EC" w:rsidP="00453F14">
      <w:pPr>
        <w:pStyle w:val="Heading4"/>
        <w:numPr>
          <w:ilvl w:val="3"/>
          <w:numId w:val="65"/>
        </w:numPr>
      </w:pPr>
      <w:r w:rsidRPr="001062F9">
        <w:lastRenderedPageBreak/>
        <w:t>Disposition</w:t>
      </w:r>
    </w:p>
    <w:p w14:paraId="576DE28A" w14:textId="4EB18F6A" w:rsidR="008C1D28" w:rsidRDefault="00761152" w:rsidP="00AA2116">
      <w:r>
        <w:t xml:space="preserve">The Commission agrees with PPL that </w:t>
      </w:r>
      <w:r w:rsidR="009A2CF3">
        <w:t xml:space="preserve">behavior-based DR programs should have a different measure life from direct load equipment. </w:t>
      </w:r>
      <w:r w:rsidR="00E97548">
        <w:t xml:space="preserve"> Regarding the measure life of direct load control equipment, we have update</w:t>
      </w:r>
      <w:r w:rsidR="00352920">
        <w:t>d</w:t>
      </w:r>
      <w:r w:rsidR="00E97548">
        <w:t xml:space="preserve"> the proposed measure life of </w:t>
      </w:r>
      <w:r w:rsidR="00213CBE">
        <w:t>ten</w:t>
      </w:r>
      <w:r w:rsidR="00E97548">
        <w:t xml:space="preserve"> years to 11 years to align with the assumed measure life of ENERGY STAR Connected Thermostats in Section 2.2.12 as we believe connected thermostats will be the most common form of residential direct load control in any future residential DR programs. </w:t>
      </w:r>
    </w:p>
    <w:p w14:paraId="0CD7AD07" w14:textId="77777777" w:rsidR="009D27C2" w:rsidRDefault="009D27C2" w:rsidP="00AA2116"/>
    <w:p w14:paraId="1AF6564D" w14:textId="77777777" w:rsidR="00715336" w:rsidRPr="003F5DA0" w:rsidRDefault="00715336" w:rsidP="00453F14">
      <w:pPr>
        <w:pStyle w:val="Heading3"/>
        <w:numPr>
          <w:ilvl w:val="2"/>
          <w:numId w:val="65"/>
        </w:numPr>
      </w:pPr>
      <w:bookmarkStart w:id="181" w:name="_Toc15657949"/>
      <w:r w:rsidRPr="003F5DA0">
        <w:t>Measure Number Changes</w:t>
      </w:r>
      <w:bookmarkEnd w:id="181"/>
    </w:p>
    <w:p w14:paraId="77597B85" w14:textId="26573BA7" w:rsidR="00715336" w:rsidRDefault="00715336" w:rsidP="00AA2116">
      <w:r>
        <w:t>The changes proposed herein will result in new measure numbers for several residential measures</w:t>
      </w:r>
      <w:r w:rsidR="00A0651F">
        <w:t xml:space="preserve">.  </w:t>
      </w:r>
      <w:r>
        <w:t>The table below shows the current measure name and number and the new measure name and number for all affected measures</w:t>
      </w:r>
      <w:r w:rsidR="00A0651F">
        <w:t xml:space="preserve">.  </w:t>
      </w:r>
      <w:r w:rsidR="00BB759A">
        <w:t xml:space="preserve">The table also shows measures that the Commission </w:t>
      </w:r>
      <w:r w:rsidR="00F0741A">
        <w:t xml:space="preserve">proposed </w:t>
      </w:r>
      <w:r w:rsidR="00BB759A">
        <w:t>removing</w:t>
      </w:r>
      <w:r w:rsidR="00DC3C4F">
        <w:t>—</w:t>
      </w:r>
      <w:r w:rsidR="00BB759A">
        <w:t>these measures are discussed in more detail later.</w:t>
      </w:r>
    </w:p>
    <w:p w14:paraId="0391075F" w14:textId="77777777" w:rsidR="00AD1671" w:rsidRDefault="00AD1671" w:rsidP="00AA2116"/>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440"/>
        <w:gridCol w:w="3240"/>
        <w:gridCol w:w="1440"/>
        <w:gridCol w:w="3240"/>
      </w:tblGrid>
      <w:tr w:rsidR="00FB1AB6" w:rsidRPr="00382A66" w14:paraId="01C4AC32" w14:textId="77777777" w:rsidTr="007F5365">
        <w:trPr>
          <w:trHeight w:val="432"/>
          <w:tblHeader/>
          <w:jc w:val="center"/>
        </w:trPr>
        <w:tc>
          <w:tcPr>
            <w:tcW w:w="1440" w:type="dxa"/>
            <w:vAlign w:val="center"/>
          </w:tcPr>
          <w:p w14:paraId="06AD2000" w14:textId="77777777" w:rsidR="00FB1AB6" w:rsidRPr="007F5365" w:rsidRDefault="00FB1AB6" w:rsidP="004D50A9">
            <w:pPr>
              <w:spacing w:line="240" w:lineRule="auto"/>
              <w:ind w:firstLine="0"/>
              <w:rPr>
                <w:b/>
                <w:bCs/>
                <w:sz w:val="22"/>
                <w:szCs w:val="22"/>
              </w:rPr>
            </w:pPr>
            <w:r w:rsidRPr="007F5365">
              <w:rPr>
                <w:b/>
                <w:bCs/>
                <w:sz w:val="22"/>
                <w:szCs w:val="22"/>
              </w:rPr>
              <w:t>Current Measure Number</w:t>
            </w:r>
          </w:p>
        </w:tc>
        <w:tc>
          <w:tcPr>
            <w:tcW w:w="3240" w:type="dxa"/>
            <w:vAlign w:val="center"/>
          </w:tcPr>
          <w:p w14:paraId="3AB15919" w14:textId="77777777" w:rsidR="00FB1AB6" w:rsidRPr="007F5365" w:rsidRDefault="00FB1AB6" w:rsidP="004D50A9">
            <w:pPr>
              <w:spacing w:line="240" w:lineRule="auto"/>
              <w:ind w:firstLine="0"/>
              <w:rPr>
                <w:b/>
                <w:bCs/>
                <w:sz w:val="22"/>
                <w:szCs w:val="22"/>
              </w:rPr>
            </w:pPr>
            <w:r w:rsidRPr="007F5365">
              <w:rPr>
                <w:b/>
                <w:bCs/>
                <w:sz w:val="22"/>
                <w:szCs w:val="22"/>
              </w:rPr>
              <w:t>Current Measure Name</w:t>
            </w:r>
          </w:p>
        </w:tc>
        <w:tc>
          <w:tcPr>
            <w:tcW w:w="1440" w:type="dxa"/>
            <w:vAlign w:val="center"/>
          </w:tcPr>
          <w:p w14:paraId="40B3D74B" w14:textId="77777777" w:rsidR="00FB1AB6" w:rsidRPr="007F5365" w:rsidRDefault="00FB1AB6" w:rsidP="004D50A9">
            <w:pPr>
              <w:spacing w:line="240" w:lineRule="auto"/>
              <w:ind w:firstLine="0"/>
              <w:rPr>
                <w:b/>
                <w:bCs/>
                <w:sz w:val="22"/>
                <w:szCs w:val="22"/>
              </w:rPr>
            </w:pPr>
            <w:r w:rsidRPr="007F5365">
              <w:rPr>
                <w:b/>
                <w:bCs/>
                <w:sz w:val="22"/>
                <w:szCs w:val="22"/>
              </w:rPr>
              <w:t>New Measure Number</w:t>
            </w:r>
          </w:p>
        </w:tc>
        <w:tc>
          <w:tcPr>
            <w:tcW w:w="3240" w:type="dxa"/>
            <w:vAlign w:val="center"/>
          </w:tcPr>
          <w:p w14:paraId="4E572F76" w14:textId="77777777" w:rsidR="00FB1AB6" w:rsidRPr="007F5365" w:rsidRDefault="00FB1AB6" w:rsidP="004D50A9">
            <w:pPr>
              <w:spacing w:line="240" w:lineRule="auto"/>
              <w:ind w:firstLine="0"/>
              <w:rPr>
                <w:b/>
                <w:bCs/>
                <w:sz w:val="22"/>
                <w:szCs w:val="22"/>
              </w:rPr>
            </w:pPr>
            <w:r w:rsidRPr="007F5365">
              <w:rPr>
                <w:b/>
                <w:bCs/>
                <w:sz w:val="22"/>
                <w:szCs w:val="22"/>
              </w:rPr>
              <w:t>New Measure Name</w:t>
            </w:r>
          </w:p>
        </w:tc>
      </w:tr>
      <w:tr w:rsidR="00FB1AB6" w:rsidRPr="00382A66" w14:paraId="2311836C" w14:textId="77777777" w:rsidTr="007F5365">
        <w:trPr>
          <w:trHeight w:val="432"/>
          <w:jc w:val="center"/>
        </w:trPr>
        <w:tc>
          <w:tcPr>
            <w:tcW w:w="1440" w:type="dxa"/>
            <w:vAlign w:val="center"/>
          </w:tcPr>
          <w:p w14:paraId="710EA3F9" w14:textId="77777777" w:rsidR="00FB1AB6" w:rsidRPr="007F5365" w:rsidRDefault="00FB1AB6" w:rsidP="004D50A9">
            <w:pPr>
              <w:spacing w:line="240" w:lineRule="auto"/>
              <w:ind w:firstLine="0"/>
              <w:rPr>
                <w:sz w:val="22"/>
                <w:szCs w:val="22"/>
              </w:rPr>
            </w:pPr>
            <w:r w:rsidRPr="007F5365">
              <w:rPr>
                <w:sz w:val="22"/>
                <w:szCs w:val="22"/>
              </w:rPr>
              <w:t>2.1.3</w:t>
            </w:r>
          </w:p>
        </w:tc>
        <w:tc>
          <w:tcPr>
            <w:tcW w:w="3240" w:type="dxa"/>
            <w:vAlign w:val="center"/>
          </w:tcPr>
          <w:p w14:paraId="59B56EEF" w14:textId="77777777" w:rsidR="00FB1AB6" w:rsidRPr="007F5365" w:rsidRDefault="00FB1AB6" w:rsidP="004D50A9">
            <w:pPr>
              <w:spacing w:line="240" w:lineRule="auto"/>
              <w:ind w:firstLine="0"/>
              <w:rPr>
                <w:sz w:val="22"/>
                <w:szCs w:val="22"/>
              </w:rPr>
            </w:pPr>
            <w:r w:rsidRPr="007F5365">
              <w:rPr>
                <w:sz w:val="22"/>
                <w:szCs w:val="22"/>
              </w:rPr>
              <w:t>Electroluminescent Nightlight</w:t>
            </w:r>
          </w:p>
        </w:tc>
        <w:tc>
          <w:tcPr>
            <w:tcW w:w="1440" w:type="dxa"/>
            <w:vAlign w:val="center"/>
          </w:tcPr>
          <w:p w14:paraId="206DB1C0" w14:textId="77777777" w:rsidR="00FB1AB6" w:rsidRPr="007F5365" w:rsidRDefault="00FB1AB6" w:rsidP="004D50A9">
            <w:pPr>
              <w:spacing w:line="240" w:lineRule="auto"/>
              <w:ind w:firstLine="0"/>
              <w:rPr>
                <w:sz w:val="22"/>
                <w:szCs w:val="22"/>
              </w:rPr>
            </w:pPr>
            <w:r w:rsidRPr="007F5365">
              <w:rPr>
                <w:sz w:val="22"/>
                <w:szCs w:val="22"/>
              </w:rPr>
              <w:t>2.1.3</w:t>
            </w:r>
          </w:p>
        </w:tc>
        <w:tc>
          <w:tcPr>
            <w:tcW w:w="3240" w:type="dxa"/>
            <w:vAlign w:val="center"/>
          </w:tcPr>
          <w:p w14:paraId="2B48CDF2" w14:textId="77777777" w:rsidR="00FB1AB6" w:rsidRPr="007F5365" w:rsidRDefault="00FB1AB6" w:rsidP="004D50A9">
            <w:pPr>
              <w:spacing w:line="240" w:lineRule="auto"/>
              <w:ind w:firstLine="0"/>
              <w:rPr>
                <w:sz w:val="22"/>
                <w:szCs w:val="22"/>
              </w:rPr>
            </w:pPr>
            <w:r w:rsidRPr="007F5365">
              <w:rPr>
                <w:sz w:val="22"/>
                <w:szCs w:val="22"/>
              </w:rPr>
              <w:t>LED and Electroluminescent Nightlights</w:t>
            </w:r>
          </w:p>
        </w:tc>
      </w:tr>
      <w:tr w:rsidR="00FB1AB6" w:rsidRPr="00382A66" w14:paraId="2EC21D95" w14:textId="77777777" w:rsidTr="007F5365">
        <w:trPr>
          <w:trHeight w:val="432"/>
          <w:jc w:val="center"/>
        </w:trPr>
        <w:tc>
          <w:tcPr>
            <w:tcW w:w="1440" w:type="dxa"/>
            <w:vAlign w:val="center"/>
          </w:tcPr>
          <w:p w14:paraId="71EB9D26" w14:textId="77777777" w:rsidR="00FB1AB6" w:rsidRPr="007F5365" w:rsidRDefault="00FB1AB6" w:rsidP="004D50A9">
            <w:pPr>
              <w:spacing w:line="240" w:lineRule="auto"/>
              <w:ind w:firstLine="0"/>
              <w:rPr>
                <w:sz w:val="22"/>
                <w:szCs w:val="22"/>
              </w:rPr>
            </w:pPr>
            <w:r w:rsidRPr="007F5365">
              <w:rPr>
                <w:sz w:val="22"/>
                <w:szCs w:val="22"/>
              </w:rPr>
              <w:t>2.1.4</w:t>
            </w:r>
          </w:p>
        </w:tc>
        <w:tc>
          <w:tcPr>
            <w:tcW w:w="3240" w:type="dxa"/>
            <w:vAlign w:val="center"/>
          </w:tcPr>
          <w:p w14:paraId="76F8AF9D" w14:textId="77777777" w:rsidR="00FB1AB6" w:rsidRPr="007F5365" w:rsidRDefault="00FB1AB6" w:rsidP="004D50A9">
            <w:pPr>
              <w:spacing w:line="240" w:lineRule="auto"/>
              <w:ind w:firstLine="0"/>
              <w:rPr>
                <w:sz w:val="22"/>
                <w:szCs w:val="22"/>
              </w:rPr>
            </w:pPr>
            <w:r w:rsidRPr="007F5365">
              <w:rPr>
                <w:sz w:val="22"/>
                <w:szCs w:val="22"/>
              </w:rPr>
              <w:t>LED Nightlight</w:t>
            </w:r>
          </w:p>
        </w:tc>
        <w:tc>
          <w:tcPr>
            <w:tcW w:w="1440" w:type="dxa"/>
            <w:vAlign w:val="center"/>
          </w:tcPr>
          <w:p w14:paraId="3D762122" w14:textId="77777777" w:rsidR="00FB1AB6" w:rsidRPr="007F5365" w:rsidRDefault="00FB1AB6" w:rsidP="004D50A9">
            <w:pPr>
              <w:spacing w:line="240" w:lineRule="auto"/>
              <w:ind w:firstLine="0"/>
              <w:rPr>
                <w:sz w:val="22"/>
                <w:szCs w:val="22"/>
              </w:rPr>
            </w:pPr>
            <w:r w:rsidRPr="007F5365">
              <w:rPr>
                <w:sz w:val="22"/>
                <w:szCs w:val="22"/>
              </w:rPr>
              <w:t>2.1.3</w:t>
            </w:r>
          </w:p>
        </w:tc>
        <w:tc>
          <w:tcPr>
            <w:tcW w:w="3240" w:type="dxa"/>
            <w:vAlign w:val="center"/>
          </w:tcPr>
          <w:p w14:paraId="77E1DC01" w14:textId="77777777" w:rsidR="00FB1AB6" w:rsidRPr="007F5365" w:rsidRDefault="00FB1AB6" w:rsidP="004D50A9">
            <w:pPr>
              <w:spacing w:line="240" w:lineRule="auto"/>
              <w:ind w:firstLine="0"/>
              <w:rPr>
                <w:sz w:val="22"/>
                <w:szCs w:val="22"/>
              </w:rPr>
            </w:pPr>
            <w:r w:rsidRPr="007F5365">
              <w:rPr>
                <w:sz w:val="22"/>
                <w:szCs w:val="22"/>
              </w:rPr>
              <w:t>LED and Electroluminescent Nightlights</w:t>
            </w:r>
          </w:p>
        </w:tc>
      </w:tr>
      <w:tr w:rsidR="00FB1AB6" w:rsidRPr="00382A66" w14:paraId="3C31BB3A" w14:textId="77777777" w:rsidTr="007F5365">
        <w:trPr>
          <w:trHeight w:val="432"/>
          <w:jc w:val="center"/>
        </w:trPr>
        <w:tc>
          <w:tcPr>
            <w:tcW w:w="1440" w:type="dxa"/>
            <w:vAlign w:val="center"/>
          </w:tcPr>
          <w:p w14:paraId="67F5A37C" w14:textId="77777777" w:rsidR="00FB1AB6" w:rsidRPr="007F5365" w:rsidRDefault="00FB1AB6" w:rsidP="004D50A9">
            <w:pPr>
              <w:spacing w:line="240" w:lineRule="auto"/>
              <w:ind w:firstLine="0"/>
              <w:rPr>
                <w:sz w:val="22"/>
                <w:szCs w:val="22"/>
              </w:rPr>
            </w:pPr>
            <w:r w:rsidRPr="007F5365">
              <w:rPr>
                <w:sz w:val="22"/>
                <w:szCs w:val="22"/>
              </w:rPr>
              <w:t>2.1.5</w:t>
            </w:r>
          </w:p>
        </w:tc>
        <w:tc>
          <w:tcPr>
            <w:tcW w:w="3240" w:type="dxa"/>
            <w:vAlign w:val="center"/>
          </w:tcPr>
          <w:p w14:paraId="558DBB64" w14:textId="77777777" w:rsidR="00FB1AB6" w:rsidRPr="007F5365" w:rsidRDefault="00FB1AB6" w:rsidP="004D50A9">
            <w:pPr>
              <w:spacing w:line="240" w:lineRule="auto"/>
              <w:ind w:firstLine="0"/>
              <w:rPr>
                <w:sz w:val="22"/>
                <w:szCs w:val="22"/>
              </w:rPr>
            </w:pPr>
            <w:r w:rsidRPr="007F5365">
              <w:rPr>
                <w:sz w:val="22"/>
                <w:szCs w:val="22"/>
              </w:rPr>
              <w:t>Holiday Lights</w:t>
            </w:r>
          </w:p>
        </w:tc>
        <w:tc>
          <w:tcPr>
            <w:tcW w:w="1440" w:type="dxa"/>
            <w:vAlign w:val="center"/>
          </w:tcPr>
          <w:p w14:paraId="395AC205" w14:textId="77777777" w:rsidR="00FB1AB6" w:rsidRPr="007F5365" w:rsidRDefault="00FB1AB6" w:rsidP="004D50A9">
            <w:pPr>
              <w:spacing w:line="240" w:lineRule="auto"/>
              <w:ind w:firstLine="0"/>
              <w:rPr>
                <w:sz w:val="22"/>
                <w:szCs w:val="22"/>
              </w:rPr>
            </w:pPr>
            <w:r w:rsidRPr="007F5365">
              <w:rPr>
                <w:sz w:val="22"/>
                <w:szCs w:val="22"/>
              </w:rPr>
              <w:t>2.1.4</w:t>
            </w:r>
          </w:p>
        </w:tc>
        <w:tc>
          <w:tcPr>
            <w:tcW w:w="3240" w:type="dxa"/>
            <w:vAlign w:val="center"/>
          </w:tcPr>
          <w:p w14:paraId="69D219B9" w14:textId="77777777" w:rsidR="00FB1AB6" w:rsidRPr="007F5365" w:rsidRDefault="00FB1AB6" w:rsidP="004D50A9">
            <w:pPr>
              <w:spacing w:line="240" w:lineRule="auto"/>
              <w:ind w:firstLine="0"/>
              <w:rPr>
                <w:sz w:val="22"/>
                <w:szCs w:val="22"/>
              </w:rPr>
            </w:pPr>
            <w:r w:rsidRPr="007F5365">
              <w:rPr>
                <w:sz w:val="22"/>
                <w:szCs w:val="22"/>
              </w:rPr>
              <w:t>Holiday Lights</w:t>
            </w:r>
          </w:p>
        </w:tc>
      </w:tr>
      <w:tr w:rsidR="00FB1AB6" w:rsidRPr="00382A66" w14:paraId="3928402A" w14:textId="77777777" w:rsidTr="007F5365">
        <w:trPr>
          <w:trHeight w:val="432"/>
          <w:jc w:val="center"/>
        </w:trPr>
        <w:tc>
          <w:tcPr>
            <w:tcW w:w="1440" w:type="dxa"/>
            <w:vAlign w:val="center"/>
          </w:tcPr>
          <w:p w14:paraId="5AE884EC" w14:textId="77777777" w:rsidR="00FB1AB6" w:rsidRPr="007F5365" w:rsidRDefault="00FB1AB6" w:rsidP="004D50A9">
            <w:pPr>
              <w:spacing w:line="240" w:lineRule="auto"/>
              <w:ind w:firstLine="0"/>
              <w:rPr>
                <w:sz w:val="22"/>
                <w:szCs w:val="22"/>
              </w:rPr>
            </w:pPr>
            <w:r w:rsidRPr="007F5365">
              <w:rPr>
                <w:sz w:val="22"/>
                <w:szCs w:val="22"/>
              </w:rPr>
              <w:t>2.2.1</w:t>
            </w:r>
          </w:p>
        </w:tc>
        <w:tc>
          <w:tcPr>
            <w:tcW w:w="3240" w:type="dxa"/>
            <w:vAlign w:val="center"/>
          </w:tcPr>
          <w:p w14:paraId="25403E4F" w14:textId="77777777" w:rsidR="00FB1AB6" w:rsidRPr="007F5365" w:rsidRDefault="00FB1AB6" w:rsidP="004D50A9">
            <w:pPr>
              <w:spacing w:line="240" w:lineRule="auto"/>
              <w:ind w:firstLine="0"/>
              <w:rPr>
                <w:sz w:val="22"/>
                <w:szCs w:val="22"/>
              </w:rPr>
            </w:pPr>
            <w:r w:rsidRPr="007F5365">
              <w:rPr>
                <w:sz w:val="22"/>
                <w:szCs w:val="22"/>
              </w:rPr>
              <w:t>Electric HVAC</w:t>
            </w:r>
          </w:p>
        </w:tc>
        <w:tc>
          <w:tcPr>
            <w:tcW w:w="1440" w:type="dxa"/>
            <w:vAlign w:val="center"/>
          </w:tcPr>
          <w:p w14:paraId="2CA317BF" w14:textId="77777777" w:rsidR="00FB1AB6" w:rsidRPr="007F5365" w:rsidRDefault="00FB1AB6" w:rsidP="004D50A9">
            <w:pPr>
              <w:spacing w:line="240" w:lineRule="auto"/>
              <w:ind w:firstLine="0"/>
              <w:rPr>
                <w:sz w:val="22"/>
                <w:szCs w:val="22"/>
              </w:rPr>
            </w:pPr>
            <w:r w:rsidRPr="007F5365">
              <w:rPr>
                <w:sz w:val="22"/>
                <w:szCs w:val="22"/>
              </w:rPr>
              <w:t>2.2.1</w:t>
            </w:r>
          </w:p>
        </w:tc>
        <w:tc>
          <w:tcPr>
            <w:tcW w:w="3240" w:type="dxa"/>
            <w:vAlign w:val="center"/>
          </w:tcPr>
          <w:p w14:paraId="07D2B2F6" w14:textId="5783FC43" w:rsidR="00FB1AB6" w:rsidRPr="007F5365" w:rsidRDefault="00FB1AB6" w:rsidP="004D50A9">
            <w:pPr>
              <w:spacing w:line="240" w:lineRule="auto"/>
              <w:ind w:firstLine="0"/>
              <w:rPr>
                <w:sz w:val="22"/>
                <w:szCs w:val="22"/>
              </w:rPr>
            </w:pPr>
            <w:r w:rsidRPr="007F5365">
              <w:rPr>
                <w:sz w:val="22"/>
                <w:szCs w:val="22"/>
              </w:rPr>
              <w:t>High</w:t>
            </w:r>
            <w:r w:rsidR="006A3152" w:rsidRPr="007F5365">
              <w:rPr>
                <w:sz w:val="22"/>
                <w:szCs w:val="22"/>
              </w:rPr>
              <w:t>-e</w:t>
            </w:r>
            <w:r w:rsidRPr="007F5365">
              <w:rPr>
                <w:sz w:val="22"/>
                <w:szCs w:val="22"/>
              </w:rPr>
              <w:t>fficiency Equipment: ASHP, CAC, GSHP, PTAC, PTHP</w:t>
            </w:r>
          </w:p>
        </w:tc>
      </w:tr>
      <w:tr w:rsidR="00FB1AB6" w:rsidRPr="00382A66" w14:paraId="3DFD9D7B" w14:textId="77777777" w:rsidTr="007F5365">
        <w:trPr>
          <w:trHeight w:val="432"/>
          <w:jc w:val="center"/>
        </w:trPr>
        <w:tc>
          <w:tcPr>
            <w:tcW w:w="1440" w:type="dxa"/>
            <w:vAlign w:val="center"/>
          </w:tcPr>
          <w:p w14:paraId="583258F5" w14:textId="77777777" w:rsidR="00FB1AB6" w:rsidRPr="007F5365" w:rsidRDefault="00FB1AB6" w:rsidP="004D50A9">
            <w:pPr>
              <w:spacing w:line="240" w:lineRule="auto"/>
              <w:ind w:firstLine="0"/>
              <w:rPr>
                <w:sz w:val="22"/>
                <w:szCs w:val="22"/>
              </w:rPr>
            </w:pPr>
            <w:r w:rsidRPr="007F5365">
              <w:rPr>
                <w:sz w:val="22"/>
                <w:szCs w:val="22"/>
              </w:rPr>
              <w:t>2.2.2</w:t>
            </w:r>
          </w:p>
        </w:tc>
        <w:tc>
          <w:tcPr>
            <w:tcW w:w="3240" w:type="dxa"/>
            <w:vAlign w:val="center"/>
          </w:tcPr>
          <w:p w14:paraId="1E8B96B5" w14:textId="6A34AB47" w:rsidR="00FB1AB6" w:rsidRPr="007F5365" w:rsidRDefault="00FB1AB6" w:rsidP="004D50A9">
            <w:pPr>
              <w:spacing w:line="240" w:lineRule="auto"/>
              <w:ind w:firstLine="0"/>
              <w:rPr>
                <w:sz w:val="22"/>
                <w:szCs w:val="22"/>
              </w:rPr>
            </w:pPr>
            <w:r w:rsidRPr="007F5365">
              <w:rPr>
                <w:sz w:val="22"/>
                <w:szCs w:val="22"/>
              </w:rPr>
              <w:t>Fuel Switching: Electric Heat to Gas</w:t>
            </w:r>
            <w:r w:rsidR="00BA381E" w:rsidRPr="007F5365">
              <w:rPr>
                <w:sz w:val="22"/>
                <w:szCs w:val="22"/>
              </w:rPr>
              <w:t xml:space="preserve"> </w:t>
            </w:r>
            <w:r w:rsidRPr="007F5365">
              <w:rPr>
                <w:sz w:val="22"/>
                <w:szCs w:val="22"/>
              </w:rPr>
              <w:t>/</w:t>
            </w:r>
            <w:r w:rsidR="00BA381E" w:rsidRPr="007F5365">
              <w:rPr>
                <w:sz w:val="22"/>
                <w:szCs w:val="22"/>
              </w:rPr>
              <w:t xml:space="preserve"> </w:t>
            </w:r>
            <w:r w:rsidRPr="007F5365">
              <w:rPr>
                <w:sz w:val="22"/>
                <w:szCs w:val="22"/>
              </w:rPr>
              <w:t>Propane</w:t>
            </w:r>
            <w:r w:rsidR="00BA381E" w:rsidRPr="007F5365">
              <w:rPr>
                <w:sz w:val="22"/>
                <w:szCs w:val="22"/>
              </w:rPr>
              <w:t xml:space="preserve"> </w:t>
            </w:r>
            <w:r w:rsidRPr="007F5365">
              <w:rPr>
                <w:sz w:val="22"/>
                <w:szCs w:val="22"/>
              </w:rPr>
              <w:t>/</w:t>
            </w:r>
            <w:r w:rsidR="00BA381E" w:rsidRPr="007F5365">
              <w:rPr>
                <w:sz w:val="22"/>
                <w:szCs w:val="22"/>
              </w:rPr>
              <w:t xml:space="preserve"> </w:t>
            </w:r>
            <w:r w:rsidRPr="007F5365">
              <w:rPr>
                <w:sz w:val="22"/>
                <w:szCs w:val="22"/>
              </w:rPr>
              <w:t>Oil Heat</w:t>
            </w:r>
          </w:p>
        </w:tc>
        <w:tc>
          <w:tcPr>
            <w:tcW w:w="1440" w:type="dxa"/>
            <w:vAlign w:val="center"/>
          </w:tcPr>
          <w:p w14:paraId="6C216037" w14:textId="2B6AD310" w:rsidR="00FB1AB6" w:rsidRPr="007F5365" w:rsidRDefault="00FB1AB6" w:rsidP="004D50A9">
            <w:pPr>
              <w:spacing w:line="240" w:lineRule="auto"/>
              <w:ind w:firstLine="0"/>
              <w:rPr>
                <w:sz w:val="22"/>
                <w:szCs w:val="22"/>
              </w:rPr>
            </w:pPr>
            <w:r w:rsidRPr="007F5365">
              <w:rPr>
                <w:sz w:val="22"/>
                <w:szCs w:val="22"/>
              </w:rPr>
              <w:t>2.2.</w:t>
            </w:r>
            <w:r w:rsidR="00D36844" w:rsidRPr="007F5365">
              <w:rPr>
                <w:sz w:val="22"/>
                <w:szCs w:val="22"/>
              </w:rPr>
              <w:t>6</w:t>
            </w:r>
          </w:p>
        </w:tc>
        <w:tc>
          <w:tcPr>
            <w:tcW w:w="3240" w:type="dxa"/>
            <w:vAlign w:val="center"/>
          </w:tcPr>
          <w:p w14:paraId="5774FC3D" w14:textId="1288E07F" w:rsidR="00FB1AB6" w:rsidRPr="007F5365" w:rsidRDefault="00FB1AB6" w:rsidP="004D50A9">
            <w:pPr>
              <w:spacing w:line="240" w:lineRule="auto"/>
              <w:ind w:firstLine="0"/>
              <w:rPr>
                <w:sz w:val="22"/>
                <w:szCs w:val="22"/>
              </w:rPr>
            </w:pPr>
            <w:r w:rsidRPr="007F5365">
              <w:rPr>
                <w:sz w:val="22"/>
                <w:szCs w:val="22"/>
              </w:rPr>
              <w:t>Fuel Switching: Electric Heat to Gas</w:t>
            </w:r>
            <w:r w:rsidR="006A3152" w:rsidRPr="007F5365">
              <w:rPr>
                <w:sz w:val="22"/>
                <w:szCs w:val="22"/>
              </w:rPr>
              <w:t xml:space="preserve"> </w:t>
            </w:r>
            <w:r w:rsidRPr="007F5365">
              <w:rPr>
                <w:sz w:val="22"/>
                <w:szCs w:val="22"/>
              </w:rPr>
              <w:t>/</w:t>
            </w:r>
            <w:r w:rsidR="006A3152" w:rsidRPr="007F5365">
              <w:rPr>
                <w:sz w:val="22"/>
                <w:szCs w:val="22"/>
              </w:rPr>
              <w:t xml:space="preserve"> </w:t>
            </w:r>
            <w:r w:rsidRPr="007F5365">
              <w:rPr>
                <w:sz w:val="22"/>
                <w:szCs w:val="22"/>
              </w:rPr>
              <w:t>Propane</w:t>
            </w:r>
            <w:r w:rsidR="006A3152" w:rsidRPr="007F5365">
              <w:rPr>
                <w:sz w:val="22"/>
                <w:szCs w:val="22"/>
              </w:rPr>
              <w:t xml:space="preserve"> </w:t>
            </w:r>
            <w:r w:rsidRPr="007F5365">
              <w:rPr>
                <w:sz w:val="22"/>
                <w:szCs w:val="22"/>
              </w:rPr>
              <w:t>/</w:t>
            </w:r>
            <w:r w:rsidR="006A3152" w:rsidRPr="007F5365">
              <w:rPr>
                <w:sz w:val="22"/>
                <w:szCs w:val="22"/>
              </w:rPr>
              <w:t xml:space="preserve"> </w:t>
            </w:r>
            <w:r w:rsidRPr="007F5365">
              <w:rPr>
                <w:sz w:val="22"/>
                <w:szCs w:val="22"/>
              </w:rPr>
              <w:t>Oil Heat</w:t>
            </w:r>
          </w:p>
        </w:tc>
      </w:tr>
      <w:tr w:rsidR="00FB1AB6" w:rsidRPr="00382A66" w14:paraId="4648AAAE" w14:textId="77777777" w:rsidTr="007F5365">
        <w:trPr>
          <w:trHeight w:val="432"/>
          <w:jc w:val="center"/>
        </w:trPr>
        <w:tc>
          <w:tcPr>
            <w:tcW w:w="1440" w:type="dxa"/>
            <w:vAlign w:val="center"/>
          </w:tcPr>
          <w:p w14:paraId="458F520C" w14:textId="77777777" w:rsidR="00FB1AB6" w:rsidRPr="007F5365" w:rsidRDefault="00FB1AB6" w:rsidP="004D50A9">
            <w:pPr>
              <w:spacing w:line="240" w:lineRule="auto"/>
              <w:ind w:firstLine="0"/>
              <w:rPr>
                <w:sz w:val="22"/>
                <w:szCs w:val="22"/>
              </w:rPr>
            </w:pPr>
            <w:r w:rsidRPr="007F5365">
              <w:rPr>
                <w:sz w:val="22"/>
                <w:szCs w:val="22"/>
              </w:rPr>
              <w:t>2.2.3</w:t>
            </w:r>
          </w:p>
        </w:tc>
        <w:tc>
          <w:tcPr>
            <w:tcW w:w="3240" w:type="dxa"/>
            <w:vAlign w:val="center"/>
          </w:tcPr>
          <w:p w14:paraId="264B7273" w14:textId="7D717DBD" w:rsidR="00FB1AB6" w:rsidRPr="007F5365" w:rsidRDefault="00FB1AB6" w:rsidP="004D50A9">
            <w:pPr>
              <w:spacing w:line="240" w:lineRule="auto"/>
              <w:ind w:firstLine="0"/>
              <w:rPr>
                <w:sz w:val="22"/>
                <w:szCs w:val="22"/>
              </w:rPr>
            </w:pPr>
            <w:r w:rsidRPr="007F5365">
              <w:rPr>
                <w:sz w:val="22"/>
                <w:szCs w:val="22"/>
              </w:rPr>
              <w:t>Ductless Mini-</w:t>
            </w:r>
            <w:r w:rsidR="006A3152" w:rsidRPr="007F5365">
              <w:rPr>
                <w:sz w:val="22"/>
                <w:szCs w:val="22"/>
              </w:rPr>
              <w:t>s</w:t>
            </w:r>
            <w:r w:rsidRPr="007F5365">
              <w:rPr>
                <w:sz w:val="22"/>
                <w:szCs w:val="22"/>
              </w:rPr>
              <w:t>plit Heat Pumps</w:t>
            </w:r>
          </w:p>
        </w:tc>
        <w:tc>
          <w:tcPr>
            <w:tcW w:w="1440" w:type="dxa"/>
            <w:vAlign w:val="center"/>
          </w:tcPr>
          <w:p w14:paraId="37726252" w14:textId="77777777" w:rsidR="00FB1AB6" w:rsidRPr="007F5365" w:rsidRDefault="00FB1AB6" w:rsidP="004D50A9">
            <w:pPr>
              <w:spacing w:line="240" w:lineRule="auto"/>
              <w:ind w:firstLine="0"/>
              <w:rPr>
                <w:sz w:val="22"/>
                <w:szCs w:val="22"/>
              </w:rPr>
            </w:pPr>
            <w:r w:rsidRPr="007F5365">
              <w:rPr>
                <w:sz w:val="22"/>
                <w:szCs w:val="22"/>
              </w:rPr>
              <w:t>2.2.2</w:t>
            </w:r>
          </w:p>
        </w:tc>
        <w:tc>
          <w:tcPr>
            <w:tcW w:w="3240" w:type="dxa"/>
            <w:vAlign w:val="center"/>
          </w:tcPr>
          <w:p w14:paraId="3A32B4A3" w14:textId="05F1AEFB" w:rsidR="00FB1AB6" w:rsidRPr="007F5365" w:rsidRDefault="00FB1AB6" w:rsidP="004D50A9">
            <w:pPr>
              <w:spacing w:line="240" w:lineRule="auto"/>
              <w:ind w:firstLine="0"/>
              <w:rPr>
                <w:sz w:val="22"/>
                <w:szCs w:val="22"/>
              </w:rPr>
            </w:pPr>
            <w:r w:rsidRPr="007F5365">
              <w:rPr>
                <w:sz w:val="22"/>
                <w:szCs w:val="22"/>
              </w:rPr>
              <w:t>High</w:t>
            </w:r>
            <w:r w:rsidR="006A3152" w:rsidRPr="007F5365">
              <w:rPr>
                <w:sz w:val="22"/>
                <w:szCs w:val="22"/>
              </w:rPr>
              <w:t>-e</w:t>
            </w:r>
            <w:r w:rsidRPr="007F5365">
              <w:rPr>
                <w:sz w:val="22"/>
                <w:szCs w:val="22"/>
              </w:rPr>
              <w:t>fficiency Equipment: Ductless Heat Pumps with Midstream Delivery Option</w:t>
            </w:r>
          </w:p>
        </w:tc>
      </w:tr>
      <w:tr w:rsidR="00FB1AB6" w:rsidRPr="00382A66" w14:paraId="33C54A6F" w14:textId="77777777" w:rsidTr="007F5365">
        <w:trPr>
          <w:trHeight w:val="432"/>
          <w:jc w:val="center"/>
        </w:trPr>
        <w:tc>
          <w:tcPr>
            <w:tcW w:w="1440" w:type="dxa"/>
            <w:vAlign w:val="center"/>
          </w:tcPr>
          <w:p w14:paraId="6CC8AA67" w14:textId="77777777" w:rsidR="00FB1AB6" w:rsidRPr="007F5365" w:rsidRDefault="00FB1AB6" w:rsidP="004D50A9">
            <w:pPr>
              <w:spacing w:line="240" w:lineRule="auto"/>
              <w:ind w:firstLine="0"/>
              <w:rPr>
                <w:sz w:val="22"/>
                <w:szCs w:val="22"/>
              </w:rPr>
            </w:pPr>
            <w:r w:rsidRPr="007F5365">
              <w:rPr>
                <w:sz w:val="22"/>
                <w:szCs w:val="22"/>
              </w:rPr>
              <w:t>2.2.4</w:t>
            </w:r>
          </w:p>
        </w:tc>
        <w:tc>
          <w:tcPr>
            <w:tcW w:w="3240" w:type="dxa"/>
            <w:vAlign w:val="center"/>
          </w:tcPr>
          <w:p w14:paraId="693E1F69" w14:textId="77777777" w:rsidR="00FB1AB6" w:rsidRPr="007F5365" w:rsidRDefault="00FB1AB6" w:rsidP="004D50A9">
            <w:pPr>
              <w:spacing w:line="240" w:lineRule="auto"/>
              <w:ind w:firstLine="0"/>
              <w:rPr>
                <w:sz w:val="22"/>
                <w:szCs w:val="22"/>
              </w:rPr>
            </w:pPr>
            <w:r w:rsidRPr="007F5365">
              <w:rPr>
                <w:sz w:val="22"/>
                <w:szCs w:val="22"/>
              </w:rPr>
              <w:t>ENERGY STAR Room Air Conditioners</w:t>
            </w:r>
          </w:p>
        </w:tc>
        <w:tc>
          <w:tcPr>
            <w:tcW w:w="1440" w:type="dxa"/>
            <w:vAlign w:val="center"/>
          </w:tcPr>
          <w:p w14:paraId="0F47F1DD" w14:textId="14E9E3C2" w:rsidR="00FB1AB6" w:rsidRPr="007F5365" w:rsidRDefault="00FB1AB6" w:rsidP="004D50A9">
            <w:pPr>
              <w:spacing w:line="240" w:lineRule="auto"/>
              <w:ind w:firstLine="0"/>
              <w:rPr>
                <w:sz w:val="22"/>
                <w:szCs w:val="22"/>
              </w:rPr>
            </w:pPr>
            <w:r w:rsidRPr="007F5365">
              <w:rPr>
                <w:sz w:val="22"/>
                <w:szCs w:val="22"/>
              </w:rPr>
              <w:t>2.2.</w:t>
            </w:r>
            <w:r w:rsidR="00D36844" w:rsidRPr="007F5365">
              <w:rPr>
                <w:sz w:val="22"/>
                <w:szCs w:val="22"/>
              </w:rPr>
              <w:t>7</w:t>
            </w:r>
          </w:p>
        </w:tc>
        <w:tc>
          <w:tcPr>
            <w:tcW w:w="3240" w:type="dxa"/>
            <w:vAlign w:val="center"/>
          </w:tcPr>
          <w:p w14:paraId="56166248" w14:textId="77777777" w:rsidR="00FB1AB6" w:rsidRPr="007F5365" w:rsidRDefault="00FB1AB6" w:rsidP="004D50A9">
            <w:pPr>
              <w:spacing w:line="240" w:lineRule="auto"/>
              <w:ind w:firstLine="0"/>
              <w:rPr>
                <w:sz w:val="22"/>
                <w:szCs w:val="22"/>
              </w:rPr>
            </w:pPr>
            <w:r w:rsidRPr="007F5365">
              <w:rPr>
                <w:sz w:val="22"/>
                <w:szCs w:val="22"/>
              </w:rPr>
              <w:t>ENERGY STAR Room Air Conditioners</w:t>
            </w:r>
          </w:p>
        </w:tc>
      </w:tr>
      <w:tr w:rsidR="00FB1AB6" w:rsidRPr="00382A66" w14:paraId="791F008B" w14:textId="77777777" w:rsidTr="007F5365">
        <w:trPr>
          <w:trHeight w:val="432"/>
          <w:jc w:val="center"/>
        </w:trPr>
        <w:tc>
          <w:tcPr>
            <w:tcW w:w="1440" w:type="dxa"/>
            <w:vAlign w:val="center"/>
          </w:tcPr>
          <w:p w14:paraId="32C55BD7" w14:textId="77777777" w:rsidR="00FB1AB6" w:rsidRPr="007F5365" w:rsidRDefault="00FB1AB6" w:rsidP="004D50A9">
            <w:pPr>
              <w:spacing w:line="240" w:lineRule="auto"/>
              <w:ind w:firstLine="0"/>
              <w:rPr>
                <w:sz w:val="22"/>
                <w:szCs w:val="22"/>
              </w:rPr>
            </w:pPr>
            <w:r w:rsidRPr="007F5365">
              <w:rPr>
                <w:sz w:val="22"/>
                <w:szCs w:val="22"/>
              </w:rPr>
              <w:t>2.2.5</w:t>
            </w:r>
          </w:p>
        </w:tc>
        <w:tc>
          <w:tcPr>
            <w:tcW w:w="3240" w:type="dxa"/>
            <w:vAlign w:val="center"/>
          </w:tcPr>
          <w:p w14:paraId="586126F0" w14:textId="77777777" w:rsidR="00FB1AB6" w:rsidRPr="007F5365" w:rsidRDefault="00FB1AB6" w:rsidP="004D50A9">
            <w:pPr>
              <w:spacing w:line="240" w:lineRule="auto"/>
              <w:ind w:firstLine="0"/>
              <w:rPr>
                <w:sz w:val="22"/>
                <w:szCs w:val="22"/>
              </w:rPr>
            </w:pPr>
            <w:r w:rsidRPr="007F5365">
              <w:rPr>
                <w:sz w:val="22"/>
                <w:szCs w:val="22"/>
              </w:rPr>
              <w:t>Room AC (RAC) Retirement</w:t>
            </w:r>
          </w:p>
        </w:tc>
        <w:tc>
          <w:tcPr>
            <w:tcW w:w="1440" w:type="dxa"/>
            <w:vAlign w:val="center"/>
          </w:tcPr>
          <w:p w14:paraId="221FAB3E" w14:textId="20EA78EB" w:rsidR="00FB1AB6" w:rsidRPr="007F5365" w:rsidRDefault="00FB1AB6" w:rsidP="004D50A9">
            <w:pPr>
              <w:spacing w:line="240" w:lineRule="auto"/>
              <w:ind w:firstLine="0"/>
              <w:rPr>
                <w:sz w:val="22"/>
                <w:szCs w:val="22"/>
              </w:rPr>
            </w:pPr>
            <w:r w:rsidRPr="007F5365">
              <w:rPr>
                <w:sz w:val="22"/>
                <w:szCs w:val="22"/>
              </w:rPr>
              <w:t>2.2.</w:t>
            </w:r>
            <w:r w:rsidR="00D36844" w:rsidRPr="007F5365">
              <w:rPr>
                <w:sz w:val="22"/>
                <w:szCs w:val="22"/>
              </w:rPr>
              <w:t>8</w:t>
            </w:r>
          </w:p>
        </w:tc>
        <w:tc>
          <w:tcPr>
            <w:tcW w:w="3240" w:type="dxa"/>
            <w:vAlign w:val="center"/>
          </w:tcPr>
          <w:p w14:paraId="33F92C23" w14:textId="77777777" w:rsidR="00FB1AB6" w:rsidRPr="007F5365" w:rsidRDefault="00FB1AB6" w:rsidP="004D50A9">
            <w:pPr>
              <w:spacing w:line="240" w:lineRule="auto"/>
              <w:ind w:firstLine="0"/>
              <w:rPr>
                <w:sz w:val="22"/>
                <w:szCs w:val="22"/>
              </w:rPr>
            </w:pPr>
            <w:r w:rsidRPr="007F5365">
              <w:rPr>
                <w:sz w:val="22"/>
                <w:szCs w:val="22"/>
              </w:rPr>
              <w:t>Room AC (RAC) Retirement</w:t>
            </w:r>
          </w:p>
        </w:tc>
      </w:tr>
      <w:tr w:rsidR="00FB1AB6" w:rsidRPr="00382A66" w14:paraId="59688C64" w14:textId="77777777" w:rsidTr="007F5365">
        <w:trPr>
          <w:trHeight w:val="432"/>
          <w:jc w:val="center"/>
        </w:trPr>
        <w:tc>
          <w:tcPr>
            <w:tcW w:w="1440" w:type="dxa"/>
            <w:vAlign w:val="center"/>
          </w:tcPr>
          <w:p w14:paraId="3564DFCA" w14:textId="77777777" w:rsidR="00FB1AB6" w:rsidRPr="007F5365" w:rsidRDefault="00FB1AB6" w:rsidP="004D50A9">
            <w:pPr>
              <w:spacing w:line="240" w:lineRule="auto"/>
              <w:ind w:firstLine="0"/>
              <w:rPr>
                <w:sz w:val="22"/>
                <w:szCs w:val="22"/>
              </w:rPr>
            </w:pPr>
            <w:r w:rsidRPr="007F5365">
              <w:rPr>
                <w:sz w:val="22"/>
                <w:szCs w:val="22"/>
              </w:rPr>
              <w:t>2.2.6</w:t>
            </w:r>
          </w:p>
        </w:tc>
        <w:tc>
          <w:tcPr>
            <w:tcW w:w="3240" w:type="dxa"/>
            <w:vAlign w:val="center"/>
          </w:tcPr>
          <w:p w14:paraId="79EA15A1" w14:textId="77777777" w:rsidR="00FB1AB6" w:rsidRPr="007F5365" w:rsidRDefault="00FB1AB6" w:rsidP="004D50A9">
            <w:pPr>
              <w:spacing w:line="240" w:lineRule="auto"/>
              <w:ind w:firstLine="0"/>
              <w:rPr>
                <w:sz w:val="22"/>
                <w:szCs w:val="22"/>
              </w:rPr>
            </w:pPr>
            <w:r w:rsidRPr="007F5365">
              <w:rPr>
                <w:sz w:val="22"/>
                <w:szCs w:val="22"/>
              </w:rPr>
              <w:t>Duct Sealing</w:t>
            </w:r>
          </w:p>
        </w:tc>
        <w:tc>
          <w:tcPr>
            <w:tcW w:w="1440" w:type="dxa"/>
            <w:vAlign w:val="center"/>
          </w:tcPr>
          <w:p w14:paraId="244CCC1C" w14:textId="7E4A41A4" w:rsidR="00FB1AB6" w:rsidRPr="007F5365" w:rsidRDefault="00FB1AB6" w:rsidP="004D50A9">
            <w:pPr>
              <w:spacing w:line="240" w:lineRule="auto"/>
              <w:ind w:firstLine="0"/>
              <w:rPr>
                <w:sz w:val="22"/>
                <w:szCs w:val="22"/>
              </w:rPr>
            </w:pPr>
            <w:r w:rsidRPr="007F5365">
              <w:rPr>
                <w:sz w:val="22"/>
                <w:szCs w:val="22"/>
              </w:rPr>
              <w:t>2.2.</w:t>
            </w:r>
            <w:r w:rsidR="00D36844" w:rsidRPr="007F5365">
              <w:rPr>
                <w:sz w:val="22"/>
                <w:szCs w:val="22"/>
              </w:rPr>
              <w:t>9</w:t>
            </w:r>
          </w:p>
        </w:tc>
        <w:tc>
          <w:tcPr>
            <w:tcW w:w="3240" w:type="dxa"/>
            <w:vAlign w:val="center"/>
          </w:tcPr>
          <w:p w14:paraId="313F0326" w14:textId="77777777" w:rsidR="00FB1AB6" w:rsidRPr="007F5365" w:rsidRDefault="00FB1AB6" w:rsidP="004D50A9">
            <w:pPr>
              <w:spacing w:line="240" w:lineRule="auto"/>
              <w:ind w:firstLine="0"/>
              <w:rPr>
                <w:sz w:val="22"/>
                <w:szCs w:val="22"/>
              </w:rPr>
            </w:pPr>
            <w:r w:rsidRPr="007F5365">
              <w:rPr>
                <w:sz w:val="22"/>
                <w:szCs w:val="22"/>
              </w:rPr>
              <w:t>Duct Sealing and Insulation</w:t>
            </w:r>
          </w:p>
        </w:tc>
      </w:tr>
      <w:tr w:rsidR="00FB1AB6" w:rsidRPr="00382A66" w14:paraId="6D30F46A" w14:textId="77777777" w:rsidTr="007F5365">
        <w:trPr>
          <w:trHeight w:val="432"/>
          <w:jc w:val="center"/>
        </w:trPr>
        <w:tc>
          <w:tcPr>
            <w:tcW w:w="1440" w:type="dxa"/>
            <w:vAlign w:val="center"/>
          </w:tcPr>
          <w:p w14:paraId="1ADEAC07" w14:textId="77777777" w:rsidR="00FB1AB6" w:rsidRPr="007F5365" w:rsidRDefault="00FB1AB6" w:rsidP="004D50A9">
            <w:pPr>
              <w:spacing w:line="240" w:lineRule="auto"/>
              <w:ind w:firstLine="0"/>
              <w:rPr>
                <w:sz w:val="22"/>
                <w:szCs w:val="22"/>
              </w:rPr>
            </w:pPr>
            <w:r w:rsidRPr="007F5365">
              <w:rPr>
                <w:sz w:val="22"/>
                <w:szCs w:val="22"/>
              </w:rPr>
              <w:lastRenderedPageBreak/>
              <w:t>2.2.7</w:t>
            </w:r>
          </w:p>
        </w:tc>
        <w:tc>
          <w:tcPr>
            <w:tcW w:w="3240" w:type="dxa"/>
            <w:vAlign w:val="center"/>
          </w:tcPr>
          <w:p w14:paraId="6B7A37E5" w14:textId="77777777" w:rsidR="00FB1AB6" w:rsidRPr="007F5365" w:rsidRDefault="00FB1AB6" w:rsidP="004D50A9">
            <w:pPr>
              <w:spacing w:line="240" w:lineRule="auto"/>
              <w:ind w:firstLine="0"/>
              <w:rPr>
                <w:sz w:val="22"/>
                <w:szCs w:val="22"/>
              </w:rPr>
            </w:pPr>
            <w:r w:rsidRPr="007F5365">
              <w:rPr>
                <w:sz w:val="22"/>
                <w:szCs w:val="22"/>
              </w:rPr>
              <w:t>Furnace Whistle</w:t>
            </w:r>
          </w:p>
        </w:tc>
        <w:tc>
          <w:tcPr>
            <w:tcW w:w="1440" w:type="dxa"/>
            <w:vAlign w:val="center"/>
          </w:tcPr>
          <w:p w14:paraId="4ABF449A" w14:textId="0318AF6A" w:rsidR="00FB1AB6" w:rsidRPr="007F5365" w:rsidRDefault="00FB1AB6" w:rsidP="004D50A9">
            <w:pPr>
              <w:spacing w:line="240" w:lineRule="auto"/>
              <w:ind w:firstLine="0"/>
              <w:rPr>
                <w:sz w:val="22"/>
                <w:szCs w:val="22"/>
              </w:rPr>
            </w:pPr>
            <w:r w:rsidRPr="007F5365">
              <w:rPr>
                <w:sz w:val="22"/>
                <w:szCs w:val="22"/>
              </w:rPr>
              <w:t>2.2.1</w:t>
            </w:r>
            <w:r w:rsidR="00D36844" w:rsidRPr="007F5365">
              <w:rPr>
                <w:sz w:val="22"/>
                <w:szCs w:val="22"/>
              </w:rPr>
              <w:t>0</w:t>
            </w:r>
          </w:p>
        </w:tc>
        <w:tc>
          <w:tcPr>
            <w:tcW w:w="3240" w:type="dxa"/>
            <w:vAlign w:val="center"/>
          </w:tcPr>
          <w:p w14:paraId="26B79DE4" w14:textId="77777777" w:rsidR="00FB1AB6" w:rsidRPr="007F5365" w:rsidRDefault="00FB1AB6" w:rsidP="004D50A9">
            <w:pPr>
              <w:spacing w:line="240" w:lineRule="auto"/>
              <w:ind w:firstLine="0"/>
              <w:rPr>
                <w:sz w:val="22"/>
                <w:szCs w:val="22"/>
              </w:rPr>
            </w:pPr>
            <w:r w:rsidRPr="007F5365">
              <w:rPr>
                <w:sz w:val="22"/>
                <w:szCs w:val="22"/>
              </w:rPr>
              <w:t>Air Handler Filter Whistle</w:t>
            </w:r>
          </w:p>
        </w:tc>
      </w:tr>
      <w:tr w:rsidR="00FB1AB6" w:rsidRPr="00382A66" w14:paraId="63B76D0B" w14:textId="77777777" w:rsidTr="007F5365">
        <w:trPr>
          <w:trHeight w:val="432"/>
          <w:jc w:val="center"/>
        </w:trPr>
        <w:tc>
          <w:tcPr>
            <w:tcW w:w="1440" w:type="dxa"/>
            <w:vAlign w:val="center"/>
          </w:tcPr>
          <w:p w14:paraId="0A1D7661" w14:textId="77777777" w:rsidR="00FB1AB6" w:rsidRPr="007F5365" w:rsidRDefault="00FB1AB6" w:rsidP="004D50A9">
            <w:pPr>
              <w:spacing w:line="240" w:lineRule="auto"/>
              <w:ind w:firstLine="0"/>
              <w:rPr>
                <w:sz w:val="22"/>
                <w:szCs w:val="22"/>
              </w:rPr>
            </w:pPr>
            <w:r w:rsidRPr="007F5365">
              <w:rPr>
                <w:sz w:val="22"/>
                <w:szCs w:val="22"/>
              </w:rPr>
              <w:t>2.2.8</w:t>
            </w:r>
          </w:p>
        </w:tc>
        <w:tc>
          <w:tcPr>
            <w:tcW w:w="3240" w:type="dxa"/>
            <w:vAlign w:val="center"/>
          </w:tcPr>
          <w:p w14:paraId="2753220F" w14:textId="77777777" w:rsidR="00FB1AB6" w:rsidRPr="007F5365" w:rsidRDefault="00FB1AB6" w:rsidP="004D50A9">
            <w:pPr>
              <w:spacing w:line="240" w:lineRule="auto"/>
              <w:ind w:firstLine="0"/>
              <w:rPr>
                <w:sz w:val="22"/>
                <w:szCs w:val="22"/>
              </w:rPr>
            </w:pPr>
            <w:r w:rsidRPr="007F5365">
              <w:rPr>
                <w:sz w:val="22"/>
                <w:szCs w:val="22"/>
              </w:rPr>
              <w:t>Programmable Thermostat</w:t>
            </w:r>
          </w:p>
        </w:tc>
        <w:tc>
          <w:tcPr>
            <w:tcW w:w="1440" w:type="dxa"/>
            <w:vAlign w:val="center"/>
          </w:tcPr>
          <w:p w14:paraId="3B4E637B" w14:textId="77777777" w:rsidR="00FB1AB6" w:rsidRPr="007F5365" w:rsidRDefault="00FB1AB6" w:rsidP="004D50A9">
            <w:pPr>
              <w:spacing w:line="240" w:lineRule="auto"/>
              <w:ind w:firstLine="0"/>
              <w:rPr>
                <w:sz w:val="22"/>
                <w:szCs w:val="22"/>
              </w:rPr>
            </w:pPr>
            <w:r w:rsidRPr="007F5365">
              <w:rPr>
                <w:sz w:val="22"/>
                <w:szCs w:val="22"/>
              </w:rPr>
              <w:t>-</w:t>
            </w:r>
          </w:p>
        </w:tc>
        <w:tc>
          <w:tcPr>
            <w:tcW w:w="3240" w:type="dxa"/>
            <w:vAlign w:val="center"/>
          </w:tcPr>
          <w:p w14:paraId="494B2AD8" w14:textId="77777777" w:rsidR="00FB1AB6" w:rsidRPr="007F5365" w:rsidRDefault="00FB1AB6" w:rsidP="004D50A9">
            <w:pPr>
              <w:spacing w:line="240" w:lineRule="auto"/>
              <w:ind w:firstLine="0"/>
              <w:rPr>
                <w:sz w:val="22"/>
                <w:szCs w:val="22"/>
              </w:rPr>
            </w:pPr>
            <w:r w:rsidRPr="007F5365">
              <w:rPr>
                <w:sz w:val="22"/>
                <w:szCs w:val="22"/>
              </w:rPr>
              <w:t>Deleted</w:t>
            </w:r>
          </w:p>
        </w:tc>
      </w:tr>
      <w:tr w:rsidR="00FB1AB6" w:rsidRPr="00382A66" w14:paraId="0E07F1B4" w14:textId="77777777" w:rsidTr="007F5365">
        <w:trPr>
          <w:trHeight w:val="432"/>
          <w:jc w:val="center"/>
        </w:trPr>
        <w:tc>
          <w:tcPr>
            <w:tcW w:w="1440" w:type="dxa"/>
            <w:vAlign w:val="center"/>
          </w:tcPr>
          <w:p w14:paraId="0EDF3144" w14:textId="77777777" w:rsidR="00FB1AB6" w:rsidRPr="007F5365" w:rsidRDefault="00FB1AB6" w:rsidP="004D50A9">
            <w:pPr>
              <w:spacing w:line="240" w:lineRule="auto"/>
              <w:ind w:firstLine="0"/>
              <w:rPr>
                <w:sz w:val="22"/>
                <w:szCs w:val="22"/>
              </w:rPr>
            </w:pPr>
            <w:r w:rsidRPr="007F5365">
              <w:rPr>
                <w:sz w:val="22"/>
                <w:szCs w:val="22"/>
              </w:rPr>
              <w:t>2.2.9</w:t>
            </w:r>
          </w:p>
        </w:tc>
        <w:tc>
          <w:tcPr>
            <w:tcW w:w="3240" w:type="dxa"/>
            <w:vAlign w:val="center"/>
          </w:tcPr>
          <w:p w14:paraId="2371B142" w14:textId="77777777" w:rsidR="00FB1AB6" w:rsidRPr="007F5365" w:rsidRDefault="00FB1AB6" w:rsidP="004D50A9">
            <w:pPr>
              <w:spacing w:line="240" w:lineRule="auto"/>
              <w:ind w:firstLine="0"/>
              <w:rPr>
                <w:sz w:val="22"/>
                <w:szCs w:val="22"/>
              </w:rPr>
            </w:pPr>
            <w:r w:rsidRPr="007F5365">
              <w:rPr>
                <w:sz w:val="22"/>
                <w:szCs w:val="22"/>
              </w:rPr>
              <w:t>Residential Whole House Fans</w:t>
            </w:r>
          </w:p>
        </w:tc>
        <w:tc>
          <w:tcPr>
            <w:tcW w:w="1440" w:type="dxa"/>
            <w:vAlign w:val="center"/>
          </w:tcPr>
          <w:p w14:paraId="5BA9E341" w14:textId="77777777" w:rsidR="00FB1AB6" w:rsidRPr="007F5365" w:rsidRDefault="00FB1AB6" w:rsidP="004D50A9">
            <w:pPr>
              <w:spacing w:line="240" w:lineRule="auto"/>
              <w:ind w:firstLine="0"/>
              <w:rPr>
                <w:sz w:val="22"/>
                <w:szCs w:val="22"/>
              </w:rPr>
            </w:pPr>
            <w:r w:rsidRPr="007F5365">
              <w:rPr>
                <w:sz w:val="22"/>
                <w:szCs w:val="22"/>
              </w:rPr>
              <w:t>-</w:t>
            </w:r>
          </w:p>
        </w:tc>
        <w:tc>
          <w:tcPr>
            <w:tcW w:w="3240" w:type="dxa"/>
            <w:vAlign w:val="center"/>
          </w:tcPr>
          <w:p w14:paraId="1F8009E2" w14:textId="77777777" w:rsidR="00FB1AB6" w:rsidRPr="007F5365" w:rsidRDefault="00FB1AB6" w:rsidP="004D50A9">
            <w:pPr>
              <w:spacing w:line="240" w:lineRule="auto"/>
              <w:ind w:firstLine="0"/>
              <w:rPr>
                <w:sz w:val="22"/>
                <w:szCs w:val="22"/>
              </w:rPr>
            </w:pPr>
            <w:r w:rsidRPr="007F5365">
              <w:rPr>
                <w:sz w:val="22"/>
                <w:szCs w:val="22"/>
              </w:rPr>
              <w:t>Deleted</w:t>
            </w:r>
          </w:p>
        </w:tc>
      </w:tr>
      <w:tr w:rsidR="00FB1AB6" w:rsidRPr="00382A66" w14:paraId="6964E826" w14:textId="77777777" w:rsidTr="007F5365">
        <w:trPr>
          <w:trHeight w:val="432"/>
          <w:jc w:val="center"/>
        </w:trPr>
        <w:tc>
          <w:tcPr>
            <w:tcW w:w="1440" w:type="dxa"/>
            <w:vAlign w:val="center"/>
          </w:tcPr>
          <w:p w14:paraId="61D04E9F" w14:textId="77777777" w:rsidR="00FB1AB6" w:rsidRPr="007F5365" w:rsidRDefault="00FB1AB6" w:rsidP="004D50A9">
            <w:pPr>
              <w:spacing w:line="240" w:lineRule="auto"/>
              <w:ind w:firstLine="0"/>
              <w:rPr>
                <w:sz w:val="22"/>
                <w:szCs w:val="22"/>
              </w:rPr>
            </w:pPr>
            <w:r w:rsidRPr="007F5365">
              <w:rPr>
                <w:sz w:val="22"/>
                <w:szCs w:val="22"/>
              </w:rPr>
              <w:t>2.2.10</w:t>
            </w:r>
          </w:p>
        </w:tc>
        <w:tc>
          <w:tcPr>
            <w:tcW w:w="3240" w:type="dxa"/>
            <w:vAlign w:val="center"/>
          </w:tcPr>
          <w:p w14:paraId="0F650780" w14:textId="77777777" w:rsidR="00FB1AB6" w:rsidRPr="007F5365" w:rsidRDefault="00FB1AB6" w:rsidP="004D50A9">
            <w:pPr>
              <w:spacing w:line="240" w:lineRule="auto"/>
              <w:ind w:firstLine="0"/>
              <w:rPr>
                <w:sz w:val="22"/>
                <w:szCs w:val="22"/>
              </w:rPr>
            </w:pPr>
            <w:r w:rsidRPr="007F5365">
              <w:rPr>
                <w:sz w:val="22"/>
                <w:szCs w:val="22"/>
              </w:rPr>
              <w:t>Packaged Terminal Systems</w:t>
            </w:r>
          </w:p>
        </w:tc>
        <w:tc>
          <w:tcPr>
            <w:tcW w:w="1440" w:type="dxa"/>
            <w:vAlign w:val="center"/>
          </w:tcPr>
          <w:p w14:paraId="31DD75E5" w14:textId="77777777" w:rsidR="00FB1AB6" w:rsidRPr="007F5365" w:rsidRDefault="00FB1AB6" w:rsidP="004D50A9">
            <w:pPr>
              <w:spacing w:line="240" w:lineRule="auto"/>
              <w:ind w:firstLine="0"/>
              <w:rPr>
                <w:sz w:val="22"/>
                <w:szCs w:val="22"/>
              </w:rPr>
            </w:pPr>
            <w:r w:rsidRPr="007F5365">
              <w:rPr>
                <w:sz w:val="22"/>
                <w:szCs w:val="22"/>
              </w:rPr>
              <w:t>2.2.1</w:t>
            </w:r>
          </w:p>
        </w:tc>
        <w:tc>
          <w:tcPr>
            <w:tcW w:w="3240" w:type="dxa"/>
            <w:vAlign w:val="center"/>
          </w:tcPr>
          <w:p w14:paraId="1800951B" w14:textId="23D27547" w:rsidR="00FB1AB6" w:rsidRPr="007F5365" w:rsidRDefault="00FB1AB6" w:rsidP="004D50A9">
            <w:pPr>
              <w:spacing w:line="240" w:lineRule="auto"/>
              <w:ind w:firstLine="0"/>
              <w:rPr>
                <w:sz w:val="22"/>
                <w:szCs w:val="22"/>
              </w:rPr>
            </w:pPr>
            <w:r w:rsidRPr="007F5365">
              <w:rPr>
                <w:sz w:val="22"/>
                <w:szCs w:val="22"/>
              </w:rPr>
              <w:t>High</w:t>
            </w:r>
            <w:r w:rsidR="006A3152" w:rsidRPr="007F5365">
              <w:rPr>
                <w:sz w:val="22"/>
                <w:szCs w:val="22"/>
              </w:rPr>
              <w:t>-e</w:t>
            </w:r>
            <w:r w:rsidRPr="007F5365">
              <w:rPr>
                <w:sz w:val="22"/>
                <w:szCs w:val="22"/>
              </w:rPr>
              <w:t>fficiency Equipment: ASHP, CAC, GSHP, PTAC, PTHP</w:t>
            </w:r>
          </w:p>
        </w:tc>
      </w:tr>
      <w:tr w:rsidR="00FB1AB6" w:rsidRPr="00382A66" w14:paraId="3104A5C4" w14:textId="77777777" w:rsidTr="007F5365">
        <w:trPr>
          <w:trHeight w:val="432"/>
          <w:jc w:val="center"/>
        </w:trPr>
        <w:tc>
          <w:tcPr>
            <w:tcW w:w="1440" w:type="dxa"/>
            <w:vAlign w:val="center"/>
          </w:tcPr>
          <w:p w14:paraId="5F2AF49C" w14:textId="77777777" w:rsidR="00FB1AB6" w:rsidRPr="007F5365" w:rsidRDefault="00FB1AB6" w:rsidP="004D50A9">
            <w:pPr>
              <w:spacing w:line="240" w:lineRule="auto"/>
              <w:ind w:firstLine="0"/>
              <w:rPr>
                <w:sz w:val="22"/>
                <w:szCs w:val="22"/>
              </w:rPr>
            </w:pPr>
            <w:r w:rsidRPr="007F5365">
              <w:rPr>
                <w:sz w:val="22"/>
                <w:szCs w:val="22"/>
              </w:rPr>
              <w:t>2.3.4</w:t>
            </w:r>
          </w:p>
        </w:tc>
        <w:tc>
          <w:tcPr>
            <w:tcW w:w="3240" w:type="dxa"/>
            <w:vAlign w:val="center"/>
          </w:tcPr>
          <w:p w14:paraId="0DF6F9B7" w14:textId="77777777" w:rsidR="00FB1AB6" w:rsidRPr="007F5365" w:rsidRDefault="00FB1AB6" w:rsidP="004D50A9">
            <w:pPr>
              <w:spacing w:line="240" w:lineRule="auto"/>
              <w:ind w:firstLine="0"/>
              <w:rPr>
                <w:sz w:val="22"/>
                <w:szCs w:val="22"/>
              </w:rPr>
            </w:pPr>
            <w:r w:rsidRPr="007F5365">
              <w:rPr>
                <w:sz w:val="22"/>
                <w:szCs w:val="22"/>
              </w:rPr>
              <w:t>Fuel Switching: Heat Pump Water Heater to Fossil Fuel Water Heater</w:t>
            </w:r>
          </w:p>
        </w:tc>
        <w:tc>
          <w:tcPr>
            <w:tcW w:w="1440" w:type="dxa"/>
            <w:vAlign w:val="center"/>
          </w:tcPr>
          <w:p w14:paraId="56D68A51" w14:textId="77777777" w:rsidR="00FB1AB6" w:rsidRPr="007F5365" w:rsidRDefault="00FB1AB6" w:rsidP="004D50A9">
            <w:pPr>
              <w:spacing w:line="240" w:lineRule="auto"/>
              <w:ind w:firstLine="0"/>
              <w:rPr>
                <w:sz w:val="22"/>
                <w:szCs w:val="22"/>
              </w:rPr>
            </w:pPr>
            <w:r w:rsidRPr="007F5365">
              <w:rPr>
                <w:sz w:val="22"/>
                <w:szCs w:val="22"/>
              </w:rPr>
              <w:t>-</w:t>
            </w:r>
          </w:p>
        </w:tc>
        <w:tc>
          <w:tcPr>
            <w:tcW w:w="3240" w:type="dxa"/>
            <w:vAlign w:val="center"/>
          </w:tcPr>
          <w:p w14:paraId="7F851F09" w14:textId="77777777" w:rsidR="00FB1AB6" w:rsidRPr="007F5365" w:rsidRDefault="00FB1AB6" w:rsidP="004D50A9">
            <w:pPr>
              <w:spacing w:line="240" w:lineRule="auto"/>
              <w:ind w:firstLine="0"/>
              <w:rPr>
                <w:sz w:val="22"/>
                <w:szCs w:val="22"/>
              </w:rPr>
            </w:pPr>
            <w:r w:rsidRPr="007F5365">
              <w:rPr>
                <w:sz w:val="22"/>
                <w:szCs w:val="22"/>
              </w:rPr>
              <w:t>Deleted</w:t>
            </w:r>
          </w:p>
        </w:tc>
      </w:tr>
      <w:tr w:rsidR="00FB1AB6" w:rsidRPr="00382A66" w14:paraId="4CF0ECCB" w14:textId="77777777" w:rsidTr="007F5365">
        <w:trPr>
          <w:trHeight w:val="432"/>
          <w:jc w:val="center"/>
        </w:trPr>
        <w:tc>
          <w:tcPr>
            <w:tcW w:w="1440" w:type="dxa"/>
            <w:vAlign w:val="center"/>
          </w:tcPr>
          <w:p w14:paraId="1A580FAC" w14:textId="77777777" w:rsidR="00FB1AB6" w:rsidRPr="007F5365" w:rsidRDefault="00FB1AB6" w:rsidP="004D50A9">
            <w:pPr>
              <w:spacing w:line="240" w:lineRule="auto"/>
              <w:ind w:firstLine="0"/>
              <w:rPr>
                <w:sz w:val="22"/>
                <w:szCs w:val="22"/>
              </w:rPr>
            </w:pPr>
            <w:r w:rsidRPr="007F5365">
              <w:rPr>
                <w:sz w:val="22"/>
                <w:szCs w:val="22"/>
              </w:rPr>
              <w:t>2.3.5</w:t>
            </w:r>
          </w:p>
        </w:tc>
        <w:tc>
          <w:tcPr>
            <w:tcW w:w="3240" w:type="dxa"/>
            <w:vAlign w:val="center"/>
          </w:tcPr>
          <w:p w14:paraId="3F5DE731" w14:textId="77777777" w:rsidR="00FB1AB6" w:rsidRPr="007F5365" w:rsidRDefault="00FB1AB6" w:rsidP="004D50A9">
            <w:pPr>
              <w:spacing w:line="240" w:lineRule="auto"/>
              <w:ind w:firstLine="0"/>
              <w:rPr>
                <w:sz w:val="22"/>
                <w:szCs w:val="22"/>
              </w:rPr>
            </w:pPr>
            <w:r w:rsidRPr="007F5365">
              <w:rPr>
                <w:sz w:val="22"/>
                <w:szCs w:val="22"/>
              </w:rPr>
              <w:t>Water Heater Tank Wrap</w:t>
            </w:r>
          </w:p>
        </w:tc>
        <w:tc>
          <w:tcPr>
            <w:tcW w:w="1440" w:type="dxa"/>
            <w:vAlign w:val="center"/>
          </w:tcPr>
          <w:p w14:paraId="107B1500" w14:textId="77777777" w:rsidR="00FB1AB6" w:rsidRPr="007F5365" w:rsidRDefault="00FB1AB6" w:rsidP="004D50A9">
            <w:pPr>
              <w:spacing w:line="240" w:lineRule="auto"/>
              <w:ind w:firstLine="0"/>
              <w:rPr>
                <w:sz w:val="22"/>
                <w:szCs w:val="22"/>
              </w:rPr>
            </w:pPr>
            <w:r w:rsidRPr="007F5365">
              <w:rPr>
                <w:sz w:val="22"/>
                <w:szCs w:val="22"/>
              </w:rPr>
              <w:t>2.3.4</w:t>
            </w:r>
          </w:p>
        </w:tc>
        <w:tc>
          <w:tcPr>
            <w:tcW w:w="3240" w:type="dxa"/>
            <w:vAlign w:val="center"/>
          </w:tcPr>
          <w:p w14:paraId="5CE15E71" w14:textId="77777777" w:rsidR="00FB1AB6" w:rsidRPr="007F5365" w:rsidRDefault="00FB1AB6" w:rsidP="004D50A9">
            <w:pPr>
              <w:spacing w:line="240" w:lineRule="auto"/>
              <w:ind w:firstLine="0"/>
              <w:rPr>
                <w:sz w:val="22"/>
                <w:szCs w:val="22"/>
              </w:rPr>
            </w:pPr>
            <w:r w:rsidRPr="007F5365">
              <w:rPr>
                <w:sz w:val="22"/>
                <w:szCs w:val="22"/>
              </w:rPr>
              <w:t>Water Heater Tank Wrap</w:t>
            </w:r>
          </w:p>
        </w:tc>
      </w:tr>
      <w:tr w:rsidR="00FB1AB6" w:rsidRPr="00382A66" w14:paraId="5FA13CB3" w14:textId="77777777" w:rsidTr="007F5365">
        <w:trPr>
          <w:trHeight w:val="432"/>
          <w:jc w:val="center"/>
        </w:trPr>
        <w:tc>
          <w:tcPr>
            <w:tcW w:w="1440" w:type="dxa"/>
            <w:vAlign w:val="center"/>
          </w:tcPr>
          <w:p w14:paraId="51B8F61F" w14:textId="77777777" w:rsidR="00FB1AB6" w:rsidRPr="007F5365" w:rsidRDefault="00FB1AB6" w:rsidP="004D50A9">
            <w:pPr>
              <w:spacing w:line="240" w:lineRule="auto"/>
              <w:ind w:firstLine="0"/>
              <w:rPr>
                <w:sz w:val="22"/>
                <w:szCs w:val="22"/>
              </w:rPr>
            </w:pPr>
            <w:r w:rsidRPr="007F5365">
              <w:rPr>
                <w:sz w:val="22"/>
                <w:szCs w:val="22"/>
              </w:rPr>
              <w:t>2.3.6</w:t>
            </w:r>
          </w:p>
        </w:tc>
        <w:tc>
          <w:tcPr>
            <w:tcW w:w="3240" w:type="dxa"/>
            <w:vAlign w:val="center"/>
          </w:tcPr>
          <w:p w14:paraId="3FC6DCF4" w14:textId="77777777" w:rsidR="00FB1AB6" w:rsidRPr="007F5365" w:rsidRDefault="00FB1AB6" w:rsidP="004D50A9">
            <w:pPr>
              <w:spacing w:line="240" w:lineRule="auto"/>
              <w:ind w:firstLine="0"/>
              <w:rPr>
                <w:sz w:val="22"/>
                <w:szCs w:val="22"/>
              </w:rPr>
            </w:pPr>
            <w:r w:rsidRPr="007F5365">
              <w:rPr>
                <w:sz w:val="22"/>
                <w:szCs w:val="22"/>
              </w:rPr>
              <w:t>Water Heater Temperature Setback</w:t>
            </w:r>
          </w:p>
        </w:tc>
        <w:tc>
          <w:tcPr>
            <w:tcW w:w="1440" w:type="dxa"/>
            <w:vAlign w:val="center"/>
          </w:tcPr>
          <w:p w14:paraId="4B174060" w14:textId="77777777" w:rsidR="00FB1AB6" w:rsidRPr="007F5365" w:rsidRDefault="00FB1AB6" w:rsidP="004D50A9">
            <w:pPr>
              <w:spacing w:line="240" w:lineRule="auto"/>
              <w:ind w:firstLine="0"/>
              <w:rPr>
                <w:sz w:val="22"/>
                <w:szCs w:val="22"/>
              </w:rPr>
            </w:pPr>
            <w:r w:rsidRPr="007F5365">
              <w:rPr>
                <w:sz w:val="22"/>
                <w:szCs w:val="22"/>
              </w:rPr>
              <w:t>2.3.5</w:t>
            </w:r>
          </w:p>
        </w:tc>
        <w:tc>
          <w:tcPr>
            <w:tcW w:w="3240" w:type="dxa"/>
            <w:vAlign w:val="center"/>
          </w:tcPr>
          <w:p w14:paraId="560D8481" w14:textId="77777777" w:rsidR="00FB1AB6" w:rsidRPr="007F5365" w:rsidRDefault="00FB1AB6" w:rsidP="004D50A9">
            <w:pPr>
              <w:spacing w:line="240" w:lineRule="auto"/>
              <w:ind w:firstLine="0"/>
              <w:rPr>
                <w:sz w:val="22"/>
                <w:szCs w:val="22"/>
              </w:rPr>
            </w:pPr>
            <w:r w:rsidRPr="007F5365">
              <w:rPr>
                <w:sz w:val="22"/>
                <w:szCs w:val="22"/>
              </w:rPr>
              <w:t>Water Heater Temperature Setback</w:t>
            </w:r>
          </w:p>
        </w:tc>
      </w:tr>
      <w:tr w:rsidR="00FB1AB6" w:rsidRPr="00382A66" w14:paraId="27F9F62F" w14:textId="77777777" w:rsidTr="007F5365">
        <w:trPr>
          <w:trHeight w:val="432"/>
          <w:jc w:val="center"/>
        </w:trPr>
        <w:tc>
          <w:tcPr>
            <w:tcW w:w="1440" w:type="dxa"/>
            <w:vAlign w:val="center"/>
          </w:tcPr>
          <w:p w14:paraId="47A29830" w14:textId="77777777" w:rsidR="00FB1AB6" w:rsidRPr="007F5365" w:rsidRDefault="00FB1AB6" w:rsidP="004D50A9">
            <w:pPr>
              <w:spacing w:line="240" w:lineRule="auto"/>
              <w:ind w:firstLine="0"/>
              <w:rPr>
                <w:sz w:val="22"/>
                <w:szCs w:val="22"/>
              </w:rPr>
            </w:pPr>
            <w:r w:rsidRPr="007F5365">
              <w:rPr>
                <w:sz w:val="22"/>
                <w:szCs w:val="22"/>
              </w:rPr>
              <w:t>2.3.7</w:t>
            </w:r>
          </w:p>
        </w:tc>
        <w:tc>
          <w:tcPr>
            <w:tcW w:w="3240" w:type="dxa"/>
            <w:vAlign w:val="center"/>
          </w:tcPr>
          <w:p w14:paraId="43B53843" w14:textId="77777777" w:rsidR="00FB1AB6" w:rsidRPr="007F5365" w:rsidRDefault="00FB1AB6" w:rsidP="004D50A9">
            <w:pPr>
              <w:spacing w:line="240" w:lineRule="auto"/>
              <w:ind w:firstLine="0"/>
              <w:rPr>
                <w:sz w:val="22"/>
                <w:szCs w:val="22"/>
              </w:rPr>
            </w:pPr>
            <w:r w:rsidRPr="007F5365">
              <w:rPr>
                <w:sz w:val="22"/>
                <w:szCs w:val="22"/>
              </w:rPr>
              <w:t>Water Heater Pipe Insulation</w:t>
            </w:r>
          </w:p>
        </w:tc>
        <w:tc>
          <w:tcPr>
            <w:tcW w:w="1440" w:type="dxa"/>
            <w:vAlign w:val="center"/>
          </w:tcPr>
          <w:p w14:paraId="1A3C3F7A" w14:textId="77777777" w:rsidR="00FB1AB6" w:rsidRPr="007F5365" w:rsidRDefault="00FB1AB6" w:rsidP="004D50A9">
            <w:pPr>
              <w:spacing w:line="240" w:lineRule="auto"/>
              <w:ind w:firstLine="0"/>
              <w:rPr>
                <w:sz w:val="22"/>
                <w:szCs w:val="22"/>
              </w:rPr>
            </w:pPr>
            <w:r w:rsidRPr="007F5365">
              <w:rPr>
                <w:sz w:val="22"/>
                <w:szCs w:val="22"/>
              </w:rPr>
              <w:t>2.3.6</w:t>
            </w:r>
          </w:p>
        </w:tc>
        <w:tc>
          <w:tcPr>
            <w:tcW w:w="3240" w:type="dxa"/>
            <w:vAlign w:val="center"/>
          </w:tcPr>
          <w:p w14:paraId="145BFCB2" w14:textId="77777777" w:rsidR="00FB1AB6" w:rsidRPr="007F5365" w:rsidRDefault="00FB1AB6" w:rsidP="004D50A9">
            <w:pPr>
              <w:spacing w:line="240" w:lineRule="auto"/>
              <w:ind w:firstLine="0"/>
              <w:rPr>
                <w:sz w:val="22"/>
                <w:szCs w:val="22"/>
              </w:rPr>
            </w:pPr>
            <w:r w:rsidRPr="007F5365">
              <w:rPr>
                <w:sz w:val="22"/>
                <w:szCs w:val="22"/>
              </w:rPr>
              <w:t>Water Heater Pipe Insulation</w:t>
            </w:r>
          </w:p>
        </w:tc>
      </w:tr>
      <w:tr w:rsidR="00FB1AB6" w:rsidRPr="00382A66" w14:paraId="732507CB" w14:textId="77777777" w:rsidTr="007F5365">
        <w:trPr>
          <w:trHeight w:val="432"/>
          <w:jc w:val="center"/>
        </w:trPr>
        <w:tc>
          <w:tcPr>
            <w:tcW w:w="1440" w:type="dxa"/>
            <w:vAlign w:val="center"/>
          </w:tcPr>
          <w:p w14:paraId="3B66216C" w14:textId="77777777" w:rsidR="00FB1AB6" w:rsidRPr="007F5365" w:rsidRDefault="00FB1AB6" w:rsidP="004D50A9">
            <w:pPr>
              <w:spacing w:line="240" w:lineRule="auto"/>
              <w:ind w:firstLine="0"/>
              <w:rPr>
                <w:sz w:val="22"/>
                <w:szCs w:val="22"/>
              </w:rPr>
            </w:pPr>
            <w:r w:rsidRPr="007F5365">
              <w:rPr>
                <w:sz w:val="22"/>
                <w:szCs w:val="22"/>
              </w:rPr>
              <w:t>2.3.8</w:t>
            </w:r>
          </w:p>
        </w:tc>
        <w:tc>
          <w:tcPr>
            <w:tcW w:w="3240" w:type="dxa"/>
            <w:vAlign w:val="center"/>
          </w:tcPr>
          <w:p w14:paraId="581CF67D" w14:textId="5BE9F112" w:rsidR="00FB1AB6" w:rsidRPr="007F5365" w:rsidRDefault="00FB1AB6" w:rsidP="004D50A9">
            <w:pPr>
              <w:spacing w:line="240" w:lineRule="auto"/>
              <w:ind w:firstLine="0"/>
              <w:rPr>
                <w:sz w:val="22"/>
                <w:szCs w:val="22"/>
              </w:rPr>
            </w:pPr>
            <w:r w:rsidRPr="007F5365">
              <w:rPr>
                <w:sz w:val="22"/>
                <w:szCs w:val="22"/>
              </w:rPr>
              <w:t>Low</w:t>
            </w:r>
            <w:r w:rsidR="006A3152" w:rsidRPr="007F5365">
              <w:rPr>
                <w:sz w:val="22"/>
                <w:szCs w:val="22"/>
              </w:rPr>
              <w:t>-f</w:t>
            </w:r>
            <w:r w:rsidRPr="007F5365">
              <w:rPr>
                <w:sz w:val="22"/>
                <w:szCs w:val="22"/>
              </w:rPr>
              <w:t>low Faucet Aerators</w:t>
            </w:r>
          </w:p>
        </w:tc>
        <w:tc>
          <w:tcPr>
            <w:tcW w:w="1440" w:type="dxa"/>
            <w:vAlign w:val="center"/>
          </w:tcPr>
          <w:p w14:paraId="6A28F379" w14:textId="77777777" w:rsidR="00FB1AB6" w:rsidRPr="007F5365" w:rsidRDefault="00FB1AB6" w:rsidP="004D50A9">
            <w:pPr>
              <w:spacing w:line="240" w:lineRule="auto"/>
              <w:ind w:firstLine="0"/>
              <w:rPr>
                <w:sz w:val="22"/>
                <w:szCs w:val="22"/>
              </w:rPr>
            </w:pPr>
            <w:r w:rsidRPr="007F5365">
              <w:rPr>
                <w:sz w:val="22"/>
                <w:szCs w:val="22"/>
              </w:rPr>
              <w:t>2.3.7</w:t>
            </w:r>
          </w:p>
        </w:tc>
        <w:tc>
          <w:tcPr>
            <w:tcW w:w="3240" w:type="dxa"/>
            <w:vAlign w:val="center"/>
          </w:tcPr>
          <w:p w14:paraId="40114F89" w14:textId="38D215EF" w:rsidR="00FB1AB6" w:rsidRPr="007F5365" w:rsidRDefault="00FB1AB6" w:rsidP="004D50A9">
            <w:pPr>
              <w:spacing w:line="240" w:lineRule="auto"/>
              <w:ind w:firstLine="0"/>
              <w:rPr>
                <w:sz w:val="22"/>
                <w:szCs w:val="22"/>
              </w:rPr>
            </w:pPr>
            <w:r w:rsidRPr="007F5365">
              <w:rPr>
                <w:sz w:val="22"/>
                <w:szCs w:val="22"/>
              </w:rPr>
              <w:t>Low</w:t>
            </w:r>
            <w:r w:rsidR="006A3152" w:rsidRPr="007F5365">
              <w:rPr>
                <w:sz w:val="22"/>
                <w:szCs w:val="22"/>
              </w:rPr>
              <w:t>-f</w:t>
            </w:r>
            <w:r w:rsidRPr="007F5365">
              <w:rPr>
                <w:sz w:val="22"/>
                <w:szCs w:val="22"/>
              </w:rPr>
              <w:t>low Faucet Aerators</w:t>
            </w:r>
          </w:p>
        </w:tc>
      </w:tr>
      <w:tr w:rsidR="00FB1AB6" w:rsidRPr="00382A66" w14:paraId="651EA284" w14:textId="77777777" w:rsidTr="007F5365">
        <w:trPr>
          <w:trHeight w:val="432"/>
          <w:jc w:val="center"/>
        </w:trPr>
        <w:tc>
          <w:tcPr>
            <w:tcW w:w="1440" w:type="dxa"/>
            <w:vAlign w:val="center"/>
          </w:tcPr>
          <w:p w14:paraId="6EA8EC75" w14:textId="77777777" w:rsidR="00FB1AB6" w:rsidRPr="007F5365" w:rsidRDefault="00FB1AB6" w:rsidP="004D50A9">
            <w:pPr>
              <w:spacing w:line="240" w:lineRule="auto"/>
              <w:ind w:firstLine="0"/>
              <w:rPr>
                <w:sz w:val="22"/>
                <w:szCs w:val="22"/>
              </w:rPr>
            </w:pPr>
            <w:r w:rsidRPr="007F5365">
              <w:rPr>
                <w:sz w:val="22"/>
                <w:szCs w:val="22"/>
              </w:rPr>
              <w:t>2.3.9</w:t>
            </w:r>
          </w:p>
        </w:tc>
        <w:tc>
          <w:tcPr>
            <w:tcW w:w="3240" w:type="dxa"/>
            <w:vAlign w:val="center"/>
          </w:tcPr>
          <w:p w14:paraId="61842C21" w14:textId="6EA035DB" w:rsidR="00FB1AB6" w:rsidRPr="007F5365" w:rsidRDefault="00FB1AB6" w:rsidP="004D50A9">
            <w:pPr>
              <w:spacing w:line="240" w:lineRule="auto"/>
              <w:ind w:firstLine="0"/>
              <w:rPr>
                <w:sz w:val="22"/>
                <w:szCs w:val="22"/>
              </w:rPr>
            </w:pPr>
            <w:r w:rsidRPr="007F5365">
              <w:rPr>
                <w:sz w:val="22"/>
                <w:szCs w:val="22"/>
              </w:rPr>
              <w:t>Low</w:t>
            </w:r>
            <w:r w:rsidR="006A3152" w:rsidRPr="007F5365">
              <w:rPr>
                <w:sz w:val="22"/>
                <w:szCs w:val="22"/>
              </w:rPr>
              <w:t>-f</w:t>
            </w:r>
            <w:r w:rsidRPr="007F5365">
              <w:rPr>
                <w:sz w:val="22"/>
                <w:szCs w:val="22"/>
              </w:rPr>
              <w:t>low Showerheads</w:t>
            </w:r>
          </w:p>
        </w:tc>
        <w:tc>
          <w:tcPr>
            <w:tcW w:w="1440" w:type="dxa"/>
            <w:vAlign w:val="center"/>
          </w:tcPr>
          <w:p w14:paraId="269DCFEC" w14:textId="77777777" w:rsidR="00FB1AB6" w:rsidRPr="007F5365" w:rsidRDefault="00FB1AB6" w:rsidP="004D50A9">
            <w:pPr>
              <w:spacing w:line="240" w:lineRule="auto"/>
              <w:ind w:firstLine="0"/>
              <w:rPr>
                <w:sz w:val="22"/>
                <w:szCs w:val="22"/>
              </w:rPr>
            </w:pPr>
            <w:r w:rsidRPr="007F5365">
              <w:rPr>
                <w:sz w:val="22"/>
                <w:szCs w:val="22"/>
              </w:rPr>
              <w:t>2.3.8</w:t>
            </w:r>
          </w:p>
        </w:tc>
        <w:tc>
          <w:tcPr>
            <w:tcW w:w="3240" w:type="dxa"/>
            <w:vAlign w:val="center"/>
          </w:tcPr>
          <w:p w14:paraId="0F3E53B9" w14:textId="133F1011" w:rsidR="00FB1AB6" w:rsidRPr="007F5365" w:rsidRDefault="00FB1AB6" w:rsidP="004D50A9">
            <w:pPr>
              <w:spacing w:line="240" w:lineRule="auto"/>
              <w:ind w:firstLine="0"/>
              <w:rPr>
                <w:sz w:val="22"/>
                <w:szCs w:val="22"/>
              </w:rPr>
            </w:pPr>
            <w:r w:rsidRPr="007F5365">
              <w:rPr>
                <w:sz w:val="22"/>
                <w:szCs w:val="22"/>
              </w:rPr>
              <w:t>Low</w:t>
            </w:r>
            <w:r w:rsidR="006A3152" w:rsidRPr="007F5365">
              <w:rPr>
                <w:sz w:val="22"/>
                <w:szCs w:val="22"/>
              </w:rPr>
              <w:t>-f</w:t>
            </w:r>
            <w:r w:rsidRPr="007F5365">
              <w:rPr>
                <w:sz w:val="22"/>
                <w:szCs w:val="22"/>
              </w:rPr>
              <w:t>low Showerheads</w:t>
            </w:r>
          </w:p>
        </w:tc>
      </w:tr>
      <w:tr w:rsidR="00FB1AB6" w:rsidRPr="00382A66" w14:paraId="3E28F17E" w14:textId="77777777" w:rsidTr="007F5365">
        <w:trPr>
          <w:trHeight w:val="432"/>
          <w:jc w:val="center"/>
        </w:trPr>
        <w:tc>
          <w:tcPr>
            <w:tcW w:w="1440" w:type="dxa"/>
            <w:vAlign w:val="center"/>
          </w:tcPr>
          <w:p w14:paraId="634D98A3" w14:textId="77777777" w:rsidR="00FB1AB6" w:rsidRPr="007F5365" w:rsidRDefault="00FB1AB6" w:rsidP="004D50A9">
            <w:pPr>
              <w:spacing w:line="240" w:lineRule="auto"/>
              <w:ind w:firstLine="0"/>
              <w:rPr>
                <w:sz w:val="22"/>
                <w:szCs w:val="22"/>
              </w:rPr>
            </w:pPr>
            <w:r w:rsidRPr="007F5365">
              <w:rPr>
                <w:sz w:val="22"/>
                <w:szCs w:val="22"/>
              </w:rPr>
              <w:t>2.3.10</w:t>
            </w:r>
          </w:p>
        </w:tc>
        <w:tc>
          <w:tcPr>
            <w:tcW w:w="3240" w:type="dxa"/>
            <w:vAlign w:val="center"/>
          </w:tcPr>
          <w:p w14:paraId="32E59AA1" w14:textId="77777777" w:rsidR="00FB1AB6" w:rsidRPr="007F5365" w:rsidRDefault="00FB1AB6" w:rsidP="004D50A9">
            <w:pPr>
              <w:spacing w:line="240" w:lineRule="auto"/>
              <w:ind w:firstLine="0"/>
              <w:rPr>
                <w:sz w:val="22"/>
                <w:szCs w:val="22"/>
              </w:rPr>
            </w:pPr>
            <w:r w:rsidRPr="007F5365">
              <w:rPr>
                <w:sz w:val="22"/>
                <w:szCs w:val="22"/>
              </w:rPr>
              <w:t>Thermostatic Shower Restriction Valve</w:t>
            </w:r>
          </w:p>
        </w:tc>
        <w:tc>
          <w:tcPr>
            <w:tcW w:w="1440" w:type="dxa"/>
            <w:vAlign w:val="center"/>
          </w:tcPr>
          <w:p w14:paraId="2D69DE2B" w14:textId="77777777" w:rsidR="00FB1AB6" w:rsidRPr="007F5365" w:rsidRDefault="00FB1AB6" w:rsidP="004D50A9">
            <w:pPr>
              <w:spacing w:line="240" w:lineRule="auto"/>
              <w:ind w:firstLine="0"/>
              <w:rPr>
                <w:sz w:val="22"/>
                <w:szCs w:val="22"/>
              </w:rPr>
            </w:pPr>
            <w:r w:rsidRPr="007F5365">
              <w:rPr>
                <w:sz w:val="22"/>
                <w:szCs w:val="22"/>
              </w:rPr>
              <w:t>2.3.9</w:t>
            </w:r>
          </w:p>
        </w:tc>
        <w:tc>
          <w:tcPr>
            <w:tcW w:w="3240" w:type="dxa"/>
            <w:vAlign w:val="center"/>
          </w:tcPr>
          <w:p w14:paraId="517CDCA1" w14:textId="77777777" w:rsidR="00FB1AB6" w:rsidRPr="007F5365" w:rsidRDefault="00FB1AB6" w:rsidP="004D50A9">
            <w:pPr>
              <w:spacing w:line="240" w:lineRule="auto"/>
              <w:ind w:firstLine="0"/>
              <w:rPr>
                <w:sz w:val="22"/>
                <w:szCs w:val="22"/>
              </w:rPr>
            </w:pPr>
            <w:r w:rsidRPr="007F5365">
              <w:rPr>
                <w:sz w:val="22"/>
                <w:szCs w:val="22"/>
              </w:rPr>
              <w:t>Thermostatic Shower Restriction Valve</w:t>
            </w:r>
          </w:p>
        </w:tc>
      </w:tr>
      <w:tr w:rsidR="00FB1AB6" w:rsidRPr="00382A66" w14:paraId="76FBDD54" w14:textId="77777777" w:rsidTr="007F5365">
        <w:trPr>
          <w:trHeight w:val="432"/>
          <w:jc w:val="center"/>
        </w:trPr>
        <w:tc>
          <w:tcPr>
            <w:tcW w:w="1440" w:type="dxa"/>
            <w:vAlign w:val="center"/>
          </w:tcPr>
          <w:p w14:paraId="43C542EB" w14:textId="77777777" w:rsidR="00FB1AB6" w:rsidRPr="007F5365" w:rsidRDefault="00FB1AB6" w:rsidP="004D50A9">
            <w:pPr>
              <w:spacing w:line="240" w:lineRule="auto"/>
              <w:ind w:firstLine="0"/>
              <w:rPr>
                <w:sz w:val="22"/>
                <w:szCs w:val="22"/>
              </w:rPr>
            </w:pPr>
            <w:r w:rsidRPr="007F5365">
              <w:rPr>
                <w:sz w:val="22"/>
                <w:szCs w:val="22"/>
              </w:rPr>
              <w:t>2.4.5</w:t>
            </w:r>
          </w:p>
        </w:tc>
        <w:tc>
          <w:tcPr>
            <w:tcW w:w="3240" w:type="dxa"/>
            <w:vAlign w:val="center"/>
          </w:tcPr>
          <w:p w14:paraId="01A50A8A" w14:textId="77777777" w:rsidR="00FB1AB6" w:rsidRPr="007F5365" w:rsidRDefault="00FB1AB6" w:rsidP="004D50A9">
            <w:pPr>
              <w:spacing w:line="240" w:lineRule="auto"/>
              <w:ind w:firstLine="0"/>
              <w:rPr>
                <w:sz w:val="22"/>
                <w:szCs w:val="22"/>
              </w:rPr>
            </w:pPr>
            <w:r w:rsidRPr="007F5365">
              <w:rPr>
                <w:sz w:val="22"/>
                <w:szCs w:val="22"/>
              </w:rPr>
              <w:t>ENERGY STAR Dryers</w:t>
            </w:r>
          </w:p>
        </w:tc>
        <w:tc>
          <w:tcPr>
            <w:tcW w:w="1440" w:type="dxa"/>
            <w:vAlign w:val="center"/>
          </w:tcPr>
          <w:p w14:paraId="33920974" w14:textId="77777777" w:rsidR="00FB1AB6" w:rsidRPr="007F5365" w:rsidRDefault="00FB1AB6" w:rsidP="004D50A9">
            <w:pPr>
              <w:spacing w:line="240" w:lineRule="auto"/>
              <w:ind w:firstLine="0"/>
              <w:rPr>
                <w:sz w:val="22"/>
                <w:szCs w:val="22"/>
              </w:rPr>
            </w:pPr>
            <w:r w:rsidRPr="007F5365">
              <w:rPr>
                <w:sz w:val="22"/>
                <w:szCs w:val="22"/>
              </w:rPr>
              <w:t>2.4.5</w:t>
            </w:r>
          </w:p>
        </w:tc>
        <w:tc>
          <w:tcPr>
            <w:tcW w:w="3240" w:type="dxa"/>
            <w:vAlign w:val="center"/>
          </w:tcPr>
          <w:p w14:paraId="04817F43" w14:textId="77777777" w:rsidR="00FB1AB6" w:rsidRPr="007F5365" w:rsidRDefault="00FB1AB6" w:rsidP="004D50A9">
            <w:pPr>
              <w:spacing w:line="240" w:lineRule="auto"/>
              <w:ind w:firstLine="0"/>
              <w:rPr>
                <w:sz w:val="22"/>
                <w:szCs w:val="22"/>
              </w:rPr>
            </w:pPr>
            <w:r w:rsidRPr="007F5365">
              <w:rPr>
                <w:sz w:val="22"/>
                <w:szCs w:val="22"/>
              </w:rPr>
              <w:t>ENERGY STAR Clothes Dryers</w:t>
            </w:r>
          </w:p>
        </w:tc>
      </w:tr>
      <w:tr w:rsidR="00FB1AB6" w:rsidRPr="00382A66" w14:paraId="77CB532F" w14:textId="77777777" w:rsidTr="007F5365">
        <w:trPr>
          <w:trHeight w:val="432"/>
          <w:jc w:val="center"/>
        </w:trPr>
        <w:tc>
          <w:tcPr>
            <w:tcW w:w="1440" w:type="dxa"/>
            <w:vAlign w:val="center"/>
          </w:tcPr>
          <w:p w14:paraId="3766D99D" w14:textId="77777777" w:rsidR="00FB1AB6" w:rsidRPr="007F5365" w:rsidRDefault="00FB1AB6" w:rsidP="004D50A9">
            <w:pPr>
              <w:spacing w:line="240" w:lineRule="auto"/>
              <w:ind w:firstLine="0"/>
              <w:rPr>
                <w:sz w:val="22"/>
                <w:szCs w:val="22"/>
              </w:rPr>
            </w:pPr>
            <w:r w:rsidRPr="007F5365">
              <w:rPr>
                <w:sz w:val="22"/>
                <w:szCs w:val="22"/>
              </w:rPr>
              <w:t>2.4.6</w:t>
            </w:r>
          </w:p>
        </w:tc>
        <w:tc>
          <w:tcPr>
            <w:tcW w:w="3240" w:type="dxa"/>
            <w:vAlign w:val="center"/>
          </w:tcPr>
          <w:p w14:paraId="7FB72217" w14:textId="77777777" w:rsidR="00FB1AB6" w:rsidRPr="007F5365" w:rsidRDefault="00FB1AB6" w:rsidP="004D50A9">
            <w:pPr>
              <w:spacing w:line="240" w:lineRule="auto"/>
              <w:ind w:firstLine="0"/>
              <w:rPr>
                <w:sz w:val="22"/>
                <w:szCs w:val="22"/>
              </w:rPr>
            </w:pPr>
            <w:r w:rsidRPr="007F5365">
              <w:rPr>
                <w:sz w:val="22"/>
                <w:szCs w:val="22"/>
              </w:rPr>
              <w:t>Fuel Switching: Electric Clothes Dryer to Gas Clothes Dryer</w:t>
            </w:r>
          </w:p>
        </w:tc>
        <w:tc>
          <w:tcPr>
            <w:tcW w:w="1440" w:type="dxa"/>
            <w:vAlign w:val="center"/>
          </w:tcPr>
          <w:p w14:paraId="2FA3C631" w14:textId="77777777" w:rsidR="00FB1AB6" w:rsidRPr="007F5365" w:rsidRDefault="00FB1AB6" w:rsidP="004D50A9">
            <w:pPr>
              <w:spacing w:line="240" w:lineRule="auto"/>
              <w:ind w:firstLine="0"/>
              <w:rPr>
                <w:sz w:val="22"/>
                <w:szCs w:val="22"/>
              </w:rPr>
            </w:pPr>
            <w:r w:rsidRPr="007F5365">
              <w:rPr>
                <w:sz w:val="22"/>
                <w:szCs w:val="22"/>
              </w:rPr>
              <w:t>2.4.7</w:t>
            </w:r>
          </w:p>
        </w:tc>
        <w:tc>
          <w:tcPr>
            <w:tcW w:w="3240" w:type="dxa"/>
            <w:vAlign w:val="center"/>
          </w:tcPr>
          <w:p w14:paraId="38F706C4" w14:textId="77777777" w:rsidR="00FB1AB6" w:rsidRPr="007F5365" w:rsidRDefault="00FB1AB6" w:rsidP="004D50A9">
            <w:pPr>
              <w:spacing w:line="240" w:lineRule="auto"/>
              <w:ind w:firstLine="0"/>
              <w:rPr>
                <w:sz w:val="22"/>
                <w:szCs w:val="22"/>
              </w:rPr>
            </w:pPr>
            <w:r w:rsidRPr="007F5365">
              <w:rPr>
                <w:sz w:val="22"/>
                <w:szCs w:val="22"/>
              </w:rPr>
              <w:t>Fuel Switching: Electric Clothes Dryer to Gas Clothes Dryer</w:t>
            </w:r>
          </w:p>
        </w:tc>
      </w:tr>
      <w:tr w:rsidR="00FB1AB6" w:rsidRPr="00382A66" w14:paraId="0A4187B0" w14:textId="77777777" w:rsidTr="007F5365">
        <w:trPr>
          <w:trHeight w:val="432"/>
          <w:jc w:val="center"/>
        </w:trPr>
        <w:tc>
          <w:tcPr>
            <w:tcW w:w="1440" w:type="dxa"/>
            <w:vAlign w:val="center"/>
          </w:tcPr>
          <w:p w14:paraId="4E4324F0" w14:textId="77777777" w:rsidR="00FB1AB6" w:rsidRPr="007F5365" w:rsidRDefault="00FB1AB6" w:rsidP="004D50A9">
            <w:pPr>
              <w:spacing w:line="240" w:lineRule="auto"/>
              <w:ind w:firstLine="0"/>
              <w:rPr>
                <w:sz w:val="22"/>
                <w:szCs w:val="22"/>
              </w:rPr>
            </w:pPr>
            <w:r w:rsidRPr="007F5365">
              <w:rPr>
                <w:sz w:val="22"/>
                <w:szCs w:val="22"/>
              </w:rPr>
              <w:t>2.4.7</w:t>
            </w:r>
          </w:p>
        </w:tc>
        <w:tc>
          <w:tcPr>
            <w:tcW w:w="3240" w:type="dxa"/>
            <w:vAlign w:val="center"/>
          </w:tcPr>
          <w:p w14:paraId="00ECF690" w14:textId="77777777" w:rsidR="00FB1AB6" w:rsidRPr="007F5365" w:rsidRDefault="00FB1AB6" w:rsidP="004D50A9">
            <w:pPr>
              <w:spacing w:line="240" w:lineRule="auto"/>
              <w:ind w:firstLine="0"/>
              <w:rPr>
                <w:sz w:val="22"/>
                <w:szCs w:val="22"/>
              </w:rPr>
            </w:pPr>
            <w:r w:rsidRPr="007F5365">
              <w:rPr>
                <w:sz w:val="22"/>
                <w:szCs w:val="22"/>
              </w:rPr>
              <w:t>ENERGY STAR Dishwashers</w:t>
            </w:r>
          </w:p>
        </w:tc>
        <w:tc>
          <w:tcPr>
            <w:tcW w:w="1440" w:type="dxa"/>
            <w:vAlign w:val="center"/>
          </w:tcPr>
          <w:p w14:paraId="1DBBB0F4" w14:textId="77777777" w:rsidR="00FB1AB6" w:rsidRPr="007F5365" w:rsidRDefault="00FB1AB6" w:rsidP="004D50A9">
            <w:pPr>
              <w:spacing w:line="240" w:lineRule="auto"/>
              <w:ind w:firstLine="0"/>
              <w:rPr>
                <w:sz w:val="22"/>
                <w:szCs w:val="22"/>
              </w:rPr>
            </w:pPr>
            <w:r w:rsidRPr="007F5365">
              <w:rPr>
                <w:sz w:val="22"/>
                <w:szCs w:val="22"/>
              </w:rPr>
              <w:t>2.4.8</w:t>
            </w:r>
          </w:p>
        </w:tc>
        <w:tc>
          <w:tcPr>
            <w:tcW w:w="3240" w:type="dxa"/>
            <w:vAlign w:val="center"/>
          </w:tcPr>
          <w:p w14:paraId="448054C9" w14:textId="77777777" w:rsidR="00FB1AB6" w:rsidRPr="007F5365" w:rsidRDefault="00FB1AB6" w:rsidP="004D50A9">
            <w:pPr>
              <w:spacing w:line="240" w:lineRule="auto"/>
              <w:ind w:firstLine="0"/>
              <w:rPr>
                <w:sz w:val="22"/>
                <w:szCs w:val="22"/>
              </w:rPr>
            </w:pPr>
            <w:r w:rsidRPr="007F5365">
              <w:rPr>
                <w:sz w:val="22"/>
                <w:szCs w:val="22"/>
              </w:rPr>
              <w:t>ENERGY STAR Dishwashers</w:t>
            </w:r>
          </w:p>
        </w:tc>
      </w:tr>
      <w:tr w:rsidR="00FB1AB6" w:rsidRPr="00382A66" w14:paraId="07A434B8" w14:textId="77777777" w:rsidTr="007F5365">
        <w:trPr>
          <w:trHeight w:val="432"/>
          <w:jc w:val="center"/>
        </w:trPr>
        <w:tc>
          <w:tcPr>
            <w:tcW w:w="1440" w:type="dxa"/>
            <w:vAlign w:val="center"/>
          </w:tcPr>
          <w:p w14:paraId="0EFF32DF" w14:textId="77777777" w:rsidR="00FB1AB6" w:rsidRPr="007F5365" w:rsidRDefault="00FB1AB6" w:rsidP="004D50A9">
            <w:pPr>
              <w:spacing w:line="240" w:lineRule="auto"/>
              <w:ind w:firstLine="0"/>
              <w:rPr>
                <w:sz w:val="22"/>
                <w:szCs w:val="22"/>
              </w:rPr>
            </w:pPr>
            <w:r w:rsidRPr="007F5365">
              <w:rPr>
                <w:sz w:val="22"/>
                <w:szCs w:val="22"/>
              </w:rPr>
              <w:t>2.4.8</w:t>
            </w:r>
          </w:p>
        </w:tc>
        <w:tc>
          <w:tcPr>
            <w:tcW w:w="3240" w:type="dxa"/>
            <w:vAlign w:val="center"/>
          </w:tcPr>
          <w:p w14:paraId="6F4F56DF" w14:textId="77777777" w:rsidR="00FB1AB6" w:rsidRPr="007F5365" w:rsidRDefault="00FB1AB6" w:rsidP="004D50A9">
            <w:pPr>
              <w:spacing w:line="240" w:lineRule="auto"/>
              <w:ind w:firstLine="0"/>
              <w:rPr>
                <w:sz w:val="22"/>
                <w:szCs w:val="22"/>
              </w:rPr>
            </w:pPr>
            <w:r w:rsidRPr="007F5365">
              <w:rPr>
                <w:sz w:val="22"/>
                <w:szCs w:val="22"/>
              </w:rPr>
              <w:t>ENERGY STAR Dehumidifiers</w:t>
            </w:r>
          </w:p>
        </w:tc>
        <w:tc>
          <w:tcPr>
            <w:tcW w:w="1440" w:type="dxa"/>
            <w:vAlign w:val="center"/>
          </w:tcPr>
          <w:p w14:paraId="51C49C40" w14:textId="77777777" w:rsidR="00FB1AB6" w:rsidRPr="007F5365" w:rsidRDefault="00FB1AB6" w:rsidP="004D50A9">
            <w:pPr>
              <w:spacing w:line="240" w:lineRule="auto"/>
              <w:ind w:firstLine="0"/>
              <w:rPr>
                <w:sz w:val="22"/>
                <w:szCs w:val="22"/>
              </w:rPr>
            </w:pPr>
            <w:r w:rsidRPr="007F5365">
              <w:rPr>
                <w:sz w:val="22"/>
                <w:szCs w:val="22"/>
              </w:rPr>
              <w:t>2.4.9</w:t>
            </w:r>
          </w:p>
        </w:tc>
        <w:tc>
          <w:tcPr>
            <w:tcW w:w="3240" w:type="dxa"/>
            <w:vAlign w:val="center"/>
          </w:tcPr>
          <w:p w14:paraId="7EAB2B2C" w14:textId="77777777" w:rsidR="00FB1AB6" w:rsidRPr="007F5365" w:rsidRDefault="00FB1AB6" w:rsidP="004D50A9">
            <w:pPr>
              <w:spacing w:line="240" w:lineRule="auto"/>
              <w:ind w:firstLine="0"/>
              <w:rPr>
                <w:sz w:val="22"/>
                <w:szCs w:val="22"/>
              </w:rPr>
            </w:pPr>
            <w:r w:rsidRPr="007F5365">
              <w:rPr>
                <w:sz w:val="22"/>
                <w:szCs w:val="22"/>
              </w:rPr>
              <w:t>ENERGY STAR Dehumidifiers</w:t>
            </w:r>
          </w:p>
        </w:tc>
      </w:tr>
      <w:tr w:rsidR="00FB1AB6" w:rsidRPr="00382A66" w14:paraId="73A03B36" w14:textId="77777777" w:rsidTr="007F5365">
        <w:trPr>
          <w:trHeight w:val="432"/>
          <w:jc w:val="center"/>
        </w:trPr>
        <w:tc>
          <w:tcPr>
            <w:tcW w:w="1440" w:type="dxa"/>
            <w:vAlign w:val="center"/>
          </w:tcPr>
          <w:p w14:paraId="41872287" w14:textId="77777777" w:rsidR="00FB1AB6" w:rsidRPr="007F5365" w:rsidRDefault="00FB1AB6" w:rsidP="004D50A9">
            <w:pPr>
              <w:spacing w:line="240" w:lineRule="auto"/>
              <w:ind w:firstLine="0"/>
              <w:rPr>
                <w:sz w:val="22"/>
                <w:szCs w:val="22"/>
              </w:rPr>
            </w:pPr>
            <w:r w:rsidRPr="007F5365">
              <w:rPr>
                <w:sz w:val="22"/>
                <w:szCs w:val="22"/>
              </w:rPr>
              <w:t>2.4.9</w:t>
            </w:r>
          </w:p>
        </w:tc>
        <w:tc>
          <w:tcPr>
            <w:tcW w:w="3240" w:type="dxa"/>
            <w:vAlign w:val="center"/>
          </w:tcPr>
          <w:p w14:paraId="78446AE8" w14:textId="77777777" w:rsidR="00FB1AB6" w:rsidRPr="007F5365" w:rsidRDefault="00FB1AB6" w:rsidP="004D50A9">
            <w:pPr>
              <w:spacing w:line="240" w:lineRule="auto"/>
              <w:ind w:firstLine="0"/>
              <w:rPr>
                <w:sz w:val="22"/>
                <w:szCs w:val="22"/>
              </w:rPr>
            </w:pPr>
            <w:r w:rsidRPr="007F5365">
              <w:rPr>
                <w:sz w:val="22"/>
                <w:szCs w:val="22"/>
              </w:rPr>
              <w:t>ENERGY STAR Water Coolers</w:t>
            </w:r>
          </w:p>
        </w:tc>
        <w:tc>
          <w:tcPr>
            <w:tcW w:w="1440" w:type="dxa"/>
            <w:vAlign w:val="center"/>
          </w:tcPr>
          <w:p w14:paraId="73C64CA0" w14:textId="77777777" w:rsidR="00FB1AB6" w:rsidRPr="007F5365" w:rsidRDefault="00FB1AB6" w:rsidP="004D50A9">
            <w:pPr>
              <w:spacing w:line="240" w:lineRule="auto"/>
              <w:ind w:firstLine="0"/>
              <w:rPr>
                <w:sz w:val="22"/>
                <w:szCs w:val="22"/>
              </w:rPr>
            </w:pPr>
            <w:r w:rsidRPr="007F5365">
              <w:rPr>
                <w:sz w:val="22"/>
                <w:szCs w:val="22"/>
              </w:rPr>
              <w:t>2.4.10</w:t>
            </w:r>
          </w:p>
        </w:tc>
        <w:tc>
          <w:tcPr>
            <w:tcW w:w="3240" w:type="dxa"/>
            <w:vAlign w:val="center"/>
          </w:tcPr>
          <w:p w14:paraId="19768A31" w14:textId="77777777" w:rsidR="00FB1AB6" w:rsidRPr="007F5365" w:rsidRDefault="00FB1AB6" w:rsidP="004D50A9">
            <w:pPr>
              <w:spacing w:line="240" w:lineRule="auto"/>
              <w:ind w:firstLine="0"/>
              <w:rPr>
                <w:sz w:val="22"/>
                <w:szCs w:val="22"/>
              </w:rPr>
            </w:pPr>
            <w:r w:rsidRPr="007F5365">
              <w:rPr>
                <w:sz w:val="22"/>
                <w:szCs w:val="22"/>
              </w:rPr>
              <w:t>ENERGY STAR Water Coolers</w:t>
            </w:r>
          </w:p>
        </w:tc>
      </w:tr>
      <w:tr w:rsidR="00FB1AB6" w:rsidRPr="00382A66" w14:paraId="7174A055" w14:textId="77777777" w:rsidTr="007F5365">
        <w:trPr>
          <w:trHeight w:val="432"/>
          <w:jc w:val="center"/>
        </w:trPr>
        <w:tc>
          <w:tcPr>
            <w:tcW w:w="1440" w:type="dxa"/>
            <w:vAlign w:val="center"/>
          </w:tcPr>
          <w:p w14:paraId="650C7669" w14:textId="77777777" w:rsidR="00FB1AB6" w:rsidRPr="007F5365" w:rsidRDefault="00FB1AB6" w:rsidP="004D50A9">
            <w:pPr>
              <w:spacing w:line="240" w:lineRule="auto"/>
              <w:ind w:firstLine="0"/>
              <w:rPr>
                <w:sz w:val="22"/>
                <w:szCs w:val="22"/>
              </w:rPr>
            </w:pPr>
            <w:r w:rsidRPr="007F5365">
              <w:rPr>
                <w:sz w:val="22"/>
                <w:szCs w:val="22"/>
              </w:rPr>
              <w:t>2.4.10</w:t>
            </w:r>
          </w:p>
        </w:tc>
        <w:tc>
          <w:tcPr>
            <w:tcW w:w="3240" w:type="dxa"/>
            <w:vAlign w:val="center"/>
          </w:tcPr>
          <w:p w14:paraId="2A277449" w14:textId="77777777" w:rsidR="00FB1AB6" w:rsidRPr="007F5365" w:rsidRDefault="00FB1AB6" w:rsidP="004D50A9">
            <w:pPr>
              <w:spacing w:line="240" w:lineRule="auto"/>
              <w:ind w:firstLine="0"/>
              <w:rPr>
                <w:sz w:val="22"/>
                <w:szCs w:val="22"/>
              </w:rPr>
            </w:pPr>
            <w:r w:rsidRPr="007F5365">
              <w:rPr>
                <w:sz w:val="22"/>
                <w:szCs w:val="22"/>
              </w:rPr>
              <w:t>ENERGY STAR Ceiling Fans</w:t>
            </w:r>
          </w:p>
        </w:tc>
        <w:tc>
          <w:tcPr>
            <w:tcW w:w="1440" w:type="dxa"/>
            <w:vAlign w:val="center"/>
          </w:tcPr>
          <w:p w14:paraId="46A4DBB4" w14:textId="77777777" w:rsidR="00FB1AB6" w:rsidRPr="007F5365" w:rsidRDefault="00FB1AB6" w:rsidP="004D50A9">
            <w:pPr>
              <w:spacing w:line="240" w:lineRule="auto"/>
              <w:ind w:firstLine="0"/>
              <w:rPr>
                <w:sz w:val="22"/>
                <w:szCs w:val="22"/>
              </w:rPr>
            </w:pPr>
            <w:r w:rsidRPr="007F5365">
              <w:rPr>
                <w:sz w:val="22"/>
                <w:szCs w:val="22"/>
              </w:rPr>
              <w:t>2.4.11</w:t>
            </w:r>
          </w:p>
        </w:tc>
        <w:tc>
          <w:tcPr>
            <w:tcW w:w="3240" w:type="dxa"/>
            <w:vAlign w:val="center"/>
          </w:tcPr>
          <w:p w14:paraId="3D8D514C" w14:textId="77777777" w:rsidR="00FB1AB6" w:rsidRPr="007F5365" w:rsidRDefault="00FB1AB6" w:rsidP="004D50A9">
            <w:pPr>
              <w:spacing w:line="240" w:lineRule="auto"/>
              <w:ind w:firstLine="0"/>
              <w:rPr>
                <w:sz w:val="22"/>
                <w:szCs w:val="22"/>
              </w:rPr>
            </w:pPr>
            <w:r w:rsidRPr="007F5365">
              <w:rPr>
                <w:sz w:val="22"/>
                <w:szCs w:val="22"/>
              </w:rPr>
              <w:t>ENERGY STAR Ceiling Fans</w:t>
            </w:r>
          </w:p>
        </w:tc>
      </w:tr>
      <w:tr w:rsidR="00FB1AB6" w:rsidRPr="00382A66" w14:paraId="76133D4D" w14:textId="77777777" w:rsidTr="007F5365">
        <w:trPr>
          <w:trHeight w:val="432"/>
          <w:jc w:val="center"/>
        </w:trPr>
        <w:tc>
          <w:tcPr>
            <w:tcW w:w="1440" w:type="dxa"/>
            <w:vAlign w:val="center"/>
          </w:tcPr>
          <w:p w14:paraId="2237C0E9" w14:textId="77777777" w:rsidR="00FB1AB6" w:rsidRPr="007F5365" w:rsidRDefault="00FB1AB6" w:rsidP="004D50A9">
            <w:pPr>
              <w:spacing w:line="240" w:lineRule="auto"/>
              <w:ind w:firstLine="0"/>
              <w:rPr>
                <w:sz w:val="22"/>
                <w:szCs w:val="22"/>
              </w:rPr>
            </w:pPr>
            <w:r w:rsidRPr="007F5365">
              <w:rPr>
                <w:sz w:val="22"/>
                <w:szCs w:val="22"/>
              </w:rPr>
              <w:t>2.5.1</w:t>
            </w:r>
          </w:p>
        </w:tc>
        <w:tc>
          <w:tcPr>
            <w:tcW w:w="3240" w:type="dxa"/>
            <w:vAlign w:val="center"/>
          </w:tcPr>
          <w:p w14:paraId="4FF07100" w14:textId="77777777" w:rsidR="00FB1AB6" w:rsidRPr="007F5365" w:rsidRDefault="00FB1AB6" w:rsidP="004D50A9">
            <w:pPr>
              <w:spacing w:line="240" w:lineRule="auto"/>
              <w:ind w:firstLine="0"/>
              <w:rPr>
                <w:sz w:val="22"/>
                <w:szCs w:val="22"/>
              </w:rPr>
            </w:pPr>
            <w:r w:rsidRPr="007F5365">
              <w:rPr>
                <w:sz w:val="22"/>
                <w:szCs w:val="22"/>
              </w:rPr>
              <w:t>ENERGY STAR Televisions</w:t>
            </w:r>
          </w:p>
        </w:tc>
        <w:tc>
          <w:tcPr>
            <w:tcW w:w="1440" w:type="dxa"/>
            <w:vAlign w:val="center"/>
          </w:tcPr>
          <w:p w14:paraId="562BFC58" w14:textId="77777777" w:rsidR="00FB1AB6" w:rsidRPr="007F5365" w:rsidRDefault="00FB1AB6" w:rsidP="004D50A9">
            <w:pPr>
              <w:spacing w:line="240" w:lineRule="auto"/>
              <w:ind w:firstLine="0"/>
              <w:rPr>
                <w:sz w:val="22"/>
                <w:szCs w:val="22"/>
              </w:rPr>
            </w:pPr>
            <w:r w:rsidRPr="007F5365">
              <w:rPr>
                <w:sz w:val="22"/>
                <w:szCs w:val="22"/>
              </w:rPr>
              <w:t>-</w:t>
            </w:r>
          </w:p>
        </w:tc>
        <w:tc>
          <w:tcPr>
            <w:tcW w:w="3240" w:type="dxa"/>
            <w:vAlign w:val="center"/>
          </w:tcPr>
          <w:p w14:paraId="707C92A8" w14:textId="77777777" w:rsidR="00FB1AB6" w:rsidRPr="007F5365" w:rsidRDefault="00FB1AB6" w:rsidP="004D50A9">
            <w:pPr>
              <w:spacing w:line="240" w:lineRule="auto"/>
              <w:ind w:firstLine="0"/>
              <w:rPr>
                <w:sz w:val="22"/>
                <w:szCs w:val="22"/>
              </w:rPr>
            </w:pPr>
            <w:r w:rsidRPr="007F5365">
              <w:rPr>
                <w:sz w:val="22"/>
                <w:szCs w:val="22"/>
              </w:rPr>
              <w:t>Deleted</w:t>
            </w:r>
          </w:p>
        </w:tc>
      </w:tr>
      <w:tr w:rsidR="00FB1AB6" w:rsidRPr="00382A66" w14:paraId="7C25AEAD" w14:textId="77777777" w:rsidTr="007F5365">
        <w:trPr>
          <w:trHeight w:val="432"/>
          <w:jc w:val="center"/>
        </w:trPr>
        <w:tc>
          <w:tcPr>
            <w:tcW w:w="1440" w:type="dxa"/>
            <w:vAlign w:val="center"/>
          </w:tcPr>
          <w:p w14:paraId="5B239FFE" w14:textId="77777777" w:rsidR="00FB1AB6" w:rsidRPr="007F5365" w:rsidRDefault="00FB1AB6" w:rsidP="004D50A9">
            <w:pPr>
              <w:spacing w:line="240" w:lineRule="auto"/>
              <w:ind w:firstLine="0"/>
              <w:rPr>
                <w:sz w:val="22"/>
                <w:szCs w:val="22"/>
              </w:rPr>
            </w:pPr>
            <w:r w:rsidRPr="007F5365">
              <w:rPr>
                <w:sz w:val="22"/>
                <w:szCs w:val="22"/>
              </w:rPr>
              <w:t>2.5.2</w:t>
            </w:r>
          </w:p>
        </w:tc>
        <w:tc>
          <w:tcPr>
            <w:tcW w:w="3240" w:type="dxa"/>
            <w:vAlign w:val="center"/>
          </w:tcPr>
          <w:p w14:paraId="00BDB835" w14:textId="77777777" w:rsidR="00FB1AB6" w:rsidRPr="007F5365" w:rsidRDefault="00FB1AB6" w:rsidP="004D50A9">
            <w:pPr>
              <w:spacing w:line="240" w:lineRule="auto"/>
              <w:ind w:firstLine="0"/>
              <w:rPr>
                <w:sz w:val="22"/>
                <w:szCs w:val="22"/>
              </w:rPr>
            </w:pPr>
            <w:r w:rsidRPr="007F5365">
              <w:rPr>
                <w:sz w:val="22"/>
                <w:szCs w:val="22"/>
              </w:rPr>
              <w:t>ENERGY STAR Office Equipment</w:t>
            </w:r>
          </w:p>
        </w:tc>
        <w:tc>
          <w:tcPr>
            <w:tcW w:w="1440" w:type="dxa"/>
            <w:vAlign w:val="center"/>
          </w:tcPr>
          <w:p w14:paraId="09507012" w14:textId="77777777" w:rsidR="00FB1AB6" w:rsidRPr="007F5365" w:rsidRDefault="00FB1AB6" w:rsidP="004D50A9">
            <w:pPr>
              <w:spacing w:line="240" w:lineRule="auto"/>
              <w:ind w:firstLine="0"/>
              <w:rPr>
                <w:sz w:val="22"/>
                <w:szCs w:val="22"/>
              </w:rPr>
            </w:pPr>
            <w:r w:rsidRPr="007F5365">
              <w:rPr>
                <w:sz w:val="22"/>
                <w:szCs w:val="22"/>
              </w:rPr>
              <w:t>2.5.1</w:t>
            </w:r>
          </w:p>
        </w:tc>
        <w:tc>
          <w:tcPr>
            <w:tcW w:w="3240" w:type="dxa"/>
            <w:vAlign w:val="center"/>
          </w:tcPr>
          <w:p w14:paraId="6DE81976" w14:textId="77777777" w:rsidR="00FB1AB6" w:rsidRPr="007F5365" w:rsidRDefault="00FB1AB6" w:rsidP="004D50A9">
            <w:pPr>
              <w:spacing w:line="240" w:lineRule="auto"/>
              <w:ind w:firstLine="0"/>
              <w:rPr>
                <w:sz w:val="22"/>
                <w:szCs w:val="22"/>
              </w:rPr>
            </w:pPr>
            <w:r w:rsidRPr="007F5365">
              <w:rPr>
                <w:sz w:val="22"/>
                <w:szCs w:val="22"/>
              </w:rPr>
              <w:t>ENERGY STAR Office Equipment</w:t>
            </w:r>
          </w:p>
        </w:tc>
      </w:tr>
      <w:tr w:rsidR="00FB1AB6" w:rsidRPr="00382A66" w14:paraId="271CCFC5" w14:textId="77777777" w:rsidTr="007F5365">
        <w:trPr>
          <w:trHeight w:val="432"/>
          <w:jc w:val="center"/>
        </w:trPr>
        <w:tc>
          <w:tcPr>
            <w:tcW w:w="1440" w:type="dxa"/>
            <w:vAlign w:val="center"/>
          </w:tcPr>
          <w:p w14:paraId="4CAB0D2C" w14:textId="77777777" w:rsidR="00FB1AB6" w:rsidRPr="007F5365" w:rsidRDefault="00FB1AB6" w:rsidP="004D50A9">
            <w:pPr>
              <w:spacing w:line="240" w:lineRule="auto"/>
              <w:ind w:firstLine="0"/>
              <w:rPr>
                <w:sz w:val="22"/>
                <w:szCs w:val="22"/>
              </w:rPr>
            </w:pPr>
            <w:r w:rsidRPr="007F5365">
              <w:rPr>
                <w:sz w:val="22"/>
                <w:szCs w:val="22"/>
              </w:rPr>
              <w:t>2.5.3</w:t>
            </w:r>
          </w:p>
        </w:tc>
        <w:tc>
          <w:tcPr>
            <w:tcW w:w="3240" w:type="dxa"/>
            <w:vAlign w:val="center"/>
          </w:tcPr>
          <w:p w14:paraId="5925213B" w14:textId="77777777" w:rsidR="00FB1AB6" w:rsidRPr="007F5365" w:rsidRDefault="00FB1AB6" w:rsidP="004D50A9">
            <w:pPr>
              <w:spacing w:line="240" w:lineRule="auto"/>
              <w:ind w:firstLine="0"/>
              <w:rPr>
                <w:sz w:val="22"/>
                <w:szCs w:val="22"/>
              </w:rPr>
            </w:pPr>
            <w:r w:rsidRPr="007F5365">
              <w:rPr>
                <w:sz w:val="22"/>
                <w:szCs w:val="22"/>
              </w:rPr>
              <w:t>Smart Strip Plug Outlets</w:t>
            </w:r>
          </w:p>
        </w:tc>
        <w:tc>
          <w:tcPr>
            <w:tcW w:w="1440" w:type="dxa"/>
            <w:vAlign w:val="center"/>
          </w:tcPr>
          <w:p w14:paraId="0078C2E2" w14:textId="77777777" w:rsidR="00FB1AB6" w:rsidRPr="007F5365" w:rsidRDefault="00FB1AB6" w:rsidP="004D50A9">
            <w:pPr>
              <w:spacing w:line="240" w:lineRule="auto"/>
              <w:ind w:firstLine="0"/>
              <w:rPr>
                <w:sz w:val="22"/>
                <w:szCs w:val="22"/>
              </w:rPr>
            </w:pPr>
            <w:r w:rsidRPr="007F5365">
              <w:rPr>
                <w:sz w:val="22"/>
                <w:szCs w:val="22"/>
              </w:rPr>
              <w:t>2.5.2</w:t>
            </w:r>
          </w:p>
        </w:tc>
        <w:tc>
          <w:tcPr>
            <w:tcW w:w="3240" w:type="dxa"/>
            <w:vAlign w:val="center"/>
          </w:tcPr>
          <w:p w14:paraId="33D9018A" w14:textId="77777777" w:rsidR="00FB1AB6" w:rsidRPr="007F5365" w:rsidRDefault="00FB1AB6" w:rsidP="004D50A9">
            <w:pPr>
              <w:spacing w:line="240" w:lineRule="auto"/>
              <w:ind w:firstLine="0"/>
              <w:rPr>
                <w:sz w:val="22"/>
                <w:szCs w:val="22"/>
              </w:rPr>
            </w:pPr>
            <w:r w:rsidRPr="007F5365">
              <w:rPr>
                <w:sz w:val="22"/>
                <w:szCs w:val="22"/>
              </w:rPr>
              <w:t>Advanced Power Strips</w:t>
            </w:r>
          </w:p>
        </w:tc>
      </w:tr>
      <w:tr w:rsidR="00FB1AB6" w:rsidRPr="00382A66" w14:paraId="15E5F825" w14:textId="77777777" w:rsidTr="007F5365">
        <w:trPr>
          <w:trHeight w:val="432"/>
          <w:jc w:val="center"/>
        </w:trPr>
        <w:tc>
          <w:tcPr>
            <w:tcW w:w="1440" w:type="dxa"/>
            <w:vAlign w:val="center"/>
          </w:tcPr>
          <w:p w14:paraId="175B863B" w14:textId="77777777" w:rsidR="00FB1AB6" w:rsidRPr="007F5365" w:rsidRDefault="00FB1AB6" w:rsidP="004D50A9">
            <w:pPr>
              <w:spacing w:line="240" w:lineRule="auto"/>
              <w:ind w:firstLine="0"/>
              <w:rPr>
                <w:sz w:val="22"/>
                <w:szCs w:val="22"/>
              </w:rPr>
            </w:pPr>
            <w:r w:rsidRPr="007F5365">
              <w:rPr>
                <w:sz w:val="22"/>
                <w:szCs w:val="22"/>
              </w:rPr>
              <w:t>2.6.1</w:t>
            </w:r>
          </w:p>
        </w:tc>
        <w:tc>
          <w:tcPr>
            <w:tcW w:w="3240" w:type="dxa"/>
            <w:vAlign w:val="center"/>
          </w:tcPr>
          <w:p w14:paraId="2D395678" w14:textId="77777777" w:rsidR="00FB1AB6" w:rsidRPr="007F5365" w:rsidRDefault="00FB1AB6" w:rsidP="004D50A9">
            <w:pPr>
              <w:spacing w:line="240" w:lineRule="auto"/>
              <w:ind w:firstLine="0"/>
              <w:rPr>
                <w:sz w:val="22"/>
                <w:szCs w:val="22"/>
              </w:rPr>
            </w:pPr>
            <w:r w:rsidRPr="007F5365">
              <w:rPr>
                <w:sz w:val="22"/>
                <w:szCs w:val="22"/>
              </w:rPr>
              <w:t>Ceiling / Attic and Wall Insulation</w:t>
            </w:r>
          </w:p>
        </w:tc>
        <w:tc>
          <w:tcPr>
            <w:tcW w:w="1440" w:type="dxa"/>
            <w:vAlign w:val="center"/>
          </w:tcPr>
          <w:p w14:paraId="0BB7114D" w14:textId="77777777" w:rsidR="00FB1AB6" w:rsidRPr="007F5365" w:rsidRDefault="00FB1AB6" w:rsidP="004D50A9">
            <w:pPr>
              <w:spacing w:line="240" w:lineRule="auto"/>
              <w:ind w:firstLine="0"/>
              <w:rPr>
                <w:sz w:val="22"/>
                <w:szCs w:val="22"/>
              </w:rPr>
            </w:pPr>
            <w:r w:rsidRPr="007F5365">
              <w:rPr>
                <w:sz w:val="22"/>
                <w:szCs w:val="22"/>
              </w:rPr>
              <w:t>2.6.3</w:t>
            </w:r>
          </w:p>
        </w:tc>
        <w:tc>
          <w:tcPr>
            <w:tcW w:w="3240" w:type="dxa"/>
            <w:vAlign w:val="center"/>
          </w:tcPr>
          <w:p w14:paraId="091F6EAF" w14:textId="28191120" w:rsidR="00FB1AB6" w:rsidRPr="007F5365" w:rsidRDefault="00FB1AB6" w:rsidP="004D50A9">
            <w:pPr>
              <w:spacing w:line="240" w:lineRule="auto"/>
              <w:ind w:firstLine="0"/>
              <w:rPr>
                <w:sz w:val="22"/>
                <w:szCs w:val="22"/>
              </w:rPr>
            </w:pPr>
            <w:r w:rsidRPr="007F5365">
              <w:rPr>
                <w:sz w:val="22"/>
                <w:szCs w:val="22"/>
              </w:rPr>
              <w:t>Ceiling / Attic, Wall, Floor</w:t>
            </w:r>
            <w:r w:rsidR="006A3152" w:rsidRPr="007F5365">
              <w:rPr>
                <w:sz w:val="22"/>
                <w:szCs w:val="22"/>
              </w:rPr>
              <w:t>,</w:t>
            </w:r>
            <w:r w:rsidRPr="007F5365">
              <w:rPr>
                <w:sz w:val="22"/>
                <w:szCs w:val="22"/>
              </w:rPr>
              <w:t xml:space="preserve"> and Rim Joist Insulation</w:t>
            </w:r>
          </w:p>
        </w:tc>
      </w:tr>
      <w:tr w:rsidR="00FB1AB6" w:rsidRPr="00382A66" w14:paraId="32354651" w14:textId="77777777" w:rsidTr="007F5365">
        <w:trPr>
          <w:trHeight w:val="432"/>
          <w:jc w:val="center"/>
        </w:trPr>
        <w:tc>
          <w:tcPr>
            <w:tcW w:w="1440" w:type="dxa"/>
            <w:vAlign w:val="center"/>
          </w:tcPr>
          <w:p w14:paraId="326D66FE" w14:textId="77777777" w:rsidR="00FB1AB6" w:rsidRPr="007F5365" w:rsidRDefault="00FB1AB6" w:rsidP="004D50A9">
            <w:pPr>
              <w:spacing w:line="240" w:lineRule="auto"/>
              <w:ind w:firstLine="0"/>
              <w:rPr>
                <w:sz w:val="22"/>
                <w:szCs w:val="22"/>
              </w:rPr>
            </w:pPr>
            <w:r w:rsidRPr="007F5365">
              <w:rPr>
                <w:sz w:val="22"/>
                <w:szCs w:val="22"/>
              </w:rPr>
              <w:t>2.6.2</w:t>
            </w:r>
          </w:p>
        </w:tc>
        <w:tc>
          <w:tcPr>
            <w:tcW w:w="3240" w:type="dxa"/>
            <w:vAlign w:val="center"/>
          </w:tcPr>
          <w:p w14:paraId="2A14DB4E" w14:textId="77777777" w:rsidR="00FB1AB6" w:rsidRPr="007F5365" w:rsidRDefault="00FB1AB6" w:rsidP="004D50A9">
            <w:pPr>
              <w:spacing w:line="240" w:lineRule="auto"/>
              <w:ind w:firstLine="0"/>
              <w:rPr>
                <w:sz w:val="22"/>
                <w:szCs w:val="22"/>
              </w:rPr>
            </w:pPr>
            <w:r w:rsidRPr="007F5365">
              <w:rPr>
                <w:sz w:val="22"/>
                <w:szCs w:val="22"/>
              </w:rPr>
              <w:t>ENERGY STAR Windows</w:t>
            </w:r>
          </w:p>
        </w:tc>
        <w:tc>
          <w:tcPr>
            <w:tcW w:w="1440" w:type="dxa"/>
            <w:vAlign w:val="center"/>
          </w:tcPr>
          <w:p w14:paraId="7D2E03EE" w14:textId="77777777" w:rsidR="00FB1AB6" w:rsidRPr="007F5365" w:rsidRDefault="00FB1AB6" w:rsidP="004D50A9">
            <w:pPr>
              <w:spacing w:line="240" w:lineRule="auto"/>
              <w:ind w:firstLine="0"/>
              <w:rPr>
                <w:sz w:val="22"/>
                <w:szCs w:val="22"/>
              </w:rPr>
            </w:pPr>
            <w:r w:rsidRPr="007F5365">
              <w:rPr>
                <w:sz w:val="22"/>
                <w:szCs w:val="22"/>
              </w:rPr>
              <w:t>2.6.6</w:t>
            </w:r>
          </w:p>
        </w:tc>
        <w:tc>
          <w:tcPr>
            <w:tcW w:w="3240" w:type="dxa"/>
            <w:vAlign w:val="center"/>
          </w:tcPr>
          <w:p w14:paraId="6959B9AE" w14:textId="77777777" w:rsidR="00FB1AB6" w:rsidRPr="007F5365" w:rsidRDefault="00FB1AB6" w:rsidP="004D50A9">
            <w:pPr>
              <w:spacing w:line="240" w:lineRule="auto"/>
              <w:ind w:firstLine="0"/>
              <w:rPr>
                <w:sz w:val="22"/>
                <w:szCs w:val="22"/>
              </w:rPr>
            </w:pPr>
            <w:r w:rsidRPr="007F5365">
              <w:rPr>
                <w:sz w:val="22"/>
                <w:szCs w:val="22"/>
              </w:rPr>
              <w:t>ENERGY STAR Windows</w:t>
            </w:r>
          </w:p>
        </w:tc>
      </w:tr>
      <w:tr w:rsidR="00FB1AB6" w:rsidRPr="00382A66" w14:paraId="30BA85C2" w14:textId="77777777" w:rsidTr="007F5365">
        <w:trPr>
          <w:trHeight w:val="432"/>
          <w:jc w:val="center"/>
        </w:trPr>
        <w:tc>
          <w:tcPr>
            <w:tcW w:w="1440" w:type="dxa"/>
            <w:vAlign w:val="center"/>
          </w:tcPr>
          <w:p w14:paraId="40D75FCD" w14:textId="77777777" w:rsidR="00FB1AB6" w:rsidRPr="007F5365" w:rsidRDefault="00FB1AB6" w:rsidP="004D50A9">
            <w:pPr>
              <w:spacing w:line="240" w:lineRule="auto"/>
              <w:ind w:firstLine="0"/>
              <w:rPr>
                <w:sz w:val="22"/>
                <w:szCs w:val="22"/>
              </w:rPr>
            </w:pPr>
            <w:r w:rsidRPr="007F5365">
              <w:rPr>
                <w:sz w:val="22"/>
                <w:szCs w:val="22"/>
              </w:rPr>
              <w:lastRenderedPageBreak/>
              <w:t>2.6.3</w:t>
            </w:r>
          </w:p>
        </w:tc>
        <w:tc>
          <w:tcPr>
            <w:tcW w:w="3240" w:type="dxa"/>
            <w:vAlign w:val="center"/>
          </w:tcPr>
          <w:p w14:paraId="2183152A" w14:textId="77777777" w:rsidR="00FB1AB6" w:rsidRPr="007F5365" w:rsidRDefault="00FB1AB6" w:rsidP="004D50A9">
            <w:pPr>
              <w:spacing w:line="240" w:lineRule="auto"/>
              <w:ind w:firstLine="0"/>
              <w:rPr>
                <w:sz w:val="22"/>
                <w:szCs w:val="22"/>
              </w:rPr>
            </w:pPr>
            <w:r w:rsidRPr="007F5365">
              <w:rPr>
                <w:sz w:val="22"/>
                <w:szCs w:val="22"/>
              </w:rPr>
              <w:t>Residential New Construction</w:t>
            </w:r>
          </w:p>
        </w:tc>
        <w:tc>
          <w:tcPr>
            <w:tcW w:w="1440" w:type="dxa"/>
            <w:vAlign w:val="center"/>
          </w:tcPr>
          <w:p w14:paraId="3CCFAFFE" w14:textId="77777777" w:rsidR="00FB1AB6" w:rsidRPr="007F5365" w:rsidRDefault="00FB1AB6" w:rsidP="004D50A9">
            <w:pPr>
              <w:spacing w:line="240" w:lineRule="auto"/>
              <w:ind w:firstLine="0"/>
              <w:rPr>
                <w:sz w:val="22"/>
                <w:szCs w:val="22"/>
              </w:rPr>
            </w:pPr>
            <w:r w:rsidRPr="007F5365">
              <w:rPr>
                <w:sz w:val="22"/>
                <w:szCs w:val="22"/>
              </w:rPr>
              <w:t>2.7.1</w:t>
            </w:r>
          </w:p>
        </w:tc>
        <w:tc>
          <w:tcPr>
            <w:tcW w:w="3240" w:type="dxa"/>
            <w:vAlign w:val="center"/>
          </w:tcPr>
          <w:p w14:paraId="069F84E9" w14:textId="77777777" w:rsidR="00FB1AB6" w:rsidRPr="007F5365" w:rsidRDefault="00FB1AB6" w:rsidP="004D50A9">
            <w:pPr>
              <w:spacing w:line="240" w:lineRule="auto"/>
              <w:ind w:firstLine="0"/>
              <w:rPr>
                <w:sz w:val="22"/>
                <w:szCs w:val="22"/>
              </w:rPr>
            </w:pPr>
            <w:r w:rsidRPr="007F5365">
              <w:rPr>
                <w:sz w:val="22"/>
                <w:szCs w:val="22"/>
              </w:rPr>
              <w:t>Residential New Construction</w:t>
            </w:r>
          </w:p>
        </w:tc>
      </w:tr>
      <w:tr w:rsidR="00FB1AB6" w:rsidRPr="00382A66" w14:paraId="038CE025" w14:textId="77777777" w:rsidTr="007F5365">
        <w:trPr>
          <w:trHeight w:val="432"/>
          <w:jc w:val="center"/>
        </w:trPr>
        <w:tc>
          <w:tcPr>
            <w:tcW w:w="1440" w:type="dxa"/>
            <w:vAlign w:val="center"/>
          </w:tcPr>
          <w:p w14:paraId="7EAA3645" w14:textId="77777777" w:rsidR="00FB1AB6" w:rsidRPr="007F5365" w:rsidRDefault="00FB1AB6" w:rsidP="004D50A9">
            <w:pPr>
              <w:spacing w:line="240" w:lineRule="auto"/>
              <w:ind w:firstLine="0"/>
              <w:rPr>
                <w:sz w:val="22"/>
                <w:szCs w:val="22"/>
              </w:rPr>
            </w:pPr>
            <w:r w:rsidRPr="007F5365">
              <w:rPr>
                <w:sz w:val="22"/>
                <w:szCs w:val="22"/>
              </w:rPr>
              <w:t>2.6.4</w:t>
            </w:r>
          </w:p>
        </w:tc>
        <w:tc>
          <w:tcPr>
            <w:tcW w:w="3240" w:type="dxa"/>
            <w:vAlign w:val="center"/>
          </w:tcPr>
          <w:p w14:paraId="62F0EA41" w14:textId="77777777" w:rsidR="00FB1AB6" w:rsidRPr="007F5365" w:rsidRDefault="00FB1AB6" w:rsidP="004D50A9">
            <w:pPr>
              <w:spacing w:line="240" w:lineRule="auto"/>
              <w:ind w:firstLine="0"/>
              <w:rPr>
                <w:sz w:val="22"/>
                <w:szCs w:val="22"/>
              </w:rPr>
            </w:pPr>
            <w:r w:rsidRPr="007F5365">
              <w:rPr>
                <w:sz w:val="22"/>
                <w:szCs w:val="22"/>
              </w:rPr>
              <w:t>Home Performance with ENERGY STAR</w:t>
            </w:r>
          </w:p>
        </w:tc>
        <w:tc>
          <w:tcPr>
            <w:tcW w:w="1440" w:type="dxa"/>
            <w:vAlign w:val="center"/>
          </w:tcPr>
          <w:p w14:paraId="4F579CC0" w14:textId="77777777" w:rsidR="00FB1AB6" w:rsidRPr="007F5365" w:rsidRDefault="00FB1AB6" w:rsidP="004D50A9">
            <w:pPr>
              <w:spacing w:line="240" w:lineRule="auto"/>
              <w:ind w:firstLine="0"/>
              <w:rPr>
                <w:sz w:val="22"/>
                <w:szCs w:val="22"/>
              </w:rPr>
            </w:pPr>
            <w:r w:rsidRPr="007F5365">
              <w:rPr>
                <w:sz w:val="22"/>
                <w:szCs w:val="22"/>
              </w:rPr>
              <w:t>2.7.2</w:t>
            </w:r>
          </w:p>
        </w:tc>
        <w:tc>
          <w:tcPr>
            <w:tcW w:w="3240" w:type="dxa"/>
            <w:vAlign w:val="center"/>
          </w:tcPr>
          <w:p w14:paraId="6F25431F" w14:textId="77777777" w:rsidR="00FB1AB6" w:rsidRPr="007F5365" w:rsidRDefault="00FB1AB6" w:rsidP="004D50A9">
            <w:pPr>
              <w:spacing w:line="240" w:lineRule="auto"/>
              <w:ind w:firstLine="0"/>
              <w:rPr>
                <w:sz w:val="22"/>
                <w:szCs w:val="22"/>
              </w:rPr>
            </w:pPr>
            <w:r w:rsidRPr="007F5365">
              <w:rPr>
                <w:sz w:val="22"/>
                <w:szCs w:val="22"/>
              </w:rPr>
              <w:t>Home Performance with ENERGY STAR</w:t>
            </w:r>
          </w:p>
        </w:tc>
      </w:tr>
      <w:tr w:rsidR="00FB1AB6" w:rsidRPr="00382A66" w14:paraId="1FCD1FE9" w14:textId="77777777" w:rsidTr="007F5365">
        <w:trPr>
          <w:trHeight w:val="432"/>
          <w:jc w:val="center"/>
        </w:trPr>
        <w:tc>
          <w:tcPr>
            <w:tcW w:w="1440" w:type="dxa"/>
            <w:vAlign w:val="center"/>
          </w:tcPr>
          <w:p w14:paraId="4E7FA3DD" w14:textId="77777777" w:rsidR="00FB1AB6" w:rsidRPr="007F5365" w:rsidRDefault="00FB1AB6" w:rsidP="004D50A9">
            <w:pPr>
              <w:spacing w:line="240" w:lineRule="auto"/>
              <w:ind w:firstLine="0"/>
              <w:rPr>
                <w:sz w:val="22"/>
                <w:szCs w:val="22"/>
              </w:rPr>
            </w:pPr>
            <w:r w:rsidRPr="007F5365">
              <w:rPr>
                <w:sz w:val="22"/>
                <w:szCs w:val="22"/>
              </w:rPr>
              <w:t>2.6.5</w:t>
            </w:r>
          </w:p>
        </w:tc>
        <w:tc>
          <w:tcPr>
            <w:tcW w:w="3240" w:type="dxa"/>
            <w:vAlign w:val="center"/>
          </w:tcPr>
          <w:p w14:paraId="11BE2683" w14:textId="77777777" w:rsidR="00FB1AB6" w:rsidRPr="007F5365" w:rsidRDefault="00FB1AB6" w:rsidP="004D50A9">
            <w:pPr>
              <w:spacing w:line="240" w:lineRule="auto"/>
              <w:ind w:firstLine="0"/>
              <w:rPr>
                <w:sz w:val="22"/>
                <w:szCs w:val="22"/>
              </w:rPr>
            </w:pPr>
            <w:r w:rsidRPr="007F5365">
              <w:rPr>
                <w:sz w:val="22"/>
                <w:szCs w:val="22"/>
              </w:rPr>
              <w:t>ENERGY STAR Manufactured Homes</w:t>
            </w:r>
          </w:p>
        </w:tc>
        <w:tc>
          <w:tcPr>
            <w:tcW w:w="1440" w:type="dxa"/>
            <w:vAlign w:val="center"/>
          </w:tcPr>
          <w:p w14:paraId="46D81F2B" w14:textId="77777777" w:rsidR="00FB1AB6" w:rsidRPr="007F5365" w:rsidRDefault="00FB1AB6" w:rsidP="004D50A9">
            <w:pPr>
              <w:spacing w:line="240" w:lineRule="auto"/>
              <w:ind w:firstLine="0"/>
              <w:rPr>
                <w:sz w:val="22"/>
                <w:szCs w:val="22"/>
              </w:rPr>
            </w:pPr>
            <w:r w:rsidRPr="007F5365">
              <w:rPr>
                <w:sz w:val="22"/>
                <w:szCs w:val="22"/>
              </w:rPr>
              <w:t>2.7.4</w:t>
            </w:r>
          </w:p>
        </w:tc>
        <w:tc>
          <w:tcPr>
            <w:tcW w:w="3240" w:type="dxa"/>
            <w:vAlign w:val="center"/>
          </w:tcPr>
          <w:p w14:paraId="6C309B92" w14:textId="77777777" w:rsidR="00FB1AB6" w:rsidRPr="007F5365" w:rsidRDefault="00FB1AB6" w:rsidP="004D50A9">
            <w:pPr>
              <w:spacing w:line="240" w:lineRule="auto"/>
              <w:ind w:firstLine="0"/>
              <w:rPr>
                <w:sz w:val="22"/>
                <w:szCs w:val="22"/>
              </w:rPr>
            </w:pPr>
            <w:r w:rsidRPr="007F5365">
              <w:rPr>
                <w:sz w:val="22"/>
                <w:szCs w:val="22"/>
              </w:rPr>
              <w:t>ENERGY STAR Manufactured Homes</w:t>
            </w:r>
          </w:p>
        </w:tc>
      </w:tr>
      <w:tr w:rsidR="00FB1AB6" w:rsidRPr="00382A66" w14:paraId="656F042B" w14:textId="77777777" w:rsidTr="007F5365">
        <w:trPr>
          <w:trHeight w:val="432"/>
          <w:jc w:val="center"/>
        </w:trPr>
        <w:tc>
          <w:tcPr>
            <w:tcW w:w="1440" w:type="dxa"/>
            <w:vAlign w:val="center"/>
          </w:tcPr>
          <w:p w14:paraId="1B4DE877" w14:textId="77777777" w:rsidR="00FB1AB6" w:rsidRPr="007F5365" w:rsidRDefault="00FB1AB6" w:rsidP="004D50A9">
            <w:pPr>
              <w:spacing w:line="240" w:lineRule="auto"/>
              <w:ind w:firstLine="0"/>
              <w:rPr>
                <w:sz w:val="22"/>
                <w:szCs w:val="22"/>
              </w:rPr>
            </w:pPr>
            <w:r w:rsidRPr="007F5365">
              <w:rPr>
                <w:sz w:val="22"/>
                <w:szCs w:val="22"/>
              </w:rPr>
              <w:t>2.6.6</w:t>
            </w:r>
          </w:p>
        </w:tc>
        <w:tc>
          <w:tcPr>
            <w:tcW w:w="3240" w:type="dxa"/>
            <w:vAlign w:val="center"/>
          </w:tcPr>
          <w:p w14:paraId="16DBE743" w14:textId="77777777" w:rsidR="00FB1AB6" w:rsidRPr="007F5365" w:rsidRDefault="00FB1AB6" w:rsidP="004D50A9">
            <w:pPr>
              <w:spacing w:line="240" w:lineRule="auto"/>
              <w:ind w:firstLine="0"/>
              <w:rPr>
                <w:sz w:val="22"/>
                <w:szCs w:val="22"/>
              </w:rPr>
            </w:pPr>
            <w:r w:rsidRPr="007F5365">
              <w:rPr>
                <w:sz w:val="22"/>
                <w:szCs w:val="22"/>
              </w:rPr>
              <w:t>Residential Air Sealing</w:t>
            </w:r>
          </w:p>
        </w:tc>
        <w:tc>
          <w:tcPr>
            <w:tcW w:w="1440" w:type="dxa"/>
            <w:vAlign w:val="center"/>
          </w:tcPr>
          <w:p w14:paraId="0D43BA81" w14:textId="77777777" w:rsidR="00FB1AB6" w:rsidRPr="007F5365" w:rsidRDefault="00FB1AB6" w:rsidP="004D50A9">
            <w:pPr>
              <w:spacing w:line="240" w:lineRule="auto"/>
              <w:ind w:firstLine="0"/>
              <w:rPr>
                <w:sz w:val="22"/>
                <w:szCs w:val="22"/>
              </w:rPr>
            </w:pPr>
            <w:r w:rsidRPr="007F5365">
              <w:rPr>
                <w:sz w:val="22"/>
                <w:szCs w:val="22"/>
              </w:rPr>
              <w:t>2.6.1</w:t>
            </w:r>
          </w:p>
        </w:tc>
        <w:tc>
          <w:tcPr>
            <w:tcW w:w="3240" w:type="dxa"/>
            <w:vAlign w:val="center"/>
          </w:tcPr>
          <w:p w14:paraId="7A568D13" w14:textId="77777777" w:rsidR="00FB1AB6" w:rsidRPr="007F5365" w:rsidRDefault="00FB1AB6" w:rsidP="004D50A9">
            <w:pPr>
              <w:spacing w:line="240" w:lineRule="auto"/>
              <w:ind w:firstLine="0"/>
              <w:rPr>
                <w:sz w:val="22"/>
                <w:szCs w:val="22"/>
              </w:rPr>
            </w:pPr>
            <w:r w:rsidRPr="007F5365">
              <w:rPr>
                <w:sz w:val="22"/>
                <w:szCs w:val="22"/>
              </w:rPr>
              <w:t>Residential Air Sealing</w:t>
            </w:r>
          </w:p>
        </w:tc>
      </w:tr>
      <w:tr w:rsidR="00FB1AB6" w:rsidRPr="00382A66" w14:paraId="6C29C6C5" w14:textId="77777777" w:rsidTr="007F5365">
        <w:trPr>
          <w:trHeight w:val="432"/>
          <w:jc w:val="center"/>
        </w:trPr>
        <w:tc>
          <w:tcPr>
            <w:tcW w:w="1440" w:type="dxa"/>
            <w:vAlign w:val="center"/>
          </w:tcPr>
          <w:p w14:paraId="6EFFBF9C" w14:textId="77777777" w:rsidR="00FB1AB6" w:rsidRPr="007F5365" w:rsidRDefault="00FB1AB6" w:rsidP="004D50A9">
            <w:pPr>
              <w:spacing w:line="240" w:lineRule="auto"/>
              <w:ind w:firstLine="0"/>
              <w:rPr>
                <w:sz w:val="22"/>
                <w:szCs w:val="22"/>
              </w:rPr>
            </w:pPr>
            <w:r w:rsidRPr="007F5365">
              <w:rPr>
                <w:sz w:val="22"/>
                <w:szCs w:val="22"/>
              </w:rPr>
              <w:t>2.6.7</w:t>
            </w:r>
          </w:p>
        </w:tc>
        <w:tc>
          <w:tcPr>
            <w:tcW w:w="3240" w:type="dxa"/>
            <w:vAlign w:val="center"/>
          </w:tcPr>
          <w:p w14:paraId="6466A347" w14:textId="77777777" w:rsidR="00FB1AB6" w:rsidRPr="007F5365" w:rsidRDefault="00FB1AB6" w:rsidP="004D50A9">
            <w:pPr>
              <w:spacing w:line="240" w:lineRule="auto"/>
              <w:ind w:firstLine="0"/>
              <w:rPr>
                <w:sz w:val="22"/>
                <w:szCs w:val="22"/>
              </w:rPr>
            </w:pPr>
            <w:r w:rsidRPr="007F5365">
              <w:rPr>
                <w:sz w:val="22"/>
                <w:szCs w:val="22"/>
              </w:rPr>
              <w:t>Crawl Space Wall Insulation</w:t>
            </w:r>
          </w:p>
        </w:tc>
        <w:tc>
          <w:tcPr>
            <w:tcW w:w="1440" w:type="dxa"/>
            <w:vAlign w:val="center"/>
          </w:tcPr>
          <w:p w14:paraId="5092D24E" w14:textId="77777777" w:rsidR="00FB1AB6" w:rsidRPr="007F5365" w:rsidRDefault="00FB1AB6" w:rsidP="004D50A9">
            <w:pPr>
              <w:spacing w:line="240" w:lineRule="auto"/>
              <w:ind w:firstLine="0"/>
              <w:rPr>
                <w:sz w:val="22"/>
                <w:szCs w:val="22"/>
              </w:rPr>
            </w:pPr>
            <w:r w:rsidRPr="007F5365">
              <w:rPr>
                <w:sz w:val="22"/>
                <w:szCs w:val="22"/>
              </w:rPr>
              <w:t>2.6.5</w:t>
            </w:r>
          </w:p>
        </w:tc>
        <w:tc>
          <w:tcPr>
            <w:tcW w:w="3240" w:type="dxa"/>
            <w:vAlign w:val="center"/>
          </w:tcPr>
          <w:p w14:paraId="2B9AC950" w14:textId="77777777" w:rsidR="00FB1AB6" w:rsidRPr="007F5365" w:rsidRDefault="00FB1AB6" w:rsidP="004D50A9">
            <w:pPr>
              <w:spacing w:line="240" w:lineRule="auto"/>
              <w:ind w:firstLine="0"/>
              <w:rPr>
                <w:sz w:val="22"/>
                <w:szCs w:val="22"/>
              </w:rPr>
            </w:pPr>
            <w:r w:rsidRPr="007F5365">
              <w:rPr>
                <w:sz w:val="22"/>
                <w:szCs w:val="22"/>
              </w:rPr>
              <w:t>Crawl Space Wall Insulation</w:t>
            </w:r>
          </w:p>
        </w:tc>
      </w:tr>
      <w:tr w:rsidR="00FB1AB6" w:rsidRPr="00382A66" w14:paraId="1AF67A3F" w14:textId="77777777" w:rsidTr="007F5365">
        <w:trPr>
          <w:trHeight w:val="432"/>
          <w:jc w:val="center"/>
        </w:trPr>
        <w:tc>
          <w:tcPr>
            <w:tcW w:w="1440" w:type="dxa"/>
            <w:vAlign w:val="center"/>
          </w:tcPr>
          <w:p w14:paraId="19BB6310" w14:textId="77777777" w:rsidR="00FB1AB6" w:rsidRPr="007F5365" w:rsidRDefault="00FB1AB6" w:rsidP="004D50A9">
            <w:pPr>
              <w:spacing w:line="240" w:lineRule="auto"/>
              <w:ind w:firstLine="0"/>
              <w:rPr>
                <w:sz w:val="22"/>
                <w:szCs w:val="22"/>
              </w:rPr>
            </w:pPr>
            <w:r w:rsidRPr="007F5365">
              <w:rPr>
                <w:sz w:val="22"/>
                <w:szCs w:val="22"/>
              </w:rPr>
              <w:t>2.6.8</w:t>
            </w:r>
          </w:p>
        </w:tc>
        <w:tc>
          <w:tcPr>
            <w:tcW w:w="3240" w:type="dxa"/>
            <w:vAlign w:val="center"/>
          </w:tcPr>
          <w:p w14:paraId="44D41B14" w14:textId="77777777" w:rsidR="00FB1AB6" w:rsidRPr="007F5365" w:rsidRDefault="00FB1AB6" w:rsidP="004D50A9">
            <w:pPr>
              <w:spacing w:line="240" w:lineRule="auto"/>
              <w:ind w:firstLine="0"/>
              <w:rPr>
                <w:sz w:val="22"/>
                <w:szCs w:val="22"/>
              </w:rPr>
            </w:pPr>
            <w:r w:rsidRPr="007F5365">
              <w:rPr>
                <w:sz w:val="22"/>
                <w:szCs w:val="22"/>
              </w:rPr>
              <w:t>Rim Joist Insulation</w:t>
            </w:r>
          </w:p>
        </w:tc>
        <w:tc>
          <w:tcPr>
            <w:tcW w:w="1440" w:type="dxa"/>
            <w:vAlign w:val="center"/>
          </w:tcPr>
          <w:p w14:paraId="181FA5EF" w14:textId="77777777" w:rsidR="00FB1AB6" w:rsidRPr="007F5365" w:rsidRDefault="00FB1AB6" w:rsidP="004D50A9">
            <w:pPr>
              <w:spacing w:line="240" w:lineRule="auto"/>
              <w:ind w:firstLine="0"/>
              <w:rPr>
                <w:sz w:val="22"/>
                <w:szCs w:val="22"/>
              </w:rPr>
            </w:pPr>
            <w:r w:rsidRPr="007F5365">
              <w:rPr>
                <w:sz w:val="22"/>
                <w:szCs w:val="22"/>
              </w:rPr>
              <w:t>2.6.3</w:t>
            </w:r>
          </w:p>
        </w:tc>
        <w:tc>
          <w:tcPr>
            <w:tcW w:w="3240" w:type="dxa"/>
            <w:vAlign w:val="center"/>
          </w:tcPr>
          <w:p w14:paraId="112D893C" w14:textId="77777777" w:rsidR="00FB1AB6" w:rsidRPr="007F5365" w:rsidRDefault="00FB1AB6" w:rsidP="004D50A9">
            <w:pPr>
              <w:spacing w:line="240" w:lineRule="auto"/>
              <w:ind w:firstLine="0"/>
              <w:rPr>
                <w:sz w:val="22"/>
                <w:szCs w:val="22"/>
              </w:rPr>
            </w:pPr>
            <w:r w:rsidRPr="007F5365">
              <w:rPr>
                <w:sz w:val="22"/>
                <w:szCs w:val="22"/>
              </w:rPr>
              <w:t>Ceiling / Attic, Wall, Floor and Rim Joist Insulation</w:t>
            </w:r>
          </w:p>
        </w:tc>
      </w:tr>
      <w:tr w:rsidR="00FB1AB6" w:rsidRPr="00382A66" w14:paraId="55AF89A2" w14:textId="77777777" w:rsidTr="007F5365">
        <w:trPr>
          <w:trHeight w:val="432"/>
          <w:jc w:val="center"/>
        </w:trPr>
        <w:tc>
          <w:tcPr>
            <w:tcW w:w="1440" w:type="dxa"/>
            <w:vAlign w:val="center"/>
          </w:tcPr>
          <w:p w14:paraId="7CBC863E" w14:textId="77777777" w:rsidR="00FB1AB6" w:rsidRPr="007F5365" w:rsidRDefault="00FB1AB6" w:rsidP="004D50A9">
            <w:pPr>
              <w:spacing w:line="240" w:lineRule="auto"/>
              <w:ind w:firstLine="0"/>
              <w:rPr>
                <w:sz w:val="22"/>
                <w:szCs w:val="22"/>
              </w:rPr>
            </w:pPr>
            <w:r w:rsidRPr="007F5365">
              <w:rPr>
                <w:sz w:val="22"/>
                <w:szCs w:val="22"/>
              </w:rPr>
              <w:t>2.7.1</w:t>
            </w:r>
          </w:p>
        </w:tc>
        <w:tc>
          <w:tcPr>
            <w:tcW w:w="3240" w:type="dxa"/>
            <w:vAlign w:val="center"/>
          </w:tcPr>
          <w:p w14:paraId="6777040A" w14:textId="77777777" w:rsidR="00FB1AB6" w:rsidRPr="007F5365" w:rsidRDefault="00FB1AB6" w:rsidP="004D50A9">
            <w:pPr>
              <w:spacing w:line="240" w:lineRule="auto"/>
              <w:ind w:firstLine="0"/>
              <w:rPr>
                <w:sz w:val="22"/>
                <w:szCs w:val="22"/>
              </w:rPr>
            </w:pPr>
            <w:r w:rsidRPr="007F5365">
              <w:rPr>
                <w:sz w:val="22"/>
                <w:szCs w:val="22"/>
              </w:rPr>
              <w:t>Pool Pump Load Shifting</w:t>
            </w:r>
          </w:p>
        </w:tc>
        <w:tc>
          <w:tcPr>
            <w:tcW w:w="1440" w:type="dxa"/>
            <w:vAlign w:val="center"/>
          </w:tcPr>
          <w:p w14:paraId="5BE2D5DD" w14:textId="77777777" w:rsidR="00FB1AB6" w:rsidRPr="007F5365" w:rsidRDefault="00FB1AB6" w:rsidP="004D50A9">
            <w:pPr>
              <w:spacing w:line="240" w:lineRule="auto"/>
              <w:ind w:firstLine="0"/>
              <w:rPr>
                <w:sz w:val="22"/>
                <w:szCs w:val="22"/>
              </w:rPr>
            </w:pPr>
            <w:r w:rsidRPr="007F5365">
              <w:rPr>
                <w:sz w:val="22"/>
                <w:szCs w:val="22"/>
              </w:rPr>
              <w:t>-</w:t>
            </w:r>
          </w:p>
        </w:tc>
        <w:tc>
          <w:tcPr>
            <w:tcW w:w="3240" w:type="dxa"/>
            <w:vAlign w:val="center"/>
          </w:tcPr>
          <w:p w14:paraId="28335E25" w14:textId="77777777" w:rsidR="00FB1AB6" w:rsidRPr="007F5365" w:rsidRDefault="00FB1AB6" w:rsidP="004D50A9">
            <w:pPr>
              <w:spacing w:line="240" w:lineRule="auto"/>
              <w:ind w:firstLine="0"/>
              <w:rPr>
                <w:sz w:val="22"/>
                <w:szCs w:val="22"/>
              </w:rPr>
            </w:pPr>
            <w:r w:rsidRPr="007F5365">
              <w:rPr>
                <w:sz w:val="22"/>
                <w:szCs w:val="22"/>
              </w:rPr>
              <w:t>Deleted</w:t>
            </w:r>
          </w:p>
        </w:tc>
      </w:tr>
      <w:tr w:rsidR="00FB1AB6" w:rsidRPr="00382A66" w14:paraId="554F06B8" w14:textId="77777777" w:rsidTr="007F5365">
        <w:trPr>
          <w:trHeight w:val="432"/>
          <w:jc w:val="center"/>
        </w:trPr>
        <w:tc>
          <w:tcPr>
            <w:tcW w:w="1440" w:type="dxa"/>
            <w:vAlign w:val="center"/>
          </w:tcPr>
          <w:p w14:paraId="4A3FDDAC" w14:textId="77777777" w:rsidR="00FB1AB6" w:rsidRPr="007F5365" w:rsidRDefault="00FB1AB6" w:rsidP="004D50A9">
            <w:pPr>
              <w:spacing w:line="240" w:lineRule="auto"/>
              <w:ind w:firstLine="0"/>
              <w:rPr>
                <w:sz w:val="22"/>
                <w:szCs w:val="22"/>
              </w:rPr>
            </w:pPr>
            <w:r w:rsidRPr="007F5365">
              <w:rPr>
                <w:sz w:val="22"/>
                <w:szCs w:val="22"/>
              </w:rPr>
              <w:t>2.7.2</w:t>
            </w:r>
          </w:p>
        </w:tc>
        <w:tc>
          <w:tcPr>
            <w:tcW w:w="3240" w:type="dxa"/>
            <w:vAlign w:val="center"/>
          </w:tcPr>
          <w:p w14:paraId="0F27F6D0" w14:textId="77777777" w:rsidR="00FB1AB6" w:rsidRPr="007F5365" w:rsidRDefault="00FB1AB6" w:rsidP="004D50A9">
            <w:pPr>
              <w:spacing w:line="240" w:lineRule="auto"/>
              <w:ind w:firstLine="0"/>
              <w:rPr>
                <w:sz w:val="22"/>
                <w:szCs w:val="22"/>
              </w:rPr>
            </w:pPr>
            <w:r w:rsidRPr="007F5365">
              <w:rPr>
                <w:sz w:val="22"/>
                <w:szCs w:val="22"/>
              </w:rPr>
              <w:t>Variable Speed Pool Pumps (with Load Shifting Option)</w:t>
            </w:r>
          </w:p>
        </w:tc>
        <w:tc>
          <w:tcPr>
            <w:tcW w:w="1440" w:type="dxa"/>
            <w:vAlign w:val="center"/>
          </w:tcPr>
          <w:p w14:paraId="0B344F8D" w14:textId="77777777" w:rsidR="00FB1AB6" w:rsidRPr="007F5365" w:rsidRDefault="00FB1AB6" w:rsidP="004D50A9">
            <w:pPr>
              <w:spacing w:line="240" w:lineRule="auto"/>
              <w:ind w:firstLine="0"/>
              <w:rPr>
                <w:sz w:val="22"/>
                <w:szCs w:val="22"/>
              </w:rPr>
            </w:pPr>
            <w:r w:rsidRPr="007F5365">
              <w:rPr>
                <w:sz w:val="22"/>
                <w:szCs w:val="22"/>
              </w:rPr>
              <w:t>2.8.1</w:t>
            </w:r>
          </w:p>
        </w:tc>
        <w:tc>
          <w:tcPr>
            <w:tcW w:w="3240" w:type="dxa"/>
            <w:vAlign w:val="center"/>
          </w:tcPr>
          <w:p w14:paraId="70DC7A5C" w14:textId="77777777" w:rsidR="00FB1AB6" w:rsidRPr="007F5365" w:rsidRDefault="00FB1AB6" w:rsidP="004D50A9">
            <w:pPr>
              <w:spacing w:line="240" w:lineRule="auto"/>
              <w:ind w:firstLine="0"/>
              <w:rPr>
                <w:sz w:val="22"/>
                <w:szCs w:val="22"/>
              </w:rPr>
            </w:pPr>
            <w:r w:rsidRPr="007F5365">
              <w:rPr>
                <w:sz w:val="22"/>
                <w:szCs w:val="22"/>
              </w:rPr>
              <w:t>Variable Speed Pool Pumps</w:t>
            </w:r>
          </w:p>
        </w:tc>
      </w:tr>
      <w:tr w:rsidR="000C3571" w:rsidRPr="00382A66" w14:paraId="40A49A98" w14:textId="77777777" w:rsidTr="007F5365">
        <w:trPr>
          <w:trHeight w:val="432"/>
          <w:jc w:val="center"/>
        </w:trPr>
        <w:tc>
          <w:tcPr>
            <w:tcW w:w="1440" w:type="dxa"/>
            <w:vAlign w:val="center"/>
          </w:tcPr>
          <w:p w14:paraId="3616B324" w14:textId="232FAB62" w:rsidR="000C3571" w:rsidRPr="007F5365" w:rsidRDefault="000C3571" w:rsidP="004D50A9">
            <w:pPr>
              <w:spacing w:line="240" w:lineRule="auto"/>
              <w:ind w:firstLine="0"/>
              <w:rPr>
                <w:sz w:val="22"/>
                <w:szCs w:val="22"/>
              </w:rPr>
            </w:pPr>
            <w:r w:rsidRPr="007F5365">
              <w:rPr>
                <w:sz w:val="22"/>
                <w:szCs w:val="22"/>
              </w:rPr>
              <w:t>5.2</w:t>
            </w:r>
          </w:p>
        </w:tc>
        <w:tc>
          <w:tcPr>
            <w:tcW w:w="3240" w:type="dxa"/>
            <w:vAlign w:val="center"/>
          </w:tcPr>
          <w:p w14:paraId="1FE3495E" w14:textId="7558193D" w:rsidR="000C3571" w:rsidRPr="007F5365" w:rsidRDefault="000C3571" w:rsidP="004D50A9">
            <w:pPr>
              <w:spacing w:line="240" w:lineRule="auto"/>
              <w:ind w:firstLine="0"/>
              <w:rPr>
                <w:sz w:val="22"/>
                <w:szCs w:val="22"/>
              </w:rPr>
            </w:pPr>
            <w:r w:rsidRPr="007F5365">
              <w:rPr>
                <w:sz w:val="22"/>
                <w:szCs w:val="22"/>
              </w:rPr>
              <w:t>Direct Load Control and Behavior-</w:t>
            </w:r>
            <w:r w:rsidR="006A3152" w:rsidRPr="007F5365">
              <w:rPr>
                <w:sz w:val="22"/>
                <w:szCs w:val="22"/>
              </w:rPr>
              <w:t>b</w:t>
            </w:r>
            <w:r w:rsidRPr="007F5365">
              <w:rPr>
                <w:sz w:val="22"/>
                <w:szCs w:val="22"/>
              </w:rPr>
              <w:t>ased Demand Response Programs</w:t>
            </w:r>
          </w:p>
        </w:tc>
        <w:tc>
          <w:tcPr>
            <w:tcW w:w="1440" w:type="dxa"/>
            <w:vAlign w:val="center"/>
          </w:tcPr>
          <w:p w14:paraId="6D825417" w14:textId="62FA4C11" w:rsidR="000C3571" w:rsidRPr="007F5365" w:rsidRDefault="000C3571" w:rsidP="004D50A9">
            <w:pPr>
              <w:spacing w:line="240" w:lineRule="auto"/>
              <w:ind w:firstLine="0"/>
              <w:rPr>
                <w:sz w:val="22"/>
                <w:szCs w:val="22"/>
              </w:rPr>
            </w:pPr>
            <w:r w:rsidRPr="007F5365">
              <w:rPr>
                <w:sz w:val="22"/>
                <w:szCs w:val="22"/>
              </w:rPr>
              <w:t>2.9.1</w:t>
            </w:r>
          </w:p>
        </w:tc>
        <w:tc>
          <w:tcPr>
            <w:tcW w:w="3240" w:type="dxa"/>
            <w:vAlign w:val="center"/>
          </w:tcPr>
          <w:p w14:paraId="3BE0F85B" w14:textId="4FCD3AC9" w:rsidR="000C3571" w:rsidRPr="007F5365" w:rsidRDefault="000C3571" w:rsidP="004D50A9">
            <w:pPr>
              <w:spacing w:line="240" w:lineRule="auto"/>
              <w:ind w:firstLine="0"/>
              <w:rPr>
                <w:sz w:val="22"/>
                <w:szCs w:val="22"/>
              </w:rPr>
            </w:pPr>
            <w:r w:rsidRPr="007F5365">
              <w:rPr>
                <w:sz w:val="22"/>
                <w:szCs w:val="22"/>
              </w:rPr>
              <w:t>Direct Load Control and Behavior-</w:t>
            </w:r>
            <w:r w:rsidR="006A3152" w:rsidRPr="007F5365">
              <w:rPr>
                <w:sz w:val="22"/>
                <w:szCs w:val="22"/>
              </w:rPr>
              <w:t>b</w:t>
            </w:r>
            <w:r w:rsidRPr="007F5365">
              <w:rPr>
                <w:sz w:val="22"/>
                <w:szCs w:val="22"/>
              </w:rPr>
              <w:t>ased Demand Response Programs</w:t>
            </w:r>
          </w:p>
        </w:tc>
      </w:tr>
    </w:tbl>
    <w:p w14:paraId="15E840FF" w14:textId="3E830E25" w:rsidR="005328CD" w:rsidRDefault="005328CD" w:rsidP="00AA2116"/>
    <w:p w14:paraId="0FA108C8" w14:textId="793FB783" w:rsidR="00764387" w:rsidRPr="009C3B3D" w:rsidRDefault="005C6855" w:rsidP="00453F14">
      <w:pPr>
        <w:pStyle w:val="Heading2"/>
        <w:keepNext/>
        <w:keepLines/>
        <w:numPr>
          <w:ilvl w:val="1"/>
          <w:numId w:val="45"/>
        </w:numPr>
      </w:pPr>
      <w:bookmarkStart w:id="182" w:name="_Existing_C&amp;I_EE&amp;C"/>
      <w:bookmarkStart w:id="183" w:name="_Toc394648207"/>
      <w:bookmarkStart w:id="184" w:name="_Toc396910624"/>
      <w:bookmarkStart w:id="185" w:name="_Toc413415454"/>
      <w:bookmarkStart w:id="186" w:name="_Ref14704837"/>
      <w:bookmarkStart w:id="187" w:name="_Ref14704844"/>
      <w:bookmarkStart w:id="188" w:name="_Ref14704869"/>
      <w:bookmarkStart w:id="189" w:name="_Ref14705008"/>
      <w:bookmarkStart w:id="190" w:name="_Ref14705071"/>
      <w:bookmarkStart w:id="191" w:name="_Ref14706628"/>
      <w:bookmarkStart w:id="192" w:name="_Toc15657950"/>
      <w:bookmarkEnd w:id="182"/>
      <w:r>
        <w:t xml:space="preserve">Existing </w:t>
      </w:r>
      <w:r w:rsidR="00CC49D2">
        <w:t>C&amp;I</w:t>
      </w:r>
      <w:r w:rsidR="00764387" w:rsidRPr="009C3B3D">
        <w:t xml:space="preserve"> EE&amp;C Measure Protocols</w:t>
      </w:r>
      <w:bookmarkEnd w:id="139"/>
      <w:bookmarkEnd w:id="183"/>
      <w:bookmarkEnd w:id="184"/>
      <w:bookmarkEnd w:id="185"/>
      <w:bookmarkEnd w:id="186"/>
      <w:bookmarkEnd w:id="187"/>
      <w:bookmarkEnd w:id="188"/>
      <w:bookmarkEnd w:id="189"/>
      <w:bookmarkEnd w:id="190"/>
      <w:bookmarkEnd w:id="191"/>
      <w:bookmarkEnd w:id="192"/>
      <w:r w:rsidR="00764387" w:rsidRPr="009C3B3D">
        <w:t xml:space="preserve"> </w:t>
      </w:r>
    </w:p>
    <w:bookmarkEnd w:id="54"/>
    <w:p w14:paraId="26D99D26" w14:textId="15A28EB7" w:rsidR="00DF4A37" w:rsidRDefault="00764387" w:rsidP="00AA2116">
      <w:pPr>
        <w:pStyle w:val="p3"/>
      </w:pPr>
      <w:r w:rsidRPr="00122C64">
        <w:t>The following sections describe clarifications and modifications to the C&amp;I measure protocols</w:t>
      </w:r>
      <w:r w:rsidR="001E1D66">
        <w:t>.</w:t>
      </w:r>
      <w:bookmarkStart w:id="193" w:name="_Toc413415455"/>
      <w:bookmarkStart w:id="194" w:name="_Toc334175037"/>
      <w:r w:rsidR="00E67800">
        <w:t xml:space="preserve">  </w:t>
      </w:r>
      <w:r w:rsidR="00B23AA9">
        <w:t xml:space="preserve">Some of the </w:t>
      </w:r>
      <w:r w:rsidR="000A1E7A">
        <w:t xml:space="preserve">proposed </w:t>
      </w:r>
      <w:r w:rsidR="00B23AA9">
        <w:t xml:space="preserve">changes </w:t>
      </w:r>
      <w:r w:rsidR="000A1E7A">
        <w:t>in our</w:t>
      </w:r>
      <w:r w:rsidR="00B23AA9">
        <w:t xml:space="preserve"> Tentative Order received no stakeholder comments.  Those proposed changes, which are not reproduced in the sections to follow, are hereby adopted by the Commission for use in Phase IV.  </w:t>
      </w:r>
      <w:r w:rsidR="005A15B2">
        <w:t>A</w:t>
      </w:r>
      <w:r w:rsidR="00B23AA9">
        <w:t>ffected measures include</w:t>
      </w:r>
      <w:r w:rsidR="00DF4A37">
        <w:t>:</w:t>
      </w:r>
      <w:r w:rsidR="00B23AA9">
        <w:t xml:space="preserve"> </w:t>
      </w:r>
    </w:p>
    <w:p w14:paraId="6A373F05" w14:textId="77777777" w:rsidR="00DF4A37" w:rsidRDefault="00B23AA9" w:rsidP="00453F14">
      <w:pPr>
        <w:pStyle w:val="p3"/>
        <w:numPr>
          <w:ilvl w:val="0"/>
          <w:numId w:val="14"/>
        </w:numPr>
      </w:pPr>
      <w:r>
        <w:t>Section 3.1.1 – Lighting Improvements (Measure Consolidation</w:t>
      </w:r>
      <w:r w:rsidR="001619E2">
        <w:t xml:space="preserve">; </w:t>
      </w:r>
      <w:r w:rsidR="001619E2" w:rsidRPr="001619E2">
        <w:t>T12 Linear Fluorescent Baseline Adjustment</w:t>
      </w:r>
      <w:r w:rsidR="00DF4A37">
        <w:t>)</w:t>
      </w:r>
    </w:p>
    <w:p w14:paraId="07E6AFD4" w14:textId="77777777" w:rsidR="00DF4A37" w:rsidRDefault="001619E2" w:rsidP="00453F14">
      <w:pPr>
        <w:pStyle w:val="p3"/>
        <w:numPr>
          <w:ilvl w:val="0"/>
          <w:numId w:val="14"/>
        </w:numPr>
      </w:pPr>
      <w:r>
        <w:t>Section 3.1.3 – Lighting Controls</w:t>
      </w:r>
    </w:p>
    <w:p w14:paraId="4980BCDC" w14:textId="77777777" w:rsidR="00DF4A37" w:rsidRDefault="001619E2" w:rsidP="00453F14">
      <w:pPr>
        <w:pStyle w:val="p3"/>
        <w:numPr>
          <w:ilvl w:val="0"/>
          <w:numId w:val="14"/>
        </w:numPr>
      </w:pPr>
      <w:r>
        <w:t xml:space="preserve">Section 3.1.7 – </w:t>
      </w:r>
      <w:r w:rsidRPr="001619E2">
        <w:t xml:space="preserve">LED Refrigeration Display Case </w:t>
      </w:r>
      <w:r>
        <w:t>Lighting</w:t>
      </w:r>
    </w:p>
    <w:p w14:paraId="776292D5" w14:textId="77777777" w:rsidR="00DF4A37" w:rsidRDefault="001619E2" w:rsidP="00453F14">
      <w:pPr>
        <w:pStyle w:val="p3"/>
        <w:numPr>
          <w:ilvl w:val="0"/>
          <w:numId w:val="14"/>
        </w:numPr>
      </w:pPr>
      <w:r>
        <w:t xml:space="preserve">Section 3.2.3 – </w:t>
      </w:r>
      <w:r w:rsidRPr="001619E2">
        <w:t>Water Source and Geothermal Heat</w:t>
      </w:r>
      <w:r>
        <w:t xml:space="preserve"> Pumps</w:t>
      </w:r>
    </w:p>
    <w:p w14:paraId="7BA46634" w14:textId="77777777" w:rsidR="00DF4A37" w:rsidRDefault="001619E2" w:rsidP="00453F14">
      <w:pPr>
        <w:pStyle w:val="p3"/>
        <w:numPr>
          <w:ilvl w:val="0"/>
          <w:numId w:val="14"/>
        </w:numPr>
      </w:pPr>
      <w:r>
        <w:t>Section 3.3.2 – Variable Frequency Drive Improvements (Algorithm Revision; Evaluation Protocols)</w:t>
      </w:r>
    </w:p>
    <w:p w14:paraId="0A858370" w14:textId="77777777" w:rsidR="00DF4A37" w:rsidRDefault="001619E2" w:rsidP="00453F14">
      <w:pPr>
        <w:pStyle w:val="p3"/>
        <w:numPr>
          <w:ilvl w:val="0"/>
          <w:numId w:val="14"/>
        </w:numPr>
      </w:pPr>
      <w:r>
        <w:t>Section 3.3.3 – ECM Circulation Fans (Algorithm Revision – Interactive Factor; Algorithm Revision – Default Motor Watts)</w:t>
      </w:r>
    </w:p>
    <w:p w14:paraId="6796A089" w14:textId="77777777" w:rsidR="00DF4A37" w:rsidRDefault="00B62C32" w:rsidP="00453F14">
      <w:pPr>
        <w:pStyle w:val="p3"/>
        <w:numPr>
          <w:ilvl w:val="0"/>
          <w:numId w:val="14"/>
        </w:numPr>
      </w:pPr>
      <w:r>
        <w:lastRenderedPageBreak/>
        <w:t>Section 3.4.1 – Heat Pump Water Heaters (Coefficient of Performance Adjustment Factors; Algorithm Changes)</w:t>
      </w:r>
    </w:p>
    <w:p w14:paraId="713ABE79" w14:textId="77777777" w:rsidR="00DF4A37" w:rsidRDefault="00B62C32" w:rsidP="00453F14">
      <w:pPr>
        <w:pStyle w:val="p3"/>
        <w:numPr>
          <w:ilvl w:val="0"/>
          <w:numId w:val="14"/>
        </w:numPr>
      </w:pPr>
      <w:r>
        <w:t>Section 3.4.2 – Low-flow Pre-rinse Sprayers for Retrofit Programs (Load Shapes;</w:t>
      </w:r>
      <w:r w:rsidRPr="00B62C32">
        <w:t xml:space="preserve"> </w:t>
      </w:r>
      <w:r>
        <w:t xml:space="preserve">Flow </w:t>
      </w:r>
      <w:r w:rsidRPr="00B62C32">
        <w:t>Rate and Usage Duration</w:t>
      </w:r>
      <w:r>
        <w:t>)</w:t>
      </w:r>
    </w:p>
    <w:p w14:paraId="1CEBC2F4" w14:textId="77777777" w:rsidR="00DF4A37" w:rsidRDefault="00B62C32" w:rsidP="00453F14">
      <w:pPr>
        <w:pStyle w:val="p3"/>
        <w:numPr>
          <w:ilvl w:val="0"/>
          <w:numId w:val="14"/>
        </w:numPr>
      </w:pPr>
      <w:r>
        <w:t>Section 3.4.4 – Fuel Switching: Electric Resistance Water Heaters to Gas/Oil/Propane</w:t>
      </w:r>
    </w:p>
    <w:p w14:paraId="6818D535" w14:textId="77777777" w:rsidR="00DF4A37" w:rsidRDefault="00B662AA" w:rsidP="00453F14">
      <w:pPr>
        <w:pStyle w:val="p3"/>
        <w:numPr>
          <w:ilvl w:val="0"/>
          <w:numId w:val="14"/>
        </w:numPr>
      </w:pPr>
      <w:r>
        <w:t>Section 3.5.2 – High-efficiency Evaporator Fan Motors for Reach-in Refrigerated Cases (Merge with</w:t>
      </w:r>
      <w:r w:rsidRPr="00B662AA">
        <w:t xml:space="preserve"> High-efficiency Evaporator Fan Motor</w:t>
      </w:r>
      <w:r w:rsidR="002F7AC0">
        <w:t>s for Walk-In Refrigerated Cases</w:t>
      </w:r>
      <w:r w:rsidRPr="00B662AA">
        <w:t xml:space="preserve"> Measures</w:t>
      </w:r>
      <w:r>
        <w:t>)</w:t>
      </w:r>
    </w:p>
    <w:p w14:paraId="630FF1DD" w14:textId="77777777" w:rsidR="00DF4A37" w:rsidRDefault="002F7AC0" w:rsidP="00453F14">
      <w:pPr>
        <w:pStyle w:val="p3"/>
        <w:numPr>
          <w:ilvl w:val="0"/>
          <w:numId w:val="14"/>
        </w:numPr>
      </w:pPr>
      <w:r>
        <w:t>Section 3.5.3 – High-efficiency Evaporator Fan Motors for Walk-in Refrigerated Cases</w:t>
      </w:r>
    </w:p>
    <w:p w14:paraId="595805F9" w14:textId="77777777" w:rsidR="00DF4A37" w:rsidRDefault="002F7AC0" w:rsidP="00453F14">
      <w:pPr>
        <w:pStyle w:val="p3"/>
        <w:numPr>
          <w:ilvl w:val="0"/>
          <w:numId w:val="14"/>
        </w:numPr>
      </w:pPr>
      <w:r>
        <w:t>Section 3.5.8 – Variable Speed Refrigeration Compressor (Algorithm Revision)</w:t>
      </w:r>
    </w:p>
    <w:p w14:paraId="11683B13" w14:textId="77777777" w:rsidR="00DF4A37" w:rsidRDefault="002F7AC0" w:rsidP="00453F14">
      <w:pPr>
        <w:pStyle w:val="p3"/>
        <w:numPr>
          <w:ilvl w:val="0"/>
          <w:numId w:val="14"/>
        </w:numPr>
      </w:pPr>
      <w:r>
        <w:t>Section 3.5.9 – Strip Curtains for Walk-in Freezers and Coolers</w:t>
      </w:r>
    </w:p>
    <w:p w14:paraId="2DA8C9E1" w14:textId="77777777" w:rsidR="00DF4A37" w:rsidRDefault="002F7AC0" w:rsidP="00453F14">
      <w:pPr>
        <w:pStyle w:val="p3"/>
        <w:numPr>
          <w:ilvl w:val="0"/>
          <w:numId w:val="14"/>
        </w:numPr>
      </w:pPr>
      <w:r>
        <w:t>Section 3.5.12 – Door Gaskets for Walk-in and Reach-in Coolers and Freezers</w:t>
      </w:r>
    </w:p>
    <w:p w14:paraId="18E76EEA" w14:textId="77777777" w:rsidR="00DF4A37" w:rsidRDefault="002F7AC0" w:rsidP="00453F14">
      <w:pPr>
        <w:pStyle w:val="p3"/>
        <w:numPr>
          <w:ilvl w:val="0"/>
          <w:numId w:val="14"/>
        </w:numPr>
      </w:pPr>
      <w:r>
        <w:t>Section 3.5.13 – Special Doors with Low or No Anti-Sweat Heat for Low Temp Cases</w:t>
      </w:r>
    </w:p>
    <w:p w14:paraId="6D82488F" w14:textId="77777777" w:rsidR="00DF4A37" w:rsidRDefault="002F7AC0" w:rsidP="00453F14">
      <w:pPr>
        <w:pStyle w:val="p3"/>
        <w:numPr>
          <w:ilvl w:val="0"/>
          <w:numId w:val="14"/>
        </w:numPr>
      </w:pPr>
      <w:r>
        <w:t>Section 3.5.15 – Refrigerated Display Cases with Doors Replacing Open Cases (Default Values; Algorithm Revision)</w:t>
      </w:r>
    </w:p>
    <w:p w14:paraId="00D93A61" w14:textId="77777777" w:rsidR="00DF4A37" w:rsidRDefault="009D04D5" w:rsidP="00453F14">
      <w:pPr>
        <w:pStyle w:val="p3"/>
        <w:numPr>
          <w:ilvl w:val="0"/>
          <w:numId w:val="14"/>
        </w:numPr>
      </w:pPr>
      <w:r>
        <w:t>Section 3.7.1 – High-efficiency Ice Machines (Minimum Efficiency Requirements; Duty Cycle; Coincidence Factor)</w:t>
      </w:r>
    </w:p>
    <w:p w14:paraId="13D0DCAA" w14:textId="77777777" w:rsidR="00DF4A37" w:rsidRDefault="00923AED" w:rsidP="00453F14">
      <w:pPr>
        <w:pStyle w:val="p3"/>
        <w:numPr>
          <w:ilvl w:val="0"/>
          <w:numId w:val="14"/>
        </w:numPr>
      </w:pPr>
      <w:r>
        <w:t>Section 3.7.2 – Controls: Beverage Machine Controls (Eligibility)</w:t>
      </w:r>
    </w:p>
    <w:p w14:paraId="101DE9E4" w14:textId="77777777" w:rsidR="00DF4A37" w:rsidRDefault="00923AED" w:rsidP="00453F14">
      <w:pPr>
        <w:pStyle w:val="p3"/>
        <w:numPr>
          <w:ilvl w:val="0"/>
          <w:numId w:val="14"/>
        </w:numPr>
      </w:pPr>
      <w:r>
        <w:t>Section 3.7.3 – Controls: Snack Machine Controls</w:t>
      </w:r>
    </w:p>
    <w:p w14:paraId="19B157B5" w14:textId="77777777" w:rsidR="00DF4A37" w:rsidRDefault="00923AED" w:rsidP="00453F14">
      <w:pPr>
        <w:pStyle w:val="p3"/>
        <w:numPr>
          <w:ilvl w:val="0"/>
          <w:numId w:val="14"/>
        </w:numPr>
      </w:pPr>
      <w:r>
        <w:t>Section 3.7.4 – ENERGY STAR Electric Steam Cooker (Coincidence Factor; Default Demand Savings; Default Energy Savings)</w:t>
      </w:r>
    </w:p>
    <w:p w14:paraId="1698DA8A" w14:textId="77777777" w:rsidR="00DF4A37" w:rsidRDefault="00923AED" w:rsidP="00453F14">
      <w:pPr>
        <w:pStyle w:val="p3"/>
        <w:numPr>
          <w:ilvl w:val="0"/>
          <w:numId w:val="14"/>
        </w:numPr>
      </w:pPr>
      <w:r>
        <w:t>Section 3.9.1 – ENERGY STAR Office Equipment (</w:t>
      </w:r>
      <w:r w:rsidR="00D22040">
        <w:t>Computer Measures Update; Fax Machine Deemed Savings Value and Measure Life; Monitor Deemed Savings and Measure Life</w:t>
      </w:r>
      <w:r>
        <w:t>)</w:t>
      </w:r>
    </w:p>
    <w:p w14:paraId="2C5086F4" w14:textId="77777777" w:rsidR="00DF4A37" w:rsidRDefault="00D22040" w:rsidP="00453F14">
      <w:pPr>
        <w:pStyle w:val="p3"/>
        <w:numPr>
          <w:ilvl w:val="0"/>
          <w:numId w:val="14"/>
        </w:numPr>
      </w:pPr>
      <w:r>
        <w:t>Section 3.10.1 –</w:t>
      </w:r>
      <w:r w:rsidR="009D5240">
        <w:t xml:space="preserve"> </w:t>
      </w:r>
      <w:r>
        <w:t>Cycling Refrigerated Thermal Mass Dryer (Coincidence Factor; Default Savings)</w:t>
      </w:r>
    </w:p>
    <w:p w14:paraId="74531099" w14:textId="77777777" w:rsidR="00DF4A37" w:rsidRDefault="00D22040" w:rsidP="00453F14">
      <w:pPr>
        <w:pStyle w:val="p3"/>
        <w:numPr>
          <w:ilvl w:val="0"/>
          <w:numId w:val="14"/>
        </w:numPr>
      </w:pPr>
      <w:r>
        <w:lastRenderedPageBreak/>
        <w:t>Section 3.10.2 –</w:t>
      </w:r>
      <w:r w:rsidR="009D5240">
        <w:t xml:space="preserve"> Air-E</w:t>
      </w:r>
      <w:r>
        <w:t>ntraining Air Nozzle (Hours of Operation; Coincidence Factor)</w:t>
      </w:r>
    </w:p>
    <w:p w14:paraId="151917C9" w14:textId="77777777" w:rsidR="00DF4A37" w:rsidRDefault="009D5240" w:rsidP="00453F14">
      <w:pPr>
        <w:pStyle w:val="p3"/>
        <w:numPr>
          <w:ilvl w:val="0"/>
          <w:numId w:val="14"/>
        </w:numPr>
      </w:pPr>
      <w:r>
        <w:t>Section 3.10.3 – No-loss Condensate Drains (Coincidence Factor)</w:t>
      </w:r>
    </w:p>
    <w:p w14:paraId="43B1D169" w14:textId="77777777" w:rsidR="00DF4A37" w:rsidRDefault="009D5240" w:rsidP="00453F14">
      <w:pPr>
        <w:pStyle w:val="p3"/>
        <w:numPr>
          <w:ilvl w:val="0"/>
          <w:numId w:val="14"/>
        </w:numPr>
      </w:pPr>
      <w:r>
        <w:t>Section 3.10.4 – Air Tanks for Loads / No Load Compressors (Hours of Operation; Coincidence Factors)</w:t>
      </w:r>
    </w:p>
    <w:p w14:paraId="5106FF39" w14:textId="77777777" w:rsidR="00DF4A37" w:rsidRDefault="009D5240" w:rsidP="00453F14">
      <w:pPr>
        <w:pStyle w:val="p3"/>
        <w:numPr>
          <w:ilvl w:val="0"/>
          <w:numId w:val="14"/>
        </w:numPr>
      </w:pPr>
      <w:r>
        <w:t xml:space="preserve">Section 4.1.1 – Automatic </w:t>
      </w:r>
      <w:r w:rsidR="00DF4A37">
        <w:t>Milker Takeoffs</w:t>
      </w:r>
    </w:p>
    <w:p w14:paraId="563D7A36" w14:textId="77777777" w:rsidR="00DF4A37" w:rsidRDefault="009D5240" w:rsidP="00453F14">
      <w:pPr>
        <w:pStyle w:val="p3"/>
        <w:numPr>
          <w:ilvl w:val="0"/>
          <w:numId w:val="14"/>
        </w:numPr>
      </w:pPr>
      <w:r>
        <w:t xml:space="preserve">Section 4.1.2 – Dairy </w:t>
      </w:r>
      <w:r w:rsidR="00DF4A37">
        <w:t>Scroll Compressors</w:t>
      </w:r>
    </w:p>
    <w:p w14:paraId="3AE95144" w14:textId="28EA8C4D" w:rsidR="001619E2" w:rsidRDefault="009D5240" w:rsidP="00453F14">
      <w:pPr>
        <w:pStyle w:val="p3"/>
        <w:numPr>
          <w:ilvl w:val="0"/>
          <w:numId w:val="14"/>
        </w:numPr>
      </w:pPr>
      <w:r>
        <w:t>Section 4.1.4 – Heat Reclaimers</w:t>
      </w:r>
    </w:p>
    <w:p w14:paraId="49153326" w14:textId="77777777" w:rsidR="007D061D" w:rsidRDefault="007D061D" w:rsidP="0061674E">
      <w:pPr>
        <w:pStyle w:val="p3"/>
        <w:ind w:left="720" w:firstLine="0"/>
      </w:pPr>
    </w:p>
    <w:p w14:paraId="6C3CE412" w14:textId="1ACAC1EA" w:rsidR="00C47A89" w:rsidRDefault="0085289F" w:rsidP="007F72C4">
      <w:pPr>
        <w:pStyle w:val="p3"/>
        <w:ind w:firstLine="0"/>
      </w:pPr>
      <w:r w:rsidRPr="00122C64">
        <w:t>The following sections describe clarifications and modifications to the C&amp;I measure protocols</w:t>
      </w:r>
      <w:r>
        <w:t xml:space="preserve">.  Stakeholder comments regarding the </w:t>
      </w:r>
      <w:r w:rsidR="00CD3D46">
        <w:t xml:space="preserve">Commissions </w:t>
      </w:r>
      <w:r>
        <w:t xml:space="preserve">proposed changes are </w:t>
      </w:r>
      <w:r w:rsidR="00E94480">
        <w:t xml:space="preserve">addressed below. </w:t>
      </w:r>
      <w:r w:rsidR="00C47A89">
        <w:t xml:space="preserve"> C&amp;I m</w:t>
      </w:r>
      <w:r w:rsidR="00C47A89" w:rsidRPr="00E67800">
        <w:t xml:space="preserve">easures in the 2016 TRM </w:t>
      </w:r>
      <w:r w:rsidR="00C47A89">
        <w:t>that are not discussed in our Final Order or in our Tentative Order have been</w:t>
      </w:r>
      <w:r w:rsidR="00C47A89" w:rsidRPr="00E67800">
        <w:t xml:space="preserve"> included in the 2021 TRM without any changes</w:t>
      </w:r>
      <w:r w:rsidR="00C47A89">
        <w:t>.</w:t>
      </w:r>
    </w:p>
    <w:p w14:paraId="016EF4B1" w14:textId="77777777" w:rsidR="00E94480" w:rsidRPr="00F959E7" w:rsidRDefault="00E94480" w:rsidP="00AA2116">
      <w:pPr>
        <w:pStyle w:val="p3"/>
      </w:pPr>
    </w:p>
    <w:p w14:paraId="0FA108CB" w14:textId="5923CC3B" w:rsidR="00FD1122" w:rsidRPr="00A0712C" w:rsidRDefault="17C9E5F3" w:rsidP="00453F14">
      <w:pPr>
        <w:pStyle w:val="Heading3"/>
        <w:numPr>
          <w:ilvl w:val="2"/>
          <w:numId w:val="46"/>
        </w:numPr>
      </w:pPr>
      <w:bookmarkStart w:id="195" w:name="_Toc15657951"/>
      <w:r w:rsidRPr="00A0712C">
        <w:t>Section 3.1.1 – Lighting Improvements</w:t>
      </w:r>
      <w:bookmarkEnd w:id="193"/>
      <w:r w:rsidR="00200D34">
        <w:rPr>
          <w:rStyle w:val="FootnoteReference"/>
        </w:rPr>
        <w:footnoteReference w:id="60"/>
      </w:r>
      <w:bookmarkEnd w:id="195"/>
    </w:p>
    <w:p w14:paraId="343D4B50" w14:textId="77777777" w:rsidR="000C37BD" w:rsidRDefault="5826BB76" w:rsidP="00453F14">
      <w:pPr>
        <w:pStyle w:val="Heading4"/>
        <w:numPr>
          <w:ilvl w:val="3"/>
          <w:numId w:val="46"/>
        </w:numPr>
      </w:pPr>
      <w:r>
        <w:t>Measure Life</w:t>
      </w:r>
    </w:p>
    <w:p w14:paraId="2E7EF9CE" w14:textId="73F04325" w:rsidR="000C37BD" w:rsidRDefault="000C37BD" w:rsidP="00AA2116">
      <w:pPr>
        <w:pStyle w:val="Explanationtext"/>
      </w:pPr>
      <w:r>
        <w:t>The Commission propose</w:t>
      </w:r>
      <w:r w:rsidR="00C94AF6">
        <w:t>d</w:t>
      </w:r>
      <w:r>
        <w:t xml:space="preserve"> assuming different measure lives</w:t>
      </w:r>
      <w:r w:rsidRPr="003C2298">
        <w:t xml:space="preserve"> for Type A, Type B, and Type C linear LEDs</w:t>
      </w:r>
      <w:r w:rsidR="00A0651F">
        <w:t xml:space="preserve">.  </w:t>
      </w:r>
      <w:r>
        <w:t>Type A linear LEDs use integrated drivers and are designed to work with a linear fluorescent lamp ballast</w:t>
      </w:r>
      <w:r w:rsidR="00A0651F">
        <w:t xml:space="preserve">.  </w:t>
      </w:r>
      <w:r>
        <w:t>Type B linear LEDs also use integrated drivers but are designed to work directly on mains voltage</w:t>
      </w:r>
      <w:r w:rsidR="00A0651F">
        <w:t xml:space="preserve">.  </w:t>
      </w:r>
      <w:r>
        <w:t>Type C linear LEDs operate off remote LED drivers, but the low-voltage outputs of the drivers are connected to sockets as opposed to the mains voltage, as is the case for Type B equipment</w:t>
      </w:r>
      <w:r w:rsidR="00A0651F">
        <w:t xml:space="preserve">.  </w:t>
      </w:r>
      <w:r>
        <w:t>Because of these differences, Type A equipment is assumed to have diminished longevity due to the reliance on an existing (or new) linear fluorescent lamp ballast</w:t>
      </w:r>
      <w:r w:rsidR="00A0651F">
        <w:t xml:space="preserve">.  </w:t>
      </w:r>
      <w:r>
        <w:t xml:space="preserve">Therefore, a measure life of </w:t>
      </w:r>
      <w:r w:rsidR="002E476B">
        <w:t>five</w:t>
      </w:r>
      <w:r>
        <w:t xml:space="preserve"> years is proposed for Type A equipment and a measure life of 15 years is proposed for Type B and Type C equipment.</w:t>
      </w:r>
    </w:p>
    <w:p w14:paraId="268F63F5" w14:textId="77777777" w:rsidR="008C1D28" w:rsidRPr="00862402" w:rsidRDefault="008C1D28" w:rsidP="00AA2116">
      <w:pPr>
        <w:rPr>
          <w:b/>
        </w:rPr>
      </w:pPr>
    </w:p>
    <w:p w14:paraId="65FA6227" w14:textId="7B9B2290" w:rsidR="008C1D28" w:rsidRPr="006B506A" w:rsidRDefault="003B0EB6" w:rsidP="00453F14">
      <w:pPr>
        <w:pStyle w:val="Heading5"/>
        <w:numPr>
          <w:ilvl w:val="4"/>
          <w:numId w:val="47"/>
        </w:numPr>
        <w:rPr>
          <w:rStyle w:val="Heading5Char"/>
          <w:b/>
        </w:rPr>
      </w:pPr>
      <w:r w:rsidRPr="5E5BD5E0">
        <w:lastRenderedPageBreak/>
        <w:t>Comments</w:t>
      </w:r>
      <w:r w:rsidR="007F29EB">
        <w:t xml:space="preserve"> </w:t>
      </w:r>
    </w:p>
    <w:p w14:paraId="43A19E77" w14:textId="33EE9C8C" w:rsidR="008C1D28" w:rsidRDefault="0D8D9698" w:rsidP="00AA2116">
      <w:r w:rsidRPr="0D8D9698">
        <w:t xml:space="preserve">Duquesne comments that the proposed differentiation of four-foot tube types for discrete assignment of EUL, specifically addressing “Type A” LED linear fluorescent replacements, is based on flawed assumptions, would require changes to the tracking system, and should not be accepted.  Duquesne Comments at 4.  </w:t>
      </w:r>
    </w:p>
    <w:p w14:paraId="2011E1F9" w14:textId="3616AAB7" w:rsidR="55119DC7" w:rsidRPr="00862402" w:rsidRDefault="55119DC7" w:rsidP="00AA2116">
      <w:pPr>
        <w:rPr>
          <w:b/>
        </w:rPr>
      </w:pPr>
    </w:p>
    <w:p w14:paraId="2A490CD4" w14:textId="3BAD0610" w:rsidR="008C1D28" w:rsidRPr="006B506A" w:rsidRDefault="007F29EB" w:rsidP="00453F14">
      <w:pPr>
        <w:pStyle w:val="Heading5"/>
        <w:numPr>
          <w:ilvl w:val="4"/>
          <w:numId w:val="47"/>
        </w:numPr>
        <w:rPr>
          <w:rStyle w:val="Heading5Char"/>
          <w:b/>
        </w:rPr>
      </w:pPr>
      <w:r w:rsidRPr="59EA912B">
        <w:t>Disposition</w:t>
      </w:r>
    </w:p>
    <w:p w14:paraId="69B44CFA" w14:textId="1C102054" w:rsidR="55119DC7" w:rsidRDefault="55119DC7" w:rsidP="00AA2116">
      <w:r>
        <w:t xml:space="preserve">The Commission </w:t>
      </w:r>
      <w:r w:rsidR="00D659D2">
        <w:t xml:space="preserve">disagrees with Duquesne’s opinion that the </w:t>
      </w:r>
      <w:r w:rsidR="00D659D2" w:rsidRPr="0D8D9698">
        <w:t>proposed differentiation of four-foot tube types for discrete assignment of EUL, specifically addressing “Type A” LED linear fluorescent replacements, is based on flawed assumptions</w:t>
      </w:r>
      <w:r w:rsidR="00C605B8">
        <w:t xml:space="preserve">.  We, </w:t>
      </w:r>
      <w:r w:rsidR="00D659D2">
        <w:t>however</w:t>
      </w:r>
      <w:r w:rsidR="009302BA">
        <w:t>,</w:t>
      </w:r>
      <w:r w:rsidR="00D659D2">
        <w:t xml:space="preserve"> </w:t>
      </w:r>
      <w:r w:rsidR="002251AA">
        <w:t xml:space="preserve">have </w:t>
      </w:r>
      <w:r w:rsidR="00D659D2">
        <w:t xml:space="preserve">made the following </w:t>
      </w:r>
      <w:r>
        <w:t xml:space="preserve">revision to this measure.  “Type A” LED linear fluorescent replacements are dependent on an existing, compatible fluorescent lamp ballast to function.  While it may be true that many or even most participants would replace their ballasts upon failure, failure of existing equipment upon which a measure relies to yield savings effectively ends the measure life.  </w:t>
      </w:r>
      <w:r w:rsidR="00910C2A">
        <w:t>Nevertheless, we</w:t>
      </w:r>
      <w:r>
        <w:t xml:space="preserve"> acknowledge that the proposed </w:t>
      </w:r>
      <w:r w:rsidR="00757613">
        <w:t>five-year</w:t>
      </w:r>
      <w:r>
        <w:t xml:space="preserve"> EUL is somewhat arbitrary </w:t>
      </w:r>
      <w:r w:rsidR="00910C2A">
        <w:t xml:space="preserve">and have </w:t>
      </w:r>
      <w:r w:rsidR="00BC22D0">
        <w:t xml:space="preserve">therefore </w:t>
      </w:r>
      <w:r>
        <w:t xml:space="preserve">increased </w:t>
      </w:r>
      <w:r w:rsidR="00FA44F7">
        <w:t xml:space="preserve">the EUL for “Type A” equipment </w:t>
      </w:r>
      <w:r>
        <w:t xml:space="preserve">to </w:t>
      </w:r>
      <w:r w:rsidR="006E4F5E">
        <w:t>seven</w:t>
      </w:r>
      <w:r>
        <w:t xml:space="preserve"> years consistent with the estimated remaining useful life of existing electronic ballasts based on field data cited by Southern California Edison.</w:t>
      </w:r>
    </w:p>
    <w:p w14:paraId="466E8ED3" w14:textId="2A5BC7B1" w:rsidR="00A0712C" w:rsidRDefault="00A0712C" w:rsidP="00AA2116">
      <w:pPr>
        <w:pStyle w:val="Explanationtext"/>
      </w:pPr>
    </w:p>
    <w:p w14:paraId="1460A514" w14:textId="1172210F" w:rsidR="000C37BD" w:rsidRDefault="5826BB76" w:rsidP="00453F14">
      <w:pPr>
        <w:pStyle w:val="Heading4"/>
        <w:numPr>
          <w:ilvl w:val="3"/>
          <w:numId w:val="47"/>
        </w:numPr>
      </w:pPr>
      <w:r>
        <w:t>General Service Lamp Baseline Adjustment</w:t>
      </w:r>
    </w:p>
    <w:p w14:paraId="5AA9A5FD" w14:textId="31CFF2F4" w:rsidR="000C37BD" w:rsidRDefault="000C37BD" w:rsidP="00AA2116">
      <w:pPr>
        <w:pStyle w:val="Explanationtext"/>
      </w:pPr>
      <w:r w:rsidRPr="008E6500">
        <w:t>T</w:t>
      </w:r>
      <w:r w:rsidRPr="00E047B1">
        <w:t xml:space="preserve">he </w:t>
      </w:r>
      <w:r w:rsidRPr="008E6500">
        <w:t>Energy Independence and Security Act of 2007 (</w:t>
      </w:r>
      <w:r w:rsidRPr="00E047B1">
        <w:t>EISA</w:t>
      </w:r>
      <w:r w:rsidRPr="008E6500">
        <w:t>)</w:t>
      </w:r>
      <w:r w:rsidRPr="00E047B1">
        <w:t xml:space="preserve"> “backstop” provision introduced new efficacy standards for general service lamps (effective January 1, 2020) effectively requiring a minimum efficacy of 45 lm/W for most general service lamps</w:t>
      </w:r>
      <w:r w:rsidR="00A0651F">
        <w:t xml:space="preserve">.  </w:t>
      </w:r>
      <w:r w:rsidRPr="00E047B1">
        <w:t xml:space="preserve">This </w:t>
      </w:r>
      <w:r w:rsidRPr="008E6500">
        <w:t>will induce</w:t>
      </w:r>
      <w:r w:rsidRPr="00E047B1">
        <w:t xml:space="preserve"> a shift in what a participant would have purchased in the absence of the program because standard an</w:t>
      </w:r>
      <w:r w:rsidRPr="008E6500">
        <w:t>d halogen incandescent lamps will</w:t>
      </w:r>
      <w:r w:rsidRPr="00E047B1">
        <w:t xml:space="preserve"> no longer </w:t>
      </w:r>
      <w:r w:rsidRPr="008E6500">
        <w:t xml:space="preserve">be </w:t>
      </w:r>
      <w:r w:rsidRPr="00E047B1">
        <w:t>viable options</w:t>
      </w:r>
      <w:r w:rsidR="00A0651F">
        <w:t xml:space="preserve">.  </w:t>
      </w:r>
      <w:r w:rsidRPr="008E6500">
        <w:t>Because of this</w:t>
      </w:r>
      <w:r w:rsidRPr="00E047B1">
        <w:t xml:space="preserve">, </w:t>
      </w:r>
      <w:r w:rsidRPr="008E6500">
        <w:t>the Commission propose</w:t>
      </w:r>
      <w:r w:rsidR="00DC3C4F">
        <w:t>d</w:t>
      </w:r>
      <w:r w:rsidRPr="008E6500">
        <w:t xml:space="preserve"> the use of a</w:t>
      </w:r>
      <w:r w:rsidRPr="00E047B1">
        <w:t xml:space="preserve"> generic general service lamp with an</w:t>
      </w:r>
      <w:r w:rsidRPr="008E6500">
        <w:t xml:space="preserve"> efficacy of 45 lm/W as</w:t>
      </w:r>
      <w:r w:rsidRPr="00E047B1">
        <w:t xml:space="preserve"> the assumed baseline for </w:t>
      </w:r>
      <w:r w:rsidR="0009658C">
        <w:t xml:space="preserve">screw-based lighting retrofit </w:t>
      </w:r>
      <w:r w:rsidRPr="00E047B1">
        <w:t xml:space="preserve">beginning </w:t>
      </w:r>
      <w:r w:rsidR="0009658C">
        <w:t>in PY13</w:t>
      </w:r>
      <w:r w:rsidR="00A0651F">
        <w:t xml:space="preserve">.  </w:t>
      </w:r>
      <w:r w:rsidRPr="00E047B1">
        <w:t>The comparable baseline for any removed incandescent lamps will be a generic general service lamp with similar lumen output</w:t>
      </w:r>
      <w:r w:rsidR="00A0651F">
        <w:t xml:space="preserve">.  </w:t>
      </w:r>
      <w:r w:rsidRPr="00E047B1">
        <w:t xml:space="preserve">The assumed </w:t>
      </w:r>
      <w:r w:rsidRPr="00E047B1">
        <w:lastRenderedPageBreak/>
        <w:t>generic general service lamp baseline lamps</w:t>
      </w:r>
      <w:r w:rsidR="00BA381E">
        <w:t xml:space="preserve"> </w:t>
      </w:r>
      <w:r w:rsidRPr="00E047B1">
        <w:t>/</w:t>
      </w:r>
      <w:r w:rsidR="00BA381E">
        <w:t xml:space="preserve"> </w:t>
      </w:r>
      <w:r w:rsidRPr="00E047B1">
        <w:t>fixtures and wattages associated with the most common incandescent lamp</w:t>
      </w:r>
      <w:r w:rsidR="00BA381E">
        <w:t xml:space="preserve"> </w:t>
      </w:r>
      <w:r w:rsidRPr="00E047B1">
        <w:t>/</w:t>
      </w:r>
      <w:r w:rsidR="00BA381E">
        <w:t xml:space="preserve"> </w:t>
      </w:r>
      <w:r w:rsidRPr="00E047B1">
        <w:t>fixture configurations are presented in the new table titled Assumed Generic GSL Baseline Lamps</w:t>
      </w:r>
      <w:r w:rsidR="00BA381E">
        <w:t xml:space="preserve"> </w:t>
      </w:r>
      <w:r w:rsidRPr="00E047B1">
        <w:t>/</w:t>
      </w:r>
      <w:r w:rsidR="00BA381E">
        <w:t xml:space="preserve"> </w:t>
      </w:r>
      <w:r w:rsidRPr="00E047B1">
        <w:t>Fixtures for Removed Incandescent Lamps</w:t>
      </w:r>
      <w:r w:rsidR="00BA381E">
        <w:t xml:space="preserve"> </w:t>
      </w:r>
      <w:r w:rsidRPr="00E047B1">
        <w:t>/</w:t>
      </w:r>
      <w:r w:rsidR="00BA381E">
        <w:t xml:space="preserve"> </w:t>
      </w:r>
      <w:r w:rsidRPr="00E047B1">
        <w:t>Fixtures.</w:t>
      </w:r>
    </w:p>
    <w:p w14:paraId="60333B85" w14:textId="77777777" w:rsidR="008C1D28" w:rsidRDefault="008C1D28" w:rsidP="00AA2116"/>
    <w:p w14:paraId="287F59B3" w14:textId="24FBD6A6" w:rsidR="008C1D28" w:rsidRPr="001062F9" w:rsidRDefault="007F29EB" w:rsidP="00453F14">
      <w:pPr>
        <w:pStyle w:val="Heading5"/>
        <w:numPr>
          <w:ilvl w:val="4"/>
          <w:numId w:val="47"/>
        </w:numPr>
      </w:pPr>
      <w:r w:rsidRPr="5E5BD5E0">
        <w:t>Comments</w:t>
      </w:r>
    </w:p>
    <w:p w14:paraId="5D9796AB" w14:textId="2A6BE4FF" w:rsidR="55119DC7" w:rsidRDefault="55119DC7" w:rsidP="00AA2116">
      <w:r>
        <w:t xml:space="preserve">Duquesne comments that it is premature to shift to a 45 lm/W baseline in the 2021 TRM as the EISA 2007 backstop was never </w:t>
      </w:r>
      <w:r w:rsidR="006A64CD">
        <w:t>“</w:t>
      </w:r>
      <w:r>
        <w:t>triggered</w:t>
      </w:r>
      <w:r w:rsidR="006A64CD" w:rsidRPr="006A2AF2">
        <w:t>”</w:t>
      </w:r>
      <w:r>
        <w:t xml:space="preserve"> and that the</w:t>
      </w:r>
      <w:r w:rsidR="0076745E">
        <w:t xml:space="preserve"> U.S.</w:t>
      </w:r>
      <w:r>
        <w:t xml:space="preserve"> DOE did not have the legal authority to amend the definitions of General Service Lamps and General Service Incandescent Lamps.  Duquesne Comments at 5-6.</w:t>
      </w:r>
    </w:p>
    <w:p w14:paraId="111412E1" w14:textId="77777777" w:rsidR="008C1D28" w:rsidRDefault="008C1D28" w:rsidP="00AA2116"/>
    <w:p w14:paraId="4A24FCDB" w14:textId="30476A32" w:rsidR="008C1D28" w:rsidRPr="007F29EB" w:rsidRDefault="008C1D28" w:rsidP="00453F14">
      <w:pPr>
        <w:pStyle w:val="Heading5"/>
        <w:numPr>
          <w:ilvl w:val="4"/>
          <w:numId w:val="47"/>
        </w:numPr>
      </w:pPr>
      <w:r w:rsidRPr="007F29EB">
        <w:t>Disposition</w:t>
      </w:r>
    </w:p>
    <w:p w14:paraId="07F61EB1" w14:textId="77777777" w:rsidR="00FA44F7" w:rsidRDefault="00FA44F7">
      <w:r>
        <w:t xml:space="preserve">In the absence of a final ruling from the U.S. DOE, rescinding the 45 lm/W baseline, the Commission disagrees with Duquesne’s comment.  As recent public comments on the NOPR have shown, this proposal is heavily contested </w:t>
      </w:r>
      <w:r w:rsidRPr="00F5056E">
        <w:t>by all</w:t>
      </w:r>
      <w:r>
        <w:t>, except</w:t>
      </w:r>
      <w:r w:rsidRPr="00F5056E">
        <w:t xml:space="preserve"> the</w:t>
      </w:r>
      <w:r>
        <w:t xml:space="preserve"> product manufacturers and their trade organizations.</w:t>
      </w:r>
      <w:r w:rsidRPr="66E8B1E4">
        <w:rPr>
          <w:rStyle w:val="FootnoteReference"/>
        </w:rPr>
        <w:footnoteReference w:id="61"/>
      </w:r>
      <w:r>
        <w:t xml:space="preserve">  Furthermore, should the U.S. DOE follow through with the proposed withdrawal, it is likely that litigation will continue for months, if not years.  </w:t>
      </w:r>
    </w:p>
    <w:p w14:paraId="709596A2" w14:textId="77777777" w:rsidR="00A0712C" w:rsidRDefault="00A0712C" w:rsidP="00AA2116">
      <w:pPr>
        <w:pStyle w:val="Explanationtext"/>
      </w:pPr>
    </w:p>
    <w:p w14:paraId="3951BDD1" w14:textId="77777777" w:rsidR="000C37BD" w:rsidRDefault="5826BB76" w:rsidP="00453F14">
      <w:pPr>
        <w:pStyle w:val="Heading4"/>
        <w:numPr>
          <w:ilvl w:val="3"/>
          <w:numId w:val="47"/>
        </w:numPr>
      </w:pPr>
      <w:r>
        <w:t>Hours of Use</w:t>
      </w:r>
    </w:p>
    <w:p w14:paraId="0FEBCBC7" w14:textId="4874E21A" w:rsidR="000C37BD" w:rsidRDefault="000C37BD" w:rsidP="00AA2116">
      <w:pPr>
        <w:pStyle w:val="Explanationtext"/>
      </w:pPr>
      <w:r w:rsidRPr="008E6500">
        <w:t>The Commission propose</w:t>
      </w:r>
      <w:r w:rsidR="003D59D6">
        <w:t>d</w:t>
      </w:r>
      <w:r w:rsidRPr="008E6500">
        <w:t xml:space="preserve"> updating the hours of use </w:t>
      </w:r>
      <w:r>
        <w:t xml:space="preserve">(HOU) </w:t>
      </w:r>
      <w:r w:rsidRPr="008E6500">
        <w:t xml:space="preserve">for </w:t>
      </w:r>
      <w:r w:rsidRPr="00B02E2D">
        <w:t xml:space="preserve">Exterior (All Building Types) </w:t>
      </w:r>
      <w:r w:rsidRPr="008E6500">
        <w:t xml:space="preserve">from 3,833 to 3,604 hours and </w:t>
      </w:r>
      <w:r w:rsidRPr="00B02E2D">
        <w:t>Parking Garag</w:t>
      </w:r>
      <w:r w:rsidRPr="008E6500">
        <w:t>es</w:t>
      </w:r>
      <w:r w:rsidRPr="00B02E2D">
        <w:t xml:space="preserve"> </w:t>
      </w:r>
      <w:r w:rsidRPr="008E6500">
        <w:t xml:space="preserve">from 6,552 to 8,678 hours </w:t>
      </w:r>
      <w:r w:rsidRPr="00B02E2D">
        <w:t xml:space="preserve">in both the Lighting HOU and CF by Building Type for Screw-Based Bulbs and Lighting HOU and CF by Building Type for Other General Service Lighting tables </w:t>
      </w:r>
      <w:r w:rsidRPr="008E6500">
        <w:t>based on more recent sources or newer versions of the current data sources</w:t>
      </w:r>
      <w:r w:rsidRPr="00B02E2D">
        <w:t>.</w:t>
      </w:r>
    </w:p>
    <w:p w14:paraId="2B5C4E89" w14:textId="77777777" w:rsidR="008C1D28" w:rsidRDefault="008C1D28" w:rsidP="00AA2116"/>
    <w:p w14:paraId="0F3D98E4" w14:textId="2AF54B25" w:rsidR="008C1D28" w:rsidRPr="001A5687" w:rsidRDefault="001A5687" w:rsidP="00453F14">
      <w:pPr>
        <w:pStyle w:val="Heading5"/>
        <w:numPr>
          <w:ilvl w:val="4"/>
          <w:numId w:val="47"/>
        </w:numPr>
      </w:pPr>
      <w:r w:rsidRPr="5E5BD5E0">
        <w:lastRenderedPageBreak/>
        <w:t>Comments</w:t>
      </w:r>
    </w:p>
    <w:p w14:paraId="2BCE1FF5" w14:textId="63FB6BC6" w:rsidR="55119DC7" w:rsidRDefault="55119DC7" w:rsidP="00AA2116">
      <w:r>
        <w:t xml:space="preserve">Duquesne comments that the proposed adjustment to exterior lighting hours of operation is too low and recommends a value of 4,305 darkness hours based on the 2019 U.S. Naval Observatory.  Duquesne Comments at 4-5. </w:t>
      </w:r>
      <w:r w:rsidR="0082760A">
        <w:t xml:space="preserve"> </w:t>
      </w:r>
      <w:r>
        <w:t>PPL recommends adding to Tables 3-5 and 3-6 a “24/7 convenience/retail store” building type with 8,760 hours of use.  PPL Comments at 6.</w:t>
      </w:r>
    </w:p>
    <w:p w14:paraId="4A764B30" w14:textId="77777777" w:rsidR="008C1D28" w:rsidRDefault="008C1D28" w:rsidP="00AA2116"/>
    <w:p w14:paraId="372F3E83" w14:textId="1F5090A7" w:rsidR="008C1D28" w:rsidRPr="001A5687" w:rsidRDefault="008C1D28" w:rsidP="00453F14">
      <w:pPr>
        <w:pStyle w:val="Heading5"/>
        <w:numPr>
          <w:ilvl w:val="4"/>
          <w:numId w:val="47"/>
        </w:numPr>
      </w:pPr>
      <w:r w:rsidRPr="001A5687">
        <w:t>Disposition</w:t>
      </w:r>
    </w:p>
    <w:p w14:paraId="7526E494" w14:textId="1CB66536" w:rsidR="55119DC7" w:rsidRDefault="55119DC7" w:rsidP="00AA2116">
      <w:r>
        <w:t>The Commission acknowledges Duquesne’s comment but notes that a value of 4,305 would only be appropriate if the exterior lighting in question is photocell controlled and operates from dusk-to-dawn</w:t>
      </w:r>
      <w:r w:rsidR="00E74835">
        <w:t xml:space="preserve">.  </w:t>
      </w:r>
      <w:r w:rsidR="00E17199">
        <w:t xml:space="preserve">As a result, we have updated the measure protocol </w:t>
      </w:r>
      <w:r w:rsidR="4ED6F62C">
        <w:t xml:space="preserve">to assume </w:t>
      </w:r>
      <w:r>
        <w:t>4,305 hours of use where photocell control is present and 3,604 hours in other cases.</w:t>
      </w:r>
      <w:r w:rsidR="007F72C4">
        <w:t xml:space="preserve">  </w:t>
      </w:r>
      <w:r w:rsidR="00535F68">
        <w:rPr>
          <w:szCs w:val="26"/>
        </w:rPr>
        <w:t>The</w:t>
      </w:r>
      <w:r w:rsidR="00F31E03" w:rsidRPr="55119DC7">
        <w:rPr>
          <w:szCs w:val="26"/>
        </w:rPr>
        <w:t xml:space="preserve"> Commission </w:t>
      </w:r>
      <w:r w:rsidR="00F31E03">
        <w:rPr>
          <w:szCs w:val="26"/>
        </w:rPr>
        <w:t>disagrees with</w:t>
      </w:r>
      <w:r w:rsidR="00F31E03" w:rsidRPr="55119DC7">
        <w:rPr>
          <w:szCs w:val="26"/>
        </w:rPr>
        <w:t xml:space="preserve"> PPL’s </w:t>
      </w:r>
      <w:r w:rsidR="00F31E03">
        <w:rPr>
          <w:szCs w:val="26"/>
        </w:rPr>
        <w:t>recommendation</w:t>
      </w:r>
      <w:r w:rsidRPr="55119DC7">
        <w:t xml:space="preserve">.  The measure protocol already includes a mechanism for using custom hours of use in certain cases.  As described in </w:t>
      </w:r>
      <w:r w:rsidR="00F31E03">
        <w:t>our tentative order</w:t>
      </w:r>
      <w:r w:rsidRPr="55119DC7">
        <w:t xml:space="preserve">, </w:t>
      </w:r>
      <w:r w:rsidR="004F68AC">
        <w:t>“If</w:t>
      </w:r>
      <w:r w:rsidRPr="55119DC7">
        <w:t xml:space="preserve"> the project cannot be described by the building type categories listed in Table 3-5 and Table 3-6, or if the facility’s actual lighting hours deviate by more than 10% from the tables, or if the project retrofitted only a portion of a facility’s lighting system for which whole building hours of use would not be appropriate, the deemed HOU and CF assumptions can be overridden by inputting custom operating schedules into the Lighting Operation Schedule portion of the “General Information” tab of Appendix C.  The custom schedule inputs must be corroborated by an acceptable source such as posted hours, customer interviews, building monitoring system (BMS), or metered data.</w:t>
      </w:r>
      <w:r w:rsidR="00F71A34">
        <w:t>”</w:t>
      </w:r>
      <w:r w:rsidRPr="55119DC7">
        <w:t xml:space="preserve">  The custom treatment of this scenario, and the associated documentation requirements, are intended to reduce potential misuse of an hours of use value approaching 8,760.</w:t>
      </w:r>
    </w:p>
    <w:p w14:paraId="08464FF8" w14:textId="77777777" w:rsidR="00751611" w:rsidRDefault="00751611" w:rsidP="00AA2116"/>
    <w:p w14:paraId="63F54464" w14:textId="77777777" w:rsidR="000C37BD" w:rsidRPr="008E6500" w:rsidRDefault="5826BB76" w:rsidP="00453F14">
      <w:pPr>
        <w:pStyle w:val="Heading4"/>
        <w:numPr>
          <w:ilvl w:val="3"/>
          <w:numId w:val="47"/>
        </w:numPr>
      </w:pPr>
      <w:r>
        <w:t>Coincidence Factor</w:t>
      </w:r>
    </w:p>
    <w:p w14:paraId="534DABE2" w14:textId="7D4897B2" w:rsidR="000C37BD" w:rsidRDefault="64A3250E" w:rsidP="00AA2116">
      <w:pPr>
        <w:pStyle w:val="Explanationtext"/>
      </w:pPr>
      <w:r>
        <w:t>The Commission propose</w:t>
      </w:r>
      <w:r w:rsidR="008814B4">
        <w:t>d</w:t>
      </w:r>
      <w:r>
        <w:t xml:space="preserve"> updating the coincidence factors (CF) for Exterior (All Building Types) from 0.00 to 0.11; Industrial Manufacturing – 1 Shift, Industrial Manufacturing – 2 Shift</w:t>
      </w:r>
      <w:r w:rsidR="003C0027">
        <w:t>,</w:t>
      </w:r>
      <w:r>
        <w:t xml:space="preserve"> and Industrial Manufacturing – 3 Shift from 0.57 to 0.96; </w:t>
      </w:r>
      <w:r>
        <w:lastRenderedPageBreak/>
        <w:t>Multi</w:t>
      </w:r>
      <w:r w:rsidR="003B60A7">
        <w:t>f</w:t>
      </w:r>
      <w:r>
        <w:t>amily Common Areas from 0.62 to 0.73</w:t>
      </w:r>
      <w:r w:rsidRPr="00D67856">
        <w:t>; and Parking Garages from 0.62 to 0.98 in both the Lighting HOU and CF by Building Type for Screw-Based Bulbs and Lighting HOU and CF by Building Type for Other General Service Lighting tables based on more recent sources or newer versions of the current data sources.</w:t>
      </w:r>
    </w:p>
    <w:p w14:paraId="5715A624" w14:textId="77777777" w:rsidR="008C1D28" w:rsidRDefault="008C1D28" w:rsidP="00AA2116"/>
    <w:p w14:paraId="7493A232" w14:textId="2ED5BCD4" w:rsidR="008C1D28" w:rsidRPr="001062F9" w:rsidRDefault="001A5687" w:rsidP="00453F14">
      <w:pPr>
        <w:pStyle w:val="Heading5"/>
        <w:numPr>
          <w:ilvl w:val="4"/>
          <w:numId w:val="47"/>
        </w:numPr>
      </w:pPr>
      <w:r w:rsidRPr="5E5BD5E0">
        <w:t>Comments</w:t>
      </w:r>
    </w:p>
    <w:p w14:paraId="67AFB70D" w14:textId="0536F690" w:rsidR="55119DC7" w:rsidRDefault="55119DC7" w:rsidP="00AA2116">
      <w:r>
        <w:t>PPL recommends adding a “24/7 convenience/retail store” building type with 1.0 coincidence factor</w:t>
      </w:r>
      <w:r w:rsidR="008B732A">
        <w:t xml:space="preserve"> to Tables 3-5 and 3-6</w:t>
      </w:r>
      <w:r>
        <w:t>.  PPL Comments at 6.</w:t>
      </w:r>
    </w:p>
    <w:p w14:paraId="19CFAC30" w14:textId="0D0D82F6" w:rsidR="008C1D28" w:rsidRDefault="008C1D28" w:rsidP="00AA2116"/>
    <w:p w14:paraId="35864D85" w14:textId="58B9E994" w:rsidR="008C1D28" w:rsidRPr="001A5687" w:rsidRDefault="008C1D28" w:rsidP="00453F14">
      <w:pPr>
        <w:pStyle w:val="Heading5"/>
        <w:numPr>
          <w:ilvl w:val="4"/>
          <w:numId w:val="47"/>
        </w:numPr>
      </w:pPr>
      <w:r w:rsidRPr="001A5687">
        <w:t>Disposition</w:t>
      </w:r>
    </w:p>
    <w:p w14:paraId="6FC6D45D" w14:textId="4128E9C4" w:rsidR="001619E2" w:rsidRDefault="66E8B1E4" w:rsidP="00AA2116">
      <w:r w:rsidRPr="00000D4A">
        <w:t>T</w:t>
      </w:r>
      <w:r w:rsidRPr="006A2AF2">
        <w:t xml:space="preserve">he Commission </w:t>
      </w:r>
      <w:r w:rsidR="00CD622C">
        <w:t xml:space="preserve">disagrees and </w:t>
      </w:r>
      <w:r w:rsidRPr="006A2AF2">
        <w:t xml:space="preserve">rejects PPL’s </w:t>
      </w:r>
      <w:r w:rsidR="00020A60">
        <w:t>recommendation</w:t>
      </w:r>
      <w:r w:rsidR="00E74835">
        <w:t xml:space="preserve">.  </w:t>
      </w:r>
      <w:r w:rsidRPr="006A2AF2">
        <w:t>See the related discussion on “Hours of Use” within this measure subsection for more details.</w:t>
      </w:r>
      <w:r w:rsidR="007F72C4">
        <w:t xml:space="preserve">  </w:t>
      </w:r>
      <w:r w:rsidR="5ABAC3FD">
        <w:t xml:space="preserve">Upon further review of this measure in relation to the </w:t>
      </w:r>
      <w:r w:rsidR="599E1C99">
        <w:t xml:space="preserve">comment above, </w:t>
      </w:r>
      <w:r w:rsidR="00DA0BEF">
        <w:t xml:space="preserve">Commission has corrected the </w:t>
      </w:r>
      <w:r w:rsidR="4B7F3B25">
        <w:t>coincidence factor f</w:t>
      </w:r>
      <w:r w:rsidR="05968568">
        <w:t>or the Industrial</w:t>
      </w:r>
      <w:r w:rsidR="4B7F3B25">
        <w:t xml:space="preserve"> Manufacturing – </w:t>
      </w:r>
      <w:r w:rsidR="05968568">
        <w:t>1</w:t>
      </w:r>
      <w:r w:rsidR="4B7F3B25">
        <w:t xml:space="preserve"> Shift </w:t>
      </w:r>
      <w:r w:rsidR="05968568">
        <w:t>building type</w:t>
      </w:r>
      <w:r w:rsidR="4B7F3B25" w:rsidRPr="40E9A647">
        <w:t xml:space="preserve"> </w:t>
      </w:r>
      <w:r w:rsidR="4B7F3B25">
        <w:t>to 0.</w:t>
      </w:r>
      <w:r w:rsidR="05968568">
        <w:t>50.</w:t>
      </w:r>
      <w:r w:rsidR="40E9A647">
        <w:t xml:space="preserve">  This reflects the fact </w:t>
      </w:r>
      <w:r w:rsidR="00A367DF">
        <w:t xml:space="preserve">that </w:t>
      </w:r>
      <w:r w:rsidR="0553337F">
        <w:t>single-</w:t>
      </w:r>
      <w:r w:rsidR="40E9A647">
        <w:t>shift faci</w:t>
      </w:r>
      <w:r w:rsidR="0553337F">
        <w:t>l</w:t>
      </w:r>
      <w:r w:rsidR="40E9A647">
        <w:t>itie</w:t>
      </w:r>
      <w:r w:rsidR="18F5D23B">
        <w:t>s typically operate from 8</w:t>
      </w:r>
      <w:r w:rsidR="00456006">
        <w:t>:00</w:t>
      </w:r>
      <w:r w:rsidR="00A367DF">
        <w:t xml:space="preserve"> </w:t>
      </w:r>
      <w:r w:rsidR="18F5D23B">
        <w:t>am to 4</w:t>
      </w:r>
      <w:r w:rsidR="00456006">
        <w:t>:00</w:t>
      </w:r>
      <w:r w:rsidR="18F5D23B">
        <w:t xml:space="preserve"> pm or 7</w:t>
      </w:r>
      <w:r w:rsidR="00456006">
        <w:t>:00</w:t>
      </w:r>
      <w:r w:rsidR="00A367DF">
        <w:t xml:space="preserve"> </w:t>
      </w:r>
      <w:r w:rsidR="18F5D23B">
        <w:t>am to 3</w:t>
      </w:r>
      <w:r w:rsidR="00456006">
        <w:t>:00</w:t>
      </w:r>
      <w:r w:rsidR="00A367DF">
        <w:t xml:space="preserve"> </w:t>
      </w:r>
      <w:r w:rsidR="18F5D23B">
        <w:t>pm.</w:t>
      </w:r>
    </w:p>
    <w:p w14:paraId="0B41EC5D" w14:textId="6BC6D708" w:rsidR="55119DC7" w:rsidRDefault="55119DC7" w:rsidP="00AA2116"/>
    <w:p w14:paraId="5E415D96" w14:textId="5B894AF2" w:rsidR="008C1D28" w:rsidRDefault="5826BB76" w:rsidP="00453F14">
      <w:pPr>
        <w:pStyle w:val="Heading4"/>
        <w:numPr>
          <w:ilvl w:val="3"/>
          <w:numId w:val="47"/>
        </w:numPr>
      </w:pPr>
      <w:r>
        <w:t>General</w:t>
      </w:r>
    </w:p>
    <w:p w14:paraId="3D0D17E2" w14:textId="1F8AC07E" w:rsidR="008B732A" w:rsidRDefault="008B732A" w:rsidP="00AA2116">
      <w:r>
        <w:t xml:space="preserve">Additional comments were received unrelated to the changes proposed by the Commission.  These comments are discussed below. </w:t>
      </w:r>
    </w:p>
    <w:p w14:paraId="29075567" w14:textId="77777777" w:rsidR="008B732A" w:rsidRPr="009D5240" w:rsidRDefault="008B732A" w:rsidP="00AA2116"/>
    <w:p w14:paraId="055B4EA1" w14:textId="139C9F36" w:rsidR="55119DC7" w:rsidRDefault="001A5687" w:rsidP="00453F14">
      <w:pPr>
        <w:pStyle w:val="Heading5"/>
        <w:numPr>
          <w:ilvl w:val="4"/>
          <w:numId w:val="47"/>
        </w:numPr>
        <w:rPr>
          <w:bCs/>
        </w:rPr>
      </w:pPr>
      <w:r w:rsidRPr="5E5BD5E0">
        <w:t>Comments</w:t>
      </w:r>
    </w:p>
    <w:p w14:paraId="0161A98A" w14:textId="72159E88" w:rsidR="55119DC7" w:rsidRDefault="55119DC7" w:rsidP="00AA2116">
      <w:r>
        <w:t xml:space="preserve">PPL requests clarification of the basis for disconnected lighting wattage in Table 3-10 and requests the addition a footnote to this table providing this clarification.  PPL Comments at 6.  </w:t>
      </w:r>
      <w:r w:rsidR="002147CB">
        <w:t>FirstEnergy</w:t>
      </w:r>
      <w:r>
        <w:t xml:space="preserve"> comments that the factors in Table 3-4 for daylighting controls (interior daylight dimmers) should be scalable to the operating hours of the facility explaining that the longer the facility runs (especially outside of daylight hours) the lower this savings factor will be</w:t>
      </w:r>
      <w:r w:rsidR="00E74835">
        <w:t xml:space="preserve">.  </w:t>
      </w:r>
      <w:r w:rsidR="002147CB">
        <w:t>FirstEnergy</w:t>
      </w:r>
      <w:r>
        <w:t xml:space="preserve"> Comments at 8.  </w:t>
      </w:r>
      <w:r w:rsidR="01B40B79">
        <w:t xml:space="preserve">EAP comments propose </w:t>
      </w:r>
      <w:r w:rsidR="00DA0BEF">
        <w:t xml:space="preserve">to combine </w:t>
      </w:r>
      <w:r w:rsidR="01B40B79">
        <w:t xml:space="preserve">3.1.1 and 3.1.7 so that TRM measure selection and TRM savings </w:t>
      </w:r>
      <w:r w:rsidR="01B40B79">
        <w:lastRenderedPageBreak/>
        <w:t xml:space="preserve">estimation is independent of implementation method </w:t>
      </w:r>
      <w:r w:rsidR="00EF2D1A">
        <w:t xml:space="preserve">and to include </w:t>
      </w:r>
      <w:r w:rsidR="000C6D51">
        <w:t>“</w:t>
      </w:r>
      <w:r w:rsidR="00EF2D1A">
        <w:t>composite</w:t>
      </w:r>
      <w:r w:rsidR="000C6D51" w:rsidRPr="000C6D51">
        <w:t>”</w:t>
      </w:r>
      <w:r w:rsidR="00EF2D1A">
        <w:t xml:space="preserve"> inputs to savings algorithm</w:t>
      </w:r>
      <w:r>
        <w:t>.  EAP Comments at 5-37.</w:t>
      </w:r>
    </w:p>
    <w:p w14:paraId="15206F55" w14:textId="36AC1648" w:rsidR="55119DC7" w:rsidRDefault="55119DC7" w:rsidP="00AA2116"/>
    <w:p w14:paraId="6C5A70BE" w14:textId="2F166C29" w:rsidR="55119DC7" w:rsidRPr="001A5687" w:rsidRDefault="55119DC7" w:rsidP="00453F14">
      <w:pPr>
        <w:pStyle w:val="Heading5"/>
        <w:numPr>
          <w:ilvl w:val="4"/>
          <w:numId w:val="47"/>
        </w:numPr>
      </w:pPr>
      <w:r w:rsidRPr="001A5687">
        <w:t>Disposition</w:t>
      </w:r>
    </w:p>
    <w:p w14:paraId="1C20CC7E" w14:textId="0006CCFD" w:rsidR="66E8B1E4" w:rsidRDefault="66E8B1E4" w:rsidP="00AA2116">
      <w:pPr>
        <w:rPr>
          <w:szCs w:val="26"/>
        </w:rPr>
      </w:pPr>
      <w:r w:rsidRPr="4ED6F62C">
        <w:t xml:space="preserve">Regarding PPL’s request for </w:t>
      </w:r>
      <w:r w:rsidR="00EF2D1A">
        <w:t>clarification</w:t>
      </w:r>
      <w:r w:rsidR="00EF2D1A" w:rsidRPr="4ED6F62C">
        <w:t xml:space="preserve"> </w:t>
      </w:r>
      <w:r w:rsidRPr="4ED6F62C">
        <w:t>on Table 3-10, the disconnected lighting wattage was adopted from the Missouri Technical Reference Manual.</w:t>
      </w:r>
      <w:r w:rsidR="00A0712C" w:rsidRPr="66E8B1E4">
        <w:rPr>
          <w:rStyle w:val="FootnoteReference"/>
        </w:rPr>
        <w:footnoteReference w:id="62"/>
      </w:r>
      <w:r w:rsidRPr="4ED6F62C">
        <w:t xml:space="preserve">  According to that document</w:t>
      </w:r>
      <w:r w:rsidR="008B732A">
        <w:t>,</w:t>
      </w:r>
      <w:r w:rsidRPr="4ED6F62C">
        <w:t xml:space="preserve"> the default wattage reductions are based on averaging the savings from moving from a 2 to 1, 3 to 2</w:t>
      </w:r>
      <w:r w:rsidR="008F6D9B">
        <w:t>,</w:t>
      </w:r>
      <w:r w:rsidRPr="4ED6F62C">
        <w:t xml:space="preserve"> and 4 to 3 lamp fixtures, as provided in the Southern California Edison Standard Performance Contract Procedures Manual: Appendix B: Table of Standard Fixture Wattages.  Further, the source notes that an adjustment was made to the T8 delamped fixture to account for the significant increase in ballast factor.  </w:t>
      </w:r>
      <w:r w:rsidR="007D4CD2">
        <w:t>Based on that, the Commission has updated the manual</w:t>
      </w:r>
      <w:r w:rsidR="007D4CD2" w:rsidRPr="4ED6F62C">
        <w:t xml:space="preserve"> </w:t>
      </w:r>
      <w:r w:rsidRPr="4ED6F62C">
        <w:t>to reflect this source.</w:t>
      </w:r>
      <w:r w:rsidR="007F72C4">
        <w:t xml:space="preserve">  </w:t>
      </w:r>
      <w:r w:rsidR="01B40B79">
        <w:t xml:space="preserve">Regarding </w:t>
      </w:r>
      <w:r w:rsidR="002147CB">
        <w:t>FirstEnergy</w:t>
      </w:r>
      <w:r w:rsidR="01B40B79">
        <w:t>’s comment on daylighting controls savings factors, the Commission acknowledges that the actual savings from daylighting controls will vary from site-to-site depending on a variety of factors including, but not limited to, the site-specific lighting schedules</w:t>
      </w:r>
      <w:r w:rsidR="00E74835">
        <w:t xml:space="preserve">.  </w:t>
      </w:r>
      <w:r w:rsidR="01B40B79">
        <w:t>However, the factor in the 2021 TRM represents a trade-off between usability and accuracy</w:t>
      </w:r>
      <w:r w:rsidR="00E74835">
        <w:t xml:space="preserve">.  </w:t>
      </w:r>
      <w:r w:rsidR="01B40B79">
        <w:t>Further</w:t>
      </w:r>
      <w:r w:rsidR="00AC34AF">
        <w:t>more</w:t>
      </w:r>
      <w:r w:rsidR="01B40B79">
        <w:t>, the Appendix C Lighting Audit and Design Tool already allows for the use of custom lighting control savings factors, where appropriate documentation exists.</w:t>
      </w:r>
    </w:p>
    <w:p w14:paraId="4D646EDC" w14:textId="77777777" w:rsidR="00751611" w:rsidRDefault="00751611" w:rsidP="00AA2116">
      <w:pPr>
        <w:rPr>
          <w:szCs w:val="26"/>
        </w:rPr>
      </w:pPr>
    </w:p>
    <w:p w14:paraId="7349FB6E" w14:textId="121C4BA6" w:rsidR="008D7940" w:rsidRDefault="01B40B79" w:rsidP="00AA2116">
      <w:r>
        <w:t xml:space="preserve">The Commission </w:t>
      </w:r>
      <w:r w:rsidR="00AC34AF">
        <w:t xml:space="preserve">disagrees and </w:t>
      </w:r>
      <w:r>
        <w:t>rejects EAP’s suggestion to combine measure protocols for 3.1.1 and 3.1.7</w:t>
      </w:r>
      <w:r w:rsidR="00E74835">
        <w:t xml:space="preserve">.  </w:t>
      </w:r>
      <w:r>
        <w:t>There are practical differences between applying downstream and midstream measure protocols.  For example, the midstream approach employs a lamps-lumen equivalence methodology that would be inappropriate in many cases for downstream measures.  Where possible and appropriate, the two measure protocols already use consistent assumptions.</w:t>
      </w:r>
      <w:r w:rsidR="007F72C4">
        <w:t xml:space="preserve">  </w:t>
      </w:r>
      <w:r>
        <w:t xml:space="preserve">Regarding EAP’s proposal to include “composite” inputs to the savings algorithm, the Commission acknowledges the intended, </w:t>
      </w:r>
      <w:r>
        <w:lastRenderedPageBreak/>
        <w:t>stated goals of increased program delivery options and streamlined program processes.  However, the composite inputs would greatly reduce savings accuracy on a project-level basis and increase the risk of potential misuse</w:t>
      </w:r>
      <w:r w:rsidR="00E74835">
        <w:t xml:space="preserve">.  </w:t>
      </w:r>
      <w:r w:rsidR="00535F68">
        <w:t>In particular</w:t>
      </w:r>
      <w:r>
        <w:t xml:space="preserve">, even within the “form factor” categories presented in EAP’s comments, there is significant variation in delta watts depending on the specific baseline and efficient fixture types and technologies.  Under </w:t>
      </w:r>
      <w:r w:rsidR="008D7940">
        <w:t xml:space="preserve">EAP’s </w:t>
      </w:r>
      <w:r>
        <w:t xml:space="preserve">proposed approach, the same “delta watts” could conceivably be applied to LEDs replacing high output HID fixtures and LEDs replacing relatively low-wattage track lighting as both would be considered “Other General Service.”  </w:t>
      </w:r>
    </w:p>
    <w:p w14:paraId="628EDA6C" w14:textId="77777777" w:rsidR="00C50AC5" w:rsidRDefault="00C50AC5" w:rsidP="00AA2116"/>
    <w:p w14:paraId="08E86BDE" w14:textId="216FF1B1" w:rsidR="008D7940" w:rsidRDefault="00535F68" w:rsidP="00AA2116">
      <w:r>
        <w:t>M</w:t>
      </w:r>
      <w:r w:rsidR="01B40B79">
        <w:t>ore specifically, the proposed inputs for screw-in lamps are based on historical evaluation-verified data and have not been adjusted for potential impacts of the EISA 2007 “backstop” requiring a minimum efficacy of 45 lumens per watt for General Service Lamps sold as of January 1, 2020.  For example, the baseline wattage for “Screw-Based” lamps as presented in the EAP comments is 55 watts.  As of January 1, 2020, a 75-watt incandescent-equivalent federal standards-compliant lamp, one of the most common lamps, will only consume a maximum of 28 watts.  Clearly, basing the baseline wattage on historical data that does not consider the impend</w:t>
      </w:r>
      <w:r w:rsidR="00DE023B">
        <w:t>ing</w:t>
      </w:r>
      <w:r w:rsidR="01B40B79">
        <w:t xml:space="preserve"> standards change will greatly exaggerate savings.  </w:t>
      </w:r>
    </w:p>
    <w:p w14:paraId="5E97C5BA" w14:textId="77777777" w:rsidR="007F72C4" w:rsidRDefault="007F72C4" w:rsidP="00AA2116"/>
    <w:p w14:paraId="4CFD5C23" w14:textId="73A2366D" w:rsidR="66E8B1E4" w:rsidRDefault="00535F68" w:rsidP="00FF0754">
      <w:r>
        <w:t>In addition</w:t>
      </w:r>
      <w:r w:rsidR="01B40B79">
        <w:t xml:space="preserve">, the use of a single hours of use </w:t>
      </w:r>
      <w:r w:rsidR="00DE023B">
        <w:t>value</w:t>
      </w:r>
      <w:r w:rsidR="01B40B79">
        <w:t xml:space="preserve"> for each lighting </w:t>
      </w:r>
      <w:r w:rsidR="00F71A34">
        <w:t>“</w:t>
      </w:r>
      <w:r w:rsidR="01B40B79">
        <w:t>form factor” as opposed to building type would greatly reduce savings accuracy on a project</w:t>
      </w:r>
      <w:r>
        <w:noBreakHyphen/>
      </w:r>
      <w:r w:rsidR="01B40B79">
        <w:t xml:space="preserve">specific basis; clearly, there are significant differences, for example, between a public service facility with 1,419 hours of use and 3-shift manufacturing facility with 6,631 hours of use, but these could both use 5,341 hours under EAP’s proposed approach.  EAP’s proposed value of 5,000 hours of use when building type and equipment type are unknown is particularly concerning as there is a very low barrier to collecting such basic project information.  Finally, the proposed approach has the potential to greatly reduce the collection of lighting project data—data of significant value to program planning activities. </w:t>
      </w:r>
      <w:r w:rsidR="00AD61F0">
        <w:t xml:space="preserve"> The Commission </w:t>
      </w:r>
      <w:r>
        <w:t xml:space="preserve">is concerned that </w:t>
      </w:r>
      <w:r w:rsidR="00AD61F0">
        <w:t xml:space="preserve">establishing such a generous default value </w:t>
      </w:r>
      <w:r w:rsidR="00AD61F0">
        <w:lastRenderedPageBreak/>
        <w:t xml:space="preserve">would significantly discourage CSPs from collecting data as the data collection would typically lower project savings.  </w:t>
      </w:r>
      <w:r w:rsidR="00231F0A">
        <w:t>However, a</w:t>
      </w:r>
      <w:r w:rsidR="01B40B79">
        <w:t xml:space="preserve">s these issues are of less concern for street lighting, the Commission </w:t>
      </w:r>
      <w:r w:rsidR="00231F0A">
        <w:t xml:space="preserve">agrees and has included </w:t>
      </w:r>
      <w:r w:rsidR="01B40B79">
        <w:t>the composite inputs proposal for this form factor but rejects the methodology for screw-based and other general service form factors.</w:t>
      </w:r>
      <w:r w:rsidR="00231F0A">
        <w:t xml:space="preserve">  We</w:t>
      </w:r>
      <w:r w:rsidR="00D606DC">
        <w:t xml:space="preserve"> have updated the manual </w:t>
      </w:r>
      <w:r w:rsidR="51A5C0D9">
        <w:t xml:space="preserve">to reflect </w:t>
      </w:r>
      <w:r w:rsidR="2A1EAD26">
        <w:t xml:space="preserve">the </w:t>
      </w:r>
      <w:r w:rsidR="764094E2">
        <w:t>default “DeltakW” for street lighting measures</w:t>
      </w:r>
      <w:r w:rsidR="00E74835">
        <w:t xml:space="preserve">.  </w:t>
      </w:r>
      <w:r w:rsidR="764094E2">
        <w:t>See</w:t>
      </w:r>
      <w:r w:rsidR="66E8B1E4" w:rsidRPr="66E8B1E4">
        <w:t xml:space="preserve"> related discussion in </w:t>
      </w:r>
      <w:r w:rsidR="66E8B1E4" w:rsidRPr="00EA1457">
        <w:t xml:space="preserve">Section </w:t>
      </w:r>
      <w:r w:rsidR="00EA1457" w:rsidRPr="00EA1457">
        <w:fldChar w:fldCharType="begin"/>
      </w:r>
      <w:r w:rsidR="00EA1457" w:rsidRPr="00EA1457">
        <w:instrText xml:space="preserve"> REF _Ref13206725 \r \h </w:instrText>
      </w:r>
      <w:r w:rsidR="00EA1457">
        <w:instrText xml:space="preserve"> \* MERGEFORMAT </w:instrText>
      </w:r>
      <w:r w:rsidR="00EA1457" w:rsidRPr="00EA1457">
        <w:fldChar w:fldCharType="separate"/>
      </w:r>
      <w:r w:rsidR="00B10CDB">
        <w:t>1</w:t>
      </w:r>
      <w:r w:rsidR="00EA1457" w:rsidRPr="00EA1457">
        <w:fldChar w:fldCharType="end"/>
      </w:r>
      <w:r w:rsidR="00EA1457">
        <w:t xml:space="preserve"> </w:t>
      </w:r>
      <w:r w:rsidR="66E8B1E4" w:rsidRPr="66E8B1E4">
        <w:t>of this Order.</w:t>
      </w:r>
    </w:p>
    <w:p w14:paraId="51D98A06" w14:textId="110B6A62" w:rsidR="66E8B1E4" w:rsidRDefault="66E8B1E4" w:rsidP="00AA2116"/>
    <w:p w14:paraId="65C7EB18" w14:textId="77777777" w:rsidR="000C37BD" w:rsidRDefault="000C37BD" w:rsidP="00453F14">
      <w:pPr>
        <w:pStyle w:val="Heading3"/>
        <w:numPr>
          <w:ilvl w:val="2"/>
          <w:numId w:val="47"/>
        </w:numPr>
      </w:pPr>
      <w:bookmarkStart w:id="196" w:name="_Ref722315"/>
      <w:bookmarkStart w:id="197" w:name="_Toc15657952"/>
      <w:r>
        <w:t>Section 3.1.2 – New Construction Lighting</w:t>
      </w:r>
      <w:r>
        <w:rPr>
          <w:rStyle w:val="FootnoteReference"/>
        </w:rPr>
        <w:footnoteReference w:id="63"/>
      </w:r>
      <w:bookmarkEnd w:id="196"/>
      <w:bookmarkEnd w:id="197"/>
    </w:p>
    <w:p w14:paraId="05980EB7" w14:textId="32581682" w:rsidR="000C37BD" w:rsidRDefault="000C37BD" w:rsidP="00AA2116">
      <w:pPr>
        <w:pStyle w:val="Explanationtext"/>
      </w:pPr>
      <w:r w:rsidRPr="008E6500">
        <w:t>The Commission propose</w:t>
      </w:r>
      <w:r w:rsidR="00362D8E">
        <w:t>d</w:t>
      </w:r>
      <w:r w:rsidRPr="009A5F08">
        <w:t xml:space="preserve"> updating the m</w:t>
      </w:r>
      <w:r w:rsidRPr="008E6500">
        <w:t xml:space="preserve">aximum lighting power densities and common space types presented in </w:t>
      </w:r>
      <w:r w:rsidRPr="009A5F08">
        <w:t>the Lighting Power Densities from ASHRAE 90.1-2007 Building Area Method</w:t>
      </w:r>
      <w:r w:rsidRPr="008E6500">
        <w:t xml:space="preserve">, </w:t>
      </w:r>
      <w:r w:rsidRPr="009A5F08">
        <w:t>Lighting Power Densities from ASHRAE 90.1-2007 Space-by-Space Method</w:t>
      </w:r>
      <w:r w:rsidRPr="008E6500">
        <w:t xml:space="preserve"> </w:t>
      </w:r>
      <w:r w:rsidRPr="009A5F08">
        <w:t>and Baseline Exterior Lighting Power Densities tables to reflect the requirements in the 2015 International Energy Conservation Code</w:t>
      </w:r>
      <w:r w:rsidRPr="008E6500">
        <w:t xml:space="preserve"> (IECC)</w:t>
      </w:r>
      <w:r>
        <w:t>, the current statewide Pennsylvania energy code</w:t>
      </w:r>
      <w:r w:rsidRPr="009A5F08">
        <w:t>.</w:t>
      </w:r>
      <w:r w:rsidR="003F31B4">
        <w:t xml:space="preserve">  </w:t>
      </w:r>
      <w:r w:rsidR="00D02C36">
        <w:t xml:space="preserve">We also proposed to update </w:t>
      </w:r>
      <w:r w:rsidR="00D02C36" w:rsidRPr="008E6500">
        <w:t xml:space="preserve">the values in the </w:t>
      </w:r>
      <w:r w:rsidR="00D02C36" w:rsidRPr="003A6772">
        <w:t>Default Baseline Savings Control Factors Assumptions for New Construction Only table to reflect the fact that 2015 IECC requires lighting controls in additional space types relative to the previous code, 20</w:t>
      </w:r>
      <w:r w:rsidR="00D02C36" w:rsidRPr="008E6500">
        <w:t>09</w:t>
      </w:r>
      <w:r w:rsidR="00D02C36" w:rsidRPr="003A6772">
        <w:t xml:space="preserve"> IECC.</w:t>
      </w:r>
    </w:p>
    <w:p w14:paraId="1D0AB8C9" w14:textId="77777777" w:rsidR="001214E9" w:rsidRDefault="001214E9" w:rsidP="00AA2116">
      <w:pPr>
        <w:pStyle w:val="Explanationtext"/>
      </w:pPr>
    </w:p>
    <w:p w14:paraId="6C3CF903" w14:textId="77B58E4E" w:rsidR="00E1506F" w:rsidRDefault="00E1506F" w:rsidP="00453F14">
      <w:pPr>
        <w:pStyle w:val="Heading4"/>
        <w:numPr>
          <w:ilvl w:val="1"/>
          <w:numId w:val="13"/>
        </w:numPr>
      </w:pPr>
      <w:r>
        <w:t>Comments</w:t>
      </w:r>
    </w:p>
    <w:p w14:paraId="356A683E" w14:textId="3E4832B9" w:rsidR="00E1506F" w:rsidRDefault="002147CB" w:rsidP="00AA2116">
      <w:r>
        <w:t>FirstEnergy</w:t>
      </w:r>
      <w:r w:rsidR="00E1506F">
        <w:t xml:space="preserve"> comments that emergency fixtures and exit signs should be included in the list of lighting that does not need to be included in a detailed inventory list for new construction projects</w:t>
      </w:r>
      <w:r w:rsidR="00E74835">
        <w:t xml:space="preserve">.  </w:t>
      </w:r>
      <w:r>
        <w:t>FirstEnergy</w:t>
      </w:r>
      <w:r w:rsidR="00E1506F">
        <w:t xml:space="preserve"> Comments at 8.</w:t>
      </w:r>
    </w:p>
    <w:p w14:paraId="72CEC0DD" w14:textId="77777777" w:rsidR="007F72C4" w:rsidRDefault="007F72C4" w:rsidP="00AA2116"/>
    <w:p w14:paraId="746DDA01" w14:textId="34AEF81C" w:rsidR="00E1506F" w:rsidRPr="00E1506F" w:rsidRDefault="00E1506F" w:rsidP="00453F14">
      <w:pPr>
        <w:pStyle w:val="Heading4"/>
        <w:numPr>
          <w:ilvl w:val="3"/>
          <w:numId w:val="47"/>
        </w:numPr>
      </w:pPr>
      <w:r>
        <w:t>Disposition</w:t>
      </w:r>
    </w:p>
    <w:p w14:paraId="52012740" w14:textId="7631B366" w:rsidR="00A0712C" w:rsidRPr="008E6500" w:rsidRDefault="55119DC7" w:rsidP="00AA2116">
      <w:r>
        <w:t xml:space="preserve">The Commission </w:t>
      </w:r>
      <w:r w:rsidR="00D02C36">
        <w:t xml:space="preserve">agrees with </w:t>
      </w:r>
      <w:r w:rsidR="008624E2">
        <w:t xml:space="preserve">FirstEnergy’s </w:t>
      </w:r>
      <w:r>
        <w:t>recommendation.</w:t>
      </w:r>
      <w:r w:rsidR="000D202D">
        <w:t xml:space="preserve"> </w:t>
      </w:r>
      <w:r>
        <w:t xml:space="preserve"> Emergency lighting and exit signs </w:t>
      </w:r>
      <w:r w:rsidR="003B41EF">
        <w:t>do not need to</w:t>
      </w:r>
      <w:r>
        <w:t xml:space="preserve"> be included in the detailed lighting inventory for the purposes of determining lighting power density.</w:t>
      </w:r>
      <w:r w:rsidR="000D202D">
        <w:t xml:space="preserve">  </w:t>
      </w:r>
      <w:r w:rsidR="00D02C36">
        <w:t xml:space="preserve">We have made this change </w:t>
      </w:r>
      <w:r w:rsidR="000D202D">
        <w:t xml:space="preserve">in the </w:t>
      </w:r>
      <w:r w:rsidR="00D02C36">
        <w:t>manual</w:t>
      </w:r>
      <w:r w:rsidR="000D202D">
        <w:t>.</w:t>
      </w:r>
    </w:p>
    <w:p w14:paraId="1858A55A" w14:textId="77777777" w:rsidR="00E67800" w:rsidRDefault="00E67800" w:rsidP="00AA2116"/>
    <w:p w14:paraId="0C24B922" w14:textId="575EEDF0" w:rsidR="55119DC7" w:rsidRDefault="55119DC7" w:rsidP="00453F14">
      <w:pPr>
        <w:pStyle w:val="Heading3"/>
        <w:numPr>
          <w:ilvl w:val="2"/>
          <w:numId w:val="48"/>
        </w:numPr>
      </w:pPr>
      <w:bookmarkStart w:id="198" w:name="_Toc15657953"/>
      <w:r>
        <w:t>Section 3.1.5</w:t>
      </w:r>
      <w:r w:rsidRPr="66E8B1E4">
        <w:t xml:space="preserve"> – </w:t>
      </w:r>
      <w:r>
        <w:t>LED Exit Signs</w:t>
      </w:r>
      <w:r w:rsidRPr="55119DC7">
        <w:rPr>
          <w:rStyle w:val="FootnoteReference"/>
        </w:rPr>
        <w:footnoteReference w:id="64"/>
      </w:r>
      <w:bookmarkEnd w:id="198"/>
    </w:p>
    <w:p w14:paraId="5BA4E821" w14:textId="34262283" w:rsidR="55119DC7" w:rsidRDefault="55119DC7" w:rsidP="00AA2116">
      <w:pPr>
        <w:pStyle w:val="Explanationtext"/>
      </w:pPr>
      <w:r>
        <w:t xml:space="preserve">See discussion </w:t>
      </w:r>
      <w:r w:rsidRPr="00EA1457">
        <w:t>in Section</w:t>
      </w:r>
      <w:r w:rsidR="00EA1457">
        <w:t xml:space="preserve"> F.2</w:t>
      </w:r>
      <w:r w:rsidRPr="00EA1457">
        <w:t>.</w:t>
      </w:r>
      <w:r>
        <w:t xml:space="preserve"> regarding baseline savings control factors.  </w:t>
      </w:r>
    </w:p>
    <w:p w14:paraId="3606D581" w14:textId="77777777" w:rsidR="000D202D" w:rsidRDefault="000D202D" w:rsidP="00AA2116">
      <w:pPr>
        <w:pStyle w:val="Explanationtext"/>
      </w:pPr>
    </w:p>
    <w:p w14:paraId="7ED5DCB9" w14:textId="5174B342" w:rsidR="55119DC7" w:rsidRDefault="006C06B9" w:rsidP="00453F14">
      <w:pPr>
        <w:pStyle w:val="Heading4"/>
        <w:numPr>
          <w:ilvl w:val="3"/>
          <w:numId w:val="48"/>
        </w:numPr>
      </w:pPr>
      <w:r>
        <w:t xml:space="preserve">Comments </w:t>
      </w:r>
    </w:p>
    <w:p w14:paraId="38AF68EB" w14:textId="3EB1C726" w:rsidR="55119DC7" w:rsidRDefault="55119DC7" w:rsidP="00AA2116">
      <w:r>
        <w:t xml:space="preserve">EAP comments propose the inclusion of </w:t>
      </w:r>
      <w:r w:rsidR="00F71A34">
        <w:t>“</w:t>
      </w:r>
      <w:r>
        <w:t>composite</w:t>
      </w:r>
      <w:r w:rsidR="00F71A34" w:rsidRPr="00F71A34">
        <w:t>”</w:t>
      </w:r>
      <w:r>
        <w:t xml:space="preserve"> inputs to savings algorithm.  EAP Comments at 5-37.</w:t>
      </w:r>
    </w:p>
    <w:p w14:paraId="28E2D9B5" w14:textId="18AF35A3" w:rsidR="55119DC7" w:rsidRDefault="55119DC7" w:rsidP="00AA2116"/>
    <w:p w14:paraId="3E11C608" w14:textId="33BAB4C5" w:rsidR="55119DC7" w:rsidRDefault="66E8B1E4" w:rsidP="00453F14">
      <w:pPr>
        <w:pStyle w:val="Heading4"/>
        <w:numPr>
          <w:ilvl w:val="3"/>
          <w:numId w:val="48"/>
        </w:numPr>
        <w:rPr>
          <w:bCs/>
        </w:rPr>
      </w:pPr>
      <w:r w:rsidRPr="66E8B1E4">
        <w:t>Disposition</w:t>
      </w:r>
    </w:p>
    <w:p w14:paraId="036770C2" w14:textId="05258E61" w:rsidR="01B40B79" w:rsidRDefault="01B40B79" w:rsidP="00AA2116">
      <w:r>
        <w:t xml:space="preserve">The Commission </w:t>
      </w:r>
      <w:r w:rsidR="00480882">
        <w:t xml:space="preserve">agrees with EAP comments and has incorporated </w:t>
      </w:r>
      <w:r>
        <w:t xml:space="preserve">the composite inputs proposal for the exit sign form factor. </w:t>
      </w:r>
      <w:r w:rsidR="000D202D">
        <w:t xml:space="preserve"> </w:t>
      </w:r>
      <w:r>
        <w:t>See related discussion in Section F.1.G of this Order.</w:t>
      </w:r>
    </w:p>
    <w:p w14:paraId="1FD4D748" w14:textId="77777777" w:rsidR="00A0712C" w:rsidRPr="008E6500" w:rsidRDefault="00A0712C" w:rsidP="00AA2116">
      <w:pPr>
        <w:pStyle w:val="Explanationtext"/>
      </w:pPr>
    </w:p>
    <w:p w14:paraId="107AC19C" w14:textId="77777777" w:rsidR="000C37BD" w:rsidRPr="008E6500" w:rsidRDefault="000C37BD" w:rsidP="00453F14">
      <w:pPr>
        <w:pStyle w:val="Heading3"/>
        <w:numPr>
          <w:ilvl w:val="2"/>
          <w:numId w:val="48"/>
        </w:numPr>
      </w:pPr>
      <w:bookmarkStart w:id="199" w:name="_Toc15657954"/>
      <w:r w:rsidRPr="008E6500">
        <w:t>Section 3.1.6 – LED Channel Signage</w:t>
      </w:r>
      <w:r w:rsidRPr="008E6500">
        <w:rPr>
          <w:rStyle w:val="FootnoteReference"/>
        </w:rPr>
        <w:footnoteReference w:id="65"/>
      </w:r>
      <w:bookmarkEnd w:id="199"/>
    </w:p>
    <w:p w14:paraId="50EE3F5A" w14:textId="00C9E071" w:rsidR="000C37BD" w:rsidRDefault="000C37BD" w:rsidP="00AA2116">
      <w:pPr>
        <w:pStyle w:val="Explanationtext"/>
      </w:pPr>
      <w:r w:rsidRPr="008E6500">
        <w:t>The Commission propose</w:t>
      </w:r>
      <w:r w:rsidR="0011604E">
        <w:t>d</w:t>
      </w:r>
      <w:r w:rsidRPr="008E6500">
        <w:t xml:space="preserve"> limiting the application of this measure to red LED syste</w:t>
      </w:r>
      <w:r w:rsidRPr="008801DC">
        <w:t>ms</w:t>
      </w:r>
      <w:r w:rsidR="00A0651F">
        <w:t xml:space="preserve">.  </w:t>
      </w:r>
      <w:r>
        <w:t>The referenced</w:t>
      </w:r>
      <w:r w:rsidRPr="008E6500">
        <w:t xml:space="preserve"> research suggests that savings are minimal for other LED lighting colors.</w:t>
      </w:r>
      <w:r w:rsidR="00AB4F24">
        <w:t xml:space="preserve">  </w:t>
      </w:r>
      <w:r w:rsidR="00601BEB">
        <w:t xml:space="preserve">We also proposed </w:t>
      </w:r>
      <w:r w:rsidR="00601BEB" w:rsidRPr="008E6500">
        <w:t>changing the savings algorithm for this measure protocol to include sign length</w:t>
      </w:r>
      <w:r w:rsidR="00601BEB">
        <w:t xml:space="preserve">.  </w:t>
      </w:r>
      <w:r w:rsidR="00601BEB" w:rsidRPr="008E6500">
        <w:t>As a result, the inputs for the kW of baseline (pre</w:t>
      </w:r>
      <w:r w:rsidR="00601BEB">
        <w:noBreakHyphen/>
      </w:r>
      <w:r w:rsidR="00601BEB" w:rsidRPr="008E6500">
        <w:t>retrofit) lighting (kW</w:t>
      </w:r>
      <w:r w:rsidR="00601BEB" w:rsidRPr="008E6500">
        <w:rPr>
          <w:vertAlign w:val="subscript"/>
        </w:rPr>
        <w:t>base</w:t>
      </w:r>
      <w:r w:rsidR="00601BEB" w:rsidRPr="008E6500">
        <w:t>) and kW of post-retrofit or energy-efficient lighting system (kW</w:t>
      </w:r>
      <w:r w:rsidR="00601BEB" w:rsidRPr="008E6500">
        <w:rPr>
          <w:vertAlign w:val="subscript"/>
        </w:rPr>
        <w:t>ee</w:t>
      </w:r>
      <w:r w:rsidR="00601BEB" w:rsidRPr="008E6500">
        <w:t>) are expressed on a per linear foot of signage basis</w:t>
      </w:r>
      <w:r w:rsidR="00601BEB">
        <w:t xml:space="preserve">.  </w:t>
      </w:r>
      <w:r w:rsidR="00601BEB" w:rsidRPr="008E6500">
        <w:t>This update is the result of using updated sources for the baseline and efficient case power consumption</w:t>
      </w:r>
      <w:r w:rsidR="00601BEB">
        <w:t xml:space="preserve">.  </w:t>
      </w:r>
      <w:r w:rsidR="00601BEB" w:rsidRPr="008E6500">
        <w:t>Previously, the baseline and efficient lighting power consumption were expressed on a per letter basis and differentiated by two sign height categories.</w:t>
      </w:r>
    </w:p>
    <w:p w14:paraId="5BB3EFCB" w14:textId="77777777" w:rsidR="007F72C4" w:rsidRDefault="007F72C4" w:rsidP="00AA2116">
      <w:pPr>
        <w:pStyle w:val="Explanationtext"/>
      </w:pPr>
    </w:p>
    <w:p w14:paraId="0023F5C0" w14:textId="1080F1E8" w:rsidR="008C1D28" w:rsidRPr="00932931" w:rsidRDefault="00264494" w:rsidP="00453F14">
      <w:pPr>
        <w:pStyle w:val="Heading4"/>
        <w:numPr>
          <w:ilvl w:val="3"/>
          <w:numId w:val="48"/>
        </w:numPr>
        <w:rPr>
          <w:rStyle w:val="Heading4Char"/>
        </w:rPr>
      </w:pPr>
      <w:r>
        <w:t>Comments</w:t>
      </w:r>
    </w:p>
    <w:p w14:paraId="148C30FF" w14:textId="2CB47CCA" w:rsidR="008C1D28" w:rsidRDefault="55119DC7" w:rsidP="00AA2116">
      <w:r>
        <w:t xml:space="preserve">PECO comments that measure eligibility should not be limited to red-colored signs and that the statement in the TRM that other colors do not save energy is not </w:t>
      </w:r>
      <w:r>
        <w:lastRenderedPageBreak/>
        <w:t>adequately supported.  PECO recommends that color-agnostic criteria be used instead</w:t>
      </w:r>
      <w:r w:rsidR="00E74835">
        <w:t xml:space="preserve">.  </w:t>
      </w:r>
      <w:r>
        <w:t>PECO Comments at 10.</w:t>
      </w:r>
    </w:p>
    <w:p w14:paraId="303B3EA7" w14:textId="2EE70990" w:rsidR="55119DC7" w:rsidRDefault="55119DC7" w:rsidP="00AA2116"/>
    <w:p w14:paraId="614063B4" w14:textId="3DCD0847" w:rsidR="008C1D28" w:rsidRPr="004C2D30" w:rsidRDefault="008C1D28" w:rsidP="00453F14">
      <w:pPr>
        <w:pStyle w:val="Heading4"/>
        <w:numPr>
          <w:ilvl w:val="3"/>
          <w:numId w:val="48"/>
        </w:numPr>
        <w:rPr>
          <w:rStyle w:val="Heading4Char"/>
          <w:b/>
        </w:rPr>
      </w:pPr>
      <w:r w:rsidRPr="00A84492">
        <w:rPr>
          <w:rStyle w:val="Heading4Char"/>
          <w:b/>
        </w:rPr>
        <w:t>Dispositio</w:t>
      </w:r>
      <w:r w:rsidRPr="004C2D30">
        <w:rPr>
          <w:rStyle w:val="Heading4Char"/>
          <w:b/>
        </w:rPr>
        <w:t>n</w:t>
      </w:r>
    </w:p>
    <w:p w14:paraId="5EE9A7AC" w14:textId="6C417DC6" w:rsidR="16E5D66D" w:rsidRDefault="16E5D66D" w:rsidP="00AA2116">
      <w:r>
        <w:t xml:space="preserve">The Commission </w:t>
      </w:r>
      <w:r w:rsidR="00601BEB">
        <w:t>agrees with PECO’s recommendation</w:t>
      </w:r>
      <w:r>
        <w:t>.</w:t>
      </w:r>
      <w:r w:rsidR="6F799882">
        <w:t xml:space="preserve"> </w:t>
      </w:r>
      <w:r>
        <w:t xml:space="preserve"> The statement tha</w:t>
      </w:r>
      <w:r w:rsidR="007E08C0">
        <w:t>t</w:t>
      </w:r>
      <w:r>
        <w:t xml:space="preserve"> only LED retrofits for red-colored signs achieve energy savings was based on a California study from 2008. </w:t>
      </w:r>
      <w:r w:rsidR="6B545D4E">
        <w:t xml:space="preserve"> </w:t>
      </w:r>
      <w:r>
        <w:t xml:space="preserve">LED technology has advanced considerably since then, and it is likely that LED products now exist that compete with other sign colors. </w:t>
      </w:r>
      <w:r w:rsidR="6B545D4E">
        <w:t xml:space="preserve"> </w:t>
      </w:r>
      <w:r>
        <w:t xml:space="preserve">The TRM </w:t>
      </w:r>
      <w:r w:rsidR="000D202D">
        <w:t>has been</w:t>
      </w:r>
      <w:r>
        <w:t xml:space="preserve"> updated to remove the eligibility limitation to red LED systems and now allows custom kW</w:t>
      </w:r>
      <w:r w:rsidRPr="16E5D66D">
        <w:rPr>
          <w:vertAlign w:val="subscript"/>
        </w:rPr>
        <w:t>base</w:t>
      </w:r>
      <w:r>
        <w:t xml:space="preserve"> and kW</w:t>
      </w:r>
      <w:r w:rsidRPr="16E5D66D">
        <w:rPr>
          <w:vertAlign w:val="subscript"/>
        </w:rPr>
        <w:t>ee</w:t>
      </w:r>
      <w:r w:rsidRPr="16E5D66D">
        <w:t xml:space="preserve"> values consistent with EDC data gathering. </w:t>
      </w:r>
      <w:r w:rsidR="6B545D4E" w:rsidRPr="6B545D4E">
        <w:t xml:space="preserve"> </w:t>
      </w:r>
      <w:r w:rsidR="0001214A">
        <w:t>We have made the appropriate changes and the</w:t>
      </w:r>
      <w:r w:rsidR="6F799882" w:rsidRPr="6F799882">
        <w:t xml:space="preserve"> default </w:t>
      </w:r>
      <w:r w:rsidR="6F799882">
        <w:t>kW</w:t>
      </w:r>
      <w:r w:rsidR="6F799882" w:rsidRPr="6F799882">
        <w:rPr>
          <w:vertAlign w:val="subscript"/>
        </w:rPr>
        <w:t>base</w:t>
      </w:r>
      <w:r w:rsidR="6F799882">
        <w:t xml:space="preserve"> and kW</w:t>
      </w:r>
      <w:r w:rsidR="6F799882" w:rsidRPr="6F799882">
        <w:rPr>
          <w:vertAlign w:val="subscript"/>
        </w:rPr>
        <w:t>ee</w:t>
      </w:r>
      <w:r w:rsidR="6F799882" w:rsidRPr="6F799882">
        <w:t xml:space="preserve"> values are now limited to red LED systems consistent with the underlying source.</w:t>
      </w:r>
    </w:p>
    <w:p w14:paraId="23DAE732" w14:textId="77777777" w:rsidR="00A0712C" w:rsidRPr="008E6500" w:rsidRDefault="00A0712C" w:rsidP="00AA2116">
      <w:pPr>
        <w:pStyle w:val="Explanationtext"/>
      </w:pPr>
    </w:p>
    <w:p w14:paraId="65731A97" w14:textId="77777777" w:rsidR="000C37BD" w:rsidRPr="008E6500" w:rsidRDefault="000C37BD" w:rsidP="00453F14">
      <w:pPr>
        <w:pStyle w:val="Heading3"/>
        <w:numPr>
          <w:ilvl w:val="2"/>
          <w:numId w:val="48"/>
        </w:numPr>
      </w:pPr>
      <w:bookmarkStart w:id="200" w:name="_Ref729097"/>
      <w:bookmarkStart w:id="201" w:name="_Toc15657955"/>
      <w:r w:rsidRPr="008E6500">
        <w:t>Section 3.2.1 – HVAC Systems</w:t>
      </w:r>
      <w:r w:rsidRPr="008E6500">
        <w:rPr>
          <w:rStyle w:val="FootnoteReference"/>
        </w:rPr>
        <w:footnoteReference w:id="66"/>
      </w:r>
      <w:bookmarkEnd w:id="200"/>
      <w:bookmarkEnd w:id="201"/>
    </w:p>
    <w:p w14:paraId="5048F69B" w14:textId="0FD686D9" w:rsidR="00A0712C" w:rsidRDefault="000C37BD" w:rsidP="00AA2116">
      <w:pPr>
        <w:pStyle w:val="Explanationtext"/>
      </w:pPr>
      <w:r w:rsidRPr="008E6500">
        <w:t>The Commission propose</w:t>
      </w:r>
      <w:r w:rsidR="007E08C0">
        <w:t>d</w:t>
      </w:r>
      <w:r w:rsidRPr="008E6500">
        <w:t xml:space="preserve"> updating the baseline equipment efficiencies (IEER</w:t>
      </w:r>
      <w:r w:rsidRPr="008E6500">
        <w:rPr>
          <w:vertAlign w:val="subscript"/>
        </w:rPr>
        <w:t>base</w:t>
      </w:r>
      <w:r w:rsidRPr="008E6500">
        <w:t>, EER</w:t>
      </w:r>
      <w:r w:rsidRPr="008E6500">
        <w:rPr>
          <w:vertAlign w:val="subscript"/>
        </w:rPr>
        <w:t>base</w:t>
      </w:r>
      <w:r w:rsidRPr="008E6500">
        <w:t>, SEER</w:t>
      </w:r>
      <w:r w:rsidRPr="008E6500">
        <w:rPr>
          <w:vertAlign w:val="subscript"/>
        </w:rPr>
        <w:t>base</w:t>
      </w:r>
      <w:r w:rsidRPr="008E6500">
        <w:t>, COP</w:t>
      </w:r>
      <w:r w:rsidRPr="008E6500">
        <w:rPr>
          <w:vertAlign w:val="subscript"/>
        </w:rPr>
        <w:t>base</w:t>
      </w:r>
      <w:r w:rsidRPr="008E6500">
        <w:t>, HSPF</w:t>
      </w:r>
      <w:r w:rsidRPr="008E6500">
        <w:rPr>
          <w:vertAlign w:val="subscript"/>
        </w:rPr>
        <w:t>base</w:t>
      </w:r>
      <w:r w:rsidRPr="008E6500">
        <w:t xml:space="preserve">) to be consistent with current federal standards requirements or </w:t>
      </w:r>
      <w:r w:rsidRPr="001072B4">
        <w:t>the 2015 IECC</w:t>
      </w:r>
      <w:r w:rsidR="006A3152">
        <w:t>,</w:t>
      </w:r>
      <w:r w:rsidRPr="001072B4">
        <w:t xml:space="preserve"> whichever is more stringent</w:t>
      </w:r>
      <w:r w:rsidR="00A0651F">
        <w:t xml:space="preserve">.  </w:t>
      </w:r>
      <w:r w:rsidRPr="00A44DCD">
        <w:t xml:space="preserve">Federal standards </w:t>
      </w:r>
      <w:r>
        <w:t>and</w:t>
      </w:r>
      <w:r w:rsidR="00025D6D">
        <w:t xml:space="preserve"> the</w:t>
      </w:r>
      <w:r>
        <w:t xml:space="preserve"> 2015 IECC </w:t>
      </w:r>
      <w:r w:rsidRPr="00A44DCD">
        <w:t>do no</w:t>
      </w:r>
      <w:r>
        <w:t>t</w:t>
      </w:r>
      <w:r w:rsidRPr="00A44DCD">
        <w:t xml:space="preserve"> establish </w:t>
      </w:r>
      <w:r w:rsidR="00977F0D">
        <w:t>post</w:t>
      </w:r>
      <w:r w:rsidR="00977F0D">
        <w:noBreakHyphen/>
        <w:t>January 2, 2023</w:t>
      </w:r>
      <w:r w:rsidR="00025D6D">
        <w:t>,</w:t>
      </w:r>
      <w:r w:rsidRPr="00A44DCD">
        <w:t xml:space="preserve"> minimum EER requirements for air</w:t>
      </w:r>
      <w:r w:rsidR="00A67090">
        <w:noBreakHyphen/>
      </w:r>
      <w:r w:rsidRPr="00A44DCD">
        <w:t>source air conditioners and heat pumps</w:t>
      </w:r>
      <w:r w:rsidR="00A0651F">
        <w:t xml:space="preserve">.  </w:t>
      </w:r>
      <w:r w:rsidR="0001214A">
        <w:t>We also</w:t>
      </w:r>
      <w:r>
        <w:t xml:space="preserve"> propose</w:t>
      </w:r>
      <w:r w:rsidR="0064231F">
        <w:t>d</w:t>
      </w:r>
      <w:r>
        <w:t xml:space="preserve"> establishing </w:t>
      </w:r>
      <w:r w:rsidRPr="0034037A">
        <w:t>minimum EER requirements using the average EER of units meeting minimum IEER requirements</w:t>
      </w:r>
      <w:r w:rsidRPr="00A44DCD">
        <w:t>, by type and size category, from the Air-Conditioning, Heating, and Refrigeration Institute Directory of Certified Product Performance</w:t>
      </w:r>
      <w:r w:rsidR="00530F1F">
        <w:t>.</w:t>
      </w:r>
    </w:p>
    <w:p w14:paraId="3AE29594" w14:textId="77777777" w:rsidR="008C1D28" w:rsidRDefault="008C1D28" w:rsidP="00AA2116"/>
    <w:p w14:paraId="219131F9" w14:textId="322C3C37" w:rsidR="008C1D28" w:rsidRPr="001062F9" w:rsidRDefault="008C1D28" w:rsidP="00453F14">
      <w:pPr>
        <w:pStyle w:val="Heading4"/>
        <w:numPr>
          <w:ilvl w:val="3"/>
          <w:numId w:val="48"/>
        </w:numPr>
      </w:pPr>
      <w:r w:rsidRPr="55119DC7">
        <w:t>Comments</w:t>
      </w:r>
    </w:p>
    <w:p w14:paraId="09CD1B4F" w14:textId="08810866" w:rsidR="55119DC7" w:rsidRDefault="002147CB" w:rsidP="00AA2116">
      <w:r>
        <w:t>FirstEnergy</w:t>
      </w:r>
      <w:r w:rsidR="55119DC7">
        <w:t xml:space="preserve"> comments that in </w:t>
      </w:r>
      <w:r w:rsidR="55119DC7" w:rsidRPr="55119DC7">
        <w:t xml:space="preserve">Table 3-21, the existing heating equation for new construction PTHP is presented as “3.7 - (0.052 x Cap / 1,000) COP” but the equation in IECC 2015 is “3.2 - (0.026 x Cap / 1,000) COP.” </w:t>
      </w:r>
      <w:r w:rsidR="00D5506C">
        <w:t xml:space="preserve"> </w:t>
      </w:r>
      <w:r>
        <w:t>FirstEnergy</w:t>
      </w:r>
      <w:r w:rsidR="55119DC7" w:rsidRPr="55119DC7">
        <w:t xml:space="preserve"> Comments at 8.</w:t>
      </w:r>
    </w:p>
    <w:p w14:paraId="592BEA26" w14:textId="77777777" w:rsidR="007D061D" w:rsidRDefault="007D061D" w:rsidP="00AA2116"/>
    <w:p w14:paraId="3DC047F9" w14:textId="6508D7CF" w:rsidR="008C1D28" w:rsidRPr="001062F9" w:rsidRDefault="008C1D28" w:rsidP="00453F14">
      <w:pPr>
        <w:pStyle w:val="Heading4"/>
        <w:numPr>
          <w:ilvl w:val="3"/>
          <w:numId w:val="48"/>
        </w:numPr>
      </w:pPr>
      <w:r w:rsidRPr="55119DC7">
        <w:lastRenderedPageBreak/>
        <w:t>Disposition</w:t>
      </w:r>
    </w:p>
    <w:p w14:paraId="0C798936" w14:textId="2103270D" w:rsidR="55119DC7" w:rsidRDefault="55119DC7" w:rsidP="00AA2116">
      <w:r>
        <w:t xml:space="preserve">The Commission </w:t>
      </w:r>
      <w:r w:rsidR="0001214A">
        <w:t xml:space="preserve">agrees with </w:t>
      </w:r>
      <w:r w:rsidR="002147CB">
        <w:t>FirstEnergy</w:t>
      </w:r>
      <w:r>
        <w:t xml:space="preserve">’s comment and </w:t>
      </w:r>
      <w:r w:rsidR="006B39CF">
        <w:t>provides the two following clarifications</w:t>
      </w:r>
      <w:r>
        <w:t>.  Regarding the equation for the heating baseline for the new construction PTHP, in this case</w:t>
      </w:r>
      <w:r w:rsidR="0083615B">
        <w:t>,</w:t>
      </w:r>
      <w:r>
        <w:t xml:space="preserve"> the federal standards exceed and therefore supersede the 2015 IECC requirements for the baseline equipment</w:t>
      </w:r>
      <w:r w:rsidR="00195583">
        <w:t>.  Also, we have updated th</w:t>
      </w:r>
      <w:r>
        <w:t>e source for the baseline heating requirement to reference the federal standards.</w:t>
      </w:r>
      <w:r w:rsidR="000D202D">
        <w:t xml:space="preserve"> </w:t>
      </w:r>
      <w:r>
        <w:t xml:space="preserve"> In addition, the Commission notes that the </w:t>
      </w:r>
      <w:r w:rsidR="00F519CE">
        <w:t>Tentative</w:t>
      </w:r>
      <w:r>
        <w:t xml:space="preserve"> 2021 TRM did not define the term “Cap” used on the calculation. </w:t>
      </w:r>
      <w:r w:rsidR="000D202D">
        <w:t xml:space="preserve"> </w:t>
      </w:r>
      <w:r w:rsidR="00901358">
        <w:t xml:space="preserve">Therefore, we have updated </w:t>
      </w:r>
      <w:r>
        <w:t>Table 3-27 to add the following table note</w:t>
      </w:r>
      <w:r w:rsidR="004D6781">
        <w:t>,</w:t>
      </w:r>
      <w:r>
        <w:t xml:space="preserve"> “Cap represents the rated cooling capacity of the product in Btu/h</w:t>
      </w:r>
      <w:r w:rsidR="00E74835">
        <w:t xml:space="preserve">.  </w:t>
      </w:r>
      <w:r>
        <w:t>If the unit’s capacity is less than 7,000 Btu/h, 7,000 Btu/h is used in the calculation</w:t>
      </w:r>
      <w:r w:rsidR="00E74835">
        <w:t xml:space="preserve">.  </w:t>
      </w:r>
      <w:r>
        <w:t>If the unit’s capacity is greater than 15,000 Btu/h, 15,000 Btu/h is used in the Calculation.”</w:t>
      </w:r>
    </w:p>
    <w:p w14:paraId="4E6F6795" w14:textId="77777777" w:rsidR="00A0712C" w:rsidRPr="00486AC8" w:rsidRDefault="00A0712C" w:rsidP="00AA2116">
      <w:pPr>
        <w:pStyle w:val="Explanationtext"/>
      </w:pPr>
    </w:p>
    <w:p w14:paraId="75722F92" w14:textId="77777777" w:rsidR="000C37BD" w:rsidRDefault="000C37BD" w:rsidP="00453F14">
      <w:pPr>
        <w:pStyle w:val="Heading3"/>
        <w:numPr>
          <w:ilvl w:val="2"/>
          <w:numId w:val="48"/>
        </w:numPr>
      </w:pPr>
      <w:bookmarkStart w:id="202" w:name="_Toc15657956"/>
      <w:r>
        <w:t>Section 3.2.2 – Electric Chillers</w:t>
      </w:r>
      <w:r>
        <w:rPr>
          <w:rStyle w:val="FootnoteReference"/>
        </w:rPr>
        <w:footnoteReference w:id="67"/>
      </w:r>
      <w:bookmarkEnd w:id="202"/>
    </w:p>
    <w:p w14:paraId="38C99CF7" w14:textId="0F8EC742" w:rsidR="000C37BD" w:rsidRDefault="000C37BD" w:rsidP="00AA2116">
      <w:pPr>
        <w:pStyle w:val="Explanationtext"/>
      </w:pPr>
      <w:r w:rsidRPr="00A44DCD">
        <w:t>The</w:t>
      </w:r>
      <w:r>
        <w:t xml:space="preserve"> Commission propose</w:t>
      </w:r>
      <w:r w:rsidR="00F519CE">
        <w:t>d</w:t>
      </w:r>
      <w:r>
        <w:t xml:space="preserve"> </w:t>
      </w:r>
      <w:r w:rsidRPr="00A44DCD">
        <w:t>updating the baseline equipment efficienc</w:t>
      </w:r>
      <w:r>
        <w:t>ies (kW/ton</w:t>
      </w:r>
      <w:r w:rsidRPr="008E6500">
        <w:rPr>
          <w:vertAlign w:val="subscript"/>
        </w:rPr>
        <w:t>base</w:t>
      </w:r>
      <w:r w:rsidRPr="008E6500">
        <w:t>, EER</w:t>
      </w:r>
      <w:r>
        <w:rPr>
          <w:vertAlign w:val="subscript"/>
        </w:rPr>
        <w:t>base,</w:t>
      </w:r>
      <w:r w:rsidRPr="008E6500">
        <w:t xml:space="preserve"> IPLV</w:t>
      </w:r>
      <w:r>
        <w:rPr>
          <w:vertAlign w:val="subscript"/>
        </w:rPr>
        <w:t>base</w:t>
      </w:r>
      <w:r>
        <w:t xml:space="preserve">) to be consistent with </w:t>
      </w:r>
      <w:r w:rsidR="00A67090">
        <w:t xml:space="preserve">the </w:t>
      </w:r>
      <w:r>
        <w:t xml:space="preserve">2015 </w:t>
      </w:r>
      <w:r w:rsidR="00C71F42">
        <w:t>IECC</w:t>
      </w:r>
      <w:r>
        <w:t xml:space="preserve"> requirements</w:t>
      </w:r>
      <w:r w:rsidRPr="00A44DCD">
        <w:t>.</w:t>
      </w:r>
    </w:p>
    <w:p w14:paraId="024F5F54" w14:textId="77777777" w:rsidR="008C1D28" w:rsidRDefault="008C1D28" w:rsidP="00AA2116"/>
    <w:p w14:paraId="3A08C713" w14:textId="31B85192" w:rsidR="008C1D28" w:rsidRPr="001062F9" w:rsidRDefault="008C1D28" w:rsidP="00453F14">
      <w:pPr>
        <w:pStyle w:val="Heading4"/>
        <w:numPr>
          <w:ilvl w:val="3"/>
          <w:numId w:val="48"/>
        </w:numPr>
      </w:pPr>
      <w:r w:rsidRPr="55119DC7">
        <w:t>Comments</w:t>
      </w:r>
    </w:p>
    <w:p w14:paraId="41E7AAD7" w14:textId="5D5D9CC0" w:rsidR="008C1D28" w:rsidRDefault="55119DC7" w:rsidP="00AA2116">
      <w:r>
        <w:t>Franklin Energy comments that h</w:t>
      </w:r>
      <w:r w:rsidRPr="55119DC7">
        <w:t>eat recovery chillers would also qualify as non</w:t>
      </w:r>
      <w:r w:rsidR="00C71F42">
        <w:noBreakHyphen/>
      </w:r>
      <w:r w:rsidRPr="55119DC7">
        <w:t>standard applications for the purposes of measure eligibility</w:t>
      </w:r>
      <w:r w:rsidR="004E4C28">
        <w:t xml:space="preserve"> </w:t>
      </w:r>
      <w:r w:rsidR="004E4C28">
        <w:rPr>
          <w:szCs w:val="26"/>
        </w:rPr>
        <w:t xml:space="preserve">and that </w:t>
      </w:r>
      <w:r w:rsidR="004E4C28" w:rsidRPr="55119DC7">
        <w:rPr>
          <w:szCs w:val="26"/>
        </w:rPr>
        <w:t xml:space="preserve">chillers using glycol will need to use adjustment factors in the savings calculations. </w:t>
      </w:r>
      <w:r w:rsidR="004E4C28">
        <w:rPr>
          <w:szCs w:val="26"/>
        </w:rPr>
        <w:t xml:space="preserve"> Furthermore, </w:t>
      </w:r>
      <w:r w:rsidR="004E4C28" w:rsidRPr="55119DC7">
        <w:rPr>
          <w:szCs w:val="26"/>
        </w:rPr>
        <w:t>Franklin Energy recommends that the savings algorithms be multiplied by the following</w:t>
      </w:r>
      <w:r w:rsidR="004E4C28">
        <w:rPr>
          <w:szCs w:val="26"/>
        </w:rPr>
        <w:t>,</w:t>
      </w:r>
      <w:r w:rsidR="004E4C28" w:rsidRPr="55119DC7">
        <w:rPr>
          <w:szCs w:val="26"/>
        </w:rPr>
        <w:t xml:space="preserve"> “× GCC × GPC</w:t>
      </w:r>
      <w:r w:rsidR="004E4C28">
        <w:rPr>
          <w:szCs w:val="26"/>
        </w:rPr>
        <w:t>,</w:t>
      </w:r>
      <w:r w:rsidR="004E4C28" w:rsidRPr="55119DC7">
        <w:rPr>
          <w:szCs w:val="26"/>
        </w:rPr>
        <w:t>” where GCC is the Gylcol Capacity Correction and GPC is the Gylcol Power Correction Factor</w:t>
      </w:r>
      <w:r w:rsidRPr="55119DC7">
        <w:t>.  Franklin Energy</w:t>
      </w:r>
      <w:r w:rsidR="004D6781">
        <w:t xml:space="preserve"> Comments</w:t>
      </w:r>
      <w:r w:rsidRPr="55119DC7">
        <w:t xml:space="preserve"> at 276.  </w:t>
      </w:r>
    </w:p>
    <w:p w14:paraId="79379C95" w14:textId="04E7377A" w:rsidR="55119DC7" w:rsidRDefault="55119DC7" w:rsidP="00AA2116"/>
    <w:p w14:paraId="34BF64EA" w14:textId="2B9BF892" w:rsidR="008C1D28" w:rsidRPr="001062F9" w:rsidRDefault="008C1D28" w:rsidP="00453F14">
      <w:pPr>
        <w:pStyle w:val="Heading4"/>
        <w:numPr>
          <w:ilvl w:val="3"/>
          <w:numId w:val="48"/>
        </w:numPr>
      </w:pPr>
      <w:r w:rsidRPr="55119DC7">
        <w:t>Disposition</w:t>
      </w:r>
    </w:p>
    <w:p w14:paraId="224A7908" w14:textId="639E0524" w:rsidR="00A0712C" w:rsidRDefault="55119DC7" w:rsidP="00AA2116">
      <w:r>
        <w:t xml:space="preserve">The Commission </w:t>
      </w:r>
      <w:r w:rsidR="004E4C28">
        <w:t xml:space="preserve">agrees with </w:t>
      </w:r>
      <w:r>
        <w:t xml:space="preserve">Franklin Energy’s first comment </w:t>
      </w:r>
      <w:r w:rsidR="007D03B0">
        <w:t>that states</w:t>
      </w:r>
      <w:r>
        <w:t xml:space="preserve"> heat recovery chillers are non-standard applications.  </w:t>
      </w:r>
      <w:r w:rsidR="00567EEE">
        <w:t xml:space="preserve">However, we disagree with Franklin Energy’s recommendation to revise the savings algorithms but have modified the </w:t>
      </w:r>
      <w:r w:rsidR="00567EEE">
        <w:lastRenderedPageBreak/>
        <w:t>measure protocol to indicate that chiller applications using glycol must follow a site</w:t>
      </w:r>
      <w:r w:rsidR="00C71F42">
        <w:noBreakHyphen/>
      </w:r>
      <w:r w:rsidR="00567EEE">
        <w:t>specific protocol</w:t>
      </w:r>
      <w:r>
        <w:t>.</w:t>
      </w:r>
    </w:p>
    <w:p w14:paraId="2F4222F4" w14:textId="77777777" w:rsidR="00A0712C" w:rsidRDefault="00A0712C" w:rsidP="00AA2116">
      <w:pPr>
        <w:pStyle w:val="Explanationtext"/>
        <w:rPr>
          <w:highlight w:val="yellow"/>
        </w:rPr>
      </w:pPr>
    </w:p>
    <w:p w14:paraId="04F93EB6" w14:textId="57451EDD" w:rsidR="000C37BD" w:rsidRDefault="000C37BD" w:rsidP="00453F14">
      <w:pPr>
        <w:pStyle w:val="Heading3"/>
        <w:numPr>
          <w:ilvl w:val="2"/>
          <w:numId w:val="48"/>
        </w:numPr>
        <w:ind w:left="1440" w:hanging="720"/>
      </w:pPr>
      <w:bookmarkStart w:id="203" w:name="_Toc15657957"/>
      <w:r>
        <w:t>Section 3.2.4 – Ductless Mini-</w:t>
      </w:r>
      <w:r w:rsidR="006A3152">
        <w:t>s</w:t>
      </w:r>
      <w:r>
        <w:t>plit Heat Pumps – Commercial &lt; 5.4 Tons</w:t>
      </w:r>
      <w:r>
        <w:rPr>
          <w:rStyle w:val="FootnoteReference"/>
        </w:rPr>
        <w:footnoteReference w:id="68"/>
      </w:r>
      <w:bookmarkEnd w:id="203"/>
    </w:p>
    <w:p w14:paraId="11595B73" w14:textId="48EB071B" w:rsidR="000C37BD" w:rsidRDefault="000C37BD" w:rsidP="00AA2116">
      <w:pPr>
        <w:pStyle w:val="Explanationtext"/>
      </w:pPr>
      <w:r>
        <w:t>The Commission propose</w:t>
      </w:r>
      <w:r w:rsidR="00BC2734">
        <w:t>d</w:t>
      </w:r>
      <w:r>
        <w:t xml:space="preserve"> updating the baseline efficiencies (HSPF</w:t>
      </w:r>
      <w:r w:rsidRPr="008E6500">
        <w:rPr>
          <w:vertAlign w:val="subscript"/>
        </w:rPr>
        <w:t>b</w:t>
      </w:r>
      <w:r>
        <w:t>, SEER</w:t>
      </w:r>
      <w:r w:rsidRPr="008E6500">
        <w:rPr>
          <w:vertAlign w:val="subscript"/>
        </w:rPr>
        <w:t>b</w:t>
      </w:r>
      <w:r>
        <w:t xml:space="preserve">) for </w:t>
      </w:r>
      <w:r w:rsidRPr="00F3337B">
        <w:t>ductless mini-split heat pumps (DHP)</w:t>
      </w:r>
      <w:r>
        <w:t xml:space="preserve"> for consistency with the </w:t>
      </w:r>
      <w:r w:rsidRPr="00306C63">
        <w:t xml:space="preserve">available ductless mini-split heat pumps </w:t>
      </w:r>
      <w:r>
        <w:t xml:space="preserve">with the lowest efficiency listed in the </w:t>
      </w:r>
      <w:r w:rsidRPr="00306C63">
        <w:t>Air-Conditioning, Heating, and Refrigeration Institute (AHRI)</w:t>
      </w:r>
      <w:r>
        <w:t xml:space="preserve"> Directory of Certified Product Performance</w:t>
      </w:r>
      <w:r w:rsidR="00A0651F">
        <w:t xml:space="preserve">.  </w:t>
      </w:r>
      <w:r w:rsidR="00567EEE">
        <w:t>We also</w:t>
      </w:r>
      <w:r>
        <w:t xml:space="preserve"> propose</w:t>
      </w:r>
      <w:r w:rsidR="00D34C3E">
        <w:t>d</w:t>
      </w:r>
      <w:r>
        <w:t xml:space="preserve"> updating the baseline efficiencies for air-source heat pumps (ASHP), packaged terminal heat pumps (PTHP), packaged terminal air conditioners (PTAC), and central air conditioners for consistency with 2015 IECC or federal </w:t>
      </w:r>
      <w:r w:rsidRPr="00E22047">
        <w:t>standards, whichever is more stringent.</w:t>
      </w:r>
    </w:p>
    <w:p w14:paraId="40632A9C" w14:textId="77777777" w:rsidR="008C1D28" w:rsidRDefault="008C1D28" w:rsidP="00AA2116"/>
    <w:p w14:paraId="3766826A" w14:textId="45128D7B" w:rsidR="008C1D28" w:rsidRPr="001062F9" w:rsidRDefault="008C1D28" w:rsidP="00453F14">
      <w:pPr>
        <w:pStyle w:val="Heading4"/>
        <w:numPr>
          <w:ilvl w:val="3"/>
          <w:numId w:val="48"/>
        </w:numPr>
      </w:pPr>
      <w:r w:rsidRPr="55119DC7">
        <w:t>Comments</w:t>
      </w:r>
    </w:p>
    <w:p w14:paraId="34D605AE" w14:textId="4CC28480" w:rsidR="55119DC7" w:rsidRDefault="002147CB" w:rsidP="00AA2116">
      <w:r>
        <w:t>FirstEnergy</w:t>
      </w:r>
      <w:r w:rsidR="55119DC7">
        <w:t xml:space="preserve"> comments that in Table 3-40</w:t>
      </w:r>
      <w:r w:rsidR="00F3337B">
        <w:t>,</w:t>
      </w:r>
      <w:r w:rsidR="55119DC7">
        <w:t xml:space="preserve"> the HSPF</w:t>
      </w:r>
      <w:r w:rsidR="55119DC7" w:rsidRPr="55119DC7">
        <w:rPr>
          <w:vertAlign w:val="subscript"/>
        </w:rPr>
        <w:t>b</w:t>
      </w:r>
      <w:r w:rsidR="55119DC7">
        <w:t xml:space="preserve"> equation for new construction PTHP is presented as “3.7 - (0.052 x Cap / 1,000) COP</w:t>
      </w:r>
      <w:r w:rsidR="0033531A">
        <w:t>,</w:t>
      </w:r>
      <w:r w:rsidR="55119DC7">
        <w:t xml:space="preserve">” but the equation in IECC 2015 is “3.2 - (0.026 x Cap / 1,000) COP.”  </w:t>
      </w:r>
      <w:r w:rsidR="00EB506A">
        <w:t xml:space="preserve">Furthermore, FirstEnergy comments that in Table 3-40, the units of HSPF are the same as EER; however, the PTHP replacement and new construction baseline units are in units of COP.  FirstEnergy recommends that the PTHP equations should be multiplied by 3.412 to convert them to the same units of EER and have consistent units with the savings equations.  The new equations would be as follows: </w:t>
      </w:r>
      <w:r w:rsidR="00EB506A" w:rsidRPr="003C3A11">
        <w:t>PTHP (Replacements): (2.9 - (0.026 x Cap / 1,000)) x 3.412 HSPF and PTHP (New Construction): (3.7 - (0.052 x Cap / 1,000)) x 3.412 HSPF</w:t>
      </w:r>
      <w:r w:rsidR="00EB506A">
        <w:t xml:space="preserve">.  In addition, FirstEnergy comments that in Table 3-40, HSPFb for Standard </w:t>
      </w:r>
      <w:r w:rsidR="00EB506A" w:rsidRPr="00F3337B">
        <w:t xml:space="preserve">ductless mini-split heat pumps </w:t>
      </w:r>
      <w:r w:rsidR="00EB506A">
        <w:t>minimum efficiencies for split systems is described by ENERGY STAR in Source 2 as 8.5, but Table 3-40 has a value of 8.2</w:t>
      </w:r>
      <w:r w:rsidR="55119DC7">
        <w:t xml:space="preserve">.  </w:t>
      </w:r>
      <w:r>
        <w:t>FirstEnergy</w:t>
      </w:r>
      <w:r w:rsidR="55119DC7">
        <w:t xml:space="preserve"> Comments at 9.</w:t>
      </w:r>
    </w:p>
    <w:p w14:paraId="601FD196" w14:textId="77777777" w:rsidR="008C1D28" w:rsidRDefault="008C1D28" w:rsidP="00AA2116"/>
    <w:p w14:paraId="3FB848AD" w14:textId="7375E3D2" w:rsidR="008C1D28" w:rsidRPr="001062F9" w:rsidRDefault="008C1D28" w:rsidP="00453F14">
      <w:pPr>
        <w:pStyle w:val="Heading4"/>
        <w:numPr>
          <w:ilvl w:val="3"/>
          <w:numId w:val="48"/>
        </w:numPr>
      </w:pPr>
      <w:r w:rsidRPr="001062F9">
        <w:t>Disposition</w:t>
      </w:r>
    </w:p>
    <w:p w14:paraId="5A8DDBDF" w14:textId="56D800D3" w:rsidR="55119DC7" w:rsidRDefault="55119DC7" w:rsidP="00AA2116">
      <w:r>
        <w:t xml:space="preserve">The Commission </w:t>
      </w:r>
      <w:r w:rsidR="00A2222D">
        <w:t xml:space="preserve">disagrees with all recommendations made by FirstEnergy </w:t>
      </w:r>
      <w:r>
        <w:t>on this measure protocol.  Regarding the equation for HSPF</w:t>
      </w:r>
      <w:r w:rsidRPr="55119DC7">
        <w:rPr>
          <w:vertAlign w:val="subscript"/>
        </w:rPr>
        <w:t>b</w:t>
      </w:r>
      <w:r w:rsidRPr="55119DC7">
        <w:t xml:space="preserve"> for “PTHP (New Construction)</w:t>
      </w:r>
      <w:r w:rsidR="0002158E">
        <w:t>,</w:t>
      </w:r>
      <w:r w:rsidRPr="55119DC7">
        <w:t>” in this case</w:t>
      </w:r>
      <w:r w:rsidR="0002158E">
        <w:t>,</w:t>
      </w:r>
      <w:r w:rsidRPr="55119DC7">
        <w:t xml:space="preserve"> the federal standards exceed and therefore supersede the 2015 IECC requirements for the baseline equipment</w:t>
      </w:r>
      <w:r w:rsidR="00E74835">
        <w:t xml:space="preserve">.  </w:t>
      </w:r>
      <w:r w:rsidRPr="55119DC7">
        <w:t xml:space="preserve">Regarding the heating efficiency metric inconsistency, the measure protocol already includes the recommended revision as part of Footnote 31. </w:t>
      </w:r>
      <w:r w:rsidR="00421879">
        <w:t xml:space="preserve"> </w:t>
      </w:r>
      <w:r w:rsidRPr="55119DC7">
        <w:t xml:space="preserve">Finally, regarding the apparent disparity between the baseline heating efficiency requirements for Standard </w:t>
      </w:r>
      <w:r w:rsidR="009A1085" w:rsidRPr="00F3337B">
        <w:t>ductless mini-split heat pumps</w:t>
      </w:r>
      <w:r w:rsidRPr="55119DC7">
        <w:t xml:space="preserve">, the ENERGY STAR value of 8.5 noted in </w:t>
      </w:r>
      <w:r w:rsidR="00421879">
        <w:t>FirstEnergy’s</w:t>
      </w:r>
      <w:r w:rsidR="00421879" w:rsidRPr="55119DC7">
        <w:t xml:space="preserve"> </w:t>
      </w:r>
      <w:r w:rsidRPr="55119DC7">
        <w:t xml:space="preserve">comment is the minimum ENERGY STAR requirement, not the baseline requirement. </w:t>
      </w:r>
      <w:r w:rsidR="00421879">
        <w:t xml:space="preserve"> </w:t>
      </w:r>
      <w:r w:rsidRPr="003C3A11">
        <w:t>The baseline efficiency is established assuming the lowest efficiency currently available in the Air-Conditioning, Heating, and Refrigeration Institute</w:t>
      </w:r>
      <w:r w:rsidR="001B5415">
        <w:t xml:space="preserve"> </w:t>
      </w:r>
      <w:r w:rsidRPr="003C3A11">
        <w:t>directory of available ductless mini-split heat pumps and corresponding efficiencies as described in Source 5 of the measure protocol.</w:t>
      </w:r>
    </w:p>
    <w:p w14:paraId="63AB1A95" w14:textId="0AE01395" w:rsidR="009D0B99" w:rsidRDefault="009D0B99" w:rsidP="00AA2116"/>
    <w:p w14:paraId="46973C59" w14:textId="724AE659" w:rsidR="000C37BD" w:rsidRDefault="000C37BD" w:rsidP="00453F14">
      <w:pPr>
        <w:pStyle w:val="Heading3"/>
        <w:numPr>
          <w:ilvl w:val="2"/>
          <w:numId w:val="48"/>
        </w:numPr>
        <w:ind w:left="1440" w:hanging="720"/>
      </w:pPr>
      <w:bookmarkStart w:id="204" w:name="_Toc15657958"/>
      <w:r>
        <w:t>Section 3.2.5 – Fuel Switching: Small Commercial Electric Heat to Natural Gas</w:t>
      </w:r>
      <w:r w:rsidR="0075240B">
        <w:t xml:space="preserve"> </w:t>
      </w:r>
      <w:r>
        <w:t>/</w:t>
      </w:r>
      <w:r w:rsidR="0075240B">
        <w:t xml:space="preserve"> </w:t>
      </w:r>
      <w:r>
        <w:t>Propane</w:t>
      </w:r>
      <w:r w:rsidR="0075240B">
        <w:t xml:space="preserve"> </w:t>
      </w:r>
      <w:r>
        <w:t>/</w:t>
      </w:r>
      <w:r w:rsidR="0075240B">
        <w:t xml:space="preserve"> </w:t>
      </w:r>
      <w:r>
        <w:t>Oil Heat</w:t>
      </w:r>
      <w:r>
        <w:rPr>
          <w:rStyle w:val="FootnoteReference"/>
        </w:rPr>
        <w:footnoteReference w:id="69"/>
      </w:r>
      <w:bookmarkEnd w:id="204"/>
    </w:p>
    <w:p w14:paraId="117BF3B9" w14:textId="1E17C442" w:rsidR="008C1D28" w:rsidRDefault="000C37BD" w:rsidP="0061674E">
      <w:pPr>
        <w:pStyle w:val="Explanationtext"/>
      </w:pPr>
      <w:r w:rsidRPr="0063425D">
        <w:t xml:space="preserve">See discussion in </w:t>
      </w:r>
      <w:r w:rsidR="00DC4472">
        <w:t xml:space="preserve">Section </w:t>
      </w:r>
      <w:r w:rsidR="00DC4472">
        <w:fldChar w:fldCharType="begin"/>
      </w:r>
      <w:r w:rsidR="00DC4472">
        <w:instrText xml:space="preserve"> REF _Ref14705071 \r \h </w:instrText>
      </w:r>
      <w:r w:rsidR="00DC4472">
        <w:fldChar w:fldCharType="separate"/>
      </w:r>
      <w:r w:rsidR="00B10CDB">
        <w:t>F</w:t>
      </w:r>
      <w:r w:rsidR="00DC4472">
        <w:fldChar w:fldCharType="end"/>
      </w:r>
      <w:r w:rsidR="00DC4472">
        <w:t>.</w:t>
      </w:r>
      <w:r w:rsidR="00DC4472">
        <w:fldChar w:fldCharType="begin"/>
      </w:r>
      <w:r w:rsidR="00DC4472">
        <w:instrText xml:space="preserve"> REF _Ref729097 \r \h </w:instrText>
      </w:r>
      <w:r w:rsidR="00DC4472">
        <w:fldChar w:fldCharType="separate"/>
      </w:r>
      <w:r w:rsidR="00B10CDB">
        <w:t>5</w:t>
      </w:r>
      <w:r w:rsidR="00DC4472">
        <w:fldChar w:fldCharType="end"/>
      </w:r>
      <w:r w:rsidR="00C93653">
        <w:t xml:space="preserve"> </w:t>
      </w:r>
      <w:r w:rsidR="00551A9E">
        <w:t>regarding baseline efficiency changes.</w:t>
      </w:r>
    </w:p>
    <w:p w14:paraId="2838E4B7" w14:textId="77777777" w:rsidR="0061674E" w:rsidRDefault="0061674E" w:rsidP="0061674E">
      <w:pPr>
        <w:pStyle w:val="Explanationtext"/>
      </w:pPr>
    </w:p>
    <w:p w14:paraId="5B41C36B" w14:textId="7DBB9DC4" w:rsidR="008C1D28" w:rsidRPr="001062F9" w:rsidRDefault="008C1D28" w:rsidP="00453F14">
      <w:pPr>
        <w:pStyle w:val="Heading4"/>
        <w:numPr>
          <w:ilvl w:val="3"/>
          <w:numId w:val="48"/>
        </w:numPr>
      </w:pPr>
      <w:r w:rsidRPr="55119DC7">
        <w:t>Comments</w:t>
      </w:r>
    </w:p>
    <w:p w14:paraId="6E66B150" w14:textId="1D6754F4" w:rsidR="008C1D28" w:rsidRDefault="55119DC7" w:rsidP="00AA2116">
      <w:r w:rsidRPr="55119DC7">
        <w:t>PECO comments that billing analysis is an appropriate option for determining measure savings but should not be mandatory.  PECO Comments at 10.</w:t>
      </w:r>
    </w:p>
    <w:p w14:paraId="5E32E286" w14:textId="683BB966" w:rsidR="55119DC7" w:rsidRDefault="55119DC7" w:rsidP="00AA2116"/>
    <w:p w14:paraId="74AD4099" w14:textId="4C65F564" w:rsidR="008C1D28" w:rsidRPr="001062F9" w:rsidRDefault="008C1D28" w:rsidP="00453F14">
      <w:pPr>
        <w:pStyle w:val="Heading4"/>
        <w:numPr>
          <w:ilvl w:val="3"/>
          <w:numId w:val="48"/>
        </w:numPr>
      </w:pPr>
      <w:r w:rsidRPr="55119DC7">
        <w:t>Disposition</w:t>
      </w:r>
    </w:p>
    <w:p w14:paraId="7578DA41" w14:textId="4FF6D039" w:rsidR="55119DC7" w:rsidRDefault="55119DC7" w:rsidP="00AA2116">
      <w:r w:rsidRPr="55119DC7">
        <w:t xml:space="preserve">The Commission </w:t>
      </w:r>
      <w:r w:rsidR="00C75AC5">
        <w:rPr>
          <w:szCs w:val="26"/>
        </w:rPr>
        <w:t xml:space="preserve">disagrees with PECO’s comment that </w:t>
      </w:r>
      <w:r w:rsidR="00C75AC5" w:rsidRPr="55119DC7">
        <w:rPr>
          <w:szCs w:val="26"/>
        </w:rPr>
        <w:t>billing analysis is an appropriate option for determining measure savings but should not be mandatory</w:t>
      </w:r>
      <w:r w:rsidRPr="55119DC7">
        <w:t xml:space="preserve">. </w:t>
      </w:r>
      <w:r w:rsidR="00421879">
        <w:t xml:space="preserve"> </w:t>
      </w:r>
      <w:r w:rsidRPr="55119DC7">
        <w:t xml:space="preserve">As stated in the 2021 TRM at 83, </w:t>
      </w:r>
      <w:r w:rsidR="005F7EE5">
        <w:t>“</w:t>
      </w:r>
      <w:r w:rsidRPr="55119DC7">
        <w:t xml:space="preserve">EDCs </w:t>
      </w:r>
      <w:r w:rsidRPr="55119DC7">
        <w:rPr>
          <w:i/>
          <w:iCs/>
        </w:rPr>
        <w:t>may</w:t>
      </w:r>
      <w:r w:rsidRPr="55119DC7">
        <w:t xml:space="preserve"> [emphasis added] use billing analysis using </w:t>
      </w:r>
      <w:r w:rsidRPr="55119DC7">
        <w:lastRenderedPageBreak/>
        <w:t>program participant data to claim measure savings, in lieu of using the defaults provided in this measure protocol.</w:t>
      </w:r>
      <w:r w:rsidR="005F7EE5" w:rsidRPr="005F7EE5">
        <w:t>”</w:t>
      </w:r>
      <w:r w:rsidRPr="55119DC7">
        <w:t xml:space="preserve"> </w:t>
      </w:r>
      <w:r w:rsidR="00BC2734">
        <w:t xml:space="preserve"> </w:t>
      </w:r>
      <w:r w:rsidRPr="55119DC7">
        <w:t>Billing analysis is only intended to be an option.</w:t>
      </w:r>
      <w:r w:rsidR="00421879">
        <w:t xml:space="preserve">  Billing analysis is not mandatory.</w:t>
      </w:r>
    </w:p>
    <w:p w14:paraId="78B2F901" w14:textId="17FD58BF" w:rsidR="009D0B99" w:rsidRPr="00E22047" w:rsidRDefault="009D0B99" w:rsidP="00AA2116">
      <w:pPr>
        <w:pStyle w:val="Explanationtext"/>
      </w:pPr>
    </w:p>
    <w:p w14:paraId="56BE1379" w14:textId="77777777" w:rsidR="000C37BD" w:rsidRDefault="000C37BD" w:rsidP="00453F14">
      <w:pPr>
        <w:pStyle w:val="Heading3"/>
        <w:numPr>
          <w:ilvl w:val="2"/>
          <w:numId w:val="48"/>
        </w:numPr>
      </w:pPr>
      <w:bookmarkStart w:id="205" w:name="_Toc15657959"/>
      <w:r>
        <w:t>Section 3.2.6 – Small C&amp;I HVAC Refrigerant Charge Correction</w:t>
      </w:r>
      <w:r>
        <w:rPr>
          <w:rStyle w:val="FootnoteReference"/>
        </w:rPr>
        <w:footnoteReference w:id="70"/>
      </w:r>
      <w:bookmarkEnd w:id="205"/>
    </w:p>
    <w:p w14:paraId="2F28A72C" w14:textId="49926E95" w:rsidR="000C37BD" w:rsidRDefault="00421879" w:rsidP="00AA2116">
      <w:pPr>
        <w:pStyle w:val="Explanationtext"/>
      </w:pPr>
      <w:r>
        <w:t>In the prior TRM</w:t>
      </w:r>
      <w:r w:rsidR="000C37BD">
        <w:t>, the algorithm for peak kW reduction (ΔkW</w:t>
      </w:r>
      <w:r w:rsidR="000C37BD" w:rsidRPr="008E6500">
        <w:rPr>
          <w:vertAlign w:val="subscript"/>
        </w:rPr>
        <w:t>peak</w:t>
      </w:r>
      <w:r w:rsidR="000C37BD">
        <w:t>) for heat pumps omitted the RCF factor from the equation</w:t>
      </w:r>
      <w:r w:rsidR="00A0651F">
        <w:t xml:space="preserve">.  </w:t>
      </w:r>
      <w:r w:rsidR="000C37BD">
        <w:t>The Commission propose</w:t>
      </w:r>
      <w:r w:rsidR="00BC2734">
        <w:t>d</w:t>
      </w:r>
      <w:r w:rsidR="000C37BD">
        <w:t xml:space="preserve"> correcting the algorithm to include this factor.</w:t>
      </w:r>
      <w:r w:rsidR="00551A9E">
        <w:t xml:space="preserve">  </w:t>
      </w:r>
      <w:r w:rsidR="003F31B4">
        <w:t>The Commission also propose</w:t>
      </w:r>
      <w:r w:rsidR="00BC2734">
        <w:t>d</w:t>
      </w:r>
      <w:r w:rsidR="003F31B4">
        <w:t xml:space="preserve"> to change the baseline efficiency</w:t>
      </w:r>
      <w:r w:rsidR="00696A0E">
        <w:t>,</w:t>
      </w:r>
      <w:r w:rsidR="003F31B4">
        <w:t xml:space="preserve"> as discussed in Section F.6.</w:t>
      </w:r>
      <w:r w:rsidR="00973DA7">
        <w:t>,</w:t>
      </w:r>
      <w:r w:rsidR="003F31B4">
        <w:t xml:space="preserve"> above.</w:t>
      </w:r>
    </w:p>
    <w:p w14:paraId="3E153C97" w14:textId="77777777" w:rsidR="008C1D28" w:rsidRDefault="008C1D28" w:rsidP="00AA2116"/>
    <w:p w14:paraId="4FC251EF" w14:textId="0AD9A20F" w:rsidR="008C1D28" w:rsidRPr="001062F9" w:rsidRDefault="008C1D28" w:rsidP="00453F14">
      <w:pPr>
        <w:pStyle w:val="Heading4"/>
        <w:numPr>
          <w:ilvl w:val="3"/>
          <w:numId w:val="48"/>
        </w:numPr>
      </w:pPr>
      <w:r w:rsidRPr="55119DC7">
        <w:t>Comments</w:t>
      </w:r>
    </w:p>
    <w:p w14:paraId="394E6A0D" w14:textId="6536942F" w:rsidR="55119DC7" w:rsidRDefault="55119DC7" w:rsidP="00AA2116">
      <w:r w:rsidRPr="55119DC7">
        <w:t>PECO request</w:t>
      </w:r>
      <w:r w:rsidR="00C71F42">
        <w:t>s</w:t>
      </w:r>
      <w:r w:rsidRPr="55119DC7">
        <w:t xml:space="preserve"> that Table 3-44 be clarified</w:t>
      </w:r>
      <w:r w:rsidR="00696A0E">
        <w:t>,</w:t>
      </w:r>
      <w:r w:rsidRPr="55119DC7">
        <w:t xml:space="preserve"> as follows: (1) indicate that “orifice” means a “non-TXV” unit and (2) that the three columns of “% of nameplate charge added (removed)” are the independent variables.  PECO Comments at 10.</w:t>
      </w:r>
    </w:p>
    <w:p w14:paraId="399F843B" w14:textId="57915ACE" w:rsidR="008C1D28" w:rsidRDefault="008C1D28" w:rsidP="00AA2116"/>
    <w:p w14:paraId="37A0AB91" w14:textId="3900FB6F" w:rsidR="008C1D28" w:rsidRPr="001062F9" w:rsidRDefault="008C1D28" w:rsidP="00453F14">
      <w:pPr>
        <w:pStyle w:val="Heading4"/>
        <w:numPr>
          <w:ilvl w:val="3"/>
          <w:numId w:val="48"/>
        </w:numPr>
      </w:pPr>
      <w:r w:rsidRPr="55119DC7">
        <w:t>Disposition</w:t>
      </w:r>
    </w:p>
    <w:p w14:paraId="60029EBE" w14:textId="7B299055" w:rsidR="55119DC7" w:rsidRDefault="55119DC7" w:rsidP="00AA2116">
      <w:r>
        <w:t xml:space="preserve">The Commission </w:t>
      </w:r>
      <w:r w:rsidR="00C75AC5">
        <w:t xml:space="preserve">agrees with PECO’s recommendation and has made appropriate revisions to </w:t>
      </w:r>
      <w:r>
        <w:t>Table 3-44.</w:t>
      </w:r>
    </w:p>
    <w:p w14:paraId="4CC55835" w14:textId="77777777" w:rsidR="00F01872" w:rsidRDefault="00F01872" w:rsidP="00AA2116"/>
    <w:p w14:paraId="609FF53A" w14:textId="77777777" w:rsidR="000C37BD" w:rsidRDefault="000C37BD" w:rsidP="00453F14">
      <w:pPr>
        <w:pStyle w:val="Heading3"/>
        <w:numPr>
          <w:ilvl w:val="2"/>
          <w:numId w:val="48"/>
        </w:numPr>
      </w:pPr>
      <w:bookmarkStart w:id="206" w:name="_Toc15657960"/>
      <w:r>
        <w:t>Section 3.2.7 – ENERGY STAR Room Air Conditioner</w:t>
      </w:r>
      <w:r>
        <w:rPr>
          <w:rStyle w:val="FootnoteReference"/>
        </w:rPr>
        <w:footnoteReference w:id="71"/>
      </w:r>
      <w:bookmarkEnd w:id="206"/>
    </w:p>
    <w:p w14:paraId="418430AB" w14:textId="69870D7C" w:rsidR="005333BF" w:rsidRDefault="000C37BD" w:rsidP="00AA2116">
      <w:pPr>
        <w:pStyle w:val="Explanationtext"/>
      </w:pPr>
      <w:r w:rsidRPr="00672519">
        <w:t>The Commission propose</w:t>
      </w:r>
      <w:r w:rsidR="00BC2734">
        <w:t>d</w:t>
      </w:r>
      <w:r w:rsidRPr="00672519">
        <w:t xml:space="preserve"> reducing the measure life from 12 years to </w:t>
      </w:r>
      <w:r w:rsidR="002E476B">
        <w:t>nine</w:t>
      </w:r>
      <w:r w:rsidRPr="00672519">
        <w:t xml:space="preserve"> years based on the most current EUL in the California </w:t>
      </w:r>
      <w:r w:rsidR="00D64E69">
        <w:t>DEER</w:t>
      </w:r>
      <w:r w:rsidRPr="00672519">
        <w:t>.</w:t>
      </w:r>
      <w:r w:rsidR="00551A9E">
        <w:t xml:space="preserve">  </w:t>
      </w:r>
      <w:r w:rsidR="005333BF">
        <w:t xml:space="preserve">We also proposed </w:t>
      </w:r>
      <w:r w:rsidR="005333BF" w:rsidRPr="00672519">
        <w:t xml:space="preserve">using CEER as the </w:t>
      </w:r>
      <w:r w:rsidR="005333BF" w:rsidRPr="008E6500">
        <w:t xml:space="preserve">exclusive </w:t>
      </w:r>
      <w:r w:rsidR="005333BF" w:rsidRPr="00672519">
        <w:t>efficiency metric in both energy and peak demand savi</w:t>
      </w:r>
      <w:r w:rsidR="005333BF" w:rsidRPr="008E6500">
        <w:t>ngs algorithms</w:t>
      </w:r>
      <w:r w:rsidR="005333BF">
        <w:t xml:space="preserve">.  </w:t>
      </w:r>
      <w:r w:rsidR="005333BF" w:rsidRPr="008E6500">
        <w:t xml:space="preserve">Previously, </w:t>
      </w:r>
      <w:r w:rsidR="005333BF" w:rsidRPr="00672519">
        <w:t>EER could be used if CEER was not available.</w:t>
      </w:r>
      <w:r w:rsidR="005333BF">
        <w:t xml:space="preserve">  In addition, t</w:t>
      </w:r>
      <w:r w:rsidR="005333BF" w:rsidRPr="00672519">
        <w:t>he Commission propose</w:t>
      </w:r>
      <w:r w:rsidR="005333BF">
        <w:t>d</w:t>
      </w:r>
      <w:r w:rsidR="005333BF" w:rsidRPr="00672519">
        <w:t xml:space="preserve"> introducing the EFLH</w:t>
      </w:r>
      <w:r w:rsidR="005333BF" w:rsidRPr="4ED6F62C">
        <w:rPr>
          <w:vertAlign w:val="subscript"/>
        </w:rPr>
        <w:t>RAC-CAC</w:t>
      </w:r>
      <w:r w:rsidR="005333BF" w:rsidRPr="00672519">
        <w:t xml:space="preserve"> factor in the energy savings algorithm to account for the fact that room air conditioners are used far less frequently than the central systems the </w:t>
      </w:r>
      <w:r w:rsidR="005333BF" w:rsidRPr="008E6500">
        <w:t xml:space="preserve">cooling </w:t>
      </w:r>
      <w:r w:rsidR="005333BF" w:rsidRPr="00672519">
        <w:t>equivalent full load hours were developed to represent.</w:t>
      </w:r>
      <w:r w:rsidR="005333BF">
        <w:t xml:space="preserve">  Furthermore, the </w:t>
      </w:r>
      <w:r w:rsidR="005333BF">
        <w:lastRenderedPageBreak/>
        <w:t xml:space="preserve">federal </w:t>
      </w:r>
      <w:r w:rsidR="005333BF" w:rsidRPr="00B7014B">
        <w:t xml:space="preserve">standard CEER for units with louvered sides </w:t>
      </w:r>
      <w:r w:rsidR="005333BF">
        <w:t>and a capacity</w:t>
      </w:r>
      <w:r w:rsidR="005333BF" w:rsidRPr="00B7014B">
        <w:t xml:space="preserve"> from 25,000 to 27,999 Btu/h </w:t>
      </w:r>
      <w:r w:rsidR="005333BF">
        <w:t>was incorrectly transcribed in the 2016 TRM as 9.0.  The Commission proposed correcting this to the actual value from the federal standard, 9.4.</w:t>
      </w:r>
    </w:p>
    <w:p w14:paraId="342A9EE1" w14:textId="77777777" w:rsidR="008C1D28" w:rsidRDefault="008C1D28" w:rsidP="00AA2116">
      <w:pPr>
        <w:pStyle w:val="Explanationtext"/>
      </w:pPr>
    </w:p>
    <w:p w14:paraId="621E0044" w14:textId="238525B8" w:rsidR="008C1D28" w:rsidRPr="001062F9" w:rsidRDefault="008C1D28" w:rsidP="00453F14">
      <w:pPr>
        <w:pStyle w:val="Heading4"/>
        <w:numPr>
          <w:ilvl w:val="3"/>
          <w:numId w:val="48"/>
        </w:numPr>
      </w:pPr>
      <w:r w:rsidRPr="55119DC7">
        <w:t>Comments</w:t>
      </w:r>
    </w:p>
    <w:p w14:paraId="3A717195" w14:textId="0A7AC804" w:rsidR="55119DC7" w:rsidRDefault="002147CB" w:rsidP="007F72C4">
      <w:pPr>
        <w:rPr>
          <w:szCs w:val="26"/>
        </w:rPr>
      </w:pPr>
      <w:r>
        <w:t>FirstEnergy</w:t>
      </w:r>
      <w:r w:rsidR="55119DC7" w:rsidRPr="55119DC7">
        <w:t xml:space="preserve"> request</w:t>
      </w:r>
      <w:r w:rsidR="00DC5F03">
        <w:t>s</w:t>
      </w:r>
      <w:r w:rsidR="55119DC7" w:rsidRPr="55119DC7">
        <w:t xml:space="preserve"> clarif</w:t>
      </w:r>
      <w:r w:rsidR="00223C69">
        <w:t>ication of</w:t>
      </w:r>
      <w:r w:rsidR="55119DC7" w:rsidRPr="55119DC7">
        <w:t xml:space="preserve"> the description of CEER</w:t>
      </w:r>
      <w:r w:rsidR="55119DC7" w:rsidRPr="00BA3FB4">
        <w:rPr>
          <w:vertAlign w:val="subscript"/>
        </w:rPr>
        <w:t>base</w:t>
      </w:r>
      <w:r w:rsidR="55119DC7" w:rsidRPr="55119DC7">
        <w:t xml:space="preserve"> in Table 3-45 to read as follows</w:t>
      </w:r>
      <w:r w:rsidR="00832FDD">
        <w:t>,</w:t>
      </w:r>
      <w:r w:rsidR="55119DC7" w:rsidRPr="55119DC7">
        <w:t xml:space="preserve"> “New Construction or Replace on Burnout: Default Federal Standard values from Table 3-46 to Table 3-48.”  </w:t>
      </w:r>
      <w:r>
        <w:t>FirstEnergy</w:t>
      </w:r>
      <w:r w:rsidR="55119DC7" w:rsidRPr="55119DC7">
        <w:t xml:space="preserve"> Comments at 9.</w:t>
      </w:r>
      <w:r w:rsidR="007F72C4">
        <w:t xml:space="preserve">  </w:t>
      </w:r>
      <w:r w:rsidR="55119DC7">
        <w:t xml:space="preserve">PECO </w:t>
      </w:r>
      <w:r w:rsidR="00832FDD">
        <w:t>notes</w:t>
      </w:r>
      <w:r w:rsidR="55119DC7">
        <w:t xml:space="preserve"> that they were unable to find justification for the proposed addition of a 31% </w:t>
      </w:r>
      <w:r w:rsidR="4ED6F62C">
        <w:t>EFLH</w:t>
      </w:r>
      <w:r w:rsidR="4ED6F62C" w:rsidRPr="4ED6F62C">
        <w:rPr>
          <w:vertAlign w:val="subscript"/>
        </w:rPr>
        <w:t>RAC-CAC</w:t>
      </w:r>
      <w:r w:rsidR="55119DC7">
        <w:t xml:space="preserve"> multiplier in the referenced source</w:t>
      </w:r>
      <w:r w:rsidR="00832FDD">
        <w:t>,</w:t>
      </w:r>
      <w:r w:rsidR="55119DC7">
        <w:t xml:space="preserve"> and requests additional support for this factor.  PECO Comments at 10.</w:t>
      </w:r>
    </w:p>
    <w:p w14:paraId="12782F66" w14:textId="77777777" w:rsidR="008C1D28" w:rsidRDefault="008C1D28" w:rsidP="00AA2116"/>
    <w:p w14:paraId="27BF0903" w14:textId="5EEDB9A9" w:rsidR="008C1D28" w:rsidRPr="001062F9" w:rsidRDefault="008C1D28" w:rsidP="00453F14">
      <w:pPr>
        <w:pStyle w:val="Heading4"/>
        <w:numPr>
          <w:ilvl w:val="3"/>
          <w:numId w:val="48"/>
        </w:numPr>
      </w:pPr>
      <w:r w:rsidRPr="001062F9">
        <w:t>Disposition</w:t>
      </w:r>
    </w:p>
    <w:p w14:paraId="4F29E61E" w14:textId="49112DC0" w:rsidR="55119DC7" w:rsidRDefault="0013450A" w:rsidP="007F72C4">
      <w:r>
        <w:t xml:space="preserve">In response to FirstEnergy’s request to clarify </w:t>
      </w:r>
      <w:r w:rsidRPr="55119DC7">
        <w:rPr>
          <w:szCs w:val="26"/>
        </w:rPr>
        <w:t>the description of CEER</w:t>
      </w:r>
      <w:r w:rsidRPr="00BA3FB4">
        <w:rPr>
          <w:szCs w:val="26"/>
          <w:vertAlign w:val="subscript"/>
        </w:rPr>
        <w:t>base</w:t>
      </w:r>
      <w:r w:rsidRPr="55119DC7">
        <w:rPr>
          <w:szCs w:val="26"/>
        </w:rPr>
        <w:t xml:space="preserve"> in Table 3-45</w:t>
      </w:r>
      <w:r>
        <w:rPr>
          <w:szCs w:val="26"/>
        </w:rPr>
        <w:t>,</w:t>
      </w:r>
      <w:r w:rsidR="00C71F42">
        <w:rPr>
          <w:szCs w:val="26"/>
        </w:rPr>
        <w:t xml:space="preserve"> </w:t>
      </w:r>
      <w:r>
        <w:t xml:space="preserve">the Commission has updated the </w:t>
      </w:r>
      <w:r w:rsidRPr="55119DC7">
        <w:rPr>
          <w:szCs w:val="26"/>
        </w:rPr>
        <w:t>description of CEER</w:t>
      </w:r>
      <w:r w:rsidRPr="00BA3FB4">
        <w:rPr>
          <w:szCs w:val="26"/>
          <w:vertAlign w:val="subscript"/>
        </w:rPr>
        <w:t>base</w:t>
      </w:r>
      <w:r w:rsidRPr="55119DC7">
        <w:rPr>
          <w:szCs w:val="26"/>
        </w:rPr>
        <w:t xml:space="preserve"> </w:t>
      </w:r>
      <w:r>
        <w:rPr>
          <w:szCs w:val="26"/>
        </w:rPr>
        <w:t xml:space="preserve">to read </w:t>
      </w:r>
      <w:r w:rsidRPr="55119DC7">
        <w:rPr>
          <w:szCs w:val="26"/>
        </w:rPr>
        <w:t>“New Construction or Replace on Burnout: Default Federal Standard values from Table 3-46 to Table 3-48.”  The Commission</w:t>
      </w:r>
      <w:r>
        <w:rPr>
          <w:szCs w:val="26"/>
        </w:rPr>
        <w:t xml:space="preserve"> also agrees with</w:t>
      </w:r>
      <w:r w:rsidRPr="55119DC7">
        <w:rPr>
          <w:szCs w:val="26"/>
        </w:rPr>
        <w:t xml:space="preserve"> PECO’s </w:t>
      </w:r>
      <w:r>
        <w:rPr>
          <w:szCs w:val="26"/>
        </w:rPr>
        <w:t xml:space="preserve">statement </w:t>
      </w:r>
      <w:r>
        <w:t>that they were unable to find justification for the proposed addition of a 31% EFLH</w:t>
      </w:r>
      <w:r w:rsidRPr="4ED6F62C">
        <w:rPr>
          <w:vertAlign w:val="subscript"/>
        </w:rPr>
        <w:t>RAC-CAC</w:t>
      </w:r>
      <w:r>
        <w:t xml:space="preserve"> multiplier in the referenced source</w:t>
      </w:r>
      <w:r w:rsidRPr="55119DC7">
        <w:rPr>
          <w:szCs w:val="26"/>
        </w:rPr>
        <w:t xml:space="preserve"> and </w:t>
      </w:r>
      <w:r>
        <w:rPr>
          <w:szCs w:val="26"/>
        </w:rPr>
        <w:t>has provided</w:t>
      </w:r>
      <w:r w:rsidRPr="55119DC7">
        <w:rPr>
          <w:szCs w:val="26"/>
        </w:rPr>
        <w:t xml:space="preserve"> additional documentation for this factor in the measure protocol.</w:t>
      </w:r>
      <w:r w:rsidR="007F72C4">
        <w:rPr>
          <w:szCs w:val="26"/>
        </w:rPr>
        <w:t xml:space="preserve">  </w:t>
      </w:r>
      <w:r w:rsidR="55119DC7" w:rsidRPr="55119DC7">
        <w:t xml:space="preserve">The factor was adopted from the </w:t>
      </w:r>
      <w:r w:rsidR="55119DC7">
        <w:t>2019 version of the Illinois Statewide Technical Reference Manual v7.0 for</w:t>
      </w:r>
      <w:r w:rsidR="00376E58">
        <w:t xml:space="preserve"> the</w:t>
      </w:r>
      <w:r w:rsidR="55119DC7">
        <w:t xml:space="preserve"> “ENERGY STAR and CEE Super</w:t>
      </w:r>
      <w:r w:rsidR="00223C69">
        <w:t>-</w:t>
      </w:r>
      <w:r w:rsidR="55119DC7">
        <w:t xml:space="preserve">Efficient Room Air Conditioner” measure. </w:t>
      </w:r>
      <w:r w:rsidR="00421879">
        <w:t xml:space="preserve"> </w:t>
      </w:r>
      <w:r w:rsidR="55119DC7">
        <w:t>In that document, the justification for the factor is described as follows</w:t>
      </w:r>
      <w:r w:rsidR="00376E58">
        <w:t>,</w:t>
      </w:r>
      <w:r w:rsidR="55119DC7">
        <w:t xml:space="preserve"> “Full load hours for room AC is significantly lower than for central AC. </w:t>
      </w:r>
      <w:r w:rsidR="00E74835">
        <w:t xml:space="preserve"> </w:t>
      </w:r>
      <w:r w:rsidR="55119DC7">
        <w:t xml:space="preserve">The average ratio of FLH for Room AC (provided in RLW Report: Final Report Coincidence Factor Study Residential Room Air Conditioners, June 23, 2008)) to FLH for Central Cooling for the same location (detailed in the </w:t>
      </w:r>
      <w:r w:rsidR="00243D4A">
        <w:t>ENERGY STAR</w:t>
      </w:r>
      <w:r w:rsidR="55119DC7">
        <w:t xml:space="preserve"> Room Air Conditioner Savings Calculator) is 31%</w:t>
      </w:r>
      <w:r w:rsidR="00E74835">
        <w:t xml:space="preserve">.  </w:t>
      </w:r>
      <w:r w:rsidR="00C02AEB">
        <w:t xml:space="preserve">The Commission has applied this </w:t>
      </w:r>
      <w:r w:rsidR="55119DC7">
        <w:t>ratio to the FLH from the unitary and split system air conditioning measure.”</w:t>
      </w:r>
    </w:p>
    <w:p w14:paraId="54965562" w14:textId="77777777" w:rsidR="009D0B99" w:rsidRDefault="009D0B99" w:rsidP="00AA2116">
      <w:pPr>
        <w:pStyle w:val="Explanationtext"/>
      </w:pPr>
    </w:p>
    <w:p w14:paraId="2ED526FC" w14:textId="77777777" w:rsidR="000C37BD" w:rsidRDefault="000C37BD" w:rsidP="00453F14">
      <w:pPr>
        <w:pStyle w:val="Heading3"/>
        <w:numPr>
          <w:ilvl w:val="2"/>
          <w:numId w:val="48"/>
        </w:numPr>
      </w:pPr>
      <w:bookmarkStart w:id="207" w:name="_Toc15657961"/>
      <w:r>
        <w:lastRenderedPageBreak/>
        <w:t>Section 3.2.9 – Controls: Economizer</w:t>
      </w:r>
      <w:r>
        <w:rPr>
          <w:rStyle w:val="FootnoteReference"/>
        </w:rPr>
        <w:footnoteReference w:id="72"/>
      </w:r>
      <w:bookmarkEnd w:id="207"/>
    </w:p>
    <w:p w14:paraId="63ABC269" w14:textId="74F53549" w:rsidR="000C37BD" w:rsidRDefault="000C37BD" w:rsidP="00AA2116">
      <w:pPr>
        <w:pStyle w:val="Explanationtext"/>
      </w:pPr>
      <w:r w:rsidRPr="0063425D">
        <w:t xml:space="preserve">See discussion in </w:t>
      </w:r>
      <w:r w:rsidR="00DC4472">
        <w:t xml:space="preserve">Section </w:t>
      </w:r>
      <w:r w:rsidR="00DC4472">
        <w:fldChar w:fldCharType="begin"/>
      </w:r>
      <w:r w:rsidR="00DC4472">
        <w:instrText xml:space="preserve"> REF _Ref14705008 \r \h </w:instrText>
      </w:r>
      <w:r w:rsidR="00DC4472">
        <w:fldChar w:fldCharType="separate"/>
      </w:r>
      <w:r w:rsidR="00B10CDB">
        <w:t>F</w:t>
      </w:r>
      <w:r w:rsidR="00DC4472">
        <w:fldChar w:fldCharType="end"/>
      </w:r>
      <w:r w:rsidR="00DC4472">
        <w:t>.</w:t>
      </w:r>
      <w:r w:rsidR="00DC4472">
        <w:fldChar w:fldCharType="begin"/>
      </w:r>
      <w:r w:rsidR="00DC4472">
        <w:instrText xml:space="preserve"> REF _Ref729097 \r \h </w:instrText>
      </w:r>
      <w:r w:rsidR="00DC4472">
        <w:fldChar w:fldCharType="separate"/>
      </w:r>
      <w:r w:rsidR="00B10CDB">
        <w:t>5</w:t>
      </w:r>
      <w:r w:rsidR="00DC4472">
        <w:fldChar w:fldCharType="end"/>
      </w:r>
      <w:r w:rsidR="00C93653">
        <w:t xml:space="preserve"> </w:t>
      </w:r>
      <w:r w:rsidR="00551A9E">
        <w:t xml:space="preserve">regarding baseline efficiency changes.  </w:t>
      </w:r>
      <w:r w:rsidR="007A4CA1" w:rsidRPr="007A4CA1">
        <w:t xml:space="preserve">The Commission </w:t>
      </w:r>
      <w:r w:rsidR="007A4CA1">
        <w:t>propose</w:t>
      </w:r>
      <w:r w:rsidR="00243D4A">
        <w:t>d</w:t>
      </w:r>
      <w:r w:rsidR="007A4CA1">
        <w:t xml:space="preserve"> adding a second set of algorithms specifically for the retrofit measure vintage</w:t>
      </w:r>
      <w:r w:rsidR="00A0651F">
        <w:t xml:space="preserve">.  </w:t>
      </w:r>
      <w:r w:rsidR="007A4CA1">
        <w:t>The algorithm will remain unchanged for the replace-on-burnout and new construction measures</w:t>
      </w:r>
      <w:r w:rsidR="00A0651F">
        <w:t xml:space="preserve">.  </w:t>
      </w:r>
      <w:r w:rsidR="007A4CA1">
        <w:t xml:space="preserve">One of the inputs to the proposed algorithm for retrofit measures </w:t>
      </w:r>
      <w:r w:rsidR="00243D4A">
        <w:t>was</w:t>
      </w:r>
      <w:r w:rsidR="007A4CA1">
        <w:t xml:space="preserve"> drawn from the</w:t>
      </w:r>
      <w:r w:rsidR="008D17E5" w:rsidRPr="008D17E5">
        <w:t xml:space="preserve"> </w:t>
      </w:r>
      <w:r w:rsidR="008D17E5" w:rsidRPr="001323BE">
        <w:t xml:space="preserve">2018 Pennsylvania </w:t>
      </w:r>
      <w:r w:rsidR="008D17E5">
        <w:t>Non-</w:t>
      </w:r>
      <w:r w:rsidR="008D17E5" w:rsidRPr="001323BE">
        <w:t>Residential Baseline Study</w:t>
      </w:r>
      <w:r w:rsidR="006B7EFB">
        <w:t>.</w:t>
      </w:r>
    </w:p>
    <w:p w14:paraId="654E49B3" w14:textId="77777777" w:rsidR="001214E9" w:rsidRPr="007A4CA1" w:rsidRDefault="001214E9" w:rsidP="00AA2116">
      <w:pPr>
        <w:pStyle w:val="Explanationtext"/>
      </w:pPr>
    </w:p>
    <w:p w14:paraId="16341C2A" w14:textId="7739F7B8" w:rsidR="008C1D28" w:rsidRPr="001062F9" w:rsidRDefault="008C1D28" w:rsidP="00453F14">
      <w:pPr>
        <w:pStyle w:val="Heading4"/>
        <w:numPr>
          <w:ilvl w:val="3"/>
          <w:numId w:val="48"/>
        </w:numPr>
      </w:pPr>
      <w:r w:rsidRPr="001062F9">
        <w:t>Comments</w:t>
      </w:r>
    </w:p>
    <w:p w14:paraId="698BCC09" w14:textId="4BB94868" w:rsidR="55119DC7" w:rsidRDefault="002147CB" w:rsidP="00AA2116">
      <w:r>
        <w:t>FirstEnergy</w:t>
      </w:r>
      <w:r w:rsidR="55119DC7">
        <w:t xml:space="preserve"> recommend</w:t>
      </w:r>
      <w:r w:rsidR="00A570EC">
        <w:t>s</w:t>
      </w:r>
      <w:r w:rsidR="55119DC7">
        <w:t xml:space="preserve"> the retrofit kWh algorithm have the option to use EER, SEER, or IEER as the efficiency metric and not just be limited to using kW/ton.  </w:t>
      </w:r>
      <w:r>
        <w:t>FirstEnergy</w:t>
      </w:r>
      <w:r w:rsidR="55119DC7">
        <w:t xml:space="preserve"> Comments at 9.</w:t>
      </w:r>
    </w:p>
    <w:p w14:paraId="12896FBC" w14:textId="77777777" w:rsidR="008C1D28" w:rsidRDefault="008C1D28" w:rsidP="00AA2116"/>
    <w:p w14:paraId="3D902FB3" w14:textId="233CD4CD" w:rsidR="008C1D28" w:rsidRPr="001062F9" w:rsidRDefault="008C1D28" w:rsidP="00453F14">
      <w:pPr>
        <w:pStyle w:val="Heading4"/>
        <w:numPr>
          <w:ilvl w:val="3"/>
          <w:numId w:val="48"/>
        </w:numPr>
      </w:pPr>
      <w:r w:rsidRPr="001062F9">
        <w:t>Disposition</w:t>
      </w:r>
    </w:p>
    <w:p w14:paraId="5F82CCE7" w14:textId="0B22849E" w:rsidR="008C1D28" w:rsidRDefault="55119DC7" w:rsidP="00AA2116">
      <w:r>
        <w:t xml:space="preserve">The Commission </w:t>
      </w:r>
      <w:r w:rsidR="00107ABE">
        <w:t xml:space="preserve">agrees with FirstEnergy’s recommendation and has updated the measure protocol to </w:t>
      </w:r>
      <w:r>
        <w:t>allow the use of EER, SEER, or IEER as the efficiency metric.</w:t>
      </w:r>
    </w:p>
    <w:p w14:paraId="1121C313" w14:textId="77777777" w:rsidR="009D0B99" w:rsidRPr="00F959E7" w:rsidRDefault="009D0B99" w:rsidP="00AA2116"/>
    <w:p w14:paraId="574558AA" w14:textId="77777777" w:rsidR="009D0B99" w:rsidRPr="000A7D16" w:rsidRDefault="009D0B99" w:rsidP="00453F14">
      <w:pPr>
        <w:pStyle w:val="Heading3"/>
        <w:numPr>
          <w:ilvl w:val="2"/>
          <w:numId w:val="48"/>
        </w:numPr>
      </w:pPr>
      <w:bookmarkStart w:id="208" w:name="_Toc15657962"/>
      <w:r w:rsidRPr="000A7D16">
        <w:t>Section 3.3.1 – Premium Efficiency Motors</w:t>
      </w:r>
      <w:r w:rsidRPr="000A7D16">
        <w:rPr>
          <w:rStyle w:val="FootnoteReference"/>
        </w:rPr>
        <w:footnoteReference w:id="73"/>
      </w:r>
      <w:bookmarkEnd w:id="208"/>
    </w:p>
    <w:p w14:paraId="087146DC" w14:textId="04C29D62" w:rsidR="009D0B99" w:rsidRDefault="009D0B99" w:rsidP="00AA2116">
      <w:r w:rsidRPr="009513CE">
        <w:t>The Commission propose</w:t>
      </w:r>
      <w:r w:rsidR="00243D4A">
        <w:t>d</w:t>
      </w:r>
      <w:r w:rsidRPr="009513CE">
        <w:t xml:space="preserve"> to update the default load factor value of 0.75 for all HVAC motors to 0.76 for motors driving HVAC fans and 0.79 for motors driving HVAC pumps</w:t>
      </w:r>
      <w:r w:rsidR="00A0651F">
        <w:t xml:space="preserve">.  </w:t>
      </w:r>
      <w:r w:rsidRPr="009513CE">
        <w:t>These values were derived through a metering study that incorporated an array of different in-service HVAC motors</w:t>
      </w:r>
      <w:r w:rsidR="00A0651F">
        <w:t xml:space="preserve">.  </w:t>
      </w:r>
      <w:r w:rsidRPr="009513CE">
        <w:t>Increasing the load factor default values will increase the level of savings associated with these measures by the ratio of the proposed load factors to the original default load factor of 0.75</w:t>
      </w:r>
      <w:r w:rsidR="00A0651F">
        <w:t xml:space="preserve">.  </w:t>
      </w:r>
    </w:p>
    <w:p w14:paraId="391C6975" w14:textId="77777777" w:rsidR="007D061D" w:rsidRDefault="007D061D" w:rsidP="00AA2116"/>
    <w:p w14:paraId="3BCECD4F" w14:textId="77777777" w:rsidR="008C1D28" w:rsidRPr="001062F9" w:rsidRDefault="008C1D28" w:rsidP="00453F14">
      <w:pPr>
        <w:pStyle w:val="Heading4"/>
        <w:numPr>
          <w:ilvl w:val="3"/>
          <w:numId w:val="48"/>
        </w:numPr>
      </w:pPr>
      <w:r w:rsidRPr="14771C49">
        <w:lastRenderedPageBreak/>
        <w:t>Comments</w:t>
      </w:r>
    </w:p>
    <w:p w14:paraId="12D00D38" w14:textId="73BBD1EE" w:rsidR="6C95303B" w:rsidRDefault="002147CB" w:rsidP="00AA2116">
      <w:r>
        <w:t>FirstEnergy</w:t>
      </w:r>
      <w:r w:rsidR="2E88F06F" w:rsidRPr="2E88F06F">
        <w:t xml:space="preserve"> comment</w:t>
      </w:r>
      <w:r w:rsidR="00107ABE">
        <w:t>s</w:t>
      </w:r>
      <w:r w:rsidR="2E88F06F" w:rsidRPr="2E88F06F">
        <w:t xml:space="preserve"> that the default load factor for pumps in the Appendix D calculator (0.78) was not aligned with the default load factor for pumps in the TRM Section 3.3.1 (0.79). </w:t>
      </w:r>
      <w:r w:rsidR="2E88F06F">
        <w:t xml:space="preserve"> </w:t>
      </w:r>
      <w:r>
        <w:t>FirstEnergy</w:t>
      </w:r>
      <w:r w:rsidR="2E88F06F">
        <w:t xml:space="preserve"> Comments at 5.</w:t>
      </w:r>
    </w:p>
    <w:p w14:paraId="34D72EF3" w14:textId="77777777" w:rsidR="008C1D28" w:rsidRDefault="008C1D28" w:rsidP="00AA2116"/>
    <w:p w14:paraId="3E30F3BF" w14:textId="77777777" w:rsidR="008C1D28" w:rsidRPr="001062F9" w:rsidRDefault="008C1D28" w:rsidP="00453F14">
      <w:pPr>
        <w:pStyle w:val="Heading4"/>
        <w:numPr>
          <w:ilvl w:val="3"/>
          <w:numId w:val="48"/>
        </w:numPr>
      </w:pPr>
      <w:r w:rsidRPr="5E5BD5E0">
        <w:t>Disposition</w:t>
      </w:r>
    </w:p>
    <w:p w14:paraId="024CD626" w14:textId="617F143D" w:rsidR="6C95303B" w:rsidRDefault="00421879" w:rsidP="00AA2116">
      <w:r>
        <w:t>In response to FirstEnergy’s comment, t</w:t>
      </w:r>
      <w:r w:rsidR="2E88F06F" w:rsidRPr="2E88F06F">
        <w:t>he Commission reviewed the references for this measure and determined that 0.79 is the correct value</w:t>
      </w:r>
      <w:r w:rsidR="00B26D03">
        <w:t xml:space="preserve"> and has updated the Appendix D calculator</w:t>
      </w:r>
      <w:r w:rsidR="2E88F06F" w:rsidRPr="2E88F06F">
        <w:t xml:space="preserve"> accordingly.</w:t>
      </w:r>
    </w:p>
    <w:p w14:paraId="2EA627D5" w14:textId="77777777" w:rsidR="001214E9" w:rsidRDefault="001214E9" w:rsidP="00AA2116"/>
    <w:p w14:paraId="73EF3BD1" w14:textId="77777777" w:rsidR="009D0B99" w:rsidRPr="000A7D16" w:rsidRDefault="009D0B99" w:rsidP="00453F14">
      <w:pPr>
        <w:pStyle w:val="Heading3"/>
        <w:numPr>
          <w:ilvl w:val="2"/>
          <w:numId w:val="48"/>
        </w:numPr>
      </w:pPr>
      <w:bookmarkStart w:id="209" w:name="_Toc14686889"/>
      <w:bookmarkStart w:id="210" w:name="_Toc14687036"/>
      <w:bookmarkStart w:id="211" w:name="_Toc14687183"/>
      <w:bookmarkStart w:id="212" w:name="_Toc15657963"/>
      <w:bookmarkEnd w:id="209"/>
      <w:bookmarkEnd w:id="210"/>
      <w:bookmarkEnd w:id="211"/>
      <w:r w:rsidRPr="000A7D16">
        <w:t>Section 3.3.2 – Variable Frequency Drive (VFD) Improvements</w:t>
      </w:r>
      <w:r w:rsidRPr="000A7D16">
        <w:rPr>
          <w:rStyle w:val="FootnoteReference"/>
        </w:rPr>
        <w:footnoteReference w:id="74"/>
      </w:r>
      <w:bookmarkEnd w:id="212"/>
    </w:p>
    <w:p w14:paraId="3A0391FE" w14:textId="6A08819A" w:rsidR="009D0B99" w:rsidRDefault="009D0B99" w:rsidP="00AA2116">
      <w:r w:rsidRPr="009513CE">
        <w:t xml:space="preserve">Energy codes increasingly require </w:t>
      </w:r>
      <w:r w:rsidR="00362443">
        <w:t>VFD</w:t>
      </w:r>
      <w:r w:rsidRPr="009513CE">
        <w:t xml:space="preserve"> control for HVAC fans and pumps</w:t>
      </w:r>
      <w:r w:rsidR="00A0651F">
        <w:t xml:space="preserve">.  </w:t>
      </w:r>
      <w:r w:rsidRPr="009513CE">
        <w:t>The 2015 IECC, effective in Pennsylvania for work construction permits issued on October 1, 2018</w:t>
      </w:r>
      <w:r w:rsidR="00B2278A">
        <w:t>,</w:t>
      </w:r>
      <w:r w:rsidRPr="009513CE">
        <w:t xml:space="preserve"> or later, specifies motor control requirements that can only be satisfied by VFDs for several equipment types</w:t>
      </w:r>
      <w:r w:rsidR="00B2278A">
        <w:t>,</w:t>
      </w:r>
      <w:r w:rsidRPr="009513CE">
        <w:t xml:space="preserve"> including fans serving multiple zones and hydronic system pumps with a combined motor capacity of 10hp or larger</w:t>
      </w:r>
      <w:r w:rsidR="00A0651F">
        <w:t xml:space="preserve">.  </w:t>
      </w:r>
      <w:r w:rsidRPr="009513CE">
        <w:t>The Commission propose</w:t>
      </w:r>
      <w:r w:rsidR="00C37CF0">
        <w:t>d</w:t>
      </w:r>
      <w:r w:rsidRPr="009513CE">
        <w:t xml:space="preserve"> </w:t>
      </w:r>
      <w:r w:rsidR="00C37CF0">
        <w:t>updating</w:t>
      </w:r>
      <w:r w:rsidRPr="009513CE">
        <w:t xml:space="preserve"> the eligibility criteria for this measure to specifically state that VFD equipment installed according to code requirement is not eligible for incentives.</w:t>
      </w:r>
    </w:p>
    <w:p w14:paraId="195EDEE3" w14:textId="77777777" w:rsidR="008C1D28" w:rsidRDefault="008C1D28" w:rsidP="00AA2116"/>
    <w:p w14:paraId="67997145" w14:textId="77777777" w:rsidR="008C1D28" w:rsidRPr="001062F9" w:rsidRDefault="008C1D28" w:rsidP="00453F14">
      <w:pPr>
        <w:pStyle w:val="Heading4"/>
        <w:numPr>
          <w:ilvl w:val="3"/>
          <w:numId w:val="48"/>
        </w:numPr>
      </w:pPr>
      <w:r w:rsidRPr="5E5BD5E0">
        <w:t>Comments</w:t>
      </w:r>
    </w:p>
    <w:p w14:paraId="77F33F5E" w14:textId="1B47BE49" w:rsidR="6C95303B" w:rsidRDefault="6C95303B" w:rsidP="00AA2116">
      <w:r w:rsidRPr="6C95303B">
        <w:t>PECO suggest</w:t>
      </w:r>
      <w:r w:rsidR="00243D4A">
        <w:t>s</w:t>
      </w:r>
      <w:r w:rsidRPr="6C95303B">
        <w:t xml:space="preserve"> adding additional clarification on the metering requirements for projects with savings expected to exceed 250,000 kWh</w:t>
      </w:r>
      <w:r w:rsidR="004D074B">
        <w:t xml:space="preserve">.  PECO also suggests </w:t>
      </w:r>
      <w:r w:rsidRPr="6C95303B">
        <w:t>adding additional emphasis to the metering requirements in the measure description</w:t>
      </w:r>
      <w:r w:rsidR="001654E2">
        <w:t xml:space="preserve">.  </w:t>
      </w:r>
      <w:r w:rsidRPr="6C95303B">
        <w:t>PECO Comments at 10.</w:t>
      </w:r>
    </w:p>
    <w:p w14:paraId="565FF3E3" w14:textId="77777777" w:rsidR="008C1D28" w:rsidRDefault="008C1D28" w:rsidP="00AA2116"/>
    <w:p w14:paraId="3A1C2D9F" w14:textId="77777777" w:rsidR="008C1D28" w:rsidRPr="001062F9" w:rsidRDefault="008C1D28" w:rsidP="00453F14">
      <w:pPr>
        <w:pStyle w:val="Heading4"/>
        <w:numPr>
          <w:ilvl w:val="3"/>
          <w:numId w:val="48"/>
        </w:numPr>
      </w:pPr>
      <w:r w:rsidRPr="59EA912B">
        <w:t>Disposition</w:t>
      </w:r>
    </w:p>
    <w:p w14:paraId="52437CCE" w14:textId="59724F8F" w:rsidR="007A4CA1" w:rsidRPr="009513CE" w:rsidRDefault="6C95303B" w:rsidP="00AA2116">
      <w:r w:rsidRPr="6C95303B">
        <w:t xml:space="preserve">The Commission </w:t>
      </w:r>
      <w:r w:rsidR="001D536D">
        <w:t>agrees with</w:t>
      </w:r>
      <w:r w:rsidR="001D536D" w:rsidRPr="6C95303B">
        <w:t xml:space="preserve"> </w:t>
      </w:r>
      <w:r w:rsidR="004D074B">
        <w:t>PECO’s</w:t>
      </w:r>
      <w:r w:rsidR="004D074B" w:rsidRPr="6C95303B">
        <w:t xml:space="preserve"> </w:t>
      </w:r>
      <w:r w:rsidR="004D074B">
        <w:t xml:space="preserve">first </w:t>
      </w:r>
      <w:r w:rsidRPr="6C95303B">
        <w:t>suggestion</w:t>
      </w:r>
      <w:r w:rsidR="004D074B">
        <w:t xml:space="preserve"> and has added</w:t>
      </w:r>
      <w:r w:rsidRPr="6C95303B">
        <w:t xml:space="preserve"> additional clarifying text and a reference to Section 1.3.3 End-use Categories &amp; Thresholds for </w:t>
      </w:r>
      <w:r w:rsidRPr="6C95303B">
        <w:lastRenderedPageBreak/>
        <w:t xml:space="preserve">Using Default Values.  </w:t>
      </w:r>
      <w:r w:rsidR="00D43462">
        <w:rPr>
          <w:szCs w:val="26"/>
        </w:rPr>
        <w:t>However, we do not agree with PECO’s</w:t>
      </w:r>
      <w:r w:rsidR="00D43462" w:rsidRPr="6C95303B">
        <w:rPr>
          <w:szCs w:val="26"/>
        </w:rPr>
        <w:t xml:space="preserve"> </w:t>
      </w:r>
      <w:r w:rsidR="00D43462">
        <w:rPr>
          <w:szCs w:val="26"/>
        </w:rPr>
        <w:t xml:space="preserve">suggestion </w:t>
      </w:r>
      <w:r w:rsidRPr="6C95303B">
        <w:t>to add additional emphasis in the measure description, as this part of the measure protocol is unchanged from prior versions of the TRM and the current format aligns with other measures where thresholds apply.</w:t>
      </w:r>
    </w:p>
    <w:p w14:paraId="706F20FC" w14:textId="419EB189" w:rsidR="6C95303B" w:rsidRDefault="6C95303B" w:rsidP="00AA2116"/>
    <w:p w14:paraId="49B6F580" w14:textId="34215F77" w:rsidR="009D0B99" w:rsidRDefault="009D0B99" w:rsidP="00453F14">
      <w:pPr>
        <w:pStyle w:val="Heading3"/>
        <w:numPr>
          <w:ilvl w:val="2"/>
          <w:numId w:val="48"/>
        </w:numPr>
      </w:pPr>
      <w:bookmarkStart w:id="213" w:name="_Toc13771267"/>
      <w:bookmarkStart w:id="214" w:name="_Toc14101560"/>
      <w:bookmarkStart w:id="215" w:name="_Toc13771268"/>
      <w:bookmarkStart w:id="216" w:name="_Toc14101561"/>
      <w:bookmarkStart w:id="217" w:name="_Toc13771269"/>
      <w:bookmarkStart w:id="218" w:name="_Toc14101562"/>
      <w:bookmarkStart w:id="219" w:name="_Toc13771270"/>
      <w:bookmarkStart w:id="220" w:name="_Toc14101563"/>
      <w:bookmarkStart w:id="221" w:name="_Toc13771271"/>
      <w:bookmarkStart w:id="222" w:name="_Toc14101564"/>
      <w:bookmarkStart w:id="223" w:name="_Toc13771272"/>
      <w:bookmarkStart w:id="224" w:name="_Toc14101565"/>
      <w:bookmarkStart w:id="225" w:name="_Toc13771274"/>
      <w:bookmarkStart w:id="226" w:name="_Toc14101567"/>
      <w:bookmarkStart w:id="227" w:name="_Toc13771275"/>
      <w:bookmarkStart w:id="228" w:name="_Toc14101568"/>
      <w:bookmarkStart w:id="229" w:name="_Toc13771277"/>
      <w:bookmarkStart w:id="230" w:name="_Toc14101570"/>
      <w:bookmarkStart w:id="231" w:name="_Toc13771278"/>
      <w:bookmarkStart w:id="232" w:name="_Toc14101571"/>
      <w:bookmarkStart w:id="233" w:name="_Toc13771279"/>
      <w:bookmarkStart w:id="234" w:name="_Toc14101572"/>
      <w:bookmarkStart w:id="235" w:name="_Toc13771280"/>
      <w:bookmarkStart w:id="236" w:name="_Toc14101573"/>
      <w:bookmarkStart w:id="237" w:name="_Toc13771281"/>
      <w:bookmarkStart w:id="238" w:name="_Toc14101574"/>
      <w:bookmarkStart w:id="239" w:name="_Toc13771283"/>
      <w:bookmarkStart w:id="240" w:name="_Toc14101576"/>
      <w:bookmarkStart w:id="241" w:name="_Toc13771284"/>
      <w:bookmarkStart w:id="242" w:name="_Toc14101577"/>
      <w:bookmarkStart w:id="243" w:name="_Toc13771286"/>
      <w:bookmarkStart w:id="244" w:name="_Toc14101579"/>
      <w:bookmarkStart w:id="245" w:name="_Toc15657964"/>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0A7D16">
        <w:t>Section 3.3.3 – ECM Circulating Fan</w:t>
      </w:r>
      <w:r w:rsidRPr="000A7D16">
        <w:rPr>
          <w:rStyle w:val="FootnoteReference"/>
        </w:rPr>
        <w:footnoteReference w:id="75"/>
      </w:r>
      <w:bookmarkEnd w:id="245"/>
    </w:p>
    <w:p w14:paraId="38358828" w14:textId="245F3E2C" w:rsidR="00D5506C" w:rsidRPr="00523C38" w:rsidRDefault="00D5506C" w:rsidP="00AA2116">
      <w:r w:rsidRPr="00523C38">
        <w:t>The Commission did not propose changes to this protocol</w:t>
      </w:r>
      <w:r>
        <w:t xml:space="preserve"> regarding eligibility or the expansion of the savings algorithms</w:t>
      </w:r>
      <w:r w:rsidRPr="00523C38">
        <w:t>.  However, comments were received and are addressed below.</w:t>
      </w:r>
    </w:p>
    <w:p w14:paraId="618DDB9F" w14:textId="77777777" w:rsidR="00101449" w:rsidRPr="001062F9" w:rsidRDefault="00101449" w:rsidP="00453F14">
      <w:pPr>
        <w:pStyle w:val="Heading4"/>
        <w:numPr>
          <w:ilvl w:val="3"/>
          <w:numId w:val="48"/>
        </w:numPr>
      </w:pPr>
      <w:r w:rsidRPr="5E5BD5E0">
        <w:t>Comments</w:t>
      </w:r>
    </w:p>
    <w:p w14:paraId="57E2A1D0" w14:textId="29AB09D6" w:rsidR="2E88F06F" w:rsidRDefault="2E88F06F" w:rsidP="0061674E">
      <w:r w:rsidRPr="2E88F06F">
        <w:t xml:space="preserve">Franklin Energy </w:t>
      </w:r>
      <w:r w:rsidR="001550C3" w:rsidRPr="2E88F06F">
        <w:t>ask</w:t>
      </w:r>
      <w:r w:rsidR="001550C3">
        <w:t>s</w:t>
      </w:r>
      <w:r w:rsidR="001550C3" w:rsidRPr="2E88F06F">
        <w:t xml:space="preserve"> </w:t>
      </w:r>
      <w:r w:rsidRPr="2E88F06F">
        <w:t>whether this measure applie</w:t>
      </w:r>
      <w:r w:rsidR="004D074B">
        <w:t>s</w:t>
      </w:r>
      <w:r w:rsidRPr="2E88F06F">
        <w:t xml:space="preserve"> to exhaust fans.  Franklin Energy also </w:t>
      </w:r>
      <w:r w:rsidR="001550C3" w:rsidRPr="2E88F06F">
        <w:t>comment</w:t>
      </w:r>
      <w:r w:rsidR="001550C3">
        <w:t>s</w:t>
      </w:r>
      <w:r w:rsidR="001550C3" w:rsidRPr="2E88F06F">
        <w:t xml:space="preserve"> </w:t>
      </w:r>
      <w:r w:rsidRPr="2E88F06F">
        <w:t>that some air handling units provide ventilation air outside of space conditioning requirements, such as in the case of hospital fan coil units that may introduce fresh air as required by building codes.  Franklin Energy Comments at 344 and 345.</w:t>
      </w:r>
    </w:p>
    <w:p w14:paraId="0AEF3429" w14:textId="77777777" w:rsidR="00101449" w:rsidRPr="001062F9" w:rsidRDefault="00101449" w:rsidP="00453F14">
      <w:pPr>
        <w:pStyle w:val="Heading4"/>
        <w:numPr>
          <w:ilvl w:val="3"/>
          <w:numId w:val="48"/>
        </w:numPr>
      </w:pPr>
      <w:r w:rsidRPr="59EA912B">
        <w:t>Disposition</w:t>
      </w:r>
    </w:p>
    <w:p w14:paraId="74A0A3E8" w14:textId="42E38E30" w:rsidR="2E88F06F" w:rsidRDefault="004D074B" w:rsidP="00AA2116">
      <w:r>
        <w:t>In response to Franklin Energy’s inquiry, the Commission notes that t</w:t>
      </w:r>
      <w:r w:rsidR="2E88F06F" w:rsidRPr="2E88F06F">
        <w:t xml:space="preserve">he measure does not apply to exhaust fans.  The Commission agrees </w:t>
      </w:r>
      <w:r>
        <w:t xml:space="preserve">with Franklin Energy </w:t>
      </w:r>
      <w:r w:rsidR="2E88F06F" w:rsidRPr="2E88F06F">
        <w:t xml:space="preserve">that circulating fans providing ventilation air should be included in this measure.  Therefore, the Commission </w:t>
      </w:r>
      <w:r w:rsidR="00B15F3F">
        <w:t xml:space="preserve">has </w:t>
      </w:r>
      <w:r w:rsidR="2E88F06F" w:rsidRPr="2E88F06F">
        <w:t>added additional algorithms for fans providing ventilation but did not define default hours of operation for ventilation.  EDCs claiming savings for a fan in ventilation-only mode must determine the appropriate hours of operation for that mode.</w:t>
      </w:r>
    </w:p>
    <w:p w14:paraId="2ED2AB9E" w14:textId="77777777" w:rsidR="00C50AC5" w:rsidRDefault="00C50AC5" w:rsidP="00AA2116"/>
    <w:p w14:paraId="5652DE2B" w14:textId="77777777" w:rsidR="009D0B99" w:rsidRPr="000A7D16" w:rsidRDefault="009D0B99" w:rsidP="00453F14">
      <w:pPr>
        <w:pStyle w:val="Heading3"/>
        <w:numPr>
          <w:ilvl w:val="2"/>
          <w:numId w:val="48"/>
        </w:numPr>
      </w:pPr>
      <w:bookmarkStart w:id="246" w:name="_Toc15657965"/>
      <w:r w:rsidRPr="000A7D16">
        <w:t>Section 3.3.4 – VSD on Kitchen Exhaust Fan</w:t>
      </w:r>
      <w:r w:rsidRPr="000A7D16">
        <w:rPr>
          <w:rStyle w:val="FootnoteReference"/>
        </w:rPr>
        <w:footnoteReference w:id="76"/>
      </w:r>
      <w:bookmarkEnd w:id="246"/>
    </w:p>
    <w:p w14:paraId="662D628B" w14:textId="507935D8" w:rsidR="009D0B99" w:rsidRDefault="009D0B99" w:rsidP="00AA2116">
      <w:r w:rsidRPr="00E72A61">
        <w:t xml:space="preserve">The Commission </w:t>
      </w:r>
      <w:r w:rsidR="00621A66" w:rsidRPr="00E72A61">
        <w:t>propose</w:t>
      </w:r>
      <w:r w:rsidR="00621A66">
        <w:t>d</w:t>
      </w:r>
      <w:r w:rsidR="00621A66" w:rsidRPr="00E72A61">
        <w:t xml:space="preserve"> </w:t>
      </w:r>
      <w:r w:rsidR="00621A66">
        <w:t>revising</w:t>
      </w:r>
      <w:r w:rsidRPr="00E72A61">
        <w:t xml:space="preserve"> the energy savings and peak demand savings per total exhaust fan horsepower for this measure</w:t>
      </w:r>
      <w:r w:rsidR="00A0651F">
        <w:t xml:space="preserve">.  </w:t>
      </w:r>
      <w:r w:rsidRPr="00E72A61">
        <w:t xml:space="preserve">The 2016 TRM incorporates values taken directly from a </w:t>
      </w:r>
      <w:r w:rsidR="00E84B08">
        <w:t>Pacific Gas &amp; Electric (</w:t>
      </w:r>
      <w:r w:rsidRPr="00E72A61">
        <w:t>PG&amp;E</w:t>
      </w:r>
      <w:r w:rsidR="00E84B08">
        <w:t>)</w:t>
      </w:r>
      <w:r w:rsidRPr="00E72A61">
        <w:t xml:space="preserve"> work paper</w:t>
      </w:r>
      <w:r w:rsidR="00CC49D2">
        <w:t>,</w:t>
      </w:r>
      <w:r w:rsidRPr="00E72A61">
        <w:t xml:space="preserve"> which has since been </w:t>
      </w:r>
      <w:r w:rsidRPr="00E72A61">
        <w:lastRenderedPageBreak/>
        <w:t>updated and now incorporates reduced per unit savings values</w:t>
      </w:r>
      <w:r w:rsidR="00A0651F">
        <w:t xml:space="preserve">.  </w:t>
      </w:r>
      <w:r w:rsidRPr="00E72A61">
        <w:t xml:space="preserve">The Commission </w:t>
      </w:r>
      <w:r w:rsidR="00C54AA5">
        <w:t xml:space="preserve">proposed </w:t>
      </w:r>
      <w:r w:rsidRPr="00E72A61">
        <w:t>updat</w:t>
      </w:r>
      <w:r w:rsidR="00C54AA5">
        <w:t>ing</w:t>
      </w:r>
      <w:r w:rsidRPr="00E72A61">
        <w:t xml:space="preserve"> the TRM, reducing energy savings to 4,423 kWh per exhaust fan horsepower, a 1% reduction</w:t>
      </w:r>
      <w:r w:rsidR="00A0651F">
        <w:t xml:space="preserve">.  </w:t>
      </w:r>
      <w:r w:rsidRPr="00E72A61">
        <w:t xml:space="preserve">The Commission also </w:t>
      </w:r>
      <w:r w:rsidR="00C54AA5" w:rsidRPr="00E72A61">
        <w:t>propose</w:t>
      </w:r>
      <w:r w:rsidR="00C54AA5">
        <w:t>d</w:t>
      </w:r>
      <w:r w:rsidR="00C54AA5" w:rsidRPr="00E72A61">
        <w:t xml:space="preserve"> </w:t>
      </w:r>
      <w:r w:rsidR="00DE109C">
        <w:t>reducing</w:t>
      </w:r>
      <w:r w:rsidRPr="00E72A61">
        <w:t xml:space="preserve"> the coincident peak demand savings to 0.55 kW per exhaust fan horsepower, a 27% reduction.</w:t>
      </w:r>
    </w:p>
    <w:p w14:paraId="0163C236" w14:textId="77777777" w:rsidR="001214E9" w:rsidRDefault="001214E9" w:rsidP="00AA2116"/>
    <w:p w14:paraId="404AE220" w14:textId="77777777" w:rsidR="008C1D28" w:rsidRPr="001062F9" w:rsidRDefault="008C1D28" w:rsidP="00453F14">
      <w:pPr>
        <w:pStyle w:val="Heading4"/>
        <w:numPr>
          <w:ilvl w:val="3"/>
          <w:numId w:val="48"/>
        </w:numPr>
      </w:pPr>
      <w:r w:rsidRPr="421E2C7C">
        <w:t>Comments</w:t>
      </w:r>
    </w:p>
    <w:p w14:paraId="768CA0EE" w14:textId="12067178" w:rsidR="6C95303B" w:rsidRDefault="002147CB" w:rsidP="00AA2116">
      <w:r>
        <w:t>FirstEnergy</w:t>
      </w:r>
      <w:r w:rsidR="6C95303B" w:rsidRPr="6C95303B">
        <w:t xml:space="preserve"> </w:t>
      </w:r>
      <w:r w:rsidR="00DE109C" w:rsidRPr="6C95303B">
        <w:t>comment</w:t>
      </w:r>
      <w:r w:rsidR="00DE109C">
        <w:t>s</w:t>
      </w:r>
      <w:r w:rsidR="00DE109C" w:rsidRPr="6C95303B">
        <w:t xml:space="preserve"> </w:t>
      </w:r>
      <w:r w:rsidR="6C95303B" w:rsidRPr="6C95303B">
        <w:t xml:space="preserve">that the New Construction Measure Vintage was missing. </w:t>
      </w:r>
      <w:r w:rsidR="004D074B">
        <w:t xml:space="preserve"> </w:t>
      </w:r>
      <w:r>
        <w:t>FirstEnergy</w:t>
      </w:r>
      <w:r w:rsidR="6C95303B" w:rsidRPr="6C95303B">
        <w:t xml:space="preserve"> Comments at 9.</w:t>
      </w:r>
    </w:p>
    <w:p w14:paraId="1C3BB268" w14:textId="77777777" w:rsidR="007D061D" w:rsidRDefault="007D061D" w:rsidP="00AA2116"/>
    <w:p w14:paraId="689BB9F7" w14:textId="77777777" w:rsidR="008C1D28" w:rsidRPr="001062F9" w:rsidRDefault="008C1D28" w:rsidP="00453F14">
      <w:pPr>
        <w:pStyle w:val="Heading4"/>
        <w:numPr>
          <w:ilvl w:val="3"/>
          <w:numId w:val="48"/>
        </w:numPr>
      </w:pPr>
      <w:r w:rsidRPr="421E2C7C">
        <w:t>Disposition</w:t>
      </w:r>
    </w:p>
    <w:p w14:paraId="1481409B" w14:textId="747AE698" w:rsidR="6C95303B" w:rsidRDefault="6C95303B" w:rsidP="00AA2116">
      <w:r w:rsidRPr="6C95303B">
        <w:t xml:space="preserve">The Commission </w:t>
      </w:r>
      <w:r w:rsidR="009E0030">
        <w:rPr>
          <w:szCs w:val="26"/>
        </w:rPr>
        <w:t>agrees with FirstEnergy’s suggestion and has</w:t>
      </w:r>
      <w:r w:rsidR="009E0030" w:rsidRPr="6C95303B">
        <w:rPr>
          <w:szCs w:val="26"/>
        </w:rPr>
        <w:t xml:space="preserve"> </w:t>
      </w:r>
      <w:r w:rsidR="009E0030">
        <w:rPr>
          <w:szCs w:val="26"/>
        </w:rPr>
        <w:t xml:space="preserve">added </w:t>
      </w:r>
      <w:r w:rsidRPr="6C95303B">
        <w:t>New Construction to the list of eligible Measure Vintages.</w:t>
      </w:r>
    </w:p>
    <w:p w14:paraId="29ED544C" w14:textId="77777777" w:rsidR="00BA3FB4" w:rsidRDefault="00BA3FB4" w:rsidP="00AA2116"/>
    <w:p w14:paraId="3D86ED85" w14:textId="270525CD" w:rsidR="00F959E7" w:rsidRDefault="17C9E5F3" w:rsidP="00453F14">
      <w:pPr>
        <w:pStyle w:val="Heading3"/>
        <w:numPr>
          <w:ilvl w:val="2"/>
          <w:numId w:val="48"/>
        </w:numPr>
      </w:pPr>
      <w:bookmarkStart w:id="247" w:name="_Toc14686893"/>
      <w:bookmarkStart w:id="248" w:name="_Toc14687040"/>
      <w:bookmarkStart w:id="249" w:name="_Toc14687187"/>
      <w:bookmarkStart w:id="250" w:name="_Toc15657966"/>
      <w:bookmarkEnd w:id="247"/>
      <w:bookmarkEnd w:id="248"/>
      <w:bookmarkEnd w:id="249"/>
      <w:r>
        <w:t>Section 3.4.1 – Heat Pump Water Heaters</w:t>
      </w:r>
      <w:r w:rsidR="00200D34">
        <w:rPr>
          <w:rStyle w:val="FootnoteReference"/>
        </w:rPr>
        <w:footnoteReference w:id="77"/>
      </w:r>
      <w:bookmarkEnd w:id="250"/>
    </w:p>
    <w:p w14:paraId="06571B2D" w14:textId="541F2C09" w:rsidR="00F959E7" w:rsidRDefault="5826BB76" w:rsidP="00453F14">
      <w:pPr>
        <w:pStyle w:val="Heading4"/>
        <w:numPr>
          <w:ilvl w:val="3"/>
          <w:numId w:val="48"/>
        </w:numPr>
      </w:pPr>
      <w:r>
        <w:t xml:space="preserve">Load Shapes </w:t>
      </w:r>
    </w:p>
    <w:p w14:paraId="57724610" w14:textId="630EA09E" w:rsidR="007746A4" w:rsidRDefault="007746A4" w:rsidP="00AA2116">
      <w:r w:rsidRPr="007746A4">
        <w:t>The Commission propose</w:t>
      </w:r>
      <w:r w:rsidR="00FC34E5">
        <w:t>d</w:t>
      </w:r>
      <w:r w:rsidRPr="007746A4">
        <w:t xml:space="preserve"> to update the load shapes for the entire Water Heating section</w:t>
      </w:r>
      <w:r w:rsidR="00A0651F" w:rsidRPr="3FA6411C">
        <w:t xml:space="preserve">.  </w:t>
      </w:r>
      <w:r w:rsidRPr="007746A4">
        <w:t>Proposed load shapes are created from building-type specific daily load schedules provided by t</w:t>
      </w:r>
      <w:r w:rsidR="00011B51">
        <w:t xml:space="preserve">he U.S. </w:t>
      </w:r>
      <w:r w:rsidR="0076745E">
        <w:t>DOE</w:t>
      </w:r>
      <w:r w:rsidR="00011B51">
        <w:t xml:space="preserve">’s </w:t>
      </w:r>
      <w:r w:rsidRPr="000563AA">
        <w:rPr>
          <w:i/>
          <w:iCs/>
        </w:rPr>
        <w:t>Technical Support Document: Energy Efficiency Program for Consumer Products and Commercial and Industrial Equipment: Commercial Water Heating Equipment</w:t>
      </w:r>
      <w:r w:rsidR="00A0651F" w:rsidRPr="3FA6411C">
        <w:t>.</w:t>
      </w:r>
      <w:r w:rsidR="008420B6">
        <w:rPr>
          <w:rStyle w:val="FootnoteReference"/>
        </w:rPr>
        <w:footnoteReference w:id="78"/>
      </w:r>
      <w:r w:rsidR="00A0651F" w:rsidRPr="3FA6411C">
        <w:t xml:space="preserve">  </w:t>
      </w:r>
      <w:r w:rsidR="00DA38C1">
        <w:t xml:space="preserve">From these load shapes, new Energy to Demand Factors are created based on </w:t>
      </w:r>
      <w:r w:rsidR="002439A9">
        <w:t>the Act 129 peak demand definition</w:t>
      </w:r>
      <w:r w:rsidR="00A0651F" w:rsidRPr="3FA6411C">
        <w:t xml:space="preserve">.  </w:t>
      </w:r>
    </w:p>
    <w:p w14:paraId="4334AD88" w14:textId="77777777" w:rsidR="00C50AC5" w:rsidRDefault="00C50AC5" w:rsidP="00AA2116"/>
    <w:p w14:paraId="304DAF6A" w14:textId="77777777" w:rsidR="005433C2" w:rsidRPr="00CA5DBB" w:rsidRDefault="005433C2" w:rsidP="00453F14">
      <w:pPr>
        <w:pStyle w:val="Heading5"/>
        <w:numPr>
          <w:ilvl w:val="4"/>
          <w:numId w:val="49"/>
        </w:numPr>
      </w:pPr>
      <w:r w:rsidRPr="5E5BD5E0">
        <w:t>Comments</w:t>
      </w:r>
    </w:p>
    <w:p w14:paraId="560D3EC9" w14:textId="3D71B11F" w:rsidR="008C1D28" w:rsidRDefault="002147CB" w:rsidP="00AA2116">
      <w:r>
        <w:t>FirstEnergy</w:t>
      </w:r>
      <w:r w:rsidR="00A65EA3">
        <w:t xml:space="preserve"> request</w:t>
      </w:r>
      <w:r w:rsidR="007A2804">
        <w:t>s</w:t>
      </w:r>
      <w:r w:rsidR="00A65EA3">
        <w:t xml:space="preserve"> the inclusion of units for the ETDF values in Table 3-83</w:t>
      </w:r>
      <w:r w:rsidR="001654E2">
        <w:t xml:space="preserve">.  </w:t>
      </w:r>
      <w:r>
        <w:t>FirstEnergy</w:t>
      </w:r>
      <w:r w:rsidR="00A65EA3">
        <w:t xml:space="preserve"> </w:t>
      </w:r>
      <w:r w:rsidR="005A5F30">
        <w:t>C</w:t>
      </w:r>
      <w:r w:rsidR="00A65EA3">
        <w:t>omments at 6.</w:t>
      </w:r>
    </w:p>
    <w:p w14:paraId="552E9017" w14:textId="77777777" w:rsidR="008C1D28" w:rsidRDefault="008C1D28" w:rsidP="00AA2116"/>
    <w:p w14:paraId="70DBD924" w14:textId="77777777" w:rsidR="005433C2" w:rsidRPr="00CA5DBB" w:rsidRDefault="005433C2" w:rsidP="00453F14">
      <w:pPr>
        <w:pStyle w:val="Heading5"/>
        <w:numPr>
          <w:ilvl w:val="4"/>
          <w:numId w:val="49"/>
        </w:numPr>
      </w:pPr>
      <w:r>
        <w:lastRenderedPageBreak/>
        <w:t xml:space="preserve">Disposition   </w:t>
      </w:r>
    </w:p>
    <w:p w14:paraId="1065B677" w14:textId="4DA4B612" w:rsidR="008C1D28" w:rsidRDefault="004D074B" w:rsidP="00AA2116">
      <w:r>
        <w:t xml:space="preserve">In response to FirstEnergy’s comment, the Commission notes that </w:t>
      </w:r>
      <w:r w:rsidR="00A65EA3">
        <w:t xml:space="preserve">ETDF values are described in Table 3-85 as unitless.  This assumption is carried throughout the </w:t>
      </w:r>
      <w:r w:rsidR="00906B90">
        <w:t xml:space="preserve">manual </w:t>
      </w:r>
      <w:r w:rsidR="00A65EA3">
        <w:t>and can explain the absence of units in Table 3-83.</w:t>
      </w:r>
    </w:p>
    <w:p w14:paraId="05A3607F" w14:textId="77777777" w:rsidR="001214E9" w:rsidRDefault="001214E9" w:rsidP="00AA2116"/>
    <w:p w14:paraId="088ED9B2" w14:textId="3AEFAE99" w:rsidR="00C77B26" w:rsidRDefault="5826BB76" w:rsidP="00453F14">
      <w:pPr>
        <w:pStyle w:val="Heading4"/>
        <w:numPr>
          <w:ilvl w:val="3"/>
          <w:numId w:val="49"/>
        </w:numPr>
      </w:pPr>
      <w:r>
        <w:t>Unknown Installation Location</w:t>
      </w:r>
    </w:p>
    <w:p w14:paraId="626A9D50" w14:textId="6F1A3E82" w:rsidR="00C77B26" w:rsidRDefault="00C77B26" w:rsidP="00AA2116">
      <w:r w:rsidRPr="00C77B26">
        <w:t>The Commission propose</w:t>
      </w:r>
      <w:r w:rsidR="00FC34E5">
        <w:t>d</w:t>
      </w:r>
      <w:r w:rsidRPr="00C77B26">
        <w:t xml:space="preserve"> to provide an option for savings calculations when </w:t>
      </w:r>
      <w:r>
        <w:t xml:space="preserve">water heater </w:t>
      </w:r>
      <w:r w:rsidRPr="00C77B26">
        <w:t>ins</w:t>
      </w:r>
      <w:r>
        <w:t>tallation location is unknown</w:t>
      </w:r>
      <w:r w:rsidR="00A0651F">
        <w:t xml:space="preserve">.  </w:t>
      </w:r>
      <w:r w:rsidR="00FE1202" w:rsidRPr="00173402">
        <w:t>The Commission</w:t>
      </w:r>
      <w:r w:rsidRPr="00173402">
        <w:t xml:space="preserve"> </w:t>
      </w:r>
      <w:r w:rsidR="00FC34E5" w:rsidRPr="00173402">
        <w:t>provided</w:t>
      </w:r>
      <w:r w:rsidRPr="00173402">
        <w:t xml:space="preserve"> default savings values for the unknown installation and allow</w:t>
      </w:r>
      <w:r w:rsidR="00173402">
        <w:t>ed</w:t>
      </w:r>
      <w:r w:rsidRPr="00173402">
        <w:t xml:space="preserve"> the EDCs to calculate the building-type and install-location specific values when relevant</w:t>
      </w:r>
      <w:r w:rsidR="00A0651F" w:rsidRPr="00173402">
        <w:t>.</w:t>
      </w:r>
      <w:r w:rsidR="00A0651F">
        <w:t xml:space="preserve">  </w:t>
      </w:r>
    </w:p>
    <w:p w14:paraId="2611AAE9" w14:textId="77777777" w:rsidR="008C1D28" w:rsidRDefault="008C1D28" w:rsidP="00AA2116"/>
    <w:p w14:paraId="0ED67614" w14:textId="7D122D06" w:rsidR="008C1D28" w:rsidRPr="005433C2" w:rsidRDefault="005433C2" w:rsidP="00453F14">
      <w:pPr>
        <w:pStyle w:val="Heading5"/>
        <w:numPr>
          <w:ilvl w:val="4"/>
          <w:numId w:val="49"/>
        </w:numPr>
      </w:pPr>
      <w:r w:rsidRPr="00901790">
        <w:t>Comments</w:t>
      </w:r>
      <w:r>
        <w:t xml:space="preserve"> </w:t>
      </w:r>
    </w:p>
    <w:p w14:paraId="547C910A" w14:textId="2447D966" w:rsidR="008C1D28" w:rsidRDefault="00A65EA3" w:rsidP="00AA2116">
      <w:r>
        <w:t xml:space="preserve">PECO </w:t>
      </w:r>
      <w:r w:rsidR="006C64CC">
        <w:t xml:space="preserve">requests </w:t>
      </w:r>
      <w:r>
        <w:t>clarity in the derivation of the default energy savings.  There is a drastic distinction between large and small default savings</w:t>
      </w:r>
      <w:r w:rsidR="006C64CC">
        <w:t>,</w:t>
      </w:r>
      <w:r>
        <w:t xml:space="preserve"> and the company </w:t>
      </w:r>
      <w:r w:rsidR="006C64CC">
        <w:t xml:space="preserve">wants </w:t>
      </w:r>
      <w:r>
        <w:t>further explanation.  PECO Comments at 5.</w:t>
      </w:r>
    </w:p>
    <w:p w14:paraId="49D51A2D" w14:textId="77777777" w:rsidR="008C1D28" w:rsidRDefault="008C1D28" w:rsidP="00AA2116"/>
    <w:p w14:paraId="0F5A1F9F" w14:textId="5B804EC1" w:rsidR="008C1D28" w:rsidRPr="005433C2" w:rsidRDefault="005433C2" w:rsidP="00453F14">
      <w:pPr>
        <w:pStyle w:val="Heading5"/>
        <w:numPr>
          <w:ilvl w:val="4"/>
          <w:numId w:val="49"/>
        </w:numPr>
      </w:pPr>
      <w:r>
        <w:t xml:space="preserve">Disposition  </w:t>
      </w:r>
    </w:p>
    <w:p w14:paraId="4164D6BF" w14:textId="04FCDF10" w:rsidR="00A65EA3" w:rsidRPr="004843C5" w:rsidRDefault="00DE615A" w:rsidP="00AA2116">
      <w:r>
        <w:t>In response to PECO’s request, the Commission notes that the default energy savings are calculated by plugging default values into the savings algorithms.  D</w:t>
      </w:r>
      <w:r w:rsidR="00A65EA3">
        <w:t>efault values for each component of the algorithm</w:t>
      </w:r>
      <w:r>
        <w:t>s are provided</w:t>
      </w:r>
      <w:r w:rsidR="00A65EA3">
        <w:t xml:space="preserve"> in the case that details are unknown.  These input values are provided in Tables 3-83, 3-84, 3-85, and the text above Table 3-87.  Entering default values into the first equation will provide the values denoted in </w:t>
      </w:r>
      <w:r w:rsidR="009C7DE3">
        <w:t>T</w:t>
      </w:r>
      <w:r w:rsidR="00A65EA3">
        <w:t xml:space="preserve">able 3-87.  Since the default information is available to the user for calculations, we do not include this in the text.  However, in order to provide clarity, </w:t>
      </w:r>
      <w:r w:rsidR="000A5BCD">
        <w:t xml:space="preserve">we have provided </w:t>
      </w:r>
      <w:r w:rsidR="00C9698F">
        <w:t>the calculations</w:t>
      </w:r>
      <w:r w:rsidR="00A65EA3">
        <w:t xml:space="preserve"> </w:t>
      </w:r>
      <w:r w:rsidR="009C7DE3">
        <w:t xml:space="preserve">below </w:t>
      </w:r>
      <w:r w:rsidR="00A65EA3">
        <w:t xml:space="preserve">for large and small default units.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7775"/>
      </w:tblGrid>
      <w:tr w:rsidR="00A65EA3" w:rsidRPr="00382280" w14:paraId="7A2227B2" w14:textId="77777777" w:rsidTr="00A65EA3">
        <w:trPr>
          <w:trHeight w:val="1224"/>
        </w:trPr>
        <w:tc>
          <w:tcPr>
            <w:tcW w:w="1576" w:type="dxa"/>
            <w:vAlign w:val="center"/>
          </w:tcPr>
          <w:p w14:paraId="548F2278" w14:textId="77777777" w:rsidR="00A65EA3" w:rsidRPr="00382280" w:rsidRDefault="001E7E48" w:rsidP="00AA2116">
            <w:pPr>
              <w:pStyle w:val="TableCell"/>
            </w:pPr>
            <m:oMathPara>
              <m:oMathParaPr>
                <m:jc m:val="left"/>
              </m:oMathParaPr>
              <m:oMath>
                <m:r>
                  <m:rPr>
                    <m:sty m:val="p"/>
                  </m:rPr>
                  <w:rPr>
                    <w:rFonts w:ascii="Cambria Math" w:hAnsi="Cambria Math"/>
                  </w:rPr>
                  <w:lastRenderedPageBreak/>
                  <m:t>D</m:t>
                </m:r>
                <m:r>
                  <w:rPr>
                    <w:rFonts w:ascii="Cambria Math" w:hAnsi="Cambria Math"/>
                  </w:rPr>
                  <m:t>kWh</m:t>
                </m:r>
              </m:oMath>
            </m:oMathPara>
          </w:p>
        </w:tc>
        <w:tc>
          <w:tcPr>
            <w:tcW w:w="7774" w:type="dxa"/>
            <w:vAlign w:val="center"/>
          </w:tcPr>
          <w:p w14:paraId="122A4192" w14:textId="77777777" w:rsidR="00A65EA3" w:rsidRPr="00382280" w:rsidRDefault="00A65EA3" w:rsidP="00AA2116">
            <w:pPr>
              <w:pStyle w:val="TableCell"/>
            </w:pPr>
            <m:oMathPara>
              <m:oMathParaPr>
                <m:jc m:val="left"/>
              </m:oMathParaPr>
              <m:oMath>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UEF</m:t>
                                    </m:r>
                                  </m:e>
                                  <m:sub>
                                    <m:r>
                                      <w:rPr>
                                        <w:rFonts w:ascii="Cambria Math" w:hAnsi="Cambria Math"/>
                                      </w:rPr>
                                      <m:t>base</m:t>
                                    </m:r>
                                  </m:sub>
                                </m:sSub>
                              </m:den>
                            </m:f>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UEF</m:t>
                                        </m:r>
                                      </m:e>
                                      <m:sub>
                                        <m:r>
                                          <w:rPr>
                                            <w:rFonts w:ascii="Cambria Math" w:hAnsi="Cambria Math"/>
                                          </w:rPr>
                                          <m:t>proposed</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F</m:t>
                                        </m:r>
                                      </m:e>
                                      <m:sub>
                                        <m:r>
                                          <w:rPr>
                                            <w:rFonts w:ascii="Cambria Math" w:hAnsi="Cambria Math"/>
                                          </w:rPr>
                                          <m:t>adjust</m:t>
                                        </m:r>
                                      </m:sub>
                                    </m:sSub>
                                  </m:den>
                                </m:f>
                              </m:e>
                            </m:d>
                          </m:e>
                        </m:d>
                        <m:r>
                          <m:rPr>
                            <m:sty m:val="p"/>
                          </m:rPr>
                          <w:rPr>
                            <w:rFonts w:ascii="Cambria Math" w:hAnsi="Cambria Math"/>
                          </w:rPr>
                          <m:t>×</m:t>
                        </m:r>
                        <m:r>
                          <w:rPr>
                            <w:rFonts w:ascii="Cambria Math" w:hAnsi="Cambria Math"/>
                          </w:rPr>
                          <m:t>GPY</m:t>
                        </m:r>
                        <m:r>
                          <m:rPr>
                            <m:sty m:val="p"/>
                          </m:rPr>
                          <w:rPr>
                            <w:rFonts w:ascii="Cambria Math" w:hAnsi="Cambria Math"/>
                          </w:rPr>
                          <m:t> × 8.3 </m:t>
                        </m:r>
                        <m:f>
                          <m:fPr>
                            <m:ctrlPr>
                              <w:rPr>
                                <w:rFonts w:ascii="Cambria Math" w:hAnsi="Cambria Math"/>
                              </w:rPr>
                            </m:ctrlPr>
                          </m:fPr>
                          <m:num>
                            <m:r>
                              <w:rPr>
                                <w:rFonts w:ascii="Cambria Math" w:hAnsi="Cambria Math"/>
                              </w:rPr>
                              <m:t>lb</m:t>
                            </m:r>
                          </m:num>
                          <m:den>
                            <m:r>
                              <w:rPr>
                                <w:rFonts w:ascii="Cambria Math" w:hAnsi="Cambria Math"/>
                              </w:rPr>
                              <m:t>gal</m:t>
                            </m:r>
                          </m:den>
                        </m:f>
                        <m:r>
                          <m:rPr>
                            <m:sty m:val="p"/>
                          </m:rPr>
                          <w:rPr>
                            <w:rFonts w:ascii="Cambria Math" w:hAnsi="Cambria Math"/>
                          </w:rPr>
                          <m:t> × 1.0 </m:t>
                        </m:r>
                        <m:f>
                          <m:fPr>
                            <m:ctrlPr>
                              <w:rPr>
                                <w:rFonts w:ascii="Cambria Math" w:hAnsi="Cambria Math"/>
                              </w:rPr>
                            </m:ctrlPr>
                          </m:fPr>
                          <m:num>
                            <m:r>
                              <w:rPr>
                                <w:rFonts w:ascii="Cambria Math" w:hAnsi="Cambria Math"/>
                              </w:rPr>
                              <m:t>Btu</m:t>
                            </m:r>
                          </m:num>
                          <m:den>
                            <m:r>
                              <w:rPr>
                                <w:rFonts w:ascii="Cambria Math" w:hAnsi="Cambria Math"/>
                              </w:rPr>
                              <m:t>lb</m:t>
                            </m:r>
                            <m:r>
                              <m:rPr>
                                <m:sty m:val="p"/>
                              </m:rPr>
                              <w:rPr>
                                <w:rFonts w:ascii="Cambria Math" w:hAnsi="Cambria Math"/>
                              </w:rPr>
                              <m:t>∙°</m:t>
                            </m:r>
                            <m:r>
                              <w:rPr>
                                <w:rFonts w:ascii="Cambria Math" w:hAnsi="Cambria Math"/>
                              </w:rPr>
                              <m:t>F</m:t>
                            </m:r>
                          </m:den>
                        </m:f>
                        <m:r>
                          <m:rPr>
                            <m:sty m:val="p"/>
                          </m:rP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hot</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cold</m:t>
                            </m:r>
                          </m:sub>
                        </m:sSub>
                        <m:r>
                          <m:rPr>
                            <m:sty m:val="p"/>
                          </m:rPr>
                          <w:rPr>
                            <w:rFonts w:ascii="Cambria Math" w:hAnsi="Cambria Math"/>
                          </w:rPr>
                          <m:t>)</m:t>
                        </m:r>
                      </m:e>
                    </m:d>
                  </m:num>
                  <m:den>
                    <m:r>
                      <m:rPr>
                        <m:sty m:val="p"/>
                      </m:rPr>
                      <w:rPr>
                        <w:rFonts w:ascii="Cambria Math" w:hAnsi="Cambria Math"/>
                      </w:rPr>
                      <m:t>3,412</m:t>
                    </m:r>
                    <m:f>
                      <m:fPr>
                        <m:ctrlPr>
                          <w:rPr>
                            <w:rFonts w:ascii="Cambria Math" w:hAnsi="Cambria Math"/>
                          </w:rPr>
                        </m:ctrlPr>
                      </m:fPr>
                      <m:num>
                        <m:r>
                          <w:rPr>
                            <w:rFonts w:ascii="Cambria Math" w:hAnsi="Cambria Math"/>
                          </w:rPr>
                          <m:t>Btu</m:t>
                        </m:r>
                      </m:num>
                      <m:den>
                        <m:r>
                          <w:rPr>
                            <w:rFonts w:ascii="Cambria Math" w:hAnsi="Cambria Math"/>
                          </w:rPr>
                          <m:t>kWh</m:t>
                        </m:r>
                      </m:den>
                    </m:f>
                  </m:den>
                </m:f>
              </m:oMath>
            </m:oMathPara>
          </w:p>
        </w:tc>
      </w:tr>
      <w:tr w:rsidR="00A65EA3" w:rsidRPr="00382280" w14:paraId="3F49287D" w14:textId="77777777" w:rsidTr="00A65EA3">
        <w:trPr>
          <w:trHeight w:val="1224"/>
        </w:trPr>
        <w:tc>
          <w:tcPr>
            <w:tcW w:w="1577" w:type="dxa"/>
            <w:vAlign w:val="center"/>
          </w:tcPr>
          <w:p w14:paraId="0B59D792" w14:textId="77777777" w:rsidR="00A65EA3" w:rsidRPr="00382280" w:rsidRDefault="001E7E48" w:rsidP="00AA2116">
            <w:pPr>
              <w:pStyle w:val="TableCell"/>
            </w:pPr>
            <m:oMathPara>
              <m:oMathParaPr>
                <m:jc m:val="left"/>
              </m:oMathParaPr>
              <m:oMath>
                <m:r>
                  <m:rPr>
                    <m:sty m:val="p"/>
                  </m:rPr>
                  <w:rPr>
                    <w:rFonts w:ascii="Cambria Math" w:hAnsi="Cambria Math"/>
                  </w:rPr>
                  <m:t>D</m:t>
                </m:r>
                <m:r>
                  <w:rPr>
                    <w:rFonts w:ascii="Cambria Math" w:hAnsi="Cambria Math"/>
                  </w:rPr>
                  <m:t>kW</m:t>
                </m:r>
                <m:sSub>
                  <m:sSubPr>
                    <m:ctrlPr>
                      <w:rPr>
                        <w:rFonts w:ascii="Cambria Math" w:hAnsi="Cambria Math"/>
                      </w:rPr>
                    </m:ctrlPr>
                  </m:sSubPr>
                  <m:e>
                    <m:r>
                      <w:rPr>
                        <w:rFonts w:ascii="Cambria Math" w:hAnsi="Cambria Math"/>
                      </w:rPr>
                      <m:t>h</m:t>
                    </m:r>
                  </m:e>
                  <m:sub>
                    <m:r>
                      <w:rPr>
                        <w:rFonts w:ascii="Cambria Math" w:hAnsi="Cambria Math"/>
                      </w:rPr>
                      <m:t>LargeDefault</m:t>
                    </m:r>
                  </m:sub>
                </m:sSub>
              </m:oMath>
            </m:oMathPara>
          </w:p>
        </w:tc>
        <w:tc>
          <w:tcPr>
            <w:tcW w:w="7783" w:type="dxa"/>
            <w:vAlign w:val="center"/>
          </w:tcPr>
          <w:p w14:paraId="10AFB1EA" w14:textId="77777777" w:rsidR="00A65EA3" w:rsidRPr="00382280" w:rsidRDefault="00A65EA3" w:rsidP="00AA2116">
            <w:pPr>
              <w:pStyle w:val="TableCell"/>
            </w:pPr>
            <m:oMathPara>
              <m:oMathParaPr>
                <m:jc m:val="left"/>
              </m:oMathParaPr>
              <m:oMath>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2.1171-(0.0011*80)</m:t>
                                </m:r>
                              </m:den>
                            </m:f>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2.2</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den>
                                </m:f>
                              </m:e>
                            </m:d>
                          </m:e>
                        </m:d>
                        <m:r>
                          <m:rPr>
                            <m:sty m:val="p"/>
                          </m:rPr>
                          <w:rPr>
                            <w:rFonts w:ascii="Cambria Math" w:hAnsi="Cambria Math"/>
                          </w:rPr>
                          <m:t>×(2.04*4,000) × 8.3 </m:t>
                        </m:r>
                        <m:f>
                          <m:fPr>
                            <m:ctrlPr>
                              <w:rPr>
                                <w:rFonts w:ascii="Cambria Math" w:hAnsi="Cambria Math"/>
                              </w:rPr>
                            </m:ctrlPr>
                          </m:fPr>
                          <m:num>
                            <m:r>
                              <w:rPr>
                                <w:rFonts w:ascii="Cambria Math" w:hAnsi="Cambria Math"/>
                              </w:rPr>
                              <m:t>lb</m:t>
                            </m:r>
                          </m:num>
                          <m:den>
                            <m:r>
                              <w:rPr>
                                <w:rFonts w:ascii="Cambria Math" w:hAnsi="Cambria Math"/>
                              </w:rPr>
                              <m:t>gal</m:t>
                            </m:r>
                          </m:den>
                        </m:f>
                        <m:r>
                          <m:rPr>
                            <m:sty m:val="p"/>
                          </m:rPr>
                          <w:rPr>
                            <w:rFonts w:ascii="Cambria Math" w:hAnsi="Cambria Math"/>
                          </w:rPr>
                          <m:t> × 1.0 </m:t>
                        </m:r>
                        <m:f>
                          <m:fPr>
                            <m:ctrlPr>
                              <w:rPr>
                                <w:rFonts w:ascii="Cambria Math" w:hAnsi="Cambria Math"/>
                              </w:rPr>
                            </m:ctrlPr>
                          </m:fPr>
                          <m:num>
                            <m:r>
                              <w:rPr>
                                <w:rFonts w:ascii="Cambria Math" w:hAnsi="Cambria Math"/>
                              </w:rPr>
                              <m:t>Btu</m:t>
                            </m:r>
                          </m:num>
                          <m:den>
                            <m:r>
                              <w:rPr>
                                <w:rFonts w:ascii="Cambria Math" w:hAnsi="Cambria Math"/>
                              </w:rPr>
                              <m:t>lb</m:t>
                            </m:r>
                            <m:r>
                              <m:rPr>
                                <m:sty m:val="p"/>
                              </m:rPr>
                              <w:rPr>
                                <w:rFonts w:ascii="Cambria Math" w:hAnsi="Cambria Math"/>
                              </w:rPr>
                              <m:t>∙°</m:t>
                            </m:r>
                            <m:r>
                              <w:rPr>
                                <w:rFonts w:ascii="Cambria Math" w:hAnsi="Cambria Math"/>
                              </w:rPr>
                              <m:t>F</m:t>
                            </m:r>
                          </m:den>
                        </m:f>
                        <m:r>
                          <m:rPr>
                            <m:sty m:val="p"/>
                          </m:rPr>
                          <w:rPr>
                            <w:rFonts w:ascii="Cambria Math" w:hAnsi="Cambria Math"/>
                          </w:rPr>
                          <m:t> ×(119-52)</m:t>
                        </m:r>
                      </m:e>
                    </m:d>
                  </m:num>
                  <m:den>
                    <m:r>
                      <m:rPr>
                        <m:sty m:val="p"/>
                      </m:rPr>
                      <w:rPr>
                        <w:rFonts w:ascii="Cambria Math" w:hAnsi="Cambria Math"/>
                      </w:rPr>
                      <m:t>3,412</m:t>
                    </m:r>
                    <m:f>
                      <m:fPr>
                        <m:ctrlPr>
                          <w:rPr>
                            <w:rFonts w:ascii="Cambria Math" w:hAnsi="Cambria Math"/>
                          </w:rPr>
                        </m:ctrlPr>
                      </m:fPr>
                      <m:num>
                        <m:r>
                          <w:rPr>
                            <w:rFonts w:ascii="Cambria Math" w:hAnsi="Cambria Math"/>
                          </w:rPr>
                          <m:t>Btu</m:t>
                        </m:r>
                      </m:num>
                      <m:den>
                        <m:r>
                          <w:rPr>
                            <w:rFonts w:ascii="Cambria Math" w:hAnsi="Cambria Math"/>
                          </w:rPr>
                          <m:t>kWh</m:t>
                        </m:r>
                      </m:den>
                    </m:f>
                  </m:den>
                </m:f>
              </m:oMath>
            </m:oMathPara>
          </w:p>
        </w:tc>
      </w:tr>
      <w:tr w:rsidR="00A65EA3" w:rsidRPr="00382280" w14:paraId="55FBA145" w14:textId="77777777" w:rsidTr="00A65EA3">
        <w:trPr>
          <w:trHeight w:val="576"/>
        </w:trPr>
        <w:tc>
          <w:tcPr>
            <w:tcW w:w="1577" w:type="dxa"/>
            <w:vAlign w:val="center"/>
          </w:tcPr>
          <w:p w14:paraId="74A30C03" w14:textId="77777777" w:rsidR="00A65EA3" w:rsidRPr="00382280" w:rsidRDefault="001E7E48" w:rsidP="00AA2116">
            <w:pPr>
              <w:pStyle w:val="TableCell"/>
            </w:pPr>
            <m:oMathPara>
              <m:oMathParaPr>
                <m:jc m:val="left"/>
              </m:oMathParaPr>
              <m:oMath>
                <m:r>
                  <m:rPr>
                    <m:sty m:val="p"/>
                  </m:rPr>
                  <w:rPr>
                    <w:rFonts w:ascii="Cambria Math" w:hAnsi="Cambria Math"/>
                  </w:rPr>
                  <m:t>D</m:t>
                </m:r>
                <m:r>
                  <w:rPr>
                    <w:rFonts w:ascii="Cambria Math" w:hAnsi="Cambria Math"/>
                  </w:rPr>
                  <m:t>kW</m:t>
                </m:r>
                <m:sSub>
                  <m:sSubPr>
                    <m:ctrlPr>
                      <w:rPr>
                        <w:rFonts w:ascii="Cambria Math" w:hAnsi="Cambria Math"/>
                      </w:rPr>
                    </m:ctrlPr>
                  </m:sSubPr>
                  <m:e>
                    <m:r>
                      <w:rPr>
                        <w:rFonts w:ascii="Cambria Math" w:hAnsi="Cambria Math"/>
                      </w:rPr>
                      <m:t>h</m:t>
                    </m:r>
                  </m:e>
                  <m:sub>
                    <m:r>
                      <w:rPr>
                        <w:rFonts w:ascii="Cambria Math" w:hAnsi="Cambria Math"/>
                      </w:rPr>
                      <m:t>LargeDefault</m:t>
                    </m:r>
                  </m:sub>
                </m:sSub>
              </m:oMath>
            </m:oMathPara>
          </w:p>
        </w:tc>
        <w:tc>
          <w:tcPr>
            <w:tcW w:w="7783" w:type="dxa"/>
            <w:vAlign w:val="center"/>
          </w:tcPr>
          <w:p w14:paraId="2E10CFAB" w14:textId="77777777" w:rsidR="00A65EA3" w:rsidRPr="00937AFE" w:rsidRDefault="00A65EA3" w:rsidP="00AA2116">
            <w:pPr>
              <w:pStyle w:val="TableCell"/>
            </w:pPr>
            <m:oMathPara>
              <m:oMathParaPr>
                <m:jc m:val="left"/>
              </m:oMathParaPr>
              <m:oMath>
                <m:r>
                  <m:rPr>
                    <m:sty m:val="p"/>
                  </m:rPr>
                  <w:rPr>
                    <w:rFonts w:ascii="Cambria Math" w:hAnsi="Cambria Math"/>
                  </w:rPr>
                  <m:t>=50.9154</m:t>
                </m:r>
              </m:oMath>
            </m:oMathPara>
          </w:p>
        </w:tc>
      </w:tr>
      <w:tr w:rsidR="00A65EA3" w:rsidRPr="00382280" w14:paraId="3778ECC6" w14:textId="77777777" w:rsidTr="00A65EA3">
        <w:trPr>
          <w:trHeight w:val="1224"/>
        </w:trPr>
        <w:tc>
          <w:tcPr>
            <w:tcW w:w="1577" w:type="dxa"/>
            <w:vAlign w:val="center"/>
          </w:tcPr>
          <w:p w14:paraId="3166BF37" w14:textId="77777777" w:rsidR="00A65EA3" w:rsidRDefault="001E7E48" w:rsidP="00AA2116">
            <w:pPr>
              <w:pStyle w:val="TableCell"/>
              <w:rPr>
                <w:rFonts w:ascii="Times New Roman" w:hAnsi="Times New Roman"/>
              </w:rPr>
            </w:pPr>
            <m:oMathPara>
              <m:oMath>
                <m:r>
                  <m:rPr>
                    <m:sty m:val="p"/>
                  </m:rPr>
                  <w:rPr>
                    <w:rFonts w:ascii="Cambria Math" w:hAnsi="Cambria Math"/>
                  </w:rPr>
                  <m:t>D</m:t>
                </m:r>
                <m:r>
                  <w:rPr>
                    <w:rFonts w:ascii="Cambria Math" w:hAnsi="Cambria Math"/>
                  </w:rPr>
                  <m:t>kW</m:t>
                </m:r>
                <m:sSub>
                  <m:sSubPr>
                    <m:ctrlPr>
                      <w:rPr>
                        <w:rFonts w:ascii="Cambria Math" w:hAnsi="Cambria Math"/>
                      </w:rPr>
                    </m:ctrlPr>
                  </m:sSubPr>
                  <m:e>
                    <m:r>
                      <w:rPr>
                        <w:rFonts w:ascii="Cambria Math" w:hAnsi="Cambria Math"/>
                      </w:rPr>
                      <m:t>h</m:t>
                    </m:r>
                  </m:e>
                  <m:sub>
                    <m:r>
                      <w:rPr>
                        <w:rFonts w:ascii="Cambria Math" w:hAnsi="Cambria Math"/>
                      </w:rPr>
                      <m:t>SmallDefault</m:t>
                    </m:r>
                  </m:sub>
                </m:sSub>
              </m:oMath>
            </m:oMathPara>
          </w:p>
        </w:tc>
        <w:tc>
          <w:tcPr>
            <w:tcW w:w="7783" w:type="dxa"/>
            <w:vAlign w:val="center"/>
          </w:tcPr>
          <w:p w14:paraId="4DC27114" w14:textId="77777777" w:rsidR="00A65EA3" w:rsidRDefault="00A65EA3" w:rsidP="00AA2116">
            <w:pPr>
              <w:pStyle w:val="TableCell"/>
            </w:pPr>
            <m:oMathPara>
              <m:oMath>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0.9307-(0.0002*40)</m:t>
                                </m:r>
                              </m:den>
                            </m:f>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2.0</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den>
                                </m:f>
                              </m:e>
                            </m:d>
                          </m:e>
                        </m:d>
                        <m:r>
                          <m:rPr>
                            <m:sty m:val="p"/>
                          </m:rPr>
                          <w:rPr>
                            <w:rFonts w:ascii="Cambria Math" w:hAnsi="Cambria Math"/>
                          </w:rPr>
                          <m:t>×(2.04*4,000) × 8.3 </m:t>
                        </m:r>
                        <m:f>
                          <m:fPr>
                            <m:ctrlPr>
                              <w:rPr>
                                <w:rFonts w:ascii="Cambria Math" w:hAnsi="Cambria Math"/>
                              </w:rPr>
                            </m:ctrlPr>
                          </m:fPr>
                          <m:num>
                            <m:r>
                              <w:rPr>
                                <w:rFonts w:ascii="Cambria Math" w:hAnsi="Cambria Math"/>
                              </w:rPr>
                              <m:t>lb</m:t>
                            </m:r>
                          </m:num>
                          <m:den>
                            <m:r>
                              <w:rPr>
                                <w:rFonts w:ascii="Cambria Math" w:hAnsi="Cambria Math"/>
                              </w:rPr>
                              <m:t>gal</m:t>
                            </m:r>
                          </m:den>
                        </m:f>
                        <m:r>
                          <m:rPr>
                            <m:sty m:val="p"/>
                          </m:rPr>
                          <w:rPr>
                            <w:rFonts w:ascii="Cambria Math" w:hAnsi="Cambria Math"/>
                          </w:rPr>
                          <m:t> × 1.0 </m:t>
                        </m:r>
                        <m:f>
                          <m:fPr>
                            <m:ctrlPr>
                              <w:rPr>
                                <w:rFonts w:ascii="Cambria Math" w:hAnsi="Cambria Math"/>
                              </w:rPr>
                            </m:ctrlPr>
                          </m:fPr>
                          <m:num>
                            <m:r>
                              <w:rPr>
                                <w:rFonts w:ascii="Cambria Math" w:hAnsi="Cambria Math"/>
                              </w:rPr>
                              <m:t>Btu</m:t>
                            </m:r>
                          </m:num>
                          <m:den>
                            <m:r>
                              <w:rPr>
                                <w:rFonts w:ascii="Cambria Math" w:hAnsi="Cambria Math"/>
                              </w:rPr>
                              <m:t>lb</m:t>
                            </m:r>
                            <m:r>
                              <m:rPr>
                                <m:sty m:val="p"/>
                              </m:rPr>
                              <w:rPr>
                                <w:rFonts w:ascii="Cambria Math" w:hAnsi="Cambria Math"/>
                              </w:rPr>
                              <m:t>∙°</m:t>
                            </m:r>
                            <m:r>
                              <w:rPr>
                                <w:rFonts w:ascii="Cambria Math" w:hAnsi="Cambria Math"/>
                              </w:rPr>
                              <m:t>F</m:t>
                            </m:r>
                          </m:den>
                        </m:f>
                        <m:r>
                          <m:rPr>
                            <m:sty m:val="p"/>
                          </m:rPr>
                          <w:rPr>
                            <w:rFonts w:ascii="Cambria Math" w:hAnsi="Cambria Math"/>
                          </w:rPr>
                          <m:t> ×(119-52)</m:t>
                        </m:r>
                      </m:e>
                    </m:d>
                  </m:num>
                  <m:den>
                    <m:r>
                      <m:rPr>
                        <m:sty m:val="p"/>
                      </m:rPr>
                      <w:rPr>
                        <w:rFonts w:ascii="Cambria Math" w:hAnsi="Cambria Math"/>
                      </w:rPr>
                      <m:t>3,412</m:t>
                    </m:r>
                    <m:f>
                      <m:fPr>
                        <m:ctrlPr>
                          <w:rPr>
                            <w:rFonts w:ascii="Cambria Math" w:hAnsi="Cambria Math"/>
                          </w:rPr>
                        </m:ctrlPr>
                      </m:fPr>
                      <m:num>
                        <m:r>
                          <w:rPr>
                            <w:rFonts w:ascii="Cambria Math" w:hAnsi="Cambria Math"/>
                          </w:rPr>
                          <m:t>Btu</m:t>
                        </m:r>
                      </m:num>
                      <m:den>
                        <m:r>
                          <w:rPr>
                            <w:rFonts w:ascii="Cambria Math" w:hAnsi="Cambria Math"/>
                          </w:rPr>
                          <m:t>kWh</m:t>
                        </m:r>
                      </m:den>
                    </m:f>
                  </m:den>
                </m:f>
              </m:oMath>
            </m:oMathPara>
          </w:p>
        </w:tc>
      </w:tr>
      <w:tr w:rsidR="00A65EA3" w:rsidRPr="00382280" w14:paraId="7117B42C" w14:textId="77777777" w:rsidTr="00A65EA3">
        <w:trPr>
          <w:trHeight w:val="576"/>
        </w:trPr>
        <w:tc>
          <w:tcPr>
            <w:tcW w:w="1576" w:type="dxa"/>
            <w:vAlign w:val="center"/>
          </w:tcPr>
          <w:p w14:paraId="35203FF9" w14:textId="77777777" w:rsidR="00A65EA3" w:rsidRDefault="001E7E48" w:rsidP="00AA2116">
            <w:pPr>
              <w:pStyle w:val="TableCell"/>
              <w:rPr>
                <w:rFonts w:ascii="Times New Roman" w:hAnsi="Times New Roman"/>
              </w:rPr>
            </w:pPr>
            <m:oMathPara>
              <m:oMath>
                <m:r>
                  <m:rPr>
                    <m:sty m:val="p"/>
                  </m:rPr>
                  <w:rPr>
                    <w:rFonts w:ascii="Cambria Math" w:hAnsi="Cambria Math"/>
                  </w:rPr>
                  <m:t>D</m:t>
                </m:r>
                <m:r>
                  <w:rPr>
                    <w:rFonts w:ascii="Cambria Math" w:hAnsi="Cambria Math"/>
                  </w:rPr>
                  <m:t>kW</m:t>
                </m:r>
                <m:sSub>
                  <m:sSubPr>
                    <m:ctrlPr>
                      <w:rPr>
                        <w:rFonts w:ascii="Cambria Math" w:hAnsi="Cambria Math"/>
                      </w:rPr>
                    </m:ctrlPr>
                  </m:sSubPr>
                  <m:e>
                    <m:r>
                      <w:rPr>
                        <w:rFonts w:ascii="Cambria Math" w:hAnsi="Cambria Math"/>
                      </w:rPr>
                      <m:t>h</m:t>
                    </m:r>
                  </m:e>
                  <m:sub>
                    <m:r>
                      <w:rPr>
                        <w:rFonts w:ascii="Cambria Math" w:hAnsi="Cambria Math"/>
                      </w:rPr>
                      <m:t>SmallDefault</m:t>
                    </m:r>
                  </m:sub>
                </m:sSub>
              </m:oMath>
            </m:oMathPara>
          </w:p>
        </w:tc>
        <w:tc>
          <w:tcPr>
            <w:tcW w:w="7774" w:type="dxa"/>
            <w:vAlign w:val="center"/>
          </w:tcPr>
          <w:p w14:paraId="3142F758" w14:textId="77777777" w:rsidR="00A65EA3" w:rsidRPr="00937AFE" w:rsidRDefault="00A65EA3" w:rsidP="00AA2116">
            <w:pPr>
              <w:pStyle w:val="TableCell"/>
            </w:pPr>
            <m:oMathPara>
              <m:oMathParaPr>
                <m:jc m:val="left"/>
              </m:oMathParaPr>
              <m:oMath>
                <m:r>
                  <m:rPr>
                    <m:sty m:val="p"/>
                  </m:rPr>
                  <w:rPr>
                    <w:rFonts w:ascii="Cambria Math" w:hAnsi="Cambria Math"/>
                  </w:rPr>
                  <m:t>=776.3904</m:t>
                </m:r>
              </m:oMath>
            </m:oMathPara>
          </w:p>
        </w:tc>
      </w:tr>
    </w:tbl>
    <w:p w14:paraId="0F7BC020" w14:textId="0B3D53C5" w:rsidR="008C1D28" w:rsidRDefault="00A65EA3" w:rsidP="00AA2116">
      <w:r>
        <w:t xml:space="preserve">The distinctions between small and large default values arise only from the differences between the proposed and baseline UEF values.  </w:t>
      </w:r>
      <w:r w:rsidR="00FB62DE">
        <w:t>The Commission recommends</w:t>
      </w:r>
      <w:r>
        <w:t xml:space="preserve"> </w:t>
      </w:r>
      <w:r w:rsidR="000E7171">
        <w:t>adjusting</w:t>
      </w:r>
      <w:r>
        <w:t xml:space="preserve"> these inputs for any known values rather than using defaults. </w:t>
      </w:r>
    </w:p>
    <w:p w14:paraId="3AF4D248" w14:textId="3E0970C6" w:rsidR="005318C2" w:rsidRDefault="005318C2" w:rsidP="00AA2116"/>
    <w:p w14:paraId="1FDC9CD4" w14:textId="0F8E5971" w:rsidR="00750A89" w:rsidRDefault="5826BB76" w:rsidP="00453F14">
      <w:pPr>
        <w:pStyle w:val="Heading4"/>
        <w:numPr>
          <w:ilvl w:val="3"/>
          <w:numId w:val="49"/>
        </w:numPr>
      </w:pPr>
      <w:r>
        <w:t>Uniform Efficiency Factors</w:t>
      </w:r>
    </w:p>
    <w:p w14:paraId="6D7945AF" w14:textId="6E44AECD" w:rsidR="00750A89" w:rsidRDefault="00750A89" w:rsidP="00AA2116">
      <w:r w:rsidRPr="00C77B26">
        <w:t xml:space="preserve">The Commission </w:t>
      </w:r>
      <w:r w:rsidR="0005340E" w:rsidRPr="00C77B26">
        <w:t>propose</w:t>
      </w:r>
      <w:r w:rsidR="0005340E">
        <w:t>d</w:t>
      </w:r>
      <w:r w:rsidR="0005340E" w:rsidRPr="00C77B26">
        <w:t xml:space="preserve"> </w:t>
      </w:r>
      <w:r w:rsidR="0005340E">
        <w:t>updating</w:t>
      </w:r>
      <w:r>
        <w:t xml:space="preserve"> the </w:t>
      </w:r>
      <w:r w:rsidR="00CC604A">
        <w:t>UEF</w:t>
      </w:r>
      <w:r>
        <w:t xml:space="preserve"> to meet current </w:t>
      </w:r>
      <w:r w:rsidR="00545CE6">
        <w:t>U.S. F</w:t>
      </w:r>
      <w:r>
        <w:t>ederal</w:t>
      </w:r>
      <w:r w:rsidR="00545CE6">
        <w:t xml:space="preserve"> Standards for Residential Water Heaters</w:t>
      </w:r>
      <w:r w:rsidR="00A0651F">
        <w:t xml:space="preserve">.  </w:t>
      </w:r>
      <w:r w:rsidR="001E086F">
        <w:t xml:space="preserve">New formulas are provided by </w:t>
      </w:r>
      <w:r w:rsidR="00545CE6">
        <w:t xml:space="preserve">tank size </w:t>
      </w:r>
      <w:r w:rsidR="001E086F">
        <w:t xml:space="preserve">for </w:t>
      </w:r>
      <w:r w:rsidR="00545CE6">
        <w:t>both baseline and proposed units</w:t>
      </w:r>
      <w:r w:rsidR="00A0651F">
        <w:t xml:space="preserve">.  </w:t>
      </w:r>
    </w:p>
    <w:p w14:paraId="68D77A03" w14:textId="77777777" w:rsidR="008C1D28" w:rsidRDefault="008C1D28" w:rsidP="00AA2116"/>
    <w:p w14:paraId="2D70AE37" w14:textId="73B505DB" w:rsidR="008C1D28" w:rsidRPr="005433C2" w:rsidRDefault="005433C2" w:rsidP="00453F14">
      <w:pPr>
        <w:pStyle w:val="Heading5"/>
        <w:numPr>
          <w:ilvl w:val="4"/>
          <w:numId w:val="49"/>
        </w:numPr>
      </w:pPr>
      <w:r>
        <w:t xml:space="preserve">Comments  </w:t>
      </w:r>
    </w:p>
    <w:p w14:paraId="56D847C0" w14:textId="63B72F7C" w:rsidR="008C1D28" w:rsidRDefault="00A65EA3" w:rsidP="00AA2116">
      <w:r>
        <w:t xml:space="preserve">PECO and </w:t>
      </w:r>
      <w:r w:rsidR="002147CB">
        <w:t>FirstEnergy</w:t>
      </w:r>
      <w:r>
        <w:t xml:space="preserve"> note that the variable Vr in Table 3-86 is not defined.  PECO </w:t>
      </w:r>
      <w:r w:rsidR="00CC5603">
        <w:t>C</w:t>
      </w:r>
      <w:r>
        <w:t xml:space="preserve">omments at 5 </w:t>
      </w:r>
      <w:r w:rsidR="00CC604A">
        <w:t>and</w:t>
      </w:r>
      <w:r>
        <w:t xml:space="preserve"> </w:t>
      </w:r>
      <w:r w:rsidR="002147CB">
        <w:t>FirstEnergy</w:t>
      </w:r>
      <w:r>
        <w:t xml:space="preserve"> </w:t>
      </w:r>
      <w:r w:rsidR="00CC5603">
        <w:t>C</w:t>
      </w:r>
      <w:r>
        <w:t>omments at 6.</w:t>
      </w:r>
      <w:r w:rsidR="0061674E">
        <w:t xml:space="preserve"> </w:t>
      </w:r>
    </w:p>
    <w:p w14:paraId="42456D70" w14:textId="77777777" w:rsidR="008C1D28" w:rsidRDefault="008C1D28" w:rsidP="00AA2116"/>
    <w:p w14:paraId="7C842F9C" w14:textId="5BA5C8CA" w:rsidR="008C1D28" w:rsidRPr="005433C2" w:rsidRDefault="005433C2" w:rsidP="00453F14">
      <w:pPr>
        <w:pStyle w:val="Heading5"/>
        <w:numPr>
          <w:ilvl w:val="4"/>
          <w:numId w:val="49"/>
        </w:numPr>
      </w:pPr>
      <w:r w:rsidRPr="00245817">
        <w:t>Disposition</w:t>
      </w:r>
    </w:p>
    <w:p w14:paraId="76237046" w14:textId="4AAAEDE1" w:rsidR="008C1D28" w:rsidRDefault="0091301D" w:rsidP="00AA2116">
      <w:r>
        <w:t xml:space="preserve">The Commission agrees with PECO’s and FirstEnergy’s recommendation and </w:t>
      </w:r>
      <w:r w:rsidR="00A65EA3">
        <w:t>has adjusted the table</w:t>
      </w:r>
      <w:r w:rsidR="00CC5603">
        <w:t>,</w:t>
      </w:r>
      <w:r w:rsidR="00A65EA3">
        <w:t xml:space="preserve"> as well as the neighboring text</w:t>
      </w:r>
      <w:r w:rsidR="00CC5603">
        <w:t>,</w:t>
      </w:r>
      <w:r w:rsidR="00A65EA3">
        <w:t xml:space="preserve"> to clarify that Vr indicates Rated Storage Volume.  These adjustments clarify that the volume of the water heater should be plugged into the appropriate equation to calculate the Uniform Energy Factor.</w:t>
      </w:r>
    </w:p>
    <w:p w14:paraId="7FEDCE6C" w14:textId="12DDE88A" w:rsidR="009B48D4" w:rsidRDefault="17C9E5F3" w:rsidP="00453F14">
      <w:pPr>
        <w:pStyle w:val="Heading3"/>
        <w:numPr>
          <w:ilvl w:val="2"/>
          <w:numId w:val="50"/>
        </w:numPr>
      </w:pPr>
      <w:bookmarkStart w:id="251" w:name="_Toc14686895"/>
      <w:bookmarkStart w:id="252" w:name="_Toc14687042"/>
      <w:bookmarkStart w:id="253" w:name="_Toc14687189"/>
      <w:bookmarkStart w:id="254" w:name="_Toc14686896"/>
      <w:bookmarkStart w:id="255" w:name="_Toc14687043"/>
      <w:bookmarkStart w:id="256" w:name="_Toc14687190"/>
      <w:bookmarkStart w:id="257" w:name="_Toc15657967"/>
      <w:bookmarkEnd w:id="251"/>
      <w:bookmarkEnd w:id="252"/>
      <w:bookmarkEnd w:id="253"/>
      <w:bookmarkEnd w:id="254"/>
      <w:bookmarkEnd w:id="255"/>
      <w:bookmarkEnd w:id="256"/>
      <w:r>
        <w:lastRenderedPageBreak/>
        <w:t>Section 3.4.2 – Low</w:t>
      </w:r>
      <w:r w:rsidR="006A3152">
        <w:t>-f</w:t>
      </w:r>
      <w:r>
        <w:t>low Pre-</w:t>
      </w:r>
      <w:r w:rsidR="006A3152">
        <w:t>r</w:t>
      </w:r>
      <w:r>
        <w:t>inse Sprayers for Retrofit Programs</w:t>
      </w:r>
      <w:r w:rsidR="00200D34">
        <w:rPr>
          <w:rStyle w:val="FootnoteReference"/>
        </w:rPr>
        <w:footnoteReference w:id="79"/>
      </w:r>
      <w:bookmarkEnd w:id="257"/>
    </w:p>
    <w:p w14:paraId="2182A7DB" w14:textId="265BC0C9" w:rsidR="009B48D4" w:rsidRDefault="5826BB76" w:rsidP="00453F14">
      <w:pPr>
        <w:pStyle w:val="Heading4"/>
        <w:numPr>
          <w:ilvl w:val="3"/>
          <w:numId w:val="50"/>
        </w:numPr>
      </w:pPr>
      <w:r>
        <w:t>Merge of Low-flow Pre-rinse Sprayer Measures</w:t>
      </w:r>
    </w:p>
    <w:p w14:paraId="33AB5A05" w14:textId="13FD2EAE" w:rsidR="00F959E7" w:rsidRDefault="00F959E7" w:rsidP="00AA2116">
      <w:r>
        <w:t>The Commission propose</w:t>
      </w:r>
      <w:r w:rsidR="00FC34E5">
        <w:t>d</w:t>
      </w:r>
      <w:r>
        <w:t xml:space="preserve"> to </w:t>
      </w:r>
      <w:r w:rsidR="003E1222">
        <w:t>combine</w:t>
      </w:r>
      <w:r>
        <w:t xml:space="preserve"> </w:t>
      </w:r>
      <w:r w:rsidRPr="00F959E7">
        <w:t>Sections</w:t>
      </w:r>
      <w:r>
        <w:t xml:space="preserve"> 3.4.2 and 3.4.3</w:t>
      </w:r>
      <w:r w:rsidR="00A0651F">
        <w:t xml:space="preserve">.  </w:t>
      </w:r>
      <w:r w:rsidR="003E1222">
        <w:t>These measures relate to the same product improvement but have minor differences relating to product application</w:t>
      </w:r>
      <w:r w:rsidR="00A0651F">
        <w:t xml:space="preserve">.  </w:t>
      </w:r>
      <w:r w:rsidR="003E1222">
        <w:t>To account for this merge</w:t>
      </w:r>
      <w:r w:rsidR="00FC34E5">
        <w:t>r</w:t>
      </w:r>
      <w:r w:rsidR="003E1222">
        <w:t>, the proposed algorithms are simplified and generalized to allow for application specific inputs</w:t>
      </w:r>
      <w:r w:rsidR="00A0651F">
        <w:t xml:space="preserve">.  </w:t>
      </w:r>
      <w:r w:rsidR="00CB7777">
        <w:t xml:space="preserve">We also </w:t>
      </w:r>
      <w:r w:rsidR="00C77B26" w:rsidRPr="00C77B26">
        <w:t>propose</w:t>
      </w:r>
      <w:r w:rsidR="00FC34E5">
        <w:t>d</w:t>
      </w:r>
      <w:r w:rsidR="00C77B26" w:rsidRPr="00C77B26">
        <w:t xml:space="preserve"> to provide an option for savings calculations when installation location is unknown</w:t>
      </w:r>
      <w:r w:rsidR="00A0651F">
        <w:t xml:space="preserve">.  </w:t>
      </w:r>
    </w:p>
    <w:p w14:paraId="5F228D41" w14:textId="77777777" w:rsidR="008C1D28" w:rsidRDefault="008C1D28" w:rsidP="00AA2116"/>
    <w:p w14:paraId="4B91DD1D" w14:textId="33502DD5" w:rsidR="008C1D28" w:rsidRPr="001062F9" w:rsidRDefault="00DF6179" w:rsidP="00453F14">
      <w:pPr>
        <w:pStyle w:val="Heading5"/>
        <w:numPr>
          <w:ilvl w:val="4"/>
          <w:numId w:val="51"/>
        </w:numPr>
      </w:pPr>
      <w:r>
        <w:t>Comments</w:t>
      </w:r>
    </w:p>
    <w:p w14:paraId="35DC8DF5" w14:textId="718A6468" w:rsidR="008C1D28" w:rsidRDefault="002147CB" w:rsidP="00AA2116">
      <w:r>
        <w:t>FirstEnergy</w:t>
      </w:r>
      <w:r w:rsidR="00A65EA3">
        <w:t xml:space="preserve"> </w:t>
      </w:r>
      <w:r w:rsidR="00B86342">
        <w:t xml:space="preserve">recommends that </w:t>
      </w:r>
      <w:r w:rsidR="00A65EA3">
        <w:t xml:space="preserve">the eligibility requirements be adjusted to match the source and remove the cleanability performance component.  </w:t>
      </w:r>
      <w:r>
        <w:t>FirstEnergy</w:t>
      </w:r>
      <w:r w:rsidR="00A65EA3">
        <w:t xml:space="preserve"> </w:t>
      </w:r>
      <w:r w:rsidR="00B86342">
        <w:t>C</w:t>
      </w:r>
      <w:r w:rsidR="00A65EA3">
        <w:t>omments at 6.</w:t>
      </w:r>
    </w:p>
    <w:p w14:paraId="693EC379" w14:textId="77777777" w:rsidR="008C1D28" w:rsidRDefault="008C1D28" w:rsidP="00AA2116"/>
    <w:p w14:paraId="27DDE023" w14:textId="29A70B5A" w:rsidR="008C1D28" w:rsidRPr="00932931" w:rsidRDefault="00DF6179" w:rsidP="00453F14">
      <w:pPr>
        <w:pStyle w:val="Heading5"/>
        <w:numPr>
          <w:ilvl w:val="4"/>
          <w:numId w:val="51"/>
        </w:numPr>
      </w:pPr>
      <w:r w:rsidRPr="00245817">
        <w:t>Disposition</w:t>
      </w:r>
    </w:p>
    <w:p w14:paraId="05EC56C4" w14:textId="1DB11702" w:rsidR="008C1D28" w:rsidRDefault="00A65EA3" w:rsidP="00AA2116">
      <w:r>
        <w:t xml:space="preserve">The Commission agrees with </w:t>
      </w:r>
      <w:r w:rsidR="002147CB">
        <w:t>FirstEnergy</w:t>
      </w:r>
      <w:r>
        <w:t xml:space="preserve">’s </w:t>
      </w:r>
      <w:r w:rsidR="00CB7777">
        <w:t xml:space="preserve">recommendation </w:t>
      </w:r>
      <w:r>
        <w:t>and has removed the plate cleaning performance requirement.  The eligibility is now aligned with the Energy Policy Act source and requires only that the replacement sprayers use less than 1.6 gallons per minute.</w:t>
      </w:r>
    </w:p>
    <w:p w14:paraId="6DB7CDF0" w14:textId="77777777" w:rsidR="005318C2" w:rsidRPr="00F959E7" w:rsidRDefault="005318C2" w:rsidP="00AA2116"/>
    <w:p w14:paraId="680E6B79" w14:textId="77777777" w:rsidR="00822EB6" w:rsidRDefault="5826BB76" w:rsidP="00453F14">
      <w:pPr>
        <w:pStyle w:val="Heading4"/>
        <w:numPr>
          <w:ilvl w:val="3"/>
          <w:numId w:val="51"/>
        </w:numPr>
      </w:pPr>
      <w:r>
        <w:t>Measure Life</w:t>
      </w:r>
    </w:p>
    <w:p w14:paraId="292B7F18" w14:textId="09DF1A5F" w:rsidR="00822EB6" w:rsidRDefault="00822EB6" w:rsidP="00AA2116">
      <w:r w:rsidRPr="00822EB6">
        <w:t xml:space="preserve">The Commission </w:t>
      </w:r>
      <w:r w:rsidR="00534B50" w:rsidRPr="00822EB6">
        <w:t>pr</w:t>
      </w:r>
      <w:r w:rsidR="00534B50">
        <w:t>oposed updating</w:t>
      </w:r>
      <w:r w:rsidRPr="00822EB6">
        <w:t xml:space="preserve"> the</w:t>
      </w:r>
      <w:r w:rsidR="00011B51">
        <w:t xml:space="preserve"> Pre-</w:t>
      </w:r>
      <w:r w:rsidR="006A3152">
        <w:t>r</w:t>
      </w:r>
      <w:r w:rsidR="00011B51">
        <w:t>inse Sprayer</w:t>
      </w:r>
      <w:r w:rsidRPr="00822EB6">
        <w:t xml:space="preserve"> measure </w:t>
      </w:r>
      <w:r w:rsidR="00011B51">
        <w:t xml:space="preserve">life to reflect a more recent estimate as reported in DNV-GL’s </w:t>
      </w:r>
      <w:r w:rsidR="00011B51" w:rsidRPr="000563AA">
        <w:rPr>
          <w:i/>
          <w:iCs/>
        </w:rPr>
        <w:t>Impact Evaluation of Massachusetts Prescriptive Gas Pre-</w:t>
      </w:r>
      <w:r w:rsidR="006A3152" w:rsidRPr="000563AA">
        <w:rPr>
          <w:i/>
          <w:iCs/>
        </w:rPr>
        <w:t>r</w:t>
      </w:r>
      <w:r w:rsidR="00011B51" w:rsidRPr="000563AA">
        <w:rPr>
          <w:i/>
          <w:iCs/>
        </w:rPr>
        <w:t>inse Spray Valve Measure</w:t>
      </w:r>
      <w:r w:rsidR="00011B51" w:rsidRPr="3FA6411C">
        <w:t xml:space="preserve"> </w:t>
      </w:r>
      <w:r w:rsidR="00011B51">
        <w:t>from 2014</w:t>
      </w:r>
      <w:r w:rsidR="00A0651F" w:rsidRPr="3FA6411C">
        <w:t>.</w:t>
      </w:r>
      <w:r w:rsidR="008907E9">
        <w:rPr>
          <w:rStyle w:val="FootnoteReference"/>
        </w:rPr>
        <w:footnoteReference w:id="80"/>
      </w:r>
      <w:r w:rsidR="00A0651F" w:rsidRPr="3FA6411C">
        <w:t xml:space="preserve">  </w:t>
      </w:r>
      <w:r w:rsidR="00011B51">
        <w:t xml:space="preserve">This impact study guides our recommendation of an </w:t>
      </w:r>
      <w:r w:rsidR="006A3152">
        <w:t>eight</w:t>
      </w:r>
      <w:r w:rsidR="00011B51">
        <w:t>-year measure life.</w:t>
      </w:r>
    </w:p>
    <w:p w14:paraId="08265099" w14:textId="77777777" w:rsidR="008C1D28" w:rsidRDefault="008C1D28" w:rsidP="00AA2116"/>
    <w:p w14:paraId="40EEBB53" w14:textId="3973B625" w:rsidR="008C1D28" w:rsidRPr="001062F9" w:rsidRDefault="00DF6179" w:rsidP="00453F14">
      <w:pPr>
        <w:pStyle w:val="Heading5"/>
        <w:numPr>
          <w:ilvl w:val="4"/>
          <w:numId w:val="51"/>
        </w:numPr>
      </w:pPr>
      <w:r>
        <w:lastRenderedPageBreak/>
        <w:t>Comments</w:t>
      </w:r>
    </w:p>
    <w:p w14:paraId="21952C68" w14:textId="2DCC5BE1" w:rsidR="008C1D28" w:rsidRDefault="002147CB" w:rsidP="00AA2116">
      <w:r>
        <w:t>FirstEnergy</w:t>
      </w:r>
      <w:r w:rsidR="00A65EA3">
        <w:t xml:space="preserve"> </w:t>
      </w:r>
      <w:r w:rsidR="00534B50">
        <w:t xml:space="preserve">notes </w:t>
      </w:r>
      <w:r w:rsidR="00A65EA3">
        <w:t xml:space="preserve">that the measure life for Pre-rinse Spray </w:t>
      </w:r>
      <w:r w:rsidR="00050F27">
        <w:t>V</w:t>
      </w:r>
      <w:r w:rsidR="00A65EA3">
        <w:t xml:space="preserve">alves is </w:t>
      </w:r>
      <w:r w:rsidR="003546B3">
        <w:t xml:space="preserve">five </w:t>
      </w:r>
      <w:r w:rsidR="00A65EA3">
        <w:t xml:space="preserve">years in the source provided.  </w:t>
      </w:r>
      <w:r>
        <w:t>FirstEnergy</w:t>
      </w:r>
      <w:r w:rsidR="00A65EA3">
        <w:t xml:space="preserve"> Comments at 6.</w:t>
      </w:r>
    </w:p>
    <w:p w14:paraId="72D54FAB" w14:textId="77777777" w:rsidR="008C1D28" w:rsidRDefault="008C1D28" w:rsidP="00AA2116"/>
    <w:p w14:paraId="7C5E54AB" w14:textId="7DD70004" w:rsidR="008C1D28" w:rsidRPr="001062F9" w:rsidRDefault="00DF6179" w:rsidP="00453F14">
      <w:pPr>
        <w:pStyle w:val="Heading5"/>
        <w:numPr>
          <w:ilvl w:val="4"/>
          <w:numId w:val="51"/>
        </w:numPr>
      </w:pPr>
      <w:r w:rsidRPr="00245817">
        <w:t>Disposition</w:t>
      </w:r>
    </w:p>
    <w:p w14:paraId="49E32692" w14:textId="1BF67571" w:rsidR="008C1D28" w:rsidRDefault="00FC34E5" w:rsidP="00AA2116">
      <w:r>
        <w:t xml:space="preserve">The Commission </w:t>
      </w:r>
      <w:r w:rsidR="0088435A">
        <w:t xml:space="preserve">disagrees with </w:t>
      </w:r>
      <w:r w:rsidR="002147CB">
        <w:t>FirstEnergy</w:t>
      </w:r>
      <w:r w:rsidR="006710D9">
        <w:t xml:space="preserve">’s comment regarding measure life.  </w:t>
      </w:r>
      <w:r w:rsidR="00A65EA3">
        <w:t xml:space="preserve">While the Massachusetts TRM does technically use </w:t>
      </w:r>
      <w:r w:rsidR="00DE615A">
        <w:t>five years</w:t>
      </w:r>
      <w:r w:rsidR="00A65EA3">
        <w:t xml:space="preserve"> for the measure life of the Pre-</w:t>
      </w:r>
      <w:r w:rsidR="003546B3">
        <w:t xml:space="preserve">rinse </w:t>
      </w:r>
      <w:r w:rsidR="00A65EA3">
        <w:t xml:space="preserve">Spray Valves, the report includes a recommendation to adjust this measure life.  </w:t>
      </w:r>
      <w:r w:rsidR="00A65EA3" w:rsidRPr="00436E18">
        <w:t xml:space="preserve">The source includes three reasons for a proposed adjustment to </w:t>
      </w:r>
      <w:r w:rsidR="003546B3" w:rsidRPr="00436E18">
        <w:t xml:space="preserve">eight </w:t>
      </w:r>
      <w:r w:rsidR="00A65EA3" w:rsidRPr="00436E18">
        <w:t xml:space="preserve">years: a survey, forensic inspection of old units, and specific technological improvements of new units </w:t>
      </w:r>
      <w:r w:rsidR="00436E18">
        <w:t>that</w:t>
      </w:r>
      <w:r w:rsidR="00436E18" w:rsidRPr="00436E18">
        <w:t xml:space="preserve"> </w:t>
      </w:r>
      <w:r w:rsidR="00A65EA3" w:rsidRPr="00436E18">
        <w:t>support longer lifetimes than the existing units.</w:t>
      </w:r>
      <w:r w:rsidR="00A65EA3">
        <w:t xml:space="preserve"> </w:t>
      </w:r>
    </w:p>
    <w:p w14:paraId="5863B292" w14:textId="1E150111" w:rsidR="00DE615A" w:rsidRDefault="00DE615A" w:rsidP="00AA2116"/>
    <w:p w14:paraId="15C86482" w14:textId="62AD5035" w:rsidR="00065469" w:rsidRDefault="5826BB76" w:rsidP="00453F14">
      <w:pPr>
        <w:pStyle w:val="Heading4"/>
        <w:numPr>
          <w:ilvl w:val="3"/>
          <w:numId w:val="51"/>
        </w:numPr>
      </w:pPr>
      <w:r>
        <w:t>Uniform Energy Factor</w:t>
      </w:r>
    </w:p>
    <w:p w14:paraId="22B004A6" w14:textId="1449167F" w:rsidR="00011B51" w:rsidRDefault="00065469" w:rsidP="00AA2116">
      <w:r>
        <w:t>The Commission propose</w:t>
      </w:r>
      <w:r w:rsidR="006710D9">
        <w:t>d</w:t>
      </w:r>
      <w:r>
        <w:t xml:space="preserve"> a standard </w:t>
      </w:r>
      <w:r w:rsidR="00CC604A">
        <w:t>UEF</w:t>
      </w:r>
      <w:r w:rsidR="007504C5">
        <w:t xml:space="preserve"> </w:t>
      </w:r>
      <w:r>
        <w:t xml:space="preserve">for existing water heaters based on results from the </w:t>
      </w:r>
      <w:r w:rsidR="006B7EFB" w:rsidRPr="006C58C6">
        <w:t xml:space="preserve">Act 129 2018 </w:t>
      </w:r>
      <w:r w:rsidR="00B50214" w:rsidRPr="006C58C6">
        <w:t xml:space="preserve">Pennsylvania </w:t>
      </w:r>
      <w:r w:rsidR="006B7EFB" w:rsidRPr="006C58C6">
        <w:t>Non-Residential Baseline Study</w:t>
      </w:r>
      <w:r w:rsidR="00A0651F">
        <w:t xml:space="preserve">.  </w:t>
      </w:r>
      <w:r>
        <w:t xml:space="preserve">The study suggests a UEF of 0.90 for </w:t>
      </w:r>
      <w:r w:rsidR="00ED73D0">
        <w:t xml:space="preserve">existing </w:t>
      </w:r>
      <w:r w:rsidR="00CC49D2">
        <w:t>C&amp;I</w:t>
      </w:r>
      <w:r>
        <w:t xml:space="preserve"> Water Heating units.</w:t>
      </w:r>
    </w:p>
    <w:p w14:paraId="4A132ECD" w14:textId="77777777" w:rsidR="008C1D28" w:rsidRDefault="008C1D28" w:rsidP="00AA2116"/>
    <w:p w14:paraId="5CF739C6" w14:textId="6FF7EF4E" w:rsidR="008C1D28" w:rsidRPr="001062F9" w:rsidRDefault="00542339" w:rsidP="00453F14">
      <w:pPr>
        <w:pStyle w:val="Heading5"/>
        <w:numPr>
          <w:ilvl w:val="4"/>
          <w:numId w:val="51"/>
        </w:numPr>
      </w:pPr>
      <w:r>
        <w:t>Comments</w:t>
      </w:r>
    </w:p>
    <w:p w14:paraId="13704FD4" w14:textId="510B548C" w:rsidR="008C1D28" w:rsidRDefault="007344BE" w:rsidP="00AA2116">
      <w:r>
        <w:t xml:space="preserve">Franklin Energy </w:t>
      </w:r>
      <w:r w:rsidR="001D3274">
        <w:t xml:space="preserve">comments </w:t>
      </w:r>
      <w:r>
        <w:t xml:space="preserve">that the </w:t>
      </w:r>
      <w:r w:rsidR="007504C5">
        <w:t>(UEF)</w:t>
      </w:r>
      <w:r>
        <w:t xml:space="preserve"> for electric water heaters seems low.  They provided the Illinois TRM source</w:t>
      </w:r>
      <w:r w:rsidR="00436973">
        <w:t>,</w:t>
      </w:r>
      <w:r>
        <w:t xml:space="preserve"> which uses 97% to support this proposed change.  Franklin Energy </w:t>
      </w:r>
      <w:r w:rsidR="00436973">
        <w:t>C</w:t>
      </w:r>
      <w:r>
        <w:t>omments at 364.</w:t>
      </w:r>
    </w:p>
    <w:p w14:paraId="56B324E6" w14:textId="77777777" w:rsidR="008C1D28" w:rsidRDefault="008C1D28" w:rsidP="00AA2116"/>
    <w:p w14:paraId="319B5DD4" w14:textId="21AA2039" w:rsidR="008C1D28" w:rsidRPr="001062F9" w:rsidRDefault="00542339" w:rsidP="00453F14">
      <w:pPr>
        <w:pStyle w:val="Heading5"/>
        <w:numPr>
          <w:ilvl w:val="4"/>
          <w:numId w:val="51"/>
        </w:numPr>
      </w:pPr>
      <w:r w:rsidRPr="00245817">
        <w:t>Disposition</w:t>
      </w:r>
    </w:p>
    <w:p w14:paraId="306B526D" w14:textId="7543A15A" w:rsidR="008C1D28" w:rsidRDefault="00411AC4" w:rsidP="00AA2116">
      <w:r>
        <w:t xml:space="preserve">The Commission </w:t>
      </w:r>
      <w:r w:rsidR="00F02C1C">
        <w:t xml:space="preserve">disagrees with Franklin Energy and </w:t>
      </w:r>
      <w:r w:rsidR="00203139">
        <w:t xml:space="preserve">declines </w:t>
      </w:r>
      <w:r w:rsidR="00F02C1C">
        <w:t>to change the UEF for electric water heaters</w:t>
      </w:r>
      <w:r>
        <w:t xml:space="preserve"> on the basis that replacement of Pre-</w:t>
      </w:r>
      <w:r w:rsidR="00436973">
        <w:t>r</w:t>
      </w:r>
      <w:r>
        <w:t xml:space="preserve">inse Spray Valves does not necessarily occur at the same time as replacement of water heaters.  The suggested 97% value originates from a code minimum, but spray valves can be replaced with existing water heaters, which tend to have lower levels of efficiency than new regulation minimums.  The 90% UEF value was calculated from the baseline study of Pennsylvania </w:t>
      </w:r>
      <w:r w:rsidR="006C4CE4">
        <w:lastRenderedPageBreak/>
        <w:t>C&amp;I</w:t>
      </w:r>
      <w:r>
        <w:t xml:space="preserve"> sites and represents 2018 average efficiency values in the region.  Therefore, the Commission chooses to maintain the 90% UEF value.</w:t>
      </w:r>
    </w:p>
    <w:p w14:paraId="1B062FE1" w14:textId="7A5120C1" w:rsidR="00DE615A" w:rsidRDefault="00DE615A" w:rsidP="00AA2116"/>
    <w:p w14:paraId="6F672E04" w14:textId="3D05D615" w:rsidR="00411AC4" w:rsidRDefault="5826BB76" w:rsidP="00453F14">
      <w:pPr>
        <w:pStyle w:val="Heading4"/>
        <w:numPr>
          <w:ilvl w:val="3"/>
          <w:numId w:val="51"/>
        </w:numPr>
      </w:pPr>
      <w:r>
        <w:t>Additional Comments</w:t>
      </w:r>
    </w:p>
    <w:p w14:paraId="667D195A" w14:textId="05A5A709" w:rsidR="00411AC4" w:rsidRDefault="00411AC4" w:rsidP="0061674E">
      <w:r>
        <w:t>In addition to the comments described in this protocol, other</w:t>
      </w:r>
      <w:r w:rsidRPr="002A6E9D">
        <w:t xml:space="preserve"> comments were received </w:t>
      </w:r>
      <w:r w:rsidR="00C21716">
        <w:t xml:space="preserve">that </w:t>
      </w:r>
      <w:r>
        <w:t xml:space="preserve">do not </w:t>
      </w:r>
      <w:r w:rsidR="00B35B6F">
        <w:t>relate to</w:t>
      </w:r>
      <w:r>
        <w:t xml:space="preserve"> a specific proposed change.  These comments </w:t>
      </w:r>
      <w:r w:rsidRPr="002A6E9D">
        <w:t>are addressed below</w:t>
      </w:r>
      <w:r>
        <w:t>.</w:t>
      </w:r>
    </w:p>
    <w:p w14:paraId="06369408" w14:textId="10195866" w:rsidR="008C1D28" w:rsidRPr="001062F9" w:rsidRDefault="00CF07B4" w:rsidP="00453F14">
      <w:pPr>
        <w:pStyle w:val="Heading5"/>
        <w:numPr>
          <w:ilvl w:val="4"/>
          <w:numId w:val="51"/>
        </w:numPr>
      </w:pPr>
      <w:r>
        <w:t>Comments</w:t>
      </w:r>
    </w:p>
    <w:p w14:paraId="1944115D" w14:textId="4B500E14" w:rsidR="00411AC4" w:rsidRDefault="002147CB" w:rsidP="00AA2116">
      <w:r>
        <w:rPr>
          <w:szCs w:val="26"/>
        </w:rPr>
        <w:t>FirstEnergy</w:t>
      </w:r>
      <w:r w:rsidR="00411AC4">
        <w:t xml:space="preserve"> </w:t>
      </w:r>
      <w:r w:rsidR="00C21716">
        <w:t xml:space="preserve">notices </w:t>
      </w:r>
      <w:r w:rsidR="00411AC4">
        <w:t xml:space="preserve">some unclear practices in the handling of ETDF values and references.  </w:t>
      </w:r>
      <w:r w:rsidR="00203139">
        <w:t>Specifically</w:t>
      </w:r>
      <w:r w:rsidR="00411AC4">
        <w:t xml:space="preserve">, there is an issue in Table 3-89 where default ETDF values are shown to be in Table 3-83 rather than </w:t>
      </w:r>
      <w:r w:rsidR="00DE615A">
        <w:t xml:space="preserve">Table </w:t>
      </w:r>
      <w:r w:rsidR="00411AC4">
        <w:t xml:space="preserve">3-88.  Additionally, the ETDF value used for the calculation of Retrofit: Food Service appears to come from an ETDF table in a previous section. </w:t>
      </w:r>
      <w:r w:rsidR="00DE615A">
        <w:t xml:space="preserve"> </w:t>
      </w:r>
      <w:r>
        <w:t>FirstEnergy</w:t>
      </w:r>
      <w:r w:rsidR="00411AC4">
        <w:t xml:space="preserve"> </w:t>
      </w:r>
      <w:r w:rsidR="001D478B">
        <w:t>C</w:t>
      </w:r>
      <w:r w:rsidR="00411AC4">
        <w:t>omments at 6.</w:t>
      </w:r>
      <w:r w:rsidR="007F72C4">
        <w:t xml:space="preserve">  </w:t>
      </w:r>
      <w:r w:rsidR="00411AC4">
        <w:t xml:space="preserve">Franklin Energy </w:t>
      </w:r>
      <w:r w:rsidR="001D478B">
        <w:t xml:space="preserve">proposes </w:t>
      </w:r>
      <w:r w:rsidR="00411AC4">
        <w:t xml:space="preserve">a modification of days per year from 365 to 312 to match the </w:t>
      </w:r>
      <w:r w:rsidR="00E507BC">
        <w:t>six</w:t>
      </w:r>
      <w:r w:rsidR="00411AC4">
        <w:t xml:space="preserve"> days per week from the Illinois TRM </w:t>
      </w:r>
      <w:r w:rsidR="00B35B6F">
        <w:t>and also notes the idea that efficient Pre-rinse Spray Valves should reduce the amount of water used yet maintain the time of use.  With specific references to the Illinois TRM and Ohio TRM, Franklin supports using a constant time of use for baseline and efficient spray valves based on type of business.  Franklin Energy Comments at 364, 365.</w:t>
      </w:r>
      <w:r w:rsidR="007F72C4">
        <w:t xml:space="preserve">  </w:t>
      </w:r>
      <w:r w:rsidR="00411AC4">
        <w:t xml:space="preserve">PECO requests an adjustment to the text that clarifies which defaults should be used in the case of unknown installation location.  PECO </w:t>
      </w:r>
      <w:r w:rsidR="004F5BB2">
        <w:t>C</w:t>
      </w:r>
      <w:r w:rsidR="00411AC4">
        <w:t>omments at 5.</w:t>
      </w:r>
    </w:p>
    <w:p w14:paraId="161432AB" w14:textId="77777777" w:rsidR="008C1D28" w:rsidRDefault="008C1D28" w:rsidP="00AA2116"/>
    <w:p w14:paraId="1FE874E8" w14:textId="1DC874A0" w:rsidR="008C1D28" w:rsidRPr="001062F9" w:rsidRDefault="00CF07B4" w:rsidP="00453F14">
      <w:pPr>
        <w:pStyle w:val="Heading5"/>
        <w:numPr>
          <w:ilvl w:val="4"/>
          <w:numId w:val="51"/>
        </w:numPr>
      </w:pPr>
      <w:r w:rsidRPr="00245817">
        <w:t>Disposition</w:t>
      </w:r>
    </w:p>
    <w:p w14:paraId="6F4872EE" w14:textId="6BE7BDB3" w:rsidR="00B574B8" w:rsidRDefault="005C2254" w:rsidP="00AA2116">
      <w:r>
        <w:rPr>
          <w:szCs w:val="26"/>
        </w:rPr>
        <w:t xml:space="preserve">The Commission agrees with FirstEnergy’s recommendation and has updated the ETDF value reference to direct users to the correct ETDF table, Table 3-88, which provides a higher level of granularity in ETDF values than can be found in Table 3-83.  We also agree with FirstEnergy’s suggestion to clarify the text describing Table 3-91 and have added detail to explain that all ETDF values originate from Table 3-88, but the ETDF used for Retrofit: Food Service as an average of the provided Full and Quick service ETDF values.  </w:t>
      </w:r>
      <w:r>
        <w:t xml:space="preserve">The Commission appreciates Franklin Energy’s comment that most businesses are not open every day of the year, but we </w:t>
      </w:r>
      <w:r w:rsidR="00203139">
        <w:t xml:space="preserve">find that </w:t>
      </w:r>
      <w:r>
        <w:t xml:space="preserve">the actual days of </w:t>
      </w:r>
      <w:r>
        <w:lastRenderedPageBreak/>
        <w:t>operation is closer to the full year than the 312 days recommended.  Therefore, we have not modified the assumption of 365 operating days per year</w:t>
      </w:r>
      <w:r w:rsidR="001654E2">
        <w:t xml:space="preserve">.  </w:t>
      </w:r>
      <w:r>
        <w:t>In response to Franklin Energy’s request to use a constant time of use for baseline and efficient spray valves based on type of business, the Commission notes that using Pre-rinse Spray Valves with lower pressure will require an increase in the time used to pre-rinse dishes.  The primary source provided by Franklin Energy indicates the number of hours of use by business type for this device</w:t>
      </w:r>
      <w:r w:rsidR="001654E2">
        <w:t xml:space="preserve">.  </w:t>
      </w:r>
      <w:r>
        <w:t xml:space="preserve">The proposed source was published in 2007 and the study was performed the same year as the provided primary source, 2005.  We do not view the evidence for adjustment as sufficient and therefore have not changed the shared time of use values for baseline and efficient spray valves.  </w:t>
      </w:r>
    </w:p>
    <w:p w14:paraId="1AEB5FD2" w14:textId="77777777" w:rsidR="00B574B8" w:rsidRDefault="00B574B8" w:rsidP="00AA2116"/>
    <w:p w14:paraId="33D9B742" w14:textId="496DF8B7" w:rsidR="008C1D28" w:rsidRDefault="005C2254" w:rsidP="00AA2116">
      <w:r>
        <w:t>The Commission agrees with PECO’s recommendation to clarify the appropriate use case for unknown installation location and has made the appropriate changes.  We have updated Table 3-90 and 3-91 to clarify which component should be used in the Unknown case for the Retrofit and Time of Sale programs, and we also modified the text describing Table 3-91 to explain which default should be used in the case of unknown installation setting.</w:t>
      </w:r>
      <w:r w:rsidR="00411AC4">
        <w:t xml:space="preserve"> </w:t>
      </w:r>
    </w:p>
    <w:p w14:paraId="7A8BA033" w14:textId="77777777" w:rsidR="0034688D" w:rsidRPr="00F959E7" w:rsidRDefault="0034688D" w:rsidP="00AA2116"/>
    <w:p w14:paraId="6DB5343D" w14:textId="335DFB16" w:rsidR="009442C8" w:rsidRDefault="17C9E5F3" w:rsidP="00453F14">
      <w:pPr>
        <w:pStyle w:val="Heading3"/>
        <w:numPr>
          <w:ilvl w:val="2"/>
          <w:numId w:val="51"/>
        </w:numPr>
      </w:pPr>
      <w:bookmarkStart w:id="258" w:name="_Toc15657968"/>
      <w:r>
        <w:t>Section 3.5.1 – High-</w:t>
      </w:r>
      <w:r w:rsidR="006A3152">
        <w:t>e</w:t>
      </w:r>
      <w:r>
        <w:t>fficiency Refrigeration</w:t>
      </w:r>
      <w:r w:rsidR="006A3152">
        <w:t xml:space="preserve"> </w:t>
      </w:r>
      <w:r>
        <w:t>/</w:t>
      </w:r>
      <w:r w:rsidR="006A3152">
        <w:t xml:space="preserve"> </w:t>
      </w:r>
      <w:r>
        <w:t>Freezer Cases</w:t>
      </w:r>
      <w:r w:rsidR="00200D34">
        <w:rPr>
          <w:rStyle w:val="FootnoteReference"/>
        </w:rPr>
        <w:footnoteReference w:id="81"/>
      </w:r>
      <w:bookmarkEnd w:id="258"/>
    </w:p>
    <w:p w14:paraId="23ED43A9" w14:textId="523DB418" w:rsidR="009442C8" w:rsidRPr="008F0EEE" w:rsidRDefault="009442C8" w:rsidP="00AA2116">
      <w:r w:rsidRPr="008F0EEE">
        <w:t>The Commission propose</w:t>
      </w:r>
      <w:r w:rsidR="006568D7">
        <w:t>d</w:t>
      </w:r>
      <w:r w:rsidRPr="008F0EEE">
        <w:t xml:space="preserve"> updating the ENERGY STAR Requirements and default efficient </w:t>
      </w:r>
      <w:r>
        <w:t>kWh</w:t>
      </w:r>
      <w:r w:rsidRPr="008F0EEE">
        <w:t xml:space="preserve"> values </w:t>
      </w:r>
      <w:r>
        <w:t>based on the</w:t>
      </w:r>
      <w:r w:rsidRPr="008F0EEE">
        <w:t xml:space="preserve"> ENERGY STAR Product Criteria for </w:t>
      </w:r>
      <w:r>
        <w:t>Commercial Refrigerators and Freezers version 4.0.</w:t>
      </w:r>
      <w:r w:rsidR="006F1843">
        <w:t xml:space="preserve">  </w:t>
      </w:r>
      <w:r w:rsidR="00E71337">
        <w:t xml:space="preserve">We also proposed to update </w:t>
      </w:r>
      <w:r w:rsidR="00E71337" w:rsidRPr="008F0EEE">
        <w:t xml:space="preserve">the default </w:t>
      </w:r>
      <w:r w:rsidR="00E71337">
        <w:t>baseline</w:t>
      </w:r>
      <w:r w:rsidR="00E71337" w:rsidRPr="008F0EEE">
        <w:t xml:space="preserve"> </w:t>
      </w:r>
      <w:r w:rsidR="00E71337">
        <w:t>kWh</w:t>
      </w:r>
      <w:r w:rsidR="00E71337" w:rsidRPr="008F0EEE">
        <w:t xml:space="preserve"> values </w:t>
      </w:r>
      <w:r w:rsidR="00E71337">
        <w:t>based on t</w:t>
      </w:r>
      <w:r w:rsidR="00E71337" w:rsidRPr="008F0EEE">
        <w:t xml:space="preserve">he </w:t>
      </w:r>
      <w:r w:rsidR="00E71337">
        <w:t xml:space="preserve">U.S. </w:t>
      </w:r>
      <w:r w:rsidR="00E71337" w:rsidRPr="008F0EEE">
        <w:t>DOE</w:t>
      </w:r>
      <w:r w:rsidR="00E71337">
        <w:t xml:space="preserve">’s </w:t>
      </w:r>
      <w:r w:rsidR="00E71337" w:rsidRPr="008F0EEE">
        <w:t>publish</w:t>
      </w:r>
      <w:r w:rsidR="00E71337">
        <w:t>ing of</w:t>
      </w:r>
      <w:r w:rsidR="00E71337" w:rsidRPr="008F0EEE">
        <w:t xml:space="preserve"> a final rule on March 28, 2014</w:t>
      </w:r>
      <w:r w:rsidR="00E71337">
        <w:t>,</w:t>
      </w:r>
      <w:r w:rsidR="00E71337" w:rsidRPr="008F0EEE">
        <w:t xml:space="preserve"> adopting more stringent energy conservation standards for commercial refrigerator and freezers</w:t>
      </w:r>
      <w:r w:rsidR="00E71337">
        <w:t>.</w:t>
      </w:r>
      <w:r w:rsidR="00A0651F">
        <w:t xml:space="preserve"> </w:t>
      </w:r>
    </w:p>
    <w:p w14:paraId="48206B9F" w14:textId="47C27DA5" w:rsidR="0004032E" w:rsidRPr="001062F9" w:rsidRDefault="0004032E" w:rsidP="00453F14">
      <w:pPr>
        <w:pStyle w:val="Heading4"/>
        <w:numPr>
          <w:ilvl w:val="3"/>
          <w:numId w:val="51"/>
        </w:numPr>
      </w:pPr>
      <w:r w:rsidRPr="00A84492">
        <w:lastRenderedPageBreak/>
        <w:t>Comments</w:t>
      </w:r>
    </w:p>
    <w:p w14:paraId="1ECD9033" w14:textId="60FEA84F" w:rsidR="0004032E" w:rsidRDefault="002147CB" w:rsidP="00AA2116">
      <w:r>
        <w:t>FirstEnergy</w:t>
      </w:r>
      <w:r w:rsidR="0004032E">
        <w:t xml:space="preserve"> and Franklin Energy both note that the equations for solid door freezers do not match the ENERGY STAR specifications.  </w:t>
      </w:r>
      <w:r>
        <w:t>FirstEnergy</w:t>
      </w:r>
      <w:r w:rsidR="0004032E">
        <w:t xml:space="preserve"> </w:t>
      </w:r>
      <w:r w:rsidR="00023500">
        <w:t>C</w:t>
      </w:r>
      <w:r w:rsidR="0004032E">
        <w:t>omments at 10</w:t>
      </w:r>
      <w:r w:rsidR="00203139">
        <w:t xml:space="preserve"> and</w:t>
      </w:r>
      <w:r w:rsidR="001654E2">
        <w:t xml:space="preserve"> </w:t>
      </w:r>
      <w:r w:rsidR="0004032E">
        <w:t xml:space="preserve">Franklin Energy </w:t>
      </w:r>
      <w:r w:rsidR="00023500">
        <w:t>C</w:t>
      </w:r>
      <w:r w:rsidR="0004032E">
        <w:t>omments at 372.</w:t>
      </w:r>
    </w:p>
    <w:p w14:paraId="4F21BB69" w14:textId="77777777" w:rsidR="0004032E" w:rsidRDefault="0004032E" w:rsidP="00AA2116"/>
    <w:p w14:paraId="5C1F7E8A" w14:textId="3320EC7C" w:rsidR="0004032E" w:rsidRPr="001062F9" w:rsidRDefault="0004032E" w:rsidP="00453F14">
      <w:pPr>
        <w:pStyle w:val="Heading4"/>
        <w:numPr>
          <w:ilvl w:val="3"/>
          <w:numId w:val="51"/>
        </w:numPr>
      </w:pPr>
      <w:r w:rsidRPr="001062F9">
        <w:t>Disposition</w:t>
      </w:r>
    </w:p>
    <w:p w14:paraId="3F465457" w14:textId="6C56F637" w:rsidR="0004032E" w:rsidRDefault="0004032E" w:rsidP="00AA2116">
      <w:r>
        <w:t>The Commission agrees</w:t>
      </w:r>
      <w:r w:rsidR="008911B4">
        <w:t xml:space="preserve"> with the comments provided by FirstEnergy and Franklin Energy</w:t>
      </w:r>
      <w:r w:rsidR="00E71337">
        <w:t xml:space="preserve"> and has changed the </w:t>
      </w:r>
      <w:r>
        <w:t xml:space="preserve">relevant algorithm to match the ENERGY STAR specification. </w:t>
      </w:r>
    </w:p>
    <w:p w14:paraId="60497F96" w14:textId="3D3D3D22" w:rsidR="009442C8" w:rsidRDefault="009442C8" w:rsidP="00AA2116">
      <w:pPr>
        <w:pStyle w:val="BodyTextIndent3"/>
      </w:pPr>
    </w:p>
    <w:p w14:paraId="7EB08B7C" w14:textId="466A7A1C" w:rsidR="009442C8" w:rsidRPr="009D0B99" w:rsidRDefault="17C9E5F3" w:rsidP="00453F14">
      <w:pPr>
        <w:pStyle w:val="Heading3"/>
        <w:numPr>
          <w:ilvl w:val="2"/>
          <w:numId w:val="51"/>
        </w:numPr>
        <w:ind w:left="1440" w:hanging="720"/>
      </w:pPr>
      <w:bookmarkStart w:id="259" w:name="_Toc15657969"/>
      <w:r w:rsidRPr="009D0B99">
        <w:t>Section 3.5.2 – High-</w:t>
      </w:r>
      <w:r w:rsidR="006A3152">
        <w:t>e</w:t>
      </w:r>
      <w:r w:rsidRPr="009D0B99">
        <w:t xml:space="preserve">fficiency Evaporator Fan Motors </w:t>
      </w:r>
      <w:r w:rsidR="00CA4D5D">
        <w:t>f</w:t>
      </w:r>
      <w:r w:rsidRPr="009D0B99">
        <w:t>or Reach-</w:t>
      </w:r>
      <w:r w:rsidR="006A3152">
        <w:t>i</w:t>
      </w:r>
      <w:r w:rsidRPr="009D0B99">
        <w:t>n Refrigerated Cases</w:t>
      </w:r>
      <w:r w:rsidR="00D518C3">
        <w:rPr>
          <w:rStyle w:val="FootnoteReference"/>
        </w:rPr>
        <w:footnoteReference w:id="82"/>
      </w:r>
      <w:bookmarkEnd w:id="259"/>
    </w:p>
    <w:p w14:paraId="00D1A63F" w14:textId="02CABACF" w:rsidR="009442C8" w:rsidRPr="00433E5B" w:rsidRDefault="5826BB76" w:rsidP="00453F14">
      <w:pPr>
        <w:pStyle w:val="Heading4"/>
        <w:numPr>
          <w:ilvl w:val="3"/>
          <w:numId w:val="51"/>
        </w:numPr>
      </w:pPr>
      <w:bookmarkStart w:id="260" w:name="_Ref536182176"/>
      <w:r w:rsidRPr="00433E5B">
        <w:t>Algorithm Revision</w:t>
      </w:r>
      <w:bookmarkEnd w:id="260"/>
    </w:p>
    <w:p w14:paraId="05E378CF" w14:textId="038758CC" w:rsidR="009442C8" w:rsidRDefault="009442C8" w:rsidP="00AA2116">
      <w:r w:rsidRPr="55119DC7">
        <w:t>The Commission propose</w:t>
      </w:r>
      <w:r w:rsidR="00023500">
        <w:t>d</w:t>
      </w:r>
      <w:r w:rsidRPr="55119DC7">
        <w:t xml:space="preserve"> revising the annual energy savings and peak demand savings algorithms for this measure based on the Commercial Refrigeration Loadshape Project, a 2014 research effort from N</w:t>
      </w:r>
      <w:r w:rsidR="00BA7957" w:rsidRPr="55119DC7">
        <w:t xml:space="preserve">ortheast </w:t>
      </w:r>
      <w:r w:rsidRPr="55119DC7">
        <w:t>E</w:t>
      </w:r>
      <w:r w:rsidR="00BA7957" w:rsidRPr="55119DC7">
        <w:t xml:space="preserve">nergy </w:t>
      </w:r>
      <w:r w:rsidRPr="55119DC7">
        <w:t>E</w:t>
      </w:r>
      <w:r w:rsidR="00BA7957" w:rsidRPr="55119DC7">
        <w:t xml:space="preserve">fficiency </w:t>
      </w:r>
      <w:r w:rsidRPr="55119DC7">
        <w:t>P</w:t>
      </w:r>
      <w:r w:rsidR="00BA7957" w:rsidRPr="55119DC7">
        <w:t>artnership</w:t>
      </w:r>
      <w:r w:rsidRPr="55119DC7">
        <w:t>, Cadmus, and the Demand Management Institute</w:t>
      </w:r>
      <w:r w:rsidR="00A0651F" w:rsidRPr="55119DC7">
        <w:t>.</w:t>
      </w:r>
      <w:r w:rsidR="003414C8" w:rsidRPr="55119DC7">
        <w:rPr>
          <w:rStyle w:val="FootnoteReference"/>
          <w:szCs w:val="26"/>
        </w:rPr>
        <w:footnoteReference w:id="83"/>
      </w:r>
      <w:r w:rsidR="00A0651F" w:rsidRPr="55119DC7">
        <w:t xml:space="preserve">  </w:t>
      </w:r>
      <w:r w:rsidRPr="55119DC7">
        <w:t>This research effort examined the annual energy and peak demand savings associated with the installation of evaporator fan motors for reach-in and walk-in refrigerated cases</w:t>
      </w:r>
      <w:r w:rsidR="00A0651F" w:rsidRPr="55119DC7">
        <w:t xml:space="preserve">.  </w:t>
      </w:r>
      <w:r w:rsidRPr="55119DC7">
        <w:t xml:space="preserve">The updated algorithms will allow for </w:t>
      </w:r>
      <w:r w:rsidR="007A3579">
        <w:t>either</w:t>
      </w:r>
      <w:r w:rsidR="007A3579" w:rsidRPr="55119DC7">
        <w:t xml:space="preserve"> </w:t>
      </w:r>
      <w:r w:rsidRPr="55119DC7">
        <w:t>electronically commutated motors or permanent magnet synchronous motors in the efficient case (rather than just electronically commutated motors)</w:t>
      </w:r>
      <w:r w:rsidR="00A0651F" w:rsidRPr="55119DC7">
        <w:t xml:space="preserve">.  </w:t>
      </w:r>
      <w:r w:rsidRPr="55119DC7">
        <w:t>By virtue of revising the savings algorithms, the Commission propose</w:t>
      </w:r>
      <w:r w:rsidR="00847545">
        <w:t>d</w:t>
      </w:r>
      <w:r w:rsidRPr="55119DC7">
        <w:t xml:space="preserve"> removing the default savings tables, as some values in the algorithms must be collected by EDCs.</w:t>
      </w:r>
    </w:p>
    <w:p w14:paraId="366B5841" w14:textId="77777777" w:rsidR="00144AF1" w:rsidRDefault="00144AF1" w:rsidP="00AA2116"/>
    <w:p w14:paraId="5909D0F2" w14:textId="14616236" w:rsidR="0004032E" w:rsidRPr="001062F9" w:rsidRDefault="00440DFA" w:rsidP="00453F14">
      <w:pPr>
        <w:pStyle w:val="Heading5"/>
        <w:numPr>
          <w:ilvl w:val="4"/>
          <w:numId w:val="52"/>
        </w:numPr>
      </w:pPr>
      <w:r>
        <w:lastRenderedPageBreak/>
        <w:t>Comments</w:t>
      </w:r>
    </w:p>
    <w:p w14:paraId="68A1AE5A" w14:textId="4BC9C76B" w:rsidR="0004032E" w:rsidRDefault="002147CB" w:rsidP="00AA2116">
      <w:r>
        <w:t>FirstEnergy</w:t>
      </w:r>
      <w:r w:rsidR="0004032E">
        <w:t xml:space="preserve"> notes that the algorithms assume a 100% load factor.  They recommend adding a load </w:t>
      </w:r>
      <w:r w:rsidR="00E25919">
        <w:t>factor,</w:t>
      </w:r>
      <w:r w:rsidR="0004032E">
        <w:t xml:space="preserve"> </w:t>
      </w:r>
      <w:r w:rsidR="0004032E" w:rsidRPr="00075E56">
        <w:t>so the calculated motor power matches the measured motor power.</w:t>
      </w:r>
      <w:r w:rsidR="0004032E">
        <w:t xml:space="preserve"> </w:t>
      </w:r>
      <w:r w:rsidR="001654E2">
        <w:t xml:space="preserve"> </w:t>
      </w:r>
      <w:r>
        <w:t>FirstEnergy</w:t>
      </w:r>
      <w:r w:rsidR="0004032E">
        <w:t xml:space="preserve"> </w:t>
      </w:r>
      <w:r w:rsidR="00FD4A73">
        <w:t>C</w:t>
      </w:r>
      <w:r w:rsidR="0004032E">
        <w:t>omments at 10.</w:t>
      </w:r>
    </w:p>
    <w:p w14:paraId="1DAA95C1" w14:textId="77777777" w:rsidR="0004032E" w:rsidRDefault="0004032E" w:rsidP="00AA2116"/>
    <w:p w14:paraId="343FC589" w14:textId="0D64A650" w:rsidR="0004032E" w:rsidRPr="001062F9" w:rsidRDefault="00440DFA" w:rsidP="00453F14">
      <w:pPr>
        <w:pStyle w:val="Heading5"/>
        <w:numPr>
          <w:ilvl w:val="4"/>
          <w:numId w:val="52"/>
        </w:numPr>
      </w:pPr>
      <w:r w:rsidRPr="00245817">
        <w:t>Disposition</w:t>
      </w:r>
    </w:p>
    <w:p w14:paraId="08CA0B7B" w14:textId="34657DE1" w:rsidR="00144AF1" w:rsidRDefault="0004032E" w:rsidP="00AA2116">
      <w:r>
        <w:t xml:space="preserve">The Commission agrees with </w:t>
      </w:r>
      <w:r w:rsidR="002147CB">
        <w:t>FirstEnergy</w:t>
      </w:r>
      <w:r>
        <w:t xml:space="preserve">’s </w:t>
      </w:r>
      <w:r w:rsidR="002B03C9">
        <w:t>recommendation and has added a load factor of 0.90 to the algorithms</w:t>
      </w:r>
      <w:r>
        <w:t xml:space="preserve">. </w:t>
      </w:r>
    </w:p>
    <w:p w14:paraId="349AF256" w14:textId="77777777" w:rsidR="00E63E71" w:rsidRDefault="00E63E71" w:rsidP="00AA2116"/>
    <w:p w14:paraId="38FCB43C" w14:textId="77777777" w:rsidR="0004032E" w:rsidRDefault="5826BB76" w:rsidP="00453F14">
      <w:pPr>
        <w:pStyle w:val="Heading4"/>
        <w:numPr>
          <w:ilvl w:val="3"/>
          <w:numId w:val="52"/>
        </w:numPr>
      </w:pPr>
      <w:r>
        <w:t>Default Values</w:t>
      </w:r>
    </w:p>
    <w:p w14:paraId="519B31BF" w14:textId="77777777" w:rsidR="0004032E" w:rsidRDefault="0004032E" w:rsidP="00AA2116">
      <w:r w:rsidRPr="0096379A">
        <w:t>In updating the source</w:t>
      </w:r>
      <w:r>
        <w:t>s upon which this measure is based, several default values were either introduced or changed.</w:t>
      </w:r>
    </w:p>
    <w:p w14:paraId="49D03EF5" w14:textId="77777777" w:rsidR="0004032E" w:rsidRDefault="0004032E" w:rsidP="00AA2116">
      <w:pPr>
        <w:pStyle w:val="BodyTextIndent3"/>
      </w:pPr>
    </w:p>
    <w:p w14:paraId="550C1D49" w14:textId="02A6FD91" w:rsidR="0004032E" w:rsidRPr="001062F9" w:rsidRDefault="00440DFA" w:rsidP="00453F14">
      <w:pPr>
        <w:pStyle w:val="Heading5"/>
        <w:numPr>
          <w:ilvl w:val="4"/>
          <w:numId w:val="52"/>
        </w:numPr>
      </w:pPr>
      <w:r>
        <w:t>Comments</w:t>
      </w:r>
    </w:p>
    <w:p w14:paraId="4CCC6305" w14:textId="04AD0F1C" w:rsidR="0004032E" w:rsidRDefault="002147CB" w:rsidP="00AA2116">
      <w:r>
        <w:t>FirstEnergy</w:t>
      </w:r>
      <w:r w:rsidR="0004032E">
        <w:t xml:space="preserve"> states that the default value for</w:t>
      </w:r>
      <w:r w:rsidR="0004032E" w:rsidRPr="00075E56">
        <w:t xml:space="preserve"> baseline motor efficiency for PSC </w:t>
      </w:r>
      <w:r w:rsidR="0004032E">
        <w:t xml:space="preserve">motors </w:t>
      </w:r>
      <w:r w:rsidR="0004032E" w:rsidRPr="00075E56">
        <w:t>does not match</w:t>
      </w:r>
      <w:r w:rsidR="0004032E">
        <w:t xml:space="preserve"> the value given in the source.  Additionally, </w:t>
      </w:r>
      <w:r>
        <w:t>FirstEnergy</w:t>
      </w:r>
      <w:r w:rsidR="0004032E">
        <w:t xml:space="preserve"> notes that the waste heat factor </w:t>
      </w:r>
      <w:r w:rsidR="0004032E" w:rsidRPr="00075E56">
        <w:t xml:space="preserve">should not depend on the baseline existing fan motor. </w:t>
      </w:r>
      <w:r w:rsidR="0004032E">
        <w:t xml:space="preserve"> </w:t>
      </w:r>
      <w:r w:rsidR="0004032E" w:rsidRPr="00075E56">
        <w:t>The</w:t>
      </w:r>
      <w:r w:rsidR="0004032E">
        <w:t>y recommend</w:t>
      </w:r>
      <w:r w:rsidR="0004032E" w:rsidRPr="00075E56">
        <w:t xml:space="preserve"> </w:t>
      </w:r>
      <w:r w:rsidR="00915285">
        <w:t xml:space="preserve">waste heat factor </w:t>
      </w:r>
      <w:r w:rsidR="0004032E" w:rsidRPr="00075E56">
        <w:t>should depend on the refrigeration temperature and is independent of the equipment installed or removed.</w:t>
      </w:r>
      <w:r w:rsidR="0004032E">
        <w:t xml:space="preserve">  </w:t>
      </w:r>
      <w:r>
        <w:t>FirstEnergy</w:t>
      </w:r>
      <w:r w:rsidR="0004032E">
        <w:t xml:space="preserve"> </w:t>
      </w:r>
      <w:r w:rsidR="004E3854">
        <w:t>C</w:t>
      </w:r>
      <w:r w:rsidR="0004032E">
        <w:t>omments at 10.  Franklin Energy suggests that t</w:t>
      </w:r>
      <w:r w:rsidR="0004032E" w:rsidRPr="00075E56">
        <w:t>he source information seems high</w:t>
      </w:r>
      <w:r w:rsidR="0004032E">
        <w:t xml:space="preserve"> for the “%On_Uncontrolled” variable.  They state e</w:t>
      </w:r>
      <w:r w:rsidR="0004032E" w:rsidRPr="00075E56">
        <w:t>vaporator fans will not run when the evaporator is in defrost mode, otherwise it would be increasing the temperature of the space.</w:t>
      </w:r>
      <w:r w:rsidR="0004032E">
        <w:t xml:space="preserve">  Franklin Energy </w:t>
      </w:r>
      <w:r w:rsidR="004E3854">
        <w:t>C</w:t>
      </w:r>
      <w:r w:rsidR="0004032E">
        <w:t>omments at 374.</w:t>
      </w:r>
    </w:p>
    <w:p w14:paraId="57FF8710" w14:textId="77777777" w:rsidR="0004032E" w:rsidRDefault="0004032E" w:rsidP="00AA2116"/>
    <w:p w14:paraId="00ED5F43" w14:textId="21936AA7" w:rsidR="0004032E" w:rsidRPr="001062F9" w:rsidRDefault="00440DFA" w:rsidP="00453F14">
      <w:pPr>
        <w:pStyle w:val="Heading5"/>
        <w:numPr>
          <w:ilvl w:val="4"/>
          <w:numId w:val="52"/>
        </w:numPr>
      </w:pPr>
      <w:r w:rsidRPr="00245817">
        <w:t>Disposition</w:t>
      </w:r>
    </w:p>
    <w:p w14:paraId="342522BF" w14:textId="768A0F93" w:rsidR="0004032E" w:rsidRDefault="004227E6" w:rsidP="00AA2116">
      <w:r>
        <w:t>In response to FirstEnergy’s comment that the default value for</w:t>
      </w:r>
      <w:r w:rsidRPr="00075E56">
        <w:t xml:space="preserve"> baseline motor efficiency for PSC </w:t>
      </w:r>
      <w:r>
        <w:t xml:space="preserve">motors </w:t>
      </w:r>
      <w:r w:rsidRPr="00075E56">
        <w:t>does not match</w:t>
      </w:r>
      <w:r>
        <w:t xml:space="preserve"> the value given in the source, the Commission disagrees</w:t>
      </w:r>
      <w:r w:rsidR="006615B1">
        <w:t xml:space="preserve">.  </w:t>
      </w:r>
      <w:r>
        <w:t>We note that the baseline motor efficiency for PSC motors and the default value match the source</w:t>
      </w:r>
      <w:r w:rsidR="00351ECB">
        <w:t xml:space="preserve">.  </w:t>
      </w:r>
      <w:r w:rsidR="0004032E">
        <w:t xml:space="preserve">The relevant table in the source </w:t>
      </w:r>
      <w:r w:rsidR="0004032E" w:rsidRPr="00EB0EDA">
        <w:t xml:space="preserve">shows an efficiency range of </w:t>
      </w:r>
      <w:r w:rsidR="0004032E" w:rsidRPr="00EB0EDA">
        <w:lastRenderedPageBreak/>
        <w:t>50</w:t>
      </w:r>
      <w:r w:rsidR="00203139">
        <w:noBreakHyphen/>
      </w:r>
      <w:r w:rsidR="0004032E" w:rsidRPr="00EB0EDA">
        <w:t>70% for PSC motors</w:t>
      </w:r>
      <w:r w:rsidR="0004032E">
        <w:t>.</w:t>
      </w:r>
      <w:r w:rsidR="0004032E">
        <w:rPr>
          <w:rStyle w:val="FootnoteReference"/>
        </w:rPr>
        <w:footnoteReference w:id="84"/>
      </w:r>
      <w:r w:rsidR="0004032E">
        <w:t xml:space="preserve"> </w:t>
      </w:r>
      <w:r w:rsidR="00AB25A9">
        <w:t>A midpoint of 60% is used in the TRM.</w:t>
      </w:r>
      <w:r w:rsidR="00E63E71">
        <w:t xml:space="preserve">  </w:t>
      </w:r>
      <w:r w:rsidR="0004032E">
        <w:t xml:space="preserve">Regarding </w:t>
      </w:r>
      <w:r w:rsidR="00AB25A9">
        <w:t xml:space="preserve">FirstEnergy’s </w:t>
      </w:r>
      <w:r w:rsidR="0004032E">
        <w:t xml:space="preserve">comment concerning the default values for the </w:t>
      </w:r>
      <w:r w:rsidR="00915285">
        <w:t xml:space="preserve">waste heat factor </w:t>
      </w:r>
      <w:r w:rsidR="0004032E">
        <w:t xml:space="preserve">and </w:t>
      </w:r>
      <w:r w:rsidR="00AB25A9">
        <w:t xml:space="preserve">Franklin Energy’s comment concerning the default value for the </w:t>
      </w:r>
      <w:r w:rsidR="0004032E">
        <w:t xml:space="preserve">“%On_Uncontrolled” variable, the Commission notes that the default values for these inputs are taken directly from the source upon which this protocol is developed. </w:t>
      </w:r>
      <w:r w:rsidR="00433E5B">
        <w:t xml:space="preserve"> T</w:t>
      </w:r>
      <w:r w:rsidR="0004032E">
        <w:t xml:space="preserve">he Commission </w:t>
      </w:r>
      <w:r w:rsidR="00203139">
        <w:t xml:space="preserve">finds </w:t>
      </w:r>
      <w:r w:rsidR="0004032E">
        <w:t>the</w:t>
      </w:r>
      <w:r w:rsidR="00AB25A9">
        <w:t xml:space="preserve"> defaults </w:t>
      </w:r>
      <w:r w:rsidR="00203139">
        <w:t xml:space="preserve">to be </w:t>
      </w:r>
      <w:r w:rsidR="0004032E">
        <w:t xml:space="preserve">reasonable. </w:t>
      </w:r>
      <w:r w:rsidR="00AB25A9">
        <w:t xml:space="preserve"> No changes were made in response to either comment.</w:t>
      </w:r>
    </w:p>
    <w:p w14:paraId="75402105" w14:textId="77777777" w:rsidR="00B574B8" w:rsidRDefault="00B574B8" w:rsidP="00AA2116"/>
    <w:p w14:paraId="29E2DFA4" w14:textId="7F675C59" w:rsidR="009442C8" w:rsidRDefault="17C9E5F3" w:rsidP="00453F14">
      <w:pPr>
        <w:pStyle w:val="Heading3"/>
        <w:numPr>
          <w:ilvl w:val="2"/>
          <w:numId w:val="53"/>
        </w:numPr>
      </w:pPr>
      <w:bookmarkStart w:id="261" w:name="_Toc14686900"/>
      <w:bookmarkStart w:id="262" w:name="_Toc14687047"/>
      <w:bookmarkStart w:id="263" w:name="_Toc14687194"/>
      <w:bookmarkStart w:id="264" w:name="_Toc15657970"/>
      <w:bookmarkEnd w:id="261"/>
      <w:bookmarkEnd w:id="262"/>
      <w:bookmarkEnd w:id="263"/>
      <w:r w:rsidRPr="00A9619A">
        <w:t>Section 3.5.4 – Controls: Evaporator Fan Controllers</w:t>
      </w:r>
      <w:r w:rsidR="00BC6832">
        <w:rPr>
          <w:rStyle w:val="FootnoteReference"/>
        </w:rPr>
        <w:footnoteReference w:id="85"/>
      </w:r>
      <w:bookmarkEnd w:id="264"/>
    </w:p>
    <w:p w14:paraId="6164A76E" w14:textId="68CA7757" w:rsidR="009442C8" w:rsidRDefault="009442C8" w:rsidP="00AA2116">
      <w:r>
        <w:t xml:space="preserve">The Commission </w:t>
      </w:r>
      <w:r w:rsidR="0090732B">
        <w:t xml:space="preserve">proposed </w:t>
      </w:r>
      <w:r>
        <w:t>updating the measure life of refrigeration evaporator fan controllers with the most current DEER EUL value of 15 years.</w:t>
      </w:r>
      <w:r w:rsidR="00A40F9C">
        <w:t xml:space="preserve"> </w:t>
      </w:r>
      <w:r w:rsidR="004227E6">
        <w:t xml:space="preserve"> We </w:t>
      </w:r>
      <w:r w:rsidR="00A40F9C">
        <w:t xml:space="preserve">also </w:t>
      </w:r>
      <w:r w:rsidR="0090732B" w:rsidRPr="008F0EEE">
        <w:t>propose</w:t>
      </w:r>
      <w:r w:rsidR="0090732B">
        <w:t>d</w:t>
      </w:r>
      <w:r w:rsidR="0090732B" w:rsidRPr="008F0EEE">
        <w:t xml:space="preserve"> </w:t>
      </w:r>
      <w:r>
        <w:t>revising</w:t>
      </w:r>
      <w:r w:rsidRPr="008F0EEE">
        <w:t xml:space="preserve"> the </w:t>
      </w:r>
      <w:r>
        <w:t xml:space="preserve">annual energy savings and peak demand savings algorithms for this measure based on the </w:t>
      </w:r>
      <w:r w:rsidRPr="008A1CE3">
        <w:t xml:space="preserve">Commercial Refrigeration Loadshape Project, a </w:t>
      </w:r>
      <w:r>
        <w:t xml:space="preserve">2014 </w:t>
      </w:r>
      <w:r w:rsidRPr="008A1CE3">
        <w:t>research effort from NEEP, Cadmus, and the Demand Management Institute</w:t>
      </w:r>
      <w:r w:rsidR="00A0651F">
        <w:t>.</w:t>
      </w:r>
      <w:r w:rsidR="003414C8">
        <w:rPr>
          <w:rStyle w:val="FootnoteReference"/>
        </w:rPr>
        <w:footnoteReference w:id="86"/>
      </w:r>
      <w:r w:rsidR="00A0651F">
        <w:t xml:space="preserve">  </w:t>
      </w:r>
      <w:r>
        <w:t>This research effort examined the annual energy and peak demand savings associated with the installation of evaporator fan controllers for reach-in and walk-in refrigerated cases</w:t>
      </w:r>
      <w:r w:rsidR="00A0651F">
        <w:t xml:space="preserve">.  </w:t>
      </w:r>
      <w:r>
        <w:t xml:space="preserve">The algorithms in </w:t>
      </w:r>
      <w:r w:rsidRPr="55119DC7">
        <w:t xml:space="preserve">the </w:t>
      </w:r>
      <w:r w:rsidR="00377164" w:rsidRPr="55119DC7">
        <w:t xml:space="preserve">2016 </w:t>
      </w:r>
      <w:r w:rsidRPr="55119DC7">
        <w:t>TRM</w:t>
      </w:r>
      <w:r>
        <w:t xml:space="preserve"> cite the 2012 Massachusetts TRM, and the sources for many of the default values could not be found upon review in 2018</w:t>
      </w:r>
      <w:r w:rsidR="00A0651F">
        <w:t xml:space="preserve">.  </w:t>
      </w:r>
      <w:r>
        <w:t>The default values in the proposed revision draw primarily from the NEEP research effort mentioned herein</w:t>
      </w:r>
      <w:r w:rsidR="00A0651F">
        <w:t xml:space="preserve">.  </w:t>
      </w:r>
    </w:p>
    <w:p w14:paraId="6D4B400A" w14:textId="77777777" w:rsidR="008C1D28" w:rsidRDefault="008C1D28" w:rsidP="00AA2116"/>
    <w:p w14:paraId="7142D034" w14:textId="14185D1F" w:rsidR="0004032E" w:rsidRPr="001062F9" w:rsidRDefault="0004032E" w:rsidP="00453F14">
      <w:pPr>
        <w:pStyle w:val="Heading4"/>
        <w:numPr>
          <w:ilvl w:val="3"/>
          <w:numId w:val="53"/>
        </w:numPr>
      </w:pPr>
      <w:r w:rsidRPr="001062F9">
        <w:t>Comments</w:t>
      </w:r>
    </w:p>
    <w:p w14:paraId="2B3A552D" w14:textId="30E67716" w:rsidR="0004032E" w:rsidRDefault="002147CB" w:rsidP="00AA2116">
      <w:r>
        <w:t>FirstEnergy</w:t>
      </w:r>
      <w:r w:rsidR="0004032E">
        <w:t xml:space="preserve"> notes that the algorithms assume a 100% load factor.  They recommend adding a load factor </w:t>
      </w:r>
      <w:r w:rsidR="0004032E" w:rsidRPr="00075E56">
        <w:t>so the calculated motor power matches the measured motor power.</w:t>
      </w:r>
      <w:r w:rsidR="0004032E">
        <w:t xml:space="preserve"> </w:t>
      </w:r>
      <w:r w:rsidR="00AB25A9">
        <w:t xml:space="preserve"> </w:t>
      </w:r>
      <w:r>
        <w:t>FirstEnergy</w:t>
      </w:r>
      <w:r w:rsidR="0004032E">
        <w:t xml:space="preserve"> </w:t>
      </w:r>
      <w:r w:rsidR="00B62BD4">
        <w:t>C</w:t>
      </w:r>
      <w:r w:rsidR="0004032E">
        <w:t>omments at 10.  Franklin Energy suggests that t</w:t>
      </w:r>
      <w:r w:rsidR="0004032E" w:rsidRPr="00075E56">
        <w:t>he source information seems high</w:t>
      </w:r>
      <w:r w:rsidR="0004032E">
        <w:t xml:space="preserve"> for the “%On_Uncontrolled” variable.  They state e</w:t>
      </w:r>
      <w:r w:rsidR="0004032E" w:rsidRPr="00075E56">
        <w:t xml:space="preserve">vaporator </w:t>
      </w:r>
      <w:r w:rsidR="0004032E" w:rsidRPr="00075E56">
        <w:lastRenderedPageBreak/>
        <w:t>fans will not run when the evaporator is in defrost mode, otherwise it would be increasing the temperature of the space.</w:t>
      </w:r>
      <w:r w:rsidR="0004032E">
        <w:t xml:space="preserve">  Franklin Energy </w:t>
      </w:r>
      <w:r w:rsidR="00B62BD4">
        <w:t>C</w:t>
      </w:r>
      <w:r w:rsidR="0004032E">
        <w:t>omments at 377.</w:t>
      </w:r>
    </w:p>
    <w:p w14:paraId="77E2639B" w14:textId="77777777" w:rsidR="0004032E" w:rsidRDefault="0004032E" w:rsidP="00AA2116"/>
    <w:p w14:paraId="43141D5B" w14:textId="1747D58F" w:rsidR="0004032E" w:rsidRPr="001062F9" w:rsidRDefault="0004032E" w:rsidP="00453F14">
      <w:pPr>
        <w:pStyle w:val="Heading4"/>
        <w:numPr>
          <w:ilvl w:val="3"/>
          <w:numId w:val="53"/>
        </w:numPr>
      </w:pPr>
      <w:r w:rsidRPr="001062F9">
        <w:t>Disposition</w:t>
      </w:r>
    </w:p>
    <w:p w14:paraId="273C425B" w14:textId="5BC4CE05" w:rsidR="00AB25A9" w:rsidRDefault="0004032E" w:rsidP="00AA2116">
      <w:r>
        <w:t xml:space="preserve">The Commission agrees with </w:t>
      </w:r>
      <w:r w:rsidR="002147CB">
        <w:t>FirstEnergy</w:t>
      </w:r>
      <w:r>
        <w:t xml:space="preserve">’s </w:t>
      </w:r>
      <w:r w:rsidR="00651BE5">
        <w:t>recommendation and has added a</w:t>
      </w:r>
      <w:r>
        <w:t xml:space="preserve"> load factor into the algorithms</w:t>
      </w:r>
      <w:r w:rsidR="00AE5FFD">
        <w:t xml:space="preserve"> (with a default value of 0.90)</w:t>
      </w:r>
      <w:r w:rsidR="00AB25A9">
        <w:t xml:space="preserve"> for this measure</w:t>
      </w:r>
      <w:r>
        <w:t xml:space="preserve">.  </w:t>
      </w:r>
      <w:r w:rsidR="00AB25A9" w:rsidRPr="00AB25A9">
        <w:t xml:space="preserve">Regarding FirstEnergy’s comment concerning the default values for the waste heat factor and Franklin Energy’s comment concerning the default value for the “%On_Uncontrolled” variable, the Commission notes that the default values for these inputs are taken directly from the source upon which this protocol is developed. </w:t>
      </w:r>
      <w:r w:rsidR="00433E5B">
        <w:t xml:space="preserve"> T</w:t>
      </w:r>
      <w:r w:rsidR="00AB25A9" w:rsidRPr="00AB25A9">
        <w:t xml:space="preserve">he Commission </w:t>
      </w:r>
      <w:r w:rsidR="00203139">
        <w:t>finds</w:t>
      </w:r>
      <w:r w:rsidR="00203139" w:rsidRPr="00AB25A9">
        <w:t xml:space="preserve"> </w:t>
      </w:r>
      <w:r w:rsidR="00203139">
        <w:t xml:space="preserve">that </w:t>
      </w:r>
      <w:r w:rsidR="00AB25A9" w:rsidRPr="00AB25A9">
        <w:t>the defaults are reasonable.  No changes were made in response to either comment.</w:t>
      </w:r>
    </w:p>
    <w:p w14:paraId="6D78230A" w14:textId="77777777" w:rsidR="009442C8" w:rsidRDefault="009442C8" w:rsidP="00AA2116"/>
    <w:p w14:paraId="34E52F0B" w14:textId="1F08674E" w:rsidR="009442C8" w:rsidRDefault="17C9E5F3" w:rsidP="00453F14">
      <w:pPr>
        <w:pStyle w:val="Heading3"/>
        <w:numPr>
          <w:ilvl w:val="2"/>
          <w:numId w:val="53"/>
        </w:numPr>
      </w:pPr>
      <w:bookmarkStart w:id="265" w:name="_Toc15657971"/>
      <w:r>
        <w:t>Section 3.5.5 – Controls: Floating Head Pressure Controls</w:t>
      </w:r>
      <w:r w:rsidR="00BC6832">
        <w:rPr>
          <w:rStyle w:val="FootnoteReference"/>
        </w:rPr>
        <w:footnoteReference w:id="87"/>
      </w:r>
      <w:bookmarkEnd w:id="265"/>
    </w:p>
    <w:p w14:paraId="625A7423" w14:textId="55B3BF17" w:rsidR="009442C8" w:rsidRDefault="009442C8" w:rsidP="00AA2116">
      <w:r>
        <w:t>The Commission propose</w:t>
      </w:r>
      <w:r w:rsidR="002270BF">
        <w:t>d</w:t>
      </w:r>
      <w:r>
        <w:t xml:space="preserve"> updating the </w:t>
      </w:r>
      <w:r w:rsidR="003439E3">
        <w:t xml:space="preserve">default values for the </w:t>
      </w:r>
      <w:r>
        <w:t>COP for refrigerator</w:t>
      </w:r>
      <w:r w:rsidR="00BA381E" w:rsidRPr="3FA6411C">
        <w:t xml:space="preserve"> </w:t>
      </w:r>
      <w:r w:rsidRPr="3FA6411C">
        <w:t>/</w:t>
      </w:r>
      <w:r w:rsidR="00BA381E" w:rsidRPr="3FA6411C">
        <w:t xml:space="preserve"> </w:t>
      </w:r>
      <w:r>
        <w:t xml:space="preserve">freezer condensing units and remote condensers based on an updated version of the RTF measure upon which these defaults </w:t>
      </w:r>
      <w:r w:rsidR="00887137">
        <w:t>are</w:t>
      </w:r>
      <w:r w:rsidRPr="3FA6411C">
        <w:t xml:space="preserve"> </w:t>
      </w:r>
      <w:r w:rsidR="00887137">
        <w:t>currently</w:t>
      </w:r>
      <w:r>
        <w:t xml:space="preserve"> sourced (Grocery Floating Head Pressure Controls for Single Compressor Systems)</w:t>
      </w:r>
      <w:r w:rsidR="00A0651F" w:rsidRPr="3FA6411C">
        <w:t>.</w:t>
      </w:r>
      <w:r w:rsidR="003414C8">
        <w:rPr>
          <w:rStyle w:val="FootnoteReference"/>
        </w:rPr>
        <w:footnoteReference w:id="88"/>
      </w:r>
      <w:r w:rsidR="00A0651F" w:rsidRPr="3FA6411C">
        <w:t xml:space="preserve">  </w:t>
      </w:r>
      <w:r>
        <w:t xml:space="preserve">The most recent version of the RTF measure was updated in 2016; the </w:t>
      </w:r>
      <w:r w:rsidR="00A94B9D">
        <w:t>2016</w:t>
      </w:r>
      <w:r>
        <w:t xml:space="preserve"> TRM draws from a 2010 version of the RTF measure</w:t>
      </w:r>
      <w:r w:rsidR="00A0651F" w:rsidRPr="3FA6411C">
        <w:t xml:space="preserve">.  </w:t>
      </w:r>
      <w:r>
        <w:t>For condensing units, the proposed COP values are slightly higher</w:t>
      </w:r>
      <w:r w:rsidR="00A0651F" w:rsidRPr="3FA6411C">
        <w:t xml:space="preserve">.  </w:t>
      </w:r>
      <w:r>
        <w:t>For remote condensers, the proposed COP values are slightly lower</w:t>
      </w:r>
      <w:r w:rsidR="00A0651F" w:rsidRPr="3FA6411C">
        <w:t xml:space="preserve">.  </w:t>
      </w:r>
      <w:r>
        <w:t>These proposed updates will flow through to the default savings tables included in this protocol</w:t>
      </w:r>
      <w:r w:rsidR="00A0651F" w:rsidRPr="3FA6411C">
        <w:t xml:space="preserve">.  </w:t>
      </w:r>
    </w:p>
    <w:p w14:paraId="2913D3C3" w14:textId="77777777" w:rsidR="008C1D28" w:rsidRDefault="008C1D28" w:rsidP="00AA2116"/>
    <w:p w14:paraId="2687A827" w14:textId="16526E1D" w:rsidR="0004032E" w:rsidRPr="001062F9" w:rsidRDefault="0004032E" w:rsidP="00453F14">
      <w:pPr>
        <w:pStyle w:val="Heading4"/>
        <w:numPr>
          <w:ilvl w:val="3"/>
          <w:numId w:val="53"/>
        </w:numPr>
      </w:pPr>
      <w:r w:rsidRPr="001062F9">
        <w:t>Comments</w:t>
      </w:r>
    </w:p>
    <w:p w14:paraId="3D4A990A" w14:textId="29299F5D" w:rsidR="0004032E" w:rsidRDefault="00203139" w:rsidP="00AA2116">
      <w:r>
        <w:t xml:space="preserve">FirstEnergy states that </w:t>
      </w:r>
      <w:r w:rsidR="0004032E">
        <w:t xml:space="preserve">Source 2 </w:t>
      </w:r>
      <w:r w:rsidR="00651BE5">
        <w:t xml:space="preserve">for this protocol in the manual </w:t>
      </w:r>
      <w:r w:rsidR="0004032E">
        <w:t>notes that d</w:t>
      </w:r>
      <w:r w:rsidR="0004032E" w:rsidRPr="00D82CB4">
        <w:t>eemed saving</w:t>
      </w:r>
      <w:r w:rsidR="0004032E">
        <w:t>s</w:t>
      </w:r>
      <w:r w:rsidR="0004032E" w:rsidRPr="00D82CB4">
        <w:t xml:space="preserve"> estimates </w:t>
      </w:r>
      <w:r w:rsidR="0004032E">
        <w:t xml:space="preserve">for the Pennsylvania weather cities are extrapolated based on deemed savings value for eight cities in the Northwest (using </w:t>
      </w:r>
      <w:r w:rsidR="0004032E" w:rsidRPr="00D82CB4">
        <w:t>cooling degree days</w:t>
      </w:r>
      <w:r w:rsidR="0004032E">
        <w:t>, CDD</w:t>
      </w:r>
      <w:r w:rsidR="00651BE5">
        <w:t>), and</w:t>
      </w:r>
      <w:r w:rsidR="0004032E">
        <w:t xml:space="preserve"> </w:t>
      </w:r>
      <w:r w:rsidR="0004032E">
        <w:lastRenderedPageBreak/>
        <w:t xml:space="preserve">suggests that the use of regression here is improper, as they were unable to find a linear relationship between the deemed savings estimate and the CDD for each city.  </w:t>
      </w:r>
      <w:r w:rsidR="002147CB">
        <w:t>FirstEnergy</w:t>
      </w:r>
      <w:r w:rsidR="0004032E">
        <w:t xml:space="preserve"> </w:t>
      </w:r>
      <w:r w:rsidR="000C5D11">
        <w:t>C</w:t>
      </w:r>
      <w:r w:rsidR="0004032E">
        <w:t>omments at 11.</w:t>
      </w:r>
    </w:p>
    <w:p w14:paraId="71DDE94D" w14:textId="77777777" w:rsidR="0004032E" w:rsidRDefault="0004032E" w:rsidP="00AA2116"/>
    <w:p w14:paraId="694C128D" w14:textId="2E95D9E4" w:rsidR="0004032E" w:rsidRPr="001062F9" w:rsidRDefault="0004032E" w:rsidP="00453F14">
      <w:pPr>
        <w:pStyle w:val="Heading4"/>
        <w:numPr>
          <w:ilvl w:val="3"/>
          <w:numId w:val="53"/>
        </w:numPr>
      </w:pPr>
      <w:r w:rsidRPr="001062F9">
        <w:t>Disposition</w:t>
      </w:r>
    </w:p>
    <w:p w14:paraId="28258A3B" w14:textId="1E4B686B" w:rsidR="008C1D28" w:rsidRDefault="00AB25A9" w:rsidP="00AA2116">
      <w:r>
        <w:t>The Commission largely rejects FirstEnergy’s comment</w:t>
      </w:r>
      <w:r w:rsidR="006615B1">
        <w:t xml:space="preserve">.  </w:t>
      </w:r>
      <w:r w:rsidR="0004032E">
        <w:t xml:space="preserve">There are four sets of savings values to consider </w:t>
      </w:r>
      <w:r>
        <w:t>in this measure</w:t>
      </w:r>
      <w:r w:rsidR="00B96574">
        <w:t>:</w:t>
      </w:r>
      <w:r w:rsidR="008A18F0">
        <w:t xml:space="preserve"> </w:t>
      </w:r>
      <w:r w:rsidR="0004032E">
        <w:t>condensing units in refrigerators, condensing units in freezers, remote condensers in refrigerators, and remote condensers in freezers.  For the three sets other than remote condensers in refrigerators, the deemed savings estimates are highly correlated with annual CDD (based on typical meteorological year weather) for the eight cities in the RTF study.  For condensing units in refrigerators, the correlation between deemed savings estimate and CDD is -0.94.  For condensing units in freezers, the correlation between deemed savings estimate and CDD is also -0.94.  For remote condensers in freezers, the correlation between deemed savings estimate and CDD is -0.97.  For remote condensers in refrigerators, deemed savings are correlated with annual CDD if two outliers are removed.  Since the deemed savings values are strongly correlated with CDD for the other three technologies</w:t>
      </w:r>
      <w:r w:rsidR="0054506B">
        <w:t xml:space="preserve">, we </w:t>
      </w:r>
      <w:r w:rsidR="00203139">
        <w:t xml:space="preserve">find that </w:t>
      </w:r>
      <w:r w:rsidR="0054506B">
        <w:t xml:space="preserve">it is </w:t>
      </w:r>
      <w:r w:rsidR="0004032E">
        <w:t xml:space="preserve">permissible to ignore the outliers for the fourth technology (remote condensers in refrigerators).  </w:t>
      </w:r>
      <w:r w:rsidR="00D32CEA">
        <w:t xml:space="preserve">The Commission has updated the default </w:t>
      </w:r>
      <w:r w:rsidR="0004032E">
        <w:t>savings values for this technology were updated in the TRM based on a new regression model.</w:t>
      </w:r>
    </w:p>
    <w:p w14:paraId="43265295" w14:textId="77777777" w:rsidR="009442C8" w:rsidRDefault="009442C8" w:rsidP="00AA2116"/>
    <w:p w14:paraId="303AFF3D" w14:textId="0A3148F4" w:rsidR="009442C8" w:rsidRDefault="17C9E5F3" w:rsidP="00453F14">
      <w:pPr>
        <w:pStyle w:val="Heading3"/>
        <w:numPr>
          <w:ilvl w:val="2"/>
          <w:numId w:val="53"/>
        </w:numPr>
      </w:pPr>
      <w:bookmarkStart w:id="266" w:name="_Toc15657972"/>
      <w:r>
        <w:t>Section 3.5.6 – Controls: Anti-</w:t>
      </w:r>
      <w:r w:rsidR="000D4F34">
        <w:t>s</w:t>
      </w:r>
      <w:r>
        <w:t>weat Heater Controls</w:t>
      </w:r>
      <w:r w:rsidR="00BC6832">
        <w:rPr>
          <w:rStyle w:val="FootnoteReference"/>
        </w:rPr>
        <w:footnoteReference w:id="89"/>
      </w:r>
      <w:bookmarkEnd w:id="266"/>
    </w:p>
    <w:p w14:paraId="3D1529F7" w14:textId="7BFA26FD" w:rsidR="00E64334" w:rsidRPr="003439E3" w:rsidRDefault="009442C8" w:rsidP="00AA2116">
      <w:r w:rsidRPr="55119DC7">
        <w:t>The Commission propose</w:t>
      </w:r>
      <w:r w:rsidR="000421C6">
        <w:t>d</w:t>
      </w:r>
      <w:r w:rsidRPr="55119DC7">
        <w:t xml:space="preserve"> revising the annual energy savings and peak demand savings algorithms for this measure based on the Commercial Refrigeration Loadshape Project, a 2014 research effort from NEEP, Cadmus, and the Demand Management Institute</w:t>
      </w:r>
      <w:r w:rsidR="00A0651F" w:rsidRPr="55119DC7">
        <w:t>.</w:t>
      </w:r>
      <w:r w:rsidR="005A4A17" w:rsidRPr="55119DC7">
        <w:rPr>
          <w:rStyle w:val="FootnoteReference"/>
          <w:szCs w:val="26"/>
        </w:rPr>
        <w:footnoteReference w:id="90"/>
      </w:r>
      <w:r w:rsidR="00A0651F" w:rsidRPr="55119DC7">
        <w:t xml:space="preserve">  </w:t>
      </w:r>
      <w:r w:rsidRPr="55119DC7">
        <w:t xml:space="preserve">This research effort examined the annual energy and peak demand savings </w:t>
      </w:r>
      <w:r w:rsidRPr="55119DC7">
        <w:lastRenderedPageBreak/>
        <w:t>associated with the installation of anti-sweat heater controls</w:t>
      </w:r>
      <w:r w:rsidR="00A0651F" w:rsidRPr="55119DC7">
        <w:t xml:space="preserve">.  </w:t>
      </w:r>
      <w:r w:rsidR="00D32CEA">
        <w:t xml:space="preserve">We also </w:t>
      </w:r>
      <w:r w:rsidR="00846C38" w:rsidRPr="55119DC7">
        <w:t>propose</w:t>
      </w:r>
      <w:r w:rsidR="00846C38">
        <w:t>d</w:t>
      </w:r>
      <w:r w:rsidR="00846C38" w:rsidRPr="55119DC7">
        <w:t xml:space="preserve"> </w:t>
      </w:r>
      <w:r w:rsidRPr="55119DC7">
        <w:t xml:space="preserve">making this change for two reasons: (1) The NEEP study is more recent than the sources </w:t>
      </w:r>
      <w:r w:rsidRPr="00310C73">
        <w:t xml:space="preserve">used in the </w:t>
      </w:r>
      <w:r w:rsidR="00377164" w:rsidRPr="00A020A6">
        <w:t xml:space="preserve">2016 </w:t>
      </w:r>
      <w:r w:rsidRPr="00310C73">
        <w:t xml:space="preserve">TRM and (2) several of the default values in the </w:t>
      </w:r>
      <w:r w:rsidR="00377164" w:rsidRPr="00A020A6">
        <w:t xml:space="preserve">2016 </w:t>
      </w:r>
      <w:r w:rsidRPr="00310C73">
        <w:t>TRM could not be</w:t>
      </w:r>
      <w:r w:rsidRPr="55119DC7">
        <w:t xml:space="preserve"> verified in 2018</w:t>
      </w:r>
      <w:r w:rsidR="00A0651F" w:rsidRPr="55119DC7">
        <w:t xml:space="preserve">.  </w:t>
      </w:r>
      <w:r w:rsidRPr="55119DC7">
        <w:t>The default values in the proposed revision draw solely from the NEEP research effort mentioned herein</w:t>
      </w:r>
      <w:r w:rsidR="00A0651F" w:rsidRPr="55119DC7">
        <w:t xml:space="preserve">.  </w:t>
      </w:r>
    </w:p>
    <w:p w14:paraId="3C41EDFC" w14:textId="77777777" w:rsidR="008C1D28" w:rsidRDefault="008C1D28" w:rsidP="00AA2116"/>
    <w:p w14:paraId="36F1F47A" w14:textId="1DF45D40" w:rsidR="0004032E" w:rsidRPr="001062F9" w:rsidRDefault="0004032E" w:rsidP="00453F14">
      <w:pPr>
        <w:pStyle w:val="Heading4"/>
        <w:numPr>
          <w:ilvl w:val="3"/>
          <w:numId w:val="53"/>
        </w:numPr>
      </w:pPr>
      <w:r w:rsidRPr="001062F9">
        <w:t>Comments</w:t>
      </w:r>
    </w:p>
    <w:p w14:paraId="7B3CB586" w14:textId="67AB85C5" w:rsidR="0004032E" w:rsidRDefault="002147CB" w:rsidP="00AA2116">
      <w:r>
        <w:t>FirstEnergy</w:t>
      </w:r>
      <w:r w:rsidR="0004032E">
        <w:t xml:space="preserve"> </w:t>
      </w:r>
      <w:r w:rsidR="00846C38">
        <w:t xml:space="preserve">notes </w:t>
      </w:r>
      <w:r w:rsidR="0004032E">
        <w:t xml:space="preserve">a typo in the eligibility section.  Additionally, </w:t>
      </w:r>
      <w:r>
        <w:t>FirstEnergy</w:t>
      </w:r>
      <w:r w:rsidR="0004032E">
        <w:t xml:space="preserve"> </w:t>
      </w:r>
      <w:r w:rsidR="00D32CEA">
        <w:t xml:space="preserve">states </w:t>
      </w:r>
      <w:r w:rsidR="0004032E">
        <w:t xml:space="preserve">that the default values for the waste heat factors are off by one decimal.  </w:t>
      </w:r>
      <w:r>
        <w:t>FirstEnergy</w:t>
      </w:r>
      <w:r w:rsidR="0004032E">
        <w:t xml:space="preserve"> </w:t>
      </w:r>
      <w:r w:rsidR="00C74726">
        <w:t>C</w:t>
      </w:r>
      <w:r w:rsidR="0004032E">
        <w:t>omments at 11.</w:t>
      </w:r>
    </w:p>
    <w:p w14:paraId="630CC146" w14:textId="77777777" w:rsidR="0004032E" w:rsidRDefault="0004032E" w:rsidP="00AA2116"/>
    <w:p w14:paraId="7B5F9456" w14:textId="0BEF20F4" w:rsidR="0004032E" w:rsidRPr="001062F9" w:rsidRDefault="0004032E" w:rsidP="00453F14">
      <w:pPr>
        <w:pStyle w:val="Heading4"/>
        <w:numPr>
          <w:ilvl w:val="3"/>
          <w:numId w:val="53"/>
        </w:numPr>
      </w:pPr>
      <w:r w:rsidRPr="001062F9">
        <w:t>Disposition</w:t>
      </w:r>
    </w:p>
    <w:p w14:paraId="1CCA9564" w14:textId="01BAFF82" w:rsidR="0004032E" w:rsidRDefault="0004032E" w:rsidP="00AA2116">
      <w:r>
        <w:t xml:space="preserve">The Commission agrees with both of </w:t>
      </w:r>
      <w:r w:rsidR="002147CB">
        <w:t>FirstEnergy</w:t>
      </w:r>
      <w:r>
        <w:t xml:space="preserve">’s </w:t>
      </w:r>
      <w:r w:rsidR="00D3642A">
        <w:t xml:space="preserve">recommendations and has updated the typo in the eligibility section </w:t>
      </w:r>
      <w:r w:rsidR="00004367">
        <w:t>and</w:t>
      </w:r>
      <w:r w:rsidR="00D3642A">
        <w:t xml:space="preserve"> the default</w:t>
      </w:r>
      <w:r>
        <w:t xml:space="preserve"> waste heat factors.</w:t>
      </w:r>
    </w:p>
    <w:p w14:paraId="15BC5FC7" w14:textId="69BF33B8" w:rsidR="008C1D28" w:rsidRDefault="008C1D28" w:rsidP="00AA2116"/>
    <w:p w14:paraId="672FFD6C" w14:textId="01A053DD" w:rsidR="0004032E" w:rsidRDefault="0004032E" w:rsidP="00453F14">
      <w:pPr>
        <w:pStyle w:val="Heading3"/>
        <w:numPr>
          <w:ilvl w:val="2"/>
          <w:numId w:val="53"/>
        </w:numPr>
      </w:pPr>
      <w:bookmarkStart w:id="267" w:name="_Toc15657973"/>
      <w:r>
        <w:t>Section 3.5.7 – Controls: Evaporator Coil Defrost Control</w:t>
      </w:r>
      <w:r>
        <w:rPr>
          <w:rStyle w:val="FootnoteReference"/>
        </w:rPr>
        <w:footnoteReference w:id="91"/>
      </w:r>
      <w:bookmarkEnd w:id="267"/>
    </w:p>
    <w:p w14:paraId="0F81FAC1" w14:textId="3EDBB449" w:rsidR="0004032E" w:rsidRDefault="0004032E" w:rsidP="00AA2116">
      <w:r w:rsidRPr="00523C38">
        <w:t xml:space="preserve">The Commission did not propose changes to </w:t>
      </w:r>
      <w:r w:rsidR="00D06FF0">
        <w:t>Section 3.5.7 – Controls: Evaporator Coil Defrost Control</w:t>
      </w:r>
      <w:r w:rsidRPr="00523C38">
        <w:t>.  However, comments were received and are addressed below.</w:t>
      </w:r>
    </w:p>
    <w:p w14:paraId="52575ABA" w14:textId="77777777" w:rsidR="004F4B81" w:rsidRDefault="004F4B81" w:rsidP="00AA2116"/>
    <w:p w14:paraId="087D65E7" w14:textId="29F15344" w:rsidR="0004032E" w:rsidRPr="001062F9" w:rsidRDefault="0004032E" w:rsidP="00453F14">
      <w:pPr>
        <w:pStyle w:val="Heading4"/>
        <w:numPr>
          <w:ilvl w:val="3"/>
          <w:numId w:val="53"/>
        </w:numPr>
      </w:pPr>
      <w:r w:rsidRPr="001062F9">
        <w:t>Comments</w:t>
      </w:r>
    </w:p>
    <w:p w14:paraId="4DBB13B4" w14:textId="2189CC1A" w:rsidR="0004032E" w:rsidRDefault="002147CB" w:rsidP="00AA2116">
      <w:r>
        <w:t>FirstEnergy</w:t>
      </w:r>
      <w:r w:rsidR="0004032E">
        <w:t xml:space="preserve"> notes that t</w:t>
      </w:r>
      <w:r w:rsidR="0004032E" w:rsidRPr="00833D06">
        <w:t>he measure uses an EUL of 10 but Source 1 states the only moving part is a relay with an EUL over 15 years.</w:t>
      </w:r>
      <w:r w:rsidR="006615B1">
        <w:t xml:space="preserve">  </w:t>
      </w:r>
      <w:r w:rsidR="0004032E">
        <w:t xml:space="preserve">Additionally, </w:t>
      </w:r>
      <w:r>
        <w:t>FirstEnergy</w:t>
      </w:r>
      <w:r w:rsidR="0004032E">
        <w:t xml:space="preserve"> recommends aligning the waste heat factor used in this measure with waste heat factors used elsewhere in the TRM (namely, sections 3.5.2 and 3.5.3).  </w:t>
      </w:r>
      <w:r>
        <w:t>FirstEnergy</w:t>
      </w:r>
      <w:r w:rsidR="0004032E">
        <w:t xml:space="preserve"> </w:t>
      </w:r>
      <w:r w:rsidR="003B28D1">
        <w:t>C</w:t>
      </w:r>
      <w:r w:rsidR="0004032E">
        <w:t>omments at 11.</w:t>
      </w:r>
    </w:p>
    <w:p w14:paraId="32528BEB" w14:textId="3889206C" w:rsidR="0004032E" w:rsidRPr="001337B6" w:rsidRDefault="0004032E" w:rsidP="00453F14">
      <w:pPr>
        <w:pStyle w:val="Heading4"/>
        <w:numPr>
          <w:ilvl w:val="3"/>
          <w:numId w:val="53"/>
        </w:numPr>
      </w:pPr>
      <w:r w:rsidRPr="001337B6">
        <w:t>Disposition</w:t>
      </w:r>
    </w:p>
    <w:p w14:paraId="0EAD7402" w14:textId="5461BD35" w:rsidR="00A0109C" w:rsidRDefault="00A0109C" w:rsidP="00AA2116">
      <w:r>
        <w:t xml:space="preserve">Responding to FirstEnergy’s statement regarding the ten-year EUL, the Commission </w:t>
      </w:r>
      <w:r w:rsidR="00425016">
        <w:t xml:space="preserve">finds that </w:t>
      </w:r>
      <w:r>
        <w:t>this</w:t>
      </w:r>
      <w:r w:rsidRPr="00833D06">
        <w:t xml:space="preserve"> is a conservative estimate</w:t>
      </w:r>
      <w:r>
        <w:t xml:space="preserve"> based on the expected lifecycles of </w:t>
      </w:r>
      <w:r>
        <w:lastRenderedPageBreak/>
        <w:t xml:space="preserve">the components.  </w:t>
      </w:r>
      <w:r w:rsidR="006E74FC">
        <w:t>Regarding FirstEnergy’s comment about waste heat factors</w:t>
      </w:r>
      <w:r>
        <w:t>, the Commission notes that the waste heat factor values used in this measure are very similar to the values used earlier in Section 3.5 (Commercial Refrigeration).  This measure involves a slightly different technology</w:t>
      </w:r>
      <w:r w:rsidR="006E74FC">
        <w:t xml:space="preserve"> compared to the measures referenced by FirstEnergy</w:t>
      </w:r>
      <w:r w:rsidR="00E76FC7">
        <w:t>;</w:t>
      </w:r>
      <w:r>
        <w:t xml:space="preserve"> therefore</w:t>
      </w:r>
      <w:r w:rsidR="00E76FC7">
        <w:t>,</w:t>
      </w:r>
      <w:r>
        <w:t xml:space="preserve"> </w:t>
      </w:r>
      <w:r w:rsidR="00992F39">
        <w:t>this comment is rejected.</w:t>
      </w:r>
    </w:p>
    <w:p w14:paraId="64DA5BD2" w14:textId="77777777" w:rsidR="0004032E" w:rsidRDefault="0004032E" w:rsidP="00AA2116"/>
    <w:p w14:paraId="5D87F2A5" w14:textId="45C5D220" w:rsidR="003439E3" w:rsidRDefault="17C9E5F3" w:rsidP="00453F14">
      <w:pPr>
        <w:pStyle w:val="Heading3"/>
        <w:numPr>
          <w:ilvl w:val="2"/>
          <w:numId w:val="53"/>
        </w:numPr>
      </w:pPr>
      <w:bookmarkStart w:id="268" w:name="_Toc15657974"/>
      <w:r>
        <w:t>Section 3.5.8 – Variable Speed Refrigeration Compressor</w:t>
      </w:r>
      <w:r w:rsidR="00BC6832">
        <w:rPr>
          <w:rStyle w:val="FootnoteReference"/>
        </w:rPr>
        <w:footnoteReference w:id="92"/>
      </w:r>
      <w:bookmarkEnd w:id="268"/>
    </w:p>
    <w:p w14:paraId="4C7576BB" w14:textId="7BD25EB6" w:rsidR="003439E3" w:rsidRDefault="003439E3" w:rsidP="00AA2116">
      <w:r>
        <w:t xml:space="preserve">The Commission </w:t>
      </w:r>
      <w:r w:rsidR="007D25AE">
        <w:t xml:space="preserve">proposed </w:t>
      </w:r>
      <w:r>
        <w:t>changing the default COP value based on 2009 commercial refrigeration research by the U.S</w:t>
      </w:r>
      <w:r w:rsidR="00A0651F" w:rsidRPr="3FA6411C">
        <w:t xml:space="preserve">. </w:t>
      </w:r>
      <w:r>
        <w:t>DOE</w:t>
      </w:r>
      <w:r w:rsidR="005A4A17">
        <w:rPr>
          <w:rStyle w:val="FootnoteReference"/>
        </w:rPr>
        <w:footnoteReference w:id="93"/>
      </w:r>
      <w:r>
        <w:t xml:space="preserve"> and based on the</w:t>
      </w:r>
      <w:r w:rsidR="00310C73" w:rsidRPr="3FA6411C">
        <w:t xml:space="preserve"> </w:t>
      </w:r>
      <w:r w:rsidR="00310C73">
        <w:t xml:space="preserve">Act 129 </w:t>
      </w:r>
      <w:r w:rsidR="00310C73" w:rsidRPr="001323BE">
        <w:t xml:space="preserve">2018 Pennsylvania </w:t>
      </w:r>
      <w:r w:rsidR="00310C73">
        <w:t>Non-</w:t>
      </w:r>
      <w:r w:rsidR="007D25AE">
        <w:t>r</w:t>
      </w:r>
      <w:r w:rsidR="007D25AE" w:rsidRPr="001323BE">
        <w:t xml:space="preserve">esidential </w:t>
      </w:r>
      <w:r w:rsidR="00310C73" w:rsidRPr="001323BE">
        <w:t>Baseline Study</w:t>
      </w:r>
      <w:r w:rsidR="00A0651F" w:rsidRPr="3FA6411C">
        <w:t xml:space="preserve">.  </w:t>
      </w:r>
      <w:r>
        <w:t xml:space="preserve">The COP value used in the </w:t>
      </w:r>
      <w:r w:rsidR="00377164" w:rsidRPr="000563AA">
        <w:t xml:space="preserve">2016 </w:t>
      </w:r>
      <w:r>
        <w:t xml:space="preserve">TRM is based on a 1996 </w:t>
      </w:r>
      <w:r w:rsidR="0076745E">
        <w:t xml:space="preserve">U.S. </w:t>
      </w:r>
      <w:r>
        <w:t>DOE publication</w:t>
      </w:r>
      <w:r w:rsidR="00A0651F" w:rsidRPr="3FA6411C">
        <w:t xml:space="preserve">.  </w:t>
      </w:r>
      <w:r>
        <w:t xml:space="preserve">Additionally, </w:t>
      </w:r>
      <w:r w:rsidR="00331870">
        <w:t>we</w:t>
      </w:r>
      <w:r>
        <w:t xml:space="preserve"> proposed providing</w:t>
      </w:r>
      <w:r w:rsidR="00310C73" w:rsidRPr="3FA6411C">
        <w:t xml:space="preserve"> </w:t>
      </w:r>
      <w:r>
        <w:t>EDCs with a “Data Gathering” option for COP since the default is a blend of reach-in coolers and reach-in freezers.</w:t>
      </w:r>
    </w:p>
    <w:p w14:paraId="60DEDB31" w14:textId="77777777" w:rsidR="00144AF1" w:rsidRDefault="00144AF1" w:rsidP="00AA2116"/>
    <w:p w14:paraId="5A8A3622" w14:textId="5AA05D18" w:rsidR="001A3F8A" w:rsidRPr="001062F9" w:rsidRDefault="001A3F8A" w:rsidP="00453F14">
      <w:pPr>
        <w:pStyle w:val="Heading4"/>
        <w:numPr>
          <w:ilvl w:val="3"/>
          <w:numId w:val="53"/>
        </w:numPr>
      </w:pPr>
      <w:r>
        <w:t>Comments</w:t>
      </w:r>
    </w:p>
    <w:p w14:paraId="173D5F02" w14:textId="50886F77" w:rsidR="0004032E" w:rsidRDefault="002147CB" w:rsidP="00AA2116">
      <w:r>
        <w:t>FirstEnergy</w:t>
      </w:r>
      <w:r w:rsidR="0004032E">
        <w:t xml:space="preserve"> recommends providing default COP values for different temperature ranges rather than a single default COP value.  </w:t>
      </w:r>
      <w:r>
        <w:t>FirstEnergy</w:t>
      </w:r>
      <w:r w:rsidR="0004032E">
        <w:t xml:space="preserve"> </w:t>
      </w:r>
      <w:r w:rsidR="00F069CF">
        <w:t>C</w:t>
      </w:r>
      <w:r w:rsidR="0004032E">
        <w:t xml:space="preserve">omments at 11.  Franklin Energy recommends using a single source for all COP values in the Refrigeration section of the TRM.  Franklin Energy </w:t>
      </w:r>
      <w:r w:rsidR="00F069CF">
        <w:t>C</w:t>
      </w:r>
      <w:r w:rsidR="0004032E">
        <w:t>omments at 389.</w:t>
      </w:r>
    </w:p>
    <w:p w14:paraId="28728FDE" w14:textId="77777777" w:rsidR="0004032E" w:rsidRDefault="0004032E" w:rsidP="00AA2116"/>
    <w:p w14:paraId="4E05FDB5" w14:textId="40565960" w:rsidR="0004032E" w:rsidRPr="001062F9" w:rsidRDefault="001A3F8A" w:rsidP="00453F14">
      <w:pPr>
        <w:pStyle w:val="Heading4"/>
        <w:numPr>
          <w:ilvl w:val="3"/>
          <w:numId w:val="53"/>
        </w:numPr>
      </w:pPr>
      <w:r w:rsidRPr="00245817">
        <w:t>Disposition</w:t>
      </w:r>
    </w:p>
    <w:p w14:paraId="0F473038" w14:textId="21CFA25C" w:rsidR="00144AF1" w:rsidRDefault="0004032E" w:rsidP="00AA2116">
      <w:r>
        <w:t xml:space="preserve">The Commission </w:t>
      </w:r>
      <w:r w:rsidR="00CA3CE2">
        <w:t xml:space="preserve">agrees with </w:t>
      </w:r>
      <w:r w:rsidR="002147CB">
        <w:t>FirstEnergy</w:t>
      </w:r>
      <w:r>
        <w:t xml:space="preserve">’s suggestion, and </w:t>
      </w:r>
      <w:r w:rsidR="00CA3CE2">
        <w:t xml:space="preserve">has included </w:t>
      </w:r>
      <w:r>
        <w:t xml:space="preserve">different default COP values for different temperatures (freezers and refrigerators).  </w:t>
      </w:r>
      <w:r w:rsidR="00CA3CE2">
        <w:t xml:space="preserve">The Commission appreciates </w:t>
      </w:r>
      <w:r>
        <w:t xml:space="preserve">Franklin Energy’s </w:t>
      </w:r>
      <w:r w:rsidR="00CA3CE2">
        <w:t>recommendation to use</w:t>
      </w:r>
      <w:r>
        <w:t xml:space="preserve"> a single source for all COP values.  </w:t>
      </w:r>
      <w:r w:rsidR="00CA3CE2">
        <w:t>However, t</w:t>
      </w:r>
      <w:r>
        <w:t xml:space="preserve">he source used for COP in this section is identical to the source </w:t>
      </w:r>
      <w:r>
        <w:lastRenderedPageBreak/>
        <w:t xml:space="preserve">used in </w:t>
      </w:r>
      <w:r w:rsidR="00E25919">
        <w:t xml:space="preserve">Section </w:t>
      </w:r>
      <w:r>
        <w:t>3.5.18</w:t>
      </w:r>
      <w:r w:rsidR="00E25919">
        <w:t xml:space="preserve"> of the Pennsylvania TRM</w:t>
      </w:r>
      <w:r>
        <w:t>.  A different source is used for COP in section 3.5.4 (previously 3.5.5).  The source used for COP in 3.5.4 is identical to the source used for other inputs in that section (namely, EUL and default savings values per HP).</w:t>
      </w:r>
    </w:p>
    <w:p w14:paraId="02DAA4F5" w14:textId="77777777" w:rsidR="0034688D" w:rsidRDefault="0034688D" w:rsidP="00AA2116"/>
    <w:p w14:paraId="3118EF4A" w14:textId="52971324" w:rsidR="0004032E" w:rsidRDefault="0004032E" w:rsidP="00453F14">
      <w:pPr>
        <w:pStyle w:val="Heading3"/>
        <w:numPr>
          <w:ilvl w:val="2"/>
          <w:numId w:val="53"/>
        </w:numPr>
      </w:pPr>
      <w:bookmarkStart w:id="269" w:name="_Toc15657975"/>
      <w:r>
        <w:t>Section 3.5.10 – Night Covers for Display Cases</w:t>
      </w:r>
      <w:r>
        <w:rPr>
          <w:rStyle w:val="FootnoteReference"/>
        </w:rPr>
        <w:footnoteReference w:id="94"/>
      </w:r>
      <w:bookmarkEnd w:id="269"/>
    </w:p>
    <w:p w14:paraId="7721AE69" w14:textId="28845C3E" w:rsidR="0004032E" w:rsidRPr="00523C38" w:rsidRDefault="0004032E" w:rsidP="00AA2116">
      <w:r w:rsidRPr="00523C38">
        <w:t xml:space="preserve">The Commission did not propose changes to </w:t>
      </w:r>
      <w:r w:rsidR="00AC4A67">
        <w:t>Section 3.5.10 – Night Covers for Display Cases</w:t>
      </w:r>
      <w:r w:rsidRPr="00523C38">
        <w:t>.  However, comments were received and are addressed below.</w:t>
      </w:r>
    </w:p>
    <w:p w14:paraId="622CEF7F" w14:textId="77777777" w:rsidR="0004032E" w:rsidRDefault="0004032E" w:rsidP="00AA2116"/>
    <w:p w14:paraId="70ECD6FE" w14:textId="19E3536B" w:rsidR="0004032E" w:rsidRPr="001062F9" w:rsidRDefault="0004032E" w:rsidP="00453F14">
      <w:pPr>
        <w:pStyle w:val="Heading4"/>
        <w:numPr>
          <w:ilvl w:val="3"/>
          <w:numId w:val="53"/>
        </w:numPr>
      </w:pPr>
      <w:r w:rsidRPr="001062F9">
        <w:t>Comments</w:t>
      </w:r>
    </w:p>
    <w:p w14:paraId="4900B1C7" w14:textId="7E8AFBA8" w:rsidR="0004032E" w:rsidRDefault="002147CB" w:rsidP="00AA2116">
      <w:r>
        <w:t>FirstEnergy</w:t>
      </w:r>
      <w:r w:rsidR="0004032E">
        <w:t xml:space="preserve"> recommends moving the measure description out of the eligibility section.  </w:t>
      </w:r>
      <w:r>
        <w:t>FirstEnergy</w:t>
      </w:r>
      <w:r w:rsidR="0004032E">
        <w:t xml:space="preserve"> </w:t>
      </w:r>
      <w:r w:rsidR="008F3318">
        <w:t>C</w:t>
      </w:r>
      <w:r w:rsidR="0004032E">
        <w:t xml:space="preserve">omments at 11.  Franklin Energy notes that one of the sources is rather old but is consistent with other programs.  Franklin Energy </w:t>
      </w:r>
      <w:r w:rsidR="008F3318">
        <w:t>C</w:t>
      </w:r>
      <w:r w:rsidR="0004032E">
        <w:t xml:space="preserve">omments at 394.  </w:t>
      </w:r>
      <w:r w:rsidR="0004032E" w:rsidRPr="007853E1">
        <w:t xml:space="preserve">PECO recommends that the TRM include default HOU based on averages from previous project data or store schedule assumptions and a default of (0.01 kW/ft) for case type to allow for simplified implementation. </w:t>
      </w:r>
      <w:r w:rsidR="0004032E">
        <w:t xml:space="preserve"> PECO</w:t>
      </w:r>
      <w:r w:rsidR="0004032E" w:rsidRPr="007853E1">
        <w:t xml:space="preserve"> also recommends changing the metric “width of opening” to “quantity of night covers” given that there are standard sizes (e.g., 4, 6, 8 ft) in order to further simplify implementation.</w:t>
      </w:r>
      <w:r w:rsidR="0004032E">
        <w:t xml:space="preserve">  PECO </w:t>
      </w:r>
      <w:r w:rsidR="00347E87">
        <w:t>C</w:t>
      </w:r>
      <w:r w:rsidR="0004032E">
        <w:t>omments at 11.</w:t>
      </w:r>
    </w:p>
    <w:p w14:paraId="3AB10186" w14:textId="77777777" w:rsidR="0004032E" w:rsidRDefault="0004032E" w:rsidP="00AA2116"/>
    <w:p w14:paraId="3394508A" w14:textId="32A0612D" w:rsidR="0004032E" w:rsidRPr="001062F9" w:rsidRDefault="0004032E" w:rsidP="00453F14">
      <w:pPr>
        <w:pStyle w:val="Heading4"/>
        <w:numPr>
          <w:ilvl w:val="3"/>
          <w:numId w:val="53"/>
        </w:numPr>
      </w:pPr>
      <w:r w:rsidRPr="001062F9">
        <w:t>Disposition</w:t>
      </w:r>
    </w:p>
    <w:p w14:paraId="5BE29652" w14:textId="5F8E8A44" w:rsidR="0004032E" w:rsidRDefault="0051604F" w:rsidP="00AA2116">
      <w:r>
        <w:t>The Commission agrees with FirstEnergy’s suggestion to move the measure description out of the eligibility section and has made changes accordingly</w:t>
      </w:r>
      <w:r w:rsidR="00351ECB">
        <w:t xml:space="preserve">.  </w:t>
      </w:r>
      <w:r>
        <w:t xml:space="preserve">We </w:t>
      </w:r>
      <w:r w:rsidR="00204CF2">
        <w:t xml:space="preserve">also </w:t>
      </w:r>
      <w:r>
        <w:t xml:space="preserve">agree with PECO’s recommendation to include a default value for annual HOU and have made appropriate changes.  In addition, </w:t>
      </w:r>
      <w:r w:rsidR="0004032E">
        <w:t xml:space="preserve">an “unknown” cooler case temperature was added to the default energy savings factor table.  </w:t>
      </w:r>
      <w:r w:rsidR="005E767D">
        <w:t xml:space="preserve">However, we do not agree with PECO’s </w:t>
      </w:r>
      <w:r w:rsidR="00425016">
        <w:t>recommendation</w:t>
      </w:r>
      <w:r w:rsidR="005E767D">
        <w:t xml:space="preserve"> to change </w:t>
      </w:r>
      <w:r w:rsidR="005E767D" w:rsidRPr="007853E1">
        <w:t>the metric “width of opening” to “quantity of night covers”</w:t>
      </w:r>
      <w:r w:rsidR="005E767D">
        <w:t xml:space="preserve">, as </w:t>
      </w:r>
      <w:r w:rsidR="0004032E">
        <w:t xml:space="preserve">“width of opening” seems better suited here.  </w:t>
      </w:r>
      <w:r w:rsidR="00425016">
        <w:t>For example, s</w:t>
      </w:r>
      <w:r w:rsidR="0004032E">
        <w:t xml:space="preserve">uppose a 4-foot and an 8-foot cover are installed.  Here, the quantity is </w:t>
      </w:r>
      <w:r w:rsidR="00D96678">
        <w:t xml:space="preserve">two </w:t>
      </w:r>
      <w:r w:rsidR="0004032E">
        <w:t xml:space="preserve">and the width is 12.  However, if two </w:t>
      </w:r>
      <w:r w:rsidR="004B652D">
        <w:lastRenderedPageBreak/>
        <w:t>8</w:t>
      </w:r>
      <w:r w:rsidR="0004032E">
        <w:t>-foot covers are installed, the overall width changes without changing the quantity.</w:t>
      </w:r>
      <w:r w:rsidR="004B652D">
        <w:t xml:space="preserve">  Thus, using “quantity of covers” will not always accurately capture the width of the opening.</w:t>
      </w:r>
    </w:p>
    <w:p w14:paraId="79940B45" w14:textId="77777777" w:rsidR="004164DA" w:rsidRDefault="004164DA" w:rsidP="00AA2116"/>
    <w:p w14:paraId="1A9660AE" w14:textId="06FF285C" w:rsidR="00887137" w:rsidRPr="00A0712C" w:rsidRDefault="17C9E5F3" w:rsidP="00453F14">
      <w:pPr>
        <w:pStyle w:val="Heading3"/>
        <w:numPr>
          <w:ilvl w:val="2"/>
          <w:numId w:val="53"/>
        </w:numPr>
      </w:pPr>
      <w:bookmarkStart w:id="270" w:name="_Toc14686907"/>
      <w:bookmarkStart w:id="271" w:name="_Toc14687054"/>
      <w:bookmarkStart w:id="272" w:name="_Toc14687201"/>
      <w:bookmarkStart w:id="273" w:name="_Toc15657976"/>
      <w:bookmarkEnd w:id="270"/>
      <w:bookmarkEnd w:id="271"/>
      <w:bookmarkEnd w:id="272"/>
      <w:r w:rsidRPr="00A0712C">
        <w:t>Section 3.5.11 – Auto Closers</w:t>
      </w:r>
      <w:r w:rsidR="00BC6832">
        <w:rPr>
          <w:rStyle w:val="FootnoteReference"/>
        </w:rPr>
        <w:footnoteReference w:id="95"/>
      </w:r>
      <w:bookmarkEnd w:id="273"/>
    </w:p>
    <w:p w14:paraId="3FD750FF" w14:textId="5135B480" w:rsidR="00887137" w:rsidRDefault="00887137" w:rsidP="00AA2116">
      <w:r>
        <w:t>The Commission propose</w:t>
      </w:r>
      <w:r w:rsidR="003160E5">
        <w:t>d</w:t>
      </w:r>
      <w:r>
        <w:t xml:space="preserve"> updating the default savings values associated with the measure</w:t>
      </w:r>
      <w:r w:rsidR="00A0651F">
        <w:t xml:space="preserve">.  </w:t>
      </w:r>
      <w:r>
        <w:t xml:space="preserve">The default savings values in the </w:t>
      </w:r>
      <w:r w:rsidR="00377164">
        <w:rPr>
          <w:szCs w:val="26"/>
        </w:rPr>
        <w:t xml:space="preserve">2016 </w:t>
      </w:r>
      <w:r>
        <w:t>TRM are drawn from auto closer research done in California</w:t>
      </w:r>
      <w:r w:rsidR="00A0651F">
        <w:t xml:space="preserve">.  </w:t>
      </w:r>
      <w:r>
        <w:t xml:space="preserve">The California research provides annual energy savings estimates for each of California’s </w:t>
      </w:r>
      <w:r w:rsidR="000D4F34">
        <w:t xml:space="preserve">16 </w:t>
      </w:r>
      <w:r>
        <w:t>climate zones</w:t>
      </w:r>
      <w:r w:rsidR="00A0651F">
        <w:t xml:space="preserve">.  </w:t>
      </w:r>
      <w:r>
        <w:t xml:space="preserve">The default savings values in the </w:t>
      </w:r>
      <w:r w:rsidR="00A94B9D">
        <w:t>2016</w:t>
      </w:r>
      <w:r>
        <w:t xml:space="preserve"> TRM are based on savings estimates for California’s climate zone four, which differs substantially from the Pennsylvania climate</w:t>
      </w:r>
      <w:r w:rsidR="00A0651F">
        <w:t xml:space="preserve">.  </w:t>
      </w:r>
      <w:r>
        <w:t xml:space="preserve">(The reference city for climate zone four is San Jose.) </w:t>
      </w:r>
      <w:r w:rsidR="004B652D">
        <w:t xml:space="preserve"> </w:t>
      </w:r>
      <w:r>
        <w:t>Rather than use California climate zone four as a proxy for Pennsylvania’s climate, the Commission propose</w:t>
      </w:r>
      <w:r w:rsidR="001D4308">
        <w:t>d</w:t>
      </w:r>
      <w:r>
        <w:t xml:space="preserve"> using the savings estimates for each climate zone, along with average annual CDD and HDD for each climate zone, to develop a regression model</w:t>
      </w:r>
      <w:r w:rsidR="00A0651F">
        <w:t xml:space="preserve">.  </w:t>
      </w:r>
      <w:r>
        <w:t>This model, which predicts energy savings based on annual CDD and HDD, can be used to estimate annual energy savings specific to Pennsylvania’s climate</w:t>
      </w:r>
      <w:r w:rsidR="00A0651F">
        <w:t xml:space="preserve">.  </w:t>
      </w:r>
    </w:p>
    <w:p w14:paraId="596B9C22" w14:textId="77777777" w:rsidR="00975982" w:rsidRDefault="00975982" w:rsidP="00AA2116"/>
    <w:p w14:paraId="2A066EA5" w14:textId="781B1875" w:rsidR="0004032E" w:rsidRPr="001062F9" w:rsidRDefault="0004032E" w:rsidP="00453F14">
      <w:pPr>
        <w:pStyle w:val="Heading4"/>
        <w:numPr>
          <w:ilvl w:val="3"/>
          <w:numId w:val="53"/>
        </w:numPr>
      </w:pPr>
      <w:r w:rsidRPr="001062F9">
        <w:t>Comments</w:t>
      </w:r>
    </w:p>
    <w:p w14:paraId="57C0DF0C" w14:textId="4F5A0AFA" w:rsidR="0004032E" w:rsidRDefault="0004032E" w:rsidP="00AA2116">
      <w:r>
        <w:t xml:space="preserve">Franklin Energy </w:t>
      </w:r>
      <w:r w:rsidR="0062139F">
        <w:t>suggest</w:t>
      </w:r>
      <w:r w:rsidR="001D4308">
        <w:t>s</w:t>
      </w:r>
      <w:r>
        <w:t xml:space="preserve"> that the discussion on how regression is used to estimate default savings should be moved from the Sources section to the Algorithms section (to be consistent with how this is approached elsewhere).  Franklin Energy </w:t>
      </w:r>
      <w:r w:rsidR="00556C1D">
        <w:t>C</w:t>
      </w:r>
      <w:r>
        <w:t>omments at 396.</w:t>
      </w:r>
      <w:r w:rsidR="00E63E71">
        <w:t xml:space="preserve">  </w:t>
      </w:r>
      <w:r>
        <w:t xml:space="preserve">PECO recommends using the default savings for coolers as the default savings when it is not known if the auto closers are installed in a cooler or a freezer (e.g., installed in an “unknown” location).  PECO </w:t>
      </w:r>
      <w:r w:rsidR="00556C1D">
        <w:t>C</w:t>
      </w:r>
      <w:r>
        <w:t>omments at 11.</w:t>
      </w:r>
    </w:p>
    <w:p w14:paraId="1D39C141" w14:textId="77777777" w:rsidR="0004032E" w:rsidRDefault="0004032E" w:rsidP="00AA2116"/>
    <w:p w14:paraId="4BB791AF" w14:textId="6E8E686F" w:rsidR="0004032E" w:rsidRPr="001062F9" w:rsidRDefault="0004032E" w:rsidP="00453F14">
      <w:pPr>
        <w:pStyle w:val="Heading4"/>
        <w:numPr>
          <w:ilvl w:val="3"/>
          <w:numId w:val="53"/>
        </w:numPr>
      </w:pPr>
      <w:r w:rsidRPr="001062F9">
        <w:lastRenderedPageBreak/>
        <w:t>Disposition</w:t>
      </w:r>
    </w:p>
    <w:p w14:paraId="5C5CD3D1" w14:textId="2C3EB6B2" w:rsidR="0004032E" w:rsidRDefault="0004032E" w:rsidP="00AA2116">
      <w:r>
        <w:t xml:space="preserve">The Commission </w:t>
      </w:r>
      <w:r w:rsidR="002E3714">
        <w:t xml:space="preserve">agrees with and therefore has </w:t>
      </w:r>
      <w:r w:rsidR="005C25C6">
        <w:t xml:space="preserve">adopted </w:t>
      </w:r>
      <w:r>
        <w:t xml:space="preserve">Franklin Energy’s suggestion, </w:t>
      </w:r>
      <w:r w:rsidR="001544EB">
        <w:t xml:space="preserve">to be </w:t>
      </w:r>
      <w:r>
        <w:t>consisten</w:t>
      </w:r>
      <w:r w:rsidR="001544EB">
        <w:t>t with how this is approached elsewhere.</w:t>
      </w:r>
      <w:r>
        <w:t xml:space="preserve">  </w:t>
      </w:r>
      <w:r w:rsidR="001D4308">
        <w:t xml:space="preserve">Although </w:t>
      </w:r>
      <w:r w:rsidR="0051604F">
        <w:t xml:space="preserve">we </w:t>
      </w:r>
      <w:r w:rsidR="00425016">
        <w:t>deem</w:t>
      </w:r>
      <w:r w:rsidR="00425016" w:rsidDel="00425016">
        <w:t xml:space="preserve"> </w:t>
      </w:r>
      <w:r>
        <w:t>that it is not burdensome to collect information regarding where the auto closers were installed</w:t>
      </w:r>
      <w:r w:rsidR="001D4308">
        <w:t xml:space="preserve">, we have adopted </w:t>
      </w:r>
      <w:r>
        <w:t>PECO’s recommendation</w:t>
      </w:r>
      <w:r w:rsidR="004B652D">
        <w:t xml:space="preserve">.  If the installation location is unknown, EDCs may use the default savings values for coolers </w:t>
      </w:r>
      <w:r w:rsidR="00425016">
        <w:t>that</w:t>
      </w:r>
      <w:r w:rsidR="004B652D">
        <w:t xml:space="preserve"> are more conservative than the default savings values for freezers.</w:t>
      </w:r>
    </w:p>
    <w:p w14:paraId="16759B4D" w14:textId="77777777" w:rsidR="0034688D" w:rsidRDefault="0034688D" w:rsidP="00AA2116"/>
    <w:p w14:paraId="31EC158F" w14:textId="4F206E37" w:rsidR="006232EC" w:rsidRDefault="17C9E5F3" w:rsidP="00453F14">
      <w:pPr>
        <w:pStyle w:val="Heading3"/>
        <w:numPr>
          <w:ilvl w:val="2"/>
          <w:numId w:val="53"/>
        </w:numPr>
        <w:ind w:left="1440" w:hanging="720"/>
      </w:pPr>
      <w:bookmarkStart w:id="274" w:name="_Toc15657977"/>
      <w:r>
        <w:t>Section 3.5.14 – Suction Pipe Insulation for Walk-</w:t>
      </w:r>
      <w:r w:rsidR="000D4F34">
        <w:t>i</w:t>
      </w:r>
      <w:r>
        <w:t>n Coolers and Freezers</w:t>
      </w:r>
      <w:r w:rsidR="00517E0A">
        <w:rPr>
          <w:rStyle w:val="FootnoteReference"/>
        </w:rPr>
        <w:footnoteReference w:id="96"/>
      </w:r>
      <w:bookmarkEnd w:id="274"/>
    </w:p>
    <w:p w14:paraId="35A4A374" w14:textId="6CE3D6B5" w:rsidR="006232EC" w:rsidRDefault="006232EC" w:rsidP="00AA2116">
      <w:r>
        <w:t xml:space="preserve">The default savings values in the </w:t>
      </w:r>
      <w:r w:rsidR="00A94B9D">
        <w:t>2016</w:t>
      </w:r>
      <w:r>
        <w:t xml:space="preserve"> TRM are drawn from suction pipe insulation research done in California</w:t>
      </w:r>
      <w:r w:rsidR="00A0651F">
        <w:t xml:space="preserve">.  </w:t>
      </w:r>
      <w:r>
        <w:t>These values were based on savings observed in California climate zone four (San Jose area), which shows little resemblance with Pennsylvania in terms of climate</w:t>
      </w:r>
      <w:r w:rsidR="00A0651F">
        <w:t xml:space="preserve">.  </w:t>
      </w:r>
      <w:r>
        <w:t>Rather than use California climate zone four as a proxy for Pennsylvania’s climate, the Commission propose</w:t>
      </w:r>
      <w:r w:rsidR="005E51E9">
        <w:t>d</w:t>
      </w:r>
      <w:r>
        <w:t xml:space="preserve"> using the savings estimates for each </w:t>
      </w:r>
      <w:r w:rsidR="00311F4A">
        <w:t xml:space="preserve">California </w:t>
      </w:r>
      <w:r>
        <w:t xml:space="preserve">climate zone, along with average annual CDD and HDD for each </w:t>
      </w:r>
      <w:r w:rsidR="00311F4A">
        <w:t xml:space="preserve">California </w:t>
      </w:r>
      <w:r>
        <w:t>climate zone, to develop a regression model</w:t>
      </w:r>
      <w:r w:rsidR="00A0651F">
        <w:t xml:space="preserve">.  </w:t>
      </w:r>
      <w:r>
        <w:t>This model, which predicts energy savings based on annual CDD and HDD, can be used to estimate annual energy savings specific to Pennsylvania’s climate</w:t>
      </w:r>
      <w:r w:rsidR="00A0651F">
        <w:t xml:space="preserve">.  </w:t>
      </w:r>
      <w:r>
        <w:t>This results in an increase in annual energy and peak demand savings.</w:t>
      </w:r>
    </w:p>
    <w:p w14:paraId="3E0B5279" w14:textId="77777777" w:rsidR="008C1D28" w:rsidRDefault="008C1D28" w:rsidP="00AA2116"/>
    <w:p w14:paraId="5DDB621D" w14:textId="154DAAD5" w:rsidR="0004032E" w:rsidRPr="001062F9" w:rsidRDefault="0004032E" w:rsidP="00453F14">
      <w:pPr>
        <w:pStyle w:val="Heading4"/>
        <w:numPr>
          <w:ilvl w:val="3"/>
          <w:numId w:val="53"/>
        </w:numPr>
      </w:pPr>
      <w:r w:rsidRPr="001062F9">
        <w:t>Comments</w:t>
      </w:r>
    </w:p>
    <w:p w14:paraId="444FCE9F" w14:textId="0634351A" w:rsidR="0004032E" w:rsidRDefault="002147CB" w:rsidP="00AA2116">
      <w:r>
        <w:t>FirstEnergy</w:t>
      </w:r>
      <w:r w:rsidR="0004032E">
        <w:t xml:space="preserve"> </w:t>
      </w:r>
      <w:r w:rsidR="00AE2F7D">
        <w:t xml:space="preserve">suggests </w:t>
      </w:r>
      <w:r w:rsidR="0004032E">
        <w:t xml:space="preserve">that the EUL for this measure is 6.7 years rather than 11 years.  </w:t>
      </w:r>
      <w:r>
        <w:t>FirstEnergy</w:t>
      </w:r>
      <w:r w:rsidR="0004032E">
        <w:t xml:space="preserve"> </w:t>
      </w:r>
      <w:r w:rsidR="00AE2F7D">
        <w:t>C</w:t>
      </w:r>
      <w:r w:rsidR="0004032E">
        <w:t xml:space="preserve">omments at 11.  </w:t>
      </w:r>
      <w:r w:rsidR="0004032E" w:rsidRPr="000F6269">
        <w:t>PECO recommends that the TRM include a default value for length of insulation based on averages from previous project data in order to reduce data requirements.</w:t>
      </w:r>
      <w:r w:rsidR="0004032E">
        <w:t xml:space="preserve">  PECO </w:t>
      </w:r>
      <w:r w:rsidR="00890A3E">
        <w:t>C</w:t>
      </w:r>
      <w:r w:rsidR="0004032E">
        <w:t>omments at 11.</w:t>
      </w:r>
    </w:p>
    <w:p w14:paraId="44B68CAB" w14:textId="77777777" w:rsidR="0004032E" w:rsidRDefault="0004032E" w:rsidP="00AA2116"/>
    <w:p w14:paraId="2A3F4CF8" w14:textId="20DB42A0" w:rsidR="0004032E" w:rsidRPr="001062F9" w:rsidRDefault="0004032E" w:rsidP="00453F14">
      <w:pPr>
        <w:pStyle w:val="Heading4"/>
        <w:numPr>
          <w:ilvl w:val="3"/>
          <w:numId w:val="53"/>
        </w:numPr>
      </w:pPr>
      <w:r w:rsidRPr="001062F9">
        <w:lastRenderedPageBreak/>
        <w:t>Disposition</w:t>
      </w:r>
    </w:p>
    <w:p w14:paraId="784D8EAE" w14:textId="59735533" w:rsidR="002E3714" w:rsidRDefault="002E3714" w:rsidP="00AA2116">
      <w:r>
        <w:t xml:space="preserve">The Commission disagrees with FirstEnergy’s suggestion that the EUL for this measure is 6.7 years rather than 11 years, as the source noted in the manual indicates an EUL of 11 years.  We also </w:t>
      </w:r>
      <w:r w:rsidR="00425016">
        <w:t xml:space="preserve">find that </w:t>
      </w:r>
      <w:r>
        <w:t>collecting information regarding the length of the insulation should be part of the requirements to receive program support, therefore have not added a default value for length of insulation.</w:t>
      </w:r>
    </w:p>
    <w:p w14:paraId="081F6532" w14:textId="77777777" w:rsidR="006232EC" w:rsidRDefault="006232EC" w:rsidP="00AA2116"/>
    <w:p w14:paraId="3779F0A7" w14:textId="3819BF21" w:rsidR="006232EC" w:rsidRPr="00966196" w:rsidRDefault="17C9E5F3" w:rsidP="00453F14">
      <w:pPr>
        <w:pStyle w:val="Heading3"/>
        <w:numPr>
          <w:ilvl w:val="2"/>
          <w:numId w:val="53"/>
        </w:numPr>
        <w:ind w:left="1440" w:hanging="720"/>
      </w:pPr>
      <w:bookmarkStart w:id="275" w:name="_Toc15657978"/>
      <w:r>
        <w:t>Section 3.5.15 – Refrigerated Display Cases with Doors Replacing Open Cases</w:t>
      </w:r>
      <w:r w:rsidR="00517E0A">
        <w:rPr>
          <w:rStyle w:val="FootnoteReference"/>
        </w:rPr>
        <w:footnoteReference w:id="97"/>
      </w:r>
      <w:bookmarkEnd w:id="275"/>
    </w:p>
    <w:p w14:paraId="1ED6919F" w14:textId="12EBB993" w:rsidR="0004032E" w:rsidRPr="0096379A" w:rsidRDefault="0004032E" w:rsidP="00AA2116">
      <w:r w:rsidRPr="00523C38">
        <w:t>The Commission did not propose changes to th</w:t>
      </w:r>
      <w:r w:rsidR="00820BA2">
        <w:t>e eligibility</w:t>
      </w:r>
      <w:r w:rsidRPr="00523C38">
        <w:t xml:space="preserve"> </w:t>
      </w:r>
      <w:r>
        <w:t xml:space="preserve">component of this </w:t>
      </w:r>
      <w:r w:rsidRPr="00523C38">
        <w:t>protocol.  However, comments were received and are addressed below.</w:t>
      </w:r>
    </w:p>
    <w:p w14:paraId="289D3BE2" w14:textId="77777777" w:rsidR="0004032E" w:rsidRDefault="0004032E" w:rsidP="00AA2116"/>
    <w:p w14:paraId="330F0CA4" w14:textId="481F4AEC" w:rsidR="0004032E" w:rsidRPr="001062F9" w:rsidRDefault="001A3F8A" w:rsidP="00453F14">
      <w:pPr>
        <w:pStyle w:val="Heading4"/>
        <w:numPr>
          <w:ilvl w:val="3"/>
          <w:numId w:val="53"/>
        </w:numPr>
      </w:pPr>
      <w:r>
        <w:t>Comments</w:t>
      </w:r>
    </w:p>
    <w:p w14:paraId="6364CA9D" w14:textId="477D4C00" w:rsidR="0004032E" w:rsidRDefault="002147CB" w:rsidP="00AA2116">
      <w:r>
        <w:t>FirstEnergy</w:t>
      </w:r>
      <w:r w:rsidR="0004032E">
        <w:t xml:space="preserve"> suggests that l</w:t>
      </w:r>
      <w:r w:rsidR="0004032E" w:rsidRPr="00783C8F">
        <w:t>ighting retrofit</w:t>
      </w:r>
      <w:r w:rsidR="0004032E">
        <w:t>s</w:t>
      </w:r>
      <w:r w:rsidR="0004032E" w:rsidRPr="00783C8F">
        <w:t xml:space="preserve"> should be removed from eligibility, as </w:t>
      </w:r>
      <w:r w:rsidR="00425016">
        <w:t xml:space="preserve">the </w:t>
      </w:r>
      <w:r w:rsidR="0004032E" w:rsidRPr="00783C8F">
        <w:t xml:space="preserve">description states </w:t>
      </w:r>
      <w:r w:rsidR="00425016">
        <w:t xml:space="preserve">that </w:t>
      </w:r>
      <w:r w:rsidR="0004032E" w:rsidRPr="00783C8F">
        <w:t>lighting should be considered as separate projects.</w:t>
      </w:r>
      <w:r w:rsidR="0004032E">
        <w:t xml:space="preserve">  </w:t>
      </w:r>
      <w:r>
        <w:t>FirstEnergy</w:t>
      </w:r>
      <w:r w:rsidR="0004032E">
        <w:t xml:space="preserve"> </w:t>
      </w:r>
      <w:r w:rsidR="00DF60A1">
        <w:t xml:space="preserve">Comments </w:t>
      </w:r>
      <w:r w:rsidR="0004032E">
        <w:t xml:space="preserve">at 11. </w:t>
      </w:r>
    </w:p>
    <w:p w14:paraId="2CBDDD7A" w14:textId="77777777" w:rsidR="0004032E" w:rsidRDefault="0004032E" w:rsidP="00AA2116"/>
    <w:p w14:paraId="0AE64F24" w14:textId="15937C1A" w:rsidR="0004032E" w:rsidRPr="001062F9" w:rsidRDefault="001A3F8A" w:rsidP="00453F14">
      <w:pPr>
        <w:pStyle w:val="Heading4"/>
        <w:numPr>
          <w:ilvl w:val="3"/>
          <w:numId w:val="53"/>
        </w:numPr>
      </w:pPr>
      <w:r w:rsidRPr="00245817">
        <w:t>Disposition</w:t>
      </w:r>
    </w:p>
    <w:p w14:paraId="4076C5EF" w14:textId="288EBBB9" w:rsidR="0004032E" w:rsidRDefault="00311F4A" w:rsidP="00AA2116">
      <w:r w:rsidRPr="00311F4A">
        <w:t xml:space="preserve">The Commission </w:t>
      </w:r>
      <w:r w:rsidR="00425016">
        <w:t>finds</w:t>
      </w:r>
      <w:r w:rsidR="00425016" w:rsidRPr="00311F4A">
        <w:t xml:space="preserve"> </w:t>
      </w:r>
      <w:r w:rsidR="003D51DD">
        <w:t xml:space="preserve">that the </w:t>
      </w:r>
      <w:r w:rsidR="00DC6740">
        <w:t xml:space="preserve">current </w:t>
      </w:r>
      <w:r w:rsidR="003E7B16">
        <w:t>text</w:t>
      </w:r>
      <w:r>
        <w:t xml:space="preserve"> in the </w:t>
      </w:r>
      <w:r w:rsidR="004B0AAE">
        <w:t>manual</w:t>
      </w:r>
      <w:r>
        <w:t xml:space="preserve"> </w:t>
      </w:r>
      <w:r w:rsidR="00F8694A">
        <w:t>addresses FirstEnergy’s concerns</w:t>
      </w:r>
      <w:r>
        <w:t xml:space="preserve"> </w:t>
      </w:r>
      <w:r w:rsidRPr="00311F4A">
        <w:t xml:space="preserve">adequately.  </w:t>
      </w:r>
      <w:r w:rsidR="0004032E">
        <w:t>The eligibility section notes, “</w:t>
      </w:r>
      <w:r w:rsidR="0004032E" w:rsidRPr="00783C8F">
        <w:t xml:space="preserve">If a lighting retrofit is included with the new case, it must consume the same amount of energy or less than the old lighting. </w:t>
      </w:r>
      <w:r w:rsidR="006615B1">
        <w:t xml:space="preserve"> </w:t>
      </w:r>
      <w:r w:rsidR="0004032E" w:rsidRPr="00783C8F">
        <w:t>Upgrades to lighting or other system components should be processed separately</w:t>
      </w:r>
      <w:r w:rsidR="0004032E">
        <w:t xml:space="preserve">.”  Additionally, the measure description notes, “Lighting or other upgrades should be considered as separate projects.”  </w:t>
      </w:r>
    </w:p>
    <w:p w14:paraId="763BC724" w14:textId="77777777" w:rsidR="006232EC" w:rsidRDefault="006232EC" w:rsidP="00AA2116"/>
    <w:p w14:paraId="6E53B17A" w14:textId="3A03AECF" w:rsidR="006232EC" w:rsidRDefault="17C9E5F3" w:rsidP="00453F14">
      <w:pPr>
        <w:pStyle w:val="Heading3"/>
        <w:numPr>
          <w:ilvl w:val="2"/>
          <w:numId w:val="53"/>
        </w:numPr>
      </w:pPr>
      <w:bookmarkStart w:id="276" w:name="_Ref14706635"/>
      <w:bookmarkStart w:id="277" w:name="_Toc15657979"/>
      <w:r>
        <w:lastRenderedPageBreak/>
        <w:t>Section 3.5.16 – Adding Doors to Existing Refrigerated Display Cases</w:t>
      </w:r>
      <w:r w:rsidR="00517E0A">
        <w:rPr>
          <w:rStyle w:val="FootnoteReference"/>
        </w:rPr>
        <w:footnoteReference w:id="98"/>
      </w:r>
      <w:bookmarkEnd w:id="276"/>
      <w:bookmarkEnd w:id="277"/>
    </w:p>
    <w:p w14:paraId="1BCC89D6" w14:textId="77777777" w:rsidR="006232EC" w:rsidRPr="00D26B64" w:rsidRDefault="5826BB76" w:rsidP="00453F14">
      <w:pPr>
        <w:pStyle w:val="Heading4"/>
        <w:numPr>
          <w:ilvl w:val="3"/>
          <w:numId w:val="53"/>
        </w:numPr>
      </w:pPr>
      <w:bookmarkStart w:id="278" w:name="_Ref536198044"/>
      <w:r>
        <w:t>Default Values</w:t>
      </w:r>
      <w:bookmarkEnd w:id="278"/>
    </w:p>
    <w:p w14:paraId="10D09B9B" w14:textId="623ABF2E" w:rsidR="006232EC" w:rsidRDefault="006232EC" w:rsidP="00AA2116">
      <w:r w:rsidRPr="55119DC7">
        <w:t>The Commission propose</w:t>
      </w:r>
      <w:r w:rsidR="008760C4">
        <w:t>d</w:t>
      </w:r>
      <w:r w:rsidRPr="55119DC7">
        <w:t xml:space="preserve"> updating the default values associated with this measure</w:t>
      </w:r>
      <w:r w:rsidR="00A0651F" w:rsidRPr="66E8B1E4">
        <w:t xml:space="preserve">.  </w:t>
      </w:r>
      <w:r w:rsidRPr="55119DC7">
        <w:t xml:space="preserve">The </w:t>
      </w:r>
      <w:r w:rsidR="00377164" w:rsidRPr="55119DC7">
        <w:t xml:space="preserve">2016 </w:t>
      </w:r>
      <w:r w:rsidRPr="55119DC7">
        <w:t>TRM references a CLEAResult work paper that is not publicly available</w:t>
      </w:r>
      <w:r w:rsidR="00A0651F" w:rsidRPr="66E8B1E4">
        <w:t xml:space="preserve">.  </w:t>
      </w:r>
      <w:r w:rsidRPr="55119DC7">
        <w:t>As such, the default values drawn from this source cannot be checked for accuracy</w:t>
      </w:r>
      <w:r w:rsidR="00A0651F" w:rsidRPr="66E8B1E4">
        <w:t xml:space="preserve">.  </w:t>
      </w:r>
      <w:r w:rsidRPr="55119DC7">
        <w:t xml:space="preserve">The Commission </w:t>
      </w:r>
      <w:r w:rsidR="00150C83" w:rsidRPr="55119DC7">
        <w:t>propose</w:t>
      </w:r>
      <w:r w:rsidR="00150C83">
        <w:t>d</w:t>
      </w:r>
      <w:r w:rsidR="00150C83" w:rsidRPr="55119DC7">
        <w:t xml:space="preserve"> </w:t>
      </w:r>
      <w:r w:rsidRPr="55119DC7">
        <w:t>aligning this measure with a 2010 paper submitted to the International Refrigeration and Air Conditioning Conference</w:t>
      </w:r>
      <w:r w:rsidR="00150C83">
        <w:t>, which</w:t>
      </w:r>
      <w:r w:rsidRPr="55119DC7">
        <w:t xml:space="preserve"> </w:t>
      </w:r>
      <w:r w:rsidR="00150C83" w:rsidRPr="55119DC7">
        <w:t>compar</w:t>
      </w:r>
      <w:r w:rsidR="00150C83">
        <w:t>es</w:t>
      </w:r>
      <w:r w:rsidR="00150C83" w:rsidRPr="55119DC7">
        <w:t xml:space="preserve"> </w:t>
      </w:r>
      <w:r w:rsidRPr="55119DC7">
        <w:t>the energy use of doored and open refrigeration display cases.</w:t>
      </w:r>
      <w:r w:rsidRPr="55119DC7">
        <w:rPr>
          <w:rStyle w:val="FootnoteReference"/>
        </w:rPr>
        <w:footnoteReference w:id="99"/>
      </w:r>
      <w:r w:rsidRPr="66E8B1E4">
        <w:t xml:space="preserve"> </w:t>
      </w:r>
      <w:r w:rsidR="00902010" w:rsidRPr="66E8B1E4">
        <w:t xml:space="preserve"> </w:t>
      </w:r>
      <w:r w:rsidRPr="55119DC7">
        <w:t>This proposition would result in slightly higher annual energy and peak demand savings.</w:t>
      </w:r>
    </w:p>
    <w:p w14:paraId="727B9810" w14:textId="77777777" w:rsidR="00144AF1" w:rsidRDefault="00144AF1" w:rsidP="00AA2116"/>
    <w:p w14:paraId="66D03C6F" w14:textId="46BA3A4B" w:rsidR="0004032E" w:rsidRPr="00932931" w:rsidRDefault="00103BAB" w:rsidP="00453F14">
      <w:pPr>
        <w:pStyle w:val="Heading5"/>
        <w:numPr>
          <w:ilvl w:val="4"/>
          <w:numId w:val="54"/>
        </w:numPr>
      </w:pPr>
      <w:r>
        <w:t>Comments</w:t>
      </w:r>
    </w:p>
    <w:p w14:paraId="5DAB4AB6" w14:textId="511BDC72" w:rsidR="0004032E" w:rsidRDefault="0004032E" w:rsidP="00AA2116">
      <w:r>
        <w:t xml:space="preserve">PECO </w:t>
      </w:r>
      <w:r w:rsidRPr="00E94C37">
        <w:t xml:space="preserve">recommends that the </w:t>
      </w:r>
      <w:r w:rsidR="0013591B">
        <w:t>manual</w:t>
      </w:r>
      <w:r w:rsidR="0013591B" w:rsidRPr="00E94C37">
        <w:t xml:space="preserve"> </w:t>
      </w:r>
      <w:r w:rsidRPr="00E94C37">
        <w:t>include conservative default savings to reduce data requirements.</w:t>
      </w:r>
      <w:r>
        <w:t xml:space="preserve">  PECO </w:t>
      </w:r>
      <w:r w:rsidR="00BC6AB1">
        <w:t xml:space="preserve">Comments </w:t>
      </w:r>
      <w:r>
        <w:t>at 11.</w:t>
      </w:r>
    </w:p>
    <w:p w14:paraId="0F5E0089" w14:textId="77777777" w:rsidR="0004032E" w:rsidRDefault="0004032E" w:rsidP="00AA2116"/>
    <w:p w14:paraId="24474823" w14:textId="5091CAAE" w:rsidR="0004032E" w:rsidRPr="001062F9" w:rsidRDefault="00103BAB" w:rsidP="00453F14">
      <w:pPr>
        <w:pStyle w:val="Heading5"/>
        <w:numPr>
          <w:ilvl w:val="4"/>
          <w:numId w:val="54"/>
        </w:numPr>
      </w:pPr>
      <w:r w:rsidRPr="00245817">
        <w:t>Disposition</w:t>
      </w:r>
    </w:p>
    <w:p w14:paraId="2F872279" w14:textId="5DD963DF" w:rsidR="00144AF1" w:rsidRDefault="0004032E" w:rsidP="00AA2116">
      <w:r>
        <w:t xml:space="preserve">The Commission </w:t>
      </w:r>
      <w:r w:rsidR="0013591B">
        <w:t xml:space="preserve">disagrees with PECO’s recommendation to include </w:t>
      </w:r>
      <w:r w:rsidR="0013591B" w:rsidRPr="00E94C37">
        <w:t>conservative default savings to reduce data requirements</w:t>
      </w:r>
      <w:r w:rsidR="00311F4A">
        <w:t xml:space="preserve">.  The Commission </w:t>
      </w:r>
      <w:r w:rsidR="00425016">
        <w:t xml:space="preserve">deems </w:t>
      </w:r>
      <w:r>
        <w:t xml:space="preserve">that it is not burdensome to </w:t>
      </w:r>
      <w:r w:rsidR="008760C4">
        <w:t>collect</w:t>
      </w:r>
      <w:r>
        <w:t xml:space="preserve"> </w:t>
      </w:r>
      <w:r w:rsidR="00311F4A">
        <w:t xml:space="preserve">information regarding the </w:t>
      </w:r>
      <w:r>
        <w:t>width</w:t>
      </w:r>
      <w:r w:rsidR="00311F4A">
        <w:t xml:space="preserve"> of the case opening.  Default values are provided for all other variables.  </w:t>
      </w:r>
    </w:p>
    <w:p w14:paraId="2DEE3A03" w14:textId="77777777" w:rsidR="006232EC" w:rsidRDefault="006232EC" w:rsidP="00AA2116"/>
    <w:p w14:paraId="2734617A" w14:textId="77777777" w:rsidR="006232EC" w:rsidRDefault="5826BB76" w:rsidP="00453F14">
      <w:pPr>
        <w:pStyle w:val="Heading4"/>
        <w:numPr>
          <w:ilvl w:val="3"/>
          <w:numId w:val="54"/>
        </w:numPr>
      </w:pPr>
      <w:r>
        <w:t>Algorithm Revision</w:t>
      </w:r>
    </w:p>
    <w:p w14:paraId="1F8C5DBD" w14:textId="61B28F07" w:rsidR="006232EC" w:rsidRDefault="006232EC" w:rsidP="00AA2116">
      <w:r>
        <w:t xml:space="preserve">As noted in Section </w:t>
      </w:r>
      <w:r w:rsidR="00E53A57">
        <w:fldChar w:fldCharType="begin"/>
      </w:r>
      <w:r w:rsidR="00E53A57">
        <w:instrText xml:space="preserve"> REF _Ref14706628 \r \h </w:instrText>
      </w:r>
      <w:r w:rsidR="00E53A57">
        <w:fldChar w:fldCharType="separate"/>
      </w:r>
      <w:r w:rsidR="00B10CDB">
        <w:t>F</w:t>
      </w:r>
      <w:r w:rsidR="00E53A57">
        <w:fldChar w:fldCharType="end"/>
      </w:r>
      <w:r w:rsidR="00E53A57">
        <w:t>.</w:t>
      </w:r>
      <w:r w:rsidR="00E53A57">
        <w:fldChar w:fldCharType="begin"/>
      </w:r>
      <w:r w:rsidR="00E53A57">
        <w:instrText xml:space="preserve"> REF _Ref14706635 \r \h </w:instrText>
      </w:r>
      <w:r w:rsidR="00E53A57">
        <w:fldChar w:fldCharType="separate"/>
      </w:r>
      <w:r w:rsidR="00B10CDB">
        <w:t>29</w:t>
      </w:r>
      <w:r w:rsidR="00E53A57">
        <w:fldChar w:fldCharType="end"/>
      </w:r>
      <w:r w:rsidR="00E53A57">
        <w:t>.</w:t>
      </w:r>
      <w:r w:rsidR="00E53A57">
        <w:fldChar w:fldCharType="begin"/>
      </w:r>
      <w:r w:rsidR="00E53A57">
        <w:instrText xml:space="preserve"> REF _Ref536198044 \r \h </w:instrText>
      </w:r>
      <w:r w:rsidR="00E53A57">
        <w:fldChar w:fldCharType="separate"/>
      </w:r>
      <w:r w:rsidR="00B10CDB">
        <w:t>a</w:t>
      </w:r>
      <w:r w:rsidR="00E53A57">
        <w:fldChar w:fldCharType="end"/>
      </w:r>
      <w:r>
        <w:t>, the Commission propose</w:t>
      </w:r>
      <w:r w:rsidR="005C0CDE">
        <w:t>d</w:t>
      </w:r>
      <w:r>
        <w:t xml:space="preserve"> aligning this protocol with a research effort that compared energy use in doored display cases and open display cases</w:t>
      </w:r>
      <w:r w:rsidR="00A0651F">
        <w:t xml:space="preserve">.  </w:t>
      </w:r>
      <w:r>
        <w:t xml:space="preserve">This research effort </w:t>
      </w:r>
      <w:r w:rsidR="002359D4">
        <w:t xml:space="preserve">only </w:t>
      </w:r>
      <w:r>
        <w:t>looked into energy consumption, not peak demand savings</w:t>
      </w:r>
      <w:r w:rsidR="00A0651F">
        <w:t xml:space="preserve">.  </w:t>
      </w:r>
      <w:r>
        <w:t>In aligning this protocol with the referenced study, the Commission propose</w:t>
      </w:r>
      <w:r w:rsidR="005C0CDE">
        <w:t>d</w:t>
      </w:r>
      <w:r>
        <w:t xml:space="preserve"> adjusting the </w:t>
      </w:r>
      <w:r>
        <w:lastRenderedPageBreak/>
        <w:t>peak demand savings algorithm</w:t>
      </w:r>
      <w:r w:rsidR="00A0651F">
        <w:t xml:space="preserve">.  </w:t>
      </w:r>
      <w:r>
        <w:t>The proposed algorithm assumes flat energy savings throughout the 8,760 hours of the year.</w:t>
      </w:r>
    </w:p>
    <w:p w14:paraId="7EDF49E5" w14:textId="77777777" w:rsidR="00144AF1" w:rsidRDefault="00144AF1" w:rsidP="00AA2116"/>
    <w:p w14:paraId="7CE95A94" w14:textId="2B4C74FB" w:rsidR="0004032E" w:rsidRPr="001062F9" w:rsidRDefault="0063339B" w:rsidP="00453F14">
      <w:pPr>
        <w:pStyle w:val="Heading5"/>
        <w:numPr>
          <w:ilvl w:val="4"/>
          <w:numId w:val="54"/>
        </w:numPr>
      </w:pPr>
      <w:r>
        <w:t>Comments</w:t>
      </w:r>
    </w:p>
    <w:p w14:paraId="1F44D88D" w14:textId="67791DD7" w:rsidR="0004032E" w:rsidRDefault="0004032E" w:rsidP="00AA2116">
      <w:r>
        <w:t>Franklin Energy note</w:t>
      </w:r>
      <w:r w:rsidR="005C0CDE">
        <w:t>s</w:t>
      </w:r>
      <w:r>
        <w:t xml:space="preserve"> that the methodology used herein is based on a comparison of doored display cases and open display cases.  </w:t>
      </w:r>
      <w:r w:rsidR="002359D4">
        <w:t>However, t</w:t>
      </w:r>
      <w:r>
        <w:t>his measure</w:t>
      </w:r>
      <w:r w:rsidR="002359D4">
        <w:t xml:space="preserve"> </w:t>
      </w:r>
      <w:r>
        <w:t xml:space="preserve">entails adding doors to refrigerated cases.  </w:t>
      </w:r>
      <w:r w:rsidR="00B9001F">
        <w:t xml:space="preserve">In addition, </w:t>
      </w:r>
      <w:r>
        <w:t xml:space="preserve">Franklin Energy proposes an alternative approach, which is supported by the paper upon which the initial methodology was based on.  Franklin Energy </w:t>
      </w:r>
      <w:r w:rsidR="00924217">
        <w:t>C</w:t>
      </w:r>
      <w:r>
        <w:t>omments at 406.</w:t>
      </w:r>
    </w:p>
    <w:p w14:paraId="2F346B92" w14:textId="77777777" w:rsidR="0004032E" w:rsidRDefault="0004032E" w:rsidP="00AA2116"/>
    <w:p w14:paraId="090F8B6C" w14:textId="733CEEF1" w:rsidR="0004032E" w:rsidRPr="001062F9" w:rsidRDefault="0063339B" w:rsidP="00453F14">
      <w:pPr>
        <w:pStyle w:val="Heading5"/>
        <w:numPr>
          <w:ilvl w:val="4"/>
          <w:numId w:val="54"/>
        </w:numPr>
      </w:pPr>
      <w:r w:rsidRPr="00245817">
        <w:t>Disposition</w:t>
      </w:r>
    </w:p>
    <w:p w14:paraId="3A642B8D" w14:textId="110BF623" w:rsidR="006232EC" w:rsidRDefault="0004032E" w:rsidP="00AA2116">
      <w:r>
        <w:t xml:space="preserve">The Commission agrees with Franklin </w:t>
      </w:r>
      <w:r w:rsidR="00B9001F">
        <w:t>Energy’s suggestion and has updated the annual energy savings algorithms with an alternative approach, that is supported by the paper upon which the initial methodology was based on.</w:t>
      </w:r>
    </w:p>
    <w:p w14:paraId="3923F3D3" w14:textId="77777777" w:rsidR="0004032E" w:rsidRDefault="0004032E" w:rsidP="00AA2116"/>
    <w:p w14:paraId="2FE78229" w14:textId="7A3411B6" w:rsidR="006232EC" w:rsidRDefault="17C9E5F3" w:rsidP="00453F14">
      <w:pPr>
        <w:pStyle w:val="Heading3"/>
        <w:numPr>
          <w:ilvl w:val="2"/>
          <w:numId w:val="55"/>
        </w:numPr>
      </w:pPr>
      <w:bookmarkStart w:id="279" w:name="_Toc15657980"/>
      <w:r>
        <w:t>Section 3.6.1 – ENERGY STAR Clothes Washer</w:t>
      </w:r>
      <w:r w:rsidR="00517E0A">
        <w:rPr>
          <w:rStyle w:val="FootnoteReference"/>
        </w:rPr>
        <w:footnoteReference w:id="100"/>
      </w:r>
      <w:bookmarkEnd w:id="279"/>
    </w:p>
    <w:p w14:paraId="7F0E2586" w14:textId="77777777" w:rsidR="00D26B64" w:rsidRDefault="5826BB76" w:rsidP="00453F14">
      <w:pPr>
        <w:pStyle w:val="Heading4"/>
        <w:numPr>
          <w:ilvl w:val="3"/>
          <w:numId w:val="55"/>
        </w:numPr>
      </w:pPr>
      <w:r>
        <w:t>Testing Procedure</w:t>
      </w:r>
    </w:p>
    <w:p w14:paraId="587B6CF3" w14:textId="34A8694E" w:rsidR="00D26B64" w:rsidRDefault="00D26B64" w:rsidP="00AA2116">
      <w:r w:rsidRPr="00351650">
        <w:t>The U.S. DOE test procedures for clothes washers are codified at title 10 of the Code of Federal Regulations part 430, subpart B</w:t>
      </w:r>
      <w:r w:rsidR="00A0651F">
        <w:t xml:space="preserve">.  </w:t>
      </w:r>
      <w:r>
        <w:t>The modified energy factor (</w:t>
      </w:r>
      <w:r w:rsidRPr="00BC0731">
        <w:t>MEF) for the previous standard was calculated using appendix J1; whereas</w:t>
      </w:r>
      <w:r w:rsidR="002B6957">
        <w:t>,</w:t>
      </w:r>
      <w:r w:rsidRPr="00BC0731">
        <w:t xml:space="preserve"> the new federal standards </w:t>
      </w:r>
      <w:r>
        <w:t>use</w:t>
      </w:r>
      <w:r w:rsidRPr="00BC0731">
        <w:t xml:space="preserve"> MEF</w:t>
      </w:r>
      <w:r w:rsidRPr="00395FAD">
        <w:rPr>
          <w:vertAlign w:val="subscript"/>
        </w:rPr>
        <w:t>J2</w:t>
      </w:r>
      <w:r w:rsidR="00A0651F">
        <w:t xml:space="preserve">.  </w:t>
      </w:r>
      <w:r>
        <w:t>This new standard</w:t>
      </w:r>
      <w:r w:rsidRPr="00BC0731">
        <w:t xml:space="preserve"> is calculated according to the test procedures of</w:t>
      </w:r>
      <w:r>
        <w:t xml:space="preserve"> A</w:t>
      </w:r>
      <w:r w:rsidRPr="00BC0731">
        <w:t>ppendix J2</w:t>
      </w:r>
      <w:r w:rsidR="00A0651F">
        <w:t xml:space="preserve">.  </w:t>
      </w:r>
      <w:r w:rsidRPr="00351650">
        <w:t xml:space="preserve">Since the current </w:t>
      </w:r>
      <w:r w:rsidR="00555AE0">
        <w:t>federal standard, ENERGY STAR</w:t>
      </w:r>
      <w:r>
        <w:t xml:space="preserve"> standard, and many of the default values now refer to the J2 testing procedure, the Commission </w:t>
      </w:r>
      <w:r w:rsidR="002B6957">
        <w:t xml:space="preserve">proposed </w:t>
      </w:r>
      <w:r>
        <w:t xml:space="preserve">updating the </w:t>
      </w:r>
      <w:r w:rsidRPr="00351650">
        <w:t xml:space="preserve">algorithms in the TRM </w:t>
      </w:r>
      <w:r>
        <w:t>to use A</w:t>
      </w:r>
      <w:r w:rsidRPr="00351650">
        <w:t>ppendix J</w:t>
      </w:r>
      <w:r>
        <w:t>2</w:t>
      </w:r>
      <w:r w:rsidRPr="00351650">
        <w:t xml:space="preserve"> MEFs</w:t>
      </w:r>
      <w:r w:rsidR="00A0651F">
        <w:t xml:space="preserve">.  </w:t>
      </w:r>
      <w:r>
        <w:t>Adopting the new test procedure changes the federal efficiency standard for both top and front</w:t>
      </w:r>
      <w:r w:rsidR="00D6350F">
        <w:t>-</w:t>
      </w:r>
      <w:r>
        <w:t>loading washers</w:t>
      </w:r>
      <w:r w:rsidR="00A0651F">
        <w:t xml:space="preserve">.  </w:t>
      </w:r>
      <w:r>
        <w:t>In conjunction with adopting the new testing procedures as described above, the Commission propose</w:t>
      </w:r>
      <w:r w:rsidR="005C0CDE">
        <w:t>d</w:t>
      </w:r>
      <w:r>
        <w:t xml:space="preserve"> updating the ENERGY STAR Requirements and integrated MEF</w:t>
      </w:r>
      <w:r>
        <w:rPr>
          <w:vertAlign w:val="subscript"/>
        </w:rPr>
        <w:t>J2</w:t>
      </w:r>
      <w:r>
        <w:t xml:space="preserve"> </w:t>
      </w:r>
      <w:r>
        <w:lastRenderedPageBreak/>
        <w:t>values with the ENERGY STAR Product Criteria for Commercial Clothes Washers Version 8 for both top</w:t>
      </w:r>
      <w:r w:rsidR="00644DF6">
        <w:t>-</w:t>
      </w:r>
      <w:r>
        <w:t>loading and front</w:t>
      </w:r>
      <w:r w:rsidR="00D6350F">
        <w:t>-</w:t>
      </w:r>
      <w:r>
        <w:t>loading washers</w:t>
      </w:r>
      <w:r w:rsidR="00A0651F">
        <w:t xml:space="preserve">.  </w:t>
      </w:r>
    </w:p>
    <w:p w14:paraId="667DE15E" w14:textId="77777777" w:rsidR="00144AF1" w:rsidRDefault="00144AF1" w:rsidP="00AA2116"/>
    <w:p w14:paraId="063BD228" w14:textId="0FD0AC28" w:rsidR="00144AF1" w:rsidRPr="001062F9" w:rsidRDefault="0063339B" w:rsidP="00453F14">
      <w:pPr>
        <w:pStyle w:val="Heading5"/>
        <w:numPr>
          <w:ilvl w:val="4"/>
          <w:numId w:val="56"/>
        </w:numPr>
      </w:pPr>
      <w:r>
        <w:t>Comments</w:t>
      </w:r>
    </w:p>
    <w:p w14:paraId="3FF9F770" w14:textId="388A1CFB" w:rsidR="00144AF1" w:rsidRDefault="002147CB" w:rsidP="00AA2116">
      <w:r>
        <w:t>FirstEnergy</w:t>
      </w:r>
      <w:r w:rsidR="00F6397D">
        <w:t xml:space="preserve"> note</w:t>
      </w:r>
      <w:r w:rsidR="00644DF6">
        <w:t>s</w:t>
      </w:r>
      <w:r w:rsidR="00F6397D">
        <w:t xml:space="preserve"> that t</w:t>
      </w:r>
      <w:r w:rsidR="00F6397D" w:rsidRPr="00411E8B">
        <w:t>op</w:t>
      </w:r>
      <w:r w:rsidR="00644DF6">
        <w:t>-</w:t>
      </w:r>
      <w:r w:rsidR="00F6397D" w:rsidRPr="00411E8B">
        <w:t>loading machines are included in the descriptions and calculations, but top</w:t>
      </w:r>
      <w:r w:rsidR="00644DF6">
        <w:t>-</w:t>
      </w:r>
      <w:r w:rsidR="00F6397D" w:rsidRPr="00411E8B">
        <w:t>loading units do not qualify for ENERGY STAR and therefore do</w:t>
      </w:r>
      <w:r w:rsidR="00F6397D">
        <w:t xml:space="preserve"> </w:t>
      </w:r>
      <w:r w:rsidR="00F6397D" w:rsidRPr="00411E8B">
        <w:t>not need to be included</w:t>
      </w:r>
      <w:r w:rsidR="00F6397D">
        <w:t xml:space="preserve"> in r</w:t>
      </w:r>
      <w:r w:rsidR="00F6397D" w:rsidRPr="00411E8B">
        <w:t>elated tables</w:t>
      </w:r>
      <w:r w:rsidR="00F6397D">
        <w:t xml:space="preserve">. </w:t>
      </w:r>
      <w:r w:rsidR="00F6397D" w:rsidRPr="00411E8B">
        <w:t xml:space="preserve"> </w:t>
      </w:r>
      <w:r>
        <w:t>FirstEnergy</w:t>
      </w:r>
      <w:r w:rsidR="00F6397D">
        <w:t xml:space="preserve"> </w:t>
      </w:r>
      <w:r w:rsidR="00644DF6">
        <w:t>C</w:t>
      </w:r>
      <w:r w:rsidR="00F6397D">
        <w:t>omments at 11.</w:t>
      </w:r>
    </w:p>
    <w:p w14:paraId="73965249" w14:textId="77777777" w:rsidR="00144AF1" w:rsidRDefault="00144AF1" w:rsidP="00AA2116"/>
    <w:p w14:paraId="68DFA91D" w14:textId="056750C8" w:rsidR="00144AF1" w:rsidRPr="00932931" w:rsidRDefault="0063339B" w:rsidP="00453F14">
      <w:pPr>
        <w:pStyle w:val="Heading5"/>
        <w:numPr>
          <w:ilvl w:val="4"/>
          <w:numId w:val="56"/>
        </w:numPr>
      </w:pPr>
      <w:r w:rsidRPr="00245817">
        <w:t>Disposition</w:t>
      </w:r>
    </w:p>
    <w:p w14:paraId="557EF780" w14:textId="5747A115" w:rsidR="00F6397D" w:rsidRPr="000768B4" w:rsidRDefault="003A3BB6" w:rsidP="00AA2116">
      <w:r>
        <w:rPr>
          <w:szCs w:val="26"/>
        </w:rPr>
        <w:t>We agree with FirstEnergy’s statement</w:t>
      </w:r>
      <w:r w:rsidRPr="000768B4">
        <w:rPr>
          <w:szCs w:val="26"/>
        </w:rPr>
        <w:t xml:space="preserve"> </w:t>
      </w:r>
      <w:r w:rsidR="00F6397D" w:rsidRPr="000768B4">
        <w:t>that no top</w:t>
      </w:r>
      <w:r w:rsidR="00644DF6">
        <w:t>-</w:t>
      </w:r>
      <w:r w:rsidR="00F6397D" w:rsidRPr="000768B4">
        <w:t xml:space="preserve">loading commercial washing machines qualify for </w:t>
      </w:r>
      <w:r w:rsidR="00612915">
        <w:t xml:space="preserve">the </w:t>
      </w:r>
      <w:r>
        <w:t>ENERGY STAR</w:t>
      </w:r>
      <w:r w:rsidR="00F6397D" w:rsidRPr="000768B4">
        <w:t xml:space="preserve"> designation. </w:t>
      </w:r>
      <w:r w:rsidR="00F6397D">
        <w:t xml:space="preserve"> Given that the m</w:t>
      </w:r>
      <w:r w:rsidR="00F6397D" w:rsidRPr="000768B4">
        <w:t>easur</w:t>
      </w:r>
      <w:r w:rsidR="00F6397D">
        <w:t>e vintage is replace on burnout, a front</w:t>
      </w:r>
      <w:r w:rsidR="005C0CDE">
        <w:t>-</w:t>
      </w:r>
      <w:r w:rsidR="00F6397D">
        <w:t xml:space="preserve">loading washer is the only available ENERGY STAR choice and a code minimum </w:t>
      </w:r>
      <w:r w:rsidR="00F6397D" w:rsidRPr="000768B4">
        <w:t>front</w:t>
      </w:r>
      <w:r w:rsidR="005C0CDE">
        <w:t>-</w:t>
      </w:r>
      <w:r w:rsidR="00F6397D" w:rsidRPr="000768B4">
        <w:t xml:space="preserve">loading washer </w:t>
      </w:r>
      <w:r w:rsidR="00F6397D">
        <w:t>should</w:t>
      </w:r>
      <w:r w:rsidR="00F6397D" w:rsidRPr="000768B4">
        <w:t xml:space="preserve"> be used as baseline comparison.</w:t>
      </w:r>
      <w:r w:rsidR="00F6397D">
        <w:t xml:space="preserve">  The Commission has removed tables </w:t>
      </w:r>
      <w:r w:rsidR="00C81DC1">
        <w:t xml:space="preserve">that </w:t>
      </w:r>
      <w:r w:rsidR="00F6397D">
        <w:t xml:space="preserve">provide default values for replacing a top loading commercial washing machine with an ENERGY STAR appliance. </w:t>
      </w:r>
      <w:r w:rsidR="00F6397D" w:rsidRPr="000768B4">
        <w:t xml:space="preserve"> </w:t>
      </w:r>
    </w:p>
    <w:p w14:paraId="120F8211" w14:textId="77777777" w:rsidR="00D26B64" w:rsidRPr="006D0C8F" w:rsidRDefault="5826BB76" w:rsidP="00453F14">
      <w:pPr>
        <w:pStyle w:val="Heading4"/>
        <w:numPr>
          <w:ilvl w:val="3"/>
          <w:numId w:val="56"/>
        </w:numPr>
      </w:pPr>
      <w:r>
        <w:t>Default Values</w:t>
      </w:r>
    </w:p>
    <w:p w14:paraId="77FD8D34" w14:textId="6CAE1913" w:rsidR="00D26B64" w:rsidRDefault="00D26B64" w:rsidP="00AA2116">
      <w:r w:rsidRPr="00063DA8">
        <w:t>The</w:t>
      </w:r>
      <w:r>
        <w:t xml:space="preserve"> Commission propose</w:t>
      </w:r>
      <w:r w:rsidR="00C81DC1">
        <w:t>d</w:t>
      </w:r>
      <w:r>
        <w:t xml:space="preserve"> updating the default values for </w:t>
      </w:r>
      <w:r w:rsidRPr="003F41E4">
        <w:t xml:space="preserve">number of loads, maximum load weight, capacity, and dryer usage factor </w:t>
      </w:r>
      <w:r>
        <w:t>to reflect the new testing procedures</w:t>
      </w:r>
      <w:r w:rsidR="00A0651F">
        <w:t xml:space="preserve">.  </w:t>
      </w:r>
      <w:r w:rsidR="00931579">
        <w:t>We</w:t>
      </w:r>
      <w:r>
        <w:t xml:space="preserve"> also propose</w:t>
      </w:r>
      <w:r w:rsidR="00C81DC1">
        <w:t>d</w:t>
      </w:r>
      <w:r>
        <w:t xml:space="preserve"> </w:t>
      </w:r>
      <w:r w:rsidR="00931579">
        <w:rPr>
          <w:szCs w:val="26"/>
        </w:rPr>
        <w:t xml:space="preserve">to </w:t>
      </w:r>
      <w:r w:rsidR="008D6DF5">
        <w:rPr>
          <w:szCs w:val="26"/>
        </w:rPr>
        <w:t xml:space="preserve">change </w:t>
      </w:r>
      <w:r w:rsidR="008D6DF5">
        <w:t>the</w:t>
      </w:r>
      <w:r>
        <w:t xml:space="preserve"> measure life to reflect the values in the current federal standard</w:t>
      </w:r>
      <w:r w:rsidR="00931579">
        <w:t xml:space="preserve"> </w:t>
      </w:r>
      <w:r w:rsidR="00931579">
        <w:rPr>
          <w:szCs w:val="26"/>
        </w:rPr>
        <w:t xml:space="preserve">and also to update </w:t>
      </w:r>
      <w:r>
        <w:t>default values for water heater fuel shares to reflect Pennsylvania-specific findings from the</w:t>
      </w:r>
      <w:r w:rsidR="00310C73" w:rsidRPr="00CA4D5D">
        <w:t xml:space="preserve"> Act 129 2018 Pennsylvania Non-Residential Baseline Study</w:t>
      </w:r>
      <w:r w:rsidR="00A0651F">
        <w:t xml:space="preserve">.  </w:t>
      </w:r>
    </w:p>
    <w:p w14:paraId="61DCCC16" w14:textId="77777777" w:rsidR="00144AF1" w:rsidRDefault="00144AF1" w:rsidP="00AA2116"/>
    <w:p w14:paraId="6E8E517D" w14:textId="32ECF3B7" w:rsidR="00144AF1" w:rsidRPr="001062F9" w:rsidRDefault="00F346B6" w:rsidP="00453F14">
      <w:pPr>
        <w:pStyle w:val="Heading5"/>
        <w:numPr>
          <w:ilvl w:val="4"/>
          <w:numId w:val="56"/>
        </w:numPr>
      </w:pPr>
      <w:r>
        <w:t>Comments</w:t>
      </w:r>
    </w:p>
    <w:p w14:paraId="64D91F05" w14:textId="28C9FA0A" w:rsidR="00144AF1" w:rsidRDefault="002147CB" w:rsidP="00AA2116">
      <w:r>
        <w:t>FirstEnergy</w:t>
      </w:r>
      <w:r w:rsidR="00F6397D">
        <w:t xml:space="preserve"> </w:t>
      </w:r>
      <w:r w:rsidR="00EB67A4">
        <w:t xml:space="preserve">states </w:t>
      </w:r>
      <w:r w:rsidR="00F6397D">
        <w:t xml:space="preserve">that in </w:t>
      </w:r>
      <w:r w:rsidR="00F6397D" w:rsidRPr="00B428EF">
        <w:t>Table 3-126</w:t>
      </w:r>
      <w:r w:rsidR="00F6397D">
        <w:t>, the</w:t>
      </w:r>
      <w:r w:rsidR="00F6397D" w:rsidRPr="00B428EF">
        <w:t xml:space="preserve"> ME</w:t>
      </w:r>
      <w:r w:rsidR="00F6397D" w:rsidRPr="00B428EF">
        <w:rPr>
          <w:vertAlign w:val="subscript"/>
        </w:rPr>
        <w:t>t</w:t>
      </w:r>
      <w:r w:rsidR="00F6397D" w:rsidRPr="00B428EF">
        <w:t xml:space="preserve"> </w:t>
      </w:r>
      <w:r w:rsidR="00F6397D">
        <w:t xml:space="preserve">and LAF </w:t>
      </w:r>
      <w:r w:rsidR="00F6397D" w:rsidRPr="00B428EF">
        <w:t>value</w:t>
      </w:r>
      <w:r w:rsidR="00F6397D">
        <w:t>s</w:t>
      </w:r>
      <w:r w:rsidR="00F6397D" w:rsidRPr="00B428EF">
        <w:t xml:space="preserve"> </w:t>
      </w:r>
      <w:r w:rsidR="00F6397D">
        <w:t>were</w:t>
      </w:r>
      <w:r w:rsidR="00F6397D" w:rsidRPr="00B428EF">
        <w:t xml:space="preserve"> not provided in Source 1</w:t>
      </w:r>
      <w:r w:rsidR="00931579">
        <w:t xml:space="preserve">, and </w:t>
      </w:r>
      <w:r w:rsidR="00F6397D">
        <w:t>suggest</w:t>
      </w:r>
      <w:r w:rsidR="00931579">
        <w:t>s</w:t>
      </w:r>
      <w:r w:rsidR="00F6397D">
        <w:t xml:space="preserve"> that in </w:t>
      </w:r>
      <w:r w:rsidR="00F6397D" w:rsidRPr="00B428EF">
        <w:t>Table 3-129 and 3-131</w:t>
      </w:r>
      <w:r w:rsidR="00F6397D">
        <w:t>,</w:t>
      </w:r>
      <w:r w:rsidR="00F6397D" w:rsidRPr="00B428EF">
        <w:t xml:space="preserve"> the savings values for </w:t>
      </w:r>
      <w:r w:rsidR="005F7EE5">
        <w:t>“</w:t>
      </w:r>
      <w:r w:rsidR="00F6397D" w:rsidRPr="00B428EF">
        <w:t>electric hot water heater, gas dryer</w:t>
      </w:r>
      <w:r w:rsidR="005F7EE5" w:rsidRPr="005F7EE5">
        <w:t>”</w:t>
      </w:r>
      <w:r w:rsidR="00F6397D" w:rsidRPr="00B428EF">
        <w:t xml:space="preserve"> and </w:t>
      </w:r>
      <w:r w:rsidR="005F7EE5" w:rsidRPr="005F7EE5">
        <w:t>“</w:t>
      </w:r>
      <w:r w:rsidR="00F6397D" w:rsidRPr="00B428EF">
        <w:t>gas hot water heater, electric dryer</w:t>
      </w:r>
      <w:r w:rsidR="005F7EE5">
        <w:t>”</w:t>
      </w:r>
      <w:r w:rsidR="00F6397D" w:rsidRPr="00B428EF">
        <w:t xml:space="preserve"> are swapped. </w:t>
      </w:r>
      <w:r w:rsidR="00F6397D">
        <w:t xml:space="preserve"> Finally, they request verification on the default values of appliances in a laundromat.  </w:t>
      </w:r>
      <w:r>
        <w:t>FirstEnergy</w:t>
      </w:r>
      <w:r w:rsidR="00F6397D">
        <w:t xml:space="preserve"> </w:t>
      </w:r>
      <w:r w:rsidR="003B28D1">
        <w:t>C</w:t>
      </w:r>
      <w:r w:rsidR="00F6397D">
        <w:t xml:space="preserve">omments at 12. </w:t>
      </w:r>
    </w:p>
    <w:p w14:paraId="7887F155" w14:textId="77777777" w:rsidR="00144AF1" w:rsidRDefault="00144AF1" w:rsidP="00AA2116"/>
    <w:p w14:paraId="12424703" w14:textId="29EF8737" w:rsidR="00144AF1" w:rsidRPr="001062F9" w:rsidRDefault="00F346B6" w:rsidP="00453F14">
      <w:pPr>
        <w:pStyle w:val="Heading5"/>
        <w:numPr>
          <w:ilvl w:val="4"/>
          <w:numId w:val="56"/>
        </w:numPr>
      </w:pPr>
      <w:r w:rsidRPr="00245817">
        <w:lastRenderedPageBreak/>
        <w:t>Disposition</w:t>
      </w:r>
    </w:p>
    <w:p w14:paraId="13AAFEC2" w14:textId="3BDCA0A4" w:rsidR="00144AF1" w:rsidRDefault="009D04D5" w:rsidP="00AA2116">
      <w:r>
        <w:t>The Commission agrees with FirstEnergy’s comment about the source for the ME</w:t>
      </w:r>
      <w:r>
        <w:rPr>
          <w:vertAlign w:val="subscript"/>
        </w:rPr>
        <w:t>t</w:t>
      </w:r>
      <w:r>
        <w:t xml:space="preserve"> and LAF values.  These values</w:t>
      </w:r>
      <w:r w:rsidR="00F6397D">
        <w:t xml:space="preserve"> were mistakenly attributed to Source 1, the federal standard itself, when they should have been attributed to Source 3, the test procedure.  </w:t>
      </w:r>
      <w:r>
        <w:t>Regarding FirstEnergy’s second comment, t</w:t>
      </w:r>
      <w:r w:rsidR="00F6397D">
        <w:t xml:space="preserve">he Commission verified that the current values for the savings associated with “electric hot water heater, gas dryer” and “gas hot water heater, electric dryer” </w:t>
      </w:r>
      <w:r>
        <w:t xml:space="preserve">are </w:t>
      </w:r>
      <w:r w:rsidR="00F6397D">
        <w:t>correct.  The savings associated with using less hot water initially exceed the savings associated with a lower remaining moisture content and thus</w:t>
      </w:r>
      <w:r w:rsidR="00271866">
        <w:t>,</w:t>
      </w:r>
      <w:r w:rsidR="00F6397D">
        <w:t xml:space="preserve"> less drying energy needed.  As such, the savings from an ENERGY STAR commercial washer are greater when the hot water heater is electric than when the dryer is electric.  </w:t>
      </w:r>
      <w:r>
        <w:t>In response to FirstEnergy’s final comment, t</w:t>
      </w:r>
      <w:r w:rsidR="00F6397D">
        <w:t xml:space="preserve">he Commission has confirmed that the default value of savings for laundromats </w:t>
      </w:r>
      <w:r w:rsidR="002F1761">
        <w:t>are</w:t>
      </w:r>
      <w:r w:rsidR="00F6397D">
        <w:t xml:space="preserve"> correct.  In order to qualify for savings, the laundromat must verify that there is an electric fuel component. </w:t>
      </w:r>
    </w:p>
    <w:p w14:paraId="0DC3E2BC" w14:textId="77777777" w:rsidR="009D0B99" w:rsidRPr="00FD4495" w:rsidRDefault="009D0B99" w:rsidP="00AA2116">
      <w:pPr>
        <w:pStyle w:val="BodyTextIndent3"/>
      </w:pPr>
    </w:p>
    <w:p w14:paraId="38CD53E7" w14:textId="7D2A9BBF" w:rsidR="000878FB" w:rsidRPr="00133F20" w:rsidRDefault="000878FB" w:rsidP="00453F14">
      <w:pPr>
        <w:pStyle w:val="Heading3"/>
        <w:numPr>
          <w:ilvl w:val="2"/>
          <w:numId w:val="56"/>
        </w:numPr>
      </w:pPr>
      <w:bookmarkStart w:id="280" w:name="_Toc15657981"/>
      <w:r w:rsidRPr="00133F20">
        <w:t xml:space="preserve">Section </w:t>
      </w:r>
      <w:r w:rsidR="00133F20" w:rsidRPr="00133F20">
        <w:t>3.7.1 –</w:t>
      </w:r>
      <w:r w:rsidR="000F670F" w:rsidRPr="00133F20">
        <w:t xml:space="preserve"> </w:t>
      </w:r>
      <w:r w:rsidR="00133F20">
        <w:t>High-</w:t>
      </w:r>
      <w:r w:rsidR="000D4F34">
        <w:t>e</w:t>
      </w:r>
      <w:r w:rsidR="00133F20">
        <w:t>fficiency</w:t>
      </w:r>
      <w:r w:rsidR="000F670F" w:rsidRPr="00133F20">
        <w:t xml:space="preserve"> Ice Machines</w:t>
      </w:r>
      <w:r w:rsidR="000F670F" w:rsidRPr="00133F20">
        <w:rPr>
          <w:rStyle w:val="FootnoteReference"/>
        </w:rPr>
        <w:footnoteReference w:id="101"/>
      </w:r>
      <w:bookmarkEnd w:id="280"/>
    </w:p>
    <w:p w14:paraId="38188402" w14:textId="01BAA279" w:rsidR="000878FB" w:rsidRDefault="5826BB76" w:rsidP="00453F14">
      <w:pPr>
        <w:pStyle w:val="Heading4"/>
        <w:numPr>
          <w:ilvl w:val="3"/>
          <w:numId w:val="56"/>
        </w:numPr>
      </w:pPr>
      <w:r>
        <w:t>Measure Life</w:t>
      </w:r>
    </w:p>
    <w:p w14:paraId="6996BFDC" w14:textId="17263816" w:rsidR="000878FB" w:rsidRDefault="000878FB" w:rsidP="00AA2116">
      <w:r>
        <w:t>The Commission propose</w:t>
      </w:r>
      <w:r w:rsidR="00E235AF">
        <w:t>d</w:t>
      </w:r>
      <w:r>
        <w:t xml:space="preserve"> a change in the measure life for Ice Machines</w:t>
      </w:r>
      <w:r w:rsidR="00A0651F">
        <w:t xml:space="preserve">.  </w:t>
      </w:r>
      <w:r>
        <w:t xml:space="preserve">The change in measure life from </w:t>
      </w:r>
      <w:r w:rsidR="000D4F34">
        <w:t>ten</w:t>
      </w:r>
      <w:r>
        <w:t xml:space="preserve"> years to </w:t>
      </w:r>
      <w:r w:rsidR="000D4F34">
        <w:t>eight</w:t>
      </w:r>
      <w:r>
        <w:t xml:space="preserve"> years </w:t>
      </w:r>
      <w:r w:rsidR="00791AA4">
        <w:t>was</w:t>
      </w:r>
      <w:r>
        <w:t xml:space="preserve"> proposed to reflect the current measure life utilized by ENERGY STAR.</w:t>
      </w:r>
    </w:p>
    <w:p w14:paraId="466F9698" w14:textId="77777777" w:rsidR="00144AF1" w:rsidRDefault="00144AF1" w:rsidP="00AA2116"/>
    <w:p w14:paraId="41F13084" w14:textId="77777777" w:rsidR="00144AF1" w:rsidRPr="001062F9" w:rsidRDefault="00144AF1" w:rsidP="00453F14">
      <w:pPr>
        <w:pStyle w:val="Heading5"/>
        <w:numPr>
          <w:ilvl w:val="4"/>
          <w:numId w:val="57"/>
        </w:numPr>
      </w:pPr>
      <w:r w:rsidRPr="1ECF3ED6">
        <w:t>Comments</w:t>
      </w:r>
    </w:p>
    <w:p w14:paraId="312F20C2" w14:textId="66A4FC0D" w:rsidR="6C95303B" w:rsidRDefault="002147CB" w:rsidP="00AA2116">
      <w:r>
        <w:t>FirstEnergy</w:t>
      </w:r>
      <w:r w:rsidR="6C95303B" w:rsidRPr="6C95303B">
        <w:t xml:space="preserve"> proposes </w:t>
      </w:r>
      <w:r w:rsidR="00612915" w:rsidRPr="6C95303B">
        <w:t>the California Public Utilities Commission DEER</w:t>
      </w:r>
      <w:r w:rsidR="6C95303B" w:rsidRPr="6C95303B">
        <w:t xml:space="preserve"> </w:t>
      </w:r>
      <w:r w:rsidR="00612915">
        <w:t xml:space="preserve">be used as an </w:t>
      </w:r>
      <w:r w:rsidR="6C95303B" w:rsidRPr="6C95303B">
        <w:t xml:space="preserve">alternate source for the measure life.  </w:t>
      </w:r>
      <w:r>
        <w:t>FirstEnergy</w:t>
      </w:r>
      <w:r w:rsidR="6C95303B" w:rsidRPr="6C95303B">
        <w:t xml:space="preserve"> Comments at 12.</w:t>
      </w:r>
    </w:p>
    <w:p w14:paraId="755B632C" w14:textId="77777777" w:rsidR="00144AF1" w:rsidRDefault="00144AF1" w:rsidP="00AA2116"/>
    <w:p w14:paraId="4DF88E23" w14:textId="77777777" w:rsidR="00144AF1" w:rsidRPr="001062F9" w:rsidRDefault="00144AF1" w:rsidP="00453F14">
      <w:pPr>
        <w:pStyle w:val="Heading5"/>
        <w:numPr>
          <w:ilvl w:val="4"/>
          <w:numId w:val="57"/>
        </w:numPr>
      </w:pPr>
      <w:r w:rsidRPr="1ECF3ED6">
        <w:t>Disposition</w:t>
      </w:r>
    </w:p>
    <w:p w14:paraId="138E0EF7" w14:textId="74027271" w:rsidR="6C95303B" w:rsidRDefault="6C95303B" w:rsidP="00AA2116">
      <w:r w:rsidRPr="6C95303B">
        <w:t xml:space="preserve">The Commission </w:t>
      </w:r>
      <w:r w:rsidR="00D43462">
        <w:rPr>
          <w:szCs w:val="26"/>
        </w:rPr>
        <w:t xml:space="preserve">disagrees with FirstEnergy’s proposal to consider an alternate source for the measure life.  In our tentative order we proposed a </w:t>
      </w:r>
      <w:r w:rsidR="00D43462">
        <w:t xml:space="preserve">change in measure life </w:t>
      </w:r>
      <w:r w:rsidR="00D43462">
        <w:lastRenderedPageBreak/>
        <w:t>from ten years to eight years to reflect the current measure life utilized by ENERGY STAR</w:t>
      </w:r>
      <w:r w:rsidR="00D43462">
        <w:rPr>
          <w:szCs w:val="26"/>
        </w:rPr>
        <w:t xml:space="preserve">.  </w:t>
      </w:r>
    </w:p>
    <w:p w14:paraId="4B4EC16F" w14:textId="77777777" w:rsidR="009D0B99" w:rsidRDefault="009D0B99" w:rsidP="00AA2116"/>
    <w:p w14:paraId="3528B28E" w14:textId="6FEC23A5" w:rsidR="000F670F" w:rsidRDefault="000F670F" w:rsidP="00453F14">
      <w:pPr>
        <w:pStyle w:val="Heading4"/>
        <w:numPr>
          <w:ilvl w:val="3"/>
          <w:numId w:val="57"/>
        </w:numPr>
      </w:pPr>
      <w:r w:rsidRPr="00A84492">
        <w:rPr>
          <w:snapToGrid w:val="0"/>
        </w:rPr>
        <w:t>Baseline Efficiencies</w:t>
      </w:r>
    </w:p>
    <w:p w14:paraId="7BE3469F" w14:textId="45DE9E5A" w:rsidR="000878FB" w:rsidRDefault="000878FB" w:rsidP="00AA2116">
      <w:r>
        <w:t>The Commission propose</w:t>
      </w:r>
      <w:r w:rsidR="00791AA4">
        <w:t>d</w:t>
      </w:r>
      <w:r>
        <w:t xml:space="preserve"> changes to the baseline efficiencies for the batch-type and continuous-</w:t>
      </w:r>
      <w:r w:rsidRPr="0005396F">
        <w:t>type ice machines</w:t>
      </w:r>
      <w:r w:rsidR="00A0651F">
        <w:t xml:space="preserve">.  </w:t>
      </w:r>
      <w:r w:rsidRPr="0005396F">
        <w:t>The changes reflect the most recent updates to baseline efficiencies made as part of the Federal Register Final Rule (Energy Conservation Program: Energy Conservation Standards for Automatic Commercial Ice Makers; Final Rule. Federal Register / Vol. 80, No. 18. January 28, 2015)</w:t>
      </w:r>
      <w:r w:rsidR="00A0651F">
        <w:t xml:space="preserve">.  </w:t>
      </w:r>
      <w:r w:rsidRPr="0005396F">
        <w:t>T</w:t>
      </w:r>
      <w:r w:rsidRPr="003D3BF2">
        <w:t>he changes include the revision and addition of categories for the ice harvest rates for both batch-type and continuous-type ice machines</w:t>
      </w:r>
      <w:r w:rsidR="003D3BF2">
        <w:t>, as well as the</w:t>
      </w:r>
      <w:r w:rsidRPr="003D3BF2">
        <w:t xml:space="preserve"> associated revisions and additions</w:t>
      </w:r>
      <w:r w:rsidR="00A63972">
        <w:t xml:space="preserve"> to</w:t>
      </w:r>
      <w:r w:rsidRPr="003D3BF2">
        <w:t xml:space="preserve"> the algorithms and values for the baseline energy use for these categories</w:t>
      </w:r>
      <w:r w:rsidR="00A0651F" w:rsidRPr="003D3BF2">
        <w:t>.</w:t>
      </w:r>
      <w:r w:rsidR="00A0651F">
        <w:t xml:space="preserve">  </w:t>
      </w:r>
    </w:p>
    <w:p w14:paraId="0016C584" w14:textId="77777777" w:rsidR="00144AF1" w:rsidRDefault="00144AF1" w:rsidP="00AA2116"/>
    <w:p w14:paraId="042185CB" w14:textId="45BF1129" w:rsidR="009E1C2A" w:rsidRPr="001062F9" w:rsidRDefault="009E1C2A" w:rsidP="00453F14">
      <w:pPr>
        <w:pStyle w:val="Heading5"/>
        <w:numPr>
          <w:ilvl w:val="4"/>
          <w:numId w:val="57"/>
        </w:numPr>
      </w:pPr>
      <w:r>
        <w:t>Comments</w:t>
      </w:r>
    </w:p>
    <w:p w14:paraId="463C367D" w14:textId="052E110B" w:rsidR="6C95303B" w:rsidRDefault="6C95303B" w:rsidP="00AA2116">
      <w:r w:rsidRPr="6C95303B">
        <w:t>Franklin Energy suggest</w:t>
      </w:r>
      <w:r w:rsidR="00791AA4">
        <w:t>s</w:t>
      </w:r>
      <w:r w:rsidRPr="6C95303B">
        <w:t xml:space="preserve"> including a source link for the Federal Register Final Rule (Energy Conservation Program: Energy Conservation Standards for Automatic Commercial Ice Makers; Final Rule. Federal Register / Vol. 80, No. 18. January 28, 2015). </w:t>
      </w:r>
      <w:r w:rsidR="009D04D5">
        <w:t xml:space="preserve"> </w:t>
      </w:r>
      <w:r w:rsidRPr="6C95303B">
        <w:t>Franklin Energy Comments at 428.</w:t>
      </w:r>
    </w:p>
    <w:p w14:paraId="07FD23CC" w14:textId="77777777" w:rsidR="00144AF1" w:rsidRDefault="00144AF1" w:rsidP="00AA2116"/>
    <w:p w14:paraId="15166968" w14:textId="77777777" w:rsidR="009E1C2A" w:rsidRPr="001062F9" w:rsidRDefault="009E1C2A" w:rsidP="00453F14">
      <w:pPr>
        <w:pStyle w:val="Heading5"/>
        <w:numPr>
          <w:ilvl w:val="4"/>
          <w:numId w:val="57"/>
        </w:numPr>
      </w:pPr>
      <w:r w:rsidRPr="00245817">
        <w:t>Disposition</w:t>
      </w:r>
    </w:p>
    <w:p w14:paraId="6C015564" w14:textId="458486B1" w:rsidR="6C95303B" w:rsidRDefault="6C95303B" w:rsidP="00AA2116">
      <w:r w:rsidRPr="6C95303B">
        <w:t xml:space="preserve">The link provided by Franklin Energy did not link to the correct document.  </w:t>
      </w:r>
      <w:r w:rsidR="0044554E">
        <w:t>However, t</w:t>
      </w:r>
      <w:r w:rsidRPr="6C95303B">
        <w:t>he Commission accepts</w:t>
      </w:r>
      <w:r w:rsidR="00E26D6C">
        <w:t xml:space="preserve"> Franklin Energy’</w:t>
      </w:r>
      <w:r w:rsidR="0044554E">
        <w:t>s</w:t>
      </w:r>
      <w:r w:rsidR="00E26D6C">
        <w:t xml:space="preserve"> </w:t>
      </w:r>
      <w:r w:rsidRPr="6C95303B">
        <w:t xml:space="preserve">suggestion </w:t>
      </w:r>
      <w:r w:rsidR="00932785">
        <w:t>to include a</w:t>
      </w:r>
      <w:r w:rsidR="00914548">
        <w:t xml:space="preserve"> </w:t>
      </w:r>
      <w:r w:rsidR="00914548" w:rsidRPr="6C95303B">
        <w:t xml:space="preserve">source link for the Federal Register Final Rule </w:t>
      </w:r>
      <w:r w:rsidRPr="6C95303B">
        <w:t>and</w:t>
      </w:r>
      <w:r w:rsidR="00914548">
        <w:t xml:space="preserve"> has added</w:t>
      </w:r>
      <w:r w:rsidRPr="6C95303B">
        <w:t xml:space="preserve"> the correct link to the </w:t>
      </w:r>
      <w:r w:rsidR="00E26D6C">
        <w:t xml:space="preserve">2021 </w:t>
      </w:r>
      <w:r w:rsidR="00066B53">
        <w:t>TRM list of sources</w:t>
      </w:r>
      <w:r w:rsidRPr="6C95303B">
        <w:t>.</w:t>
      </w:r>
    </w:p>
    <w:p w14:paraId="7C2C9750" w14:textId="405FF246" w:rsidR="009D0B99" w:rsidRPr="005B6199" w:rsidRDefault="009D0B99" w:rsidP="00AA2116"/>
    <w:p w14:paraId="68D90B3B" w14:textId="7926D496" w:rsidR="00802861" w:rsidRPr="000A7D16" w:rsidRDefault="008C2537" w:rsidP="00453F14">
      <w:pPr>
        <w:pStyle w:val="Heading3"/>
        <w:numPr>
          <w:ilvl w:val="2"/>
          <w:numId w:val="58"/>
        </w:numPr>
      </w:pPr>
      <w:bookmarkStart w:id="281" w:name="_Toc15657982"/>
      <w:r w:rsidRPr="000A7D16">
        <w:t xml:space="preserve">Section </w:t>
      </w:r>
      <w:r w:rsidR="00B70D53" w:rsidRPr="000A7D16">
        <w:t>3.7.2 – Controls: Beverage Machine Controls</w:t>
      </w:r>
      <w:r w:rsidR="00B70D53" w:rsidRPr="000A7D16">
        <w:rPr>
          <w:rStyle w:val="FootnoteReference"/>
        </w:rPr>
        <w:t xml:space="preserve"> </w:t>
      </w:r>
      <w:r w:rsidR="00802861" w:rsidRPr="000A7D16">
        <w:rPr>
          <w:rStyle w:val="FootnoteReference"/>
        </w:rPr>
        <w:footnoteReference w:id="102"/>
      </w:r>
      <w:bookmarkEnd w:id="281"/>
    </w:p>
    <w:p w14:paraId="1F19AC7A" w14:textId="14C6EB0F" w:rsidR="000878FB" w:rsidRDefault="000878FB" w:rsidP="00AA2116">
      <w:pPr>
        <w:rPr>
          <w:snapToGrid w:val="0"/>
        </w:rPr>
      </w:pPr>
      <w:r>
        <w:t>The Commission propose</w:t>
      </w:r>
      <w:r w:rsidR="00A83711">
        <w:t>d</w:t>
      </w:r>
      <w:r>
        <w:t xml:space="preserve"> a revision to the algorithm used to calculate energy savings for the Beverage Machine Controls measure to account for more specific </w:t>
      </w:r>
      <w:r>
        <w:lastRenderedPageBreak/>
        <w:t>characteristics of the machine</w:t>
      </w:r>
      <w:r w:rsidR="00A0651F">
        <w:t xml:space="preserve">.  </w:t>
      </w:r>
      <w:r>
        <w:t>The change incorporates the use of the wattage of the beverage machine, the annual hours of operation of the machine</w:t>
      </w:r>
      <w:r w:rsidR="00A83711">
        <w:t>,</w:t>
      </w:r>
      <w:r>
        <w:t xml:space="preserve"> and the energy savings factor of the machine</w:t>
      </w:r>
      <w:r w:rsidR="00A0651F">
        <w:t xml:space="preserve">.  </w:t>
      </w:r>
      <w:r>
        <w:t>Based on this change in the algorithm, the Commission propose</w:t>
      </w:r>
      <w:r w:rsidR="00A83711">
        <w:t>d</w:t>
      </w:r>
      <w:r>
        <w:t xml:space="preserve"> that the EDC gathers data for the components of the savings algorithm or uses default values provided</w:t>
      </w:r>
      <w:r w:rsidR="00A0651F">
        <w:t xml:space="preserve">.  </w:t>
      </w:r>
      <w:r w:rsidR="00714E86">
        <w:t>We provided d</w:t>
      </w:r>
      <w:r>
        <w:t>efault values for two types of machines</w:t>
      </w:r>
      <w:r w:rsidR="006E5A6E">
        <w:t>:</w:t>
      </w:r>
      <w:r>
        <w:t xml:space="preserve"> refrigerated beverage vending machine and </w:t>
      </w:r>
      <w:r w:rsidRPr="00BD5F79">
        <w:t>glass front refrigerated cooler</w:t>
      </w:r>
      <w:r w:rsidR="00A0651F">
        <w:t xml:space="preserve">.  </w:t>
      </w:r>
      <w:r w:rsidR="00714E86">
        <w:t>We also proposed d</w:t>
      </w:r>
      <w:r>
        <w:t>efault values for wattage and energy savings factors</w:t>
      </w:r>
      <w:r w:rsidR="00714E86">
        <w:t xml:space="preserve">, </w:t>
      </w:r>
      <w:r>
        <w:t xml:space="preserve">based on the </w:t>
      </w:r>
      <w:r w:rsidRPr="00D32D56">
        <w:rPr>
          <w:snapToGrid w:val="0"/>
        </w:rPr>
        <w:t>Illinois Statewide Technical Reference Manual v7.0</w:t>
      </w:r>
      <w:r>
        <w:rPr>
          <w:snapToGrid w:val="0"/>
        </w:rPr>
        <w:t>.</w:t>
      </w:r>
    </w:p>
    <w:p w14:paraId="2E28B3AF" w14:textId="77777777" w:rsidR="00975982" w:rsidRDefault="00975982" w:rsidP="00AA2116">
      <w:pPr>
        <w:rPr>
          <w:snapToGrid w:val="0"/>
        </w:rPr>
      </w:pPr>
    </w:p>
    <w:p w14:paraId="31368537" w14:textId="3477B024" w:rsidR="00144AF1" w:rsidRPr="00E1125F" w:rsidRDefault="00E1125F" w:rsidP="00453F14">
      <w:pPr>
        <w:pStyle w:val="Heading4"/>
        <w:numPr>
          <w:ilvl w:val="3"/>
          <w:numId w:val="58"/>
        </w:numPr>
      </w:pPr>
      <w:r>
        <w:t>Comments</w:t>
      </w:r>
    </w:p>
    <w:p w14:paraId="7694125A" w14:textId="1A0B7C1D" w:rsidR="6C95303B" w:rsidRDefault="002147CB" w:rsidP="00AA2116">
      <w:r>
        <w:t>FirstEnergy</w:t>
      </w:r>
      <w:r w:rsidR="6C95303B" w:rsidRPr="6C95303B">
        <w:t xml:space="preserve"> </w:t>
      </w:r>
      <w:r w:rsidR="006E5A6E" w:rsidRPr="6C95303B">
        <w:t>comment</w:t>
      </w:r>
      <w:r w:rsidR="006E5A6E">
        <w:t>s</w:t>
      </w:r>
      <w:r w:rsidR="006E5A6E" w:rsidRPr="6C95303B">
        <w:t xml:space="preserve"> </w:t>
      </w:r>
      <w:r w:rsidR="6C95303B" w:rsidRPr="6C95303B">
        <w:t xml:space="preserve">that the savings algorithm assumes the machine is operating at full capacity and that this is not being taken into consideration in the savings algorithm.  </w:t>
      </w:r>
      <w:r>
        <w:t>FirstEnergy</w:t>
      </w:r>
      <w:r w:rsidR="6C95303B" w:rsidRPr="6C95303B">
        <w:t xml:space="preserve"> also </w:t>
      </w:r>
      <w:r w:rsidR="00052476" w:rsidRPr="6C95303B">
        <w:t>suggest</w:t>
      </w:r>
      <w:r w:rsidR="00052476">
        <w:t>s</w:t>
      </w:r>
      <w:r w:rsidR="00052476" w:rsidRPr="6C95303B">
        <w:t xml:space="preserve"> </w:t>
      </w:r>
      <w:r w:rsidR="6C95303B" w:rsidRPr="6C95303B">
        <w:t xml:space="preserve">using values from an NREL study that accounts for separate load management and lighting control.  </w:t>
      </w:r>
      <w:r>
        <w:t>FirstEnergy</w:t>
      </w:r>
      <w:r w:rsidR="6C95303B" w:rsidRPr="6C95303B">
        <w:t xml:space="preserve"> Comments at 12.</w:t>
      </w:r>
      <w:r w:rsidR="006C4999">
        <w:t xml:space="preserve">  </w:t>
      </w:r>
      <w:r w:rsidR="006C4999" w:rsidRPr="6C95303B">
        <w:t xml:space="preserve">PECO recommends that when equipment type is unknown, </w:t>
      </w:r>
      <w:r w:rsidR="006C4999">
        <w:t>“</w:t>
      </w:r>
      <w:r w:rsidR="006C4999" w:rsidRPr="6C95303B">
        <w:t>Refrigerated Beverage Vending Machine</w:t>
      </w:r>
      <w:r w:rsidR="006C4999">
        <w:t>”</w:t>
      </w:r>
      <w:r w:rsidR="006C4999" w:rsidRPr="6C95303B">
        <w:t xml:space="preserve"> should be used as the default value</w:t>
      </w:r>
      <w:r w:rsidR="006C4999">
        <w:t xml:space="preserve">.  </w:t>
      </w:r>
      <w:r w:rsidR="006C4999" w:rsidRPr="6C95303B">
        <w:t>PECO Comments at 12.</w:t>
      </w:r>
    </w:p>
    <w:p w14:paraId="2F7BF1C7" w14:textId="77777777" w:rsidR="00144AF1" w:rsidRDefault="00144AF1" w:rsidP="00AA2116"/>
    <w:p w14:paraId="257FD746" w14:textId="77777777" w:rsidR="00E1125F" w:rsidRPr="001062F9" w:rsidRDefault="00E1125F" w:rsidP="00453F14">
      <w:pPr>
        <w:pStyle w:val="Heading4"/>
        <w:numPr>
          <w:ilvl w:val="3"/>
          <w:numId w:val="58"/>
        </w:numPr>
      </w:pPr>
      <w:r w:rsidRPr="00245817">
        <w:t>Disposition</w:t>
      </w:r>
    </w:p>
    <w:p w14:paraId="555CF3D3" w14:textId="66DC2842" w:rsidR="6C95303B" w:rsidRDefault="6C95303B" w:rsidP="00AA2116">
      <w:r w:rsidRPr="6C95303B">
        <w:t xml:space="preserve">The Commission rejects both </w:t>
      </w:r>
      <w:r w:rsidR="006C4999">
        <w:t>suggestions</w:t>
      </w:r>
      <w:r w:rsidR="006C4999" w:rsidRPr="6C95303B">
        <w:t xml:space="preserve"> </w:t>
      </w:r>
      <w:r w:rsidRPr="6C95303B">
        <w:t xml:space="preserve">from </w:t>
      </w:r>
      <w:r w:rsidR="002147CB">
        <w:t>FirstEnergy</w:t>
      </w:r>
      <w:r w:rsidRPr="6C95303B">
        <w:t xml:space="preserve">.  The default </w:t>
      </w:r>
      <w:r w:rsidR="00791AA4">
        <w:t>W</w:t>
      </w:r>
      <w:r w:rsidRPr="6C95303B">
        <w:t xml:space="preserve">atts of the refrigerated machine already assume the cycling of the compressor/refrigeration equipment for a standard machine.  The default energy savings factors are used in several other recent TRMs and </w:t>
      </w:r>
      <w:r w:rsidR="009565DD">
        <w:t>are</w:t>
      </w:r>
      <w:r w:rsidRPr="6C95303B">
        <w:t xml:space="preserve"> based on specific Product Sheets.</w:t>
      </w:r>
      <w:r w:rsidR="006C4999">
        <w:t xml:space="preserve">  We also reject</w:t>
      </w:r>
      <w:r w:rsidR="006C4999" w:rsidRPr="6C95303B">
        <w:t xml:space="preserve"> PECO’s </w:t>
      </w:r>
      <w:r w:rsidR="006C4999">
        <w:t>recommendation to define</w:t>
      </w:r>
      <w:r w:rsidR="006C4999" w:rsidRPr="6C95303B">
        <w:t xml:space="preserve"> the equipment type when unknown</w:t>
      </w:r>
      <w:r w:rsidR="006C4999">
        <w:t xml:space="preserve">.  </w:t>
      </w:r>
      <w:r w:rsidR="006C4999" w:rsidRPr="6C95303B">
        <w:t xml:space="preserve">The Commission </w:t>
      </w:r>
      <w:r w:rsidR="006C4999">
        <w:t>is concerned by the theme in PECO’s comments suggesting basic</w:t>
      </w:r>
      <w:r w:rsidR="006C4999" w:rsidRPr="6C95303B">
        <w:t xml:space="preserve"> equipment </w:t>
      </w:r>
      <w:r w:rsidR="006C4999">
        <w:t>characteristics not</w:t>
      </w:r>
      <w:r w:rsidR="006C4999" w:rsidRPr="6C95303B">
        <w:t xml:space="preserve"> be </w:t>
      </w:r>
      <w:r w:rsidR="006C4999">
        <w:t xml:space="preserve">collected prior to providing </w:t>
      </w:r>
      <w:r w:rsidR="006C4999" w:rsidRPr="6C95303B">
        <w:t xml:space="preserve">program </w:t>
      </w:r>
      <w:r w:rsidR="006C4999">
        <w:t>support</w:t>
      </w:r>
      <w:r w:rsidR="006C4999" w:rsidRPr="6C95303B">
        <w:t xml:space="preserve"> </w:t>
      </w:r>
      <w:r w:rsidR="006C4999">
        <w:t>with ratepayer money</w:t>
      </w:r>
      <w:r w:rsidR="006C4999" w:rsidRPr="6C95303B">
        <w:t>.</w:t>
      </w:r>
    </w:p>
    <w:p w14:paraId="5D053DBA" w14:textId="5725252A" w:rsidR="009565DD" w:rsidRPr="000A7D16" w:rsidRDefault="009565DD" w:rsidP="00AA2116">
      <w:pPr>
        <w:rPr>
          <w:snapToGrid w:val="0"/>
        </w:rPr>
      </w:pPr>
    </w:p>
    <w:p w14:paraId="11E490F7" w14:textId="67790420" w:rsidR="00C33642" w:rsidRPr="000A7D16" w:rsidRDefault="008C2537" w:rsidP="00453F14">
      <w:pPr>
        <w:pStyle w:val="Heading3"/>
        <w:numPr>
          <w:ilvl w:val="2"/>
          <w:numId w:val="58"/>
        </w:numPr>
      </w:pPr>
      <w:bookmarkStart w:id="282" w:name="_Toc15657983"/>
      <w:r w:rsidRPr="000A7D16">
        <w:lastRenderedPageBreak/>
        <w:t xml:space="preserve">Section </w:t>
      </w:r>
      <w:r w:rsidR="00C33642" w:rsidRPr="000A7D16">
        <w:t>3.7.4 – ENERGY STAR Electric Steam Cooker</w:t>
      </w:r>
      <w:r w:rsidR="00C33642" w:rsidRPr="000A7D16">
        <w:rPr>
          <w:rStyle w:val="FootnoteReference"/>
        </w:rPr>
        <w:t xml:space="preserve"> </w:t>
      </w:r>
      <w:r w:rsidR="00C33642" w:rsidRPr="000A7D16">
        <w:rPr>
          <w:rStyle w:val="FootnoteReference"/>
        </w:rPr>
        <w:footnoteReference w:id="103"/>
      </w:r>
      <w:bookmarkEnd w:id="282"/>
    </w:p>
    <w:p w14:paraId="7A0F43F5" w14:textId="475B283D" w:rsidR="000878FB" w:rsidRDefault="000F2600" w:rsidP="00AA2116">
      <w:r>
        <w:t>In response to the</w:t>
      </w:r>
      <w:r w:rsidR="00373507">
        <w:t xml:space="preserve"> </w:t>
      </w:r>
      <w:r w:rsidR="002147CB">
        <w:t>FirstEnergy</w:t>
      </w:r>
      <w:r>
        <w:t xml:space="preserve"> comments of the 2016 TRM </w:t>
      </w:r>
      <w:r w:rsidR="00D6350F">
        <w:t>Tentative O</w:t>
      </w:r>
      <w:r>
        <w:t>rder,</w:t>
      </w:r>
      <w:r w:rsidR="00007CA6">
        <w:rPr>
          <w:rStyle w:val="FootnoteReference"/>
        </w:rPr>
        <w:footnoteReference w:id="104"/>
      </w:r>
      <w:r>
        <w:t xml:space="preserve"> the</w:t>
      </w:r>
      <w:r w:rsidR="000878FB">
        <w:t xml:space="preserve"> Commission propose</w:t>
      </w:r>
      <w:r w:rsidR="007877C5">
        <w:t>d</w:t>
      </w:r>
      <w:r w:rsidR="000878FB">
        <w:t xml:space="preserve"> a change to three default parameters for the electric steam cooker measure</w:t>
      </w:r>
      <w:r w:rsidR="00A0651F">
        <w:t xml:space="preserve">.  </w:t>
      </w:r>
      <w:r w:rsidR="000878FB">
        <w:t>The proposed changes are for the following default parameters</w:t>
      </w:r>
      <w:r w:rsidR="007877C5">
        <w:t>:</w:t>
      </w:r>
      <w:r w:rsidR="000878FB">
        <w:t xml:space="preserve"> Power Idle (kW), Capacity (lb/hr), and Cooking Energy Efficiency (%)</w:t>
      </w:r>
      <w:r w:rsidR="00A0651F">
        <w:t xml:space="preserve">.  </w:t>
      </w:r>
      <w:r w:rsidR="000878FB">
        <w:t>The proposed changes align with the current version of ENERGY STAR’s Commercial Kitchen Equipment Calculator</w:t>
      </w:r>
      <w:r w:rsidR="00A0651F">
        <w:t xml:space="preserve">.  </w:t>
      </w:r>
    </w:p>
    <w:p w14:paraId="11B66972" w14:textId="77777777" w:rsidR="00144AF1" w:rsidRDefault="00144AF1" w:rsidP="00FB32DD">
      <w:pPr>
        <w:ind w:firstLine="1440"/>
      </w:pPr>
    </w:p>
    <w:p w14:paraId="1DF80472" w14:textId="1711CC8E" w:rsidR="00144AF1" w:rsidRPr="001062F9" w:rsidRDefault="00144AF1" w:rsidP="00897B2B">
      <w:pPr>
        <w:pStyle w:val="Heading5"/>
        <w:numPr>
          <w:ilvl w:val="3"/>
          <w:numId w:val="58"/>
        </w:numPr>
      </w:pPr>
      <w:r w:rsidRPr="6BCF10E6">
        <w:t>Comments</w:t>
      </w:r>
    </w:p>
    <w:p w14:paraId="0E330AE8" w14:textId="6B5C15AC" w:rsidR="6C95303B" w:rsidRDefault="002147CB" w:rsidP="00AA2116">
      <w:r>
        <w:t>FirstEnergy</w:t>
      </w:r>
      <w:r w:rsidR="6C95303B" w:rsidRPr="6C95303B">
        <w:t xml:space="preserve"> note</w:t>
      </w:r>
      <w:r w:rsidR="0076680D">
        <w:t>s</w:t>
      </w:r>
      <w:r w:rsidR="6C95303B" w:rsidRPr="6C95303B">
        <w:t xml:space="preserve"> that the terms </w:t>
      </w:r>
      <w:r w:rsidR="6C95303B" w:rsidRPr="6C95303B">
        <w:rPr>
          <w:i/>
          <w:iCs/>
        </w:rPr>
        <w:t>lbsFood</w:t>
      </w:r>
      <w:r w:rsidR="6C95303B" w:rsidRPr="6C95303B">
        <w:t xml:space="preserve"> and </w:t>
      </w:r>
      <w:r w:rsidR="6C95303B" w:rsidRPr="6C95303B">
        <w:rPr>
          <w:i/>
          <w:iCs/>
        </w:rPr>
        <w:t>HOURS</w:t>
      </w:r>
      <w:r w:rsidR="6C95303B" w:rsidRPr="6C95303B">
        <w:rPr>
          <w:i/>
          <w:iCs/>
          <w:vertAlign w:val="subscript"/>
        </w:rPr>
        <w:t>op</w:t>
      </w:r>
      <w:r w:rsidR="6C95303B" w:rsidRPr="6C95303B">
        <w:t xml:space="preserve"> will not have nameplate values as noted in Table 3-143.  </w:t>
      </w:r>
      <w:r w:rsidR="006C4999">
        <w:t>FirstEnergy</w:t>
      </w:r>
      <w:r w:rsidR="006C4999" w:rsidRPr="6C95303B">
        <w:t xml:space="preserve"> </w:t>
      </w:r>
      <w:r w:rsidR="006C4999">
        <w:t xml:space="preserve">also </w:t>
      </w:r>
      <w:r w:rsidR="006C4999" w:rsidRPr="6C95303B">
        <w:t>suggest</w:t>
      </w:r>
      <w:r w:rsidR="006C4999">
        <w:t>s</w:t>
      </w:r>
      <w:r w:rsidR="006C4999" w:rsidRPr="6C95303B">
        <w:t xml:space="preserve"> a revision to the location of the parenthesis in the algorithm for </w:t>
      </w:r>
      <w:r w:rsidR="006C4999" w:rsidRPr="6C95303B">
        <w:rPr>
          <w:i/>
          <w:iCs/>
        </w:rPr>
        <w:t>Daily kWh</w:t>
      </w:r>
      <w:r w:rsidR="006C4999" w:rsidRPr="6C95303B">
        <w:rPr>
          <w:i/>
          <w:iCs/>
          <w:vertAlign w:val="subscript"/>
        </w:rPr>
        <w:t>ee</w:t>
      </w:r>
      <w:r w:rsidR="006C4999" w:rsidRPr="6C95303B">
        <w:t xml:space="preserve">.  </w:t>
      </w:r>
      <w:r>
        <w:t>FirstEnergy</w:t>
      </w:r>
      <w:r w:rsidR="6C95303B" w:rsidRPr="6C95303B">
        <w:t xml:space="preserve"> Comments at 12.</w:t>
      </w:r>
      <w:r w:rsidR="00E63E71">
        <w:t xml:space="preserve">  </w:t>
      </w:r>
      <w:r w:rsidR="6C95303B" w:rsidRPr="6C95303B">
        <w:t xml:space="preserve">Franklin Energy </w:t>
      </w:r>
      <w:r w:rsidR="0076680D" w:rsidRPr="6C95303B">
        <w:t>suggest</w:t>
      </w:r>
      <w:r w:rsidR="0076680D">
        <w:t>s</w:t>
      </w:r>
      <w:r w:rsidR="0076680D" w:rsidRPr="6C95303B">
        <w:t xml:space="preserve"> </w:t>
      </w:r>
      <w:r w:rsidR="6C95303B" w:rsidRPr="6C95303B">
        <w:t>adding the direct link to the ENERGY STAR commercial kitchen equipment calculator to Source 1</w:t>
      </w:r>
      <w:r w:rsidR="009623F2">
        <w:t xml:space="preserve">.  </w:t>
      </w:r>
      <w:r w:rsidR="6C95303B" w:rsidRPr="6C95303B">
        <w:t>Franklin Energy Comments at 436.</w:t>
      </w:r>
    </w:p>
    <w:p w14:paraId="020629FC" w14:textId="77777777" w:rsidR="00144AF1" w:rsidRDefault="00144AF1" w:rsidP="00AA2116"/>
    <w:p w14:paraId="41854E16" w14:textId="2CD7147D" w:rsidR="00144AF1" w:rsidRPr="001062F9" w:rsidRDefault="00144AF1" w:rsidP="00897B2B">
      <w:pPr>
        <w:pStyle w:val="Heading5"/>
        <w:numPr>
          <w:ilvl w:val="3"/>
          <w:numId w:val="58"/>
        </w:numPr>
      </w:pPr>
      <w:r w:rsidRPr="6BCF10E6">
        <w:t>Disposition</w:t>
      </w:r>
    </w:p>
    <w:p w14:paraId="618EC391" w14:textId="46B86417" w:rsidR="6C95303B" w:rsidRDefault="6C95303B" w:rsidP="00AA2116">
      <w:r w:rsidRPr="6C95303B">
        <w:t xml:space="preserve">The Commission accepts </w:t>
      </w:r>
      <w:r w:rsidR="002147CB">
        <w:t>FirstEnergy</w:t>
      </w:r>
      <w:r w:rsidRPr="6C95303B">
        <w:t xml:space="preserve">’s </w:t>
      </w:r>
      <w:r w:rsidR="006C4999">
        <w:t>suggestion</w:t>
      </w:r>
      <w:r w:rsidR="006C4999" w:rsidRPr="6C95303B">
        <w:t xml:space="preserve"> </w:t>
      </w:r>
      <w:r w:rsidRPr="6C95303B">
        <w:t xml:space="preserve">regarding the terms </w:t>
      </w:r>
      <w:r w:rsidRPr="6C95303B">
        <w:rPr>
          <w:i/>
          <w:iCs/>
        </w:rPr>
        <w:t>lbsFood</w:t>
      </w:r>
      <w:r w:rsidRPr="6C95303B">
        <w:t xml:space="preserve"> and </w:t>
      </w:r>
      <w:r w:rsidRPr="6C95303B">
        <w:rPr>
          <w:i/>
          <w:iCs/>
        </w:rPr>
        <w:t>HOURS</w:t>
      </w:r>
      <w:r w:rsidRPr="6C95303B">
        <w:rPr>
          <w:i/>
          <w:iCs/>
          <w:vertAlign w:val="subscript"/>
        </w:rPr>
        <w:t>op</w:t>
      </w:r>
      <w:r w:rsidR="009623F2">
        <w:t xml:space="preserve"> </w:t>
      </w:r>
      <w:r w:rsidR="006C4999">
        <w:t>and</w:t>
      </w:r>
      <w:r w:rsidR="009565DD">
        <w:t xml:space="preserve"> have </w:t>
      </w:r>
      <w:r w:rsidRPr="6C95303B">
        <w:t xml:space="preserve">changed </w:t>
      </w:r>
      <w:r w:rsidR="0076680D">
        <w:t>“</w:t>
      </w:r>
      <w:r w:rsidRPr="6C95303B">
        <w:t>nameplate</w:t>
      </w:r>
      <w:r w:rsidR="0076680D">
        <w:t>”</w:t>
      </w:r>
      <w:r w:rsidRPr="6C95303B">
        <w:t xml:space="preserve"> to </w:t>
      </w:r>
      <w:r w:rsidR="0076680D">
        <w:t>“</w:t>
      </w:r>
      <w:r w:rsidRPr="6C95303B">
        <w:t>EDC Data Gathering</w:t>
      </w:r>
      <w:r w:rsidR="0076680D">
        <w:t>”</w:t>
      </w:r>
      <w:r w:rsidRPr="6C95303B">
        <w:t xml:space="preserve"> for these values in Table 3-143. </w:t>
      </w:r>
      <w:r w:rsidR="006C4999">
        <w:t xml:space="preserve"> </w:t>
      </w:r>
      <w:r w:rsidR="00E5381E" w:rsidRPr="6C95303B">
        <w:t xml:space="preserve">The Commission </w:t>
      </w:r>
      <w:r w:rsidR="00E5381E">
        <w:t xml:space="preserve">also </w:t>
      </w:r>
      <w:r w:rsidR="00E5381E" w:rsidRPr="6C95303B">
        <w:t>accepts</w:t>
      </w:r>
      <w:r w:rsidR="00E5381E">
        <w:t xml:space="preserve"> FirstEnergy’s </w:t>
      </w:r>
      <w:r w:rsidR="00E5381E" w:rsidRPr="6C95303B">
        <w:t xml:space="preserve">correction of the location of the parenthesis in the algorithm for </w:t>
      </w:r>
      <w:r w:rsidR="00E5381E" w:rsidRPr="6C95303B">
        <w:rPr>
          <w:i/>
          <w:iCs/>
        </w:rPr>
        <w:t>Daily kWh</w:t>
      </w:r>
      <w:r w:rsidR="00E5381E" w:rsidRPr="6C95303B">
        <w:rPr>
          <w:i/>
          <w:iCs/>
          <w:vertAlign w:val="subscript"/>
        </w:rPr>
        <w:t>ee</w:t>
      </w:r>
      <w:r w:rsidR="00E5381E">
        <w:rPr>
          <w:iCs/>
        </w:rPr>
        <w:t xml:space="preserve">, and has made the change.  </w:t>
      </w:r>
      <w:r w:rsidR="00EF267C">
        <w:t>We also accept</w:t>
      </w:r>
      <w:r w:rsidRPr="6C95303B">
        <w:t xml:space="preserve"> Franklin Energy’s suggestion </w:t>
      </w:r>
      <w:r w:rsidR="00EF267C">
        <w:t>to add</w:t>
      </w:r>
      <w:r w:rsidRPr="6C95303B">
        <w:t xml:space="preserve"> the direct link to the ENERGY STAR commercial kitchen equipment calculator for Source 1</w:t>
      </w:r>
      <w:r w:rsidR="009565DD">
        <w:t>.</w:t>
      </w:r>
    </w:p>
    <w:p w14:paraId="4D6E5096" w14:textId="77777777" w:rsidR="00BA63A2" w:rsidRDefault="00BA63A2" w:rsidP="00AA2116"/>
    <w:p w14:paraId="61664AEC" w14:textId="514678BA" w:rsidR="00E64334" w:rsidRPr="00887137" w:rsidRDefault="17C9E5F3" w:rsidP="00453F14">
      <w:pPr>
        <w:pStyle w:val="Heading3"/>
        <w:numPr>
          <w:ilvl w:val="2"/>
          <w:numId w:val="58"/>
        </w:numPr>
      </w:pPr>
      <w:bookmarkStart w:id="283" w:name="_Toc15657984"/>
      <w:r>
        <w:t>Section 3.8.1 – Wall and Ceiling Insulation</w:t>
      </w:r>
      <w:r w:rsidR="00133F20">
        <w:rPr>
          <w:rStyle w:val="FootnoteReference"/>
        </w:rPr>
        <w:footnoteReference w:id="105"/>
      </w:r>
      <w:bookmarkEnd w:id="283"/>
    </w:p>
    <w:p w14:paraId="5C6EB846" w14:textId="470A696C" w:rsidR="00E64334" w:rsidRDefault="00E64334" w:rsidP="00AA2116">
      <w:r w:rsidRPr="00063DA8">
        <w:t>The</w:t>
      </w:r>
      <w:r>
        <w:t xml:space="preserve"> Commission propose</w:t>
      </w:r>
      <w:r w:rsidR="001C1804">
        <w:t>d</w:t>
      </w:r>
      <w:r>
        <w:t xml:space="preserve"> updating the default initial R values for ceilings and walls in new construction settings from IECC 2009 to IECC 2015</w:t>
      </w:r>
      <w:r w:rsidR="00A0651F">
        <w:t xml:space="preserve">.  </w:t>
      </w:r>
      <w:r>
        <w:t>The Commission also propose</w:t>
      </w:r>
      <w:r w:rsidR="001A527E">
        <w:t>d</w:t>
      </w:r>
      <w:r>
        <w:t xml:space="preserve"> removing default initial R values for existing premis</w:t>
      </w:r>
      <w:r w:rsidRPr="00063DA8">
        <w:t xml:space="preserve">es since these parameters </w:t>
      </w:r>
      <w:r>
        <w:lastRenderedPageBreak/>
        <w:t>are collected by the EDCs</w:t>
      </w:r>
      <w:r w:rsidR="00A0651F">
        <w:t xml:space="preserve">.  </w:t>
      </w:r>
      <w:r>
        <w:t xml:space="preserve">Using actual R values rather than default R values will result in </w:t>
      </w:r>
      <w:r w:rsidRPr="00063DA8">
        <w:t>more accurate savings</w:t>
      </w:r>
      <w:r>
        <w:t xml:space="preserve"> calculations.</w:t>
      </w:r>
    </w:p>
    <w:p w14:paraId="718D0103" w14:textId="77777777" w:rsidR="008C1D28" w:rsidRDefault="008C1D28" w:rsidP="00AA2116"/>
    <w:p w14:paraId="1D9B6B91" w14:textId="18C68207" w:rsidR="0004032E" w:rsidRPr="001062F9" w:rsidRDefault="0004032E" w:rsidP="00453F14">
      <w:pPr>
        <w:pStyle w:val="Heading4"/>
        <w:numPr>
          <w:ilvl w:val="3"/>
          <w:numId w:val="58"/>
        </w:numPr>
      </w:pPr>
      <w:r w:rsidRPr="001062F9">
        <w:t>Comments</w:t>
      </w:r>
    </w:p>
    <w:p w14:paraId="6A2CF0DB" w14:textId="21BCB3E1" w:rsidR="008C1D28" w:rsidRDefault="0004032E" w:rsidP="00AA2116">
      <w:r>
        <w:t xml:space="preserve">Duquesne recommends retaining the default values and updating them based on EM&amp;V sampling.  Duquesne </w:t>
      </w:r>
      <w:r w:rsidR="001A527E">
        <w:t>C</w:t>
      </w:r>
      <w:r>
        <w:t xml:space="preserve">omments at 5.  </w:t>
      </w:r>
      <w:r w:rsidR="002147CB">
        <w:t>FirstEnergy</w:t>
      </w:r>
      <w:r>
        <w:t xml:space="preserve"> suggests adding a minimum “R_base” value for existing scenarios (e.g., not new construction), similar to the Residential section.  </w:t>
      </w:r>
      <w:r w:rsidR="002147CB">
        <w:t>FirstEnergy</w:t>
      </w:r>
      <w:r>
        <w:t xml:space="preserve"> </w:t>
      </w:r>
      <w:r w:rsidR="001A527E">
        <w:t>C</w:t>
      </w:r>
      <w:r>
        <w:t xml:space="preserve">omments at 13.  PPL recommends updating the table that houses default “R_initial” values with table C403.1.3 from IECC 2015.  PPL </w:t>
      </w:r>
      <w:r w:rsidR="009D70DE">
        <w:t>C</w:t>
      </w:r>
      <w:r>
        <w:t>omments at 8.</w:t>
      </w:r>
    </w:p>
    <w:p w14:paraId="5920F698" w14:textId="77777777" w:rsidR="008C1D28" w:rsidRDefault="008C1D28" w:rsidP="00AA2116"/>
    <w:p w14:paraId="60A11AC8" w14:textId="378CC06B" w:rsidR="008C1D28" w:rsidRPr="001062F9" w:rsidRDefault="008C1D28" w:rsidP="00453F14">
      <w:pPr>
        <w:pStyle w:val="Heading4"/>
        <w:numPr>
          <w:ilvl w:val="3"/>
          <w:numId w:val="58"/>
        </w:numPr>
      </w:pPr>
      <w:r w:rsidRPr="001062F9">
        <w:t>Disposition</w:t>
      </w:r>
    </w:p>
    <w:p w14:paraId="1F8D4446" w14:textId="7B700497" w:rsidR="008C1D28" w:rsidRDefault="009565DD" w:rsidP="00AA2116">
      <w:r>
        <w:t xml:space="preserve">The Commission rejects Duquesne’s </w:t>
      </w:r>
      <w:r w:rsidR="00E5381E">
        <w:t>suggestion</w:t>
      </w:r>
      <w:r>
        <w:t xml:space="preserve">.  </w:t>
      </w:r>
      <w:r w:rsidR="000D15ED">
        <w:t xml:space="preserve">We </w:t>
      </w:r>
      <w:r w:rsidR="00E5381E">
        <w:t>find that</w:t>
      </w:r>
      <w:r w:rsidR="61EAFE93">
        <w:t xml:space="preserve"> the default values in question do not need to be retained, nor does a minimum need to be added.  If the final R value must be measured, then the initial R value </w:t>
      </w:r>
      <w:r>
        <w:t xml:space="preserve">will </w:t>
      </w:r>
      <w:r w:rsidR="61EAFE93">
        <w:t xml:space="preserve">be known.  </w:t>
      </w:r>
      <w:r w:rsidR="005344DC">
        <w:t>We reject, for</w:t>
      </w:r>
      <w:r>
        <w:t xml:space="preserve"> the same reason, FirstEnergy’s </w:t>
      </w:r>
      <w:r w:rsidR="005344DC">
        <w:t>recommendation</w:t>
      </w:r>
      <w:r w:rsidR="00FA6302">
        <w:t xml:space="preserve"> to add a minimum “R_base” value for existing scenarios (e.g., not new construction), similar to the Residential section</w:t>
      </w:r>
      <w:r>
        <w:t xml:space="preserve">.  </w:t>
      </w:r>
      <w:r w:rsidR="00EF267C">
        <w:t>However, we accept P</w:t>
      </w:r>
      <w:r>
        <w:t xml:space="preserve">PL’s </w:t>
      </w:r>
      <w:r w:rsidR="00E5381E">
        <w:t xml:space="preserve">recommendation </w:t>
      </w:r>
      <w:r>
        <w:t>regarding the table that houses default “R_initial” values.  T</w:t>
      </w:r>
      <w:r w:rsidR="61EAFE93">
        <w:t xml:space="preserve">able C403.1.3 from IECC 2015 replaced the relevant </w:t>
      </w:r>
      <w:r>
        <w:t xml:space="preserve">TRM </w:t>
      </w:r>
      <w:r w:rsidR="61EAFE93">
        <w:t xml:space="preserve">table </w:t>
      </w:r>
      <w:r>
        <w:t>in question</w:t>
      </w:r>
      <w:r w:rsidR="61EAFE93">
        <w:t>.</w:t>
      </w:r>
    </w:p>
    <w:p w14:paraId="0C4C7DAB" w14:textId="6CC4705D" w:rsidR="61EAFE93" w:rsidRDefault="61EAFE93" w:rsidP="00AA2116"/>
    <w:p w14:paraId="30B2AC9D" w14:textId="10664908" w:rsidR="00266BB0" w:rsidRPr="000A7D16" w:rsidRDefault="00266BB0" w:rsidP="00453F14">
      <w:pPr>
        <w:pStyle w:val="Heading3"/>
        <w:numPr>
          <w:ilvl w:val="2"/>
          <w:numId w:val="58"/>
        </w:numPr>
      </w:pPr>
      <w:bookmarkStart w:id="284" w:name="_Toc15657985"/>
      <w:r w:rsidRPr="000A7D16">
        <w:t>Section 3.9.1 – ENERGY STAR Office Equipment</w:t>
      </w:r>
      <w:r w:rsidRPr="000A7D16">
        <w:rPr>
          <w:rStyle w:val="FootnoteReference"/>
          <w:b w:val="0"/>
        </w:rPr>
        <w:footnoteReference w:id="106"/>
      </w:r>
      <w:bookmarkEnd w:id="284"/>
    </w:p>
    <w:p w14:paraId="5A5787F4" w14:textId="40F738E7" w:rsidR="00166692" w:rsidRPr="00166692" w:rsidRDefault="00D73860" w:rsidP="00AA2116">
      <w:r>
        <w:t xml:space="preserve">The Commission received comments unrelated to the proposed changes discussed </w:t>
      </w:r>
      <w:r w:rsidR="00BB6A37">
        <w:t>in the Tentative Order</w:t>
      </w:r>
      <w:r>
        <w:t xml:space="preserve">.  These comments are addressed below. </w:t>
      </w:r>
    </w:p>
    <w:p w14:paraId="16AB993A" w14:textId="70DE8F43" w:rsidR="00D73860" w:rsidRDefault="00D73860" w:rsidP="00AA2116"/>
    <w:p w14:paraId="0BCA94E7" w14:textId="58DAE76E" w:rsidR="00D73860" w:rsidRDefault="00D73860" w:rsidP="00453F14">
      <w:pPr>
        <w:pStyle w:val="Heading4"/>
        <w:numPr>
          <w:ilvl w:val="3"/>
          <w:numId w:val="58"/>
        </w:numPr>
      </w:pPr>
      <w:r>
        <w:t>Comments</w:t>
      </w:r>
    </w:p>
    <w:p w14:paraId="46679A53" w14:textId="6BEF3009" w:rsidR="00D73860" w:rsidRDefault="002147CB" w:rsidP="00AA2116">
      <w:r>
        <w:t>FirstEnergy</w:t>
      </w:r>
      <w:r w:rsidR="00D73860" w:rsidRPr="00D73860">
        <w:t xml:space="preserve"> states that default values listed in Table 3-168 need to be updated to reflect the most recent ENERGY STAR calculator. </w:t>
      </w:r>
      <w:r w:rsidR="00D73860">
        <w:t xml:space="preserve"> </w:t>
      </w:r>
      <w:r>
        <w:t>FirstEnergy</w:t>
      </w:r>
      <w:r w:rsidR="00D73860" w:rsidRPr="00D73860">
        <w:t xml:space="preserve"> Comments at 13.</w:t>
      </w:r>
      <w:r w:rsidR="00D73860">
        <w:tab/>
      </w:r>
    </w:p>
    <w:p w14:paraId="38D8F57D" w14:textId="6CC84DE9" w:rsidR="00D73860" w:rsidRDefault="00D73860" w:rsidP="00AA2116"/>
    <w:p w14:paraId="20BF941D" w14:textId="29D9D8B8" w:rsidR="00D73860" w:rsidRDefault="00D73860" w:rsidP="00453F14">
      <w:pPr>
        <w:pStyle w:val="Heading4"/>
        <w:numPr>
          <w:ilvl w:val="3"/>
          <w:numId w:val="58"/>
        </w:numPr>
      </w:pPr>
      <w:r>
        <w:t>Disposition</w:t>
      </w:r>
    </w:p>
    <w:p w14:paraId="2033DF08" w14:textId="219CCBF6" w:rsidR="00D73860" w:rsidRPr="00D73860" w:rsidRDefault="00D73860" w:rsidP="00AA2116">
      <w:r w:rsidRPr="00D73860">
        <w:t xml:space="preserve">The Commission rejects the </w:t>
      </w:r>
      <w:r w:rsidR="00E5381E">
        <w:t>recommendation</w:t>
      </w:r>
      <w:r w:rsidR="00E5381E" w:rsidRPr="00D73860">
        <w:t xml:space="preserve"> </w:t>
      </w:r>
      <w:r w:rsidRPr="00D73860">
        <w:t xml:space="preserve">from </w:t>
      </w:r>
      <w:r w:rsidR="002147CB">
        <w:t>FirstEnergy</w:t>
      </w:r>
      <w:r w:rsidRPr="00D73860">
        <w:t xml:space="preserve">. </w:t>
      </w:r>
      <w:r>
        <w:t xml:space="preserve"> </w:t>
      </w:r>
      <w:r w:rsidRPr="00D73860">
        <w:t>The default savings in Table 3-168 reflect the most recent iteration of the ENERGY STAR Qualified Office Equipment savings calculator, as is noted in Source 2 of Section 3.9.1 of the TRM.</w:t>
      </w:r>
    </w:p>
    <w:p w14:paraId="494E395C" w14:textId="77777777" w:rsidR="00D73860" w:rsidRPr="00166692" w:rsidRDefault="00D73860" w:rsidP="00AA2116"/>
    <w:p w14:paraId="1656DE32" w14:textId="140A1199" w:rsidR="00897502" w:rsidRPr="000A7D16" w:rsidRDefault="00897502" w:rsidP="00453F14">
      <w:pPr>
        <w:pStyle w:val="Heading3"/>
        <w:numPr>
          <w:ilvl w:val="2"/>
          <w:numId w:val="58"/>
        </w:numPr>
      </w:pPr>
      <w:bookmarkStart w:id="285" w:name="_Toc15657986"/>
      <w:r w:rsidRPr="000A7D16">
        <w:t xml:space="preserve">Section 3.9.2 – Office Equipment </w:t>
      </w:r>
      <w:r w:rsidR="00133F20" w:rsidRPr="000A7D16">
        <w:t>–</w:t>
      </w:r>
      <w:r w:rsidRPr="000A7D16">
        <w:t xml:space="preserve"> Network Power Management</w:t>
      </w:r>
      <w:r w:rsidRPr="000A7D16">
        <w:rPr>
          <w:rStyle w:val="FootnoteReference"/>
        </w:rPr>
        <w:footnoteReference w:id="107"/>
      </w:r>
      <w:bookmarkEnd w:id="285"/>
      <w:r w:rsidRPr="000A7D16">
        <w:t xml:space="preserve"> </w:t>
      </w:r>
    </w:p>
    <w:p w14:paraId="3EAD8252" w14:textId="272B50EF" w:rsidR="00897502" w:rsidRPr="000A7D16" w:rsidRDefault="00897502" w:rsidP="00AA2116">
      <w:r w:rsidRPr="000A7D16">
        <w:t>The Commission propose</w:t>
      </w:r>
      <w:r w:rsidR="00996457">
        <w:t>d</w:t>
      </w:r>
      <w:r w:rsidRPr="000A7D16">
        <w:t xml:space="preserve"> to update the deemed energy and demand savings and the EUL source for Network Power Management</w:t>
      </w:r>
      <w:r w:rsidR="00A0651F">
        <w:t xml:space="preserve">.  </w:t>
      </w:r>
      <w:r w:rsidRPr="000A7D16">
        <w:t>The previous deemed savings were sourced from a</w:t>
      </w:r>
      <w:r w:rsidR="00BB6A37">
        <w:t>n</w:t>
      </w:r>
      <w:r w:rsidRPr="000A7D16">
        <w:t xml:space="preserve"> RTF workbook</w:t>
      </w:r>
      <w:r w:rsidR="00CC49D2">
        <w:t>,</w:t>
      </w:r>
      <w:r w:rsidRPr="000A7D16">
        <w:t xml:space="preserve"> which has since been retired by the RTF</w:t>
      </w:r>
      <w:r w:rsidR="00A0651F">
        <w:t xml:space="preserve">.  </w:t>
      </w:r>
      <w:r w:rsidRPr="000A7D16">
        <w:t>The updated deemed savings are sourced from the ENERGY STAR Computer Power Management Savings Calculator</w:t>
      </w:r>
      <w:r w:rsidR="00A0651F">
        <w:t xml:space="preserve">.  </w:t>
      </w:r>
    </w:p>
    <w:p w14:paraId="0A917856" w14:textId="77777777" w:rsidR="008C1D28" w:rsidRDefault="008C1D28" w:rsidP="00AA2116"/>
    <w:p w14:paraId="09C222E2" w14:textId="77777777" w:rsidR="008C1D28" w:rsidRPr="001062F9" w:rsidRDefault="008C1D28" w:rsidP="00453F14">
      <w:pPr>
        <w:pStyle w:val="Heading4"/>
        <w:numPr>
          <w:ilvl w:val="3"/>
          <w:numId w:val="58"/>
        </w:numPr>
      </w:pPr>
      <w:r w:rsidRPr="79FD4DE9">
        <w:t>Comments</w:t>
      </w:r>
    </w:p>
    <w:p w14:paraId="17E804D4" w14:textId="393800E5" w:rsidR="6C95303B" w:rsidRDefault="002147CB" w:rsidP="00AA2116">
      <w:r>
        <w:t>FirstEnergy</w:t>
      </w:r>
      <w:r w:rsidR="6C95303B" w:rsidRPr="6C95303B">
        <w:t xml:space="preserve"> notes a different default savings value for the measure permutation of “Workstation – Laptop Computer with Monitor” based on the cited ENERGY STAR calculator. </w:t>
      </w:r>
      <w:r w:rsidR="00BB6A37">
        <w:t xml:space="preserve"> </w:t>
      </w:r>
      <w:r>
        <w:t>FirstEnergy</w:t>
      </w:r>
      <w:r w:rsidR="6C95303B" w:rsidRPr="6C95303B">
        <w:t xml:space="preserve"> Comments at 13.</w:t>
      </w:r>
      <w:r w:rsidR="00E63E71">
        <w:t xml:space="preserve">  </w:t>
      </w:r>
      <w:r w:rsidR="6C95303B" w:rsidRPr="6C95303B">
        <w:t xml:space="preserve">PECO requests a baseline definition be provided that indicates a baseline condition of networks without management software. </w:t>
      </w:r>
      <w:r w:rsidR="00BB6A37">
        <w:t xml:space="preserve"> </w:t>
      </w:r>
      <w:r w:rsidR="6C95303B" w:rsidRPr="6C95303B">
        <w:t>PECO Comments at 12.</w:t>
      </w:r>
    </w:p>
    <w:p w14:paraId="3487251D" w14:textId="77777777" w:rsidR="007D061D" w:rsidRDefault="007D061D" w:rsidP="00AA2116"/>
    <w:p w14:paraId="5406653B" w14:textId="77777777" w:rsidR="008C1D28" w:rsidRPr="001062F9" w:rsidRDefault="008C1D28" w:rsidP="00453F14">
      <w:pPr>
        <w:pStyle w:val="Heading4"/>
        <w:numPr>
          <w:ilvl w:val="3"/>
          <w:numId w:val="58"/>
        </w:numPr>
      </w:pPr>
      <w:r w:rsidRPr="79FD4DE9">
        <w:t>Disposition</w:t>
      </w:r>
    </w:p>
    <w:p w14:paraId="0E544EDA" w14:textId="125F0367" w:rsidR="6C95303B" w:rsidRDefault="6C95303B" w:rsidP="00AA2116">
      <w:r w:rsidRPr="6C95303B">
        <w:t xml:space="preserve">The Commission understands the discrepancy </w:t>
      </w:r>
      <w:r w:rsidR="00BB6A37">
        <w:t xml:space="preserve">noted in FirstEnergy’s comment.  This </w:t>
      </w:r>
      <w:r w:rsidR="00E5381E">
        <w:t xml:space="preserve">discrepancy </w:t>
      </w:r>
      <w:r w:rsidR="00BB6A37">
        <w:t xml:space="preserve">is </w:t>
      </w:r>
      <w:r w:rsidRPr="6C95303B">
        <w:t>due to a misinterpretation of the measure unit</w:t>
      </w:r>
      <w:r w:rsidR="00773ABC">
        <w:t xml:space="preserve">; therefore, we have </w:t>
      </w:r>
      <w:r w:rsidRPr="6C95303B">
        <w:t>added a footnote to Table 3-170 to clarify the assumptions of the default savings value.</w:t>
      </w:r>
      <w:r w:rsidR="00E63E71">
        <w:t xml:space="preserve">  </w:t>
      </w:r>
      <w:r w:rsidRPr="6C95303B">
        <w:t>The Commission accepts the baseline definition proposed by PECO, as it is consistent with the default savings assumption</w:t>
      </w:r>
      <w:r w:rsidR="00BB6A37">
        <w:t>,</w:t>
      </w:r>
      <w:r w:rsidRPr="6C95303B">
        <w:t xml:space="preserve"> and </w:t>
      </w:r>
      <w:r w:rsidR="0039409D">
        <w:t>has</w:t>
      </w:r>
      <w:r w:rsidR="00BB6A37" w:rsidRPr="6C95303B">
        <w:t xml:space="preserve"> </w:t>
      </w:r>
      <w:r w:rsidRPr="6C95303B">
        <w:t>added the baseline definition to the Default Savings section of 3.9.2 in the TRM.</w:t>
      </w:r>
    </w:p>
    <w:p w14:paraId="5CDC1DE4" w14:textId="77777777" w:rsidR="00666237" w:rsidRPr="000A7D16" w:rsidRDefault="00666237" w:rsidP="00AA2116"/>
    <w:p w14:paraId="25AE34AA" w14:textId="3BF94EA9" w:rsidR="00897502" w:rsidRPr="000A7D16" w:rsidRDefault="00897502" w:rsidP="00453F14">
      <w:pPr>
        <w:pStyle w:val="Heading3"/>
        <w:numPr>
          <w:ilvl w:val="2"/>
          <w:numId w:val="58"/>
        </w:numPr>
      </w:pPr>
      <w:bookmarkStart w:id="286" w:name="_Ref13842185"/>
      <w:bookmarkStart w:id="287" w:name="_Toc15657987"/>
      <w:r w:rsidRPr="000A7D16">
        <w:t>Section 3.9.3 – Advanced Power Strips</w:t>
      </w:r>
      <w:r w:rsidRPr="000A7D16">
        <w:rPr>
          <w:rStyle w:val="FootnoteReference"/>
        </w:rPr>
        <w:footnoteReference w:id="108"/>
      </w:r>
      <w:bookmarkEnd w:id="286"/>
      <w:bookmarkEnd w:id="287"/>
      <w:r w:rsidRPr="000A7D16">
        <w:t xml:space="preserve"> </w:t>
      </w:r>
    </w:p>
    <w:p w14:paraId="39A942E0" w14:textId="7805E5A4" w:rsidR="00454188" w:rsidRPr="000A7D16" w:rsidRDefault="5826BB76" w:rsidP="00453F14">
      <w:pPr>
        <w:pStyle w:val="Heading4"/>
        <w:numPr>
          <w:ilvl w:val="3"/>
          <w:numId w:val="58"/>
        </w:numPr>
      </w:pPr>
      <w:r>
        <w:t>Measure Name Change and Algorithm Update</w:t>
      </w:r>
    </w:p>
    <w:p w14:paraId="215CB601" w14:textId="2DFFACD1" w:rsidR="00897502" w:rsidRDefault="00454188" w:rsidP="00AA2116">
      <w:r>
        <w:t>The Commission propose</w:t>
      </w:r>
      <w:r w:rsidR="004852C0">
        <w:t>d</w:t>
      </w:r>
      <w:r>
        <w:t xml:space="preserve"> updating the measure name to better reflect current market products.</w:t>
      </w:r>
      <w:r w:rsidR="004524ED">
        <w:t xml:space="preserve">  </w:t>
      </w:r>
      <w:r w:rsidR="00897502" w:rsidRPr="55119DC7">
        <w:t xml:space="preserve">The Commission </w:t>
      </w:r>
      <w:r w:rsidR="004524ED" w:rsidRPr="55119DC7">
        <w:t xml:space="preserve">also </w:t>
      </w:r>
      <w:r w:rsidR="00897502" w:rsidRPr="55119DC7">
        <w:t>propose</w:t>
      </w:r>
      <w:r w:rsidR="00B728F2">
        <w:t>d</w:t>
      </w:r>
      <w:r w:rsidR="00897502" w:rsidRPr="55119DC7">
        <w:t xml:space="preserve"> </w:t>
      </w:r>
      <w:r w:rsidR="00B728F2">
        <w:t>updating</w:t>
      </w:r>
      <w:r w:rsidR="00897502" w:rsidRPr="55119DC7">
        <w:t xml:space="preserve"> t</w:t>
      </w:r>
      <w:r w:rsidR="00897502">
        <w:t>he algorithm for Advanced Power Strips to provide a simpler calculation approach</w:t>
      </w:r>
      <w:r w:rsidR="00B728F2">
        <w:t xml:space="preserve"> that</w:t>
      </w:r>
      <w:r w:rsidR="00897502">
        <w:t xml:space="preserve"> </w:t>
      </w:r>
      <w:r w:rsidR="00B728F2">
        <w:t xml:space="preserve">requires </w:t>
      </w:r>
      <w:r w:rsidR="00897502">
        <w:t>fewer parameter inputs relative to the prior algorithm</w:t>
      </w:r>
      <w:r w:rsidR="00A0651F">
        <w:t xml:space="preserve">.  </w:t>
      </w:r>
      <w:r w:rsidR="00897502">
        <w:t xml:space="preserve">The new algorithm </w:t>
      </w:r>
      <w:r w:rsidR="00E5381E">
        <w:t xml:space="preserve">was </w:t>
      </w:r>
      <w:r w:rsidR="00897502">
        <w:t>based on recent research from Massachusetts</w:t>
      </w:r>
      <w:r w:rsidR="00897502">
        <w:rPr>
          <w:rStyle w:val="FootnoteReference"/>
        </w:rPr>
        <w:footnoteReference w:id="109"/>
      </w:r>
      <w:r w:rsidR="00897502">
        <w:t xml:space="preserve"> and </w:t>
      </w:r>
      <w:r w:rsidR="00E5381E">
        <w:t xml:space="preserve">relied </w:t>
      </w:r>
      <w:r w:rsidR="00897502">
        <w:t>on total energy consumption and an energy reduction percentage factor to estimate energy savings.</w:t>
      </w:r>
    </w:p>
    <w:p w14:paraId="2DEF4FA8" w14:textId="77777777" w:rsidR="00144AF1" w:rsidRDefault="00144AF1" w:rsidP="00AA2116"/>
    <w:p w14:paraId="765B1FD8" w14:textId="77777777" w:rsidR="00577171" w:rsidRDefault="00577171" w:rsidP="00453F14">
      <w:pPr>
        <w:pStyle w:val="Heading5"/>
        <w:numPr>
          <w:ilvl w:val="4"/>
          <w:numId w:val="59"/>
        </w:numPr>
      </w:pPr>
      <w:r>
        <w:t>Comments</w:t>
      </w:r>
    </w:p>
    <w:p w14:paraId="4B418524" w14:textId="5E589BEA" w:rsidR="6C95303B" w:rsidRDefault="6C95303B" w:rsidP="00AA2116">
      <w:r w:rsidRPr="6C95303B">
        <w:t xml:space="preserve">TrickleStar, Inc. suggests revisions to the measure description to clarify the terms used to describe the technology name and its functionality. </w:t>
      </w:r>
      <w:r w:rsidR="005412BD">
        <w:t xml:space="preserve"> </w:t>
      </w:r>
      <w:r w:rsidRPr="6C95303B">
        <w:t>TrickleStar, Inc. Comments at 2 and 3.</w:t>
      </w:r>
      <w:r w:rsidR="00E63E71">
        <w:t xml:space="preserve">  </w:t>
      </w:r>
      <w:r w:rsidRPr="6C95303B">
        <w:t xml:space="preserve">Franklin Energy seeks clarification on why the EUL value assumptions differ between the residential and C&amp;I versions of the advanced power strip (APS) measure.  Additionally, Franklin Energy suggests adding an </w:t>
      </w:r>
      <w:r w:rsidR="00745364">
        <w:t>in-service rate</w:t>
      </w:r>
      <w:r w:rsidRPr="6C95303B">
        <w:t xml:space="preserve"> parameter to the measure algorithms to improve the accuracy of the savings estimate. </w:t>
      </w:r>
      <w:r w:rsidR="005412BD">
        <w:t xml:space="preserve"> </w:t>
      </w:r>
      <w:r w:rsidRPr="6C95303B">
        <w:t>Franklin Energy Comments at 470.</w:t>
      </w:r>
    </w:p>
    <w:p w14:paraId="492181B6" w14:textId="77777777" w:rsidR="00144AF1" w:rsidRDefault="00144AF1" w:rsidP="00AA2116"/>
    <w:p w14:paraId="0C00D383" w14:textId="77777777" w:rsidR="00577171" w:rsidRPr="00A25315" w:rsidRDefault="00577171" w:rsidP="00453F14">
      <w:pPr>
        <w:pStyle w:val="Heading5"/>
        <w:numPr>
          <w:ilvl w:val="4"/>
          <w:numId w:val="59"/>
        </w:numPr>
      </w:pPr>
      <w:r>
        <w:t>Disposition</w:t>
      </w:r>
    </w:p>
    <w:p w14:paraId="46C73FAF" w14:textId="5F139164" w:rsidR="6C95303B" w:rsidRDefault="6C95303B" w:rsidP="00AA2116">
      <w:r w:rsidRPr="6C95303B">
        <w:t>The Commission agrees with the suggested revisions in measure description proposed by TrickleStar, Inc. and has amended the text in section 3.9.3</w:t>
      </w:r>
      <w:r w:rsidR="00D85922">
        <w:t>,</w:t>
      </w:r>
      <w:r w:rsidRPr="6C95303B">
        <w:t xml:space="preserve"> as well as Tables 3-172 and 3-173 in the TRM.</w:t>
      </w:r>
      <w:r w:rsidR="00E63E71">
        <w:t xml:space="preserve">  </w:t>
      </w:r>
      <w:r w:rsidR="005412BD">
        <w:t>Regarding Franklin Energy’s comment concerning EUL assumptions, t</w:t>
      </w:r>
      <w:r w:rsidRPr="6C95303B">
        <w:t xml:space="preserve">he Commission acknowledges the differing EUL assumptions and has revised the C&amp;I APS EUL to reflect the same value and source used in for the residential APS EUL based on the source documents.  </w:t>
      </w:r>
      <w:r w:rsidR="00B53CE8">
        <w:t>However, w</w:t>
      </w:r>
      <w:r w:rsidR="00B459E8">
        <w:t>e disagree</w:t>
      </w:r>
      <w:r w:rsidR="00B53CE8">
        <w:t xml:space="preserve"> and</w:t>
      </w:r>
      <w:r w:rsidR="00B459E8">
        <w:t xml:space="preserve"> reject</w:t>
      </w:r>
      <w:r w:rsidRPr="6C95303B">
        <w:t xml:space="preserve"> </w:t>
      </w:r>
      <w:r w:rsidR="005412BD">
        <w:t xml:space="preserve">Franklin </w:t>
      </w:r>
      <w:r w:rsidR="005412BD">
        <w:lastRenderedPageBreak/>
        <w:t>Energy’s</w:t>
      </w:r>
      <w:r w:rsidR="005412BD" w:rsidRPr="6C95303B">
        <w:t xml:space="preserve"> </w:t>
      </w:r>
      <w:r w:rsidRPr="6C95303B">
        <w:t>suggestion to add an ISR parameter to the C&amp;I APS algorithm as no data or research was found to be available to support an ISR for APS within the C&amp;I sector at the time of drafting the 2021 TRM.</w:t>
      </w:r>
    </w:p>
    <w:p w14:paraId="0CF9048C" w14:textId="77777777" w:rsidR="00666237" w:rsidRDefault="00666237" w:rsidP="00AA2116"/>
    <w:p w14:paraId="7CBF0F83" w14:textId="7556FDF0" w:rsidR="00897502" w:rsidRPr="00AD4704" w:rsidRDefault="5826BB76" w:rsidP="00453F14">
      <w:pPr>
        <w:pStyle w:val="Heading4"/>
        <w:numPr>
          <w:ilvl w:val="3"/>
          <w:numId w:val="59"/>
        </w:numPr>
      </w:pPr>
      <w:r>
        <w:t>Measure Permutation</w:t>
      </w:r>
    </w:p>
    <w:p w14:paraId="48C31BE9" w14:textId="29A7A00F" w:rsidR="00897502" w:rsidRPr="000A7D16" w:rsidRDefault="00897502" w:rsidP="00AA2116">
      <w:pPr>
        <w:rPr>
          <w:szCs w:val="26"/>
        </w:rPr>
      </w:pPr>
      <w:r>
        <w:rPr>
          <w:szCs w:val="26"/>
        </w:rPr>
        <w:t>The Commission propose</w:t>
      </w:r>
      <w:r w:rsidR="00D34C3E">
        <w:rPr>
          <w:szCs w:val="26"/>
        </w:rPr>
        <w:t>d</w:t>
      </w:r>
      <w:r>
        <w:rPr>
          <w:szCs w:val="26"/>
        </w:rPr>
        <w:t xml:space="preserve"> to add t</w:t>
      </w:r>
      <w:r>
        <w:t>wo measure permutations to the Advanced Power Strips measure – Tier 1 and Tier 2 strips</w:t>
      </w:r>
      <w:r w:rsidR="00A0651F">
        <w:t xml:space="preserve">.  </w:t>
      </w:r>
      <w:r>
        <w:t>Savings for each permutation vary based on their respective energy reduction percentage factor</w:t>
      </w:r>
      <w:r w:rsidR="00A0651F">
        <w:t xml:space="preserve">.  </w:t>
      </w:r>
      <w:r>
        <w:rPr>
          <w:szCs w:val="26"/>
        </w:rPr>
        <w:t xml:space="preserve">The update </w:t>
      </w:r>
      <w:r w:rsidR="00E5381E">
        <w:rPr>
          <w:szCs w:val="26"/>
        </w:rPr>
        <w:t xml:space="preserve">provided </w:t>
      </w:r>
      <w:r>
        <w:rPr>
          <w:szCs w:val="26"/>
        </w:rPr>
        <w:t xml:space="preserve">greater measure </w:t>
      </w:r>
      <w:r w:rsidRPr="000A7D16">
        <w:rPr>
          <w:szCs w:val="26"/>
        </w:rPr>
        <w:t>resolution that allows the user to apply technology-specific deemed savings.</w:t>
      </w:r>
    </w:p>
    <w:p w14:paraId="1D645E62" w14:textId="77777777" w:rsidR="00144AF1" w:rsidRDefault="00144AF1" w:rsidP="00AA2116"/>
    <w:p w14:paraId="5952E267" w14:textId="77777777" w:rsidR="00660EF1" w:rsidRDefault="00660EF1" w:rsidP="00453F14">
      <w:pPr>
        <w:pStyle w:val="Heading5"/>
        <w:numPr>
          <w:ilvl w:val="4"/>
          <w:numId w:val="59"/>
        </w:numPr>
      </w:pPr>
      <w:r>
        <w:t>Comments</w:t>
      </w:r>
    </w:p>
    <w:p w14:paraId="6EFDBBBD" w14:textId="58A5205B" w:rsidR="6C95303B" w:rsidRDefault="6C95303B" w:rsidP="00AA2116">
      <w:r w:rsidRPr="6C95303B">
        <w:t>Franklin Energy challenges the annual use value cited in Table 3-171</w:t>
      </w:r>
      <w:r w:rsidR="00A231FA">
        <w:t>,</w:t>
      </w:r>
      <w:r w:rsidRPr="6C95303B">
        <w:t xml:space="preserve"> as it assumes 8,760 annual hours of operation and relies on a source that mentions outdated technologies in its analysis.  Franklin Energy also recommends the energy reduction percent (ERP) listed in Table 3-172 for the “unknown” power management scenario be “weighted heavily” toward the ERP scenario in which a workstation power management system is present as opposed to an equal weighting of the ERP between workstations with and without a power management system.  Franklin Energy Comments at 471.</w:t>
      </w:r>
    </w:p>
    <w:p w14:paraId="195F2729" w14:textId="77777777" w:rsidR="00975982" w:rsidRDefault="00975982" w:rsidP="00AA2116"/>
    <w:p w14:paraId="52C40CAB" w14:textId="77777777" w:rsidR="00660EF1" w:rsidRPr="00A25315" w:rsidRDefault="00660EF1" w:rsidP="00453F14">
      <w:pPr>
        <w:pStyle w:val="Heading5"/>
        <w:numPr>
          <w:ilvl w:val="4"/>
          <w:numId w:val="59"/>
        </w:numPr>
      </w:pPr>
      <w:r>
        <w:t>Disposition</w:t>
      </w:r>
    </w:p>
    <w:p w14:paraId="4AAC5473" w14:textId="49BF63F2" w:rsidR="6C95303B" w:rsidRDefault="6C95303B" w:rsidP="00AA2116">
      <w:r w:rsidRPr="6C95303B">
        <w:t xml:space="preserve">The Commission rejects </w:t>
      </w:r>
      <w:r w:rsidR="005412BD">
        <w:t>Franklin Energy’s</w:t>
      </w:r>
      <w:r w:rsidR="005412BD" w:rsidRPr="6C95303B">
        <w:t xml:space="preserve"> </w:t>
      </w:r>
      <w:r w:rsidRPr="6C95303B">
        <w:t>challenge to the annual use value cited in Table 3-171.  This value reflects the full assumed load of a workstation and is based on an assumed workstation containing the presence of a laptop computer, docking station, two LED backlit LED monitors, and a LED task light.  The Commission does not consider these technologies as obsolete.</w:t>
      </w:r>
      <w:r w:rsidR="00E63E71">
        <w:t xml:space="preserve">  </w:t>
      </w:r>
      <w:r w:rsidR="00245083">
        <w:t>Furthermore, we reject</w:t>
      </w:r>
      <w:r w:rsidRPr="6C95303B">
        <w:t xml:space="preserve"> </w:t>
      </w:r>
      <w:r w:rsidR="005412BD">
        <w:t>Franklin Energy’s</w:t>
      </w:r>
      <w:r w:rsidR="005412BD" w:rsidRPr="6C95303B">
        <w:t xml:space="preserve"> </w:t>
      </w:r>
      <w:r w:rsidRPr="6C95303B">
        <w:t>recommendation to weight the “unknown” ERP towards the workstation with a power management system, as there was not sufficient data to support an alternate point estimate condition for how workstation power management systems are operated in working environments at the time of drafting the 2021 TRM.</w:t>
      </w:r>
    </w:p>
    <w:p w14:paraId="080AC592" w14:textId="0E527312" w:rsidR="00666237" w:rsidRPr="000A7D16" w:rsidRDefault="00666237" w:rsidP="00AA2116"/>
    <w:p w14:paraId="4809FB54" w14:textId="71BC9FFB" w:rsidR="00FC5452" w:rsidRPr="000A7D16" w:rsidRDefault="00FC5452" w:rsidP="00453F14">
      <w:pPr>
        <w:pStyle w:val="Heading3"/>
        <w:numPr>
          <w:ilvl w:val="2"/>
          <w:numId w:val="60"/>
        </w:numPr>
        <w:ind w:left="1440" w:hanging="720"/>
      </w:pPr>
      <w:bookmarkStart w:id="288" w:name="_Toc15657988"/>
      <w:r w:rsidRPr="000A7D16">
        <w:lastRenderedPageBreak/>
        <w:t>Section 3.10.1 – Compressed Air Cycling Refrigerated Thermal Mass Dryer</w:t>
      </w:r>
      <w:r w:rsidR="00D445D1" w:rsidRPr="000A7D16">
        <w:rPr>
          <w:rStyle w:val="FootnoteReference"/>
        </w:rPr>
        <w:footnoteReference w:id="110"/>
      </w:r>
      <w:bookmarkEnd w:id="288"/>
    </w:p>
    <w:p w14:paraId="69B98242" w14:textId="59CA1DD5" w:rsidR="00FC5452" w:rsidRDefault="00FC5452" w:rsidP="00AA2116">
      <w:r w:rsidRPr="000A7D16">
        <w:t xml:space="preserve">The Commission </w:t>
      </w:r>
      <w:r w:rsidR="004524ED">
        <w:t>propose</w:t>
      </w:r>
      <w:r w:rsidR="008823E4">
        <w:t>d</w:t>
      </w:r>
      <w:r w:rsidR="004524ED">
        <w:t xml:space="preserve"> </w:t>
      </w:r>
      <w:r w:rsidRPr="000A7D16">
        <w:t>updating the measure life of compressed air cycling refrigerated thermal mass dryer</w:t>
      </w:r>
      <w:r w:rsidR="002060C5">
        <w:t>s</w:t>
      </w:r>
      <w:r w:rsidRPr="000A7D16">
        <w:t xml:space="preserve"> to 15 years based on a measure life study for Wisconsin Focus on Energy, 2009.</w:t>
      </w:r>
      <w:r w:rsidR="004524ED">
        <w:t xml:space="preserve">  </w:t>
      </w:r>
      <w:r w:rsidR="00B456E3">
        <w:t xml:space="preserve">We </w:t>
      </w:r>
      <w:r w:rsidR="004524ED">
        <w:t xml:space="preserve">also </w:t>
      </w:r>
      <w:r>
        <w:t>propose</w:t>
      </w:r>
      <w:r w:rsidR="002060C5">
        <w:t>d</w:t>
      </w:r>
      <w:r>
        <w:t xml:space="preserve"> to revise the hours of compressor operation of compressed air cycling refrigerated thermal mass dryers for multiple shift conditions at the facility</w:t>
      </w:r>
      <w:r w:rsidR="00A0651F">
        <w:t xml:space="preserve">.  </w:t>
      </w:r>
      <w:r>
        <w:t xml:space="preserve">The </w:t>
      </w:r>
      <w:r w:rsidR="00DD7BFA">
        <w:t>C</w:t>
      </w:r>
      <w:r>
        <w:t>ommission propose</w:t>
      </w:r>
      <w:r w:rsidR="00DD7BFA">
        <w:t>d</w:t>
      </w:r>
      <w:r>
        <w:t xml:space="preserve"> making this change to account for holidays and scheduled downtime as supported by more recent sources, including the Efficiency Vermont Technical Reference User Manual</w:t>
      </w:r>
      <w:r w:rsidR="00A0651F">
        <w:t xml:space="preserve">.  </w:t>
      </w:r>
    </w:p>
    <w:p w14:paraId="730E6235" w14:textId="77777777" w:rsidR="00144AF1" w:rsidRDefault="00144AF1" w:rsidP="00AA2116"/>
    <w:p w14:paraId="50CE523A" w14:textId="77777777" w:rsidR="002B5EBC" w:rsidRPr="001062F9" w:rsidRDefault="002B5EBC" w:rsidP="00453F14">
      <w:pPr>
        <w:pStyle w:val="Heading4"/>
        <w:numPr>
          <w:ilvl w:val="3"/>
          <w:numId w:val="60"/>
        </w:numPr>
      </w:pPr>
      <w:r>
        <w:t>Comments</w:t>
      </w:r>
    </w:p>
    <w:p w14:paraId="12AAE939" w14:textId="23F905E8" w:rsidR="6C95303B" w:rsidRDefault="002147CB" w:rsidP="00AA2116">
      <w:r>
        <w:t>FirstEnergy</w:t>
      </w:r>
      <w:r w:rsidR="6C95303B" w:rsidRPr="6C95303B">
        <w:t xml:space="preserve"> </w:t>
      </w:r>
      <w:r w:rsidR="007A0E43">
        <w:t>states</w:t>
      </w:r>
      <w:r w:rsidR="007A0E43" w:rsidRPr="6C95303B">
        <w:t xml:space="preserve"> </w:t>
      </w:r>
      <w:r w:rsidR="6C95303B" w:rsidRPr="6C95303B">
        <w:t xml:space="preserve">that the useful measure life should be </w:t>
      </w:r>
      <w:r w:rsidR="00576C43">
        <w:t>ten</w:t>
      </w:r>
      <w:r w:rsidR="00576C43" w:rsidRPr="6C95303B">
        <w:t xml:space="preserve"> </w:t>
      </w:r>
      <w:r w:rsidR="6C95303B" w:rsidRPr="6C95303B">
        <w:t xml:space="preserve">years based on </w:t>
      </w:r>
      <w:r w:rsidR="00DD7BFA">
        <w:t xml:space="preserve">the </w:t>
      </w:r>
      <w:r w:rsidR="6C95303B" w:rsidRPr="6C95303B">
        <w:t>cited source.</w:t>
      </w:r>
      <w:r w:rsidR="00C63C55">
        <w:rPr>
          <w:rStyle w:val="FootnoteReference"/>
        </w:rPr>
        <w:footnoteReference w:id="111"/>
      </w:r>
      <w:r w:rsidR="6C95303B" w:rsidRPr="6C95303B">
        <w:t xml:space="preserve">  Additionally, </w:t>
      </w:r>
      <w:r>
        <w:t>FirstEnergy</w:t>
      </w:r>
      <w:r w:rsidR="6C95303B" w:rsidRPr="6C95303B">
        <w:t xml:space="preserve"> </w:t>
      </w:r>
      <w:r w:rsidR="00761851" w:rsidRPr="6C95303B">
        <w:t>suggest</w:t>
      </w:r>
      <w:r w:rsidR="00761851">
        <w:t>s</w:t>
      </w:r>
      <w:r w:rsidR="00761851" w:rsidRPr="6C95303B">
        <w:t xml:space="preserve"> </w:t>
      </w:r>
      <w:r w:rsidR="6C95303B" w:rsidRPr="6C95303B">
        <w:t>that additional descriptions of the baseline and efficient technologies be added for clarity</w:t>
      </w:r>
      <w:r w:rsidR="009623F2">
        <w:t xml:space="preserve">.  </w:t>
      </w:r>
      <w:r>
        <w:t>FirstEnergy</w:t>
      </w:r>
      <w:r w:rsidR="6C95303B" w:rsidRPr="6C95303B">
        <w:t xml:space="preserve"> Comments at 13.</w:t>
      </w:r>
    </w:p>
    <w:p w14:paraId="5E2F926B" w14:textId="77777777" w:rsidR="00144AF1" w:rsidRDefault="00144AF1" w:rsidP="00AA2116"/>
    <w:p w14:paraId="17B3B88F" w14:textId="77777777" w:rsidR="002B5EBC" w:rsidRPr="001062F9" w:rsidRDefault="002B5EBC" w:rsidP="00453F14">
      <w:pPr>
        <w:pStyle w:val="Heading4"/>
        <w:numPr>
          <w:ilvl w:val="3"/>
          <w:numId w:val="60"/>
        </w:numPr>
      </w:pPr>
      <w:r w:rsidRPr="00245817">
        <w:t>Disposition</w:t>
      </w:r>
    </w:p>
    <w:p w14:paraId="248153D7" w14:textId="30E3F31B" w:rsidR="00666237" w:rsidRDefault="6C95303B" w:rsidP="00AA2116">
      <w:r w:rsidRPr="6C95303B">
        <w:t xml:space="preserve">The Commission agrees with </w:t>
      </w:r>
      <w:r w:rsidR="005412BD">
        <w:t xml:space="preserve">both </w:t>
      </w:r>
      <w:r w:rsidR="002147CB">
        <w:t>FirstEnergy</w:t>
      </w:r>
      <w:r w:rsidRPr="6C95303B">
        <w:t xml:space="preserve"> suggestions</w:t>
      </w:r>
      <w:r w:rsidR="00544D14">
        <w:t>, and therefore</w:t>
      </w:r>
      <w:r w:rsidR="00923413">
        <w:t xml:space="preserve"> have updated the</w:t>
      </w:r>
      <w:r w:rsidRPr="6C95303B">
        <w:t xml:space="preserve"> applicable </w:t>
      </w:r>
      <w:r w:rsidR="005412BD">
        <w:t xml:space="preserve">measure life </w:t>
      </w:r>
      <w:r w:rsidR="007A0E43">
        <w:t>and have updated</w:t>
      </w:r>
      <w:r w:rsidR="009406B9">
        <w:t xml:space="preserve"> </w:t>
      </w:r>
      <w:r w:rsidR="005412BD">
        <w:t>the descriptions of the baseline and efficient technologies for clarity</w:t>
      </w:r>
      <w:r w:rsidRPr="6C95303B">
        <w:t>.</w:t>
      </w:r>
    </w:p>
    <w:p w14:paraId="4BE1B361" w14:textId="77777777" w:rsidR="0034688D" w:rsidRPr="000A7D16" w:rsidRDefault="0034688D" w:rsidP="00AA2116"/>
    <w:p w14:paraId="4D020915" w14:textId="2A18C2A1" w:rsidR="00FC5452" w:rsidRPr="000A7D16" w:rsidRDefault="00FC5452" w:rsidP="00453F14">
      <w:pPr>
        <w:pStyle w:val="Heading3"/>
        <w:numPr>
          <w:ilvl w:val="2"/>
          <w:numId w:val="60"/>
        </w:numPr>
      </w:pPr>
      <w:bookmarkStart w:id="289" w:name="_Toc15657989"/>
      <w:r w:rsidRPr="000A7D16">
        <w:t>Section 3.10.2 – Compressed Air-</w:t>
      </w:r>
      <w:r w:rsidR="000D4F34">
        <w:t>e</w:t>
      </w:r>
      <w:r w:rsidRPr="000A7D16">
        <w:t>ntraining Air Nozzle</w:t>
      </w:r>
      <w:r w:rsidR="00502E98" w:rsidRPr="000A7D16">
        <w:rPr>
          <w:rStyle w:val="FootnoteReference"/>
        </w:rPr>
        <w:footnoteReference w:id="112"/>
      </w:r>
      <w:bookmarkEnd w:id="289"/>
    </w:p>
    <w:p w14:paraId="3DF0F2D3" w14:textId="1D14C8C5" w:rsidR="00944170" w:rsidRPr="00523C38" w:rsidRDefault="00944170" w:rsidP="00AA2116">
      <w:r w:rsidRPr="00523C38">
        <w:t xml:space="preserve">The Commission did not propose changes to </w:t>
      </w:r>
      <w:r w:rsidR="006E2AD5">
        <w:t xml:space="preserve">the savings algorithms for </w:t>
      </w:r>
      <w:r w:rsidRPr="00523C38">
        <w:t xml:space="preserve">this </w:t>
      </w:r>
      <w:r w:rsidR="006E2AD5">
        <w:t>measure</w:t>
      </w:r>
      <w:r w:rsidRPr="00523C38">
        <w:t>.  However, comments were received and are addressed below.</w:t>
      </w:r>
    </w:p>
    <w:p w14:paraId="1EFFB5AE" w14:textId="77777777" w:rsidR="00944170" w:rsidRPr="00944170" w:rsidRDefault="00944170" w:rsidP="00AA2116"/>
    <w:p w14:paraId="15C4B2F6" w14:textId="77777777" w:rsidR="00A91384" w:rsidRPr="001062F9" w:rsidRDefault="00A91384" w:rsidP="00453F14">
      <w:pPr>
        <w:pStyle w:val="Heading4"/>
        <w:numPr>
          <w:ilvl w:val="3"/>
          <w:numId w:val="60"/>
        </w:numPr>
      </w:pPr>
      <w:r>
        <w:lastRenderedPageBreak/>
        <w:t>Comments</w:t>
      </w:r>
    </w:p>
    <w:p w14:paraId="25EE7979" w14:textId="18098FC0" w:rsidR="6C95303B" w:rsidRDefault="002147CB" w:rsidP="00AA2116">
      <w:r>
        <w:t>FirstEnergy</w:t>
      </w:r>
      <w:r w:rsidR="6C95303B" w:rsidRPr="6C95303B">
        <w:t xml:space="preserve"> </w:t>
      </w:r>
      <w:r w:rsidR="007A0E43">
        <w:t>suggests</w:t>
      </w:r>
      <w:r w:rsidR="007A0E43" w:rsidRPr="6C95303B">
        <w:t xml:space="preserve"> </w:t>
      </w:r>
      <w:r w:rsidR="6C95303B" w:rsidRPr="6C95303B">
        <w:t xml:space="preserve">that the measurement units should be clarified to be volumetric. </w:t>
      </w:r>
      <w:r w:rsidR="005412BD">
        <w:t xml:space="preserve"> </w:t>
      </w:r>
      <w:r w:rsidR="007A0E43">
        <w:t>FirstEnergy</w:t>
      </w:r>
      <w:r w:rsidR="007A0E43" w:rsidRPr="6C95303B">
        <w:t xml:space="preserve"> </w:t>
      </w:r>
      <w:r w:rsidR="007A0E43">
        <w:t>also suggests</w:t>
      </w:r>
      <w:r w:rsidR="007A0E43" w:rsidRPr="6C95303B">
        <w:t xml:space="preserve"> that the useful measure life should be </w:t>
      </w:r>
      <w:r w:rsidR="007A0E43">
        <w:t>ten</w:t>
      </w:r>
      <w:r w:rsidR="007A0E43" w:rsidRPr="6C95303B">
        <w:t xml:space="preserve"> years based on cited source.</w:t>
      </w:r>
      <w:r w:rsidR="007A0E43">
        <w:rPr>
          <w:rStyle w:val="FootnoteReference"/>
        </w:rPr>
        <w:footnoteReference w:id="113"/>
      </w:r>
      <w:r w:rsidR="007A0E43" w:rsidRPr="6C95303B">
        <w:t xml:space="preserve">  </w:t>
      </w:r>
      <w:r>
        <w:t>FirstEnergy</w:t>
      </w:r>
      <w:r w:rsidR="6C95303B" w:rsidRPr="6C95303B">
        <w:t xml:space="preserve"> Comments at 14.</w:t>
      </w:r>
      <w:r w:rsidR="00E63E71">
        <w:t xml:space="preserve">  </w:t>
      </w:r>
      <w:r w:rsidR="6C95303B" w:rsidRPr="6C95303B">
        <w:t xml:space="preserve">PECO recommends that conservative default values be provided for all algorithm parameters to allow for easier implementation. </w:t>
      </w:r>
      <w:r w:rsidR="005412BD">
        <w:t xml:space="preserve"> </w:t>
      </w:r>
      <w:r w:rsidR="6C95303B" w:rsidRPr="6C95303B">
        <w:t>PECO Comments at 12.</w:t>
      </w:r>
    </w:p>
    <w:p w14:paraId="2ECB4C2F" w14:textId="4D2BEB51" w:rsidR="6C95303B" w:rsidRDefault="6C95303B" w:rsidP="00AA2116"/>
    <w:p w14:paraId="54BC21F8" w14:textId="77777777" w:rsidR="00A91384" w:rsidRPr="001062F9" w:rsidRDefault="00A91384" w:rsidP="00453F14">
      <w:pPr>
        <w:pStyle w:val="Heading4"/>
        <w:numPr>
          <w:ilvl w:val="3"/>
          <w:numId w:val="60"/>
        </w:numPr>
      </w:pPr>
      <w:r w:rsidRPr="00245817">
        <w:t>Disposition</w:t>
      </w:r>
    </w:p>
    <w:p w14:paraId="53823B2F" w14:textId="4E8B85CD" w:rsidR="6C95303B" w:rsidRDefault="6C95303B" w:rsidP="00AA2116">
      <w:r w:rsidRPr="6C95303B">
        <w:t xml:space="preserve">The Commission supports </w:t>
      </w:r>
      <w:r w:rsidR="002147CB">
        <w:t>FirstEnergy</w:t>
      </w:r>
      <w:r w:rsidRPr="6C95303B">
        <w:t>’s suggestion to clarify the parameter units</w:t>
      </w:r>
      <w:r w:rsidR="007A0E43">
        <w:t xml:space="preserve"> and has provided the clarifying language</w:t>
      </w:r>
      <w:r w:rsidRPr="6C95303B">
        <w:t xml:space="preserve">.  </w:t>
      </w:r>
      <w:r w:rsidR="007A0E43" w:rsidRPr="6C95303B">
        <w:t>The Commission</w:t>
      </w:r>
      <w:r w:rsidR="007A0E43">
        <w:t>, however,</w:t>
      </w:r>
      <w:r w:rsidR="007A0E43" w:rsidRPr="6C95303B">
        <w:t xml:space="preserve"> rejects </w:t>
      </w:r>
      <w:r w:rsidR="007A0E43">
        <w:t>FirstEnergy’s</w:t>
      </w:r>
      <w:r w:rsidR="007A0E43" w:rsidRPr="6C95303B">
        <w:t xml:space="preserve"> suggestion</w:t>
      </w:r>
      <w:r w:rsidR="007A0E43">
        <w:t xml:space="preserve"> to reduce the measure life to ten years</w:t>
      </w:r>
      <w:r w:rsidR="007A0E43">
        <w:rPr>
          <w:szCs w:val="26"/>
        </w:rPr>
        <w:t>.  The source in question shows a measure life of 15 years, which is the value used in the TRM.</w:t>
      </w:r>
      <w:r w:rsidR="00E63E71">
        <w:rPr>
          <w:szCs w:val="26"/>
        </w:rPr>
        <w:t xml:space="preserve">  </w:t>
      </w:r>
      <w:r w:rsidRPr="6C95303B">
        <w:t xml:space="preserve">The Commission </w:t>
      </w:r>
      <w:r w:rsidR="005412BD">
        <w:t xml:space="preserve">partially accepts PECO’s </w:t>
      </w:r>
      <w:r w:rsidR="007A0E43">
        <w:t xml:space="preserve">suggestion </w:t>
      </w:r>
      <w:r w:rsidR="005412BD">
        <w:t xml:space="preserve">regarding default values.  We </w:t>
      </w:r>
      <w:r w:rsidRPr="6C95303B">
        <w:t>agree that it would be useful to provide a conservative Unknown default value for the compressor per KW value as this is less likely to be known by the program participant</w:t>
      </w:r>
      <w:r w:rsidR="007A0E43">
        <w:t xml:space="preserve"> and has added</w:t>
      </w:r>
      <w:r w:rsidR="005412BD">
        <w:t xml:space="preserve"> </w:t>
      </w:r>
      <w:r w:rsidR="007A0E43">
        <w:t xml:space="preserve">the </w:t>
      </w:r>
      <w:r w:rsidR="005412BD">
        <w:t xml:space="preserve">value </w:t>
      </w:r>
      <w:r w:rsidRPr="6C95303B">
        <w:t xml:space="preserve">to Table 3-186.  </w:t>
      </w:r>
      <w:r w:rsidR="005412BD">
        <w:t>However, t</w:t>
      </w:r>
      <w:r w:rsidRPr="6C95303B">
        <w:t xml:space="preserve">he Commission </w:t>
      </w:r>
      <w:r w:rsidR="007A0E43">
        <w:t>finds that</w:t>
      </w:r>
      <w:r w:rsidR="007A0E43" w:rsidRPr="6C95303B">
        <w:t xml:space="preserve"> </w:t>
      </w:r>
      <w:r w:rsidRPr="6C95303B">
        <w:t>it is reasonable to require basic information on the technology size and basic usage pattern</w:t>
      </w:r>
      <w:r w:rsidR="007A0E43">
        <w:t>,</w:t>
      </w:r>
      <w:r w:rsidRPr="6C95303B">
        <w:t xml:space="preserve"> </w:t>
      </w:r>
      <w:r w:rsidR="007A0E43">
        <w:t>accordingly</w:t>
      </w:r>
      <w:r w:rsidRPr="6C95303B">
        <w:t>, no additional unknown defaults have been provided.</w:t>
      </w:r>
    </w:p>
    <w:p w14:paraId="588CA820" w14:textId="77777777" w:rsidR="00666237" w:rsidRDefault="00666237" w:rsidP="00AA2116"/>
    <w:p w14:paraId="789B78AD" w14:textId="05A23F76" w:rsidR="00FC5452" w:rsidRPr="000A7D16" w:rsidRDefault="00FC5452" w:rsidP="00453F14">
      <w:pPr>
        <w:pStyle w:val="Heading3"/>
        <w:numPr>
          <w:ilvl w:val="2"/>
          <w:numId w:val="60"/>
        </w:numPr>
      </w:pPr>
      <w:bookmarkStart w:id="290" w:name="_Toc15657990"/>
      <w:r w:rsidRPr="000A7D16">
        <w:t>Section 3.10.3 – Compressed Air-</w:t>
      </w:r>
      <w:r w:rsidR="000D4F34">
        <w:t>n</w:t>
      </w:r>
      <w:r w:rsidRPr="000A7D16">
        <w:t>o-</w:t>
      </w:r>
      <w:r w:rsidR="000D4F34">
        <w:t>l</w:t>
      </w:r>
      <w:r w:rsidRPr="000A7D16">
        <w:t>oss Condensate Drains</w:t>
      </w:r>
      <w:r w:rsidR="00F24857" w:rsidRPr="000A7D16">
        <w:rPr>
          <w:rStyle w:val="FootnoteReference"/>
        </w:rPr>
        <w:footnoteReference w:id="114"/>
      </w:r>
      <w:bookmarkEnd w:id="290"/>
    </w:p>
    <w:p w14:paraId="4F2288BC" w14:textId="25D2B99A" w:rsidR="00FC5452" w:rsidRDefault="6C95303B" w:rsidP="00AA2116">
      <w:r>
        <w:t>The Commission propose</w:t>
      </w:r>
      <w:r w:rsidR="003C0EF6">
        <w:t>d</w:t>
      </w:r>
      <w:r>
        <w:t xml:space="preserve"> to revise the hours of compressor operation of compressed air no loss condensate drains for multiple shift conditions at the facility.  The </w:t>
      </w:r>
      <w:r w:rsidR="00C93C07">
        <w:t>C</w:t>
      </w:r>
      <w:r>
        <w:t>ommission propose</w:t>
      </w:r>
      <w:r w:rsidR="002C6C45">
        <w:t>d</w:t>
      </w:r>
      <w:r>
        <w:t xml:space="preserve"> making this change to account for holidays and scheduled downtime as supported by more recent sources, including the Efficiency Vermont Technical Reference User Manual.  </w:t>
      </w:r>
    </w:p>
    <w:p w14:paraId="03B4ABF8" w14:textId="77777777" w:rsidR="00975982" w:rsidRDefault="00975982" w:rsidP="00AA2116"/>
    <w:p w14:paraId="75255DAF" w14:textId="7ECC5959" w:rsidR="00437819" w:rsidRPr="001062F9" w:rsidRDefault="00437819" w:rsidP="005148F3">
      <w:pPr>
        <w:pStyle w:val="Heading5"/>
        <w:numPr>
          <w:ilvl w:val="3"/>
          <w:numId w:val="60"/>
        </w:numPr>
      </w:pPr>
      <w:r>
        <w:lastRenderedPageBreak/>
        <w:t>Comments</w:t>
      </w:r>
    </w:p>
    <w:p w14:paraId="483FE9DC" w14:textId="02B0081B" w:rsidR="6C95303B" w:rsidRDefault="6C95303B" w:rsidP="00AA2116">
      <w:r w:rsidRPr="6C95303B">
        <w:t xml:space="preserve">PECO </w:t>
      </w:r>
      <w:r w:rsidR="007A0E43">
        <w:t>notes</w:t>
      </w:r>
      <w:r w:rsidR="007A0E43" w:rsidRPr="6C95303B">
        <w:t xml:space="preserve"> </w:t>
      </w:r>
      <w:r w:rsidRPr="6C95303B">
        <w:t xml:space="preserve">that there are typos in table 3-191 shift descriptions. </w:t>
      </w:r>
      <w:r w:rsidR="00A069B7">
        <w:t xml:space="preserve"> </w:t>
      </w:r>
      <w:r w:rsidR="00A417AC" w:rsidRPr="6C95303B">
        <w:t xml:space="preserve">PECO recommends that conservative default values be provided for all algorithm parameters to allow for easier implementation. </w:t>
      </w:r>
      <w:r w:rsidR="00A417AC">
        <w:t xml:space="preserve"> </w:t>
      </w:r>
      <w:r w:rsidRPr="6C95303B">
        <w:t xml:space="preserve">PECO </w:t>
      </w:r>
      <w:r w:rsidR="007937D4">
        <w:t>C</w:t>
      </w:r>
      <w:r w:rsidRPr="6C95303B">
        <w:t>omments at 13.</w:t>
      </w:r>
      <w:r w:rsidR="007A0E43">
        <w:t xml:space="preserve">  FirstEnergy</w:t>
      </w:r>
      <w:r w:rsidR="007A0E43" w:rsidRPr="6C95303B">
        <w:t xml:space="preserve"> </w:t>
      </w:r>
      <w:r w:rsidR="00A417AC">
        <w:t>suggests</w:t>
      </w:r>
      <w:r w:rsidR="007A0E43" w:rsidRPr="6C95303B">
        <w:t xml:space="preserve"> that the measure life </w:t>
      </w:r>
      <w:r w:rsidR="007A0E43">
        <w:t>should utilize the same source as other compressed air measures.</w:t>
      </w:r>
      <w:r w:rsidR="007A0E43" w:rsidRPr="6C95303B">
        <w:t xml:space="preserve">  </w:t>
      </w:r>
      <w:r w:rsidR="007A0E43">
        <w:t>FirstEnergy</w:t>
      </w:r>
      <w:r w:rsidR="007A0E43" w:rsidRPr="6C95303B">
        <w:t xml:space="preserve"> Comments at 14.</w:t>
      </w:r>
    </w:p>
    <w:p w14:paraId="6582E0FF" w14:textId="67C42600" w:rsidR="6C95303B" w:rsidRDefault="6C95303B" w:rsidP="00AA2116"/>
    <w:p w14:paraId="0C659C16" w14:textId="438EBD2F" w:rsidR="00437819" w:rsidRPr="001062F9" w:rsidRDefault="00437819" w:rsidP="005148F3">
      <w:pPr>
        <w:pStyle w:val="Heading5"/>
        <w:numPr>
          <w:ilvl w:val="3"/>
          <w:numId w:val="60"/>
        </w:numPr>
      </w:pPr>
      <w:r w:rsidRPr="00245817">
        <w:t>Disposition</w:t>
      </w:r>
    </w:p>
    <w:p w14:paraId="67D211B0" w14:textId="5B1CE7F1" w:rsidR="6C95303B" w:rsidRDefault="6C95303B" w:rsidP="00AA2116">
      <w:r w:rsidRPr="6C95303B">
        <w:t xml:space="preserve">The Commission </w:t>
      </w:r>
      <w:r w:rsidR="00A417AC">
        <w:t xml:space="preserve">partially accepts </w:t>
      </w:r>
      <w:r w:rsidR="00A069B7">
        <w:t xml:space="preserve">PECO’s </w:t>
      </w:r>
      <w:r w:rsidR="00A417AC">
        <w:t>recommendations.  We have</w:t>
      </w:r>
      <w:r w:rsidR="00DB1431">
        <w:t xml:space="preserve"> </w:t>
      </w:r>
      <w:r w:rsidR="00A069B7">
        <w:t>corrected</w:t>
      </w:r>
      <w:r w:rsidR="00DB1431">
        <w:t xml:space="preserve"> the errors</w:t>
      </w:r>
      <w:r w:rsidR="00A417AC">
        <w:t xml:space="preserve"> in table 3-191</w:t>
      </w:r>
      <w:r w:rsidR="00A069B7">
        <w:t>.</w:t>
      </w:r>
      <w:r w:rsidR="00A417AC">
        <w:t xml:space="preserve">  We also </w:t>
      </w:r>
      <w:r w:rsidR="00A417AC" w:rsidRPr="6C95303B">
        <w:t>agree that it would be useful to provide a conservative Unknown default value for the compressor per KW value as this is less likely to be known by the program participant</w:t>
      </w:r>
      <w:r w:rsidR="00A417AC">
        <w:t>; such a value</w:t>
      </w:r>
      <w:r w:rsidR="00A417AC" w:rsidRPr="6C95303B">
        <w:t xml:space="preserve"> has been added to Table 3-190.  However, the Commission </w:t>
      </w:r>
      <w:r w:rsidR="00A417AC">
        <w:t>finds that</w:t>
      </w:r>
      <w:r w:rsidR="00A417AC" w:rsidRPr="6C95303B">
        <w:t xml:space="preserve"> it is reasonable to require basic information on the technology size and basic usage pattern; therefore, no additional </w:t>
      </w:r>
      <w:r w:rsidR="00A417AC" w:rsidRPr="00114B1F">
        <w:t>unknown defaults have been provided</w:t>
      </w:r>
      <w:r w:rsidR="00A417AC" w:rsidRPr="6C95303B">
        <w:t>.</w:t>
      </w:r>
      <w:r w:rsidR="00A417AC">
        <w:t xml:space="preserve">  </w:t>
      </w:r>
      <w:r w:rsidR="00A417AC" w:rsidRPr="6C95303B">
        <w:t xml:space="preserve">The Commission rejects </w:t>
      </w:r>
      <w:r w:rsidR="00A417AC">
        <w:t>FirstEnergy’s</w:t>
      </w:r>
      <w:r w:rsidR="00A417AC" w:rsidRPr="6C95303B">
        <w:t xml:space="preserve"> suggestion </w:t>
      </w:r>
      <w:r w:rsidR="00A417AC">
        <w:t xml:space="preserve">because the reference source for most compressed air measures does not have measure life information for compressed air drains.  The cited Vermont Technical Reference Manual utilizes a preferred value.  </w:t>
      </w:r>
    </w:p>
    <w:p w14:paraId="73CD1847" w14:textId="77777777" w:rsidR="00666237" w:rsidRPr="000A7D16" w:rsidRDefault="00666237" w:rsidP="00AA2116"/>
    <w:p w14:paraId="2808EA66" w14:textId="3C69451E" w:rsidR="00FC5452" w:rsidRPr="000A7D16" w:rsidRDefault="00FC5452" w:rsidP="00453F14">
      <w:pPr>
        <w:pStyle w:val="Heading3"/>
        <w:numPr>
          <w:ilvl w:val="2"/>
          <w:numId w:val="60"/>
        </w:numPr>
      </w:pPr>
      <w:bookmarkStart w:id="291" w:name="_Toc15657991"/>
      <w:r w:rsidRPr="000A7D16">
        <w:t>Section 3.10.4 – Compressed Air-</w:t>
      </w:r>
      <w:r w:rsidR="000D4F34">
        <w:t>t</w:t>
      </w:r>
      <w:r w:rsidRPr="000A7D16">
        <w:t>anks for Loads</w:t>
      </w:r>
      <w:r w:rsidR="000D4F34">
        <w:t xml:space="preserve"> </w:t>
      </w:r>
      <w:r w:rsidRPr="000A7D16">
        <w:t>/</w:t>
      </w:r>
      <w:r w:rsidR="000D4F34">
        <w:t xml:space="preserve"> </w:t>
      </w:r>
      <w:r w:rsidRPr="000A7D16">
        <w:t>No Load Compressors</w:t>
      </w:r>
      <w:r w:rsidR="008E38AA" w:rsidRPr="000A7D16">
        <w:rPr>
          <w:rStyle w:val="FootnoteReference"/>
        </w:rPr>
        <w:footnoteReference w:id="115"/>
      </w:r>
      <w:bookmarkEnd w:id="291"/>
    </w:p>
    <w:p w14:paraId="08BE9996" w14:textId="64B65316" w:rsidR="00944170" w:rsidRPr="00944170" w:rsidRDefault="00944170" w:rsidP="00AA2116">
      <w:r w:rsidRPr="00523C38">
        <w:t xml:space="preserve">The Commission did not propose changes to </w:t>
      </w:r>
      <w:r w:rsidR="006E2AD5">
        <w:t xml:space="preserve">the eligibility requirements for </w:t>
      </w:r>
      <w:r w:rsidRPr="00523C38">
        <w:t>this protocol.  However, comments were re</w:t>
      </w:r>
      <w:r>
        <w:t>ceived and are addressed below.</w:t>
      </w:r>
    </w:p>
    <w:p w14:paraId="2A13B944" w14:textId="77777777" w:rsidR="008C1D28" w:rsidRDefault="008C1D28" w:rsidP="00AA2116"/>
    <w:p w14:paraId="571BE098" w14:textId="77777777" w:rsidR="005F7A68" w:rsidRPr="001062F9" w:rsidRDefault="005F7A68" w:rsidP="00453F14">
      <w:pPr>
        <w:pStyle w:val="Heading4"/>
        <w:numPr>
          <w:ilvl w:val="3"/>
          <w:numId w:val="60"/>
        </w:numPr>
      </w:pPr>
      <w:r>
        <w:t>Comments</w:t>
      </w:r>
    </w:p>
    <w:p w14:paraId="6CAEB1E2" w14:textId="78FB317D" w:rsidR="6C95303B" w:rsidRDefault="002147CB" w:rsidP="00AA2116">
      <w:r>
        <w:t>FirstEnergy</w:t>
      </w:r>
      <w:r w:rsidR="6C95303B" w:rsidRPr="6C95303B">
        <w:t xml:space="preserve"> </w:t>
      </w:r>
      <w:r w:rsidR="00A417AC">
        <w:t>suggests</w:t>
      </w:r>
      <w:r w:rsidR="00A417AC" w:rsidRPr="6C95303B">
        <w:t xml:space="preserve"> </w:t>
      </w:r>
      <w:r w:rsidR="6C95303B" w:rsidRPr="6C95303B">
        <w:t>that the eligibility should be clarified</w:t>
      </w:r>
      <w:r w:rsidR="00BF5C2C">
        <w:t xml:space="preserve"> and make</w:t>
      </w:r>
      <w:r w:rsidR="006E54D3">
        <w:t xml:space="preserve"> clear</w:t>
      </w:r>
      <w:r w:rsidR="6C95303B" w:rsidRPr="6C95303B">
        <w:t xml:space="preserve"> that equipment should be new equipment.  </w:t>
      </w:r>
      <w:r>
        <w:t>FirstEnergy</w:t>
      </w:r>
      <w:r w:rsidR="6C95303B" w:rsidRPr="6C95303B">
        <w:t xml:space="preserve"> Comments at 14.</w:t>
      </w:r>
    </w:p>
    <w:p w14:paraId="7DFA8B5A" w14:textId="77777777" w:rsidR="008C1D28" w:rsidRDefault="008C1D28" w:rsidP="00AA2116"/>
    <w:p w14:paraId="5B73FF3F" w14:textId="77777777" w:rsidR="005F7A68" w:rsidRPr="001062F9" w:rsidRDefault="005F7A68" w:rsidP="00453F14">
      <w:pPr>
        <w:pStyle w:val="Heading4"/>
        <w:numPr>
          <w:ilvl w:val="3"/>
          <w:numId w:val="60"/>
        </w:numPr>
      </w:pPr>
      <w:r w:rsidRPr="00245817">
        <w:t>Disposition</w:t>
      </w:r>
    </w:p>
    <w:p w14:paraId="76CD1AF1" w14:textId="2E141DF5" w:rsidR="6C95303B" w:rsidRDefault="6C95303B" w:rsidP="00AA2116">
      <w:r w:rsidRPr="6C95303B">
        <w:t xml:space="preserve">The Commission agrees </w:t>
      </w:r>
      <w:r w:rsidR="00A069B7">
        <w:t xml:space="preserve">with FirstEnergy’s </w:t>
      </w:r>
      <w:r w:rsidR="00A417AC">
        <w:t>suggestion and has added</w:t>
      </w:r>
      <w:r w:rsidR="00A069B7">
        <w:t xml:space="preserve"> clarification to the </w:t>
      </w:r>
      <w:r w:rsidRPr="6C95303B">
        <w:t>measure eligibility</w:t>
      </w:r>
      <w:r w:rsidR="00A069B7">
        <w:t xml:space="preserve"> section</w:t>
      </w:r>
      <w:r w:rsidR="00DB1431">
        <w:t xml:space="preserve"> of the protocol</w:t>
      </w:r>
      <w:r w:rsidRPr="6C95303B">
        <w:t>.</w:t>
      </w:r>
    </w:p>
    <w:p w14:paraId="54CE0BC1" w14:textId="77777777" w:rsidR="00846D4E" w:rsidRDefault="00846D4E" w:rsidP="00AA2116"/>
    <w:p w14:paraId="52F5213F" w14:textId="36D0A6C1" w:rsidR="00133F20" w:rsidRPr="000A7D16" w:rsidRDefault="00133F20" w:rsidP="00453F14">
      <w:pPr>
        <w:pStyle w:val="Heading3"/>
        <w:numPr>
          <w:ilvl w:val="2"/>
          <w:numId w:val="60"/>
        </w:numPr>
      </w:pPr>
      <w:bookmarkStart w:id="292" w:name="_Toc15657992"/>
      <w:r w:rsidRPr="000A7D16">
        <w:t>Section 3.11.1 – ENERGY STAR Servers</w:t>
      </w:r>
      <w:r w:rsidRPr="000A7D16">
        <w:rPr>
          <w:rStyle w:val="FootnoteReference"/>
        </w:rPr>
        <w:footnoteReference w:id="116"/>
      </w:r>
      <w:bookmarkEnd w:id="292"/>
      <w:r w:rsidRPr="000A7D16">
        <w:t xml:space="preserve"> </w:t>
      </w:r>
    </w:p>
    <w:p w14:paraId="20DC3287" w14:textId="19A1F265" w:rsidR="00133F20" w:rsidRPr="004C241F" w:rsidRDefault="00133F20" w:rsidP="00AA2116">
      <w:r w:rsidRPr="000A7D16">
        <w:t>The Commission propose</w:t>
      </w:r>
      <w:r w:rsidR="00114B1F">
        <w:t>d</w:t>
      </w:r>
      <w:r w:rsidRPr="000A7D16">
        <w:t xml:space="preserve"> to update </w:t>
      </w:r>
      <w:r w:rsidR="00732885">
        <w:t>t</w:t>
      </w:r>
      <w:r w:rsidRPr="000A7D16">
        <w:t>he ENERGY STAR Servers measure with additional background content to provide further understanding and explanation for how the measure performs and how savings</w:t>
      </w:r>
      <w:r>
        <w:t xml:space="preserve"> may be achieved</w:t>
      </w:r>
      <w:r w:rsidR="00A0651F">
        <w:t xml:space="preserve">.  </w:t>
      </w:r>
      <w:r>
        <w:t>The Commission also propose</w:t>
      </w:r>
      <w:r w:rsidR="001D3EAE">
        <w:t>d</w:t>
      </w:r>
      <w:r>
        <w:t xml:space="preserve"> </w:t>
      </w:r>
      <w:r w:rsidR="001D3EAE">
        <w:t>relocating</w:t>
      </w:r>
      <w:r>
        <w:t xml:space="preserve"> the measure from the Miscellaneous </w:t>
      </w:r>
      <w:r w:rsidR="004C241F">
        <w:t>C&amp;I</w:t>
      </w:r>
      <w:r>
        <w:t xml:space="preserve"> section</w:t>
      </w:r>
      <w:r w:rsidR="004C241F">
        <w:t xml:space="preserve"> (3.11.1)</w:t>
      </w:r>
      <w:r>
        <w:t xml:space="preserve"> to the Consumer Electronics </w:t>
      </w:r>
      <w:r w:rsidR="004C241F">
        <w:t>C&amp;I</w:t>
      </w:r>
      <w:r>
        <w:t xml:space="preserve"> section of the TRM </w:t>
      </w:r>
      <w:r w:rsidR="004C241F">
        <w:t xml:space="preserve">(3.9.4) </w:t>
      </w:r>
      <w:r>
        <w:t>due to its relationship with ENERGY STAR computer-based measures in th</w:t>
      </w:r>
      <w:r w:rsidR="004C241F">
        <w:t>e Consumer Electronics section.</w:t>
      </w:r>
    </w:p>
    <w:p w14:paraId="47B99926" w14:textId="77777777" w:rsidR="008C1D28" w:rsidRDefault="008C1D28" w:rsidP="00AA2116"/>
    <w:p w14:paraId="363513AF" w14:textId="77777777" w:rsidR="008C1D28" w:rsidRPr="001062F9" w:rsidRDefault="008C1D28" w:rsidP="00453F14">
      <w:pPr>
        <w:pStyle w:val="Heading4"/>
        <w:numPr>
          <w:ilvl w:val="3"/>
          <w:numId w:val="60"/>
        </w:numPr>
      </w:pPr>
      <w:r w:rsidRPr="7342599A">
        <w:t>Comments</w:t>
      </w:r>
    </w:p>
    <w:p w14:paraId="39950AAD" w14:textId="3012C004" w:rsidR="6C95303B" w:rsidRDefault="002147CB" w:rsidP="00AA2116">
      <w:r>
        <w:t>FirstEnergy</w:t>
      </w:r>
      <w:r w:rsidR="6C95303B" w:rsidRPr="6C95303B">
        <w:t xml:space="preserve"> notes that the measure description is inaccurate due to a statement </w:t>
      </w:r>
      <w:r w:rsidR="001D3EAE">
        <w:t>that</w:t>
      </w:r>
      <w:r w:rsidR="6C95303B" w:rsidRPr="6C95303B">
        <w:t xml:space="preserve"> indicates a savings factor of 1.9 based on a 30% efficiency gain. </w:t>
      </w:r>
      <w:r w:rsidR="00A069B7">
        <w:t xml:space="preserve"> </w:t>
      </w:r>
      <w:r>
        <w:t>FirstEnergy</w:t>
      </w:r>
      <w:r w:rsidR="6C95303B" w:rsidRPr="6C95303B">
        <w:t xml:space="preserve"> believes an efficiency gain of 65% is required to achieve a savings factor of 1.9. </w:t>
      </w:r>
      <w:r w:rsidR="00A417AC">
        <w:t xml:space="preserve"> </w:t>
      </w:r>
      <w:r>
        <w:t>FirstEnergy</w:t>
      </w:r>
      <w:r w:rsidR="6C95303B" w:rsidRPr="6C95303B">
        <w:t xml:space="preserve"> Comments at 13.</w:t>
      </w:r>
    </w:p>
    <w:p w14:paraId="2D2A7057" w14:textId="77777777" w:rsidR="008C1D28" w:rsidRDefault="008C1D28" w:rsidP="00AA2116"/>
    <w:p w14:paraId="502493BE" w14:textId="77777777" w:rsidR="008C1D28" w:rsidRPr="001062F9" w:rsidRDefault="008C1D28" w:rsidP="00453F14">
      <w:pPr>
        <w:pStyle w:val="Heading4"/>
        <w:numPr>
          <w:ilvl w:val="3"/>
          <w:numId w:val="60"/>
        </w:numPr>
      </w:pPr>
      <w:r w:rsidRPr="50BF7061">
        <w:t>Disposition</w:t>
      </w:r>
    </w:p>
    <w:p w14:paraId="3EE5D5F2" w14:textId="3D6B1850" w:rsidR="00133F20" w:rsidRDefault="6C95303B" w:rsidP="00AA2116">
      <w:r w:rsidRPr="6C95303B">
        <w:t xml:space="preserve">The Commission disagrees with the observation made by </w:t>
      </w:r>
      <w:r w:rsidR="002147CB">
        <w:t>FirstEnergy</w:t>
      </w:r>
      <w:r w:rsidRPr="6C95303B">
        <w:t xml:space="preserve">. </w:t>
      </w:r>
      <w:r w:rsidR="00A069B7">
        <w:t xml:space="preserve"> </w:t>
      </w:r>
      <w:r w:rsidRPr="6C95303B">
        <w:t>The measure description indicates that for every 1 watt saved at the server there will be approximately 1.9 watts saved across the facility due to additional efficiencies gained in systems that indirectly benefit from the efficiency gain achieved at the server</w:t>
      </w:r>
      <w:r w:rsidR="00A069B7">
        <w:t xml:space="preserve">.  </w:t>
      </w:r>
    </w:p>
    <w:p w14:paraId="3604B68E" w14:textId="77777777" w:rsidR="0034688D" w:rsidRDefault="0034688D" w:rsidP="00AA2116">
      <w:pPr>
        <w:pStyle w:val="BodyTextIndent3"/>
      </w:pPr>
    </w:p>
    <w:p w14:paraId="29566295" w14:textId="2D8D7308" w:rsidR="00E64334" w:rsidRDefault="17C9E5F3" w:rsidP="00453F14">
      <w:pPr>
        <w:pStyle w:val="Heading3"/>
        <w:numPr>
          <w:ilvl w:val="2"/>
          <w:numId w:val="60"/>
        </w:numPr>
      </w:pPr>
      <w:bookmarkStart w:id="293" w:name="_Toc15657993"/>
      <w:r>
        <w:lastRenderedPageBreak/>
        <w:t>Section 4.1.3 – High</w:t>
      </w:r>
      <w:r w:rsidR="000D4F34">
        <w:t>-e</w:t>
      </w:r>
      <w:r>
        <w:t>fficiency Ventilation Fans with and without Thermostats</w:t>
      </w:r>
      <w:r w:rsidR="0010174E">
        <w:rPr>
          <w:rStyle w:val="FootnoteReference"/>
        </w:rPr>
        <w:footnoteReference w:id="117"/>
      </w:r>
      <w:bookmarkEnd w:id="293"/>
    </w:p>
    <w:p w14:paraId="1AD6D1BA" w14:textId="5B99EB9C" w:rsidR="00E64334" w:rsidRPr="00063DA8" w:rsidRDefault="00E64334" w:rsidP="00AA2116">
      <w:r w:rsidRPr="00114B1F">
        <w:t>The Commission propose</w:t>
      </w:r>
      <w:r w:rsidR="00114B1F" w:rsidRPr="00114B1F">
        <w:t>d</w:t>
      </w:r>
      <w:r w:rsidRPr="00114B1F">
        <w:t xml:space="preserve"> condensing the three formulas that feed into annual energy savings into one formula</w:t>
      </w:r>
      <w:r w:rsidR="00A0651F" w:rsidRPr="00114B1F">
        <w:t xml:space="preserve">.  </w:t>
      </w:r>
      <w:r w:rsidRPr="00114B1F">
        <w:t xml:space="preserve">The </w:t>
      </w:r>
      <w:r w:rsidR="00377164" w:rsidRPr="00114B1F">
        <w:t xml:space="preserve">2016 </w:t>
      </w:r>
      <w:r w:rsidRPr="00114B1F">
        <w:t xml:space="preserve">TRM </w:t>
      </w:r>
      <w:r w:rsidR="00A417AC" w:rsidRPr="00114B1F">
        <w:t>provide</w:t>
      </w:r>
      <w:r w:rsidR="00A417AC">
        <w:t>d</w:t>
      </w:r>
      <w:r w:rsidR="00A417AC" w:rsidRPr="00114B1F">
        <w:t xml:space="preserve"> </w:t>
      </w:r>
      <w:r w:rsidRPr="00114B1F">
        <w:t xml:space="preserve">separate </w:t>
      </w:r>
      <w:r w:rsidRPr="00B90986">
        <w:t>algorithms based on whether thermostats are installed with the ventilation fans</w:t>
      </w:r>
      <w:r w:rsidR="00A0651F" w:rsidRPr="00B90986">
        <w:t xml:space="preserve">.  </w:t>
      </w:r>
      <w:r w:rsidRPr="00B90986">
        <w:t>However, the presence of thermostats can be handled by adjusting one of the inputs in a single, combined algorithm</w:t>
      </w:r>
      <w:r w:rsidR="00A0651F" w:rsidRPr="00B90986">
        <w:t xml:space="preserve">.  </w:t>
      </w:r>
      <w:r>
        <w:t xml:space="preserve">The Commission </w:t>
      </w:r>
      <w:r w:rsidR="006C7777">
        <w:t xml:space="preserve">also </w:t>
      </w:r>
      <w:r w:rsidR="00A63396">
        <w:t xml:space="preserve">proposed </w:t>
      </w:r>
      <w:r>
        <w:t>adding two cities to the tables containing default annual operating run hours</w:t>
      </w:r>
      <w:r w:rsidR="00A0651F">
        <w:t xml:space="preserve">.  </w:t>
      </w:r>
      <w:r>
        <w:t xml:space="preserve">Additionally, the Commission proposed removing any </w:t>
      </w:r>
      <w:r w:rsidRPr="00310C73">
        <w:t>ambiguity around Table 4-6</w:t>
      </w:r>
      <w:r w:rsidR="00A0651F">
        <w:t xml:space="preserve">.  </w:t>
      </w:r>
      <w:r w:rsidR="00A417AC">
        <w:t>The</w:t>
      </w:r>
      <w:r w:rsidRPr="00310C73">
        <w:t xml:space="preserve"> </w:t>
      </w:r>
      <w:r w:rsidR="00377164" w:rsidRPr="00460FE6">
        <w:t xml:space="preserve">2016 </w:t>
      </w:r>
      <w:r w:rsidRPr="00310C73">
        <w:t xml:space="preserve">TRM was unclear </w:t>
      </w:r>
      <w:r w:rsidR="00A417AC">
        <w:t>as to whether</w:t>
      </w:r>
      <w:r w:rsidR="00A417AC" w:rsidRPr="00310C73">
        <w:t xml:space="preserve"> </w:t>
      </w:r>
      <w:r w:rsidRPr="00310C73">
        <w:t>this table contained</w:t>
      </w:r>
      <w:r>
        <w:t xml:space="preserve"> default annual operating run hours for facilities that installed thermostats along with the ventilation fan or if this table contained the reduction in operating hours due to the installation of a thermostat along with the ventilation fan</w:t>
      </w:r>
      <w:r w:rsidR="00A0651F">
        <w:t xml:space="preserve">.  </w:t>
      </w:r>
      <w:r>
        <w:t>T</w:t>
      </w:r>
      <w:r w:rsidRPr="00E2460A">
        <w:t xml:space="preserve">he Commission </w:t>
      </w:r>
      <w:r w:rsidR="00C57B25" w:rsidRPr="00E2460A">
        <w:t xml:space="preserve">proposed </w:t>
      </w:r>
      <w:r w:rsidRPr="00E2460A">
        <w:t xml:space="preserve">updating the table such that it </w:t>
      </w:r>
      <w:r w:rsidR="00A417AC" w:rsidRPr="00E2460A">
        <w:t>represent</w:t>
      </w:r>
      <w:r w:rsidR="00A417AC">
        <w:t>ed</w:t>
      </w:r>
      <w:r w:rsidR="00A417AC" w:rsidRPr="00E2460A">
        <w:t xml:space="preserve"> </w:t>
      </w:r>
      <w:r w:rsidRPr="00E2460A">
        <w:t>the former default hours when a thermostat is present.</w:t>
      </w:r>
    </w:p>
    <w:p w14:paraId="52012AA6" w14:textId="77777777" w:rsidR="008C1D28" w:rsidRDefault="008C1D28" w:rsidP="00AA2116"/>
    <w:p w14:paraId="13A89B36" w14:textId="3553FB6B" w:rsidR="00C4012B" w:rsidRPr="001062F9" w:rsidRDefault="00C4012B" w:rsidP="00453F14">
      <w:pPr>
        <w:pStyle w:val="Heading4"/>
        <w:numPr>
          <w:ilvl w:val="3"/>
          <w:numId w:val="60"/>
        </w:numPr>
      </w:pPr>
      <w:r w:rsidRPr="001062F9">
        <w:t>Comments</w:t>
      </w:r>
    </w:p>
    <w:p w14:paraId="46572735" w14:textId="3CE7751F" w:rsidR="00C4012B" w:rsidRDefault="002147CB" w:rsidP="00AA2116">
      <w:r>
        <w:t>FirstEnergy</w:t>
      </w:r>
      <w:r w:rsidR="00C4012B">
        <w:t xml:space="preserve"> recommends updating the EUL to 15 years based on the DEER EUL for HVAC fan motors.  </w:t>
      </w:r>
      <w:r>
        <w:t>FirstEnergy</w:t>
      </w:r>
      <w:r w:rsidR="00C4012B">
        <w:t xml:space="preserve"> </w:t>
      </w:r>
      <w:r w:rsidR="00C57B25">
        <w:t>C</w:t>
      </w:r>
      <w:r w:rsidR="00C4012B">
        <w:t xml:space="preserve">omments at 14.  PECO recommends using the most conservative value(s) in the default savings table as the default for an “unknown” facility type. </w:t>
      </w:r>
      <w:r w:rsidR="009623F2">
        <w:t xml:space="preserve"> </w:t>
      </w:r>
      <w:r w:rsidR="00C4012B">
        <w:t xml:space="preserve">PECO </w:t>
      </w:r>
      <w:r w:rsidR="003B28D1">
        <w:t>C</w:t>
      </w:r>
      <w:r w:rsidR="00C4012B">
        <w:t>omments at 13.</w:t>
      </w:r>
    </w:p>
    <w:p w14:paraId="1887E5C3" w14:textId="77777777" w:rsidR="00C4012B" w:rsidRDefault="00C4012B" w:rsidP="00AA2116"/>
    <w:p w14:paraId="30862496" w14:textId="0F5C8557" w:rsidR="00C4012B" w:rsidRPr="001062F9" w:rsidRDefault="00C4012B" w:rsidP="00453F14">
      <w:pPr>
        <w:pStyle w:val="Heading4"/>
        <w:numPr>
          <w:ilvl w:val="3"/>
          <w:numId w:val="60"/>
        </w:numPr>
      </w:pPr>
      <w:r w:rsidRPr="001062F9">
        <w:t>Disposition</w:t>
      </w:r>
    </w:p>
    <w:p w14:paraId="51C8036F" w14:textId="0EC10F13" w:rsidR="008C1D28" w:rsidRDefault="00C4012B" w:rsidP="00AA2116">
      <w:r>
        <w:t xml:space="preserve">The Commission </w:t>
      </w:r>
      <w:r w:rsidR="00DB1431">
        <w:t xml:space="preserve">agrees with </w:t>
      </w:r>
      <w:r>
        <w:t xml:space="preserve">the recommendations made by </w:t>
      </w:r>
      <w:r w:rsidR="002147CB">
        <w:t>FirstEnergy</w:t>
      </w:r>
      <w:r>
        <w:t xml:space="preserve"> and PECO</w:t>
      </w:r>
      <w:r w:rsidR="00DB1431">
        <w:t xml:space="preserve"> and has adopted them in the 2021 TRM</w:t>
      </w:r>
      <w:r>
        <w:t>.</w:t>
      </w:r>
    </w:p>
    <w:p w14:paraId="42878EA2" w14:textId="77777777" w:rsidR="0034688D" w:rsidRDefault="0034688D" w:rsidP="00AA2116">
      <w:pPr>
        <w:pStyle w:val="BodyTextIndent3"/>
      </w:pPr>
    </w:p>
    <w:p w14:paraId="1AE00F5E" w14:textId="3D5EFA2F" w:rsidR="00C4012B" w:rsidRPr="00C4012B" w:rsidRDefault="00C4012B" w:rsidP="00453F14">
      <w:pPr>
        <w:pStyle w:val="Heading3"/>
        <w:numPr>
          <w:ilvl w:val="2"/>
          <w:numId w:val="60"/>
        </w:numPr>
      </w:pPr>
      <w:bookmarkStart w:id="294" w:name="_Toc15657994"/>
      <w:r>
        <w:lastRenderedPageBreak/>
        <w:t>Section 4.1.5 – High Volume Low Speed Fans</w:t>
      </w:r>
      <w:r>
        <w:rPr>
          <w:rStyle w:val="FootnoteReference"/>
        </w:rPr>
        <w:footnoteReference w:id="118"/>
      </w:r>
      <w:bookmarkEnd w:id="294"/>
    </w:p>
    <w:p w14:paraId="1C9089C8" w14:textId="3A1827E4" w:rsidR="00C4012B" w:rsidRPr="00523C38" w:rsidRDefault="008701E6" w:rsidP="00AA2116">
      <w:r w:rsidRPr="001323BE">
        <w:t xml:space="preserve">The </w:t>
      </w:r>
      <w:r>
        <w:t xml:space="preserve">Commission did not propose changes to Section 4.1.5 – High Volume Low Speed Fans. </w:t>
      </w:r>
      <w:r w:rsidDel="00453626">
        <w:t xml:space="preserve"> </w:t>
      </w:r>
      <w:r w:rsidRPr="00523C38">
        <w:t>However, comments were received and are addressed below</w:t>
      </w:r>
      <w:r>
        <w:t>.</w:t>
      </w:r>
    </w:p>
    <w:p w14:paraId="70029206" w14:textId="77777777" w:rsidR="00C4012B" w:rsidRDefault="00C4012B" w:rsidP="00AA2116"/>
    <w:p w14:paraId="2DA8DE40" w14:textId="558BB10D" w:rsidR="00C4012B" w:rsidRPr="001062F9" w:rsidRDefault="00C4012B" w:rsidP="00453F14">
      <w:pPr>
        <w:pStyle w:val="Heading4"/>
        <w:numPr>
          <w:ilvl w:val="3"/>
          <w:numId w:val="60"/>
        </w:numPr>
      </w:pPr>
      <w:r w:rsidRPr="001062F9">
        <w:t>Comments</w:t>
      </w:r>
    </w:p>
    <w:p w14:paraId="426310A5" w14:textId="4A900D24" w:rsidR="00C4012B" w:rsidRDefault="00C4012B" w:rsidP="00AA2116">
      <w:r>
        <w:t xml:space="preserve">Franklin Energy </w:t>
      </w:r>
      <w:r w:rsidR="00413271">
        <w:t xml:space="preserve">comments </w:t>
      </w:r>
      <w:r>
        <w:t>that s</w:t>
      </w:r>
      <w:r w:rsidRPr="00CF0875">
        <w:t>ome TRMs use different temperat</w:t>
      </w:r>
      <w:r>
        <w:t>ures for different animal types (e.g.,</w:t>
      </w:r>
      <w:r w:rsidRPr="00CF0875">
        <w:t xml:space="preserve"> 70 for Dairy and 60 for hog based</w:t>
      </w:r>
      <w:r>
        <w:t xml:space="preserve">). </w:t>
      </w:r>
      <w:r w:rsidR="00A069B7">
        <w:t xml:space="preserve"> </w:t>
      </w:r>
      <w:r>
        <w:t>They suggest using a</w:t>
      </w:r>
      <w:r w:rsidRPr="00CF0875">
        <w:t>n average</w:t>
      </w:r>
      <w:r w:rsidR="005D5AF0">
        <w:t xml:space="preserve"> of</w:t>
      </w:r>
      <w:r w:rsidRPr="00CF0875">
        <w:t xml:space="preserve"> </w:t>
      </w:r>
      <w:r>
        <w:t>65</w:t>
      </w:r>
      <w:r w:rsidR="005D5AF0">
        <w:t xml:space="preserve"> degrees</w:t>
      </w:r>
      <w:r w:rsidRPr="00CF0875">
        <w:t>.</w:t>
      </w:r>
      <w:r>
        <w:t xml:space="preserve"> </w:t>
      </w:r>
      <w:r w:rsidR="00A069B7">
        <w:t xml:space="preserve"> </w:t>
      </w:r>
      <w:r>
        <w:t xml:space="preserve">Franklin Energy </w:t>
      </w:r>
      <w:r w:rsidR="00413271">
        <w:t>C</w:t>
      </w:r>
      <w:r>
        <w:t>omments at 535.</w:t>
      </w:r>
    </w:p>
    <w:p w14:paraId="1354FBBE" w14:textId="77777777" w:rsidR="004943DF" w:rsidRDefault="004943DF" w:rsidP="00AA2116"/>
    <w:p w14:paraId="3F2F1656" w14:textId="5D7BB3F8" w:rsidR="00C4012B" w:rsidRPr="001062F9" w:rsidRDefault="00C4012B" w:rsidP="00453F14">
      <w:pPr>
        <w:pStyle w:val="Heading4"/>
        <w:numPr>
          <w:ilvl w:val="3"/>
          <w:numId w:val="60"/>
        </w:numPr>
      </w:pPr>
      <w:r w:rsidRPr="001062F9">
        <w:t>Disposition</w:t>
      </w:r>
    </w:p>
    <w:p w14:paraId="0C78B5B1" w14:textId="0E21DE3C" w:rsidR="00C4012B" w:rsidRDefault="00C4012B" w:rsidP="00AA2116">
      <w:r w:rsidRPr="00476440">
        <w:t>Franklin Energy described this comment simply as an observation.</w:t>
      </w:r>
      <w:r>
        <w:t xml:space="preserve"> </w:t>
      </w:r>
      <w:r w:rsidR="00BF5C2C">
        <w:t xml:space="preserve"> The Commission directs the SWE to investigate the possibility of </w:t>
      </w:r>
      <w:r w:rsidR="00C10A58">
        <w:t>animal-specific temperatures in subsequent TRM updates, but n</w:t>
      </w:r>
      <w:r w:rsidR="00BF5C2C">
        <w:t xml:space="preserve">o changes were made to </w:t>
      </w:r>
      <w:r w:rsidR="00C10A58">
        <w:t>the measure in the 2021 TRM.</w:t>
      </w:r>
      <w:r w:rsidR="00BF5C2C">
        <w:t xml:space="preserve"> </w:t>
      </w:r>
    </w:p>
    <w:p w14:paraId="636EB557" w14:textId="5FBC27D5" w:rsidR="003F7385" w:rsidRDefault="003F7385" w:rsidP="00AA2116">
      <w:pPr>
        <w:pStyle w:val="BodyTextIndent3"/>
      </w:pPr>
    </w:p>
    <w:p w14:paraId="50510499" w14:textId="5B3E5DD7" w:rsidR="00C4012B" w:rsidRDefault="00C4012B" w:rsidP="00453F14">
      <w:pPr>
        <w:pStyle w:val="Heading3"/>
        <w:numPr>
          <w:ilvl w:val="2"/>
          <w:numId w:val="60"/>
        </w:numPr>
      </w:pPr>
      <w:bookmarkStart w:id="295" w:name="_Toc15657995"/>
      <w:r>
        <w:t>Section 5.1 – Load Curtailment for Commercial and Industrial Programs</w:t>
      </w:r>
      <w:r>
        <w:rPr>
          <w:rStyle w:val="FootnoteReference"/>
        </w:rPr>
        <w:footnoteReference w:id="119"/>
      </w:r>
      <w:bookmarkEnd w:id="295"/>
    </w:p>
    <w:p w14:paraId="73F06332" w14:textId="221EF454" w:rsidR="00F04381" w:rsidRPr="00523C38" w:rsidRDefault="00F04381" w:rsidP="00AA2116">
      <w:r>
        <w:t>T</w:t>
      </w:r>
      <w:r w:rsidRPr="001323BE">
        <w:t xml:space="preserve">he </w:t>
      </w:r>
      <w:r>
        <w:t xml:space="preserve">Commission did not propose changes to Section 5.1 – Load Curtailment for Commercial and Industrial Programs.  </w:t>
      </w:r>
      <w:r w:rsidRPr="00523C38">
        <w:t>However, comments were received and are addressed below</w:t>
      </w:r>
      <w:r>
        <w:t>.</w:t>
      </w:r>
    </w:p>
    <w:p w14:paraId="5AD588CA" w14:textId="77777777" w:rsidR="00C4012B" w:rsidRDefault="00C4012B" w:rsidP="00AA2116"/>
    <w:p w14:paraId="4CED9622" w14:textId="48BE6589" w:rsidR="00C4012B" w:rsidRPr="001062F9" w:rsidRDefault="00C4012B" w:rsidP="00453F14">
      <w:pPr>
        <w:pStyle w:val="Heading4"/>
        <w:numPr>
          <w:ilvl w:val="3"/>
          <w:numId w:val="60"/>
        </w:numPr>
      </w:pPr>
      <w:r w:rsidRPr="001062F9">
        <w:t>Comments</w:t>
      </w:r>
    </w:p>
    <w:p w14:paraId="526C1DDE" w14:textId="13FEF570" w:rsidR="00C4012B" w:rsidRDefault="00C4012B" w:rsidP="00AA2116">
      <w:r>
        <w:t xml:space="preserve">PECO recommends adjusting the text </w:t>
      </w:r>
      <w:r w:rsidR="005D5AF0">
        <w:t xml:space="preserve">of load methodology – customer baselines (CBL) </w:t>
      </w:r>
      <w:r>
        <w:t xml:space="preserve">so that it is clear that weather adjustments are not necessary.  PECO </w:t>
      </w:r>
      <w:r w:rsidR="00350965">
        <w:t>C</w:t>
      </w:r>
      <w:r>
        <w:t>omments at 36.</w:t>
      </w:r>
      <w:r w:rsidR="00E63E71">
        <w:t xml:space="preserve">  </w:t>
      </w:r>
      <w:r w:rsidR="002147CB">
        <w:t>FirstEnergy</w:t>
      </w:r>
      <w:r>
        <w:t xml:space="preserve"> </w:t>
      </w:r>
      <w:r w:rsidR="00066EB7">
        <w:t xml:space="preserve">requests </w:t>
      </w:r>
      <w:r>
        <w:t>clarification regarding which days are not eligible to be used in the calculation of the reference load.  The TRM currently states that A</w:t>
      </w:r>
      <w:r w:rsidR="009043A4">
        <w:t>ct</w:t>
      </w:r>
      <w:r>
        <w:t xml:space="preserve"> 129 event days </w:t>
      </w:r>
      <w:r>
        <w:lastRenderedPageBreak/>
        <w:t xml:space="preserve">and PJM event days are ineligible.  </w:t>
      </w:r>
      <w:r w:rsidR="002147CB">
        <w:t>FirstEnergy</w:t>
      </w:r>
      <w:r>
        <w:t xml:space="preserve"> requests clarification for weekends, holidays, and shutdown days</w:t>
      </w:r>
      <w:r w:rsidR="00A27B23">
        <w:t xml:space="preserve">.  </w:t>
      </w:r>
      <w:r w:rsidR="002147CB">
        <w:t>FirstEnergy</w:t>
      </w:r>
      <w:r>
        <w:t xml:space="preserve"> </w:t>
      </w:r>
      <w:r w:rsidR="00350965">
        <w:t>C</w:t>
      </w:r>
      <w:r>
        <w:t>omments at 14.</w:t>
      </w:r>
    </w:p>
    <w:p w14:paraId="730225E3" w14:textId="77777777" w:rsidR="003375F5" w:rsidRDefault="003375F5" w:rsidP="00AA2116"/>
    <w:p w14:paraId="024F0DAB" w14:textId="3ADE1F1B" w:rsidR="00C4012B" w:rsidRPr="001062F9" w:rsidRDefault="00C4012B" w:rsidP="00453F14">
      <w:pPr>
        <w:pStyle w:val="Heading4"/>
        <w:numPr>
          <w:ilvl w:val="3"/>
          <w:numId w:val="60"/>
        </w:numPr>
      </w:pPr>
      <w:r w:rsidRPr="001062F9">
        <w:t>Disposition</w:t>
      </w:r>
    </w:p>
    <w:p w14:paraId="08F5E3ED" w14:textId="1B6AA589" w:rsidR="00C4012B" w:rsidRDefault="00C4012B" w:rsidP="00AA2116">
      <w:r w:rsidRPr="00C4012B">
        <w:t xml:space="preserve">The Commission agrees that clarification regarding the points made by PECO and </w:t>
      </w:r>
      <w:r w:rsidR="002147CB">
        <w:t>FirstEnergy</w:t>
      </w:r>
      <w:r w:rsidRPr="00C4012B">
        <w:t xml:space="preserve"> would be useful.  </w:t>
      </w:r>
      <w:r w:rsidR="0056158B">
        <w:t>I</w:t>
      </w:r>
      <w:r w:rsidR="00A069B7">
        <w:t xml:space="preserve">n response to PECO’s </w:t>
      </w:r>
      <w:r w:rsidR="005D5AF0">
        <w:t>recommendation</w:t>
      </w:r>
      <w:r w:rsidR="00A069B7">
        <w:t xml:space="preserve"> t</w:t>
      </w:r>
      <w:r w:rsidRPr="00C4012B">
        <w:t xml:space="preserve">he text regarding the CBL reference load methodology was updated to indicate weather adjustments are not necessary.  </w:t>
      </w:r>
      <w:r w:rsidR="008A4095">
        <w:t>Responding</w:t>
      </w:r>
      <w:r w:rsidR="00A069B7">
        <w:t xml:space="preserve"> to FirstEnergy’s </w:t>
      </w:r>
      <w:r w:rsidR="005D5AF0">
        <w:t>recommendation</w:t>
      </w:r>
      <w:r w:rsidRPr="00C4012B">
        <w:t>, text was added to designate weekends, holidays, and planned shutdown days as days that may be ignored in the calculation of the reference load.</w:t>
      </w:r>
    </w:p>
    <w:p w14:paraId="655D2A5F" w14:textId="77777777" w:rsidR="004943DF" w:rsidRPr="00C4012B" w:rsidRDefault="004943DF" w:rsidP="00AA2116"/>
    <w:p w14:paraId="292FA69E" w14:textId="77777777" w:rsidR="003F7385" w:rsidRDefault="6C95303B" w:rsidP="00453F14">
      <w:pPr>
        <w:pStyle w:val="Heading3"/>
        <w:numPr>
          <w:ilvl w:val="2"/>
          <w:numId w:val="60"/>
        </w:numPr>
      </w:pPr>
      <w:bookmarkStart w:id="296" w:name="_Toc15657996"/>
      <w:r>
        <w:t>Measure Number Changes</w:t>
      </w:r>
      <w:bookmarkEnd w:id="296"/>
    </w:p>
    <w:p w14:paraId="2417D756" w14:textId="61A93B94" w:rsidR="003F7385" w:rsidRDefault="003F7385" w:rsidP="00AA2116">
      <w:r>
        <w:t>The changes proposed herein will result in new measure numbers for several C&amp;I measures</w:t>
      </w:r>
      <w:r w:rsidR="00A0651F">
        <w:t xml:space="preserve">.  </w:t>
      </w:r>
      <w:r>
        <w:t>The table below shows the current measure number and the new measure number for all affected measures</w:t>
      </w:r>
      <w:r w:rsidR="00A0651F">
        <w:t xml:space="preserve">.  </w:t>
      </w:r>
      <w:r w:rsidR="00BB759A">
        <w:t>The table also shows measures that the Commission propose</w:t>
      </w:r>
      <w:r w:rsidR="00D34C3E">
        <w:t>d</w:t>
      </w:r>
      <w:r w:rsidR="00BB759A">
        <w:t xml:space="preserve"> removing</w:t>
      </w:r>
      <w:r w:rsidR="00BF4904">
        <w:t>—</w:t>
      </w:r>
      <w:r w:rsidR="00BB759A">
        <w:t>these measures are discussed in more detail later.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55"/>
        <w:gridCol w:w="2210"/>
        <w:gridCol w:w="2211"/>
      </w:tblGrid>
      <w:tr w:rsidR="003F7385" w14:paraId="664C7ED4" w14:textId="77777777" w:rsidTr="008C1D28">
        <w:trPr>
          <w:trHeight w:val="432"/>
          <w:tblHeader/>
        </w:trPr>
        <w:tc>
          <w:tcPr>
            <w:tcW w:w="5155" w:type="dxa"/>
            <w:vAlign w:val="center"/>
          </w:tcPr>
          <w:p w14:paraId="41ACD336" w14:textId="77777777" w:rsidR="003F7385" w:rsidRPr="00621EDB" w:rsidRDefault="003F7385" w:rsidP="003375F5">
            <w:pPr>
              <w:pStyle w:val="BodyTextIndent3"/>
              <w:spacing w:after="0" w:line="240" w:lineRule="auto"/>
              <w:ind w:left="0" w:firstLine="0"/>
              <w:rPr>
                <w:b/>
                <w:bCs/>
                <w:sz w:val="22"/>
                <w:szCs w:val="22"/>
              </w:rPr>
            </w:pPr>
            <w:r w:rsidRPr="00621EDB">
              <w:rPr>
                <w:b/>
                <w:bCs/>
                <w:sz w:val="22"/>
                <w:szCs w:val="22"/>
              </w:rPr>
              <w:t>Measure</w:t>
            </w:r>
          </w:p>
        </w:tc>
        <w:tc>
          <w:tcPr>
            <w:tcW w:w="2210" w:type="dxa"/>
            <w:vAlign w:val="center"/>
          </w:tcPr>
          <w:p w14:paraId="1E2F97B6" w14:textId="77777777" w:rsidR="003F7385" w:rsidRPr="00621EDB" w:rsidRDefault="003F7385" w:rsidP="003375F5">
            <w:pPr>
              <w:pStyle w:val="BodyTextIndent3"/>
              <w:spacing w:after="0" w:line="240" w:lineRule="auto"/>
              <w:ind w:left="0" w:firstLine="0"/>
              <w:rPr>
                <w:b/>
                <w:bCs/>
                <w:sz w:val="22"/>
                <w:szCs w:val="22"/>
              </w:rPr>
            </w:pPr>
            <w:r w:rsidRPr="00621EDB">
              <w:rPr>
                <w:b/>
                <w:bCs/>
                <w:sz w:val="22"/>
                <w:szCs w:val="22"/>
              </w:rPr>
              <w:t>Current Measure Number</w:t>
            </w:r>
          </w:p>
        </w:tc>
        <w:tc>
          <w:tcPr>
            <w:tcW w:w="2211" w:type="dxa"/>
            <w:vAlign w:val="center"/>
          </w:tcPr>
          <w:p w14:paraId="22DBD379" w14:textId="77777777" w:rsidR="003F7385" w:rsidRPr="00621EDB" w:rsidRDefault="003F7385" w:rsidP="003375F5">
            <w:pPr>
              <w:pStyle w:val="BodyTextIndent3"/>
              <w:spacing w:after="0" w:line="240" w:lineRule="auto"/>
              <w:ind w:left="0" w:firstLine="0"/>
              <w:rPr>
                <w:b/>
                <w:bCs/>
                <w:sz w:val="22"/>
                <w:szCs w:val="22"/>
              </w:rPr>
            </w:pPr>
            <w:r w:rsidRPr="00621EDB">
              <w:rPr>
                <w:b/>
                <w:bCs/>
                <w:sz w:val="22"/>
                <w:szCs w:val="22"/>
              </w:rPr>
              <w:t>New Measure Number</w:t>
            </w:r>
          </w:p>
        </w:tc>
      </w:tr>
      <w:tr w:rsidR="00BB759A" w14:paraId="05197E11" w14:textId="77777777" w:rsidTr="008C1D28">
        <w:trPr>
          <w:trHeight w:val="432"/>
        </w:trPr>
        <w:tc>
          <w:tcPr>
            <w:tcW w:w="5155" w:type="dxa"/>
            <w:vAlign w:val="center"/>
          </w:tcPr>
          <w:p w14:paraId="5493C5B3" w14:textId="7432F1FF" w:rsidR="00BB759A" w:rsidRPr="00621EDB" w:rsidRDefault="00BB759A" w:rsidP="003375F5">
            <w:pPr>
              <w:pStyle w:val="BodyTextIndent3"/>
              <w:spacing w:after="0" w:line="240" w:lineRule="auto"/>
              <w:ind w:left="0" w:firstLine="0"/>
              <w:rPr>
                <w:sz w:val="22"/>
                <w:szCs w:val="22"/>
              </w:rPr>
            </w:pPr>
            <w:r w:rsidRPr="00621EDB">
              <w:rPr>
                <w:sz w:val="22"/>
                <w:szCs w:val="22"/>
              </w:rPr>
              <w:t>Traffic Lights</w:t>
            </w:r>
          </w:p>
        </w:tc>
        <w:tc>
          <w:tcPr>
            <w:tcW w:w="2210" w:type="dxa"/>
            <w:vAlign w:val="center"/>
          </w:tcPr>
          <w:p w14:paraId="4414345A" w14:textId="12E12595" w:rsidR="00BB759A" w:rsidRPr="00621EDB" w:rsidRDefault="00BB759A" w:rsidP="003375F5">
            <w:pPr>
              <w:pStyle w:val="BodyTextIndent3"/>
              <w:spacing w:after="0" w:line="240" w:lineRule="auto"/>
              <w:ind w:left="0" w:firstLine="0"/>
              <w:rPr>
                <w:sz w:val="22"/>
                <w:szCs w:val="22"/>
              </w:rPr>
            </w:pPr>
            <w:r w:rsidRPr="00621EDB">
              <w:rPr>
                <w:sz w:val="22"/>
                <w:szCs w:val="22"/>
              </w:rPr>
              <w:t>3.1.4</w:t>
            </w:r>
          </w:p>
        </w:tc>
        <w:tc>
          <w:tcPr>
            <w:tcW w:w="2211" w:type="dxa"/>
            <w:vAlign w:val="center"/>
          </w:tcPr>
          <w:p w14:paraId="56292FBE" w14:textId="0FDE30FC" w:rsidR="00BB759A" w:rsidRPr="00621EDB" w:rsidRDefault="00BB759A" w:rsidP="003375F5">
            <w:pPr>
              <w:pStyle w:val="BodyTextIndent3"/>
              <w:spacing w:after="0" w:line="240" w:lineRule="auto"/>
              <w:ind w:left="0" w:firstLine="0"/>
              <w:rPr>
                <w:sz w:val="22"/>
                <w:szCs w:val="22"/>
              </w:rPr>
            </w:pPr>
            <w:r w:rsidRPr="00621EDB">
              <w:rPr>
                <w:sz w:val="22"/>
                <w:szCs w:val="22"/>
              </w:rPr>
              <w:t>Deleted</w:t>
            </w:r>
          </w:p>
        </w:tc>
      </w:tr>
      <w:tr w:rsidR="003F7385" w14:paraId="6C517A20" w14:textId="77777777" w:rsidTr="008C1D28">
        <w:trPr>
          <w:trHeight w:val="432"/>
        </w:trPr>
        <w:tc>
          <w:tcPr>
            <w:tcW w:w="5155" w:type="dxa"/>
            <w:vAlign w:val="center"/>
          </w:tcPr>
          <w:p w14:paraId="1FAA7BDC" w14:textId="77777777" w:rsidR="003F7385" w:rsidRPr="00621EDB" w:rsidRDefault="003F7385" w:rsidP="003375F5">
            <w:pPr>
              <w:pStyle w:val="BodyTextIndent3"/>
              <w:spacing w:after="0" w:line="240" w:lineRule="auto"/>
              <w:ind w:left="0" w:firstLine="0"/>
              <w:rPr>
                <w:sz w:val="22"/>
                <w:szCs w:val="22"/>
              </w:rPr>
            </w:pPr>
            <w:r w:rsidRPr="00621EDB">
              <w:rPr>
                <w:sz w:val="22"/>
                <w:szCs w:val="22"/>
              </w:rPr>
              <w:t>LED Exit Signs</w:t>
            </w:r>
          </w:p>
        </w:tc>
        <w:tc>
          <w:tcPr>
            <w:tcW w:w="2210" w:type="dxa"/>
            <w:vAlign w:val="center"/>
          </w:tcPr>
          <w:p w14:paraId="6A5E6F86" w14:textId="77777777" w:rsidR="003F7385" w:rsidRPr="00621EDB" w:rsidRDefault="003F7385" w:rsidP="003375F5">
            <w:pPr>
              <w:pStyle w:val="BodyTextIndent3"/>
              <w:spacing w:after="0" w:line="240" w:lineRule="auto"/>
              <w:ind w:left="0" w:firstLine="0"/>
              <w:rPr>
                <w:sz w:val="22"/>
                <w:szCs w:val="22"/>
              </w:rPr>
            </w:pPr>
            <w:r w:rsidRPr="00621EDB">
              <w:rPr>
                <w:sz w:val="22"/>
                <w:szCs w:val="22"/>
              </w:rPr>
              <w:t>3.1.5</w:t>
            </w:r>
          </w:p>
        </w:tc>
        <w:tc>
          <w:tcPr>
            <w:tcW w:w="2211" w:type="dxa"/>
            <w:vAlign w:val="center"/>
          </w:tcPr>
          <w:p w14:paraId="43E96842" w14:textId="77777777" w:rsidR="003F7385" w:rsidRPr="00621EDB" w:rsidRDefault="003F7385" w:rsidP="003375F5">
            <w:pPr>
              <w:pStyle w:val="BodyTextIndent3"/>
              <w:spacing w:after="0" w:line="240" w:lineRule="auto"/>
              <w:ind w:left="0" w:firstLine="0"/>
              <w:rPr>
                <w:sz w:val="22"/>
                <w:szCs w:val="22"/>
              </w:rPr>
            </w:pPr>
            <w:r w:rsidRPr="00621EDB">
              <w:rPr>
                <w:sz w:val="22"/>
                <w:szCs w:val="22"/>
              </w:rPr>
              <w:t>3.1.4</w:t>
            </w:r>
          </w:p>
        </w:tc>
      </w:tr>
      <w:tr w:rsidR="003F7385" w14:paraId="68E33B8B" w14:textId="77777777" w:rsidTr="008C1D28">
        <w:trPr>
          <w:trHeight w:val="432"/>
        </w:trPr>
        <w:tc>
          <w:tcPr>
            <w:tcW w:w="5155" w:type="dxa"/>
            <w:vAlign w:val="center"/>
          </w:tcPr>
          <w:p w14:paraId="0CC708C7"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LED Channel Signage</w:t>
            </w:r>
          </w:p>
        </w:tc>
        <w:tc>
          <w:tcPr>
            <w:tcW w:w="2210" w:type="dxa"/>
            <w:vAlign w:val="center"/>
          </w:tcPr>
          <w:p w14:paraId="4AA8642D"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3.1.6</w:t>
            </w:r>
          </w:p>
        </w:tc>
        <w:tc>
          <w:tcPr>
            <w:tcW w:w="2211" w:type="dxa"/>
            <w:vAlign w:val="center"/>
          </w:tcPr>
          <w:p w14:paraId="391800CB"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3.1.5</w:t>
            </w:r>
          </w:p>
        </w:tc>
      </w:tr>
      <w:tr w:rsidR="003F7385" w14:paraId="48719C95" w14:textId="77777777" w:rsidTr="008C1D28">
        <w:trPr>
          <w:trHeight w:val="432"/>
        </w:trPr>
        <w:tc>
          <w:tcPr>
            <w:tcW w:w="5155" w:type="dxa"/>
            <w:vAlign w:val="center"/>
          </w:tcPr>
          <w:p w14:paraId="70702E7E"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LED Refrigeration Display Case Lighting</w:t>
            </w:r>
          </w:p>
        </w:tc>
        <w:tc>
          <w:tcPr>
            <w:tcW w:w="2210" w:type="dxa"/>
            <w:vAlign w:val="center"/>
          </w:tcPr>
          <w:p w14:paraId="1AB4804D"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3.1.7</w:t>
            </w:r>
          </w:p>
        </w:tc>
        <w:tc>
          <w:tcPr>
            <w:tcW w:w="2211" w:type="dxa"/>
            <w:vAlign w:val="center"/>
          </w:tcPr>
          <w:p w14:paraId="19AACC70"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3.1.6</w:t>
            </w:r>
          </w:p>
        </w:tc>
      </w:tr>
      <w:tr w:rsidR="003F7385" w14:paraId="0A9C11C3" w14:textId="77777777" w:rsidTr="008C1D28">
        <w:trPr>
          <w:trHeight w:val="432"/>
        </w:trPr>
        <w:tc>
          <w:tcPr>
            <w:tcW w:w="5155" w:type="dxa"/>
            <w:vAlign w:val="center"/>
          </w:tcPr>
          <w:p w14:paraId="4990ED4D" w14:textId="2F6832D2" w:rsidR="003F7385" w:rsidRPr="007F5365" w:rsidRDefault="003F7385" w:rsidP="003375F5">
            <w:pPr>
              <w:pStyle w:val="BodyTextIndent3"/>
              <w:spacing w:after="0" w:line="240" w:lineRule="auto"/>
              <w:ind w:left="0" w:firstLine="0"/>
              <w:rPr>
                <w:sz w:val="22"/>
                <w:szCs w:val="22"/>
              </w:rPr>
            </w:pPr>
            <w:r w:rsidRPr="007F5365">
              <w:rPr>
                <w:sz w:val="22"/>
                <w:szCs w:val="22"/>
              </w:rPr>
              <w:t>Fuel Switching: Electric Resistance Water Heaters to Gas</w:t>
            </w:r>
            <w:r w:rsidR="000D4F34" w:rsidRPr="007F5365">
              <w:rPr>
                <w:sz w:val="22"/>
                <w:szCs w:val="22"/>
              </w:rPr>
              <w:t xml:space="preserve"> </w:t>
            </w:r>
            <w:r w:rsidRPr="007F5365">
              <w:rPr>
                <w:sz w:val="22"/>
                <w:szCs w:val="22"/>
              </w:rPr>
              <w:t>/</w:t>
            </w:r>
            <w:r w:rsidR="000D4F34" w:rsidRPr="007F5365">
              <w:rPr>
                <w:sz w:val="22"/>
                <w:szCs w:val="22"/>
              </w:rPr>
              <w:t xml:space="preserve"> </w:t>
            </w:r>
            <w:r w:rsidRPr="007F5365">
              <w:rPr>
                <w:sz w:val="22"/>
                <w:szCs w:val="22"/>
              </w:rPr>
              <w:t>Oil</w:t>
            </w:r>
            <w:r w:rsidR="000D4F34" w:rsidRPr="007F5365">
              <w:rPr>
                <w:sz w:val="22"/>
                <w:szCs w:val="22"/>
              </w:rPr>
              <w:t xml:space="preserve"> </w:t>
            </w:r>
            <w:r w:rsidRPr="007F5365">
              <w:rPr>
                <w:sz w:val="22"/>
                <w:szCs w:val="22"/>
              </w:rPr>
              <w:t>/</w:t>
            </w:r>
            <w:r w:rsidR="000D4F34" w:rsidRPr="007F5365">
              <w:rPr>
                <w:sz w:val="22"/>
                <w:szCs w:val="22"/>
              </w:rPr>
              <w:t xml:space="preserve"> </w:t>
            </w:r>
            <w:r w:rsidRPr="007F5365">
              <w:rPr>
                <w:sz w:val="22"/>
                <w:szCs w:val="22"/>
              </w:rPr>
              <w:t>Propane</w:t>
            </w:r>
          </w:p>
        </w:tc>
        <w:tc>
          <w:tcPr>
            <w:tcW w:w="2210" w:type="dxa"/>
            <w:vAlign w:val="center"/>
          </w:tcPr>
          <w:p w14:paraId="57EC6F66"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3.4.4</w:t>
            </w:r>
          </w:p>
        </w:tc>
        <w:tc>
          <w:tcPr>
            <w:tcW w:w="2211" w:type="dxa"/>
            <w:vAlign w:val="center"/>
          </w:tcPr>
          <w:p w14:paraId="247A8063"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3.4.3</w:t>
            </w:r>
          </w:p>
        </w:tc>
      </w:tr>
      <w:tr w:rsidR="00BB759A" w14:paraId="3294A6B6" w14:textId="77777777" w:rsidTr="008C1D28">
        <w:trPr>
          <w:trHeight w:val="432"/>
        </w:trPr>
        <w:tc>
          <w:tcPr>
            <w:tcW w:w="5155" w:type="dxa"/>
            <w:vAlign w:val="center"/>
          </w:tcPr>
          <w:p w14:paraId="78CA1D7B" w14:textId="0E90682D" w:rsidR="00BB759A" w:rsidRPr="007F5365" w:rsidRDefault="00BB759A" w:rsidP="003375F5">
            <w:pPr>
              <w:pStyle w:val="BodyTextIndent3"/>
              <w:spacing w:after="0" w:line="240" w:lineRule="auto"/>
              <w:ind w:left="0" w:firstLine="0"/>
              <w:rPr>
                <w:sz w:val="22"/>
                <w:szCs w:val="22"/>
              </w:rPr>
            </w:pPr>
            <w:r w:rsidRPr="007F5365">
              <w:rPr>
                <w:sz w:val="22"/>
                <w:szCs w:val="22"/>
              </w:rPr>
              <w:t>Fuel Switching: Heat Pump Water Heaters to Gas</w:t>
            </w:r>
            <w:r w:rsidR="000D4F34" w:rsidRPr="007F5365">
              <w:rPr>
                <w:sz w:val="22"/>
                <w:szCs w:val="22"/>
              </w:rPr>
              <w:t xml:space="preserve"> </w:t>
            </w:r>
            <w:r w:rsidRPr="007F5365">
              <w:rPr>
                <w:sz w:val="22"/>
                <w:szCs w:val="22"/>
              </w:rPr>
              <w:t>/</w:t>
            </w:r>
            <w:r w:rsidR="000D4F34" w:rsidRPr="007F5365">
              <w:rPr>
                <w:sz w:val="22"/>
                <w:szCs w:val="22"/>
              </w:rPr>
              <w:t xml:space="preserve"> </w:t>
            </w:r>
            <w:r w:rsidRPr="007F5365">
              <w:rPr>
                <w:sz w:val="22"/>
                <w:szCs w:val="22"/>
              </w:rPr>
              <w:t>Oil</w:t>
            </w:r>
            <w:r w:rsidR="000D4F34" w:rsidRPr="007F5365">
              <w:rPr>
                <w:sz w:val="22"/>
                <w:szCs w:val="22"/>
              </w:rPr>
              <w:t xml:space="preserve"> </w:t>
            </w:r>
            <w:r w:rsidRPr="007F5365">
              <w:rPr>
                <w:sz w:val="22"/>
                <w:szCs w:val="22"/>
              </w:rPr>
              <w:t>/</w:t>
            </w:r>
            <w:r w:rsidR="000D4F34" w:rsidRPr="007F5365">
              <w:rPr>
                <w:sz w:val="22"/>
                <w:szCs w:val="22"/>
              </w:rPr>
              <w:t xml:space="preserve"> </w:t>
            </w:r>
            <w:r w:rsidRPr="007F5365">
              <w:rPr>
                <w:sz w:val="22"/>
                <w:szCs w:val="22"/>
              </w:rPr>
              <w:t>Propane</w:t>
            </w:r>
          </w:p>
        </w:tc>
        <w:tc>
          <w:tcPr>
            <w:tcW w:w="2210" w:type="dxa"/>
            <w:vAlign w:val="center"/>
          </w:tcPr>
          <w:p w14:paraId="7CD9EA52" w14:textId="1B15A17B" w:rsidR="00BB759A" w:rsidRPr="007F5365" w:rsidRDefault="00BB759A" w:rsidP="003375F5">
            <w:pPr>
              <w:pStyle w:val="BodyTextIndent3"/>
              <w:spacing w:after="0" w:line="240" w:lineRule="auto"/>
              <w:ind w:left="0" w:firstLine="0"/>
              <w:rPr>
                <w:sz w:val="22"/>
                <w:szCs w:val="22"/>
              </w:rPr>
            </w:pPr>
            <w:r w:rsidRPr="007F5365">
              <w:rPr>
                <w:sz w:val="22"/>
                <w:szCs w:val="22"/>
              </w:rPr>
              <w:t>3.4.5</w:t>
            </w:r>
          </w:p>
        </w:tc>
        <w:tc>
          <w:tcPr>
            <w:tcW w:w="2211" w:type="dxa"/>
            <w:vAlign w:val="center"/>
          </w:tcPr>
          <w:p w14:paraId="4EFF48B2" w14:textId="5E31FB43" w:rsidR="00BB759A" w:rsidRPr="007F5365" w:rsidRDefault="00BB759A" w:rsidP="003375F5">
            <w:pPr>
              <w:pStyle w:val="BodyTextIndent3"/>
              <w:spacing w:after="0" w:line="240" w:lineRule="auto"/>
              <w:ind w:left="0" w:firstLine="0"/>
              <w:rPr>
                <w:sz w:val="22"/>
                <w:szCs w:val="22"/>
              </w:rPr>
            </w:pPr>
            <w:r w:rsidRPr="007F5365">
              <w:rPr>
                <w:sz w:val="22"/>
                <w:szCs w:val="22"/>
              </w:rPr>
              <w:t>Deleted</w:t>
            </w:r>
          </w:p>
        </w:tc>
      </w:tr>
      <w:tr w:rsidR="003F7385" w14:paraId="6FE1DCFC" w14:textId="77777777" w:rsidTr="008C1D28">
        <w:trPr>
          <w:trHeight w:val="432"/>
        </w:trPr>
        <w:tc>
          <w:tcPr>
            <w:tcW w:w="5155" w:type="dxa"/>
            <w:vAlign w:val="center"/>
          </w:tcPr>
          <w:p w14:paraId="2062175F"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Controls: Evaporator Fan Controllers</w:t>
            </w:r>
          </w:p>
        </w:tc>
        <w:tc>
          <w:tcPr>
            <w:tcW w:w="2210" w:type="dxa"/>
            <w:vAlign w:val="center"/>
          </w:tcPr>
          <w:p w14:paraId="6E274D75"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3.5.4</w:t>
            </w:r>
          </w:p>
        </w:tc>
        <w:tc>
          <w:tcPr>
            <w:tcW w:w="2211" w:type="dxa"/>
            <w:vAlign w:val="center"/>
          </w:tcPr>
          <w:p w14:paraId="74D37950"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3.5.3</w:t>
            </w:r>
          </w:p>
        </w:tc>
      </w:tr>
      <w:tr w:rsidR="003F7385" w14:paraId="41E84183" w14:textId="77777777" w:rsidTr="008C1D28">
        <w:trPr>
          <w:trHeight w:val="432"/>
        </w:trPr>
        <w:tc>
          <w:tcPr>
            <w:tcW w:w="5155" w:type="dxa"/>
            <w:vAlign w:val="center"/>
          </w:tcPr>
          <w:p w14:paraId="46E7912E"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Controls: Floating Head Pressure Controls</w:t>
            </w:r>
          </w:p>
        </w:tc>
        <w:tc>
          <w:tcPr>
            <w:tcW w:w="2210" w:type="dxa"/>
            <w:vAlign w:val="center"/>
          </w:tcPr>
          <w:p w14:paraId="3CB95F43"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3.5.5</w:t>
            </w:r>
          </w:p>
        </w:tc>
        <w:tc>
          <w:tcPr>
            <w:tcW w:w="2211" w:type="dxa"/>
            <w:vAlign w:val="center"/>
          </w:tcPr>
          <w:p w14:paraId="2E88671B"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3.5.4</w:t>
            </w:r>
          </w:p>
        </w:tc>
      </w:tr>
      <w:tr w:rsidR="003F7385" w14:paraId="2446FFD6" w14:textId="77777777" w:rsidTr="008C1D28">
        <w:trPr>
          <w:trHeight w:val="432"/>
        </w:trPr>
        <w:tc>
          <w:tcPr>
            <w:tcW w:w="5155" w:type="dxa"/>
            <w:vAlign w:val="center"/>
          </w:tcPr>
          <w:p w14:paraId="06261C1B" w14:textId="000B65B7" w:rsidR="003F7385" w:rsidRPr="007F5365" w:rsidRDefault="003F7385" w:rsidP="003375F5">
            <w:pPr>
              <w:pStyle w:val="BodyTextIndent3"/>
              <w:spacing w:after="0" w:line="240" w:lineRule="auto"/>
              <w:ind w:left="0" w:firstLine="0"/>
              <w:rPr>
                <w:sz w:val="22"/>
                <w:szCs w:val="22"/>
              </w:rPr>
            </w:pPr>
            <w:r w:rsidRPr="007F5365">
              <w:rPr>
                <w:sz w:val="22"/>
                <w:szCs w:val="22"/>
              </w:rPr>
              <w:t>Controls: Anti-</w:t>
            </w:r>
            <w:r w:rsidR="000D4F34" w:rsidRPr="007F5365">
              <w:rPr>
                <w:sz w:val="22"/>
                <w:szCs w:val="22"/>
              </w:rPr>
              <w:t>s</w:t>
            </w:r>
            <w:r w:rsidRPr="007F5365">
              <w:rPr>
                <w:sz w:val="22"/>
                <w:szCs w:val="22"/>
              </w:rPr>
              <w:t>weat Heater Controls</w:t>
            </w:r>
          </w:p>
        </w:tc>
        <w:tc>
          <w:tcPr>
            <w:tcW w:w="2210" w:type="dxa"/>
            <w:vAlign w:val="center"/>
          </w:tcPr>
          <w:p w14:paraId="7F10DF4B"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3.5.6</w:t>
            </w:r>
          </w:p>
        </w:tc>
        <w:tc>
          <w:tcPr>
            <w:tcW w:w="2211" w:type="dxa"/>
            <w:vAlign w:val="center"/>
          </w:tcPr>
          <w:p w14:paraId="455335E2"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3.5.5</w:t>
            </w:r>
          </w:p>
        </w:tc>
      </w:tr>
      <w:tr w:rsidR="003F7385" w14:paraId="5CDBE866" w14:textId="77777777" w:rsidTr="008C1D28">
        <w:trPr>
          <w:trHeight w:val="432"/>
        </w:trPr>
        <w:tc>
          <w:tcPr>
            <w:tcW w:w="5155" w:type="dxa"/>
            <w:vAlign w:val="center"/>
          </w:tcPr>
          <w:p w14:paraId="52D17B53"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Controls: Evaporator Coil Defrost Control</w:t>
            </w:r>
          </w:p>
        </w:tc>
        <w:tc>
          <w:tcPr>
            <w:tcW w:w="2210" w:type="dxa"/>
            <w:vAlign w:val="center"/>
          </w:tcPr>
          <w:p w14:paraId="4974FD0A"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3.5.7</w:t>
            </w:r>
          </w:p>
        </w:tc>
        <w:tc>
          <w:tcPr>
            <w:tcW w:w="2211" w:type="dxa"/>
            <w:vAlign w:val="center"/>
          </w:tcPr>
          <w:p w14:paraId="281C32F7"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3.5.6</w:t>
            </w:r>
          </w:p>
        </w:tc>
      </w:tr>
      <w:tr w:rsidR="003F7385" w14:paraId="1CE72157" w14:textId="77777777" w:rsidTr="008C1D28">
        <w:trPr>
          <w:trHeight w:val="432"/>
        </w:trPr>
        <w:tc>
          <w:tcPr>
            <w:tcW w:w="5155" w:type="dxa"/>
            <w:vAlign w:val="center"/>
          </w:tcPr>
          <w:p w14:paraId="7B6F7382" w14:textId="77777777" w:rsidR="003F7385" w:rsidRPr="007F5365" w:rsidRDefault="003F7385" w:rsidP="003375F5">
            <w:pPr>
              <w:pStyle w:val="BodyTextIndent3"/>
              <w:spacing w:after="0" w:line="240" w:lineRule="auto"/>
              <w:ind w:left="0" w:firstLine="0"/>
              <w:rPr>
                <w:sz w:val="22"/>
                <w:szCs w:val="22"/>
              </w:rPr>
            </w:pPr>
            <w:r w:rsidRPr="007F5365">
              <w:rPr>
                <w:sz w:val="22"/>
                <w:szCs w:val="22"/>
              </w:rPr>
              <w:lastRenderedPageBreak/>
              <w:t>Variable Speed Refrigeration Compressor</w:t>
            </w:r>
          </w:p>
        </w:tc>
        <w:tc>
          <w:tcPr>
            <w:tcW w:w="2210" w:type="dxa"/>
            <w:vAlign w:val="center"/>
          </w:tcPr>
          <w:p w14:paraId="7DAF35FD"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3.5.8</w:t>
            </w:r>
          </w:p>
        </w:tc>
        <w:tc>
          <w:tcPr>
            <w:tcW w:w="2211" w:type="dxa"/>
            <w:vAlign w:val="center"/>
          </w:tcPr>
          <w:p w14:paraId="45B71D2D"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3.5.7</w:t>
            </w:r>
          </w:p>
        </w:tc>
      </w:tr>
      <w:tr w:rsidR="003F7385" w14:paraId="02A265A1" w14:textId="77777777" w:rsidTr="008C1D28">
        <w:trPr>
          <w:trHeight w:val="432"/>
        </w:trPr>
        <w:tc>
          <w:tcPr>
            <w:tcW w:w="5155" w:type="dxa"/>
            <w:vAlign w:val="center"/>
          </w:tcPr>
          <w:p w14:paraId="69F6BFD9" w14:textId="5049CD6F" w:rsidR="003F7385" w:rsidRPr="007F5365" w:rsidRDefault="003F7385" w:rsidP="003375F5">
            <w:pPr>
              <w:pStyle w:val="BodyTextIndent3"/>
              <w:spacing w:after="0" w:line="240" w:lineRule="auto"/>
              <w:ind w:left="0" w:firstLine="0"/>
              <w:rPr>
                <w:sz w:val="22"/>
                <w:szCs w:val="22"/>
              </w:rPr>
            </w:pPr>
            <w:r w:rsidRPr="007F5365">
              <w:rPr>
                <w:sz w:val="22"/>
                <w:szCs w:val="22"/>
              </w:rPr>
              <w:t>Strip Curtains for Walk-</w:t>
            </w:r>
            <w:r w:rsidR="000D4F34" w:rsidRPr="007F5365">
              <w:rPr>
                <w:sz w:val="22"/>
                <w:szCs w:val="22"/>
              </w:rPr>
              <w:t>i</w:t>
            </w:r>
            <w:r w:rsidRPr="007F5365">
              <w:rPr>
                <w:sz w:val="22"/>
                <w:szCs w:val="22"/>
              </w:rPr>
              <w:t>n Freezers and Coolers</w:t>
            </w:r>
          </w:p>
        </w:tc>
        <w:tc>
          <w:tcPr>
            <w:tcW w:w="2210" w:type="dxa"/>
            <w:vAlign w:val="center"/>
          </w:tcPr>
          <w:p w14:paraId="3A2ADF58"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3.5.9</w:t>
            </w:r>
          </w:p>
        </w:tc>
        <w:tc>
          <w:tcPr>
            <w:tcW w:w="2211" w:type="dxa"/>
            <w:vAlign w:val="center"/>
          </w:tcPr>
          <w:p w14:paraId="19C701F2"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3.5.8</w:t>
            </w:r>
          </w:p>
        </w:tc>
      </w:tr>
      <w:tr w:rsidR="003F7385" w14:paraId="2D436782" w14:textId="77777777" w:rsidTr="008C1D28">
        <w:trPr>
          <w:trHeight w:val="432"/>
        </w:trPr>
        <w:tc>
          <w:tcPr>
            <w:tcW w:w="5155" w:type="dxa"/>
            <w:vAlign w:val="center"/>
          </w:tcPr>
          <w:p w14:paraId="2B217442"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Night Covers for Display Cases</w:t>
            </w:r>
          </w:p>
        </w:tc>
        <w:tc>
          <w:tcPr>
            <w:tcW w:w="2210" w:type="dxa"/>
            <w:vAlign w:val="center"/>
          </w:tcPr>
          <w:p w14:paraId="3D75C63F"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3.5.10</w:t>
            </w:r>
          </w:p>
        </w:tc>
        <w:tc>
          <w:tcPr>
            <w:tcW w:w="2211" w:type="dxa"/>
            <w:vAlign w:val="center"/>
          </w:tcPr>
          <w:p w14:paraId="6A432731"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3.5.9</w:t>
            </w:r>
          </w:p>
        </w:tc>
      </w:tr>
      <w:tr w:rsidR="003F7385" w14:paraId="3632E918" w14:textId="77777777" w:rsidTr="008C1D28">
        <w:trPr>
          <w:trHeight w:val="432"/>
        </w:trPr>
        <w:tc>
          <w:tcPr>
            <w:tcW w:w="5155" w:type="dxa"/>
            <w:vAlign w:val="center"/>
          </w:tcPr>
          <w:p w14:paraId="0DE69E80"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Auto Closers</w:t>
            </w:r>
          </w:p>
        </w:tc>
        <w:tc>
          <w:tcPr>
            <w:tcW w:w="2210" w:type="dxa"/>
            <w:vAlign w:val="center"/>
          </w:tcPr>
          <w:p w14:paraId="635B57C9"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3.5.11</w:t>
            </w:r>
          </w:p>
        </w:tc>
        <w:tc>
          <w:tcPr>
            <w:tcW w:w="2211" w:type="dxa"/>
            <w:vAlign w:val="center"/>
          </w:tcPr>
          <w:p w14:paraId="42439834"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3.5.10</w:t>
            </w:r>
          </w:p>
        </w:tc>
      </w:tr>
      <w:tr w:rsidR="003F7385" w14:paraId="19349041" w14:textId="77777777" w:rsidTr="008C1D28">
        <w:trPr>
          <w:trHeight w:val="432"/>
        </w:trPr>
        <w:tc>
          <w:tcPr>
            <w:tcW w:w="5155" w:type="dxa"/>
            <w:vAlign w:val="center"/>
          </w:tcPr>
          <w:p w14:paraId="5A250E44" w14:textId="4FEC1B03" w:rsidR="003F7385" w:rsidRPr="007F5365" w:rsidRDefault="003F7385" w:rsidP="003375F5">
            <w:pPr>
              <w:pStyle w:val="BodyTextIndent3"/>
              <w:spacing w:after="0" w:line="240" w:lineRule="auto"/>
              <w:ind w:left="0" w:firstLine="0"/>
              <w:rPr>
                <w:sz w:val="22"/>
                <w:szCs w:val="22"/>
              </w:rPr>
            </w:pPr>
            <w:r w:rsidRPr="007F5365">
              <w:rPr>
                <w:sz w:val="22"/>
                <w:szCs w:val="22"/>
              </w:rPr>
              <w:t>Door Gaskets for Walk-</w:t>
            </w:r>
            <w:r w:rsidR="000D4F34" w:rsidRPr="007F5365">
              <w:rPr>
                <w:sz w:val="22"/>
                <w:szCs w:val="22"/>
              </w:rPr>
              <w:t>i</w:t>
            </w:r>
            <w:r w:rsidRPr="007F5365">
              <w:rPr>
                <w:sz w:val="22"/>
                <w:szCs w:val="22"/>
              </w:rPr>
              <w:t>n and Reach-</w:t>
            </w:r>
            <w:r w:rsidR="000D4F34" w:rsidRPr="007F5365">
              <w:rPr>
                <w:sz w:val="22"/>
                <w:szCs w:val="22"/>
              </w:rPr>
              <w:t>i</w:t>
            </w:r>
            <w:r w:rsidRPr="007F5365">
              <w:rPr>
                <w:sz w:val="22"/>
                <w:szCs w:val="22"/>
              </w:rPr>
              <w:t>n Coolers and Freezers</w:t>
            </w:r>
          </w:p>
        </w:tc>
        <w:tc>
          <w:tcPr>
            <w:tcW w:w="2210" w:type="dxa"/>
            <w:vAlign w:val="center"/>
          </w:tcPr>
          <w:p w14:paraId="5AA12AA8"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3.5.12</w:t>
            </w:r>
          </w:p>
        </w:tc>
        <w:tc>
          <w:tcPr>
            <w:tcW w:w="2211" w:type="dxa"/>
            <w:vAlign w:val="center"/>
          </w:tcPr>
          <w:p w14:paraId="73EE54B5"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3.5.11</w:t>
            </w:r>
          </w:p>
        </w:tc>
      </w:tr>
      <w:tr w:rsidR="003F7385" w14:paraId="04287AAD" w14:textId="77777777" w:rsidTr="008C1D28">
        <w:trPr>
          <w:trHeight w:val="432"/>
        </w:trPr>
        <w:tc>
          <w:tcPr>
            <w:tcW w:w="5155" w:type="dxa"/>
            <w:vAlign w:val="center"/>
          </w:tcPr>
          <w:p w14:paraId="108EC1B1" w14:textId="2FD52752" w:rsidR="003F7385" w:rsidRPr="007F5365" w:rsidRDefault="003F7385" w:rsidP="003375F5">
            <w:pPr>
              <w:pStyle w:val="BodyTextIndent3"/>
              <w:spacing w:after="0" w:line="240" w:lineRule="auto"/>
              <w:ind w:left="0" w:firstLine="0"/>
              <w:rPr>
                <w:sz w:val="22"/>
                <w:szCs w:val="22"/>
              </w:rPr>
            </w:pPr>
            <w:r w:rsidRPr="007F5365">
              <w:rPr>
                <w:sz w:val="22"/>
                <w:szCs w:val="22"/>
              </w:rPr>
              <w:t>Special Doors with Low or No Anti-</w:t>
            </w:r>
            <w:r w:rsidR="000D4F34" w:rsidRPr="007F5365">
              <w:rPr>
                <w:sz w:val="22"/>
                <w:szCs w:val="22"/>
              </w:rPr>
              <w:t>s</w:t>
            </w:r>
            <w:r w:rsidRPr="007F5365">
              <w:rPr>
                <w:sz w:val="22"/>
                <w:szCs w:val="22"/>
              </w:rPr>
              <w:t>weat Heat for Low Temp Case</w:t>
            </w:r>
          </w:p>
        </w:tc>
        <w:tc>
          <w:tcPr>
            <w:tcW w:w="2210" w:type="dxa"/>
            <w:vAlign w:val="center"/>
          </w:tcPr>
          <w:p w14:paraId="4FA95FFE"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3.5.13</w:t>
            </w:r>
          </w:p>
        </w:tc>
        <w:tc>
          <w:tcPr>
            <w:tcW w:w="2211" w:type="dxa"/>
            <w:vAlign w:val="center"/>
          </w:tcPr>
          <w:p w14:paraId="2FD4720F"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3.5.12</w:t>
            </w:r>
          </w:p>
        </w:tc>
      </w:tr>
      <w:tr w:rsidR="003F7385" w14:paraId="563984AD" w14:textId="77777777" w:rsidTr="008C1D28">
        <w:trPr>
          <w:trHeight w:val="432"/>
        </w:trPr>
        <w:tc>
          <w:tcPr>
            <w:tcW w:w="5155" w:type="dxa"/>
            <w:vAlign w:val="center"/>
          </w:tcPr>
          <w:p w14:paraId="1FF6EE6E" w14:textId="1F52377A" w:rsidR="003F7385" w:rsidRPr="007F5365" w:rsidRDefault="003F7385" w:rsidP="003375F5">
            <w:pPr>
              <w:pStyle w:val="BodyTextIndent3"/>
              <w:spacing w:after="0" w:line="240" w:lineRule="auto"/>
              <w:ind w:left="0" w:firstLine="0"/>
              <w:rPr>
                <w:sz w:val="22"/>
                <w:szCs w:val="22"/>
              </w:rPr>
            </w:pPr>
            <w:r w:rsidRPr="007F5365">
              <w:rPr>
                <w:sz w:val="22"/>
                <w:szCs w:val="22"/>
              </w:rPr>
              <w:t>Suction Pipe Insulation for Walk-</w:t>
            </w:r>
            <w:r w:rsidR="000D4F34" w:rsidRPr="007F5365">
              <w:rPr>
                <w:sz w:val="22"/>
                <w:szCs w:val="22"/>
              </w:rPr>
              <w:t>i</w:t>
            </w:r>
            <w:r w:rsidRPr="007F5365">
              <w:rPr>
                <w:sz w:val="22"/>
                <w:szCs w:val="22"/>
              </w:rPr>
              <w:t>n Coolers and Freezers</w:t>
            </w:r>
          </w:p>
        </w:tc>
        <w:tc>
          <w:tcPr>
            <w:tcW w:w="2210" w:type="dxa"/>
            <w:vAlign w:val="center"/>
          </w:tcPr>
          <w:p w14:paraId="5F25B28C"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3.5.14</w:t>
            </w:r>
          </w:p>
        </w:tc>
        <w:tc>
          <w:tcPr>
            <w:tcW w:w="2211" w:type="dxa"/>
            <w:vAlign w:val="center"/>
          </w:tcPr>
          <w:p w14:paraId="443F94BA"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3.5.13</w:t>
            </w:r>
          </w:p>
        </w:tc>
      </w:tr>
      <w:tr w:rsidR="003F7385" w14:paraId="63504AF4" w14:textId="77777777" w:rsidTr="008C1D28">
        <w:trPr>
          <w:trHeight w:val="432"/>
        </w:trPr>
        <w:tc>
          <w:tcPr>
            <w:tcW w:w="5155" w:type="dxa"/>
            <w:vAlign w:val="center"/>
          </w:tcPr>
          <w:p w14:paraId="77A3CA45"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Refrigerated Display Cases with Doors Replacing Open Cases</w:t>
            </w:r>
          </w:p>
        </w:tc>
        <w:tc>
          <w:tcPr>
            <w:tcW w:w="2210" w:type="dxa"/>
            <w:vAlign w:val="center"/>
          </w:tcPr>
          <w:p w14:paraId="6193A8B5"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3.5.15</w:t>
            </w:r>
          </w:p>
        </w:tc>
        <w:tc>
          <w:tcPr>
            <w:tcW w:w="2211" w:type="dxa"/>
            <w:vAlign w:val="center"/>
          </w:tcPr>
          <w:p w14:paraId="78BC1A77"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3.5.14</w:t>
            </w:r>
          </w:p>
        </w:tc>
      </w:tr>
      <w:tr w:rsidR="003F7385" w14:paraId="4D1C7411" w14:textId="77777777" w:rsidTr="008C1D28">
        <w:trPr>
          <w:trHeight w:val="432"/>
        </w:trPr>
        <w:tc>
          <w:tcPr>
            <w:tcW w:w="5155" w:type="dxa"/>
            <w:vAlign w:val="center"/>
          </w:tcPr>
          <w:p w14:paraId="1A585912"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Adding Doors to Existing Refrigerated Display Cases</w:t>
            </w:r>
          </w:p>
        </w:tc>
        <w:tc>
          <w:tcPr>
            <w:tcW w:w="2210" w:type="dxa"/>
            <w:vAlign w:val="center"/>
          </w:tcPr>
          <w:p w14:paraId="4A5DC6A1"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3.5.16</w:t>
            </w:r>
          </w:p>
        </w:tc>
        <w:tc>
          <w:tcPr>
            <w:tcW w:w="2211" w:type="dxa"/>
            <w:vAlign w:val="center"/>
          </w:tcPr>
          <w:p w14:paraId="0A99E615"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3.5.15</w:t>
            </w:r>
          </w:p>
        </w:tc>
      </w:tr>
      <w:tr w:rsidR="00BB759A" w14:paraId="5C995530" w14:textId="77777777" w:rsidTr="008C1D28">
        <w:trPr>
          <w:trHeight w:val="432"/>
        </w:trPr>
        <w:tc>
          <w:tcPr>
            <w:tcW w:w="5155" w:type="dxa"/>
            <w:vAlign w:val="center"/>
          </w:tcPr>
          <w:p w14:paraId="3208C06F" w14:textId="309E17B9" w:rsidR="00BB759A" w:rsidRPr="007F5365" w:rsidRDefault="00BB759A" w:rsidP="003375F5">
            <w:pPr>
              <w:pStyle w:val="BodyTextIndent3"/>
              <w:spacing w:after="0" w:line="240" w:lineRule="auto"/>
              <w:ind w:left="0" w:firstLine="0"/>
              <w:rPr>
                <w:sz w:val="22"/>
                <w:szCs w:val="22"/>
              </w:rPr>
            </w:pPr>
            <w:r w:rsidRPr="007F5365">
              <w:rPr>
                <w:sz w:val="22"/>
                <w:szCs w:val="22"/>
              </w:rPr>
              <w:t>ENERGY STAR Refrigerated Beverage Machine</w:t>
            </w:r>
          </w:p>
        </w:tc>
        <w:tc>
          <w:tcPr>
            <w:tcW w:w="2210" w:type="dxa"/>
            <w:vAlign w:val="center"/>
          </w:tcPr>
          <w:p w14:paraId="14CB3306" w14:textId="60990536" w:rsidR="00BB759A" w:rsidRPr="007F5365" w:rsidRDefault="00BB759A" w:rsidP="003375F5">
            <w:pPr>
              <w:pStyle w:val="BodyTextIndent3"/>
              <w:spacing w:after="0" w:line="240" w:lineRule="auto"/>
              <w:ind w:left="0" w:firstLine="0"/>
              <w:rPr>
                <w:sz w:val="22"/>
                <w:szCs w:val="22"/>
              </w:rPr>
            </w:pPr>
            <w:r w:rsidRPr="007F5365">
              <w:rPr>
                <w:sz w:val="22"/>
                <w:szCs w:val="22"/>
              </w:rPr>
              <w:t>3.7.5</w:t>
            </w:r>
          </w:p>
        </w:tc>
        <w:tc>
          <w:tcPr>
            <w:tcW w:w="2211" w:type="dxa"/>
            <w:vAlign w:val="center"/>
          </w:tcPr>
          <w:p w14:paraId="527138B5" w14:textId="531CF8BF" w:rsidR="00BB759A" w:rsidRPr="007F5365" w:rsidRDefault="00BB759A" w:rsidP="003375F5">
            <w:pPr>
              <w:pStyle w:val="BodyTextIndent3"/>
              <w:spacing w:after="0" w:line="240" w:lineRule="auto"/>
              <w:ind w:left="0" w:firstLine="0"/>
              <w:rPr>
                <w:sz w:val="22"/>
                <w:szCs w:val="22"/>
              </w:rPr>
            </w:pPr>
            <w:r w:rsidRPr="007F5365">
              <w:rPr>
                <w:sz w:val="22"/>
                <w:szCs w:val="22"/>
              </w:rPr>
              <w:t>Deleted</w:t>
            </w:r>
          </w:p>
        </w:tc>
      </w:tr>
      <w:tr w:rsidR="003F7385" w14:paraId="7591E393" w14:textId="77777777" w:rsidTr="008C1D28">
        <w:trPr>
          <w:trHeight w:val="432"/>
        </w:trPr>
        <w:tc>
          <w:tcPr>
            <w:tcW w:w="5155" w:type="dxa"/>
            <w:vAlign w:val="center"/>
          </w:tcPr>
          <w:p w14:paraId="579D921B"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ENERGY STAR Servers</w:t>
            </w:r>
          </w:p>
        </w:tc>
        <w:tc>
          <w:tcPr>
            <w:tcW w:w="2210" w:type="dxa"/>
            <w:vAlign w:val="center"/>
          </w:tcPr>
          <w:p w14:paraId="52FAFF28"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3.11.1</w:t>
            </w:r>
          </w:p>
        </w:tc>
        <w:tc>
          <w:tcPr>
            <w:tcW w:w="2211" w:type="dxa"/>
            <w:vAlign w:val="center"/>
          </w:tcPr>
          <w:p w14:paraId="021B8A36" w14:textId="77777777" w:rsidR="003F7385" w:rsidRPr="007F5365" w:rsidRDefault="003F7385" w:rsidP="003375F5">
            <w:pPr>
              <w:pStyle w:val="BodyTextIndent3"/>
              <w:spacing w:after="0" w:line="240" w:lineRule="auto"/>
              <w:ind w:left="0" w:firstLine="0"/>
              <w:rPr>
                <w:sz w:val="22"/>
                <w:szCs w:val="22"/>
              </w:rPr>
            </w:pPr>
            <w:r w:rsidRPr="007F5365">
              <w:rPr>
                <w:sz w:val="22"/>
                <w:szCs w:val="22"/>
              </w:rPr>
              <w:t>3.9.4</w:t>
            </w:r>
          </w:p>
        </w:tc>
      </w:tr>
      <w:tr w:rsidR="0057794D" w14:paraId="665B3ADB" w14:textId="77777777" w:rsidTr="008C1D28">
        <w:trPr>
          <w:trHeight w:val="432"/>
        </w:trPr>
        <w:tc>
          <w:tcPr>
            <w:tcW w:w="5155" w:type="dxa"/>
            <w:vAlign w:val="center"/>
          </w:tcPr>
          <w:p w14:paraId="416D460D" w14:textId="63AD182A" w:rsidR="0057794D" w:rsidRPr="007F5365" w:rsidRDefault="0057794D" w:rsidP="003375F5">
            <w:pPr>
              <w:pStyle w:val="BodyTextIndent3"/>
              <w:spacing w:after="0" w:line="240" w:lineRule="auto"/>
              <w:ind w:left="0" w:firstLine="0"/>
              <w:rPr>
                <w:sz w:val="22"/>
                <w:szCs w:val="22"/>
              </w:rPr>
            </w:pPr>
            <w:r w:rsidRPr="007F5365">
              <w:rPr>
                <w:sz w:val="22"/>
                <w:szCs w:val="22"/>
              </w:rPr>
              <w:t>Load Curtailment for Commercial and Industrial Programs</w:t>
            </w:r>
          </w:p>
        </w:tc>
        <w:tc>
          <w:tcPr>
            <w:tcW w:w="2210" w:type="dxa"/>
            <w:vAlign w:val="center"/>
          </w:tcPr>
          <w:p w14:paraId="18253731" w14:textId="1F3B79F6" w:rsidR="0057794D" w:rsidRPr="007F5365" w:rsidRDefault="0057794D" w:rsidP="003375F5">
            <w:pPr>
              <w:pStyle w:val="BodyTextIndent3"/>
              <w:spacing w:after="0" w:line="240" w:lineRule="auto"/>
              <w:ind w:left="0" w:firstLine="0"/>
              <w:rPr>
                <w:sz w:val="22"/>
                <w:szCs w:val="22"/>
              </w:rPr>
            </w:pPr>
            <w:r w:rsidRPr="007F5365">
              <w:rPr>
                <w:sz w:val="22"/>
                <w:szCs w:val="22"/>
              </w:rPr>
              <w:t>5.1</w:t>
            </w:r>
          </w:p>
        </w:tc>
        <w:tc>
          <w:tcPr>
            <w:tcW w:w="2211" w:type="dxa"/>
            <w:vAlign w:val="center"/>
          </w:tcPr>
          <w:p w14:paraId="66C31DCD" w14:textId="24B51EE1" w:rsidR="0057794D" w:rsidRPr="007F5365" w:rsidRDefault="0057794D" w:rsidP="003375F5">
            <w:pPr>
              <w:pStyle w:val="BodyTextIndent3"/>
              <w:spacing w:after="0" w:line="240" w:lineRule="auto"/>
              <w:ind w:left="0" w:firstLine="0"/>
              <w:rPr>
                <w:sz w:val="22"/>
                <w:szCs w:val="22"/>
              </w:rPr>
            </w:pPr>
            <w:r w:rsidRPr="007F5365">
              <w:rPr>
                <w:sz w:val="22"/>
                <w:szCs w:val="22"/>
              </w:rPr>
              <w:t>3.12.1</w:t>
            </w:r>
          </w:p>
        </w:tc>
      </w:tr>
    </w:tbl>
    <w:p w14:paraId="2D7291B6" w14:textId="5221B1E4" w:rsidR="008C2A81" w:rsidRDefault="008C2A81" w:rsidP="00AA2116">
      <w:pPr>
        <w:pStyle w:val="BodyTextIndent3"/>
      </w:pPr>
    </w:p>
    <w:p w14:paraId="048AFB0D" w14:textId="0A963BED" w:rsidR="005C6855" w:rsidRDefault="005C6855" w:rsidP="00453F14">
      <w:pPr>
        <w:pStyle w:val="Heading2"/>
        <w:numPr>
          <w:ilvl w:val="1"/>
          <w:numId w:val="61"/>
        </w:numPr>
      </w:pPr>
      <w:bookmarkStart w:id="297" w:name="_Removed_Residential_EE&amp;C"/>
      <w:bookmarkStart w:id="298" w:name="_Toc15657997"/>
      <w:bookmarkStart w:id="299" w:name="_Toc394648246"/>
      <w:bookmarkStart w:id="300" w:name="_Toc396910641"/>
      <w:bookmarkStart w:id="301" w:name="_Toc413415464"/>
      <w:bookmarkEnd w:id="297"/>
      <w:r>
        <w:t>Removed Residential EE&amp;C Protocols</w:t>
      </w:r>
      <w:bookmarkEnd w:id="298"/>
    </w:p>
    <w:p w14:paraId="2A6D556D" w14:textId="7B6D9A31" w:rsidR="005C6855" w:rsidRDefault="007A4CA1" w:rsidP="00AA2116">
      <w:r>
        <w:t>Based on a review of the available research, the Commission propose</w:t>
      </w:r>
      <w:r w:rsidR="00BF4904">
        <w:t>d</w:t>
      </w:r>
      <w:r>
        <w:t xml:space="preserve"> removing six residential</w:t>
      </w:r>
      <w:r w:rsidRPr="0098410B">
        <w:t xml:space="preserve"> EE&amp;C measures and associated protoco</w:t>
      </w:r>
      <w:r>
        <w:t>ls</w:t>
      </w:r>
      <w:r w:rsidR="00A0651F">
        <w:t xml:space="preserve">.  </w:t>
      </w:r>
      <w:r w:rsidR="00A069B7">
        <w:t xml:space="preserve">No stakeholder comments were received in response to these removals.  </w:t>
      </w:r>
      <w:r w:rsidR="00093932">
        <w:t xml:space="preserve">As such, all six measures have been excluded from the Final 2021 TRM.  </w:t>
      </w:r>
      <w:r w:rsidR="00A069B7">
        <w:t xml:space="preserve">The measures are: Section 2.2.8 – Programmable Thermostats, Section 2.2.9 – Residential Whole House Fans, </w:t>
      </w:r>
      <w:r w:rsidR="00093932">
        <w:t>Section 2.3.4 – Fuel Switching: Heat Pump Water Heater to Fossil Fuel Water Heater, Section 2.4.9 – ENERGY STA</w:t>
      </w:r>
      <w:r w:rsidR="00FF4DEC">
        <w:t>R</w:t>
      </w:r>
      <w:r w:rsidR="00093932">
        <w:t xml:space="preserve"> Water Coolers, Section 2.5.1 – ENERGY STAR Televisions, and Section 2.7.1 – Pool Pump Load Shifting. </w:t>
      </w:r>
    </w:p>
    <w:p w14:paraId="724B7161" w14:textId="53498C53" w:rsidR="005C6855" w:rsidRDefault="005C6855" w:rsidP="00AA2116">
      <w:bookmarkStart w:id="302" w:name="_Toc12976809"/>
      <w:bookmarkEnd w:id="302"/>
    </w:p>
    <w:p w14:paraId="5ADA415B" w14:textId="65A25611" w:rsidR="005C6855" w:rsidRDefault="005C6855" w:rsidP="00453F14">
      <w:pPr>
        <w:pStyle w:val="Heading2"/>
        <w:keepNext/>
        <w:keepLines/>
        <w:numPr>
          <w:ilvl w:val="1"/>
          <w:numId w:val="61"/>
        </w:numPr>
      </w:pPr>
      <w:bookmarkStart w:id="303" w:name="_Removed_C&amp;I_EE&amp;C"/>
      <w:bookmarkStart w:id="304" w:name="_Ref12544086"/>
      <w:bookmarkStart w:id="305" w:name="_Toc15657998"/>
      <w:bookmarkEnd w:id="303"/>
      <w:r>
        <w:t xml:space="preserve">Removed </w:t>
      </w:r>
      <w:r w:rsidR="00CC49D2">
        <w:t>C&amp;I</w:t>
      </w:r>
      <w:r w:rsidRPr="009C3B3D">
        <w:t xml:space="preserve"> EE&amp;C Measure Protocols</w:t>
      </w:r>
      <w:bookmarkEnd w:id="304"/>
      <w:bookmarkEnd w:id="305"/>
      <w:r w:rsidRPr="009C3B3D">
        <w:t xml:space="preserve"> </w:t>
      </w:r>
    </w:p>
    <w:p w14:paraId="3AB4FADA" w14:textId="2A383273" w:rsidR="00EF7268" w:rsidRDefault="00EF7268" w:rsidP="00AA2116">
      <w:r>
        <w:t xml:space="preserve">Based on a review of the available research, the Commission </w:t>
      </w:r>
      <w:r w:rsidR="00CC5560">
        <w:t xml:space="preserve">proposed </w:t>
      </w:r>
      <w:r>
        <w:t xml:space="preserve">removing three </w:t>
      </w:r>
      <w:r w:rsidRPr="0098410B">
        <w:t>C&amp;I EE&amp;C measures and associated protocols</w:t>
      </w:r>
      <w:r w:rsidR="00A0651F">
        <w:t xml:space="preserve">.  </w:t>
      </w:r>
      <w:r w:rsidR="00093932" w:rsidRPr="00093932">
        <w:t xml:space="preserve">No stakeholder comments were </w:t>
      </w:r>
      <w:r w:rsidR="00093932" w:rsidRPr="00093932">
        <w:lastRenderedPageBreak/>
        <w:t xml:space="preserve">received in response to these removals.  As such, all </w:t>
      </w:r>
      <w:r w:rsidR="00093932">
        <w:t>three</w:t>
      </w:r>
      <w:r w:rsidR="00093932" w:rsidRPr="00093932">
        <w:t xml:space="preserve"> measures have been excluded from the Final 2021 TRM.  The measures are: </w:t>
      </w:r>
      <w:r w:rsidR="00093932">
        <w:t>Section 3.1.4 – Traffic Lights, Section 3.4.5 – Fuel Switching: Heat Pump Water Heaters to Gas/Oil/Propane, and Section 3.7.5 – ENERGY STAR Refrigerated Beverage Machines.</w:t>
      </w:r>
    </w:p>
    <w:p w14:paraId="21464A51" w14:textId="6B60D911" w:rsidR="00F959E7" w:rsidRPr="005C6855" w:rsidRDefault="00F959E7" w:rsidP="00AA2116"/>
    <w:p w14:paraId="0FA1091B" w14:textId="64943FA6" w:rsidR="004656AF" w:rsidRPr="009C3B3D" w:rsidRDefault="0027244F" w:rsidP="00453F14">
      <w:pPr>
        <w:pStyle w:val="Heading2"/>
        <w:numPr>
          <w:ilvl w:val="1"/>
          <w:numId w:val="61"/>
        </w:numPr>
      </w:pPr>
      <w:bookmarkStart w:id="306" w:name="_Toc15657999"/>
      <w:r w:rsidRPr="009C3B3D">
        <w:t>Appendix C</w:t>
      </w:r>
      <w:r w:rsidR="00E6683F" w:rsidRPr="009C3B3D">
        <w:t xml:space="preserve">: </w:t>
      </w:r>
      <w:r w:rsidR="004656AF" w:rsidRPr="009C3B3D">
        <w:t>Lighting Audit and Design Tool</w:t>
      </w:r>
      <w:bookmarkEnd w:id="299"/>
      <w:bookmarkEnd w:id="300"/>
      <w:bookmarkEnd w:id="301"/>
      <w:bookmarkEnd w:id="306"/>
    </w:p>
    <w:p w14:paraId="1B7A4FCA" w14:textId="428E2CA0" w:rsidR="000C37BD" w:rsidRDefault="000C37BD" w:rsidP="00AA2116">
      <w:pPr>
        <w:pStyle w:val="Explanationtext"/>
        <w:rPr>
          <w:szCs w:val="26"/>
        </w:rPr>
      </w:pPr>
      <w:r w:rsidRPr="00281B23">
        <w:t xml:space="preserve">The </w:t>
      </w:r>
      <w:r w:rsidRPr="008E6500">
        <w:t xml:space="preserve">Commission </w:t>
      </w:r>
      <w:r w:rsidR="009177EB" w:rsidRPr="00281B23">
        <w:t>propose</w:t>
      </w:r>
      <w:r w:rsidR="009177EB">
        <w:t>d</w:t>
      </w:r>
      <w:r w:rsidR="009177EB" w:rsidRPr="00281B23">
        <w:t xml:space="preserve"> </w:t>
      </w:r>
      <w:r w:rsidRPr="008E6500">
        <w:t>several</w:t>
      </w:r>
      <w:r w:rsidRPr="00281B23">
        <w:t xml:space="preserve"> revisions to the 201</w:t>
      </w:r>
      <w:r w:rsidRPr="008E6500">
        <w:t>6</w:t>
      </w:r>
      <w:r w:rsidRPr="00281B23">
        <w:t xml:space="preserve"> TRM Appendix C </w:t>
      </w:r>
      <w:r w:rsidRPr="008E6500">
        <w:t>to</w:t>
      </w:r>
      <w:r w:rsidRPr="00281B23">
        <w:t xml:space="preserve"> increase customer usability while allowing for increased customization</w:t>
      </w:r>
      <w:r w:rsidR="00A0651F">
        <w:t xml:space="preserve">.  </w:t>
      </w:r>
      <w:r w:rsidRPr="008E6500">
        <w:t>These proposed changes include</w:t>
      </w:r>
      <w:r w:rsidR="003906C3">
        <w:t>d</w:t>
      </w:r>
      <w:r w:rsidR="004F15CE">
        <w:t xml:space="preserve"> the following</w:t>
      </w:r>
      <w:r w:rsidRPr="008E6500">
        <w:t>:</w:t>
      </w:r>
    </w:p>
    <w:p w14:paraId="3E53B47A" w14:textId="73CC0330" w:rsidR="000C37BD" w:rsidRPr="000C37BD" w:rsidRDefault="000C37BD" w:rsidP="00453F14">
      <w:pPr>
        <w:pStyle w:val="Explanationtext"/>
        <w:numPr>
          <w:ilvl w:val="0"/>
          <w:numId w:val="7"/>
        </w:numPr>
      </w:pPr>
      <w:r w:rsidRPr="000C37BD">
        <w:t>Adjusting custom hours of use and coincidence factor module to ac</w:t>
      </w:r>
      <w:r w:rsidR="007A4CA1">
        <w:t>commodate dusk-to-dawn lighting;</w:t>
      </w:r>
    </w:p>
    <w:p w14:paraId="2C3F79B9" w14:textId="7E54B838" w:rsidR="000C37BD" w:rsidRPr="000C37BD" w:rsidRDefault="000C37BD" w:rsidP="00453F14">
      <w:pPr>
        <w:pStyle w:val="Explanationtext"/>
        <w:numPr>
          <w:ilvl w:val="0"/>
          <w:numId w:val="7"/>
        </w:numPr>
      </w:pPr>
      <w:r w:rsidRPr="000C37BD">
        <w:t>Adding an active link on Lighting Inventory tab</w:t>
      </w:r>
      <w:r w:rsidR="007A4CA1">
        <w:t xml:space="preserve"> to configure custom SVG values;</w:t>
      </w:r>
    </w:p>
    <w:p w14:paraId="1A2D7A09" w14:textId="2263A0E3" w:rsidR="000C37BD" w:rsidRPr="000C37BD" w:rsidRDefault="000C37BD" w:rsidP="00453F14">
      <w:pPr>
        <w:pStyle w:val="Explanationtext"/>
        <w:numPr>
          <w:ilvl w:val="0"/>
          <w:numId w:val="7"/>
        </w:numPr>
      </w:pPr>
      <w:r w:rsidRPr="000C37BD">
        <w:t>Decrementing baseline incandescent lamp wattages for non-specialty lamps to be in</w:t>
      </w:r>
      <w:r w:rsidR="007A4CA1">
        <w:t xml:space="preserve"> compliance with EISA backstop</w:t>
      </w:r>
      <w:r w:rsidR="004F15CE">
        <w:t>;</w:t>
      </w:r>
    </w:p>
    <w:p w14:paraId="5DAF7E37" w14:textId="39FEEFF9" w:rsidR="000C37BD" w:rsidRPr="000C37BD" w:rsidRDefault="000C37BD" w:rsidP="00453F14">
      <w:pPr>
        <w:pStyle w:val="Explanationtext"/>
        <w:numPr>
          <w:ilvl w:val="0"/>
          <w:numId w:val="7"/>
        </w:numPr>
      </w:pPr>
      <w:r w:rsidRPr="000C37BD">
        <w:t>Correcting an error in which certain columns in the Lighting Inventory tab did not populate for new construction projects utiliz</w:t>
      </w:r>
      <w:r w:rsidR="007A4CA1">
        <w:t>ing the Whole Building Method</w:t>
      </w:r>
      <w:r w:rsidR="004F15CE">
        <w:t>;</w:t>
      </w:r>
    </w:p>
    <w:p w14:paraId="3089E0BE" w14:textId="02F85E52" w:rsidR="000C37BD" w:rsidRPr="000C37BD" w:rsidRDefault="000C37BD" w:rsidP="00453F14">
      <w:pPr>
        <w:pStyle w:val="Explanationtext"/>
        <w:numPr>
          <w:ilvl w:val="0"/>
          <w:numId w:val="7"/>
        </w:numPr>
      </w:pPr>
      <w:r w:rsidRPr="000C37BD">
        <w:t>Adding 36" and 96" linear LED opt</w:t>
      </w:r>
      <w:r w:rsidR="007A4CA1">
        <w:t>ions to the LED Fixture Builder;</w:t>
      </w:r>
    </w:p>
    <w:p w14:paraId="347FADEB" w14:textId="1F18CC69" w:rsidR="000C37BD" w:rsidRPr="000C37BD" w:rsidRDefault="000C37BD" w:rsidP="00453F14">
      <w:pPr>
        <w:pStyle w:val="Explanationtext"/>
        <w:numPr>
          <w:ilvl w:val="0"/>
          <w:numId w:val="7"/>
        </w:numPr>
      </w:pPr>
      <w:r w:rsidRPr="000C37BD">
        <w:t>Expanding functionality to allow for multiple deemed space types (i.e.</w:t>
      </w:r>
      <w:r w:rsidR="004F15CE">
        <w:t>,</w:t>
      </w:r>
      <w:r w:rsidRPr="000C37BD">
        <w:t xml:space="preserve"> interior, exterior, refrigeration, and exit)</w:t>
      </w:r>
      <w:r w:rsidR="00A0651F">
        <w:t xml:space="preserve">.  </w:t>
      </w:r>
      <w:r w:rsidRPr="000C37BD">
        <w:t xml:space="preserve">This is facilitated by using either the Deemed or Mixed modes </w:t>
      </w:r>
      <w:r w:rsidR="007A4CA1">
        <w:t>in General Information cell I26;</w:t>
      </w:r>
    </w:p>
    <w:p w14:paraId="213FE27F" w14:textId="519D233E" w:rsidR="000C37BD" w:rsidRPr="000C37BD" w:rsidRDefault="000C37BD" w:rsidP="00453F14">
      <w:pPr>
        <w:pStyle w:val="Explanationtext"/>
        <w:numPr>
          <w:ilvl w:val="0"/>
          <w:numId w:val="7"/>
        </w:numPr>
      </w:pPr>
      <w:r w:rsidRPr="000C37BD">
        <w:t xml:space="preserve">Adjusting </w:t>
      </w:r>
      <w:r w:rsidR="00F80DEA">
        <w:t xml:space="preserve">the </w:t>
      </w:r>
      <w:r w:rsidRPr="000C37BD">
        <w:t>energy savings algorithm to ignore</w:t>
      </w:r>
      <w:r w:rsidR="00F80DEA">
        <w:t xml:space="preserve"> the</w:t>
      </w:r>
      <w:r w:rsidRPr="000C37BD">
        <w:t xml:space="preserve"> baseline SVG factor in the event that both the pre-retrofit and post-retrofit cases both employ either method of Daylighting controls</w:t>
      </w:r>
      <w:r w:rsidR="00A0651F">
        <w:t xml:space="preserve">.  </w:t>
      </w:r>
      <w:r w:rsidRPr="000C37BD">
        <w:t>This proposed adjustment was made in order to correct the issue through which known photocell operating hours were further discounted by the Photocell SVG fac</w:t>
      </w:r>
      <w:r w:rsidR="007A4CA1">
        <w:t>tor;</w:t>
      </w:r>
    </w:p>
    <w:p w14:paraId="2AE0D89C" w14:textId="36AE6B0D" w:rsidR="000C37BD" w:rsidRPr="000C37BD" w:rsidRDefault="000C37BD" w:rsidP="00453F14">
      <w:pPr>
        <w:pStyle w:val="Explanationtext"/>
        <w:numPr>
          <w:ilvl w:val="0"/>
          <w:numId w:val="7"/>
        </w:numPr>
      </w:pPr>
      <w:r w:rsidRPr="000C37BD">
        <w:t>Revising and expanding LED_Codes named range</w:t>
      </w:r>
      <w:r w:rsidR="00317363">
        <w:t>s</w:t>
      </w:r>
      <w:r w:rsidRPr="000C37BD">
        <w:t xml:space="preserve"> to include LED Linear Fluorescent Tube Replacement Type in the Description and revising Code for same fixtures to append Type to the end of the Code (i.e., LTA, LTB, LTC)</w:t>
      </w:r>
      <w:r w:rsidR="004F15CE">
        <w:t>;</w:t>
      </w:r>
    </w:p>
    <w:p w14:paraId="0EE2B48A" w14:textId="6C4A87DB" w:rsidR="000C37BD" w:rsidRPr="000C37BD" w:rsidRDefault="000C37BD" w:rsidP="00453F14">
      <w:pPr>
        <w:pStyle w:val="Explanationtext"/>
        <w:numPr>
          <w:ilvl w:val="0"/>
          <w:numId w:val="7"/>
        </w:numPr>
      </w:pPr>
      <w:r w:rsidRPr="000C37BD">
        <w:t xml:space="preserve">Adjusting LPD baseline values </w:t>
      </w:r>
      <w:r w:rsidR="007A4CA1">
        <w:t>to be consistent with 2015 IECC;</w:t>
      </w:r>
    </w:p>
    <w:p w14:paraId="2A34B9C6" w14:textId="3058963E" w:rsidR="000C37BD" w:rsidRPr="000C37BD" w:rsidRDefault="000C37BD" w:rsidP="00453F14">
      <w:pPr>
        <w:pStyle w:val="Explanationtext"/>
        <w:numPr>
          <w:ilvl w:val="0"/>
          <w:numId w:val="7"/>
        </w:numPr>
      </w:pPr>
      <w:r w:rsidRPr="000C37BD">
        <w:lastRenderedPageBreak/>
        <w:t>Revising hours of use and coincidence factors for consistency with the pr</w:t>
      </w:r>
      <w:r w:rsidR="007A4CA1">
        <w:t xml:space="preserve">oposed updates to Section 3.1.1; </w:t>
      </w:r>
    </w:p>
    <w:p w14:paraId="668AAA89" w14:textId="5618CCF2" w:rsidR="000C37BD" w:rsidRPr="000C37BD" w:rsidRDefault="000C37BD" w:rsidP="00453F14">
      <w:pPr>
        <w:pStyle w:val="Explanationtext"/>
        <w:numPr>
          <w:ilvl w:val="0"/>
          <w:numId w:val="7"/>
        </w:numPr>
      </w:pPr>
      <w:r w:rsidRPr="000C37BD">
        <w:t>Revising New Construction SVG Accountability % Req. assumptions for consistency with 2015 IECC 2015, as discussed in</w:t>
      </w:r>
      <w:r w:rsidR="00DC4472">
        <w:t xml:space="preserve"> Section </w:t>
      </w:r>
      <w:r w:rsidR="00DC4472">
        <w:fldChar w:fldCharType="begin"/>
      </w:r>
      <w:r w:rsidR="00DC4472">
        <w:instrText xml:space="preserve"> REF _Ref14704869 \r \h </w:instrText>
      </w:r>
      <w:r w:rsidR="00DC4472">
        <w:fldChar w:fldCharType="separate"/>
      </w:r>
      <w:r w:rsidR="00B10CDB">
        <w:t>F</w:t>
      </w:r>
      <w:r w:rsidR="00DC4472">
        <w:fldChar w:fldCharType="end"/>
      </w:r>
      <w:r w:rsidR="00DC4472">
        <w:t>.</w:t>
      </w:r>
      <w:r w:rsidR="00DC4472">
        <w:fldChar w:fldCharType="begin"/>
      </w:r>
      <w:r w:rsidR="00DC4472">
        <w:instrText xml:space="preserve"> REF _Ref722315 \r \h </w:instrText>
      </w:r>
      <w:r w:rsidR="00DC4472">
        <w:fldChar w:fldCharType="separate"/>
      </w:r>
      <w:r w:rsidR="00B10CDB">
        <w:t>2</w:t>
      </w:r>
      <w:r w:rsidR="00DC4472">
        <w:fldChar w:fldCharType="end"/>
      </w:r>
      <w:r w:rsidR="004F15CE">
        <w:t>; and</w:t>
      </w:r>
    </w:p>
    <w:p w14:paraId="4460A120" w14:textId="57EC4A2B" w:rsidR="000C37BD" w:rsidRPr="000C37BD" w:rsidRDefault="64A3250E" w:rsidP="00453F14">
      <w:pPr>
        <w:pStyle w:val="Explanationtext"/>
        <w:numPr>
          <w:ilvl w:val="0"/>
          <w:numId w:val="7"/>
        </w:numPr>
      </w:pPr>
      <w:r w:rsidRPr="64A3250E">
        <w:t>Adding a Small Business Direct Install radio button input on the General Information worksheet</w:t>
      </w:r>
      <w:r w:rsidR="00A0651F">
        <w:t xml:space="preserve">.  </w:t>
      </w:r>
      <w:r w:rsidRPr="64A3250E">
        <w:t>When Yes is selected, the T12 baseline adjustment will be disabled.</w:t>
      </w:r>
    </w:p>
    <w:p w14:paraId="184ECE4E" w14:textId="77777777" w:rsidR="008C1D28" w:rsidRDefault="008C1D28" w:rsidP="00AA2116"/>
    <w:p w14:paraId="224D3E29" w14:textId="258E2D38" w:rsidR="008C1D28" w:rsidRPr="001062F9" w:rsidRDefault="008C1D28" w:rsidP="00453F14">
      <w:pPr>
        <w:pStyle w:val="Heading3"/>
        <w:numPr>
          <w:ilvl w:val="2"/>
          <w:numId w:val="62"/>
        </w:numPr>
      </w:pPr>
      <w:bookmarkStart w:id="307" w:name="_Toc15658000"/>
      <w:r w:rsidRPr="55119DC7">
        <w:t>Comments</w:t>
      </w:r>
      <w:bookmarkEnd w:id="307"/>
    </w:p>
    <w:p w14:paraId="0F4C0A0B" w14:textId="5BDEAB98" w:rsidR="55119DC7" w:rsidRDefault="002147CB" w:rsidP="00AA2116">
      <w:r>
        <w:t>FirstEnergy</w:t>
      </w:r>
      <w:r w:rsidR="55119DC7">
        <w:t xml:space="preserve"> </w:t>
      </w:r>
      <w:r w:rsidR="003906C3">
        <w:t xml:space="preserve">recommends </w:t>
      </w:r>
      <w:r w:rsidR="55119DC7">
        <w:t xml:space="preserve">that </w:t>
      </w:r>
      <w:r w:rsidR="008677BD">
        <w:t xml:space="preserve">the </w:t>
      </w:r>
      <w:r w:rsidR="55119DC7">
        <w:t>exterior hours of use of 3,604 are sourced from the Mid-Atlantic TRM</w:t>
      </w:r>
      <w:r w:rsidR="00271AF5">
        <w:t>,</w:t>
      </w:r>
      <w:r w:rsidR="55119DC7">
        <w:t xml:space="preserve"> with reference to a Navigant interior hours of use study and suggests using non-daylight hours for Pittsburgh of 4,306.  </w:t>
      </w:r>
      <w:r>
        <w:t>FirstEnergy</w:t>
      </w:r>
      <w:r w:rsidR="55119DC7">
        <w:t xml:space="preserve"> </w:t>
      </w:r>
      <w:r w:rsidR="00271AF5">
        <w:t>requests</w:t>
      </w:r>
      <w:r w:rsidR="55119DC7">
        <w:t xml:space="preserve"> clarification on where Table 3-10 is being applied in Appendix C.  </w:t>
      </w:r>
      <w:r>
        <w:t>FirstEnergy</w:t>
      </w:r>
      <w:r w:rsidR="55119DC7">
        <w:t xml:space="preserve"> </w:t>
      </w:r>
      <w:r w:rsidR="003906C3">
        <w:t xml:space="preserve">notes </w:t>
      </w:r>
      <w:r w:rsidR="55119DC7">
        <w:t xml:space="preserve">that the formula looking up the allowed LPDs for the exterior areas was based on looking up interior areas and not functioning properly.  </w:t>
      </w:r>
      <w:r>
        <w:t>FirstEnergy</w:t>
      </w:r>
      <w:r w:rsidR="55119DC7">
        <w:t xml:space="preserve"> </w:t>
      </w:r>
      <w:r w:rsidR="003906C3">
        <w:t xml:space="preserve">states </w:t>
      </w:r>
      <w:r w:rsidR="55119DC7">
        <w:t>that the allowed LPD for atriums in the Appendix C calculator does not match what</w:t>
      </w:r>
      <w:r w:rsidR="00162856">
        <w:t xml:space="preserve"> i</w:t>
      </w:r>
      <w:r w:rsidR="55119DC7">
        <w:t xml:space="preserve">s stipulated in the </w:t>
      </w:r>
      <w:r w:rsidR="00731722">
        <w:t xml:space="preserve">proposed </w:t>
      </w:r>
      <w:r w:rsidR="55119DC7">
        <w:t xml:space="preserve">2021 TRM.  </w:t>
      </w:r>
      <w:r>
        <w:t>FirstEnergy</w:t>
      </w:r>
      <w:r w:rsidR="55119DC7">
        <w:t xml:space="preserve"> comments that the data validation range for lighting fixtures should be extended to row 1045.  </w:t>
      </w:r>
      <w:r w:rsidR="003906C3">
        <w:t xml:space="preserve">Finally, </w:t>
      </w:r>
      <w:r>
        <w:t>FirstEnergy</w:t>
      </w:r>
      <w:r w:rsidR="55119DC7">
        <w:t xml:space="preserve"> </w:t>
      </w:r>
      <w:r w:rsidR="003906C3">
        <w:t>requests</w:t>
      </w:r>
      <w:r w:rsidR="55119DC7">
        <w:t xml:space="preserve"> that </w:t>
      </w:r>
      <w:r w:rsidR="005F7EE5" w:rsidRPr="005F7EE5">
        <w:t>“</w:t>
      </w:r>
      <w:r w:rsidR="55119DC7">
        <w:t>Troffer LED Panel</w:t>
      </w:r>
      <w:r w:rsidR="005F7EE5" w:rsidRPr="005F7EE5">
        <w:t>”</w:t>
      </w:r>
      <w:r w:rsidR="55119DC7">
        <w:t xml:space="preserve"> be added to the “LED Code Builder” table on </w:t>
      </w:r>
      <w:r w:rsidR="00162856">
        <w:t>“</w:t>
      </w:r>
      <w:r w:rsidR="55119DC7">
        <w:t>Lookups</w:t>
      </w:r>
      <w:r w:rsidR="00162856">
        <w:t>”</w:t>
      </w:r>
      <w:r w:rsidR="55119DC7">
        <w:t xml:space="preserve"> worksheet.  </w:t>
      </w:r>
      <w:r>
        <w:t>FirstEnergy</w:t>
      </w:r>
      <w:r w:rsidR="55119DC7">
        <w:t xml:space="preserve"> Comments at </w:t>
      </w:r>
      <w:r w:rsidR="003906C3">
        <w:t>14-</w:t>
      </w:r>
      <w:r w:rsidR="55119DC7">
        <w:t>15.</w:t>
      </w:r>
      <w:r w:rsidR="00E63E71">
        <w:t xml:space="preserve">  </w:t>
      </w:r>
      <w:r w:rsidR="55119DC7">
        <w:t xml:space="preserve">PPL </w:t>
      </w:r>
      <w:r w:rsidR="00162856">
        <w:t>recommends</w:t>
      </w:r>
      <w:r w:rsidR="55119DC7">
        <w:t xml:space="preserve"> modifying Appendix C to allow entry of different heating and cooling system types per space designation. </w:t>
      </w:r>
      <w:r w:rsidR="00BA1403">
        <w:t xml:space="preserve"> </w:t>
      </w:r>
      <w:r w:rsidR="55119DC7">
        <w:t xml:space="preserve">PPL </w:t>
      </w:r>
      <w:r w:rsidR="00162856">
        <w:t>notes</w:t>
      </w:r>
      <w:r w:rsidR="55119DC7">
        <w:t xml:space="preserve"> that unique cooling system types for each space designation are captured in the “General Information” tab, but Appendix C only allows one heating system type for the whole building. </w:t>
      </w:r>
      <w:r w:rsidR="00A27B23">
        <w:t xml:space="preserve"> </w:t>
      </w:r>
      <w:r w:rsidR="55119DC7">
        <w:t>PPL Comments at 6-7.</w:t>
      </w:r>
    </w:p>
    <w:p w14:paraId="597124F1" w14:textId="1A9042CE" w:rsidR="008C1D28" w:rsidRDefault="008C1D28" w:rsidP="00AA2116"/>
    <w:p w14:paraId="7C94086B" w14:textId="151EB2CE" w:rsidR="008C1D28" w:rsidRPr="001062F9" w:rsidRDefault="008C1D28" w:rsidP="00453F14">
      <w:pPr>
        <w:pStyle w:val="Heading3"/>
        <w:numPr>
          <w:ilvl w:val="2"/>
          <w:numId w:val="62"/>
        </w:numPr>
      </w:pPr>
      <w:bookmarkStart w:id="308" w:name="_Toc15658001"/>
      <w:r w:rsidRPr="55119DC7">
        <w:t>Disposition</w:t>
      </w:r>
      <w:bookmarkEnd w:id="308"/>
    </w:p>
    <w:p w14:paraId="5F77D31B" w14:textId="31D05D34" w:rsidR="008C1D28" w:rsidRDefault="55119DC7" w:rsidP="00AA2116">
      <w:r w:rsidRPr="55119DC7">
        <w:t xml:space="preserve">The Commission acknowledges </w:t>
      </w:r>
      <w:r w:rsidR="002147CB">
        <w:t>FirstEnergy</w:t>
      </w:r>
      <w:r w:rsidRPr="55119DC7">
        <w:t xml:space="preserve">’s </w:t>
      </w:r>
      <w:r w:rsidR="003906C3">
        <w:t>recommendation</w:t>
      </w:r>
      <w:r w:rsidR="003906C3" w:rsidRPr="55119DC7">
        <w:t xml:space="preserve"> </w:t>
      </w:r>
      <w:r w:rsidRPr="55119DC7">
        <w:t xml:space="preserve">on exterior hours of use but notes that a value of 4,305 would only be appropriate if the exterior lighting in question is photocell controlled and operates from dusk-to-dawn. </w:t>
      </w:r>
      <w:r w:rsidR="00BA1403">
        <w:t xml:space="preserve"> EDCs may</w:t>
      </w:r>
      <w:r w:rsidRPr="55119DC7">
        <w:t xml:space="preserve"> assum</w:t>
      </w:r>
      <w:r w:rsidR="00BA1403">
        <w:t>e</w:t>
      </w:r>
      <w:r w:rsidRPr="55119DC7">
        <w:t xml:space="preserve"> </w:t>
      </w:r>
      <w:r w:rsidRPr="55119DC7">
        <w:lastRenderedPageBreak/>
        <w:t xml:space="preserve">4,305 hours of use where operation photocell control is present and 3,604 hours in other cases. </w:t>
      </w:r>
      <w:r w:rsidR="00BA1403">
        <w:t xml:space="preserve"> </w:t>
      </w:r>
      <w:r w:rsidRPr="55119DC7">
        <w:t xml:space="preserve">Regarding </w:t>
      </w:r>
      <w:r w:rsidR="00BA1403">
        <w:t xml:space="preserve">FirstEnergy’s comment about </w:t>
      </w:r>
      <w:r w:rsidRPr="55119DC7">
        <w:t>the use of Table 3</w:t>
      </w:r>
      <w:r w:rsidR="003906C3">
        <w:noBreakHyphen/>
      </w:r>
      <w:r w:rsidRPr="55119DC7">
        <w:t xml:space="preserve">10 in Appendix C, this table is not explicitly used in the calculations and is intended to present default values where exact lamp data is unknown. </w:t>
      </w:r>
      <w:r w:rsidR="00BA1403">
        <w:t xml:space="preserve"> </w:t>
      </w:r>
      <w:r w:rsidRPr="55119DC7">
        <w:t xml:space="preserve">The Commission accepts </w:t>
      </w:r>
      <w:r w:rsidR="002147CB">
        <w:t>FirstEnergy</w:t>
      </w:r>
      <w:r w:rsidRPr="55119DC7">
        <w:t xml:space="preserve">’s </w:t>
      </w:r>
      <w:r w:rsidR="00BA1403">
        <w:t>remaining</w:t>
      </w:r>
      <w:r w:rsidR="00BA1403" w:rsidRPr="55119DC7">
        <w:t xml:space="preserve"> </w:t>
      </w:r>
      <w:r w:rsidR="003906C3">
        <w:t>recommendations</w:t>
      </w:r>
      <w:r w:rsidR="003906C3" w:rsidRPr="55119DC7">
        <w:t xml:space="preserve"> </w:t>
      </w:r>
      <w:r w:rsidRPr="55119DC7">
        <w:t xml:space="preserve">on Appendix C and </w:t>
      </w:r>
      <w:r w:rsidR="00BA1403">
        <w:t xml:space="preserve">has </w:t>
      </w:r>
      <w:r w:rsidRPr="55119DC7">
        <w:t>update</w:t>
      </w:r>
      <w:r w:rsidR="00B272A4">
        <w:t>d</w:t>
      </w:r>
      <w:r w:rsidRPr="55119DC7">
        <w:t xml:space="preserve"> the calculator to remedy the identified issues.</w:t>
      </w:r>
      <w:r w:rsidR="00E63E71">
        <w:t xml:space="preserve">  </w:t>
      </w:r>
      <w:r w:rsidR="00B03C4F">
        <w:t>We also accept</w:t>
      </w:r>
      <w:r w:rsidRPr="55119DC7">
        <w:t xml:space="preserve"> PPLs </w:t>
      </w:r>
      <w:r w:rsidR="00B03C4F">
        <w:t>recommendation</w:t>
      </w:r>
      <w:r w:rsidRPr="55119DC7">
        <w:t xml:space="preserve"> and </w:t>
      </w:r>
      <w:r w:rsidR="00C1219D">
        <w:t>ha</w:t>
      </w:r>
      <w:r w:rsidR="00B03C4F">
        <w:t>ve</w:t>
      </w:r>
      <w:r w:rsidR="000219F0">
        <w:t xml:space="preserve"> therefore</w:t>
      </w:r>
      <w:r w:rsidR="00C1219D">
        <w:t xml:space="preserve"> </w:t>
      </w:r>
      <w:r w:rsidRPr="55119DC7">
        <w:t>update</w:t>
      </w:r>
      <w:r w:rsidR="00B272A4">
        <w:t>d</w:t>
      </w:r>
      <w:r w:rsidRPr="55119DC7">
        <w:t xml:space="preserve"> Appendix C to allow specification of both heating and cooling equipment at the space type level.</w:t>
      </w:r>
    </w:p>
    <w:p w14:paraId="381C2C08" w14:textId="77777777" w:rsidR="008C1D28" w:rsidRPr="0098410B" w:rsidRDefault="008C1D28" w:rsidP="00AA2116"/>
    <w:p w14:paraId="0FA10926" w14:textId="689A46F1" w:rsidR="007B223B" w:rsidRPr="009C3B3D" w:rsidRDefault="00E6683F" w:rsidP="00453F14">
      <w:pPr>
        <w:pStyle w:val="Heading2"/>
        <w:numPr>
          <w:ilvl w:val="1"/>
          <w:numId w:val="62"/>
        </w:numPr>
      </w:pPr>
      <w:bookmarkStart w:id="309" w:name="_Toc394648247"/>
      <w:bookmarkStart w:id="310" w:name="_Toc396910644"/>
      <w:bookmarkStart w:id="311" w:name="_Toc413415466"/>
      <w:bookmarkStart w:id="312" w:name="_Toc15658002"/>
      <w:r w:rsidRPr="009C3B3D">
        <w:t>Ap</w:t>
      </w:r>
      <w:r w:rsidR="0027244F" w:rsidRPr="009C3B3D">
        <w:t>pendix D</w:t>
      </w:r>
      <w:r w:rsidRPr="009C3B3D">
        <w:t xml:space="preserve">: </w:t>
      </w:r>
      <w:r w:rsidR="007B223B" w:rsidRPr="009C3B3D">
        <w:t xml:space="preserve">Motors and VFD </w:t>
      </w:r>
      <w:bookmarkEnd w:id="309"/>
      <w:r w:rsidRPr="009C3B3D">
        <w:t>Audit and Design Tool</w:t>
      </w:r>
      <w:bookmarkEnd w:id="310"/>
      <w:bookmarkEnd w:id="311"/>
      <w:bookmarkEnd w:id="312"/>
    </w:p>
    <w:p w14:paraId="41B4D20E" w14:textId="5068F4AB" w:rsidR="009C3B42" w:rsidRDefault="009C3B42" w:rsidP="00AA2116">
      <w:r w:rsidRPr="00C05284">
        <w:t>The Commission propose</w:t>
      </w:r>
      <w:r w:rsidR="00B272A4">
        <w:t>d</w:t>
      </w:r>
      <w:r w:rsidRPr="00C05284">
        <w:t xml:space="preserve"> several updates to the 2016 TRM Appendix D calculator to increase usability and to align with the proposed algorithm revisions for VFD improvement measures.</w:t>
      </w:r>
      <w:r w:rsidR="004418B4">
        <w:t xml:space="preserve">  </w:t>
      </w:r>
      <w:r w:rsidRPr="00C05284">
        <w:t>The 2016 TRM Appendix D calculator house</w:t>
      </w:r>
      <w:r w:rsidR="00675911">
        <w:t>s</w:t>
      </w:r>
      <w:r w:rsidRPr="00C05284">
        <w:t xml:space="preserve"> general project information on both the Summary tab and the measure-specific Motor Form and VFD Form. </w:t>
      </w:r>
      <w:r w:rsidR="004418B4">
        <w:t xml:space="preserve"> </w:t>
      </w:r>
      <w:r w:rsidRPr="00C05284">
        <w:t>The Commission propose</w:t>
      </w:r>
      <w:r w:rsidR="003F4987">
        <w:t>d</w:t>
      </w:r>
      <w:r w:rsidRPr="00C05284">
        <w:t xml:space="preserve"> consolidating all general project information including Facility Type and Weather Location, fields that are critical for populating default coincidence factors and hours of operation according to the TRM, onto a new General Information tab</w:t>
      </w:r>
      <w:r w:rsidR="00A0651F">
        <w:t xml:space="preserve">.  </w:t>
      </w:r>
      <w:r w:rsidRPr="00C05284">
        <w:t>The proposed format of this new tab aligns this calculator with the Appendix C Lighting Calculator</w:t>
      </w:r>
      <w:r w:rsidR="00A0651F">
        <w:t xml:space="preserve">.  </w:t>
      </w:r>
    </w:p>
    <w:p w14:paraId="7EC39706" w14:textId="77777777" w:rsidR="0056158B" w:rsidRDefault="0056158B" w:rsidP="00AA2116"/>
    <w:p w14:paraId="50EB3A14" w14:textId="5381802F" w:rsidR="009C3B42" w:rsidRDefault="009C3B42" w:rsidP="00AA2116">
      <w:r w:rsidRPr="00C05284">
        <w:t>The Commission also propose</w:t>
      </w:r>
      <w:r w:rsidR="003F4987">
        <w:t>d</w:t>
      </w:r>
      <w:r w:rsidRPr="00C05284">
        <w:t xml:space="preserve"> to reformat the Motor Form tab, which houses the algorithms for Measure 3.3.1 Premium Efficiency Motors</w:t>
      </w:r>
      <w:r w:rsidR="00A0651F">
        <w:t xml:space="preserve">.  </w:t>
      </w:r>
      <w:r w:rsidRPr="00C05284">
        <w:t>The proposed formatting was designed to streamline the user experience and maintain consistency with TRM algorithms</w:t>
      </w:r>
      <w:r w:rsidR="00A0651F">
        <w:t xml:space="preserve">.  </w:t>
      </w:r>
      <w:r w:rsidRPr="00C05284">
        <w:t>In the 2016 TRM Appendix D calculator, baseline and post-retrofit motor information were entered in separate parts of the Motor Form worksheet</w:t>
      </w:r>
      <w:r w:rsidR="00A0651F">
        <w:t xml:space="preserve">.  </w:t>
      </w:r>
      <w:r w:rsidRPr="00C05284">
        <w:t>The proposed format provides a single worksheet row for each upgraded motor type</w:t>
      </w:r>
      <w:r w:rsidR="00A0651F">
        <w:t xml:space="preserve">.  </w:t>
      </w:r>
      <w:r w:rsidRPr="00C05284">
        <w:t>Formulas on this tab were modified to include the Commission’s proposed revision to default load factor values and to allow for the entry of custom hours of operation in accordance with the algorithm outlined in the TRM for this measure</w:t>
      </w:r>
      <w:r w:rsidR="00A0651F">
        <w:t xml:space="preserve">.  </w:t>
      </w:r>
      <w:r w:rsidRPr="00C05284">
        <w:t>Additionally, the Commission propose</w:t>
      </w:r>
      <w:r w:rsidR="00FF6944">
        <w:t>d</w:t>
      </w:r>
      <w:r w:rsidRPr="00C05284">
        <w:t xml:space="preserve"> </w:t>
      </w:r>
      <w:r w:rsidRPr="00C05284">
        <w:lastRenderedPageBreak/>
        <w:t>to rename this form to 3.3.1 Premium Efficiency Motors to further clarify the relationship between the calculator and the TRM.</w:t>
      </w:r>
    </w:p>
    <w:p w14:paraId="13B7FC9D" w14:textId="77777777" w:rsidR="0056158B" w:rsidRDefault="0056158B" w:rsidP="00AA2116"/>
    <w:p w14:paraId="0FA10928" w14:textId="24DEA8C6" w:rsidR="00681EFD" w:rsidRPr="0098410B" w:rsidRDefault="009C3B42" w:rsidP="00AA2116">
      <w:r w:rsidRPr="00C05284">
        <w:t>The Commission similarly propose</w:t>
      </w:r>
      <w:r w:rsidR="00FF6944">
        <w:t>d</w:t>
      </w:r>
      <w:r w:rsidRPr="00C05284">
        <w:t xml:space="preserve"> </w:t>
      </w:r>
      <w:r w:rsidR="003906C3">
        <w:t>renaming</w:t>
      </w:r>
      <w:r w:rsidR="003906C3" w:rsidRPr="00C05284">
        <w:t xml:space="preserve"> </w:t>
      </w:r>
      <w:r w:rsidRPr="00C05284">
        <w:t>the Appendix D VFD Form to 3.3.2 VFD Improvements and to further revise the calculator formulas for alignment with the proposed algorithms for Measure 3.3.2 Variable Frequency Drive (VFD) Improvements</w:t>
      </w:r>
      <w:r w:rsidR="00A0651F">
        <w:t xml:space="preserve">.  </w:t>
      </w:r>
      <w:r w:rsidRPr="00C05284">
        <w:t>To facilitate this alignment, the Commission propose</w:t>
      </w:r>
      <w:r w:rsidR="002A7DCC">
        <w:t>d</w:t>
      </w:r>
      <w:r w:rsidRPr="00C05284">
        <w:t xml:space="preserve"> the addition of a new tab to the calculator, VFD Custom Load Profile, where users can review the Default HVAC Fan and HVAC Pump load profiles and define up to </w:t>
      </w:r>
      <w:r w:rsidR="004F15CE">
        <w:t>ten</w:t>
      </w:r>
      <w:r w:rsidRPr="00C05284">
        <w:t xml:space="preserve"> custom load profiles</w:t>
      </w:r>
      <w:r w:rsidR="00A0651F">
        <w:t xml:space="preserve">.  </w:t>
      </w:r>
      <w:r w:rsidRPr="00C05284">
        <w:t>Formulas on this tab were also modified to include the Commission’s proposed revisions to the default motor load factor value and to allow for the entry of custom hours of operation, in accordance with the algorithm outlined in the TRM</w:t>
      </w:r>
      <w:r w:rsidR="00A0651F">
        <w:t xml:space="preserve">.  </w:t>
      </w:r>
      <w:bookmarkStart w:id="313" w:name="_Toc364755789"/>
    </w:p>
    <w:p w14:paraId="679B94B3" w14:textId="60CE4E6D" w:rsidR="008C1D28" w:rsidRPr="001062F9" w:rsidRDefault="008C1D28" w:rsidP="00453F14">
      <w:pPr>
        <w:pStyle w:val="Heading3"/>
        <w:numPr>
          <w:ilvl w:val="2"/>
          <w:numId w:val="62"/>
        </w:numPr>
      </w:pPr>
      <w:bookmarkStart w:id="314" w:name="_Toc15658003"/>
      <w:bookmarkStart w:id="315" w:name="_Toc394648249"/>
      <w:bookmarkStart w:id="316" w:name="_Toc396910646"/>
      <w:bookmarkStart w:id="317" w:name="_Toc413415468"/>
      <w:r w:rsidRPr="2B48197B">
        <w:t>Comments</w:t>
      </w:r>
      <w:bookmarkEnd w:id="314"/>
    </w:p>
    <w:p w14:paraId="1450E819" w14:textId="0637BCF8" w:rsidR="2E88F06F" w:rsidRDefault="002147CB" w:rsidP="00AA2116">
      <w:r>
        <w:t>FirstEnergy</w:t>
      </w:r>
      <w:r w:rsidR="2E88F06F" w:rsidRPr="2E88F06F">
        <w:t xml:space="preserve"> </w:t>
      </w:r>
      <w:r w:rsidR="002F293C" w:rsidRPr="2E88F06F">
        <w:t>comment</w:t>
      </w:r>
      <w:r w:rsidR="002F293C">
        <w:t>s</w:t>
      </w:r>
      <w:r w:rsidR="002F293C" w:rsidRPr="2E88F06F">
        <w:t xml:space="preserve"> </w:t>
      </w:r>
      <w:r w:rsidR="2E88F06F" w:rsidRPr="2E88F06F">
        <w:t xml:space="preserve">that the default load factor for pumps in the Appendix D calculator (0.78) was not aligned with the default load factor for pumps in the TRM (0.79).  </w:t>
      </w:r>
      <w:r>
        <w:t>FirstEnergy</w:t>
      </w:r>
      <w:r w:rsidR="2E88F06F" w:rsidRPr="2E88F06F">
        <w:t xml:space="preserve"> Comments at 5.</w:t>
      </w:r>
    </w:p>
    <w:p w14:paraId="25A732CF" w14:textId="1DC17732" w:rsidR="008C1D28" w:rsidRDefault="008C1D28" w:rsidP="00453F14">
      <w:pPr>
        <w:pStyle w:val="Heading3"/>
        <w:numPr>
          <w:ilvl w:val="2"/>
          <w:numId w:val="62"/>
        </w:numPr>
      </w:pPr>
      <w:bookmarkStart w:id="318" w:name="_Toc15658004"/>
      <w:r w:rsidRPr="2B48197B">
        <w:t>Disposition</w:t>
      </w:r>
      <w:bookmarkEnd w:id="318"/>
    </w:p>
    <w:p w14:paraId="40DCE6E3" w14:textId="7B2D4DF4" w:rsidR="2E88F06F" w:rsidRDefault="2E88F06F" w:rsidP="00AA2116">
      <w:r w:rsidRPr="2E88F06F">
        <w:t xml:space="preserve">The Commission reviewed the references for this measure and </w:t>
      </w:r>
      <w:r w:rsidR="00C1219D">
        <w:t xml:space="preserve">agrees with FirstEnergy </w:t>
      </w:r>
      <w:r w:rsidRPr="2E88F06F">
        <w:t xml:space="preserve">that 0.79 is the correct value.  </w:t>
      </w:r>
    </w:p>
    <w:p w14:paraId="220689B7" w14:textId="6FDDEF12" w:rsidR="00987AE3" w:rsidRDefault="00987AE3" w:rsidP="00AA2116"/>
    <w:p w14:paraId="39D2CA6C" w14:textId="5E8391B1" w:rsidR="00987AE3" w:rsidRDefault="00987AE3" w:rsidP="00453F14">
      <w:pPr>
        <w:pStyle w:val="Heading2"/>
        <w:numPr>
          <w:ilvl w:val="1"/>
          <w:numId w:val="62"/>
        </w:numPr>
        <w:ind w:left="720" w:hanging="720"/>
      </w:pPr>
      <w:bookmarkStart w:id="319" w:name="_Toc15658005"/>
      <w:r w:rsidRPr="009C3B3D">
        <w:t xml:space="preserve">Appendix </w:t>
      </w:r>
      <w:r w:rsidR="008D5393">
        <w:t>E</w:t>
      </w:r>
      <w:r w:rsidRPr="009C3B3D">
        <w:t xml:space="preserve">: </w:t>
      </w:r>
      <w:r w:rsidR="00C42277" w:rsidRPr="00C42277">
        <w:t>E</w:t>
      </w:r>
      <w:r w:rsidR="00C42277">
        <w:t>ligibility</w:t>
      </w:r>
      <w:r w:rsidR="00C42277" w:rsidRPr="00C42277">
        <w:t xml:space="preserve"> R</w:t>
      </w:r>
      <w:r w:rsidR="00C42277">
        <w:t>equirements</w:t>
      </w:r>
      <w:r w:rsidR="00C42277" w:rsidRPr="00C42277">
        <w:t xml:space="preserve"> </w:t>
      </w:r>
      <w:r w:rsidR="00C42277">
        <w:t>for</w:t>
      </w:r>
      <w:r w:rsidR="00C42277" w:rsidRPr="00C42277">
        <w:t xml:space="preserve"> S</w:t>
      </w:r>
      <w:r w:rsidR="00C42277">
        <w:t>olid</w:t>
      </w:r>
      <w:r w:rsidR="00C42277" w:rsidRPr="00C42277">
        <w:t xml:space="preserve"> </w:t>
      </w:r>
      <w:r w:rsidR="00C42277">
        <w:t>State</w:t>
      </w:r>
      <w:r w:rsidR="00C42277" w:rsidRPr="00C42277">
        <w:t xml:space="preserve"> L</w:t>
      </w:r>
      <w:r w:rsidR="00C42277">
        <w:t>ighting</w:t>
      </w:r>
      <w:r w:rsidR="00C42277" w:rsidRPr="00C42277">
        <w:t xml:space="preserve"> P</w:t>
      </w:r>
      <w:r w:rsidR="00C42277">
        <w:t>roducts</w:t>
      </w:r>
      <w:r w:rsidR="00C42277" w:rsidRPr="00C42277">
        <w:t xml:space="preserve"> </w:t>
      </w:r>
      <w:r w:rsidR="00C42277">
        <w:t>in</w:t>
      </w:r>
      <w:r w:rsidR="00C42277" w:rsidRPr="00C42277">
        <w:t xml:space="preserve"> C</w:t>
      </w:r>
      <w:r w:rsidR="00C42277">
        <w:t>ommercial</w:t>
      </w:r>
      <w:r w:rsidR="00C42277" w:rsidRPr="00C42277">
        <w:t xml:space="preserve"> </w:t>
      </w:r>
      <w:r w:rsidR="00C42277">
        <w:t>and</w:t>
      </w:r>
      <w:r w:rsidR="00C42277" w:rsidRPr="00C42277">
        <w:t xml:space="preserve"> I</w:t>
      </w:r>
      <w:r w:rsidR="00C42277">
        <w:t>ndustrial</w:t>
      </w:r>
      <w:r w:rsidR="00C42277" w:rsidRPr="00C42277">
        <w:t xml:space="preserve"> A</w:t>
      </w:r>
      <w:r w:rsidR="00C42277">
        <w:t>pplications</w:t>
      </w:r>
      <w:bookmarkEnd w:id="319"/>
    </w:p>
    <w:p w14:paraId="78792171" w14:textId="7F113016" w:rsidR="000C0430" w:rsidRPr="000C0430" w:rsidRDefault="00684B26" w:rsidP="00AA2116">
      <w:r>
        <w:t xml:space="preserve">The Commission proposed </w:t>
      </w:r>
      <w:r w:rsidR="00697986">
        <w:t xml:space="preserve">some changes to the text of Appendix E to clarify the intent of instructions.  References to several industry testing procedures were also updated. </w:t>
      </w:r>
    </w:p>
    <w:p w14:paraId="30296B38" w14:textId="5342D5AD" w:rsidR="00987AE3" w:rsidRDefault="00987AE3" w:rsidP="00AA2116"/>
    <w:p w14:paraId="5AAC047F" w14:textId="1A29964F" w:rsidR="00C42277" w:rsidRPr="001062F9" w:rsidRDefault="00C42277" w:rsidP="00453F14">
      <w:pPr>
        <w:pStyle w:val="Heading3"/>
        <w:numPr>
          <w:ilvl w:val="2"/>
          <w:numId w:val="62"/>
        </w:numPr>
      </w:pPr>
      <w:bookmarkStart w:id="320" w:name="_Toc15658006"/>
      <w:r w:rsidRPr="001062F9">
        <w:t>Comments</w:t>
      </w:r>
      <w:bookmarkEnd w:id="320"/>
    </w:p>
    <w:p w14:paraId="14356ABC" w14:textId="153DB2C6" w:rsidR="00C42277" w:rsidRDefault="002A6748" w:rsidP="00AA2116">
      <w:r>
        <w:t xml:space="preserve">PECO </w:t>
      </w:r>
      <w:r w:rsidR="002F293C">
        <w:t xml:space="preserve">flags </w:t>
      </w:r>
      <w:r w:rsidR="007037C0">
        <w:t xml:space="preserve">the ambiguity in Appendix E </w:t>
      </w:r>
      <w:r w:rsidR="002C4DCF">
        <w:t>regarding</w:t>
      </w:r>
      <w:r w:rsidR="00D33335">
        <w:t xml:space="preserve"> whether solid state lighting products must meet </w:t>
      </w:r>
      <w:r w:rsidR="002C4DCF">
        <w:t xml:space="preserve">both </w:t>
      </w:r>
      <w:r w:rsidR="00D33335">
        <w:t xml:space="preserve">the requirements of ENERGY STAR and Design Lights </w:t>
      </w:r>
      <w:r w:rsidR="00D33335">
        <w:lastRenderedPageBreak/>
        <w:t>Consortium</w:t>
      </w:r>
      <w:r w:rsidR="002C4DCF">
        <w:t xml:space="preserve">, or just one of the </w:t>
      </w:r>
      <w:r w:rsidR="006F0D0F">
        <w:t>certifications</w:t>
      </w:r>
      <w:r w:rsidR="00C3485E">
        <w:t xml:space="preserve">.  </w:t>
      </w:r>
      <w:r w:rsidR="00A6226E">
        <w:t xml:space="preserve">PECO recommends replacing “and/or” with “or” to maintain flexibility.  </w:t>
      </w:r>
      <w:r w:rsidR="00C3485E">
        <w:t>PECO Comments at 7.</w:t>
      </w:r>
    </w:p>
    <w:p w14:paraId="604C65AB" w14:textId="77777777" w:rsidR="00C42277" w:rsidRDefault="00C42277" w:rsidP="00AA2116"/>
    <w:p w14:paraId="6DE533E0" w14:textId="46397A2D" w:rsidR="00C42277" w:rsidRDefault="00C42277" w:rsidP="00453F14">
      <w:pPr>
        <w:pStyle w:val="Heading3"/>
        <w:numPr>
          <w:ilvl w:val="2"/>
          <w:numId w:val="62"/>
        </w:numPr>
      </w:pPr>
      <w:bookmarkStart w:id="321" w:name="_Toc15658007"/>
      <w:r w:rsidRPr="001062F9">
        <w:t>Disposition</w:t>
      </w:r>
      <w:bookmarkEnd w:id="321"/>
    </w:p>
    <w:p w14:paraId="09F1E9AE" w14:textId="683BDA14" w:rsidR="00C42277" w:rsidRDefault="00C3485E" w:rsidP="00AA2116">
      <w:r>
        <w:t xml:space="preserve">The Commission agrees with PECO’s </w:t>
      </w:r>
      <w:r w:rsidR="003906C3">
        <w:t xml:space="preserve">recommendation </w:t>
      </w:r>
      <w:r w:rsidR="00A6226E">
        <w:t xml:space="preserve">and has updated the language in Appendix E to clarify </w:t>
      </w:r>
      <w:r w:rsidR="004056DC">
        <w:t xml:space="preserve">that </w:t>
      </w:r>
      <w:r w:rsidR="009B32AA">
        <w:t xml:space="preserve">products must meet either the ENERGY STAR or </w:t>
      </w:r>
      <w:r w:rsidR="004056DC">
        <w:t xml:space="preserve">the </w:t>
      </w:r>
      <w:r w:rsidR="009B32AA">
        <w:t xml:space="preserve">Design Lights Consortium standards to be eligible for program support. </w:t>
      </w:r>
    </w:p>
    <w:p w14:paraId="26F46CA7" w14:textId="77777777" w:rsidR="00571292" w:rsidRPr="008363BE" w:rsidRDefault="00571292" w:rsidP="00AA2116"/>
    <w:p w14:paraId="156D9877" w14:textId="1A296569" w:rsidR="00571292" w:rsidRDefault="00143CDE" w:rsidP="0085221B">
      <w:pPr>
        <w:pStyle w:val="Heading1"/>
        <w:spacing w:line="360" w:lineRule="auto"/>
        <w:ind w:left="2880" w:firstLine="720"/>
        <w:jc w:val="left"/>
      </w:pPr>
      <w:bookmarkStart w:id="322" w:name="_Toc15658008"/>
      <w:r w:rsidRPr="009C3B3D">
        <w:t>CONCLUSION</w:t>
      </w:r>
      <w:bookmarkEnd w:id="194"/>
      <w:bookmarkEnd w:id="313"/>
      <w:bookmarkEnd w:id="315"/>
      <w:bookmarkEnd w:id="316"/>
      <w:bookmarkEnd w:id="317"/>
      <w:bookmarkEnd w:id="322"/>
    </w:p>
    <w:p w14:paraId="0FA1092B" w14:textId="4FAF1B36" w:rsidR="00143CDE" w:rsidRPr="00186B4C" w:rsidRDefault="00F42A0B" w:rsidP="00AA2116">
      <w:r w:rsidRPr="00186B4C">
        <w:t xml:space="preserve">This Order represents the Commission’s continuing efforts in establishing a comprehensive TRM with a purpose of supporting both the AEPS Act and the EE&amp;C </w:t>
      </w:r>
      <w:r w:rsidR="000E3740" w:rsidRPr="00186B4C">
        <w:t xml:space="preserve">Program </w:t>
      </w:r>
      <w:r w:rsidR="009C3B3D" w:rsidRPr="00186B4C">
        <w:t>provisions of Act 129</w:t>
      </w:r>
      <w:r w:rsidR="00A0651F" w:rsidRPr="00186B4C">
        <w:t xml:space="preserve">.  </w:t>
      </w:r>
      <w:r w:rsidR="001D6661" w:rsidRPr="00186B4C">
        <w:t xml:space="preserve">We </w:t>
      </w:r>
      <w:r w:rsidR="008118A2" w:rsidRPr="00186B4C">
        <w:t xml:space="preserve">extend our thanks to all </w:t>
      </w:r>
      <w:r w:rsidR="00BA360B" w:rsidRPr="00186B4C">
        <w:t>who provided comments;</w:t>
      </w:r>
      <w:r w:rsidR="0066156C" w:rsidRPr="00186B4C">
        <w:t xml:space="preserve"> </w:t>
      </w:r>
      <w:r w:rsidR="007E1679" w:rsidRPr="00186B4C">
        <w:rPr>
          <w:b/>
        </w:rPr>
        <w:t>THEREFORE,</w:t>
      </w:r>
    </w:p>
    <w:p w14:paraId="0FA1092D" w14:textId="3A0BA492" w:rsidR="007E1679" w:rsidRPr="002548BE" w:rsidRDefault="007E1679" w:rsidP="00AA2116">
      <w:pPr>
        <w:rPr>
          <w:b/>
          <w:bCs/>
        </w:rPr>
      </w:pPr>
      <w:r w:rsidRPr="002548BE">
        <w:rPr>
          <w:b/>
          <w:bCs/>
        </w:rPr>
        <w:t>IT IS ORDERED:</w:t>
      </w:r>
    </w:p>
    <w:p w14:paraId="0FA1092E" w14:textId="77777777" w:rsidR="007E1679" w:rsidRPr="00186B4C" w:rsidRDefault="007E1679" w:rsidP="00AA2116"/>
    <w:p w14:paraId="0FA1092F" w14:textId="03D6FF22" w:rsidR="007E1679" w:rsidRPr="00186B4C" w:rsidRDefault="006C7777" w:rsidP="00AA2116">
      <w:r w:rsidRPr="00186B4C">
        <w:t>1.</w:t>
      </w:r>
      <w:r w:rsidRPr="00186B4C">
        <w:tab/>
      </w:r>
      <w:r w:rsidR="000E3740" w:rsidRPr="00186B4C">
        <w:t xml:space="preserve">That the </w:t>
      </w:r>
      <w:r w:rsidR="009D682A" w:rsidRPr="00186B4C">
        <w:t>2021</w:t>
      </w:r>
      <w:r w:rsidR="000E3740" w:rsidRPr="00186B4C">
        <w:t xml:space="preserve"> Technical Reference Manual update</w:t>
      </w:r>
      <w:r w:rsidR="00C40165" w:rsidRPr="00186B4C">
        <w:t>, as modified by this Order</w:t>
      </w:r>
      <w:r w:rsidR="008A579A" w:rsidRPr="00186B4C">
        <w:t>,</w:t>
      </w:r>
      <w:r w:rsidR="00C40165" w:rsidRPr="00186B4C">
        <w:t xml:space="preserve"> is </w:t>
      </w:r>
      <w:r w:rsidR="00235042" w:rsidRPr="00186B4C">
        <w:t xml:space="preserve">adopted and </w:t>
      </w:r>
      <w:r w:rsidR="00BA6FCF" w:rsidRPr="00186B4C">
        <w:t xml:space="preserve">replaces </w:t>
      </w:r>
      <w:r w:rsidR="00EA2D31" w:rsidRPr="00186B4C">
        <w:t>all prior versions of the Technical Reference Manual as of June 1, 202</w:t>
      </w:r>
      <w:r w:rsidR="002C7A1A">
        <w:t>1</w:t>
      </w:r>
      <w:r w:rsidR="00F226D8" w:rsidRPr="00186B4C">
        <w:t>.</w:t>
      </w:r>
    </w:p>
    <w:p w14:paraId="0FA10930" w14:textId="77777777" w:rsidR="0066156C" w:rsidRPr="00451F6A" w:rsidRDefault="0066156C" w:rsidP="00AA2116">
      <w:pPr>
        <w:pStyle w:val="ListParagraph"/>
        <w:rPr>
          <w:highlight w:val="yellow"/>
        </w:rPr>
      </w:pPr>
    </w:p>
    <w:p w14:paraId="0FA10931" w14:textId="7E5AC757" w:rsidR="000E3740" w:rsidRPr="0076411F" w:rsidRDefault="006C7777" w:rsidP="00AA2116">
      <w:r w:rsidRPr="0076411F">
        <w:t>2.</w:t>
      </w:r>
      <w:r w:rsidRPr="0076411F">
        <w:tab/>
      </w:r>
      <w:r w:rsidR="000E3740" w:rsidRPr="0076411F">
        <w:t xml:space="preserve">That a copy of this Order shall be served upon </w:t>
      </w:r>
      <w:r w:rsidRPr="0076411F">
        <w:t xml:space="preserve">all electric distribution companies, </w:t>
      </w:r>
      <w:r w:rsidR="000E3740" w:rsidRPr="0076411F">
        <w:t xml:space="preserve">the Office of Consumer Advocate, the Office of Small Business Advocate, the </w:t>
      </w:r>
      <w:r w:rsidR="00E45743" w:rsidRPr="0076411F">
        <w:t>Commission’s Bureau of Investigation and Enforcement</w:t>
      </w:r>
      <w:r w:rsidR="000E3740" w:rsidRPr="0076411F">
        <w:t xml:space="preserve">, the Pennsylvania Department of Environmental Protection and all parties who </w:t>
      </w:r>
      <w:r w:rsidR="00BA6FCF" w:rsidRPr="0076411F">
        <w:t>filed comments</w:t>
      </w:r>
      <w:r w:rsidR="000E3740" w:rsidRPr="0076411F">
        <w:t>.</w:t>
      </w:r>
    </w:p>
    <w:p w14:paraId="0FA10932" w14:textId="77777777" w:rsidR="000E3740" w:rsidRPr="0076411F" w:rsidRDefault="000E3740" w:rsidP="00AA2116"/>
    <w:p w14:paraId="0FA10933" w14:textId="7E113A47" w:rsidR="000E3740" w:rsidRPr="0076411F" w:rsidRDefault="006C7777" w:rsidP="00AA2116">
      <w:r w:rsidRPr="0076411F">
        <w:t>3.</w:t>
      </w:r>
      <w:r w:rsidRPr="0076411F">
        <w:tab/>
      </w:r>
      <w:r w:rsidR="000E3740" w:rsidRPr="0076411F">
        <w:t xml:space="preserve">That the </w:t>
      </w:r>
      <w:r w:rsidR="00DB7FE5" w:rsidRPr="0076411F">
        <w:t>Secretary</w:t>
      </w:r>
      <w:r w:rsidRPr="0076411F">
        <w:t xml:space="preserve"> </w:t>
      </w:r>
      <w:r w:rsidR="000E3740" w:rsidRPr="0076411F">
        <w:t xml:space="preserve">shall deposit a notice of this Order and </w:t>
      </w:r>
      <w:r w:rsidR="00CE39A1" w:rsidRPr="0076411F">
        <w:t>the</w:t>
      </w:r>
      <w:r w:rsidR="007009E3" w:rsidRPr="0076411F">
        <w:t xml:space="preserve"> </w:t>
      </w:r>
      <w:r w:rsidR="009D682A" w:rsidRPr="0076411F">
        <w:t xml:space="preserve">2021 </w:t>
      </w:r>
      <w:r w:rsidR="007009E3" w:rsidRPr="0076411F">
        <w:t xml:space="preserve">version of the </w:t>
      </w:r>
      <w:r w:rsidR="00BF7368" w:rsidRPr="0076411F">
        <w:t xml:space="preserve">Technical Reference Manual </w:t>
      </w:r>
      <w:r w:rsidR="000E3740" w:rsidRPr="0076411F">
        <w:t xml:space="preserve">with the Legislative Reference Bureau for publication in the </w:t>
      </w:r>
      <w:r w:rsidR="000E3740" w:rsidRPr="0076411F">
        <w:rPr>
          <w:i/>
        </w:rPr>
        <w:t>Pennsylvania Bulletin</w:t>
      </w:r>
      <w:r w:rsidR="000E3740" w:rsidRPr="0076411F">
        <w:t>.</w:t>
      </w:r>
    </w:p>
    <w:p w14:paraId="2D8BF39D" w14:textId="77777777" w:rsidR="006C7777" w:rsidRPr="0076411F" w:rsidRDefault="006C7777" w:rsidP="00AA2116"/>
    <w:p w14:paraId="0FA1093B" w14:textId="510464B5" w:rsidR="00910C12" w:rsidRPr="0076411F" w:rsidRDefault="00BC460C" w:rsidP="00AA2116">
      <w:r>
        <w:rPr>
          <w:noProof/>
        </w:rPr>
        <w:lastRenderedPageBreak/>
        <w:drawing>
          <wp:anchor distT="0" distB="0" distL="114300" distR="114300" simplePos="0" relativeHeight="251659264" behindDoc="1" locked="0" layoutInCell="1" allowOverlap="1" wp14:anchorId="5F41215C" wp14:editId="043E703B">
            <wp:simplePos x="0" y="0"/>
            <wp:positionH relativeFrom="column">
              <wp:posOffset>2733675</wp:posOffset>
            </wp:positionH>
            <wp:positionV relativeFrom="paragraph">
              <wp:posOffset>1111250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9A1" w:rsidRPr="0076411F">
        <w:t>4</w:t>
      </w:r>
      <w:r w:rsidR="00BF31E6" w:rsidRPr="0076411F">
        <w:t>.</w:t>
      </w:r>
      <w:r w:rsidR="00BF31E6" w:rsidRPr="0076411F">
        <w:tab/>
      </w:r>
      <w:r w:rsidR="00E01963" w:rsidRPr="0076411F">
        <w:t xml:space="preserve">That </w:t>
      </w:r>
      <w:r w:rsidR="001B7DE5" w:rsidRPr="0076411F">
        <w:t>this</w:t>
      </w:r>
      <w:r w:rsidR="00E01963" w:rsidRPr="0076411F">
        <w:t xml:space="preserve"> Order</w:t>
      </w:r>
      <w:r w:rsidR="00256852">
        <w:t xml:space="preserve"> and </w:t>
      </w:r>
      <w:r w:rsidR="007009E3" w:rsidRPr="0076411F">
        <w:t xml:space="preserve">the </w:t>
      </w:r>
      <w:r w:rsidR="009D682A" w:rsidRPr="0076411F">
        <w:t>2021</w:t>
      </w:r>
      <w:r w:rsidR="007009E3" w:rsidRPr="0076411F">
        <w:t xml:space="preserve"> </w:t>
      </w:r>
      <w:r w:rsidR="00A32402" w:rsidRPr="0076411F">
        <w:t>Technical Reference Manual</w:t>
      </w:r>
      <w:r w:rsidR="000E24DD">
        <w:t xml:space="preserve"> update</w:t>
      </w:r>
      <w:r w:rsidR="004768A9" w:rsidRPr="0076411F">
        <w:t>,</w:t>
      </w:r>
      <w:r w:rsidR="00E01963" w:rsidRPr="0076411F">
        <w:t xml:space="preserve"> </w:t>
      </w:r>
      <w:r w:rsidR="00256852">
        <w:t>as well</w:t>
      </w:r>
      <w:r w:rsidR="00824CEE">
        <w:t xml:space="preserve"> </w:t>
      </w:r>
      <w:r w:rsidR="00AB7774" w:rsidRPr="0076411F">
        <w:t>its appendices</w:t>
      </w:r>
      <w:r w:rsidR="00742B99" w:rsidRPr="0076411F">
        <w:t xml:space="preserve"> </w:t>
      </w:r>
      <w:r w:rsidR="00E01963" w:rsidRPr="0076411F">
        <w:t>be published on the Commission’s website</w:t>
      </w:r>
      <w:r w:rsidR="00DF5C3A" w:rsidRPr="0076411F">
        <w:t xml:space="preserve"> at</w:t>
      </w:r>
      <w:r w:rsidR="004F15CE" w:rsidRPr="0076411F">
        <w:t xml:space="preserve"> </w:t>
      </w:r>
      <w:hyperlink r:id="rId16" w:history="1">
        <w:r w:rsidR="004F15CE" w:rsidRPr="0076411F">
          <w:rPr>
            <w:rStyle w:val="Hyperlink"/>
            <w:szCs w:val="26"/>
          </w:rPr>
          <w:t>http://www.puc.pa.gov/filing_resources/issues_laws_regulations/act_129_information/technical_reference_manual.aspx</w:t>
        </w:r>
      </w:hyperlink>
      <w:r w:rsidR="00A0651F" w:rsidRPr="0076411F">
        <w:t xml:space="preserve">. </w:t>
      </w:r>
    </w:p>
    <w:p w14:paraId="0FA10940" w14:textId="78F74EE4" w:rsidR="00FA4295" w:rsidRPr="00DA0C20" w:rsidRDefault="00FA4295" w:rsidP="007F5365">
      <w:pPr>
        <w:pStyle w:val="p17"/>
        <w:rPr>
          <w:b/>
          <w:bCs/>
        </w:rPr>
      </w:pPr>
      <w:r w:rsidRPr="00DA0C20">
        <w:rPr>
          <w:b/>
          <w:bCs/>
        </w:rPr>
        <w:t>BY THE COMMISSION</w:t>
      </w:r>
    </w:p>
    <w:p w14:paraId="0FA10942" w14:textId="77777777" w:rsidR="00FA4295" w:rsidRPr="0076411F" w:rsidRDefault="00FA4295" w:rsidP="007F5365"/>
    <w:p w14:paraId="0FA10943" w14:textId="77777777" w:rsidR="00FA4295" w:rsidRPr="0076411F" w:rsidRDefault="00FA4295" w:rsidP="007F5365">
      <w:pPr>
        <w:pStyle w:val="p18"/>
      </w:pPr>
      <w:r w:rsidRPr="0076411F">
        <w:t>Rosemary Chiavetta</w:t>
      </w:r>
    </w:p>
    <w:p w14:paraId="0FA10944" w14:textId="77777777" w:rsidR="00FA4295" w:rsidRPr="0076411F" w:rsidRDefault="00FA4295" w:rsidP="007F5365">
      <w:pPr>
        <w:pStyle w:val="p18"/>
      </w:pPr>
      <w:r w:rsidRPr="0076411F">
        <w:t>Secretary</w:t>
      </w:r>
    </w:p>
    <w:p w14:paraId="0FA10945" w14:textId="54682EB7" w:rsidR="00FA4295" w:rsidRPr="0076411F" w:rsidRDefault="00FA4295" w:rsidP="007F5365"/>
    <w:p w14:paraId="0FA10946" w14:textId="77777777" w:rsidR="00FA4295" w:rsidRPr="0076411F" w:rsidRDefault="00FA4295" w:rsidP="007F5365">
      <w:pPr>
        <w:pStyle w:val="p14"/>
      </w:pPr>
      <w:r w:rsidRPr="0076411F">
        <w:t>(SEAL)</w:t>
      </w:r>
    </w:p>
    <w:p w14:paraId="0FA10947" w14:textId="77777777" w:rsidR="00FA4295" w:rsidRPr="0076411F" w:rsidRDefault="00FA4295" w:rsidP="007F5365"/>
    <w:p w14:paraId="0FA10948" w14:textId="1A24176C" w:rsidR="00FA4295" w:rsidRPr="0076411F" w:rsidRDefault="00FA4295" w:rsidP="007F5365">
      <w:pPr>
        <w:pStyle w:val="p14"/>
      </w:pPr>
      <w:r w:rsidRPr="0076411F">
        <w:t>ORDER ADOPTED:</w:t>
      </w:r>
      <w:r w:rsidR="00DB1416" w:rsidRPr="0076411F">
        <w:t xml:space="preserve"> </w:t>
      </w:r>
      <w:r w:rsidR="00B26532" w:rsidRPr="0076411F">
        <w:t xml:space="preserve">August </w:t>
      </w:r>
      <w:r w:rsidR="00020711" w:rsidRPr="0076411F">
        <w:t>8</w:t>
      </w:r>
      <w:r w:rsidR="00BF31E6" w:rsidRPr="0076411F">
        <w:t>, 2019</w:t>
      </w:r>
    </w:p>
    <w:p w14:paraId="1C166947" w14:textId="77777777" w:rsidR="00BA63A2" w:rsidRDefault="00BA63A2" w:rsidP="007F5365">
      <w:pPr>
        <w:pStyle w:val="p14"/>
      </w:pPr>
    </w:p>
    <w:p w14:paraId="0FA1094A" w14:textId="1BF5BD2A" w:rsidR="00621C57" w:rsidRPr="0098410B" w:rsidRDefault="00FA4295" w:rsidP="007F5365">
      <w:pPr>
        <w:pStyle w:val="p14"/>
      </w:pPr>
      <w:r w:rsidRPr="0076411F">
        <w:t>ORDER ENTERED:</w:t>
      </w:r>
      <w:r w:rsidR="00DB1416">
        <w:t xml:space="preserve"> </w:t>
      </w:r>
      <w:r w:rsidR="00BC460C">
        <w:t>August 8, 2019</w:t>
      </w:r>
      <w:bookmarkStart w:id="323" w:name="_GoBack"/>
      <w:bookmarkEnd w:id="323"/>
    </w:p>
    <w:sectPr w:rsidR="00621C57" w:rsidRPr="0098410B" w:rsidSect="00AB3C91">
      <w:headerReference w:type="default" r:id="rId17"/>
      <w:footerReference w:type="default" r:id="rId18"/>
      <w:pgSz w:w="12240" w:h="15840"/>
      <w:pgMar w:top="1440" w:right="1440" w:bottom="1170" w:left="144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6D089" w14:textId="77777777" w:rsidR="00763509" w:rsidRDefault="00763509" w:rsidP="00D5177F">
      <w:r>
        <w:separator/>
      </w:r>
    </w:p>
    <w:p w14:paraId="77DB0D7B" w14:textId="77777777" w:rsidR="00763509" w:rsidRDefault="00763509" w:rsidP="00D5177F"/>
  </w:endnote>
  <w:endnote w:type="continuationSeparator" w:id="0">
    <w:p w14:paraId="22D52BA2" w14:textId="77777777" w:rsidR="00763509" w:rsidRDefault="00763509" w:rsidP="00D5177F">
      <w:r>
        <w:continuationSeparator/>
      </w:r>
    </w:p>
    <w:p w14:paraId="66F7A8D6" w14:textId="77777777" w:rsidR="00763509" w:rsidRDefault="00763509" w:rsidP="00D5177F"/>
  </w:endnote>
  <w:endnote w:type="continuationNotice" w:id="1">
    <w:p w14:paraId="2F0A9332" w14:textId="77777777" w:rsidR="00763509" w:rsidRDefault="00763509" w:rsidP="00D5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0954" w14:textId="102D0B64" w:rsidR="007974C4" w:rsidRPr="005D6C1B" w:rsidRDefault="007974C4" w:rsidP="00AB3C91">
    <w:pPr>
      <w:pStyle w:val="Footer"/>
      <w:tabs>
        <w:tab w:val="clear" w:pos="4680"/>
      </w:tabs>
      <w:ind w:firstLine="0"/>
      <w:jc w:val="center"/>
    </w:pPr>
    <w:r w:rsidRPr="005D6C1B">
      <w:fldChar w:fldCharType="begin"/>
    </w:r>
    <w:r w:rsidRPr="005D6C1B">
      <w:instrText xml:space="preserve"> PAGE   \* MERGEFORMAT </w:instrText>
    </w:r>
    <w:r w:rsidRPr="005D6C1B">
      <w:fldChar w:fldCharType="separate"/>
    </w:r>
    <w:r>
      <w:rPr>
        <w:noProof/>
      </w:rPr>
      <w:t>iii</w:t>
    </w:r>
    <w:r w:rsidRPr="005D6C1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961554"/>
      <w:docPartObj>
        <w:docPartGallery w:val="Page Numbers (Bottom of Page)"/>
        <w:docPartUnique/>
      </w:docPartObj>
    </w:sdtPr>
    <w:sdtEndPr>
      <w:rPr>
        <w:noProof/>
      </w:rPr>
    </w:sdtEndPr>
    <w:sdtContent>
      <w:p w14:paraId="0FA10955" w14:textId="4EE4A307" w:rsidR="007974C4" w:rsidRPr="00AB3C91" w:rsidRDefault="00AB3C91" w:rsidP="00AB3C91">
        <w:pPr>
          <w:pStyle w:val="Footer"/>
          <w:tabs>
            <w:tab w:val="clear" w:pos="4680"/>
          </w:tabs>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0B1F" w14:textId="77777777" w:rsidR="00763509" w:rsidRPr="00A139B3" w:rsidRDefault="00763509" w:rsidP="00A139B3">
      <w:pPr>
        <w:ind w:firstLine="0"/>
      </w:pPr>
      <w:r>
        <w:t>_________________________</w:t>
      </w:r>
    </w:p>
  </w:footnote>
  <w:footnote w:type="continuationSeparator" w:id="0">
    <w:p w14:paraId="643BABC9" w14:textId="77777777" w:rsidR="00763509" w:rsidRDefault="00763509" w:rsidP="00D5177F">
      <w:r>
        <w:continuationSeparator/>
      </w:r>
    </w:p>
  </w:footnote>
  <w:footnote w:type="continuationNotice" w:id="1">
    <w:p w14:paraId="331BFD48" w14:textId="77777777" w:rsidR="00763509" w:rsidRDefault="00763509" w:rsidP="00D5177F"/>
  </w:footnote>
  <w:footnote w:id="2">
    <w:p w14:paraId="0FA10956" w14:textId="77777777" w:rsidR="007974C4" w:rsidRPr="00FE1911" w:rsidRDefault="007974C4" w:rsidP="00181F0F">
      <w:pPr>
        <w:pStyle w:val="Footnote"/>
      </w:pPr>
      <w:r w:rsidRPr="00FE1911">
        <w:rPr>
          <w:rStyle w:val="FootnoteReference"/>
          <w:szCs w:val="22"/>
        </w:rPr>
        <w:footnoteRef/>
      </w:r>
      <w:r w:rsidRPr="00FE1911">
        <w:t xml:space="preserve"> Order entered on October 3, 2005, at Docket No. M-00051865 (October 3, 2005 Order).</w:t>
      </w:r>
    </w:p>
  </w:footnote>
  <w:footnote w:id="3">
    <w:p w14:paraId="0FA10957" w14:textId="63A7B770" w:rsidR="007974C4" w:rsidRPr="00FE1911" w:rsidRDefault="007974C4" w:rsidP="00181F0F">
      <w:pPr>
        <w:pStyle w:val="Footnote"/>
      </w:pPr>
      <w:r w:rsidRPr="00FE1911">
        <w:rPr>
          <w:rStyle w:val="FootnoteReference"/>
          <w:szCs w:val="22"/>
        </w:rPr>
        <w:footnoteRef/>
      </w:r>
      <w:r w:rsidRPr="00FE1911">
        <w:t xml:space="preserve"> As of August 11, 2011, the Bureau of CEEP was eliminated and its functions and staff transferred to the newly created Bureau of Technical Utility Services (TUS).</w:t>
      </w:r>
      <w:r>
        <w:t xml:space="preserve"> </w:t>
      </w:r>
      <w:r w:rsidRPr="00FE1911">
        <w:rPr>
          <w:i/>
        </w:rPr>
        <w:t>See Implementation of Act 129 of 2008; Organization of Bureaus and Offices</w:t>
      </w:r>
      <w:r w:rsidRPr="00FE1911">
        <w:t>, Final Procedural Order, entered August 11, 2011, at Docket No. M</w:t>
      </w:r>
      <w:r>
        <w:noBreakHyphen/>
      </w:r>
      <w:r w:rsidRPr="00FE1911">
        <w:t>2008-2071852, at 4.</w:t>
      </w:r>
    </w:p>
  </w:footnote>
  <w:footnote w:id="4">
    <w:p w14:paraId="0FA10958" w14:textId="77777777" w:rsidR="007974C4" w:rsidRPr="00FE1911" w:rsidRDefault="007974C4" w:rsidP="00181F0F">
      <w:pPr>
        <w:pStyle w:val="Footnote"/>
      </w:pPr>
      <w:r w:rsidRPr="00FE1911">
        <w:rPr>
          <w:rStyle w:val="FootnoteReference"/>
          <w:szCs w:val="22"/>
        </w:rPr>
        <w:footnoteRef/>
      </w:r>
      <w:r w:rsidRPr="00FE1911">
        <w:t xml:space="preserve"> </w:t>
      </w:r>
      <w:r w:rsidRPr="00FE1911">
        <w:rPr>
          <w:i/>
        </w:rPr>
        <w:t>See</w:t>
      </w:r>
      <w:r w:rsidRPr="00FE1911">
        <w:t xml:space="preserve"> October 3, 2005 Order at 13.</w:t>
      </w:r>
    </w:p>
  </w:footnote>
  <w:footnote w:id="5">
    <w:p w14:paraId="0FA10959" w14:textId="77777777" w:rsidR="007974C4" w:rsidRPr="00FE1911" w:rsidRDefault="007974C4" w:rsidP="00181F0F">
      <w:pPr>
        <w:pStyle w:val="Footnote"/>
      </w:pPr>
      <w:r w:rsidRPr="00FE1911">
        <w:rPr>
          <w:rStyle w:val="FootnoteReference"/>
          <w:szCs w:val="22"/>
        </w:rPr>
        <w:footnoteRef/>
      </w:r>
      <w:r w:rsidRPr="00FE1911">
        <w:t xml:space="preserve"> </w:t>
      </w:r>
      <w:r w:rsidRPr="00FE1911">
        <w:rPr>
          <w:i/>
        </w:rPr>
        <w:t xml:space="preserve">See Energy Efficiency and Conservation Program </w:t>
      </w:r>
      <w:r w:rsidRPr="00FE1911">
        <w:t>Implementation Order, at Docket No. M</w:t>
      </w:r>
      <w:r>
        <w:noBreakHyphen/>
      </w:r>
      <w:r w:rsidRPr="00FE1911">
        <w:t>2008</w:t>
      </w:r>
      <w:r>
        <w:noBreakHyphen/>
      </w:r>
      <w:r w:rsidRPr="00FE1911">
        <w:t xml:space="preserve">2069887, entered January 16, 2009 (Phase I Implementation Order), at </w:t>
      </w:r>
      <w:r>
        <w:t>13.</w:t>
      </w:r>
    </w:p>
  </w:footnote>
  <w:footnote w:id="6">
    <w:p w14:paraId="3878AC4D" w14:textId="4238F05B" w:rsidR="007974C4" w:rsidRDefault="007974C4">
      <w:pPr>
        <w:pStyle w:val="FootnoteText"/>
      </w:pPr>
      <w:r>
        <w:rPr>
          <w:rStyle w:val="FootnoteReference"/>
        </w:rPr>
        <w:footnoteRef/>
      </w:r>
      <w:r>
        <w:t xml:space="preserve"> </w:t>
      </w:r>
      <w:r w:rsidRPr="009D6654">
        <w:rPr>
          <w:i/>
          <w:iCs/>
        </w:rPr>
        <w:t>See Implementation of the Alternative Energy Portfolio Standards Act of 2004:  Standards for the Participation of Demand Side Management Resources – Technical Reference Manual 2021 Update</w:t>
      </w:r>
      <w:r>
        <w:t>, Tentative Order at Docket No. M-2019-3006867, entered April 11, 2019.</w:t>
      </w:r>
    </w:p>
  </w:footnote>
  <w:footnote w:id="7">
    <w:p w14:paraId="0FA10961" w14:textId="2E504F9D" w:rsidR="007974C4" w:rsidRPr="00FE1911" w:rsidRDefault="007974C4" w:rsidP="00181F0F">
      <w:pPr>
        <w:pStyle w:val="Footnote"/>
      </w:pPr>
      <w:r w:rsidRPr="00FE1911">
        <w:rPr>
          <w:rStyle w:val="FootnoteReference"/>
          <w:szCs w:val="22"/>
        </w:rPr>
        <w:footnoteRef/>
      </w:r>
      <w:r w:rsidRPr="00FE1911">
        <w:t xml:space="preserve"> The PEG is chaired by staff of the Commission’s Bureau of Technical Utility Services and is comprised of representatives from the EDCs and the SWE for the purpose of encouraging discussion of EDC program-specific issues and associated </w:t>
      </w:r>
      <w:r>
        <w:t>evaluation, measurement, and verification</w:t>
      </w:r>
      <w:r w:rsidRPr="00FE1911">
        <w:t>.</w:t>
      </w:r>
    </w:p>
  </w:footnote>
  <w:footnote w:id="8">
    <w:p w14:paraId="78BB445D" w14:textId="43CEFD16" w:rsidR="007974C4" w:rsidRDefault="007974C4" w:rsidP="00181F0F">
      <w:pPr>
        <w:pStyle w:val="Footnote"/>
      </w:pPr>
      <w:r>
        <w:rPr>
          <w:rStyle w:val="FootnoteReference"/>
        </w:rPr>
        <w:footnoteRef/>
      </w:r>
      <w:r>
        <w:t xml:space="preserve"> National Solar Radiation Data Base. 1991 – 2005 Update: Typical Meteorological Year 3. Available at </w:t>
      </w:r>
      <w:hyperlink r:id="rId1" w:history="1">
        <w:r w:rsidRPr="00B141EB">
          <w:rPr>
            <w:rStyle w:val="Hyperlink"/>
          </w:rPr>
          <w:t>https://rredc.nrel.gov/solar/old_data/nsrdb/1991-2005/tmy3/by_state_and_city.html</w:t>
        </w:r>
      </w:hyperlink>
      <w:r>
        <w:rPr>
          <w:rStyle w:val="Hyperlink"/>
        </w:rPr>
        <w:t>.</w:t>
      </w:r>
      <w:r>
        <w:t xml:space="preserve"> </w:t>
      </w:r>
    </w:p>
  </w:footnote>
  <w:footnote w:id="9">
    <w:p w14:paraId="0D728FFF" w14:textId="3AFE716F" w:rsidR="007974C4" w:rsidRDefault="007974C4" w:rsidP="00181F0F">
      <w:pPr>
        <w:pStyle w:val="Footnote"/>
      </w:pPr>
      <w:r w:rsidRPr="66E8B1E4">
        <w:rPr>
          <w:rStyle w:val="FootnoteReference"/>
        </w:rPr>
        <w:footnoteRef/>
      </w:r>
      <w:r>
        <w:t xml:space="preserve"> </w:t>
      </w:r>
      <w:r w:rsidRPr="66E8B1E4">
        <w:rPr>
          <w:rStyle w:val="FootnoteTextChar"/>
        </w:rPr>
        <w:t>National Renewable Energy Laboratory, The Uniform Methods Project: Methods for Determining Energy Efficiency Savings for Specific Measures. Chapter 2: Commercial and Industrial Lighting Evaluation Protocol (NREL/SR-7A30-53827), April 2013, pg. 109.</w:t>
      </w:r>
    </w:p>
  </w:footnote>
  <w:footnote w:id="10">
    <w:p w14:paraId="00960F42" w14:textId="72FCAC2E" w:rsidR="007974C4" w:rsidRDefault="007974C4" w:rsidP="00181F0F">
      <w:pPr>
        <w:pStyle w:val="Footnote"/>
      </w:pPr>
      <w:r>
        <w:rPr>
          <w:rStyle w:val="FootnoteReference"/>
        </w:rPr>
        <w:footnoteRef/>
      </w:r>
      <w:r>
        <w:t xml:space="preserve"> </w:t>
      </w:r>
      <w:r w:rsidRPr="00271BDA">
        <w:rPr>
          <w:i/>
        </w:rPr>
        <w:t>Evaluation of the Weatherization Residential Assistance Partnership and Helps Programs (WRAP/Helps)</w:t>
      </w:r>
      <w:r w:rsidRPr="00271BDA">
        <w:t xml:space="preserve"> Middletown, CT: KEMA, 2010. Accessed July 30, 2015</w:t>
      </w:r>
      <w:r>
        <w:t xml:space="preserve">. Numbers </w:t>
      </w:r>
      <w:r w:rsidRPr="00271BDA">
        <w:t>a</w:t>
      </w:r>
      <w:r>
        <w:t>re</w:t>
      </w:r>
      <w:r w:rsidRPr="00271BDA">
        <w:t xml:space="preserve"> adjusted for relative HDD of Bridgeport/Hartford CT with the IL climate zones</w:t>
      </w:r>
      <w:r>
        <w:t xml:space="preserve">. </w:t>
      </w:r>
    </w:p>
  </w:footnote>
  <w:footnote w:id="11">
    <w:p w14:paraId="457E31A4" w14:textId="718C4825" w:rsidR="007974C4" w:rsidRDefault="007974C4" w:rsidP="00181F0F">
      <w:pPr>
        <w:pStyle w:val="Footnote"/>
      </w:pPr>
      <w:r>
        <w:rPr>
          <w:rStyle w:val="FootnoteReference"/>
        </w:rPr>
        <w:footnoteRef/>
      </w:r>
      <w:r>
        <w:t xml:space="preserve"> </w:t>
      </w:r>
      <w:hyperlink r:id="rId2" w:history="1">
        <w:r w:rsidRPr="009B5230">
          <w:rPr>
            <w:rStyle w:val="Hyperlink"/>
          </w:rPr>
          <w:t>http://mn.gov/commerce-stat/pdfs/card-report-energy-efficiency-behavorial-prog.pdf</w:t>
        </w:r>
      </w:hyperlink>
      <w:r>
        <w:t xml:space="preserve">   </w:t>
      </w:r>
    </w:p>
  </w:footnote>
  <w:footnote w:id="12">
    <w:p w14:paraId="5DD0EE6A" w14:textId="3540A281" w:rsidR="007974C4" w:rsidRDefault="007974C4">
      <w:pPr>
        <w:pStyle w:val="FootnoteText"/>
      </w:pPr>
      <w:r>
        <w:rPr>
          <w:rStyle w:val="FootnoteReference"/>
        </w:rPr>
        <w:footnoteRef/>
      </w:r>
      <w:r>
        <w:t xml:space="preserve"> This was Section 2.2.3 of the tentative 2021 Manual.  The Commission combined this measure protocol with Section 2.2.1 – Electric HVAC.</w:t>
      </w:r>
    </w:p>
  </w:footnote>
  <w:footnote w:id="13">
    <w:p w14:paraId="3DD6D708" w14:textId="5BFA415F" w:rsidR="007974C4" w:rsidRDefault="007974C4">
      <w:pPr>
        <w:pStyle w:val="FootnoteText"/>
      </w:pPr>
      <w:r>
        <w:rPr>
          <w:rStyle w:val="FootnoteReference"/>
        </w:rPr>
        <w:footnoteRef/>
      </w:r>
      <w:r>
        <w:t xml:space="preserve"> This was Section 2.6.4 of the tentative 2021 Manual.  The Commission combined this measure protocol with Section 2.6.7 – Crawl Space Wall Insulation.</w:t>
      </w:r>
    </w:p>
  </w:footnote>
  <w:footnote w:id="14">
    <w:p w14:paraId="6C6C1415" w14:textId="18BE5E29" w:rsidR="007974C4" w:rsidRDefault="007974C4" w:rsidP="00707482">
      <w:pPr>
        <w:pStyle w:val="FootnoteText"/>
      </w:pPr>
      <w:r>
        <w:rPr>
          <w:rStyle w:val="FootnoteReference"/>
        </w:rPr>
        <w:footnoteRef/>
      </w:r>
      <w:r>
        <w:t xml:space="preserve"> This was Section 2.7.3 in the tentative 2021 Manual.  The Commission combined this measure protocol with Section 2.6.3 – Residential New Construction.</w:t>
      </w:r>
    </w:p>
  </w:footnote>
  <w:footnote w:id="15">
    <w:p w14:paraId="094B49EA" w14:textId="77777777" w:rsidR="007974C4" w:rsidRDefault="007974C4" w:rsidP="00707482">
      <w:pPr>
        <w:pStyle w:val="Footnote"/>
      </w:pPr>
      <w:r>
        <w:rPr>
          <w:rStyle w:val="FootnoteReference"/>
        </w:rPr>
        <w:footnoteRef/>
      </w:r>
      <w:r>
        <w:t xml:space="preserve"> </w:t>
      </w:r>
      <w:r w:rsidRPr="00DD5555">
        <w:t xml:space="preserve">EPA ENERGY STAR Multifamily New Construction Program Decision Tree, Version 1.3. </w:t>
      </w:r>
      <w:hyperlink r:id="rId3" w:history="1">
        <w:r w:rsidRPr="00DD5555">
          <w:rPr>
            <w:rStyle w:val="Hyperlink"/>
          </w:rPr>
          <w:t>https://www.energystar.gov/sites/default/files/asset/document/MFHR%20Flowchart_v1.3.pdf</w:t>
        </w:r>
      </w:hyperlink>
    </w:p>
  </w:footnote>
  <w:footnote w:id="16">
    <w:p w14:paraId="285F5938" w14:textId="77777777" w:rsidR="007974C4" w:rsidRDefault="007974C4" w:rsidP="00707482">
      <w:pPr>
        <w:pStyle w:val="Footnote"/>
      </w:pPr>
      <w:r>
        <w:rPr>
          <w:rStyle w:val="FootnoteReference"/>
        </w:rPr>
        <w:footnoteRef/>
      </w:r>
      <w:r>
        <w:t xml:space="preserve"> Per ASHRAE 62.2-2010, occupiable space is any enclosed space inside the pressure boundary and intended for human activities or continual human occupancy, including, but not limited </w:t>
      </w:r>
      <w:r w:rsidRPr="00D5200B">
        <w:t>to, areas for living, sleeping, dining, and cooking; and toilets, closets, halls, storage and utility areas, and laundry areas</w:t>
      </w:r>
      <w:r>
        <w:t>.</w:t>
      </w:r>
    </w:p>
  </w:footnote>
  <w:footnote w:id="17">
    <w:p w14:paraId="6CEE908F" w14:textId="77777777" w:rsidR="007974C4" w:rsidRDefault="007974C4" w:rsidP="00707482">
      <w:pPr>
        <w:pStyle w:val="Footnote"/>
      </w:pPr>
      <w:r>
        <w:rPr>
          <w:rStyle w:val="FootnoteReference"/>
        </w:rPr>
        <w:footnoteRef/>
      </w:r>
      <w:r>
        <w:t xml:space="preserve"> For mixed-use buildings, exclude the retail/commercial area when determining the square footage of the building.</w:t>
      </w:r>
    </w:p>
  </w:footnote>
  <w:footnote w:id="18">
    <w:p w14:paraId="172CA846" w14:textId="77777777" w:rsidR="007974C4" w:rsidRDefault="007974C4" w:rsidP="00707482">
      <w:pPr>
        <w:pStyle w:val="Footnote"/>
      </w:pPr>
      <w:r>
        <w:rPr>
          <w:rStyle w:val="FootnoteReference"/>
        </w:rPr>
        <w:footnoteRef/>
      </w:r>
      <w:r>
        <w:t xml:space="preserve"> </w:t>
      </w:r>
      <w:r w:rsidRPr="0045337C">
        <w:t>At the time of publication, RESNET standards for multifamily inspection and sampling were still under development, though they are expected to be adopted before th</w:t>
      </w:r>
      <w:r>
        <w:t>e 2021</w:t>
      </w:r>
      <w:r w:rsidRPr="0045337C">
        <w:t xml:space="preserve"> TRM takes effect. See </w:t>
      </w:r>
      <w:hyperlink r:id="rId4" w:history="1">
        <w:r w:rsidRPr="0045337C">
          <w:rPr>
            <w:rStyle w:val="Hyperlink"/>
          </w:rPr>
          <w:t>http://conference2018.resnet.us/data/energymeetings/presentations/How%20Standards%20are%20Evolving%20to%20Better%20Address%20Multifamily%20Ratings%20.pdf</w:t>
        </w:r>
      </w:hyperlink>
    </w:p>
  </w:footnote>
  <w:footnote w:id="19">
    <w:p w14:paraId="341ECFF2" w14:textId="2A69CC69" w:rsidR="007974C4" w:rsidRDefault="007974C4" w:rsidP="00181F0F">
      <w:pPr>
        <w:pStyle w:val="Footnote"/>
      </w:pPr>
      <w:r w:rsidRPr="66E8B1E4">
        <w:rPr>
          <w:rStyle w:val="FootnoteReference"/>
        </w:rPr>
        <w:footnoteRef/>
      </w:r>
      <w:r>
        <w:t xml:space="preserve"> </w:t>
      </w:r>
      <w:r w:rsidRPr="66E8B1E4">
        <w:rPr>
          <w:rStyle w:val="FootnoteTextChar"/>
        </w:rPr>
        <w:t xml:space="preserve">See </w:t>
      </w:r>
      <w:hyperlink r:id="rId5" w:history="1">
        <w:r w:rsidRPr="009B5230">
          <w:rPr>
            <w:rStyle w:val="Hyperlink"/>
          </w:rPr>
          <w:t>https://appliance-standards.org/sites/default/files/Fact_Sheet_Who_Opposes_DOE_Light_Bulb_Rollback_Final1.pdf</w:t>
        </w:r>
      </w:hyperlink>
      <w:r>
        <w:rPr>
          <w:rStyle w:val="FootnoteTextChar"/>
        </w:rPr>
        <w:t xml:space="preserve"> </w:t>
      </w:r>
    </w:p>
    <w:p w14:paraId="0C872BA1" w14:textId="4069EAEB" w:rsidR="007974C4" w:rsidRDefault="007974C4" w:rsidP="00D5177F"/>
  </w:footnote>
  <w:footnote w:id="20">
    <w:p w14:paraId="38F0C89B" w14:textId="50AACB25" w:rsidR="007974C4" w:rsidRDefault="007974C4" w:rsidP="00181F0F">
      <w:pPr>
        <w:pStyle w:val="Footnote"/>
      </w:pPr>
      <w:r>
        <w:rPr>
          <w:rStyle w:val="FootnoteReference"/>
        </w:rPr>
        <w:footnoteRef/>
      </w:r>
      <w:r>
        <w:t xml:space="preserve"> Cas</w:t>
      </w:r>
      <w:r w:rsidRPr="00D22146">
        <w:t xml:space="preserve">cade Energy, Prepared for Regional Technical Forum. Standard Savings Estimation Protocol for Ultra-Premium Efficiency Motors. November 2012. Load factor for air compressors and average motor efficiency. </w:t>
      </w:r>
      <w:hyperlink r:id="rId6" w:history="1">
        <w:r w:rsidRPr="001C290F">
          <w:rPr>
            <w:rStyle w:val="Hyperlink"/>
          </w:rPr>
          <w:t>https://rtf.nwcouncil.org/meeting/rtf-meeting-november-14-2012</w:t>
        </w:r>
      </w:hyperlink>
    </w:p>
  </w:footnote>
  <w:footnote w:id="21">
    <w:p w14:paraId="3DE670FB" w14:textId="77777777" w:rsidR="007974C4" w:rsidRDefault="007974C4" w:rsidP="00181F0F">
      <w:pPr>
        <w:pStyle w:val="Footnote"/>
      </w:pPr>
      <w:r>
        <w:rPr>
          <w:rStyle w:val="FootnoteReference"/>
        </w:rPr>
        <w:footnoteRef/>
      </w:r>
      <w:r>
        <w:t xml:space="preserve"> 2019 Illinois Statewide Technical Reference Manual for Energy Efficiency. Version 7. Volume 2: Commercial and Industrial Measures. September 2018. 4.8.9 High Frequency Battery Chargers. </w:t>
      </w:r>
      <w:hyperlink r:id="rId7" w:history="1">
        <w:r w:rsidRPr="0014210B">
          <w:rPr>
            <w:rStyle w:val="Hyperlink"/>
          </w:rPr>
          <w:t>http://ilsagfiles.org/SAG_files/Technical_Reference_Manual/Version_7/Final_9-28-18/IL-TRM_Effective_010119_v7.0_Vol_2_C_and_I_092818_Final.pdf</w:t>
        </w:r>
      </w:hyperlink>
      <w:r>
        <w:t xml:space="preserve"> </w:t>
      </w:r>
    </w:p>
  </w:footnote>
  <w:footnote w:id="22">
    <w:p w14:paraId="77E16D7A" w14:textId="36E3CD02" w:rsidR="007974C4" w:rsidRDefault="007974C4" w:rsidP="00ED0AC9">
      <w:pPr>
        <w:pStyle w:val="Footnote"/>
      </w:pPr>
      <w:r>
        <w:rPr>
          <w:rStyle w:val="FootnoteReference"/>
        </w:rPr>
        <w:footnoteRef/>
      </w:r>
      <w:r>
        <w:t xml:space="preserve"> </w:t>
      </w:r>
      <w:r w:rsidRPr="00ED0AC9">
        <w:rPr>
          <w:i/>
          <w:iCs/>
        </w:rPr>
        <w:t>Id</w:t>
      </w:r>
      <w:r>
        <w:t>.</w:t>
      </w:r>
    </w:p>
  </w:footnote>
  <w:footnote w:id="23">
    <w:p w14:paraId="1E31D636" w14:textId="341E4236" w:rsidR="007974C4" w:rsidRPr="002B7604" w:rsidRDefault="007974C4" w:rsidP="00ED0AC9">
      <w:pPr>
        <w:pStyle w:val="Footnote"/>
      </w:pPr>
      <w:r>
        <w:rPr>
          <w:rStyle w:val="FootnoteReference"/>
        </w:rPr>
        <w:footnoteRef/>
      </w:r>
      <w:r>
        <w:t xml:space="preserve"> </w:t>
      </w:r>
      <w:r w:rsidRPr="002B7604">
        <w:t>Pacific Gas &amp; Electric, “Emerging Technologies Program Application Assessment Report #0808</w:t>
      </w:r>
      <w:r>
        <w:t>,</w:t>
      </w:r>
      <w:r w:rsidRPr="002B7604">
        <w:t>” Industrial Battery Charger Energy Savings Opportunities. May 29, 2009. See discussion below Table 7.</w:t>
      </w:r>
    </w:p>
  </w:footnote>
  <w:footnote w:id="24">
    <w:p w14:paraId="6FE0F8DC" w14:textId="1914B06C" w:rsidR="007974C4" w:rsidRDefault="007974C4" w:rsidP="00181F0F">
      <w:pPr>
        <w:pStyle w:val="Footnote"/>
      </w:pPr>
      <w:r>
        <w:rPr>
          <w:rStyle w:val="FootnoteReference"/>
        </w:rPr>
        <w:footnoteRef/>
      </w:r>
      <w:r>
        <w:t xml:space="preserve"> </w:t>
      </w:r>
      <w:r w:rsidRPr="00945755">
        <w:rPr>
          <w:i/>
        </w:rPr>
        <w:t>See</w:t>
      </w:r>
      <w:r>
        <w:t xml:space="preserve"> Section 2.1.1 – ENERGY STAR Lighting of the 2016 TRM, page 17.</w:t>
      </w:r>
    </w:p>
  </w:footnote>
  <w:footnote w:id="25">
    <w:p w14:paraId="09413779" w14:textId="083BE175" w:rsidR="007974C4" w:rsidRDefault="007974C4" w:rsidP="00901790">
      <w:pPr>
        <w:pStyle w:val="FootnoteText"/>
      </w:pPr>
      <w:r>
        <w:rPr>
          <w:rStyle w:val="FootnoteReference"/>
        </w:rPr>
        <w:footnoteRef/>
      </w:r>
      <w:r>
        <w:t xml:space="preserve"> </w:t>
      </w:r>
      <w:r w:rsidRPr="00E173E7">
        <w:t>https://www1.eere.energy.gov/buildings/appliance_standards/standards.aspx?productid=4</w:t>
      </w:r>
    </w:p>
  </w:footnote>
  <w:footnote w:id="26">
    <w:p w14:paraId="40F3396B" w14:textId="7F4BA02B" w:rsidR="007974C4" w:rsidRDefault="007974C4" w:rsidP="00181F0F">
      <w:pPr>
        <w:pStyle w:val="Footnote"/>
      </w:pPr>
      <w:r w:rsidRPr="66E8B1E4">
        <w:rPr>
          <w:rStyle w:val="FootnoteReference"/>
        </w:rPr>
        <w:footnoteRef/>
      </w:r>
      <w:r>
        <w:t xml:space="preserve"> </w:t>
      </w:r>
      <w:r w:rsidRPr="000545A0">
        <w:t>See</w:t>
      </w:r>
      <w:r w:rsidRPr="66E8B1E4">
        <w:rPr>
          <w:rStyle w:val="FootnoteTextChar"/>
        </w:rPr>
        <w:t xml:space="preserve"> </w:t>
      </w:r>
      <w:hyperlink r:id="rId8" w:history="1">
        <w:r w:rsidRPr="009B5230">
          <w:rPr>
            <w:rStyle w:val="Hyperlink"/>
          </w:rPr>
          <w:t>https://appliance-standards.org/sites/default/files/Fact_Sheet_Who_Opposes_DOE_Light_Bulb_Rollback_Final1.pdf</w:t>
        </w:r>
      </w:hyperlink>
      <w:r>
        <w:rPr>
          <w:rStyle w:val="FootnoteTextChar"/>
        </w:rPr>
        <w:t xml:space="preserve"> </w:t>
      </w:r>
    </w:p>
  </w:footnote>
  <w:footnote w:id="27">
    <w:p w14:paraId="3F0576C5" w14:textId="310E7FB3" w:rsidR="007974C4" w:rsidRDefault="007974C4" w:rsidP="00181F0F">
      <w:pPr>
        <w:pStyle w:val="Footnote"/>
      </w:pPr>
      <w:r>
        <w:rPr>
          <w:rStyle w:val="FootnoteReference"/>
        </w:rPr>
        <w:footnoteRef/>
      </w:r>
      <w:r>
        <w:t xml:space="preserve"> Reflector and other specialty lamp types were found in 42% of sockets in the</w:t>
      </w:r>
      <w:r w:rsidRPr="00F253F1">
        <w:t xml:space="preserve"> </w:t>
      </w:r>
      <w:r w:rsidRPr="001323BE">
        <w:t>2018 Pennsylvania Residential Baseline Study</w:t>
      </w:r>
      <w:r>
        <w:t>.</w:t>
      </w:r>
    </w:p>
  </w:footnote>
  <w:footnote w:id="28">
    <w:p w14:paraId="17273171" w14:textId="29AC9E6C" w:rsidR="007974C4" w:rsidRDefault="007974C4" w:rsidP="00181F0F">
      <w:pPr>
        <w:pStyle w:val="Footnote"/>
      </w:pPr>
      <w:r>
        <w:rPr>
          <w:rStyle w:val="FootnoteReference"/>
        </w:rPr>
        <w:footnoteRef/>
      </w:r>
      <w:r>
        <w:t xml:space="preserve"> U.S. DOE Appliance and Equipment </w:t>
      </w:r>
      <w:r w:rsidRPr="00181F0F">
        <w:t>Standards</w:t>
      </w:r>
      <w:r>
        <w:t xml:space="preserve"> Rulemakings and Notices, </w:t>
      </w:r>
      <w:hyperlink r:id="rId9" w:history="1">
        <w:r w:rsidRPr="009B5230">
          <w:rPr>
            <w:rStyle w:val="Hyperlink"/>
          </w:rPr>
          <w:t>https://www1.eere.energy.gov/buildings/appliance_standards/standards.aspx?productid=4</w:t>
        </w:r>
      </w:hyperlink>
      <w:r>
        <w:t xml:space="preserve"> </w:t>
      </w:r>
    </w:p>
  </w:footnote>
  <w:footnote w:id="29">
    <w:p w14:paraId="73E30758" w14:textId="467AB677" w:rsidR="007974C4" w:rsidRDefault="007974C4" w:rsidP="00181F0F">
      <w:pPr>
        <w:pStyle w:val="Footnote"/>
      </w:pPr>
      <w:r>
        <w:rPr>
          <w:rStyle w:val="FootnoteReference"/>
        </w:rPr>
        <w:footnoteRef/>
      </w:r>
      <w:r>
        <w:t xml:space="preserve"> </w:t>
      </w:r>
      <w:r w:rsidRPr="00FE1911">
        <w:rPr>
          <w:i/>
        </w:rPr>
        <w:t>See</w:t>
      </w:r>
      <w:r w:rsidRPr="00FE1911">
        <w:t xml:space="preserve"> Section 2.</w:t>
      </w:r>
      <w:r>
        <w:t>1.5</w:t>
      </w:r>
      <w:r w:rsidRPr="00FE1911">
        <w:t xml:space="preserve"> – </w:t>
      </w:r>
      <w:r>
        <w:t>Holiday Lights</w:t>
      </w:r>
      <w:r w:rsidRPr="00FE1911">
        <w:t xml:space="preserve"> of the 201</w:t>
      </w:r>
      <w:r>
        <w:t>6</w:t>
      </w:r>
      <w:r w:rsidRPr="00FE1911">
        <w:t xml:space="preserve"> TRM</w:t>
      </w:r>
      <w:r>
        <w:t>, page 31</w:t>
      </w:r>
      <w:r w:rsidRPr="00FE1911">
        <w:t>.</w:t>
      </w:r>
    </w:p>
  </w:footnote>
  <w:footnote w:id="30">
    <w:p w14:paraId="3EB7003C" w14:textId="624A1F2F" w:rsidR="007974C4" w:rsidRPr="00FE1911" w:rsidRDefault="007974C4" w:rsidP="00181F0F">
      <w:pPr>
        <w:pStyle w:val="Footnote"/>
      </w:pPr>
      <w:r w:rsidRPr="00FE1911">
        <w:rPr>
          <w:rStyle w:val="FootnoteReference"/>
          <w:szCs w:val="22"/>
        </w:rPr>
        <w:footnoteRef/>
      </w:r>
      <w:r w:rsidRPr="00FE1911">
        <w:t xml:space="preserve"> </w:t>
      </w:r>
      <w:r w:rsidRPr="00FE1911">
        <w:rPr>
          <w:i/>
        </w:rPr>
        <w:t>See</w:t>
      </w:r>
      <w:r w:rsidRPr="00FE1911">
        <w:t xml:space="preserve"> Section 2.2.1 – Electric HVAC of the 201</w:t>
      </w:r>
      <w:r>
        <w:t>6</w:t>
      </w:r>
      <w:r w:rsidRPr="00FE1911">
        <w:t xml:space="preserve"> TRM</w:t>
      </w:r>
      <w:r>
        <w:t>, page 34</w:t>
      </w:r>
      <w:r w:rsidRPr="00FE1911">
        <w:t>.</w:t>
      </w:r>
    </w:p>
  </w:footnote>
  <w:footnote w:id="31">
    <w:p w14:paraId="0D90C2CF" w14:textId="3CAED7E6" w:rsidR="007974C4" w:rsidRPr="00DA2B94" w:rsidRDefault="007974C4" w:rsidP="00181F0F">
      <w:pPr>
        <w:pStyle w:val="Footnote"/>
      </w:pPr>
      <w:r>
        <w:rPr>
          <w:rStyle w:val="FootnoteReference"/>
        </w:rPr>
        <w:footnoteRef/>
      </w:r>
      <w:r>
        <w:t xml:space="preserve"> </w:t>
      </w:r>
      <w:r w:rsidRPr="001646BD">
        <w:rPr>
          <w:i/>
        </w:rPr>
        <w:t>See</w:t>
      </w:r>
      <w:r w:rsidRPr="00DA2B94">
        <w:rPr>
          <w:i/>
        </w:rPr>
        <w:t xml:space="preserve"> </w:t>
      </w:r>
      <w:r w:rsidRPr="00DA2B94">
        <w:t>Section 2.2.10</w:t>
      </w:r>
      <w:r w:rsidRPr="00FE1911">
        <w:rPr>
          <w:szCs w:val="22"/>
        </w:rPr>
        <w:t xml:space="preserve"> –</w:t>
      </w:r>
      <w:r>
        <w:rPr>
          <w:szCs w:val="22"/>
        </w:rPr>
        <w:t xml:space="preserve"> </w:t>
      </w:r>
      <w:r w:rsidRPr="00DA2B94">
        <w:t xml:space="preserve">Packaged Terminal Systems </w:t>
      </w:r>
      <w:r>
        <w:t xml:space="preserve">of the 2016 TRM, page 83. </w:t>
      </w:r>
    </w:p>
  </w:footnote>
  <w:footnote w:id="32">
    <w:p w14:paraId="3CE73540" w14:textId="7101EADA" w:rsidR="007974C4" w:rsidRPr="00D84586" w:rsidRDefault="007974C4" w:rsidP="00181F0F">
      <w:pPr>
        <w:pStyle w:val="Footnote"/>
      </w:pPr>
      <w:r w:rsidRPr="00D84586">
        <w:rPr>
          <w:rStyle w:val="FootnoteReference"/>
        </w:rPr>
        <w:footnoteRef/>
      </w:r>
      <w:r w:rsidRPr="00D84586">
        <w:t xml:space="preserve"> </w:t>
      </w:r>
      <w:r w:rsidRPr="001646BD">
        <w:rPr>
          <w:i/>
        </w:rPr>
        <w:t>See</w:t>
      </w:r>
      <w:r w:rsidRPr="00D84586">
        <w:t xml:space="preserve"> Section </w:t>
      </w:r>
      <w:r>
        <w:t>2.2.</w:t>
      </w:r>
      <w:r w:rsidRPr="00D84586">
        <w:t>3 – Ductless Mini-</w:t>
      </w:r>
      <w:r>
        <w:t>s</w:t>
      </w:r>
      <w:r w:rsidRPr="00D84586">
        <w:t>plit Heat Pumps</w:t>
      </w:r>
      <w:r>
        <w:t xml:space="preserve"> of the 2016 TRM, page 51.</w:t>
      </w:r>
    </w:p>
  </w:footnote>
  <w:footnote w:id="33">
    <w:p w14:paraId="0CF2B16B" w14:textId="7A2AB3E8" w:rsidR="007974C4" w:rsidRPr="00791690" w:rsidRDefault="007974C4" w:rsidP="00181F0F">
      <w:pPr>
        <w:pStyle w:val="Footnote"/>
      </w:pPr>
      <w:r>
        <w:rPr>
          <w:rStyle w:val="FootnoteReference"/>
        </w:rPr>
        <w:footnoteRef/>
      </w:r>
      <w:r>
        <w:t xml:space="preserve"> </w:t>
      </w:r>
      <w:r w:rsidRPr="001646BD">
        <w:rPr>
          <w:i/>
        </w:rPr>
        <w:t>See</w:t>
      </w:r>
      <w:r w:rsidRPr="00D84586">
        <w:t xml:space="preserve"> Section </w:t>
      </w:r>
      <w:r>
        <w:t>2.2.4</w:t>
      </w:r>
      <w:r w:rsidRPr="00D84586">
        <w:t xml:space="preserve"> – </w:t>
      </w:r>
      <w:r>
        <w:t>ENERGY STAR Room Air Conditioners of the 2016 TRM, page 57.</w:t>
      </w:r>
    </w:p>
  </w:footnote>
  <w:footnote w:id="34">
    <w:p w14:paraId="1F8CA2EB" w14:textId="041895F2" w:rsidR="007974C4" w:rsidRDefault="007974C4" w:rsidP="00181F0F">
      <w:pPr>
        <w:pStyle w:val="Footnote"/>
      </w:pPr>
      <w:r>
        <w:rPr>
          <w:rStyle w:val="FootnoteReference"/>
        </w:rPr>
        <w:footnoteRef/>
      </w:r>
      <w:r>
        <w:t xml:space="preserve"> </w:t>
      </w:r>
      <w:r w:rsidRPr="001646BD">
        <w:rPr>
          <w:i/>
        </w:rPr>
        <w:t>See</w:t>
      </w:r>
      <w:r w:rsidRPr="00D84586">
        <w:t xml:space="preserve"> Section </w:t>
      </w:r>
      <w:r>
        <w:t>2.2.6</w:t>
      </w:r>
      <w:r w:rsidRPr="00D84586">
        <w:t xml:space="preserve"> – </w:t>
      </w:r>
      <w:r>
        <w:t>Duct Sealing of the 2016 TRM, page 67.</w:t>
      </w:r>
    </w:p>
  </w:footnote>
  <w:footnote w:id="35">
    <w:p w14:paraId="6BDD5E4A" w14:textId="639DD3B5" w:rsidR="007974C4" w:rsidRDefault="007974C4" w:rsidP="00181F0F">
      <w:pPr>
        <w:pStyle w:val="Footnote"/>
      </w:pPr>
      <w:r>
        <w:rPr>
          <w:rStyle w:val="FootnoteReference"/>
        </w:rPr>
        <w:footnoteRef/>
      </w:r>
      <w:r>
        <w:t xml:space="preserve"> </w:t>
      </w:r>
      <w:r w:rsidRPr="001646BD">
        <w:rPr>
          <w:i/>
        </w:rPr>
        <w:t>See</w:t>
      </w:r>
      <w:r w:rsidRPr="00D84586">
        <w:t xml:space="preserve"> Section </w:t>
      </w:r>
      <w:r>
        <w:t>2.3.1</w:t>
      </w:r>
      <w:r w:rsidRPr="00D84586">
        <w:t xml:space="preserve"> – </w:t>
      </w:r>
      <w:r>
        <w:t xml:space="preserve">Heat Pump </w:t>
      </w:r>
      <w:r w:rsidRPr="00181F0F">
        <w:t>Water</w:t>
      </w:r>
      <w:r>
        <w:t xml:space="preserve"> Heaters of the 2016 TRM, page 87.</w:t>
      </w:r>
    </w:p>
  </w:footnote>
  <w:footnote w:id="36">
    <w:p w14:paraId="26771AD8" w14:textId="7BB0C51E" w:rsidR="007974C4" w:rsidRDefault="007974C4" w:rsidP="00181F0F">
      <w:pPr>
        <w:pStyle w:val="Footnote"/>
      </w:pPr>
      <w:r>
        <w:rPr>
          <w:rStyle w:val="FootnoteReference"/>
        </w:rPr>
        <w:footnoteRef/>
      </w:r>
      <w:r>
        <w:t xml:space="preserve"> </w:t>
      </w:r>
      <w:r w:rsidRPr="001646BD">
        <w:rPr>
          <w:i/>
        </w:rPr>
        <w:t>See</w:t>
      </w:r>
      <w:r w:rsidRPr="00D84586">
        <w:t xml:space="preserve"> Section </w:t>
      </w:r>
      <w:r>
        <w:t>2.3.2</w:t>
      </w:r>
      <w:r w:rsidRPr="00D84586">
        <w:t xml:space="preserve"> – </w:t>
      </w:r>
      <w:r>
        <w:t>Solar Water Heaters of the 2016 TRM, page 93.</w:t>
      </w:r>
    </w:p>
  </w:footnote>
  <w:footnote w:id="37">
    <w:p w14:paraId="424DA1EA" w14:textId="5D743F8A" w:rsidR="007974C4" w:rsidRDefault="007974C4" w:rsidP="00181F0F">
      <w:pPr>
        <w:pStyle w:val="Footnote"/>
      </w:pPr>
      <w:r>
        <w:rPr>
          <w:rStyle w:val="FootnoteReference"/>
        </w:rPr>
        <w:footnoteRef/>
      </w:r>
      <w:r>
        <w:t xml:space="preserve"> </w:t>
      </w:r>
      <w:r w:rsidRPr="001646BD">
        <w:rPr>
          <w:i/>
        </w:rPr>
        <w:t>See</w:t>
      </w:r>
      <w:r w:rsidRPr="00D84586">
        <w:t xml:space="preserve"> Section </w:t>
      </w:r>
      <w:r>
        <w:t>2.3.3</w:t>
      </w:r>
      <w:r w:rsidRPr="00D84586">
        <w:t xml:space="preserve"> – </w:t>
      </w:r>
      <w:r>
        <w:t>Fuel Switching: Electric Resistance to Fossil Fuel Water Heater of the 2016 TRM, page 96.</w:t>
      </w:r>
    </w:p>
  </w:footnote>
  <w:footnote w:id="38">
    <w:p w14:paraId="18AE4426" w14:textId="5C1E5321" w:rsidR="007974C4" w:rsidRPr="007752C0" w:rsidRDefault="007974C4" w:rsidP="00181F0F">
      <w:pPr>
        <w:pStyle w:val="Footnote"/>
      </w:pPr>
      <w:r w:rsidRPr="007752C0">
        <w:rPr>
          <w:rStyle w:val="FootnoteReference"/>
          <w:szCs w:val="22"/>
        </w:rPr>
        <w:footnoteRef/>
      </w:r>
      <w:r w:rsidRPr="007752C0">
        <w:t xml:space="preserve"> </w:t>
      </w:r>
      <w:r w:rsidRPr="001646BD">
        <w:rPr>
          <w:i/>
        </w:rPr>
        <w:t>See</w:t>
      </w:r>
      <w:r w:rsidRPr="007752C0">
        <w:t xml:space="preserve"> Section 2.3.</w:t>
      </w:r>
      <w:r>
        <w:t>6</w:t>
      </w:r>
      <w:r w:rsidRPr="007752C0">
        <w:t xml:space="preserve"> –</w:t>
      </w:r>
      <w:r>
        <w:t xml:space="preserve"> </w:t>
      </w:r>
      <w:r w:rsidRPr="007752C0">
        <w:t xml:space="preserve">Water Heater Temperature Setback </w:t>
      </w:r>
      <w:r>
        <w:t>of the 2016 TRM, page</w:t>
      </w:r>
      <w:r w:rsidRPr="007752C0">
        <w:t xml:space="preserve"> 109</w:t>
      </w:r>
      <w:r>
        <w:t>.</w:t>
      </w:r>
    </w:p>
  </w:footnote>
  <w:footnote w:id="39">
    <w:p w14:paraId="7079306E" w14:textId="3235F21E" w:rsidR="007974C4" w:rsidRPr="0076473F" w:rsidRDefault="007974C4" w:rsidP="00181F0F">
      <w:pPr>
        <w:pStyle w:val="Footnote"/>
      </w:pPr>
      <w:r w:rsidRPr="0076473F">
        <w:rPr>
          <w:rStyle w:val="FootnoteReference"/>
          <w:szCs w:val="22"/>
        </w:rPr>
        <w:footnoteRef/>
      </w:r>
      <w:r w:rsidRPr="0076473F">
        <w:t xml:space="preserve"> </w:t>
      </w:r>
      <w:r w:rsidRPr="001646BD">
        <w:rPr>
          <w:i/>
        </w:rPr>
        <w:t>See</w:t>
      </w:r>
      <w:r w:rsidRPr="0076473F">
        <w:t xml:space="preserve"> Section 2.3.</w:t>
      </w:r>
      <w:r>
        <w:t>7</w:t>
      </w:r>
      <w:r w:rsidRPr="0076473F">
        <w:t xml:space="preserve"> –</w:t>
      </w:r>
      <w:r>
        <w:t xml:space="preserve"> </w:t>
      </w:r>
      <w:r w:rsidRPr="0076473F">
        <w:t xml:space="preserve">Water Heater Pipe Insulation </w:t>
      </w:r>
      <w:r>
        <w:t>of the 2016 TRM, page</w:t>
      </w:r>
      <w:r w:rsidRPr="0076473F">
        <w:t xml:space="preserve"> 112</w:t>
      </w:r>
      <w:r>
        <w:t>.</w:t>
      </w:r>
    </w:p>
  </w:footnote>
  <w:footnote w:id="40">
    <w:p w14:paraId="000F9F37" w14:textId="1DDFC6C9" w:rsidR="007974C4" w:rsidRDefault="007974C4" w:rsidP="00181F0F">
      <w:pPr>
        <w:pStyle w:val="Footnote"/>
      </w:pPr>
      <w:r>
        <w:rPr>
          <w:rStyle w:val="FootnoteReference"/>
        </w:rPr>
        <w:footnoteRef/>
      </w:r>
      <w:r>
        <w:t xml:space="preserve"> R-3 pipe insulation is equivalent to ¾” of fiberglass insulation on a ½” pipe, for reference. </w:t>
      </w:r>
    </w:p>
  </w:footnote>
  <w:footnote w:id="41">
    <w:p w14:paraId="7443E8DD" w14:textId="719BA288" w:rsidR="007974C4" w:rsidRDefault="007974C4" w:rsidP="00181F0F">
      <w:pPr>
        <w:pStyle w:val="Footnote"/>
      </w:pPr>
      <w:r>
        <w:rPr>
          <w:rStyle w:val="FootnoteReference"/>
        </w:rPr>
        <w:footnoteRef/>
      </w:r>
      <w:r>
        <w:t xml:space="preserve"> </w:t>
      </w:r>
      <w:r w:rsidRPr="001646BD">
        <w:rPr>
          <w:i/>
        </w:rPr>
        <w:t>See</w:t>
      </w:r>
      <w:r w:rsidRPr="004B5660">
        <w:t xml:space="preserve"> Section 2.3.</w:t>
      </w:r>
      <w:r>
        <w:t>8</w:t>
      </w:r>
      <w:r w:rsidRPr="004B5660">
        <w:t xml:space="preserve"> – Low</w:t>
      </w:r>
      <w:r>
        <w:t>-f</w:t>
      </w:r>
      <w:r w:rsidRPr="004B5660">
        <w:t>low Faucet Aerators</w:t>
      </w:r>
      <w:r>
        <w:t xml:space="preserve"> of the 2016 TRM, page 114.</w:t>
      </w:r>
    </w:p>
  </w:footnote>
  <w:footnote w:id="42">
    <w:p w14:paraId="6C495EB1" w14:textId="7AB726A0" w:rsidR="007974C4" w:rsidRPr="00901D9E" w:rsidRDefault="007974C4" w:rsidP="00181F0F">
      <w:pPr>
        <w:pStyle w:val="Footnote"/>
      </w:pPr>
      <w:r w:rsidRPr="00901D9E">
        <w:rPr>
          <w:rStyle w:val="FootnoteReference"/>
          <w:szCs w:val="22"/>
        </w:rPr>
        <w:footnoteRef/>
      </w:r>
      <w:r w:rsidRPr="00901D9E">
        <w:t xml:space="preserve"> </w:t>
      </w:r>
      <w:r w:rsidRPr="001646BD">
        <w:rPr>
          <w:i/>
        </w:rPr>
        <w:t>See</w:t>
      </w:r>
      <w:r w:rsidRPr="00901D9E">
        <w:t xml:space="preserve"> Section 2.3.</w:t>
      </w:r>
      <w:r>
        <w:t>9</w:t>
      </w:r>
      <w:r w:rsidRPr="00901D9E">
        <w:t xml:space="preserve"> – Low</w:t>
      </w:r>
      <w:r>
        <w:t>-f</w:t>
      </w:r>
      <w:r w:rsidRPr="00901D9E">
        <w:t xml:space="preserve">low Showerheads </w:t>
      </w:r>
      <w:r>
        <w:t>of the 2016 TRM, page</w:t>
      </w:r>
      <w:r w:rsidRPr="00901D9E">
        <w:t xml:space="preserve"> 120</w:t>
      </w:r>
      <w:r>
        <w:t>.</w:t>
      </w:r>
    </w:p>
  </w:footnote>
  <w:footnote w:id="43">
    <w:p w14:paraId="55C2A89B" w14:textId="3B785962" w:rsidR="007974C4" w:rsidRDefault="007974C4" w:rsidP="00181F0F">
      <w:pPr>
        <w:pStyle w:val="Footnote"/>
      </w:pPr>
      <w:r>
        <w:rPr>
          <w:rStyle w:val="FootnoteReference"/>
        </w:rPr>
        <w:footnoteRef/>
      </w:r>
      <w:r>
        <w:t xml:space="preserve"> </w:t>
      </w:r>
      <w:r w:rsidRPr="001646BD">
        <w:rPr>
          <w:i/>
        </w:rPr>
        <w:t>See</w:t>
      </w:r>
      <w:r w:rsidRPr="00901D9E">
        <w:t xml:space="preserve"> Section 2.3.10 – </w:t>
      </w:r>
      <w:r w:rsidRPr="0061420C">
        <w:rPr>
          <w:szCs w:val="26"/>
        </w:rPr>
        <w:t>Thermostatic Shower Restriction Valve</w:t>
      </w:r>
      <w:r w:rsidRPr="0061420C">
        <w:rPr>
          <w:sz w:val="18"/>
        </w:rPr>
        <w:t xml:space="preserve"> </w:t>
      </w:r>
      <w:r>
        <w:t>of the 2016 TRM, page</w:t>
      </w:r>
      <w:r w:rsidRPr="00901D9E">
        <w:t xml:space="preserve"> 12</w:t>
      </w:r>
      <w:r>
        <w:t>5.</w:t>
      </w:r>
    </w:p>
  </w:footnote>
  <w:footnote w:id="44">
    <w:p w14:paraId="27CB2956" w14:textId="77777777" w:rsidR="007974C4" w:rsidRDefault="007974C4" w:rsidP="00181F0F">
      <w:pPr>
        <w:pStyle w:val="Footnote"/>
      </w:pPr>
      <w:r>
        <w:rPr>
          <w:rStyle w:val="FootnoteReference"/>
        </w:rPr>
        <w:footnoteRef/>
      </w:r>
      <w:r>
        <w:t xml:space="preserve"> </w:t>
      </w:r>
      <w:r w:rsidRPr="001B6770">
        <w:t xml:space="preserve">Using the associated algorithm this </w:t>
      </w:r>
      <w:r w:rsidRPr="00181F0F">
        <w:t>would</w:t>
      </w:r>
      <w:r w:rsidRPr="001B6770">
        <w:t xml:space="preserve"> actually equate to 18 years, though Act 129 savings can only be claimed for 15.</w:t>
      </w:r>
    </w:p>
  </w:footnote>
  <w:footnote w:id="45">
    <w:p w14:paraId="37FD98B7" w14:textId="4E309BCA" w:rsidR="007974C4" w:rsidRPr="007B4F63" w:rsidRDefault="007974C4" w:rsidP="00181F0F">
      <w:pPr>
        <w:pStyle w:val="Footnote"/>
      </w:pPr>
      <w:r>
        <w:rPr>
          <w:rStyle w:val="FootnoteReference"/>
        </w:rPr>
        <w:footnoteRef/>
      </w:r>
      <w:r>
        <w:t xml:space="preserve"> </w:t>
      </w:r>
      <w:r w:rsidRPr="001646BD">
        <w:rPr>
          <w:i/>
        </w:rPr>
        <w:t>See</w:t>
      </w:r>
      <w:r w:rsidRPr="00901D9E">
        <w:t xml:space="preserve"> Section 2.</w:t>
      </w:r>
      <w:r>
        <w:t>4</w:t>
      </w:r>
      <w:r w:rsidRPr="00901D9E">
        <w:t>.</w:t>
      </w:r>
      <w:r>
        <w:t>1</w:t>
      </w:r>
      <w:r w:rsidRPr="00901D9E">
        <w:t xml:space="preserve"> – </w:t>
      </w:r>
      <w:r>
        <w:t>ENERGY STAR Refrigerators</w:t>
      </w:r>
      <w:r w:rsidRPr="00901D9E">
        <w:t xml:space="preserve"> </w:t>
      </w:r>
      <w:r>
        <w:t>of the 2016 TRM, page</w:t>
      </w:r>
      <w:r w:rsidRPr="00901D9E">
        <w:t xml:space="preserve"> 12</w:t>
      </w:r>
      <w:r>
        <w:t>9.</w:t>
      </w:r>
    </w:p>
  </w:footnote>
  <w:footnote w:id="46">
    <w:p w14:paraId="16D88178" w14:textId="78821AB6" w:rsidR="007974C4" w:rsidRDefault="007974C4" w:rsidP="00181F0F">
      <w:pPr>
        <w:pStyle w:val="Footnote"/>
      </w:pPr>
      <w:r>
        <w:rPr>
          <w:rStyle w:val="FootnoteReference"/>
        </w:rPr>
        <w:footnoteRef/>
      </w:r>
      <w:r>
        <w:t xml:space="preserve"> </w:t>
      </w:r>
      <w:r w:rsidRPr="001646BD">
        <w:rPr>
          <w:i/>
        </w:rPr>
        <w:t>See</w:t>
      </w:r>
      <w:r w:rsidRPr="00901D9E">
        <w:t xml:space="preserve"> Section 2.</w:t>
      </w:r>
      <w:r>
        <w:t>4</w:t>
      </w:r>
      <w:r w:rsidRPr="00901D9E">
        <w:t>.</w:t>
      </w:r>
      <w:r>
        <w:t>2</w:t>
      </w:r>
      <w:r w:rsidRPr="00901D9E">
        <w:t xml:space="preserve"> – </w:t>
      </w:r>
      <w:r>
        <w:t>ENERGY STAR Freezers</w:t>
      </w:r>
      <w:r w:rsidRPr="00901D9E">
        <w:t xml:space="preserve"> </w:t>
      </w:r>
      <w:r>
        <w:t>of the 2016 TRM, page</w:t>
      </w:r>
      <w:r w:rsidRPr="00901D9E">
        <w:t xml:space="preserve"> 1</w:t>
      </w:r>
      <w:r>
        <w:t>37.</w:t>
      </w:r>
    </w:p>
  </w:footnote>
  <w:footnote w:id="47">
    <w:p w14:paraId="0AEB9C08" w14:textId="5F51C5A1" w:rsidR="007974C4" w:rsidRPr="00FE0C4B" w:rsidRDefault="007974C4" w:rsidP="00181F0F">
      <w:pPr>
        <w:pStyle w:val="Footnote"/>
      </w:pPr>
      <w:r w:rsidRPr="00FE0C4B">
        <w:rPr>
          <w:rStyle w:val="FootnoteReference"/>
        </w:rPr>
        <w:footnoteRef/>
      </w:r>
      <w:r w:rsidRPr="00FE0C4B">
        <w:t xml:space="preserve"> </w:t>
      </w:r>
      <w:r w:rsidRPr="001646BD">
        <w:rPr>
          <w:i/>
        </w:rPr>
        <w:t>See</w:t>
      </w:r>
      <w:r w:rsidRPr="00FE0C4B">
        <w:t xml:space="preserve"> Section 2.4.3 – Refrigerator</w:t>
      </w:r>
      <w:r>
        <w:t xml:space="preserve"> </w:t>
      </w:r>
      <w:r w:rsidRPr="00FE0C4B">
        <w:t>/</w:t>
      </w:r>
      <w:r>
        <w:t xml:space="preserve"> </w:t>
      </w:r>
      <w:r w:rsidRPr="00FE0C4B">
        <w:t xml:space="preserve">Freezer Recycling with and </w:t>
      </w:r>
      <w:r>
        <w:t>w</w:t>
      </w:r>
      <w:r w:rsidRPr="00FE0C4B">
        <w:t xml:space="preserve">ithout Replacement </w:t>
      </w:r>
      <w:r>
        <w:t>of the 2016 TRM, page</w:t>
      </w:r>
      <w:r w:rsidRPr="00FE0C4B">
        <w:t xml:space="preserve"> 1</w:t>
      </w:r>
      <w:r>
        <w:t>41.</w:t>
      </w:r>
    </w:p>
  </w:footnote>
  <w:footnote w:id="48">
    <w:p w14:paraId="6B32EBB7" w14:textId="35069619" w:rsidR="007974C4" w:rsidRDefault="007974C4" w:rsidP="00181F0F">
      <w:pPr>
        <w:pStyle w:val="Footnote"/>
      </w:pPr>
      <w:r>
        <w:rPr>
          <w:rStyle w:val="FootnoteReference"/>
        </w:rPr>
        <w:footnoteRef/>
      </w:r>
      <w:r>
        <w:t xml:space="preserve"> </w:t>
      </w:r>
      <w:r w:rsidRPr="005A48E0">
        <w:rPr>
          <w:i/>
        </w:rPr>
        <w:t>See</w:t>
      </w:r>
      <w:r w:rsidRPr="00901D9E">
        <w:t xml:space="preserve"> Section 2.</w:t>
      </w:r>
      <w:r>
        <w:t>4</w:t>
      </w:r>
      <w:r w:rsidRPr="00901D9E">
        <w:t>.</w:t>
      </w:r>
      <w:r>
        <w:t>5</w:t>
      </w:r>
      <w:r w:rsidRPr="00901D9E">
        <w:t xml:space="preserve"> – </w:t>
      </w:r>
      <w:r>
        <w:t>ENERGY STAR Dryers</w:t>
      </w:r>
      <w:r w:rsidRPr="00901D9E">
        <w:t xml:space="preserve"> </w:t>
      </w:r>
      <w:r>
        <w:t>of the 2016 TRM, page</w:t>
      </w:r>
      <w:r w:rsidRPr="00901D9E">
        <w:t xml:space="preserve"> 1</w:t>
      </w:r>
      <w:r>
        <w:t>52.</w:t>
      </w:r>
    </w:p>
  </w:footnote>
  <w:footnote w:id="49">
    <w:p w14:paraId="1286A0CC" w14:textId="09629C11" w:rsidR="007974C4" w:rsidRDefault="007974C4" w:rsidP="00181F0F">
      <w:pPr>
        <w:pStyle w:val="Footnote"/>
      </w:pPr>
      <w:r>
        <w:rPr>
          <w:rStyle w:val="FootnoteReference"/>
        </w:rPr>
        <w:footnoteRef/>
      </w:r>
      <w:r>
        <w:t xml:space="preserve"> </w:t>
      </w:r>
      <w:r w:rsidRPr="005A48E0">
        <w:rPr>
          <w:i/>
        </w:rPr>
        <w:t>See</w:t>
      </w:r>
      <w:r w:rsidRPr="00901D9E">
        <w:t xml:space="preserve"> Section 2.</w:t>
      </w:r>
      <w:r>
        <w:t>4</w:t>
      </w:r>
      <w:r w:rsidRPr="00901D9E">
        <w:t>.</w:t>
      </w:r>
      <w:r>
        <w:t>10</w:t>
      </w:r>
      <w:r w:rsidRPr="00901D9E">
        <w:t xml:space="preserve"> – </w:t>
      </w:r>
      <w:r>
        <w:t>ENERGY STAR Ceiling Fans</w:t>
      </w:r>
      <w:r w:rsidRPr="00901D9E">
        <w:t xml:space="preserve"> </w:t>
      </w:r>
      <w:r>
        <w:t>of the 2016 TRM, page</w:t>
      </w:r>
      <w:r w:rsidRPr="00901D9E">
        <w:t xml:space="preserve"> 1</w:t>
      </w:r>
      <w:r>
        <w:t>66.</w:t>
      </w:r>
    </w:p>
  </w:footnote>
  <w:footnote w:id="50">
    <w:p w14:paraId="368DF5EC" w14:textId="7BFB37DC" w:rsidR="007974C4" w:rsidRDefault="007974C4" w:rsidP="00181F0F">
      <w:pPr>
        <w:pStyle w:val="Footnote"/>
      </w:pPr>
      <w:r>
        <w:rPr>
          <w:rStyle w:val="FootnoteReference"/>
        </w:rPr>
        <w:footnoteRef/>
      </w:r>
      <w:r>
        <w:t xml:space="preserve"> </w:t>
      </w:r>
      <w:r w:rsidRPr="005A48E0">
        <w:rPr>
          <w:i/>
        </w:rPr>
        <w:t>See</w:t>
      </w:r>
      <w:r w:rsidRPr="00901D9E">
        <w:t xml:space="preserve"> Section 2.</w:t>
      </w:r>
      <w:r>
        <w:t>5.3</w:t>
      </w:r>
      <w:r w:rsidRPr="00901D9E">
        <w:t xml:space="preserve"> – </w:t>
      </w:r>
      <w:r>
        <w:t>Smart Strip Plug Outlets</w:t>
      </w:r>
      <w:r w:rsidRPr="00901D9E">
        <w:t xml:space="preserve"> </w:t>
      </w:r>
      <w:r>
        <w:t>of the 2016 TRM, page</w:t>
      </w:r>
      <w:r w:rsidRPr="00901D9E">
        <w:t xml:space="preserve"> 1</w:t>
      </w:r>
      <w:r>
        <w:t>76.</w:t>
      </w:r>
    </w:p>
  </w:footnote>
  <w:footnote w:id="51">
    <w:p w14:paraId="7F203785" w14:textId="4291A147" w:rsidR="007974C4" w:rsidRDefault="007974C4" w:rsidP="00181F0F">
      <w:pPr>
        <w:pStyle w:val="Footnote"/>
      </w:pPr>
      <w:r>
        <w:rPr>
          <w:rStyle w:val="FootnoteReference"/>
        </w:rPr>
        <w:footnoteRef/>
      </w:r>
      <w:r>
        <w:t xml:space="preserve"> </w:t>
      </w:r>
      <w:r w:rsidRPr="005A48E0">
        <w:rPr>
          <w:i/>
        </w:rPr>
        <w:t>See</w:t>
      </w:r>
      <w:r w:rsidRPr="00901D9E">
        <w:t xml:space="preserve"> Section 2.</w:t>
      </w:r>
      <w:r>
        <w:t>6</w:t>
      </w:r>
      <w:r w:rsidRPr="00901D9E">
        <w:t>.</w:t>
      </w:r>
      <w:r>
        <w:t>1</w:t>
      </w:r>
      <w:r w:rsidRPr="00901D9E">
        <w:t xml:space="preserve"> – </w:t>
      </w:r>
      <w:r>
        <w:t xml:space="preserve">Ceiling / Attic and Wall </w:t>
      </w:r>
      <w:r w:rsidRPr="00181F0F">
        <w:t>Insulation</w:t>
      </w:r>
      <w:r>
        <w:t xml:space="preserve"> of the 2016 TRM, page 180.</w:t>
      </w:r>
    </w:p>
  </w:footnote>
  <w:footnote w:id="52">
    <w:p w14:paraId="11FEF2E3" w14:textId="761061E0" w:rsidR="007974C4" w:rsidRDefault="007974C4" w:rsidP="00181F0F">
      <w:pPr>
        <w:pStyle w:val="Footnote"/>
      </w:pPr>
      <w:r>
        <w:rPr>
          <w:rStyle w:val="FootnoteReference"/>
        </w:rPr>
        <w:footnoteRef/>
      </w:r>
      <w:r>
        <w:t xml:space="preserve"> </w:t>
      </w:r>
      <w:r w:rsidRPr="005A48E0">
        <w:rPr>
          <w:i/>
        </w:rPr>
        <w:t>See</w:t>
      </w:r>
      <w:r w:rsidRPr="0082090B">
        <w:t xml:space="preserve"> Section 2.6.8 – Rim Joist Insulation </w:t>
      </w:r>
      <w:r>
        <w:t>of the 2016 TRM, page</w:t>
      </w:r>
      <w:r w:rsidRPr="0082090B">
        <w:t xml:space="preserve"> 212</w:t>
      </w:r>
      <w:r>
        <w:t>,</w:t>
      </w:r>
      <w:r w:rsidRPr="0082090B">
        <w:t xml:space="preserve"> and the approved Floor Insulation IMP.</w:t>
      </w:r>
    </w:p>
  </w:footnote>
  <w:footnote w:id="53">
    <w:p w14:paraId="7CB8B4D2" w14:textId="0C09E6BE" w:rsidR="007974C4" w:rsidRDefault="007974C4" w:rsidP="00181F0F">
      <w:pPr>
        <w:pStyle w:val="Footnote"/>
      </w:pPr>
      <w:r>
        <w:rPr>
          <w:rStyle w:val="FootnoteReference"/>
        </w:rPr>
        <w:footnoteRef/>
      </w:r>
      <w:r>
        <w:t xml:space="preserve"> </w:t>
      </w:r>
      <w:r w:rsidRPr="005A48E0">
        <w:rPr>
          <w:i/>
        </w:rPr>
        <w:t>See</w:t>
      </w:r>
      <w:r w:rsidRPr="00901D9E">
        <w:t xml:space="preserve"> Section 2.</w:t>
      </w:r>
      <w:r>
        <w:t>6</w:t>
      </w:r>
      <w:r w:rsidRPr="00901D9E">
        <w:t>.</w:t>
      </w:r>
      <w:r>
        <w:t>2</w:t>
      </w:r>
      <w:r w:rsidRPr="00901D9E">
        <w:t xml:space="preserve"> – </w:t>
      </w:r>
      <w:r>
        <w:t>ENERGY STAR Windows</w:t>
      </w:r>
      <w:r w:rsidRPr="00901D9E">
        <w:t xml:space="preserve"> </w:t>
      </w:r>
      <w:r>
        <w:t>of the 2016 TRM, page</w:t>
      </w:r>
      <w:r w:rsidRPr="00901D9E">
        <w:t xml:space="preserve"> 1</w:t>
      </w:r>
      <w:r>
        <w:t>87.</w:t>
      </w:r>
    </w:p>
  </w:footnote>
  <w:footnote w:id="54">
    <w:p w14:paraId="54FDCBA2" w14:textId="0DF62E64" w:rsidR="007974C4" w:rsidRPr="00181F0F" w:rsidRDefault="007974C4" w:rsidP="00181F0F">
      <w:pPr>
        <w:pStyle w:val="Footnote"/>
      </w:pPr>
      <w:r>
        <w:rPr>
          <w:rStyle w:val="FootnoteReference"/>
        </w:rPr>
        <w:footnoteRef/>
      </w:r>
      <w:r>
        <w:t xml:space="preserve"> </w:t>
      </w:r>
      <w:r w:rsidRPr="005A48E0">
        <w:rPr>
          <w:i/>
        </w:rPr>
        <w:t>See</w:t>
      </w:r>
      <w:r>
        <w:t xml:space="preserve"> </w:t>
      </w:r>
      <w:hyperlink r:id="rId10" w:history="1">
        <w:r w:rsidRPr="00222C2A">
          <w:rPr>
            <w:rStyle w:val="Hyperlink"/>
          </w:rPr>
          <w:t>https://beopt.nrel.gov/home</w:t>
        </w:r>
      </w:hyperlink>
      <w:r>
        <w:t>.</w:t>
      </w:r>
    </w:p>
  </w:footnote>
  <w:footnote w:id="55">
    <w:p w14:paraId="2A49C57B" w14:textId="77777777" w:rsidR="007974C4" w:rsidRDefault="007974C4" w:rsidP="00181F0F">
      <w:pPr>
        <w:pStyle w:val="Footnote"/>
      </w:pPr>
      <w:r>
        <w:rPr>
          <w:rStyle w:val="FootnoteReference"/>
        </w:rPr>
        <w:footnoteRef/>
      </w:r>
      <w:r>
        <w:t xml:space="preserve"> </w:t>
      </w:r>
      <w:r w:rsidRPr="005A48E0">
        <w:rPr>
          <w:i/>
        </w:rPr>
        <w:t>See</w:t>
      </w:r>
      <w:r w:rsidRPr="00901D9E">
        <w:t xml:space="preserve"> Section 2.</w:t>
      </w:r>
      <w:r>
        <w:t>6</w:t>
      </w:r>
      <w:r w:rsidRPr="00901D9E">
        <w:t>.</w:t>
      </w:r>
      <w:r>
        <w:t>3</w:t>
      </w:r>
      <w:r w:rsidRPr="00901D9E">
        <w:t xml:space="preserve"> – </w:t>
      </w:r>
      <w:r>
        <w:t xml:space="preserve">Residential New </w:t>
      </w:r>
      <w:r w:rsidRPr="00181F0F">
        <w:t>Construction</w:t>
      </w:r>
      <w:r w:rsidRPr="00901D9E">
        <w:t xml:space="preserve"> </w:t>
      </w:r>
      <w:r>
        <w:t>of the 2016 TRM, page</w:t>
      </w:r>
      <w:r w:rsidRPr="00901D9E">
        <w:t xml:space="preserve"> 1</w:t>
      </w:r>
      <w:r>
        <w:t>90.</w:t>
      </w:r>
    </w:p>
  </w:footnote>
  <w:footnote w:id="56">
    <w:p w14:paraId="6DB95038" w14:textId="0934D6EC" w:rsidR="007974C4" w:rsidRDefault="007974C4" w:rsidP="00181F0F">
      <w:pPr>
        <w:pStyle w:val="Footnote"/>
      </w:pPr>
      <w:r>
        <w:rPr>
          <w:rStyle w:val="FootnoteReference"/>
        </w:rPr>
        <w:footnoteRef/>
      </w:r>
      <w:r>
        <w:t xml:space="preserve"> </w:t>
      </w:r>
      <w:r w:rsidRPr="005A48E0">
        <w:rPr>
          <w:i/>
        </w:rPr>
        <w:t>See</w:t>
      </w:r>
      <w:r w:rsidRPr="00901D9E">
        <w:t xml:space="preserve"> Section 2.</w:t>
      </w:r>
      <w:r>
        <w:t>6</w:t>
      </w:r>
      <w:r w:rsidRPr="00901D9E">
        <w:t>.</w:t>
      </w:r>
      <w:r>
        <w:t>5</w:t>
      </w:r>
      <w:r w:rsidRPr="00901D9E">
        <w:t xml:space="preserve"> – </w:t>
      </w:r>
      <w:r>
        <w:t>ENERGY STAR Manufactured Homes</w:t>
      </w:r>
      <w:r w:rsidRPr="00901D9E">
        <w:t xml:space="preserve"> </w:t>
      </w:r>
      <w:r>
        <w:t>of the 2016 TRM, page</w:t>
      </w:r>
      <w:r w:rsidRPr="00901D9E">
        <w:t xml:space="preserve"> 1</w:t>
      </w:r>
      <w:r>
        <w:t>98.</w:t>
      </w:r>
    </w:p>
  </w:footnote>
  <w:footnote w:id="57">
    <w:p w14:paraId="794759F1" w14:textId="6299972C" w:rsidR="007974C4" w:rsidRDefault="007974C4" w:rsidP="00181F0F">
      <w:pPr>
        <w:pStyle w:val="Footnote"/>
      </w:pPr>
      <w:r>
        <w:rPr>
          <w:rStyle w:val="FootnoteReference"/>
        </w:rPr>
        <w:footnoteRef/>
      </w:r>
      <w:r>
        <w:t xml:space="preserve"> </w:t>
      </w:r>
      <w:r w:rsidRPr="005A48E0">
        <w:rPr>
          <w:i/>
        </w:rPr>
        <w:t>See</w:t>
      </w:r>
      <w:r w:rsidRPr="00901D9E">
        <w:t xml:space="preserve"> Section 2.</w:t>
      </w:r>
      <w:r>
        <w:t>6</w:t>
      </w:r>
      <w:r w:rsidRPr="00901D9E">
        <w:t>.</w:t>
      </w:r>
      <w:r>
        <w:t>6</w:t>
      </w:r>
      <w:r w:rsidRPr="00901D9E">
        <w:t xml:space="preserve"> – </w:t>
      </w:r>
      <w:r>
        <w:t>Residential Air Sealing</w:t>
      </w:r>
      <w:r w:rsidRPr="00901D9E">
        <w:t xml:space="preserve"> </w:t>
      </w:r>
      <w:r>
        <w:t>of the 2016 TRM, page 204.</w:t>
      </w:r>
    </w:p>
  </w:footnote>
  <w:footnote w:id="58">
    <w:p w14:paraId="41527E71" w14:textId="3DB75453" w:rsidR="007974C4" w:rsidRDefault="007974C4" w:rsidP="00181F0F">
      <w:pPr>
        <w:pStyle w:val="Footnote"/>
      </w:pPr>
      <w:r>
        <w:rPr>
          <w:rStyle w:val="FootnoteReference"/>
        </w:rPr>
        <w:footnoteRef/>
      </w:r>
      <w:r>
        <w:t xml:space="preserve"> </w:t>
      </w:r>
      <w:r w:rsidRPr="005A48E0">
        <w:rPr>
          <w:i/>
        </w:rPr>
        <w:t>See</w:t>
      </w:r>
      <w:r>
        <w:t xml:space="preserve"> </w:t>
      </w:r>
      <w:hyperlink r:id="rId11" w:history="1">
        <w:r w:rsidRPr="00222C2A">
          <w:rPr>
            <w:rStyle w:val="Hyperlink"/>
          </w:rPr>
          <w:t>https://beopt.nrel.gov/home</w:t>
        </w:r>
      </w:hyperlink>
      <w:r>
        <w:rPr>
          <w:rStyle w:val="Hyperlink"/>
        </w:rPr>
        <w:t>.</w:t>
      </w:r>
      <w:r>
        <w:t xml:space="preserve"> </w:t>
      </w:r>
    </w:p>
  </w:footnote>
  <w:footnote w:id="59">
    <w:p w14:paraId="14C993B0" w14:textId="093616A8" w:rsidR="007974C4" w:rsidRDefault="007974C4" w:rsidP="00181F0F">
      <w:pPr>
        <w:pStyle w:val="Footnote"/>
      </w:pPr>
      <w:r>
        <w:rPr>
          <w:rStyle w:val="FootnoteReference"/>
        </w:rPr>
        <w:footnoteRef/>
      </w:r>
      <w:r>
        <w:t xml:space="preserve"> </w:t>
      </w:r>
      <w:r w:rsidRPr="005A48E0">
        <w:rPr>
          <w:i/>
        </w:rPr>
        <w:t>See</w:t>
      </w:r>
      <w:r w:rsidRPr="00901D9E">
        <w:t xml:space="preserve"> Section 2.</w:t>
      </w:r>
      <w:r>
        <w:t>6</w:t>
      </w:r>
      <w:r w:rsidRPr="00901D9E">
        <w:t>.</w:t>
      </w:r>
      <w:r>
        <w:t>7</w:t>
      </w:r>
      <w:r w:rsidRPr="00901D9E">
        <w:t xml:space="preserve"> – </w:t>
      </w:r>
      <w:r>
        <w:t>Crawl Space Wall Insulation</w:t>
      </w:r>
      <w:r w:rsidRPr="00901D9E">
        <w:t xml:space="preserve"> </w:t>
      </w:r>
      <w:r>
        <w:t>of the 2016 TRM, page</w:t>
      </w:r>
      <w:r w:rsidRPr="00901D9E">
        <w:t xml:space="preserve"> </w:t>
      </w:r>
      <w:r>
        <w:t>207.</w:t>
      </w:r>
    </w:p>
  </w:footnote>
  <w:footnote w:id="60">
    <w:p w14:paraId="4D5ECC5F" w14:textId="544A57CD" w:rsidR="007974C4" w:rsidRDefault="007974C4" w:rsidP="00181F0F">
      <w:pPr>
        <w:pStyle w:val="Footnote"/>
      </w:pPr>
      <w:r>
        <w:rPr>
          <w:rStyle w:val="FootnoteReference"/>
        </w:rPr>
        <w:footnoteRef/>
      </w:r>
      <w:r>
        <w:t xml:space="preserve"> </w:t>
      </w:r>
      <w:r w:rsidRPr="00200D34">
        <w:rPr>
          <w:i/>
        </w:rPr>
        <w:t>See</w:t>
      </w:r>
      <w:r>
        <w:t xml:space="preserve"> Section 3.1.1 – Lighting Improvements of the 2016 TRM, page 225.</w:t>
      </w:r>
    </w:p>
  </w:footnote>
  <w:footnote w:id="61">
    <w:p w14:paraId="08040E3F" w14:textId="77777777" w:rsidR="007974C4" w:rsidRDefault="007974C4" w:rsidP="0041302D">
      <w:pPr>
        <w:pStyle w:val="Footnote"/>
      </w:pPr>
      <w:r w:rsidRPr="66E8B1E4">
        <w:rPr>
          <w:rStyle w:val="FootnoteReference"/>
        </w:rPr>
        <w:footnoteRef/>
      </w:r>
      <w:r>
        <w:t xml:space="preserve"> </w:t>
      </w:r>
      <w:r w:rsidRPr="66E8B1E4">
        <w:rPr>
          <w:rStyle w:val="FootnoteTextChar"/>
        </w:rPr>
        <w:t xml:space="preserve">See </w:t>
      </w:r>
      <w:hyperlink r:id="rId12" w:history="1">
        <w:r w:rsidRPr="009B5230">
          <w:rPr>
            <w:rStyle w:val="Hyperlink"/>
          </w:rPr>
          <w:t>https://appliance-standards.org/sites/default/files/Fact_Sheet_Who_Opposes_DOE_Light_Bulb_Rollback_Final1.pdf</w:t>
        </w:r>
      </w:hyperlink>
      <w:r>
        <w:rPr>
          <w:rStyle w:val="FootnoteTextChar"/>
        </w:rPr>
        <w:t xml:space="preserve"> </w:t>
      </w:r>
    </w:p>
  </w:footnote>
  <w:footnote w:id="62">
    <w:p w14:paraId="00D6EB3A" w14:textId="36923D1A" w:rsidR="007974C4" w:rsidRDefault="007974C4" w:rsidP="00181F0F">
      <w:pPr>
        <w:pStyle w:val="Footnote"/>
      </w:pPr>
      <w:r w:rsidRPr="66E8B1E4">
        <w:rPr>
          <w:rStyle w:val="FootnoteReference"/>
        </w:rPr>
        <w:footnoteRef/>
      </w:r>
      <w:r>
        <w:t xml:space="preserve"> </w:t>
      </w:r>
      <w:r w:rsidRPr="66E8B1E4">
        <w:rPr>
          <w:rStyle w:val="FootnoteTextChar"/>
        </w:rPr>
        <w:t>Missouri Division of Energy. March 31, 2017. Missouri Technical Reference Manual. Volume 2: Commercial and Industrial Measures. P.177.</w:t>
      </w:r>
    </w:p>
  </w:footnote>
  <w:footnote w:id="63">
    <w:p w14:paraId="065CA7F3" w14:textId="592614B1" w:rsidR="007974C4" w:rsidRDefault="007974C4" w:rsidP="00181F0F">
      <w:pPr>
        <w:pStyle w:val="Footnote"/>
      </w:pPr>
      <w:r>
        <w:rPr>
          <w:rStyle w:val="FootnoteReference"/>
        </w:rPr>
        <w:footnoteRef/>
      </w:r>
      <w:r>
        <w:t xml:space="preserve"> </w:t>
      </w:r>
      <w:r w:rsidRPr="005A48E0">
        <w:rPr>
          <w:i/>
        </w:rPr>
        <w:t>See</w:t>
      </w:r>
      <w:r>
        <w:t xml:space="preserve"> </w:t>
      </w:r>
      <w:r w:rsidRPr="00DF1DF8">
        <w:t>Section 3.1.2 – New Construction Lighting</w:t>
      </w:r>
      <w:r>
        <w:t xml:space="preserve"> </w:t>
      </w:r>
      <w:r>
        <w:rPr>
          <w:szCs w:val="22"/>
        </w:rPr>
        <w:t>of the 2016 TRM, page</w:t>
      </w:r>
      <w:r>
        <w:t xml:space="preserve"> 235.</w:t>
      </w:r>
    </w:p>
  </w:footnote>
  <w:footnote w:id="64">
    <w:p w14:paraId="68D278D8" w14:textId="39081C2F" w:rsidR="007974C4" w:rsidRDefault="007974C4" w:rsidP="00181F0F">
      <w:pPr>
        <w:pStyle w:val="Footnote"/>
      </w:pPr>
      <w:r w:rsidRPr="55119DC7">
        <w:rPr>
          <w:rStyle w:val="FootnoteReference"/>
        </w:rPr>
        <w:footnoteRef/>
      </w:r>
      <w:r>
        <w:t xml:space="preserve"> </w:t>
      </w:r>
      <w:r w:rsidRPr="55119DC7">
        <w:rPr>
          <w:i/>
          <w:iCs/>
        </w:rPr>
        <w:t>See</w:t>
      </w:r>
      <w:r>
        <w:t xml:space="preserve"> Section 3.1.5 – LED Exit Signs of the 2016 TRM, page 251.</w:t>
      </w:r>
    </w:p>
  </w:footnote>
  <w:footnote w:id="65">
    <w:p w14:paraId="430C204C" w14:textId="0AAB78DC" w:rsidR="007974C4" w:rsidRDefault="007974C4" w:rsidP="00181F0F">
      <w:pPr>
        <w:pStyle w:val="Footnote"/>
      </w:pPr>
      <w:r>
        <w:rPr>
          <w:rStyle w:val="FootnoteReference"/>
        </w:rPr>
        <w:footnoteRef/>
      </w:r>
      <w:r>
        <w:t xml:space="preserve"> </w:t>
      </w:r>
      <w:r w:rsidRPr="005A48E0">
        <w:rPr>
          <w:i/>
        </w:rPr>
        <w:t>See</w:t>
      </w:r>
      <w:r>
        <w:t xml:space="preserve"> </w:t>
      </w:r>
      <w:r w:rsidRPr="00DF1DF8">
        <w:t>Section 3.1.6 – LED Channel Signage</w:t>
      </w:r>
      <w:r>
        <w:t xml:space="preserve"> </w:t>
      </w:r>
      <w:r>
        <w:rPr>
          <w:szCs w:val="22"/>
        </w:rPr>
        <w:t>of the 2016 TRM, page</w:t>
      </w:r>
      <w:r>
        <w:t xml:space="preserve"> 254.</w:t>
      </w:r>
    </w:p>
  </w:footnote>
  <w:footnote w:id="66">
    <w:p w14:paraId="042DB5CE" w14:textId="701B7EC4" w:rsidR="007974C4" w:rsidRDefault="007974C4" w:rsidP="00181F0F">
      <w:pPr>
        <w:pStyle w:val="Footnote"/>
      </w:pPr>
      <w:r>
        <w:rPr>
          <w:rStyle w:val="FootnoteReference"/>
        </w:rPr>
        <w:footnoteRef/>
      </w:r>
      <w:r>
        <w:t xml:space="preserve"> </w:t>
      </w:r>
      <w:r w:rsidRPr="005A48E0">
        <w:rPr>
          <w:i/>
        </w:rPr>
        <w:t>See</w:t>
      </w:r>
      <w:r>
        <w:t xml:space="preserve"> </w:t>
      </w:r>
      <w:r w:rsidRPr="00DF1DF8">
        <w:t>Section 3.2.1 – HVAC Systems</w:t>
      </w:r>
      <w:r>
        <w:t xml:space="preserve"> </w:t>
      </w:r>
      <w:r>
        <w:rPr>
          <w:szCs w:val="22"/>
        </w:rPr>
        <w:t>of the 2016 TRM, page</w:t>
      </w:r>
      <w:r>
        <w:t xml:space="preserve"> 260.</w:t>
      </w:r>
    </w:p>
  </w:footnote>
  <w:footnote w:id="67">
    <w:p w14:paraId="68A4649E" w14:textId="5547CAC2" w:rsidR="007974C4" w:rsidRDefault="007974C4" w:rsidP="00181F0F">
      <w:pPr>
        <w:pStyle w:val="Footnote"/>
      </w:pPr>
      <w:r>
        <w:rPr>
          <w:rStyle w:val="FootnoteReference"/>
        </w:rPr>
        <w:footnoteRef/>
      </w:r>
      <w:r>
        <w:t xml:space="preserve"> </w:t>
      </w:r>
      <w:r w:rsidRPr="005A48E0">
        <w:rPr>
          <w:i/>
        </w:rPr>
        <w:t>See</w:t>
      </w:r>
      <w:r>
        <w:t xml:space="preserve"> </w:t>
      </w:r>
      <w:r w:rsidRPr="00DF1DF8">
        <w:t>Section 3.2.2 – Electric Chillers</w:t>
      </w:r>
      <w:r>
        <w:t xml:space="preserve"> </w:t>
      </w:r>
      <w:r>
        <w:rPr>
          <w:szCs w:val="22"/>
        </w:rPr>
        <w:t>of the 2016 TRM, page</w:t>
      </w:r>
      <w:r>
        <w:t xml:space="preserve"> 270.</w:t>
      </w:r>
    </w:p>
  </w:footnote>
  <w:footnote w:id="68">
    <w:p w14:paraId="0A95936F" w14:textId="5F1794EB" w:rsidR="007974C4" w:rsidRDefault="007974C4" w:rsidP="00181F0F">
      <w:pPr>
        <w:pStyle w:val="Footnote"/>
      </w:pPr>
      <w:r>
        <w:rPr>
          <w:rStyle w:val="FootnoteReference"/>
        </w:rPr>
        <w:footnoteRef/>
      </w:r>
      <w:r>
        <w:t xml:space="preserve"> </w:t>
      </w:r>
      <w:r w:rsidRPr="005A48E0">
        <w:rPr>
          <w:i/>
        </w:rPr>
        <w:t>See</w:t>
      </w:r>
      <w:r>
        <w:t xml:space="preserve"> </w:t>
      </w:r>
      <w:r w:rsidRPr="00DF1DF8">
        <w:t>Section 3.2.4 – Ductless Mini-</w:t>
      </w:r>
      <w:r>
        <w:t>s</w:t>
      </w:r>
      <w:r w:rsidRPr="00DF1DF8">
        <w:t>plit Heat Pumps – Commercial &lt; 5.4 Tons</w:t>
      </w:r>
      <w:r>
        <w:t xml:space="preserve"> </w:t>
      </w:r>
      <w:r>
        <w:rPr>
          <w:szCs w:val="22"/>
        </w:rPr>
        <w:t>of the 2016 TRM, page</w:t>
      </w:r>
      <w:r>
        <w:t xml:space="preserve"> 284.</w:t>
      </w:r>
    </w:p>
  </w:footnote>
  <w:footnote w:id="69">
    <w:p w14:paraId="2745BB01" w14:textId="6842B815" w:rsidR="007974C4" w:rsidRDefault="007974C4" w:rsidP="00181F0F">
      <w:pPr>
        <w:pStyle w:val="Footnote"/>
      </w:pPr>
      <w:r>
        <w:rPr>
          <w:rStyle w:val="FootnoteReference"/>
        </w:rPr>
        <w:footnoteRef/>
      </w:r>
      <w:r>
        <w:t xml:space="preserve"> </w:t>
      </w:r>
      <w:r w:rsidRPr="005A48E0">
        <w:rPr>
          <w:i/>
        </w:rPr>
        <w:t>See</w:t>
      </w:r>
      <w:r>
        <w:t xml:space="preserve"> </w:t>
      </w:r>
      <w:r w:rsidRPr="00DF1DF8">
        <w:t>Section 3.2.5 – Fuel Switching: Small Commercial Electric Heat to Natural Gas</w:t>
      </w:r>
      <w:r>
        <w:t xml:space="preserve"> </w:t>
      </w:r>
      <w:r w:rsidRPr="00DF1DF8">
        <w:t>/</w:t>
      </w:r>
      <w:r>
        <w:t xml:space="preserve"> </w:t>
      </w:r>
      <w:r w:rsidRPr="00DF1DF8">
        <w:t>Propane</w:t>
      </w:r>
      <w:r>
        <w:t xml:space="preserve"> </w:t>
      </w:r>
      <w:r w:rsidRPr="00DF1DF8">
        <w:t>/</w:t>
      </w:r>
      <w:r>
        <w:t xml:space="preserve"> </w:t>
      </w:r>
      <w:r w:rsidRPr="00DF1DF8">
        <w:t>Oil Heat</w:t>
      </w:r>
      <w:r>
        <w:t xml:space="preserve"> </w:t>
      </w:r>
      <w:r>
        <w:rPr>
          <w:szCs w:val="22"/>
        </w:rPr>
        <w:t>of the 2016 TRM, page</w:t>
      </w:r>
      <w:r>
        <w:t xml:space="preserve"> 289.</w:t>
      </w:r>
    </w:p>
  </w:footnote>
  <w:footnote w:id="70">
    <w:p w14:paraId="3923D940" w14:textId="33141B22" w:rsidR="007974C4" w:rsidRDefault="007974C4" w:rsidP="00181F0F">
      <w:pPr>
        <w:pStyle w:val="Footnote"/>
      </w:pPr>
      <w:r>
        <w:rPr>
          <w:rStyle w:val="FootnoteReference"/>
        </w:rPr>
        <w:footnoteRef/>
      </w:r>
      <w:r>
        <w:t xml:space="preserve"> </w:t>
      </w:r>
      <w:r w:rsidRPr="005A48E0">
        <w:rPr>
          <w:i/>
        </w:rPr>
        <w:t>See</w:t>
      </w:r>
      <w:r>
        <w:t xml:space="preserve"> </w:t>
      </w:r>
      <w:r w:rsidRPr="00DF1DF8">
        <w:t>Section 3.2.6 – Small C&amp;I HVAC Refrigerant Charge Correction</w:t>
      </w:r>
      <w:r>
        <w:t xml:space="preserve"> </w:t>
      </w:r>
      <w:r>
        <w:rPr>
          <w:szCs w:val="22"/>
        </w:rPr>
        <w:t>of the 2016 TRM, page</w:t>
      </w:r>
      <w:r>
        <w:t xml:space="preserve"> 294.</w:t>
      </w:r>
    </w:p>
  </w:footnote>
  <w:footnote w:id="71">
    <w:p w14:paraId="2F523575" w14:textId="0FA71D09" w:rsidR="007974C4" w:rsidRDefault="007974C4" w:rsidP="00181F0F">
      <w:pPr>
        <w:pStyle w:val="Footnote"/>
      </w:pPr>
      <w:r>
        <w:rPr>
          <w:rStyle w:val="FootnoteReference"/>
        </w:rPr>
        <w:footnoteRef/>
      </w:r>
      <w:r>
        <w:t xml:space="preserve"> </w:t>
      </w:r>
      <w:r w:rsidRPr="005A48E0">
        <w:rPr>
          <w:i/>
        </w:rPr>
        <w:t>See</w:t>
      </w:r>
      <w:r>
        <w:t xml:space="preserve"> </w:t>
      </w:r>
      <w:r w:rsidRPr="006772D0">
        <w:t>Section 3.2.7 – ENERGY STAR Room Air Conditioner</w:t>
      </w:r>
      <w:r>
        <w:t xml:space="preserve"> </w:t>
      </w:r>
      <w:r>
        <w:rPr>
          <w:szCs w:val="22"/>
        </w:rPr>
        <w:t>of the 2016 TRM, page</w:t>
      </w:r>
      <w:r>
        <w:t xml:space="preserve"> 300.</w:t>
      </w:r>
    </w:p>
  </w:footnote>
  <w:footnote w:id="72">
    <w:p w14:paraId="7FD98EBC" w14:textId="07440E43" w:rsidR="007974C4" w:rsidRDefault="007974C4" w:rsidP="00181F0F">
      <w:pPr>
        <w:pStyle w:val="Footnote"/>
      </w:pPr>
      <w:r>
        <w:rPr>
          <w:rStyle w:val="FootnoteReference"/>
        </w:rPr>
        <w:footnoteRef/>
      </w:r>
      <w:r>
        <w:t xml:space="preserve"> See </w:t>
      </w:r>
      <w:r w:rsidRPr="006772D0">
        <w:t>Section 3.2.9 – Controls: Economizer</w:t>
      </w:r>
      <w:r>
        <w:t xml:space="preserve"> </w:t>
      </w:r>
      <w:r>
        <w:rPr>
          <w:szCs w:val="22"/>
        </w:rPr>
        <w:t>of the 2016 TRM, page</w:t>
      </w:r>
      <w:r>
        <w:t xml:space="preserve"> 308.</w:t>
      </w:r>
    </w:p>
  </w:footnote>
  <w:footnote w:id="73">
    <w:p w14:paraId="762A693A" w14:textId="011B19B6" w:rsidR="007974C4" w:rsidRPr="00BF6D9D" w:rsidRDefault="007974C4" w:rsidP="00181F0F">
      <w:pPr>
        <w:pStyle w:val="Footnote"/>
      </w:pPr>
      <w:r>
        <w:rPr>
          <w:rStyle w:val="FootnoteReference"/>
        </w:rPr>
        <w:footnoteRef/>
      </w:r>
      <w:r w:rsidRPr="001C297D">
        <w:t xml:space="preserve"> </w:t>
      </w:r>
      <w:r w:rsidRPr="009D0B99">
        <w:t>See</w:t>
      </w:r>
      <w:r w:rsidRPr="001C297D">
        <w:t xml:space="preserve"> Section 3.3.1 –</w:t>
      </w:r>
      <w:r>
        <w:t xml:space="preserve"> </w:t>
      </w:r>
      <w:r w:rsidRPr="001C297D">
        <w:t xml:space="preserve">Premium Efficiency </w:t>
      </w:r>
      <w:r w:rsidRPr="00181F0F">
        <w:t>Motors</w:t>
      </w:r>
      <w:r w:rsidRPr="001C297D">
        <w:t xml:space="preserve"> </w:t>
      </w:r>
      <w:r>
        <w:t>of the 2016 TRM, page</w:t>
      </w:r>
      <w:r w:rsidRPr="001C297D">
        <w:t xml:space="preserve"> 313.</w:t>
      </w:r>
    </w:p>
  </w:footnote>
  <w:footnote w:id="74">
    <w:p w14:paraId="5413C424" w14:textId="3CB7F940" w:rsidR="007974C4" w:rsidRPr="00BF6D9D" w:rsidRDefault="007974C4" w:rsidP="00181F0F">
      <w:pPr>
        <w:pStyle w:val="Footnote"/>
      </w:pPr>
      <w:r>
        <w:rPr>
          <w:rStyle w:val="FootnoteReference"/>
        </w:rPr>
        <w:footnoteRef/>
      </w:r>
      <w:r w:rsidRPr="001C297D">
        <w:t xml:space="preserve"> </w:t>
      </w:r>
      <w:r w:rsidRPr="001C297D">
        <w:rPr>
          <w:i/>
        </w:rPr>
        <w:t>See</w:t>
      </w:r>
      <w:r w:rsidRPr="001C297D">
        <w:t xml:space="preserve"> Section 3.3.</w:t>
      </w:r>
      <w:r>
        <w:t>2</w:t>
      </w:r>
      <w:r w:rsidRPr="001C297D">
        <w:t xml:space="preserve"> – </w:t>
      </w:r>
      <w:r>
        <w:t>Variable Frequency Drive (VFD) Improvements</w:t>
      </w:r>
      <w:r w:rsidRPr="001C297D">
        <w:t xml:space="preserve"> </w:t>
      </w:r>
      <w:r>
        <w:t>of the 2016 TRM, page</w:t>
      </w:r>
      <w:r w:rsidRPr="001C297D">
        <w:t xml:space="preserve"> 3</w:t>
      </w:r>
      <w:r>
        <w:t>25</w:t>
      </w:r>
      <w:r w:rsidRPr="001C297D">
        <w:t>.</w:t>
      </w:r>
    </w:p>
  </w:footnote>
  <w:footnote w:id="75">
    <w:p w14:paraId="15586C7A" w14:textId="60901E46" w:rsidR="007974C4" w:rsidRPr="00BF6D9D" w:rsidRDefault="007974C4" w:rsidP="00181F0F">
      <w:pPr>
        <w:pStyle w:val="Footnote"/>
      </w:pPr>
      <w:r>
        <w:rPr>
          <w:rStyle w:val="FootnoteReference"/>
        </w:rPr>
        <w:footnoteRef/>
      </w:r>
      <w:r w:rsidRPr="001C297D">
        <w:t xml:space="preserve"> </w:t>
      </w:r>
      <w:r w:rsidRPr="001C297D">
        <w:rPr>
          <w:i/>
        </w:rPr>
        <w:t>See</w:t>
      </w:r>
      <w:r w:rsidRPr="001C297D">
        <w:t xml:space="preserve"> Section 3.3.</w:t>
      </w:r>
      <w:r>
        <w:t>3</w:t>
      </w:r>
      <w:r w:rsidRPr="001C297D">
        <w:t xml:space="preserve"> – </w:t>
      </w:r>
      <w:r>
        <w:t xml:space="preserve">ECM </w:t>
      </w:r>
      <w:r w:rsidRPr="00181F0F">
        <w:t>Circulating</w:t>
      </w:r>
      <w:r>
        <w:t xml:space="preserve"> Fan</w:t>
      </w:r>
      <w:r w:rsidRPr="001C297D">
        <w:t xml:space="preserve"> </w:t>
      </w:r>
      <w:r>
        <w:t>of the 2016 TRM, page</w:t>
      </w:r>
      <w:r w:rsidRPr="001C297D">
        <w:t xml:space="preserve"> 3</w:t>
      </w:r>
      <w:r>
        <w:t>28</w:t>
      </w:r>
      <w:r w:rsidRPr="001C297D">
        <w:t>.</w:t>
      </w:r>
    </w:p>
  </w:footnote>
  <w:footnote w:id="76">
    <w:p w14:paraId="7C463E29" w14:textId="4AC29C76" w:rsidR="007974C4" w:rsidRPr="00BF6D9D" w:rsidRDefault="007974C4" w:rsidP="00181F0F">
      <w:pPr>
        <w:pStyle w:val="Footnote"/>
      </w:pPr>
      <w:r>
        <w:rPr>
          <w:rStyle w:val="FootnoteReference"/>
        </w:rPr>
        <w:footnoteRef/>
      </w:r>
      <w:r w:rsidRPr="001C297D">
        <w:t xml:space="preserve"> </w:t>
      </w:r>
      <w:r w:rsidRPr="001C297D">
        <w:rPr>
          <w:i/>
        </w:rPr>
        <w:t>See</w:t>
      </w:r>
      <w:r w:rsidRPr="001C297D">
        <w:t xml:space="preserve"> Section 3.3.</w:t>
      </w:r>
      <w:r>
        <w:t xml:space="preserve">4 </w:t>
      </w:r>
      <w:r w:rsidRPr="001C297D">
        <w:t xml:space="preserve">– </w:t>
      </w:r>
      <w:r>
        <w:t xml:space="preserve">VSD on </w:t>
      </w:r>
      <w:r w:rsidRPr="00181F0F">
        <w:t>Kitchen</w:t>
      </w:r>
      <w:r>
        <w:t xml:space="preserve"> Exhaust Fan</w:t>
      </w:r>
      <w:r w:rsidRPr="001C297D">
        <w:t xml:space="preserve"> </w:t>
      </w:r>
      <w:r>
        <w:t>of the 2016 TRM, page</w:t>
      </w:r>
      <w:r w:rsidRPr="001C297D">
        <w:t xml:space="preserve"> 3</w:t>
      </w:r>
      <w:r>
        <w:t>32</w:t>
      </w:r>
      <w:r w:rsidRPr="001C297D">
        <w:t>.</w:t>
      </w:r>
    </w:p>
  </w:footnote>
  <w:footnote w:id="77">
    <w:p w14:paraId="0B87F4B5" w14:textId="5426454B" w:rsidR="007974C4" w:rsidRDefault="007974C4" w:rsidP="00181F0F">
      <w:pPr>
        <w:pStyle w:val="Footnote"/>
      </w:pPr>
      <w:r>
        <w:rPr>
          <w:rStyle w:val="FootnoteReference"/>
        </w:rPr>
        <w:footnoteRef/>
      </w:r>
      <w:r>
        <w:t xml:space="preserve"> </w:t>
      </w:r>
      <w:r w:rsidRPr="001C297D">
        <w:rPr>
          <w:i/>
        </w:rPr>
        <w:t>See</w:t>
      </w:r>
      <w:r>
        <w:t xml:space="preserve"> Section 3.4.1 </w:t>
      </w:r>
      <w:r w:rsidRPr="001C297D">
        <w:t xml:space="preserve">– </w:t>
      </w:r>
      <w:r>
        <w:t>Heat Pump Water Heaters</w:t>
      </w:r>
      <w:r w:rsidRPr="001C297D">
        <w:t xml:space="preserve"> </w:t>
      </w:r>
      <w:r>
        <w:t>of the 2016 TRM, page</w:t>
      </w:r>
      <w:r w:rsidRPr="001C297D">
        <w:t xml:space="preserve"> </w:t>
      </w:r>
      <w:r>
        <w:t>335</w:t>
      </w:r>
      <w:r w:rsidRPr="001C297D">
        <w:t>.</w:t>
      </w:r>
    </w:p>
  </w:footnote>
  <w:footnote w:id="78">
    <w:p w14:paraId="43D1CD75" w14:textId="0FB736B8" w:rsidR="007974C4" w:rsidRDefault="007974C4" w:rsidP="00181F0F">
      <w:pPr>
        <w:pStyle w:val="Footnote"/>
      </w:pPr>
      <w:r>
        <w:rPr>
          <w:rStyle w:val="FootnoteReference"/>
        </w:rPr>
        <w:footnoteRef/>
      </w:r>
      <w:r>
        <w:t xml:space="preserve"> Department of Energy. Technical Support Document: Energy Efficiency Program for Consumer Products and Commercial and Industrial Equipment: Commercial Water Heating Equipment. April 2016. </w:t>
      </w:r>
      <w:r w:rsidRPr="001E49E3">
        <w:t>Table 7</w:t>
      </w:r>
      <w:r>
        <w:t>B.2.3</w:t>
      </w:r>
      <w:r w:rsidRPr="001E49E3">
        <w:t>, p</w:t>
      </w:r>
      <w:r>
        <w:t xml:space="preserve">age 230. </w:t>
      </w:r>
      <w:hyperlink r:id="rId13" w:history="1">
        <w:r w:rsidRPr="002A57B3">
          <w:rPr>
            <w:rStyle w:val="Hyperlink"/>
          </w:rPr>
          <w:t>https://www.regulations.gov/document?D=EERE-2014-BT-STD-0042-0016</w:t>
        </w:r>
      </w:hyperlink>
      <w:r>
        <w:t xml:space="preserve"> </w:t>
      </w:r>
    </w:p>
  </w:footnote>
  <w:footnote w:id="79">
    <w:p w14:paraId="6BEC74B6" w14:textId="1C0EE7D6" w:rsidR="007974C4" w:rsidRDefault="007974C4" w:rsidP="00181F0F">
      <w:pPr>
        <w:pStyle w:val="Footnote"/>
      </w:pPr>
      <w:r>
        <w:rPr>
          <w:rStyle w:val="FootnoteReference"/>
        </w:rPr>
        <w:footnoteRef/>
      </w:r>
      <w:r>
        <w:t xml:space="preserve"> </w:t>
      </w:r>
      <w:r w:rsidRPr="001C297D">
        <w:rPr>
          <w:i/>
        </w:rPr>
        <w:t>See</w:t>
      </w:r>
      <w:r>
        <w:t xml:space="preserve"> Section 3.4.2 </w:t>
      </w:r>
      <w:r w:rsidRPr="001C297D">
        <w:t xml:space="preserve">– </w:t>
      </w:r>
      <w:r>
        <w:t>Low-flow Pre-Rinse Sprayers for Retrofit Programs and Section 3.4.3 Low-flow Pre-Rinse Sprayers for Time of Sale / Retail Programs</w:t>
      </w:r>
      <w:r w:rsidRPr="001C297D">
        <w:t xml:space="preserve"> </w:t>
      </w:r>
      <w:r>
        <w:t>of the 2016 TRM, pages</w:t>
      </w:r>
      <w:r w:rsidRPr="001C297D">
        <w:t xml:space="preserve"> </w:t>
      </w:r>
      <w:r>
        <w:t>344 and 349, respectively</w:t>
      </w:r>
      <w:r w:rsidRPr="001C297D">
        <w:t>.</w:t>
      </w:r>
    </w:p>
  </w:footnote>
  <w:footnote w:id="80">
    <w:p w14:paraId="17375377" w14:textId="30FA40B2" w:rsidR="007974C4" w:rsidRDefault="007974C4" w:rsidP="00181F0F">
      <w:pPr>
        <w:pStyle w:val="Footnote"/>
      </w:pPr>
      <w:r>
        <w:rPr>
          <w:rStyle w:val="FootnoteReference"/>
        </w:rPr>
        <w:footnoteRef/>
      </w:r>
      <w:r>
        <w:t xml:space="preserve"> Impact </w:t>
      </w:r>
      <w:r w:rsidRPr="00181F0F">
        <w:t>Evaluation</w:t>
      </w:r>
      <w:r w:rsidRPr="0008779B">
        <w:t xml:space="preserve"> of Massachusetts Prescriptive Gas Pre-Rinse Spray Valve Measure, DNV-GL, 2014. </w:t>
      </w:r>
      <w:r>
        <w:t xml:space="preserve">Table 24. Page 6-12. </w:t>
      </w:r>
      <w:hyperlink r:id="rId14" w:history="1">
        <w:r w:rsidRPr="0008779B">
          <w:rPr>
            <w:rStyle w:val="Hyperlink"/>
            <w:rFonts w:cs="Arial"/>
          </w:rPr>
          <w:t>http://ma-eeac.org/wordpress/wp-content/uploads/Prescriptive-Gas-Pre-Rinse-Spray-Valve-Measure-Impact-Evaluation.pdf</w:t>
        </w:r>
      </w:hyperlink>
    </w:p>
  </w:footnote>
  <w:footnote w:id="81">
    <w:p w14:paraId="69FA4ED0" w14:textId="02E0AE33" w:rsidR="007974C4" w:rsidRDefault="007974C4" w:rsidP="00181F0F">
      <w:pPr>
        <w:pStyle w:val="Footnote"/>
      </w:pPr>
      <w:r>
        <w:rPr>
          <w:rStyle w:val="FootnoteReference"/>
        </w:rPr>
        <w:footnoteRef/>
      </w:r>
      <w:r>
        <w:t xml:space="preserve"> </w:t>
      </w:r>
      <w:r w:rsidRPr="001C297D">
        <w:rPr>
          <w:i/>
        </w:rPr>
        <w:t>See</w:t>
      </w:r>
      <w:r>
        <w:t xml:space="preserve"> Section 3.5.1 </w:t>
      </w:r>
      <w:r w:rsidRPr="001C297D">
        <w:t xml:space="preserve">– </w:t>
      </w:r>
      <w:r>
        <w:t>High-efficiency Refrigeration / Freezer Cases</w:t>
      </w:r>
      <w:r w:rsidRPr="001C297D">
        <w:t xml:space="preserve"> </w:t>
      </w:r>
      <w:r>
        <w:t>of the 2016 TRM, page</w:t>
      </w:r>
      <w:r w:rsidRPr="001C297D">
        <w:t xml:space="preserve"> </w:t>
      </w:r>
      <w:r>
        <w:t>369</w:t>
      </w:r>
      <w:r w:rsidRPr="001C297D">
        <w:t>.</w:t>
      </w:r>
    </w:p>
  </w:footnote>
  <w:footnote w:id="82">
    <w:p w14:paraId="63C3EF0F" w14:textId="73580E37" w:rsidR="007974C4" w:rsidRDefault="007974C4" w:rsidP="00181F0F">
      <w:pPr>
        <w:pStyle w:val="Footnote"/>
      </w:pPr>
      <w:r>
        <w:rPr>
          <w:rStyle w:val="FootnoteReference"/>
        </w:rPr>
        <w:footnoteRef/>
      </w:r>
      <w:r>
        <w:t xml:space="preserve"> </w:t>
      </w:r>
      <w:r w:rsidRPr="001C297D">
        <w:rPr>
          <w:i/>
        </w:rPr>
        <w:t>See</w:t>
      </w:r>
      <w:r>
        <w:t xml:space="preserve"> Section 3.5.2 </w:t>
      </w:r>
      <w:r w:rsidRPr="001C297D">
        <w:t xml:space="preserve">– </w:t>
      </w:r>
      <w:r>
        <w:t>High-efficiency Evaporator Fan Motors for Reach-in Refrigerated Cases</w:t>
      </w:r>
      <w:r w:rsidRPr="001C297D">
        <w:t xml:space="preserve"> </w:t>
      </w:r>
      <w:r>
        <w:t>of the 2016 TRM, page</w:t>
      </w:r>
      <w:r w:rsidRPr="001C297D">
        <w:t xml:space="preserve"> </w:t>
      </w:r>
      <w:r>
        <w:t>373</w:t>
      </w:r>
      <w:r w:rsidRPr="001C297D">
        <w:t>.</w:t>
      </w:r>
    </w:p>
  </w:footnote>
  <w:footnote w:id="83">
    <w:p w14:paraId="529EA307" w14:textId="628BCB51" w:rsidR="007974C4" w:rsidRDefault="007974C4" w:rsidP="00181F0F">
      <w:pPr>
        <w:pStyle w:val="Footnote"/>
      </w:pPr>
      <w:r>
        <w:rPr>
          <w:rStyle w:val="FootnoteReference"/>
        </w:rPr>
        <w:footnoteRef/>
      </w:r>
      <w:r>
        <w:t xml:space="preserve"> Commercial </w:t>
      </w:r>
      <w:r w:rsidRPr="00BE05F4">
        <w:t>Refrigeration Loadshape Project, Northeast Energy Efficiency Partnerships, October 2015.</w:t>
      </w:r>
      <w:r>
        <w:t xml:space="preserve"> Pages 71-72.</w:t>
      </w:r>
      <w:r w:rsidRPr="00BE05F4">
        <w:t xml:space="preserve"> </w:t>
      </w:r>
      <w:hyperlink r:id="rId15" w:history="1">
        <w:r w:rsidRPr="00BE05F4">
          <w:rPr>
            <w:rStyle w:val="Hyperlink"/>
            <w:rFonts w:cs="Arial"/>
          </w:rPr>
          <w:t>https://neep.org/commercial-refrigeration-loadshape-report-10-2015-0</w:t>
        </w:r>
      </w:hyperlink>
      <w:r>
        <w:t xml:space="preserve">. </w:t>
      </w:r>
    </w:p>
  </w:footnote>
  <w:footnote w:id="84">
    <w:p w14:paraId="23C15C20" w14:textId="77777777" w:rsidR="007974C4" w:rsidRDefault="007974C4" w:rsidP="00181F0F">
      <w:pPr>
        <w:pStyle w:val="Footnote"/>
      </w:pPr>
      <w:r>
        <w:rPr>
          <w:rStyle w:val="FootnoteReference"/>
        </w:rPr>
        <w:footnoteRef/>
      </w:r>
      <w:r>
        <w:t xml:space="preserve"> </w:t>
      </w:r>
      <w:r w:rsidRPr="00EB0EDA">
        <w:t>Department of Energy. “Energy Savings Potential and Opportunities for High-Efficiency Electric Motors in Residential and Commercial Equipment.” December 2013. Motor efficiencies for the baseline m</w:t>
      </w:r>
      <w:r>
        <w:t xml:space="preserve">otors are drawn from Table 2.1. </w:t>
      </w:r>
      <w:hyperlink r:id="rId16" w:history="1">
        <w:r w:rsidRPr="0014210B">
          <w:rPr>
            <w:rStyle w:val="Hyperlink"/>
          </w:rPr>
          <w:t>https://www.energy.gov/sites/prod/files/2014/02/f8/Motor%20Energy%20Savings%20Potential%20Report%202013-12-4.pdf</w:t>
        </w:r>
      </w:hyperlink>
      <w:r>
        <w:t xml:space="preserve"> </w:t>
      </w:r>
    </w:p>
  </w:footnote>
  <w:footnote w:id="85">
    <w:p w14:paraId="3B4ECC6D" w14:textId="53D34D8B" w:rsidR="007974C4" w:rsidRDefault="007974C4" w:rsidP="00181F0F">
      <w:pPr>
        <w:pStyle w:val="Footnote"/>
      </w:pPr>
      <w:r>
        <w:rPr>
          <w:rStyle w:val="FootnoteReference"/>
        </w:rPr>
        <w:footnoteRef/>
      </w:r>
      <w:r>
        <w:t xml:space="preserve"> </w:t>
      </w:r>
      <w:r w:rsidRPr="001C297D">
        <w:rPr>
          <w:i/>
        </w:rPr>
        <w:t>See</w:t>
      </w:r>
      <w:r>
        <w:t xml:space="preserve"> Section 3.5.4 </w:t>
      </w:r>
      <w:r w:rsidRPr="001C297D">
        <w:t xml:space="preserve">– </w:t>
      </w:r>
      <w:r>
        <w:t>Controls: Evaporator Fan Controllers</w:t>
      </w:r>
      <w:r w:rsidRPr="001C297D">
        <w:t xml:space="preserve"> </w:t>
      </w:r>
      <w:r>
        <w:t>of the 2016 TRM, page</w:t>
      </w:r>
      <w:r w:rsidRPr="001C297D">
        <w:t xml:space="preserve"> </w:t>
      </w:r>
      <w:r>
        <w:t>382</w:t>
      </w:r>
      <w:r w:rsidRPr="001C297D">
        <w:t>.</w:t>
      </w:r>
    </w:p>
  </w:footnote>
  <w:footnote w:id="86">
    <w:p w14:paraId="04450C5A" w14:textId="7DC0AABD" w:rsidR="007974C4" w:rsidRDefault="007974C4" w:rsidP="00181F0F">
      <w:pPr>
        <w:pStyle w:val="Footnote"/>
      </w:pPr>
      <w:r>
        <w:rPr>
          <w:rStyle w:val="FootnoteReference"/>
        </w:rPr>
        <w:footnoteRef/>
      </w:r>
      <w:r>
        <w:t xml:space="preserve"> Commercial </w:t>
      </w:r>
      <w:r w:rsidRPr="00BE05F4">
        <w:t>Refrigeration Loadshape Project, Northeast Energy Efficiency Partnerships, October 2015.</w:t>
      </w:r>
      <w:r>
        <w:t xml:space="preserve"> Pages 73-74.</w:t>
      </w:r>
      <w:r w:rsidRPr="00BE05F4">
        <w:t xml:space="preserve"> </w:t>
      </w:r>
      <w:hyperlink r:id="rId17" w:history="1">
        <w:r w:rsidRPr="00BE05F4">
          <w:rPr>
            <w:rStyle w:val="Hyperlink"/>
            <w:rFonts w:cs="Arial"/>
          </w:rPr>
          <w:t>https://neep.org/commercial-refrigeration-loadshape-report-10-2015-0</w:t>
        </w:r>
      </w:hyperlink>
      <w:r>
        <w:t>.</w:t>
      </w:r>
    </w:p>
  </w:footnote>
  <w:footnote w:id="87">
    <w:p w14:paraId="206FD269" w14:textId="534CE544" w:rsidR="007974C4" w:rsidRDefault="007974C4" w:rsidP="00181F0F">
      <w:pPr>
        <w:pStyle w:val="Footnote"/>
      </w:pPr>
      <w:r>
        <w:rPr>
          <w:rStyle w:val="FootnoteReference"/>
        </w:rPr>
        <w:footnoteRef/>
      </w:r>
      <w:r>
        <w:t xml:space="preserve"> </w:t>
      </w:r>
      <w:r w:rsidRPr="001C297D">
        <w:rPr>
          <w:i/>
        </w:rPr>
        <w:t>See</w:t>
      </w:r>
      <w:r>
        <w:t xml:space="preserve"> Section 3.5.5 </w:t>
      </w:r>
      <w:r w:rsidRPr="001C297D">
        <w:t xml:space="preserve">– </w:t>
      </w:r>
      <w:r>
        <w:t>Controls: Floating Head Pressure Controls</w:t>
      </w:r>
      <w:r w:rsidRPr="001C297D">
        <w:t xml:space="preserve"> </w:t>
      </w:r>
      <w:r>
        <w:t>of the 2016 TRM, page</w:t>
      </w:r>
      <w:r w:rsidRPr="001C297D">
        <w:t xml:space="preserve"> </w:t>
      </w:r>
      <w:r>
        <w:t>385</w:t>
      </w:r>
      <w:r w:rsidRPr="001C297D">
        <w:t>.</w:t>
      </w:r>
    </w:p>
  </w:footnote>
  <w:footnote w:id="88">
    <w:p w14:paraId="61888AB4" w14:textId="595931A4" w:rsidR="007974C4" w:rsidRDefault="007974C4" w:rsidP="00181F0F">
      <w:pPr>
        <w:pStyle w:val="Footnote"/>
      </w:pPr>
      <w:r>
        <w:rPr>
          <w:rStyle w:val="FootnoteReference"/>
        </w:rPr>
        <w:footnoteRef/>
      </w:r>
      <w:r>
        <w:t xml:space="preserve"> Database for UES Measures, </w:t>
      </w:r>
      <w:r w:rsidRPr="00181F0F">
        <w:t>Regional</w:t>
      </w:r>
      <w:r>
        <w:t xml:space="preserve"> Technical Forum</w:t>
      </w:r>
      <w:r w:rsidRPr="00AF5A7A">
        <w:t xml:space="preserve">. Grocery Floating Head Pressure Controls </w:t>
      </w:r>
      <w:r>
        <w:t>for Single Compressor Systems, December 2016</w:t>
      </w:r>
      <w:r w:rsidRPr="00AF5A7A">
        <w:t>, V1.</w:t>
      </w:r>
      <w:r>
        <w:t xml:space="preserve">6. </w:t>
      </w:r>
      <w:hyperlink r:id="rId18" w:history="1">
        <w:r w:rsidRPr="002A57B3">
          <w:rPr>
            <w:rStyle w:val="Hyperlink"/>
          </w:rPr>
          <w:t>https://rtf.nwcouncil.org/measure/floating-head-pressure-controls-single-compressor-systems</w:t>
        </w:r>
      </w:hyperlink>
      <w:r>
        <w:t xml:space="preserve"> </w:t>
      </w:r>
    </w:p>
  </w:footnote>
  <w:footnote w:id="89">
    <w:p w14:paraId="03CA031E" w14:textId="446665A8" w:rsidR="007974C4" w:rsidRDefault="007974C4" w:rsidP="00181F0F">
      <w:pPr>
        <w:pStyle w:val="Footnote"/>
      </w:pPr>
      <w:r>
        <w:rPr>
          <w:rStyle w:val="FootnoteReference"/>
        </w:rPr>
        <w:footnoteRef/>
      </w:r>
      <w:r>
        <w:t xml:space="preserve"> </w:t>
      </w:r>
      <w:r w:rsidRPr="001C297D">
        <w:rPr>
          <w:i/>
        </w:rPr>
        <w:t>See</w:t>
      </w:r>
      <w:r>
        <w:t xml:space="preserve"> Section 3.5.6 </w:t>
      </w:r>
      <w:r w:rsidRPr="001C297D">
        <w:t xml:space="preserve">– </w:t>
      </w:r>
      <w:r>
        <w:t>Controls: Anti-sweat Heater Controls</w:t>
      </w:r>
      <w:r w:rsidRPr="001C297D">
        <w:t xml:space="preserve"> </w:t>
      </w:r>
      <w:r>
        <w:t>of the 2016 TRM, page</w:t>
      </w:r>
      <w:r w:rsidRPr="001C297D">
        <w:t xml:space="preserve"> </w:t>
      </w:r>
      <w:r>
        <w:t>389</w:t>
      </w:r>
      <w:r w:rsidRPr="001C297D">
        <w:t>.</w:t>
      </w:r>
    </w:p>
  </w:footnote>
  <w:footnote w:id="90">
    <w:p w14:paraId="51518BD8" w14:textId="3C387227" w:rsidR="007974C4" w:rsidRDefault="007974C4" w:rsidP="00181F0F">
      <w:pPr>
        <w:pStyle w:val="Footnote"/>
      </w:pPr>
      <w:r>
        <w:rPr>
          <w:rStyle w:val="FootnoteReference"/>
        </w:rPr>
        <w:footnoteRef/>
      </w:r>
      <w:r>
        <w:t xml:space="preserve"> Commercial </w:t>
      </w:r>
      <w:r w:rsidRPr="00181F0F">
        <w:t>Refrigeration</w:t>
      </w:r>
      <w:r w:rsidRPr="00BE05F4">
        <w:t xml:space="preserve"> Loadshape Project, Northeast Energy Efficiency Partnerships, October 2015.</w:t>
      </w:r>
      <w:r>
        <w:t xml:space="preserve"> Pages 74-75.</w:t>
      </w:r>
      <w:r w:rsidRPr="00BE05F4">
        <w:t xml:space="preserve"> </w:t>
      </w:r>
      <w:hyperlink r:id="rId19" w:history="1">
        <w:r w:rsidRPr="00BE05F4">
          <w:rPr>
            <w:rStyle w:val="Hyperlink"/>
            <w:rFonts w:cs="Arial"/>
          </w:rPr>
          <w:t>https://neep.org/commercial-refrigeration-loadshape-report-10-2015-0</w:t>
        </w:r>
      </w:hyperlink>
      <w:r>
        <w:t>.</w:t>
      </w:r>
    </w:p>
  </w:footnote>
  <w:footnote w:id="91">
    <w:p w14:paraId="7EBDE367" w14:textId="1956028A" w:rsidR="007974C4" w:rsidRDefault="007974C4" w:rsidP="00181F0F">
      <w:pPr>
        <w:pStyle w:val="Footnote"/>
      </w:pPr>
      <w:r>
        <w:rPr>
          <w:rStyle w:val="FootnoteReference"/>
        </w:rPr>
        <w:footnoteRef/>
      </w:r>
      <w:r>
        <w:t xml:space="preserve"> </w:t>
      </w:r>
      <w:r w:rsidRPr="001C297D">
        <w:rPr>
          <w:i/>
        </w:rPr>
        <w:t>See</w:t>
      </w:r>
      <w:r>
        <w:t xml:space="preserve"> Section 3.5.7 </w:t>
      </w:r>
      <w:r w:rsidRPr="001C297D">
        <w:t xml:space="preserve">– </w:t>
      </w:r>
      <w:r>
        <w:t>Controls: Evaporator Coil Defrost Control</w:t>
      </w:r>
      <w:r w:rsidRPr="001C297D">
        <w:t xml:space="preserve"> </w:t>
      </w:r>
      <w:r>
        <w:t>of the 2016 TRM, page</w:t>
      </w:r>
      <w:r w:rsidRPr="001C297D">
        <w:t xml:space="preserve"> </w:t>
      </w:r>
      <w:r>
        <w:t>393</w:t>
      </w:r>
      <w:r w:rsidRPr="001C297D">
        <w:t>.</w:t>
      </w:r>
    </w:p>
  </w:footnote>
  <w:footnote w:id="92">
    <w:p w14:paraId="511AFBE7" w14:textId="3E971D94" w:rsidR="007974C4" w:rsidRDefault="007974C4" w:rsidP="00181F0F">
      <w:pPr>
        <w:pStyle w:val="Footnote"/>
      </w:pPr>
      <w:r>
        <w:rPr>
          <w:rStyle w:val="FootnoteReference"/>
        </w:rPr>
        <w:footnoteRef/>
      </w:r>
      <w:r>
        <w:t xml:space="preserve"> </w:t>
      </w:r>
      <w:r w:rsidRPr="001C297D">
        <w:rPr>
          <w:i/>
        </w:rPr>
        <w:t>See</w:t>
      </w:r>
      <w:r>
        <w:t xml:space="preserve"> Section 3.5.8 </w:t>
      </w:r>
      <w:r w:rsidRPr="001C297D">
        <w:t xml:space="preserve">– </w:t>
      </w:r>
      <w:r>
        <w:t>Variable Speed Refrigeration Compressor</w:t>
      </w:r>
      <w:r w:rsidRPr="001C297D">
        <w:t xml:space="preserve"> </w:t>
      </w:r>
      <w:r>
        <w:t>of the 2016 TRM, page</w:t>
      </w:r>
      <w:r w:rsidRPr="001C297D">
        <w:t xml:space="preserve"> </w:t>
      </w:r>
      <w:r>
        <w:t>396</w:t>
      </w:r>
      <w:r w:rsidRPr="001C297D">
        <w:t>.</w:t>
      </w:r>
    </w:p>
  </w:footnote>
  <w:footnote w:id="93">
    <w:p w14:paraId="790C620F" w14:textId="015155D4" w:rsidR="007974C4" w:rsidRDefault="007974C4" w:rsidP="00181F0F">
      <w:pPr>
        <w:pStyle w:val="Footnote"/>
      </w:pPr>
      <w:r>
        <w:rPr>
          <w:rStyle w:val="FootnoteReference"/>
        </w:rPr>
        <w:footnoteRef/>
      </w:r>
      <w:r>
        <w:t xml:space="preserve"> Navigant Consulting Inc., “</w:t>
      </w:r>
      <w:r w:rsidRPr="000563AA">
        <w:rPr>
          <w:i/>
          <w:iCs/>
        </w:rPr>
        <w:t>Energy Savings Potential and R&amp;D Opportunities for Commercial Refrigeration,</w:t>
      </w:r>
      <w:r>
        <w:t xml:space="preserve">” U.S. Department of Energy, September 2009. Table 4-4. </w:t>
      </w:r>
      <w:hyperlink r:id="rId20" w:history="1">
        <w:r w:rsidRPr="0044504B">
          <w:rPr>
            <w:rStyle w:val="Hyperlink"/>
          </w:rPr>
          <w:t>https://www1.eere.energy.gov/buildings/pdfs/commercial_refrigeration_equipment_research_opportunities.pdf</w:t>
        </w:r>
      </w:hyperlink>
      <w:r>
        <w:t>.</w:t>
      </w:r>
    </w:p>
  </w:footnote>
  <w:footnote w:id="94">
    <w:p w14:paraId="08C62399" w14:textId="6F9C8E67" w:rsidR="007974C4" w:rsidRDefault="007974C4" w:rsidP="00181F0F">
      <w:pPr>
        <w:pStyle w:val="Footnote"/>
      </w:pPr>
      <w:r>
        <w:rPr>
          <w:rStyle w:val="FootnoteReference"/>
        </w:rPr>
        <w:footnoteRef/>
      </w:r>
      <w:r>
        <w:t xml:space="preserve"> </w:t>
      </w:r>
      <w:r w:rsidRPr="0004032E">
        <w:rPr>
          <w:i/>
        </w:rPr>
        <w:t>See</w:t>
      </w:r>
      <w:r>
        <w:t xml:space="preserve"> Section 3.5.10 – Night Covers for Display Cases of the 2016 TRM, page 407.</w:t>
      </w:r>
    </w:p>
  </w:footnote>
  <w:footnote w:id="95">
    <w:p w14:paraId="05BC14A3" w14:textId="04492825" w:rsidR="007974C4" w:rsidRDefault="007974C4" w:rsidP="00181F0F">
      <w:pPr>
        <w:pStyle w:val="Footnote"/>
      </w:pPr>
      <w:r>
        <w:rPr>
          <w:rStyle w:val="FootnoteReference"/>
        </w:rPr>
        <w:footnoteRef/>
      </w:r>
      <w:r>
        <w:t xml:space="preserve"> </w:t>
      </w:r>
      <w:r w:rsidRPr="001C297D">
        <w:rPr>
          <w:i/>
        </w:rPr>
        <w:t>See</w:t>
      </w:r>
      <w:r>
        <w:t xml:space="preserve"> Section 3.5.11 </w:t>
      </w:r>
      <w:r w:rsidRPr="001C297D">
        <w:t xml:space="preserve">– </w:t>
      </w:r>
      <w:r>
        <w:t>Auto Closers</w:t>
      </w:r>
      <w:r w:rsidRPr="001C297D">
        <w:t xml:space="preserve"> </w:t>
      </w:r>
      <w:r>
        <w:t>of the 2016 TRM, page</w:t>
      </w:r>
      <w:r w:rsidRPr="001C297D">
        <w:t xml:space="preserve"> </w:t>
      </w:r>
      <w:r>
        <w:t>410</w:t>
      </w:r>
      <w:r w:rsidRPr="001C297D">
        <w:t>.</w:t>
      </w:r>
    </w:p>
  </w:footnote>
  <w:footnote w:id="96">
    <w:p w14:paraId="34AA3D8A" w14:textId="1A2F095D" w:rsidR="007974C4" w:rsidRDefault="007974C4" w:rsidP="00181F0F">
      <w:pPr>
        <w:pStyle w:val="Footnote"/>
      </w:pPr>
      <w:r>
        <w:rPr>
          <w:rStyle w:val="FootnoteReference"/>
        </w:rPr>
        <w:footnoteRef/>
      </w:r>
      <w:r>
        <w:t xml:space="preserve"> </w:t>
      </w:r>
      <w:r w:rsidRPr="001C297D">
        <w:rPr>
          <w:i/>
        </w:rPr>
        <w:t>See</w:t>
      </w:r>
      <w:r>
        <w:t xml:space="preserve"> Section 3.5.14 </w:t>
      </w:r>
      <w:r w:rsidRPr="001C297D">
        <w:t xml:space="preserve">– </w:t>
      </w:r>
      <w:r>
        <w:t>Suction Pipe Insulation for Walk-in Coolers and Freezers</w:t>
      </w:r>
      <w:r w:rsidRPr="001C297D">
        <w:t xml:space="preserve"> </w:t>
      </w:r>
      <w:r>
        <w:t>of the 2016 TRM, page</w:t>
      </w:r>
      <w:r w:rsidRPr="001C297D">
        <w:t xml:space="preserve"> </w:t>
      </w:r>
      <w:r>
        <w:t>418</w:t>
      </w:r>
      <w:r w:rsidRPr="001C297D">
        <w:t>.</w:t>
      </w:r>
    </w:p>
  </w:footnote>
  <w:footnote w:id="97">
    <w:p w14:paraId="4EC62755" w14:textId="48F17A63" w:rsidR="007974C4" w:rsidRDefault="007974C4" w:rsidP="00181F0F">
      <w:pPr>
        <w:pStyle w:val="Footnote"/>
      </w:pPr>
      <w:r>
        <w:rPr>
          <w:rStyle w:val="FootnoteReference"/>
        </w:rPr>
        <w:footnoteRef/>
      </w:r>
      <w:r>
        <w:t xml:space="preserve"> </w:t>
      </w:r>
      <w:r w:rsidRPr="001C297D">
        <w:rPr>
          <w:i/>
        </w:rPr>
        <w:t>See</w:t>
      </w:r>
      <w:r>
        <w:t xml:space="preserve"> Section 3.5.15 </w:t>
      </w:r>
      <w:r w:rsidRPr="001C297D">
        <w:t xml:space="preserve">– </w:t>
      </w:r>
      <w:r>
        <w:t>Refrigerated Display Cases with Doors Replacing Open Cases</w:t>
      </w:r>
      <w:r w:rsidRPr="001C297D">
        <w:t xml:space="preserve"> </w:t>
      </w:r>
      <w:r>
        <w:t>of the 2016 TRM, page</w:t>
      </w:r>
      <w:r w:rsidRPr="001C297D">
        <w:t xml:space="preserve"> </w:t>
      </w:r>
      <w:r>
        <w:t>420</w:t>
      </w:r>
      <w:r w:rsidRPr="001C297D">
        <w:t>.</w:t>
      </w:r>
    </w:p>
  </w:footnote>
  <w:footnote w:id="98">
    <w:p w14:paraId="3A5609E0" w14:textId="5553454A" w:rsidR="007974C4" w:rsidRDefault="007974C4" w:rsidP="00181F0F">
      <w:pPr>
        <w:pStyle w:val="Footnote"/>
      </w:pPr>
      <w:r>
        <w:rPr>
          <w:rStyle w:val="FootnoteReference"/>
        </w:rPr>
        <w:footnoteRef/>
      </w:r>
      <w:r>
        <w:t xml:space="preserve"> </w:t>
      </w:r>
      <w:r w:rsidRPr="001C297D">
        <w:rPr>
          <w:i/>
        </w:rPr>
        <w:t>See</w:t>
      </w:r>
      <w:r>
        <w:t xml:space="preserve"> Section 3.5.16 </w:t>
      </w:r>
      <w:r w:rsidRPr="001C297D">
        <w:t xml:space="preserve">– </w:t>
      </w:r>
      <w:r>
        <w:t>Adding Doors to Existing Refrigerated Display Cases</w:t>
      </w:r>
      <w:r w:rsidRPr="001C297D">
        <w:t xml:space="preserve"> </w:t>
      </w:r>
      <w:r>
        <w:t>of the 2016 TRM, page</w:t>
      </w:r>
      <w:r w:rsidRPr="001C297D">
        <w:t xml:space="preserve"> </w:t>
      </w:r>
      <w:r>
        <w:t>422</w:t>
      </w:r>
      <w:r w:rsidRPr="001C297D">
        <w:t>.</w:t>
      </w:r>
    </w:p>
  </w:footnote>
  <w:footnote w:id="99">
    <w:p w14:paraId="4FF5261E" w14:textId="5281217C" w:rsidR="007974C4" w:rsidRPr="00E425F9" w:rsidRDefault="007974C4" w:rsidP="00181F0F">
      <w:pPr>
        <w:pStyle w:val="Footnote"/>
      </w:pPr>
      <w:r>
        <w:rPr>
          <w:rStyle w:val="FootnoteReference"/>
        </w:rPr>
        <w:footnoteRef/>
      </w:r>
      <w:r>
        <w:t xml:space="preserve"> Fric</w:t>
      </w:r>
      <w:r w:rsidRPr="00E425F9">
        <w:t xml:space="preserve">ke, Brian and Becker, Bryan, </w:t>
      </w:r>
      <w:r w:rsidRPr="00E6106D">
        <w:t>“</w:t>
      </w:r>
      <w:r w:rsidRPr="00E425F9">
        <w:t>Energy Use of Doored and Open Vertical Refrigerated Display Cases</w:t>
      </w:r>
      <w:r>
        <w:t>”</w:t>
      </w:r>
      <w:r w:rsidRPr="00E425F9">
        <w:t xml:space="preserve"> (2010). International Refrigeration and Air Conditioning Conference. Paper 1154. </w:t>
      </w:r>
      <w:hyperlink r:id="rId21" w:history="1">
        <w:r w:rsidRPr="00B141EB">
          <w:rPr>
            <w:rStyle w:val="Hyperlink"/>
          </w:rPr>
          <w:t>http://docs.lib.purdue.edu/iracc/1154</w:t>
        </w:r>
      </w:hyperlink>
      <w:r>
        <w:t xml:space="preserve"> </w:t>
      </w:r>
    </w:p>
  </w:footnote>
  <w:footnote w:id="100">
    <w:p w14:paraId="3A9868D5" w14:textId="224DB43A" w:rsidR="007974C4" w:rsidRDefault="007974C4" w:rsidP="00181F0F">
      <w:pPr>
        <w:pStyle w:val="Footnote"/>
      </w:pPr>
      <w:r>
        <w:rPr>
          <w:rStyle w:val="FootnoteReference"/>
        </w:rPr>
        <w:footnoteRef/>
      </w:r>
      <w:r>
        <w:t xml:space="preserve"> </w:t>
      </w:r>
      <w:r w:rsidRPr="001C297D">
        <w:rPr>
          <w:i/>
        </w:rPr>
        <w:t>See</w:t>
      </w:r>
      <w:r>
        <w:t xml:space="preserve"> Section 3.6.1 </w:t>
      </w:r>
      <w:r w:rsidRPr="001C297D">
        <w:t xml:space="preserve">– </w:t>
      </w:r>
      <w:r>
        <w:t>ENERGY STAR Clothes Washer</w:t>
      </w:r>
      <w:r w:rsidRPr="001C297D">
        <w:t xml:space="preserve"> </w:t>
      </w:r>
      <w:r>
        <w:t>of the 2016 TRM, page</w:t>
      </w:r>
      <w:r w:rsidRPr="001C297D">
        <w:t xml:space="preserve"> </w:t>
      </w:r>
      <w:r>
        <w:t>424</w:t>
      </w:r>
      <w:r w:rsidRPr="001C297D">
        <w:t>.</w:t>
      </w:r>
    </w:p>
  </w:footnote>
  <w:footnote w:id="101">
    <w:p w14:paraId="70FFFA19" w14:textId="1986FF91" w:rsidR="007974C4" w:rsidRDefault="007974C4" w:rsidP="00181F0F">
      <w:pPr>
        <w:pStyle w:val="Footnote"/>
      </w:pPr>
      <w:r>
        <w:rPr>
          <w:rStyle w:val="FootnoteReference"/>
        </w:rPr>
        <w:footnoteRef/>
      </w:r>
      <w:r>
        <w:t xml:space="preserve"> </w:t>
      </w:r>
      <w:r w:rsidRPr="001C297D">
        <w:rPr>
          <w:i/>
        </w:rPr>
        <w:t>See</w:t>
      </w:r>
      <w:r>
        <w:t xml:space="preserve"> Section 3.7.1 </w:t>
      </w:r>
      <w:r w:rsidRPr="001C297D">
        <w:t xml:space="preserve">– </w:t>
      </w:r>
      <w:r>
        <w:t>High-efficiency Ice Machines</w:t>
      </w:r>
      <w:r w:rsidRPr="001C297D">
        <w:t xml:space="preserve"> </w:t>
      </w:r>
      <w:r>
        <w:t>of the 2016 TRM, page</w:t>
      </w:r>
      <w:r w:rsidRPr="001C297D">
        <w:t xml:space="preserve"> </w:t>
      </w:r>
      <w:r>
        <w:t>432.</w:t>
      </w:r>
    </w:p>
  </w:footnote>
  <w:footnote w:id="102">
    <w:p w14:paraId="7361CA13" w14:textId="498DC965" w:rsidR="007974C4" w:rsidRDefault="007974C4" w:rsidP="00181F0F">
      <w:pPr>
        <w:pStyle w:val="Footnote"/>
      </w:pPr>
      <w:r>
        <w:rPr>
          <w:rStyle w:val="FootnoteReference"/>
        </w:rPr>
        <w:footnoteRef/>
      </w:r>
      <w:r>
        <w:t xml:space="preserve"> </w:t>
      </w:r>
      <w:r w:rsidRPr="00133F20">
        <w:rPr>
          <w:i/>
        </w:rPr>
        <w:t>See</w:t>
      </w:r>
      <w:r>
        <w:t xml:space="preserve"> Section 3.7.2 – Controls: Beverage Machine Controls of the 2016 TRM, page 437.</w:t>
      </w:r>
    </w:p>
  </w:footnote>
  <w:footnote w:id="103">
    <w:p w14:paraId="18FC2374" w14:textId="0F1110E4" w:rsidR="007974C4" w:rsidRDefault="007974C4" w:rsidP="00181F0F">
      <w:pPr>
        <w:pStyle w:val="Footnote"/>
      </w:pPr>
      <w:r>
        <w:rPr>
          <w:rStyle w:val="FootnoteReference"/>
        </w:rPr>
        <w:footnoteRef/>
      </w:r>
      <w:r>
        <w:t xml:space="preserve"> </w:t>
      </w:r>
      <w:r w:rsidRPr="00133F20">
        <w:rPr>
          <w:i/>
        </w:rPr>
        <w:t>See</w:t>
      </w:r>
      <w:r>
        <w:t xml:space="preserve"> Section 3.7.4 – ENERGY STAR Electric Steam Cooker of the 2016 TRM, page 442.</w:t>
      </w:r>
    </w:p>
  </w:footnote>
  <w:footnote w:id="104">
    <w:p w14:paraId="7CABFDDB" w14:textId="34F76FBA" w:rsidR="007974C4" w:rsidRDefault="007974C4" w:rsidP="00181F0F">
      <w:pPr>
        <w:pStyle w:val="Footnote"/>
      </w:pPr>
      <w:r>
        <w:rPr>
          <w:rStyle w:val="FootnoteReference"/>
        </w:rPr>
        <w:footnoteRef/>
      </w:r>
      <w:r>
        <w:t xml:space="preserve"> </w:t>
      </w:r>
      <w:r w:rsidRPr="000563AA">
        <w:rPr>
          <w:i/>
          <w:iCs/>
        </w:rPr>
        <w:t>See</w:t>
      </w:r>
      <w:r>
        <w:t xml:space="preserve"> FirstEnergy Comments at page 6 </w:t>
      </w:r>
      <w:r w:rsidRPr="00181F0F">
        <w:t>found</w:t>
      </w:r>
      <w:r>
        <w:t xml:space="preserve"> at:  </w:t>
      </w:r>
      <w:hyperlink r:id="rId22" w:history="1">
        <w:r w:rsidRPr="009B5230">
          <w:rPr>
            <w:rStyle w:val="Hyperlink"/>
          </w:rPr>
          <w:t>http://www.puc.pa.gov/pcdocs/1359168.pdf</w:t>
        </w:r>
      </w:hyperlink>
      <w:r>
        <w:t xml:space="preserve">. </w:t>
      </w:r>
    </w:p>
  </w:footnote>
  <w:footnote w:id="105">
    <w:p w14:paraId="17926531" w14:textId="39CD0949" w:rsidR="007974C4" w:rsidRDefault="007974C4" w:rsidP="00181F0F">
      <w:pPr>
        <w:pStyle w:val="Footnote"/>
      </w:pPr>
      <w:r>
        <w:rPr>
          <w:rStyle w:val="FootnoteReference"/>
        </w:rPr>
        <w:footnoteRef/>
      </w:r>
      <w:r>
        <w:t xml:space="preserve"> </w:t>
      </w:r>
      <w:r w:rsidRPr="00133F20">
        <w:rPr>
          <w:i/>
        </w:rPr>
        <w:t>See</w:t>
      </w:r>
      <w:r>
        <w:t xml:space="preserve"> Section 3.8.1 – Wall and Ceiling Insulation of the 2016 TRM, page 450.</w:t>
      </w:r>
    </w:p>
  </w:footnote>
  <w:footnote w:id="106">
    <w:p w14:paraId="3F0C6BE8" w14:textId="704668E1" w:rsidR="007974C4" w:rsidRPr="00636D89" w:rsidRDefault="007974C4" w:rsidP="00181F0F">
      <w:pPr>
        <w:pStyle w:val="Footnote"/>
      </w:pPr>
      <w:r w:rsidRPr="00636D89">
        <w:rPr>
          <w:rStyle w:val="FootnoteReference"/>
          <w:szCs w:val="22"/>
        </w:rPr>
        <w:footnoteRef/>
      </w:r>
      <w:r w:rsidRPr="00636D89">
        <w:t xml:space="preserve"> </w:t>
      </w:r>
      <w:r w:rsidRPr="00636D89">
        <w:rPr>
          <w:i/>
        </w:rPr>
        <w:t xml:space="preserve">See </w:t>
      </w:r>
      <w:r w:rsidRPr="00636D89">
        <w:t>Section 3.9.1</w:t>
      </w:r>
      <w:r>
        <w:t xml:space="preserve"> – ENERGY STAR Office Equipment of the 2016 TRM, page 455.</w:t>
      </w:r>
    </w:p>
  </w:footnote>
  <w:footnote w:id="107">
    <w:p w14:paraId="4927D4CB" w14:textId="2FABB67D" w:rsidR="007974C4" w:rsidRDefault="007974C4" w:rsidP="00181F0F">
      <w:pPr>
        <w:pStyle w:val="Footnote"/>
      </w:pPr>
      <w:r>
        <w:rPr>
          <w:rStyle w:val="FootnoteReference"/>
        </w:rPr>
        <w:footnoteRef/>
      </w:r>
      <w:r>
        <w:t xml:space="preserve"> </w:t>
      </w:r>
      <w:r w:rsidRPr="00636D89">
        <w:rPr>
          <w:i/>
        </w:rPr>
        <w:t xml:space="preserve">See </w:t>
      </w:r>
      <w:r w:rsidRPr="00636D89">
        <w:t>Section 3.9.</w:t>
      </w:r>
      <w:r>
        <w:t>2 – Office Equipment – Network Power Management Enabling of the 2016 TRM, page 460.</w:t>
      </w:r>
    </w:p>
  </w:footnote>
  <w:footnote w:id="108">
    <w:p w14:paraId="181B423F" w14:textId="28191793" w:rsidR="007974C4" w:rsidRDefault="007974C4" w:rsidP="00181F0F">
      <w:pPr>
        <w:pStyle w:val="Footnote"/>
      </w:pPr>
      <w:r>
        <w:rPr>
          <w:rStyle w:val="FootnoteReference"/>
        </w:rPr>
        <w:footnoteRef/>
      </w:r>
      <w:r>
        <w:t xml:space="preserve"> </w:t>
      </w:r>
      <w:r w:rsidRPr="00636D89">
        <w:rPr>
          <w:i/>
        </w:rPr>
        <w:t xml:space="preserve">See </w:t>
      </w:r>
      <w:r w:rsidRPr="00636D89">
        <w:t>Section 3.9.</w:t>
      </w:r>
      <w:r>
        <w:t>3</w:t>
      </w:r>
      <w:r w:rsidRPr="00636D89">
        <w:t xml:space="preserve"> </w:t>
      </w:r>
      <w:r>
        <w:t xml:space="preserve">– Advanced Power </w:t>
      </w:r>
      <w:r w:rsidRPr="00181F0F">
        <w:t>Strips</w:t>
      </w:r>
      <w:r>
        <w:t xml:space="preserve"> of the 2016 TRM, page 463.</w:t>
      </w:r>
    </w:p>
  </w:footnote>
  <w:footnote w:id="109">
    <w:p w14:paraId="068A885E" w14:textId="6B071BCA" w:rsidR="007974C4" w:rsidRPr="004C241F" w:rsidRDefault="007974C4" w:rsidP="00181F0F">
      <w:pPr>
        <w:pStyle w:val="Footnote"/>
      </w:pPr>
      <w:r>
        <w:rPr>
          <w:rStyle w:val="FootnoteReference"/>
        </w:rPr>
        <w:footnoteRef/>
      </w:r>
      <w:r w:rsidRPr="00AB067D">
        <w:t xml:space="preserve"> “RLPNC</w:t>
      </w:r>
      <w:r>
        <w:t xml:space="preserve"> </w:t>
      </w:r>
      <w:r w:rsidRPr="00AB067D">
        <w:t>17-3: Advanced Power Strip Metering Study,” Massachusetts</w:t>
      </w:r>
      <w:r>
        <w:t xml:space="preserve"> P</w:t>
      </w:r>
      <w:r w:rsidRPr="00AB067D">
        <w:t>rograms Administrators and Other Plug-EEAC, (Oct. 2018), </w:t>
      </w:r>
      <w:hyperlink r:id="rId23" w:history="1">
        <w:r w:rsidRPr="00B141EB">
          <w:rPr>
            <w:rStyle w:val="Hyperlink"/>
            <w:szCs w:val="22"/>
          </w:rPr>
          <w:t>http://ma-eeac.org/wordpress/wp-content/uploads/RLPNC_173_APSMeteringReport_5OCT2018_Finalv2.pdf</w:t>
        </w:r>
      </w:hyperlink>
      <w:r>
        <w:t xml:space="preserve"> </w:t>
      </w:r>
    </w:p>
  </w:footnote>
  <w:footnote w:id="110">
    <w:p w14:paraId="2A6C7A00" w14:textId="67F0F0A8" w:rsidR="007974C4" w:rsidRDefault="007974C4" w:rsidP="00181F0F">
      <w:pPr>
        <w:pStyle w:val="Footnote"/>
      </w:pPr>
      <w:r>
        <w:rPr>
          <w:rStyle w:val="FootnoteReference"/>
        </w:rPr>
        <w:footnoteRef/>
      </w:r>
      <w:r>
        <w:t xml:space="preserve"> </w:t>
      </w:r>
      <w:r w:rsidRPr="004C241F">
        <w:rPr>
          <w:i/>
        </w:rPr>
        <w:t>See</w:t>
      </w:r>
      <w:r>
        <w:t xml:space="preserve"> Section 3.10.1 – Compressed Air </w:t>
      </w:r>
      <w:r w:rsidRPr="00181F0F">
        <w:t>Cycling</w:t>
      </w:r>
      <w:r>
        <w:t xml:space="preserve"> Refrigerated Thermal Mass Dryer of the 2016 TRM, page 465.</w:t>
      </w:r>
    </w:p>
  </w:footnote>
  <w:footnote w:id="111">
    <w:p w14:paraId="302E2D41" w14:textId="54B493B6" w:rsidR="007974C4" w:rsidRDefault="007974C4" w:rsidP="0087050C">
      <w:pPr>
        <w:pStyle w:val="FootnoteText"/>
      </w:pPr>
      <w:r>
        <w:rPr>
          <w:rStyle w:val="FootnoteReference"/>
        </w:rPr>
        <w:footnoteRef/>
      </w:r>
      <w:r>
        <w:t xml:space="preserve"> Measure </w:t>
      </w:r>
      <w:r w:rsidRPr="001A28D3">
        <w:t xml:space="preserve">Life Study prepared for the Massachusetts Joint Utilities. Energy and Resource Solutions, 2005. </w:t>
      </w:r>
      <w:hyperlink r:id="rId24" w:history="1">
        <w:r w:rsidRPr="001C290F">
          <w:rPr>
            <w:rStyle w:val="Hyperlink"/>
          </w:rPr>
          <w:t>https://www.focusonenergy.com/sites/default/files/bpmeasurelifestudyfinal_evaluationreport.pdf</w:t>
        </w:r>
      </w:hyperlink>
    </w:p>
  </w:footnote>
  <w:footnote w:id="112">
    <w:p w14:paraId="3271BE28" w14:textId="0AC2047B" w:rsidR="007974C4" w:rsidRDefault="007974C4" w:rsidP="00181F0F">
      <w:pPr>
        <w:pStyle w:val="Footnote"/>
      </w:pPr>
      <w:r>
        <w:rPr>
          <w:rStyle w:val="FootnoteReference"/>
        </w:rPr>
        <w:footnoteRef/>
      </w:r>
      <w:r>
        <w:t xml:space="preserve"> </w:t>
      </w:r>
      <w:r w:rsidRPr="004C241F">
        <w:rPr>
          <w:i/>
        </w:rPr>
        <w:t>See</w:t>
      </w:r>
      <w:r>
        <w:t xml:space="preserve"> Section 3.10.2 – Compressed Air-entraining Air Nozzle of the 2016 TRM, page 468.</w:t>
      </w:r>
    </w:p>
  </w:footnote>
  <w:footnote w:id="113">
    <w:p w14:paraId="0A87F619" w14:textId="77777777" w:rsidR="007974C4" w:rsidRDefault="007974C4" w:rsidP="007A0E43">
      <w:pPr>
        <w:pStyle w:val="FootnoteText"/>
      </w:pPr>
      <w:r>
        <w:rPr>
          <w:rStyle w:val="FootnoteReference"/>
        </w:rPr>
        <w:footnoteRef/>
      </w:r>
      <w:r>
        <w:t xml:space="preserve"> </w:t>
      </w:r>
      <w:r w:rsidRPr="003F2688">
        <w:t xml:space="preserve">PA Consulting Group (2009). Business Programs: Measure Life Study. Prepared for State of Wisconsin Public Service Commission. </w:t>
      </w:r>
      <w:hyperlink r:id="rId25" w:history="1">
        <w:r w:rsidRPr="003F2688">
          <w:rPr>
            <w:rStyle w:val="Hyperlink"/>
          </w:rPr>
          <w:t>https://focusonenergy.com/sites/default/files/bpmeasurelifestudyfinal_evaluationreport.pdf</w:t>
        </w:r>
      </w:hyperlink>
      <w:r>
        <w:t xml:space="preserve"> </w:t>
      </w:r>
    </w:p>
  </w:footnote>
  <w:footnote w:id="114">
    <w:p w14:paraId="407351A1" w14:textId="50328BF8" w:rsidR="007974C4" w:rsidRDefault="007974C4" w:rsidP="00181F0F">
      <w:pPr>
        <w:pStyle w:val="Footnote"/>
      </w:pPr>
      <w:r>
        <w:rPr>
          <w:rStyle w:val="FootnoteReference"/>
        </w:rPr>
        <w:footnoteRef/>
      </w:r>
      <w:r>
        <w:t xml:space="preserve"> </w:t>
      </w:r>
      <w:r w:rsidRPr="004C241F">
        <w:rPr>
          <w:i/>
        </w:rPr>
        <w:t>See</w:t>
      </w:r>
      <w:r>
        <w:t xml:space="preserve"> Section 3.10.3 – No-loss Condensate Drains of the 2016 TRM, page 472.</w:t>
      </w:r>
    </w:p>
  </w:footnote>
  <w:footnote w:id="115">
    <w:p w14:paraId="7C1480AA" w14:textId="3E308628" w:rsidR="007974C4" w:rsidRDefault="007974C4" w:rsidP="00181F0F">
      <w:pPr>
        <w:pStyle w:val="Footnote"/>
      </w:pPr>
      <w:r>
        <w:rPr>
          <w:rStyle w:val="FootnoteReference"/>
        </w:rPr>
        <w:footnoteRef/>
      </w:r>
      <w:r>
        <w:t xml:space="preserve"> </w:t>
      </w:r>
      <w:r w:rsidRPr="004C241F">
        <w:rPr>
          <w:i/>
        </w:rPr>
        <w:t>See</w:t>
      </w:r>
      <w:r>
        <w:t xml:space="preserve"> Section 3.10.4 – Compressed </w:t>
      </w:r>
      <w:r w:rsidRPr="00181F0F">
        <w:t>Air</w:t>
      </w:r>
      <w:r>
        <w:t>-tanks for Loads / No Load Compressors of the 2016 TRM, page 477.</w:t>
      </w:r>
    </w:p>
  </w:footnote>
  <w:footnote w:id="116">
    <w:p w14:paraId="6EC1CE1B" w14:textId="1AF47FCD" w:rsidR="007974C4" w:rsidRDefault="007974C4" w:rsidP="00181F0F">
      <w:pPr>
        <w:pStyle w:val="Footnote"/>
      </w:pPr>
      <w:r>
        <w:rPr>
          <w:rStyle w:val="FootnoteReference"/>
        </w:rPr>
        <w:footnoteRef/>
      </w:r>
      <w:r>
        <w:t xml:space="preserve"> </w:t>
      </w:r>
      <w:r w:rsidRPr="00636D89">
        <w:rPr>
          <w:i/>
        </w:rPr>
        <w:t xml:space="preserve">See </w:t>
      </w:r>
      <w:r w:rsidRPr="00636D89">
        <w:t>Section 3.</w:t>
      </w:r>
      <w:r>
        <w:t>11.1</w:t>
      </w:r>
      <w:r w:rsidRPr="00636D89">
        <w:t xml:space="preserve"> – </w:t>
      </w:r>
      <w:r>
        <w:t>ENERGY STAR Servers of the 2016 TRM, page 480.</w:t>
      </w:r>
    </w:p>
  </w:footnote>
  <w:footnote w:id="117">
    <w:p w14:paraId="7BDFF861" w14:textId="669776EF" w:rsidR="007974C4" w:rsidRDefault="007974C4" w:rsidP="00181F0F">
      <w:pPr>
        <w:pStyle w:val="Footnote"/>
      </w:pPr>
      <w:r>
        <w:rPr>
          <w:rStyle w:val="FootnoteReference"/>
        </w:rPr>
        <w:footnoteRef/>
      </w:r>
      <w:r>
        <w:t xml:space="preserve"> </w:t>
      </w:r>
      <w:r w:rsidRPr="00636D89">
        <w:rPr>
          <w:i/>
        </w:rPr>
        <w:t xml:space="preserve">See </w:t>
      </w:r>
      <w:r w:rsidRPr="00636D89">
        <w:t xml:space="preserve">Section </w:t>
      </w:r>
      <w:r>
        <w:t>4.1.3</w:t>
      </w:r>
      <w:r w:rsidRPr="00636D89">
        <w:t xml:space="preserve"> – </w:t>
      </w:r>
      <w:r>
        <w:t>High-efficiency Ventilation Fans with and without Thermostats of the 2016 TRM, page 491.</w:t>
      </w:r>
    </w:p>
  </w:footnote>
  <w:footnote w:id="118">
    <w:p w14:paraId="7FB0B509" w14:textId="3B395230" w:rsidR="007974C4" w:rsidRDefault="007974C4" w:rsidP="00181F0F">
      <w:pPr>
        <w:pStyle w:val="Footnote"/>
      </w:pPr>
      <w:r>
        <w:rPr>
          <w:rStyle w:val="FootnoteReference"/>
        </w:rPr>
        <w:footnoteRef/>
      </w:r>
      <w:r>
        <w:t xml:space="preserve"> </w:t>
      </w:r>
      <w:r w:rsidRPr="00636D89">
        <w:rPr>
          <w:i/>
        </w:rPr>
        <w:t xml:space="preserve">See </w:t>
      </w:r>
      <w:r w:rsidRPr="00636D89">
        <w:t xml:space="preserve">Section </w:t>
      </w:r>
      <w:r>
        <w:t>4.1.5</w:t>
      </w:r>
      <w:r w:rsidRPr="00636D89">
        <w:t xml:space="preserve"> – </w:t>
      </w:r>
      <w:r>
        <w:t>High Volume Low Speed Fans of the 2016 TRM, page 498.</w:t>
      </w:r>
    </w:p>
  </w:footnote>
  <w:footnote w:id="119">
    <w:p w14:paraId="02A2DA59" w14:textId="5BF75C34" w:rsidR="007974C4" w:rsidRDefault="007974C4" w:rsidP="00181F0F">
      <w:pPr>
        <w:pStyle w:val="Footnote"/>
      </w:pPr>
      <w:r>
        <w:rPr>
          <w:rStyle w:val="FootnoteReference"/>
        </w:rPr>
        <w:footnoteRef/>
      </w:r>
      <w:r>
        <w:t xml:space="preserve"> </w:t>
      </w:r>
      <w:r w:rsidRPr="00C4012B">
        <w:rPr>
          <w:i/>
        </w:rPr>
        <w:t>See</w:t>
      </w:r>
      <w:r>
        <w:t xml:space="preserve"> Section 5.1 – Load Curtailment for Commercial and Industrial Programs of the 2016 TRM, page 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974C4" w14:paraId="5125C073" w14:textId="77777777" w:rsidTr="66E8B1E4">
      <w:tc>
        <w:tcPr>
          <w:tcW w:w="3120" w:type="dxa"/>
        </w:tcPr>
        <w:p w14:paraId="0B219860" w14:textId="6194E377" w:rsidR="007974C4" w:rsidRDefault="007974C4" w:rsidP="007F5365">
          <w:pPr>
            <w:pStyle w:val="Header"/>
          </w:pPr>
        </w:p>
      </w:tc>
      <w:tc>
        <w:tcPr>
          <w:tcW w:w="3120" w:type="dxa"/>
        </w:tcPr>
        <w:p w14:paraId="02655F6F" w14:textId="4CB87535" w:rsidR="007974C4" w:rsidRDefault="007974C4" w:rsidP="007F5365">
          <w:pPr>
            <w:pStyle w:val="Header"/>
          </w:pPr>
        </w:p>
      </w:tc>
      <w:tc>
        <w:tcPr>
          <w:tcW w:w="3120" w:type="dxa"/>
        </w:tcPr>
        <w:p w14:paraId="5F37C769" w14:textId="2C62C9A9" w:rsidR="007974C4" w:rsidRDefault="007974C4" w:rsidP="007F5365">
          <w:pPr>
            <w:pStyle w:val="Header"/>
          </w:pPr>
        </w:p>
      </w:tc>
    </w:tr>
  </w:tbl>
  <w:p w14:paraId="7ADE83C5" w14:textId="7DD436C8" w:rsidR="007974C4" w:rsidRDefault="007974C4" w:rsidP="00382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2045" w14:textId="35CE4577" w:rsidR="007974C4" w:rsidRDefault="007974C4" w:rsidP="00D5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66FD" w14:textId="7683D211" w:rsidR="007974C4" w:rsidRDefault="007974C4" w:rsidP="00D5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1C3FBF"/>
    <w:multiLevelType w:val="hybridMultilevel"/>
    <w:tmpl w:val="BAA4D4AA"/>
    <w:lvl w:ilvl="0" w:tplc="52888864">
      <w:start w:val="1"/>
      <w:numFmt w:val="lowerRoman"/>
      <w:pStyle w:val="CommentsDispositio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A50AAF"/>
    <w:multiLevelType w:val="multilevel"/>
    <w:tmpl w:val="E1CA812E"/>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8"/>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3" w15:restartNumberingAfterBreak="0">
    <w:nsid w:val="09C87B06"/>
    <w:multiLevelType w:val="multilevel"/>
    <w:tmpl w:val="7E68034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21"/>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4" w15:restartNumberingAfterBreak="0">
    <w:nsid w:val="0B0F6977"/>
    <w:multiLevelType w:val="multilevel"/>
    <w:tmpl w:val="F076A1AE"/>
    <w:lvl w:ilvl="0">
      <w:start w:val="4"/>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3"/>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15:restartNumberingAfterBreak="0">
    <w:nsid w:val="0CF3012A"/>
    <w:multiLevelType w:val="multilevel"/>
    <w:tmpl w:val="CEE25722"/>
    <w:lvl w:ilvl="0">
      <w:start w:val="1"/>
      <w:numFmt w:val="upperLetter"/>
      <w:lvlText w:val="%1."/>
      <w:lvlJc w:val="left"/>
      <w:pPr>
        <w:ind w:left="720" w:hanging="720"/>
      </w:pPr>
      <w:rPr>
        <w:rFonts w:hint="default"/>
      </w:rPr>
    </w:lvl>
    <w:lvl w:ilvl="1">
      <w:start w:val="2"/>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11D270C"/>
    <w:multiLevelType w:val="multilevel"/>
    <w:tmpl w:val="43F2F6A6"/>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2"/>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7" w15:restartNumberingAfterBreak="0">
    <w:nsid w:val="13137217"/>
    <w:multiLevelType w:val="multilevel"/>
    <w:tmpl w:val="0C2656AA"/>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2"/>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8" w15:restartNumberingAfterBreak="0">
    <w:nsid w:val="14A65AE2"/>
    <w:multiLevelType w:val="hybridMultilevel"/>
    <w:tmpl w:val="327AFF10"/>
    <w:lvl w:ilvl="0" w:tplc="78A4A48A">
      <w:start w:val="1"/>
      <w:numFmt w:val="decimal"/>
      <w:lvlText w:val="%1."/>
      <w:lvlJc w:val="left"/>
      <w:pPr>
        <w:ind w:left="1080" w:hanging="360"/>
      </w:pPr>
      <w:rPr>
        <w:rFonts w:hint="default"/>
        <w:b/>
      </w:rPr>
    </w:lvl>
    <w:lvl w:ilvl="1" w:tplc="9DB81CB0">
      <w:start w:val="1"/>
      <w:numFmt w:val="lowerLetter"/>
      <w:lvlText w:val="%2."/>
      <w:lvlJc w:val="left"/>
      <w:pPr>
        <w:ind w:left="1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04090019">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15:restartNumberingAfterBreak="0">
    <w:nsid w:val="14B52737"/>
    <w:multiLevelType w:val="multilevel"/>
    <w:tmpl w:val="0CC8BA14"/>
    <w:lvl w:ilvl="0">
      <w:start w:val="2"/>
      <w:numFmt w:val="upperLetter"/>
      <w:lvlText w:val="%1."/>
      <w:lvlJc w:val="left"/>
      <w:pPr>
        <w:ind w:left="720" w:hanging="720"/>
      </w:pPr>
      <w:rPr>
        <w:rFonts w:hint="default"/>
      </w:rPr>
    </w:lvl>
    <w:lvl w:ilvl="1">
      <w:start w:val="2"/>
      <w:numFmt w:val="decimal"/>
      <w:lvlText w:val="%2."/>
      <w:lvlJc w:val="left"/>
      <w:pPr>
        <w:ind w:left="1440" w:hanging="720"/>
      </w:pPr>
      <w:rPr>
        <w:rFonts w:hint="default"/>
      </w:rPr>
    </w:lvl>
    <w:lvl w:ilvl="2">
      <w:start w:val="3"/>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0" w15:restartNumberingAfterBreak="0">
    <w:nsid w:val="16AD10A4"/>
    <w:multiLevelType w:val="multilevel"/>
    <w:tmpl w:val="BC84CBC8"/>
    <w:lvl w:ilvl="0">
      <w:start w:val="4"/>
      <w:numFmt w:val="upperLetter"/>
      <w:lvlText w:val="%1."/>
      <w:lvlJc w:val="left"/>
      <w:pPr>
        <w:ind w:left="720" w:hanging="720"/>
      </w:pPr>
      <w:rPr>
        <w:rFonts w:hint="default"/>
      </w:rPr>
    </w:lvl>
    <w:lvl w:ilvl="1">
      <w:start w:val="2"/>
      <w:numFmt w:val="decimal"/>
      <w:lvlText w:val="%2."/>
      <w:lvlJc w:val="left"/>
      <w:pPr>
        <w:ind w:left="1440" w:hanging="720"/>
      </w:pPr>
      <w:rPr>
        <w:rFonts w:hint="default"/>
      </w:rPr>
    </w:lvl>
    <w:lvl w:ilvl="2">
      <w:start w:val="3"/>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1" w15:restartNumberingAfterBreak="0">
    <w:nsid w:val="17EE3981"/>
    <w:multiLevelType w:val="hybridMultilevel"/>
    <w:tmpl w:val="98D0067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2" w15:restartNumberingAfterBreak="0">
    <w:nsid w:val="19685046"/>
    <w:multiLevelType w:val="multilevel"/>
    <w:tmpl w:val="6416129C"/>
    <w:lvl w:ilvl="0">
      <w:start w:val="1"/>
      <w:numFmt w:val="upperRoman"/>
      <w:lvlText w:val="%1."/>
      <w:lvlJc w:val="left"/>
      <w:pPr>
        <w:ind w:left="-720" w:firstLine="0"/>
      </w:pPr>
      <w:rPr>
        <w:rFonts w:hint="default"/>
      </w:rPr>
    </w:lvl>
    <w:lvl w:ilvl="1">
      <w:start w:val="9"/>
      <w:numFmt w:val="upperLetter"/>
      <w:lvlText w:val="%2."/>
      <w:lvlJc w:val="left"/>
      <w:pPr>
        <w:ind w:left="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3" w15:restartNumberingAfterBreak="0">
    <w:nsid w:val="19F2072A"/>
    <w:multiLevelType w:val="multilevel"/>
    <w:tmpl w:val="5002B87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8"/>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4" w15:restartNumberingAfterBreak="0">
    <w:nsid w:val="1E7D4D51"/>
    <w:multiLevelType w:val="multilevel"/>
    <w:tmpl w:val="616E3A84"/>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8"/>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5" w15:restartNumberingAfterBreak="0">
    <w:nsid w:val="1EAB3ADF"/>
    <w:multiLevelType w:val="multilevel"/>
    <w:tmpl w:val="0C2656AA"/>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2"/>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6" w15:restartNumberingAfterBreak="0">
    <w:nsid w:val="210C1352"/>
    <w:multiLevelType w:val="multilevel"/>
    <w:tmpl w:val="B2D05CC4"/>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0"/>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7" w15:restartNumberingAfterBreak="0">
    <w:nsid w:val="21A55C3D"/>
    <w:multiLevelType w:val="multilevel"/>
    <w:tmpl w:val="0C2656AA"/>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2"/>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18" w15:restartNumberingAfterBreak="0">
    <w:nsid w:val="22A53EF8"/>
    <w:multiLevelType w:val="multilevel"/>
    <w:tmpl w:val="C6A8D364"/>
    <w:lvl w:ilvl="0">
      <w:start w:val="2"/>
      <w:numFmt w:val="upperLetter"/>
      <w:lvlText w:val="%1."/>
      <w:lvlJc w:val="left"/>
      <w:pPr>
        <w:ind w:left="720" w:hanging="720"/>
      </w:pPr>
      <w:rPr>
        <w:rFonts w:hint="default"/>
      </w:rPr>
    </w:lvl>
    <w:lvl w:ilvl="1">
      <w:start w:val="16"/>
      <w:numFmt w:val="decimal"/>
      <w:lvlText w:val="%2."/>
      <w:lvlJc w:val="left"/>
      <w:pPr>
        <w:ind w:left="1440" w:hanging="720"/>
      </w:pPr>
      <w:rPr>
        <w:rFonts w:hint="default"/>
        <w:b/>
        <w:bCs/>
      </w:rPr>
    </w:lvl>
    <w:lvl w:ilvl="2">
      <w:start w:val="2"/>
      <w:numFmt w:val="lowerLetter"/>
      <w:lvlText w:val="%3."/>
      <w:lvlJc w:val="left"/>
      <w:pPr>
        <w:ind w:left="2160" w:hanging="720"/>
      </w:pPr>
      <w:rPr>
        <w:rFonts w:hint="default"/>
        <w:b/>
        <w:i w:val="0"/>
      </w:rPr>
    </w:lvl>
    <w:lvl w:ilvl="3">
      <w:start w:val="1"/>
      <w:numFmt w:val="lowerRoman"/>
      <w:lvlText w:val="%4."/>
      <w:lvlJc w:val="left"/>
      <w:pPr>
        <w:ind w:left="2880" w:hanging="720"/>
      </w:pPr>
      <w:rPr>
        <w:rFonts w:hint="default"/>
        <w:b w:val="0"/>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9" w15:restartNumberingAfterBreak="0">
    <w:nsid w:val="26B06324"/>
    <w:multiLevelType w:val="hybridMultilevel"/>
    <w:tmpl w:val="88D0259E"/>
    <w:lvl w:ilvl="0" w:tplc="A80668D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0052E9"/>
    <w:multiLevelType w:val="multilevel"/>
    <w:tmpl w:val="FEF477A4"/>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21" w15:restartNumberingAfterBreak="0">
    <w:nsid w:val="289A57A1"/>
    <w:multiLevelType w:val="hybridMultilevel"/>
    <w:tmpl w:val="600E9112"/>
    <w:lvl w:ilvl="0" w:tplc="FFFFFFFF">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500B1"/>
    <w:multiLevelType w:val="multilevel"/>
    <w:tmpl w:val="B2D05CC4"/>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0"/>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23" w15:restartNumberingAfterBreak="0">
    <w:nsid w:val="2B411636"/>
    <w:multiLevelType w:val="multilevel"/>
    <w:tmpl w:val="64EE7D1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7"/>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24" w15:restartNumberingAfterBreak="0">
    <w:nsid w:val="33AF0658"/>
    <w:multiLevelType w:val="multilevel"/>
    <w:tmpl w:val="7E68034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21"/>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25" w15:restartNumberingAfterBreak="0">
    <w:nsid w:val="34E43B51"/>
    <w:multiLevelType w:val="multilevel"/>
    <w:tmpl w:val="937EC4E8"/>
    <w:lvl w:ilvl="0">
      <w:start w:val="2"/>
      <w:numFmt w:val="upperLetter"/>
      <w:lvlText w:val="%1."/>
      <w:lvlJc w:val="left"/>
      <w:pPr>
        <w:ind w:left="720" w:hanging="720"/>
      </w:pPr>
      <w:rPr>
        <w:rFonts w:hint="default"/>
      </w:rPr>
    </w:lvl>
    <w:lvl w:ilvl="1">
      <w:start w:val="2"/>
      <w:numFmt w:val="decimal"/>
      <w:lvlText w:val="%2."/>
      <w:lvlJc w:val="left"/>
      <w:pPr>
        <w:ind w:left="1440" w:hanging="720"/>
      </w:pPr>
      <w:rPr>
        <w:rFonts w:hint="default"/>
      </w:rPr>
    </w:lvl>
    <w:lvl w:ilvl="2">
      <w:start w:val="3"/>
      <w:numFmt w:val="lowerLetter"/>
      <w:lvlText w:val="%3."/>
      <w:lvlJc w:val="left"/>
      <w:pPr>
        <w:ind w:left="2160" w:hanging="720"/>
      </w:pPr>
      <w:rPr>
        <w:rFonts w:hint="default"/>
      </w:rPr>
    </w:lvl>
    <w:lvl w:ilvl="3">
      <w:start w:val="2"/>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6" w15:restartNumberingAfterBreak="0">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lvlText w:val="%1.%2.%3"/>
      <w:lvlJc w:val="left"/>
      <w:pPr>
        <w:ind w:left="1380" w:hanging="1020"/>
      </w:pPr>
    </w:lvl>
    <w:lvl w:ilvl="3">
      <w:start w:val="2"/>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7" w15:restartNumberingAfterBreak="0">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C2465AD"/>
    <w:multiLevelType w:val="multilevel"/>
    <w:tmpl w:val="6436C6AE"/>
    <w:lvl w:ilvl="0">
      <w:start w:val="1"/>
      <w:numFmt w:val="lowerLetter"/>
      <w:lvlText w:val="%1."/>
      <w:lvlJc w:val="left"/>
      <w:pPr>
        <w:ind w:left="1080" w:hanging="36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240" w:hanging="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3D256F5C"/>
    <w:multiLevelType w:val="hybridMultilevel"/>
    <w:tmpl w:val="7DDAA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3FBE1C07"/>
    <w:multiLevelType w:val="multilevel"/>
    <w:tmpl w:val="12EEA6C0"/>
    <w:lvl w:ilvl="0">
      <w:start w:val="2"/>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b w:val="0"/>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1" w15:restartNumberingAfterBreak="0">
    <w:nsid w:val="41995BB6"/>
    <w:multiLevelType w:val="multilevel"/>
    <w:tmpl w:val="74FA3234"/>
    <w:lvl w:ilvl="0">
      <w:start w:val="1"/>
      <w:numFmt w:val="upperLetter"/>
      <w:lvlText w:val="%1."/>
      <w:lvlJc w:val="left"/>
      <w:pPr>
        <w:ind w:left="720" w:hanging="720"/>
      </w:pPr>
      <w:rPr>
        <w:rFonts w:hint="default"/>
      </w:rPr>
    </w:lvl>
    <w:lvl w:ilvl="1">
      <w:start w:val="14"/>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2" w15:restartNumberingAfterBreak="0">
    <w:nsid w:val="431127F0"/>
    <w:multiLevelType w:val="multilevel"/>
    <w:tmpl w:val="B4965B0E"/>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33" w15:restartNumberingAfterBreak="0">
    <w:nsid w:val="44716EFE"/>
    <w:multiLevelType w:val="multilevel"/>
    <w:tmpl w:val="C3201BA2"/>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2"/>
      <w:numFmt w:val="decimal"/>
      <w:lvlText w:val="%3."/>
      <w:lvlJc w:val="left"/>
      <w:pPr>
        <w:ind w:left="720" w:firstLine="0"/>
      </w:pPr>
      <w:rPr>
        <w:rFonts w:hint="default"/>
      </w:rPr>
    </w:lvl>
    <w:lvl w:ilvl="3">
      <w:start w:val="2"/>
      <w:numFmt w:val="lowerLetter"/>
      <w:lvlText w:val="%4."/>
      <w:lvlJc w:val="left"/>
      <w:pPr>
        <w:ind w:left="144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34" w15:restartNumberingAfterBreak="0">
    <w:nsid w:val="466C72BD"/>
    <w:multiLevelType w:val="multilevel"/>
    <w:tmpl w:val="DA104818"/>
    <w:lvl w:ilvl="0">
      <w:start w:val="2"/>
      <w:numFmt w:val="upperLetter"/>
      <w:lvlText w:val="%1."/>
      <w:lvlJc w:val="left"/>
      <w:pPr>
        <w:ind w:left="720" w:hanging="720"/>
      </w:pPr>
      <w:rPr>
        <w:rFonts w:hint="default"/>
      </w:rPr>
    </w:lvl>
    <w:lvl w:ilvl="1">
      <w:start w:val="1"/>
      <w:numFmt w:val="decimal"/>
      <w:lvlText w:val="%2."/>
      <w:lvlJc w:val="left"/>
      <w:pPr>
        <w:ind w:left="1440" w:hanging="720"/>
      </w:pPr>
      <w:rPr>
        <w:rFonts w:hint="default"/>
        <w:b/>
        <w:bCs/>
      </w:rPr>
    </w:lvl>
    <w:lvl w:ilvl="2">
      <w:start w:val="2"/>
      <w:numFmt w:val="lowerLetter"/>
      <w:lvlText w:val="%3."/>
      <w:lvlJc w:val="left"/>
      <w:pPr>
        <w:ind w:left="2160" w:hanging="720"/>
      </w:pPr>
      <w:rPr>
        <w:rFonts w:hint="default"/>
        <w:b/>
        <w:i w:val="0"/>
      </w:rPr>
    </w:lvl>
    <w:lvl w:ilvl="3">
      <w:start w:val="1"/>
      <w:numFmt w:val="lowerRoman"/>
      <w:lvlText w:val="%4."/>
      <w:lvlJc w:val="left"/>
      <w:pPr>
        <w:ind w:left="2880" w:hanging="720"/>
      </w:pPr>
      <w:rPr>
        <w:rFonts w:hint="default"/>
        <w:b w:val="0"/>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35" w15:restartNumberingAfterBreak="0">
    <w:nsid w:val="47AA1853"/>
    <w:multiLevelType w:val="multilevel"/>
    <w:tmpl w:val="973413A2"/>
    <w:lvl w:ilvl="0">
      <w:start w:val="1"/>
      <w:numFmt w:val="upperLetter"/>
      <w:lvlText w:val="%1."/>
      <w:lvlJc w:val="left"/>
      <w:pPr>
        <w:ind w:left="720" w:hanging="720"/>
      </w:pPr>
      <w:rPr>
        <w:rFonts w:hint="default"/>
      </w:rPr>
    </w:lvl>
    <w:lvl w:ilvl="1">
      <w:start w:val="15"/>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6" w15:restartNumberingAfterBreak="0">
    <w:nsid w:val="48BF0E2A"/>
    <w:multiLevelType w:val="hybridMultilevel"/>
    <w:tmpl w:val="4B9E7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AA56E46"/>
    <w:multiLevelType w:val="multilevel"/>
    <w:tmpl w:val="8E1E95D2"/>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38" w15:restartNumberingAfterBreak="0">
    <w:nsid w:val="4E1F3940"/>
    <w:multiLevelType w:val="multilevel"/>
    <w:tmpl w:val="1A909040"/>
    <w:lvl w:ilvl="0">
      <w:start w:val="1"/>
      <w:numFmt w:val="upperRoman"/>
      <w:pStyle w:val="TOCHeading"/>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lowerRoman"/>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9" w15:restartNumberingAfterBreak="0">
    <w:nsid w:val="50C1530B"/>
    <w:multiLevelType w:val="multilevel"/>
    <w:tmpl w:val="E47C20D6"/>
    <w:lvl w:ilvl="0">
      <w:start w:val="1"/>
      <w:numFmt w:val="upperLetter"/>
      <w:lvlText w:val="%1."/>
      <w:lvlJc w:val="left"/>
      <w:pPr>
        <w:ind w:left="720" w:hanging="720"/>
      </w:pPr>
      <w:rPr>
        <w:rFonts w:hint="default"/>
      </w:rPr>
    </w:lvl>
    <w:lvl w:ilvl="1">
      <w:start w:val="2"/>
      <w:numFmt w:val="decimal"/>
      <w:lvlText w:val="%2."/>
      <w:lvlJc w:val="left"/>
      <w:pPr>
        <w:ind w:left="1440" w:hanging="720"/>
      </w:pPr>
      <w:rPr>
        <w:rFonts w:hint="default"/>
        <w:b/>
        <w:bCs/>
      </w:rPr>
    </w:lvl>
    <w:lvl w:ilvl="2">
      <w:start w:val="2"/>
      <w:numFmt w:val="lowerLetter"/>
      <w:lvlText w:val="%3."/>
      <w:lvlJc w:val="left"/>
      <w:pPr>
        <w:ind w:left="2160" w:hanging="720"/>
      </w:pPr>
      <w:rPr>
        <w:rFonts w:hint="default"/>
        <w:b/>
        <w:i w:val="0"/>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0" w15:restartNumberingAfterBreak="0">
    <w:nsid w:val="510F052D"/>
    <w:multiLevelType w:val="multilevel"/>
    <w:tmpl w:val="FDA40A6C"/>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b/>
        <w:bCs/>
      </w:rPr>
    </w:lvl>
    <w:lvl w:ilvl="2">
      <w:start w:val="2"/>
      <w:numFmt w:val="decimal"/>
      <w:lvlText w:val="%3."/>
      <w:lvlJc w:val="left"/>
      <w:pPr>
        <w:ind w:left="720" w:firstLine="0"/>
      </w:pPr>
      <w:rPr>
        <w:rFonts w:hint="default"/>
        <w:b/>
        <w:i w:val="0"/>
      </w:rPr>
    </w:lvl>
    <w:lvl w:ilvl="3">
      <w:start w:val="2"/>
      <w:numFmt w:val="lowerLetter"/>
      <w:lvlText w:val="%4."/>
      <w:lvlJc w:val="left"/>
      <w:pPr>
        <w:ind w:left="144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41" w15:restartNumberingAfterBreak="0">
    <w:nsid w:val="514913BE"/>
    <w:multiLevelType w:val="multilevel"/>
    <w:tmpl w:val="81FC3DBC"/>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18"/>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42" w15:restartNumberingAfterBreak="0">
    <w:nsid w:val="54741C5A"/>
    <w:multiLevelType w:val="multilevel"/>
    <w:tmpl w:val="CEE25722"/>
    <w:lvl w:ilvl="0">
      <w:start w:val="1"/>
      <w:numFmt w:val="upperLetter"/>
      <w:lvlText w:val="%1."/>
      <w:lvlJc w:val="left"/>
      <w:pPr>
        <w:ind w:left="720" w:hanging="720"/>
      </w:pPr>
      <w:rPr>
        <w:rFonts w:hint="default"/>
      </w:rPr>
    </w:lvl>
    <w:lvl w:ilvl="1">
      <w:start w:val="2"/>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3" w15:restartNumberingAfterBreak="0">
    <w:nsid w:val="578967B9"/>
    <w:multiLevelType w:val="multilevel"/>
    <w:tmpl w:val="A6A803FA"/>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5"/>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44" w15:restartNumberingAfterBreak="0">
    <w:nsid w:val="5A3B5372"/>
    <w:multiLevelType w:val="multilevel"/>
    <w:tmpl w:val="2DE04E50"/>
    <w:lvl w:ilvl="0">
      <w:start w:val="4"/>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5" w15:restartNumberingAfterBreak="0">
    <w:nsid w:val="5B906060"/>
    <w:multiLevelType w:val="hybridMultilevel"/>
    <w:tmpl w:val="9F8E77AA"/>
    <w:lvl w:ilvl="0" w:tplc="32900B1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D20AB0"/>
    <w:multiLevelType w:val="multilevel"/>
    <w:tmpl w:val="B2D05CC4"/>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0"/>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47" w15:restartNumberingAfterBreak="0">
    <w:nsid w:val="62860858"/>
    <w:multiLevelType w:val="multilevel"/>
    <w:tmpl w:val="8E1E95D2"/>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48" w15:restartNumberingAfterBreak="0">
    <w:nsid w:val="64E86610"/>
    <w:multiLevelType w:val="hybridMultilevel"/>
    <w:tmpl w:val="70EC8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5D97778"/>
    <w:multiLevelType w:val="multilevel"/>
    <w:tmpl w:val="102A7392"/>
    <w:lvl w:ilvl="0">
      <w:start w:val="1"/>
      <w:numFmt w:val="upperLetter"/>
      <w:lvlText w:val="%1."/>
      <w:lvlJc w:val="left"/>
      <w:pPr>
        <w:ind w:left="1440" w:hanging="720"/>
      </w:pPr>
      <w:rPr>
        <w:rFonts w:hint="default"/>
      </w:rPr>
    </w:lvl>
    <w:lvl w:ilvl="1">
      <w:start w:val="3"/>
      <w:numFmt w:val="decimal"/>
      <w:lvlText w:val="%2."/>
      <w:lvlJc w:val="left"/>
      <w:pPr>
        <w:ind w:left="1440" w:hanging="720"/>
      </w:pPr>
      <w:rPr>
        <w:rFonts w:hint="default"/>
        <w:b/>
        <w:bCs/>
      </w:rPr>
    </w:lvl>
    <w:lvl w:ilvl="2">
      <w:start w:val="1"/>
      <w:numFmt w:val="lowerLetter"/>
      <w:lvlText w:val="%3."/>
      <w:lvlJc w:val="left"/>
      <w:pPr>
        <w:ind w:left="2160" w:hanging="720"/>
      </w:pPr>
      <w:rPr>
        <w:rFonts w:hint="default"/>
        <w:b/>
        <w:i w:val="0"/>
      </w:rPr>
    </w:lvl>
    <w:lvl w:ilvl="3">
      <w:start w:val="1"/>
      <w:numFmt w:val="lowerRoman"/>
      <w:lvlText w:val="%4."/>
      <w:lvlJc w:val="left"/>
      <w:pPr>
        <w:ind w:left="360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50" w15:restartNumberingAfterBreak="0">
    <w:nsid w:val="6720163A"/>
    <w:multiLevelType w:val="multilevel"/>
    <w:tmpl w:val="06C2A3C2"/>
    <w:lvl w:ilvl="0">
      <w:start w:val="1"/>
      <w:numFmt w:val="upperRoman"/>
      <w:lvlText w:val="%1."/>
      <w:lvlJc w:val="left"/>
      <w:pPr>
        <w:ind w:left="-720" w:firstLine="0"/>
      </w:pPr>
      <w:rPr>
        <w:rFonts w:hint="default"/>
      </w:rPr>
    </w:lvl>
    <w:lvl w:ilvl="1">
      <w:start w:val="7"/>
      <w:numFmt w:val="upperLetter"/>
      <w:lvlText w:val="%2."/>
      <w:lvlJc w:val="left"/>
      <w:pPr>
        <w:ind w:left="0" w:firstLine="0"/>
      </w:pPr>
      <w:rPr>
        <w:rFonts w:hint="default"/>
      </w:rPr>
    </w:lvl>
    <w:lvl w:ilvl="2">
      <w:start w:val="38"/>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51" w15:restartNumberingAfterBreak="0">
    <w:nsid w:val="69B91D18"/>
    <w:multiLevelType w:val="multilevel"/>
    <w:tmpl w:val="C6CAD230"/>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4"/>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52" w15:restartNumberingAfterBreak="0">
    <w:nsid w:val="6C733362"/>
    <w:multiLevelType w:val="multilevel"/>
    <w:tmpl w:val="64EE7D1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7"/>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53" w15:restartNumberingAfterBreak="0">
    <w:nsid w:val="6E10330F"/>
    <w:multiLevelType w:val="hybridMultilevel"/>
    <w:tmpl w:val="43987B72"/>
    <w:lvl w:ilvl="0" w:tplc="864EF8E2">
      <w:start w:val="1"/>
      <w:numFmt w:val="bullet"/>
      <w:lvlText w:val=""/>
      <w:lvlJc w:val="left"/>
      <w:pPr>
        <w:ind w:left="1080" w:hanging="360"/>
      </w:pPr>
      <w:rPr>
        <w:rFonts w:ascii="Symbol" w:hAnsi="Symbol"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FDC27FB"/>
    <w:multiLevelType w:val="multilevel"/>
    <w:tmpl w:val="E47C20D6"/>
    <w:lvl w:ilvl="0">
      <w:start w:val="1"/>
      <w:numFmt w:val="upperLetter"/>
      <w:lvlText w:val="%1."/>
      <w:lvlJc w:val="left"/>
      <w:pPr>
        <w:ind w:left="720" w:hanging="720"/>
      </w:pPr>
      <w:rPr>
        <w:rFonts w:hint="default"/>
      </w:rPr>
    </w:lvl>
    <w:lvl w:ilvl="1">
      <w:start w:val="2"/>
      <w:numFmt w:val="decimal"/>
      <w:lvlText w:val="%2."/>
      <w:lvlJc w:val="left"/>
      <w:pPr>
        <w:ind w:left="1440" w:hanging="720"/>
      </w:pPr>
      <w:rPr>
        <w:rFonts w:hint="default"/>
        <w:b/>
        <w:bCs/>
      </w:rPr>
    </w:lvl>
    <w:lvl w:ilvl="2">
      <w:start w:val="2"/>
      <w:numFmt w:val="lowerLetter"/>
      <w:lvlText w:val="%3."/>
      <w:lvlJc w:val="left"/>
      <w:pPr>
        <w:ind w:left="2160" w:hanging="720"/>
      </w:pPr>
      <w:rPr>
        <w:rFonts w:hint="default"/>
        <w:b/>
        <w:i w:val="0"/>
      </w:rPr>
    </w:lvl>
    <w:lvl w:ilvl="3">
      <w:start w:val="1"/>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5" w15:restartNumberingAfterBreak="0">
    <w:nsid w:val="704273EF"/>
    <w:multiLevelType w:val="multilevel"/>
    <w:tmpl w:val="D298AAE0"/>
    <w:lvl w:ilvl="0">
      <w:start w:val="2"/>
      <w:numFmt w:val="upperLetter"/>
      <w:lvlText w:val="%1."/>
      <w:lvlJc w:val="left"/>
      <w:pPr>
        <w:ind w:left="720" w:hanging="720"/>
      </w:pPr>
      <w:rPr>
        <w:rFonts w:hint="default"/>
      </w:rPr>
    </w:lvl>
    <w:lvl w:ilvl="1">
      <w:start w:val="2"/>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2"/>
      <w:numFmt w:val="lowerRoman"/>
      <w:lvlText w:val="%4."/>
      <w:lvlJc w:val="left"/>
      <w:pPr>
        <w:ind w:left="2880" w:hanging="720"/>
      </w:pPr>
      <w:rPr>
        <w:rFonts w:hint="default"/>
        <w:b/>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6" w15:restartNumberingAfterBreak="0">
    <w:nsid w:val="735B2973"/>
    <w:multiLevelType w:val="multilevel"/>
    <w:tmpl w:val="115A0302"/>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20"/>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57" w15:restartNumberingAfterBreak="0">
    <w:nsid w:val="746F0CB7"/>
    <w:multiLevelType w:val="multilevel"/>
    <w:tmpl w:val="49EC343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20"/>
      <w:numFmt w:val="decimal"/>
      <w:lvlText w:val="%3."/>
      <w:lvlJc w:val="left"/>
      <w:pPr>
        <w:ind w:left="720" w:firstLine="0"/>
      </w:pPr>
      <w:rPr>
        <w:rFonts w:hint="default"/>
      </w:rPr>
    </w:lvl>
    <w:lvl w:ilvl="3">
      <w:start w:val="2"/>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58" w15:restartNumberingAfterBreak="0">
    <w:nsid w:val="786643F0"/>
    <w:multiLevelType w:val="multilevel"/>
    <w:tmpl w:val="203299FC"/>
    <w:lvl w:ilvl="0">
      <w:start w:val="2"/>
      <w:numFmt w:val="upperLetter"/>
      <w:lvlText w:val="%1."/>
      <w:lvlJc w:val="left"/>
      <w:pPr>
        <w:ind w:left="720" w:hanging="720"/>
      </w:pPr>
      <w:rPr>
        <w:rFonts w:hint="default"/>
      </w:rPr>
    </w:lvl>
    <w:lvl w:ilvl="1">
      <w:start w:val="16"/>
      <w:numFmt w:val="decimal"/>
      <w:lvlText w:val="%2."/>
      <w:lvlJc w:val="left"/>
      <w:pPr>
        <w:ind w:left="1440" w:hanging="720"/>
      </w:pPr>
      <w:rPr>
        <w:rFonts w:hint="default"/>
        <w:b/>
        <w:bCs/>
      </w:rPr>
    </w:lvl>
    <w:lvl w:ilvl="2">
      <w:start w:val="1"/>
      <w:numFmt w:val="lowerLetter"/>
      <w:lvlText w:val="%3."/>
      <w:lvlJc w:val="left"/>
      <w:pPr>
        <w:ind w:left="2160" w:hanging="720"/>
      </w:pPr>
      <w:rPr>
        <w:rFonts w:hint="default"/>
        <w:b/>
        <w:i w:val="0"/>
      </w:rPr>
    </w:lvl>
    <w:lvl w:ilvl="3">
      <w:start w:val="1"/>
      <w:numFmt w:val="lowerRoman"/>
      <w:lvlText w:val="%4."/>
      <w:lvlJc w:val="left"/>
      <w:pPr>
        <w:ind w:left="2880" w:hanging="720"/>
      </w:pPr>
      <w:rPr>
        <w:rFonts w:hint="default"/>
        <w:b w:val="0"/>
        <w:bCs/>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59" w15:restartNumberingAfterBreak="0">
    <w:nsid w:val="78A51D1C"/>
    <w:multiLevelType w:val="multilevel"/>
    <w:tmpl w:val="1E062732"/>
    <w:lvl w:ilvl="0">
      <w:start w:val="1"/>
      <w:numFmt w:val="upperRoman"/>
      <w:lvlText w:val="%1."/>
      <w:lvlJc w:val="left"/>
      <w:pPr>
        <w:ind w:left="-720" w:firstLine="0"/>
      </w:pPr>
      <w:rPr>
        <w:rFonts w:hint="default"/>
      </w:rPr>
    </w:lvl>
    <w:lvl w:ilvl="1">
      <w:start w:val="6"/>
      <w:numFmt w:val="upperLetter"/>
      <w:lvlText w:val="%2."/>
      <w:lvlJc w:val="left"/>
      <w:pPr>
        <w:ind w:left="0" w:firstLine="0"/>
      </w:pPr>
      <w:rPr>
        <w:rFonts w:hint="default"/>
      </w:rPr>
    </w:lvl>
    <w:lvl w:ilvl="2">
      <w:start w:val="21"/>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60" w15:restartNumberingAfterBreak="0">
    <w:nsid w:val="78C02609"/>
    <w:multiLevelType w:val="multilevel"/>
    <w:tmpl w:val="43F2F6A6"/>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32"/>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61" w15:restartNumberingAfterBreak="0">
    <w:nsid w:val="7A056E2C"/>
    <w:multiLevelType w:val="multilevel"/>
    <w:tmpl w:val="A6A803FA"/>
    <w:lvl w:ilvl="0">
      <w:start w:val="1"/>
      <w:numFmt w:val="upperRoman"/>
      <w:lvlText w:val="%1."/>
      <w:lvlJc w:val="left"/>
      <w:pPr>
        <w:ind w:left="-720" w:firstLine="0"/>
      </w:pPr>
      <w:rPr>
        <w:rFonts w:hint="default"/>
      </w:rPr>
    </w:lvl>
    <w:lvl w:ilvl="1">
      <w:start w:val="5"/>
      <w:numFmt w:val="upperLetter"/>
      <w:lvlText w:val="%2."/>
      <w:lvlJc w:val="left"/>
      <w:pPr>
        <w:ind w:left="0" w:firstLine="0"/>
      </w:pPr>
      <w:rPr>
        <w:rFonts w:hint="default"/>
      </w:rPr>
    </w:lvl>
    <w:lvl w:ilvl="2">
      <w:start w:val="5"/>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62" w15:restartNumberingAfterBreak="0">
    <w:nsid w:val="7D34066A"/>
    <w:multiLevelType w:val="multilevel"/>
    <w:tmpl w:val="115A0302"/>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20"/>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63" w15:restartNumberingAfterBreak="0">
    <w:nsid w:val="7F867BC4"/>
    <w:multiLevelType w:val="multilevel"/>
    <w:tmpl w:val="B4965B0E"/>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abstractNum w:abstractNumId="64" w15:restartNumberingAfterBreak="0">
    <w:nsid w:val="7FBE7DD2"/>
    <w:multiLevelType w:val="multilevel"/>
    <w:tmpl w:val="64EE7D1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7"/>
      <w:numFmt w:val="decimal"/>
      <w:lvlText w:val="%3."/>
      <w:lvlJc w:val="left"/>
      <w:pPr>
        <w:ind w:left="720" w:firstLine="0"/>
      </w:pPr>
      <w:rPr>
        <w:rFonts w:hint="default"/>
      </w:rPr>
    </w:lvl>
    <w:lvl w:ilvl="3">
      <w:start w:val="1"/>
      <w:numFmt w:val="lowerLetter"/>
      <w:lvlText w:val="%4."/>
      <w:lvlJc w:val="left"/>
      <w:pPr>
        <w:ind w:left="144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160" w:firstLine="0"/>
      </w:pPr>
      <w:rPr>
        <w:rFonts w:hint="default"/>
      </w:rPr>
    </w:lvl>
    <w:lvl w:ilvl="5">
      <w:start w:val="1"/>
      <w:numFmt w:val="lowerLetter"/>
      <w:lvlText w:val="(%6)"/>
      <w:lvlJc w:val="left"/>
      <w:pPr>
        <w:ind w:left="2880" w:firstLine="0"/>
      </w:pPr>
      <w:rPr>
        <w:rFonts w:hint="default"/>
      </w:rPr>
    </w:lvl>
    <w:lvl w:ilvl="6">
      <w:start w:val="1"/>
      <w:numFmt w:val="lowerRoman"/>
      <w:lvlText w:val="(%7)"/>
      <w:lvlJc w:val="left"/>
      <w:pPr>
        <w:ind w:left="3600" w:firstLine="0"/>
      </w:pPr>
      <w:rPr>
        <w:rFonts w:hint="default"/>
      </w:rPr>
    </w:lvl>
    <w:lvl w:ilvl="7">
      <w:start w:val="1"/>
      <w:numFmt w:val="lowerLetter"/>
      <w:lvlText w:val="(%8)"/>
      <w:lvlJc w:val="left"/>
      <w:pPr>
        <w:ind w:left="4320" w:firstLine="0"/>
      </w:pPr>
      <w:rPr>
        <w:rFonts w:hint="default"/>
      </w:rPr>
    </w:lvl>
    <w:lvl w:ilvl="8">
      <w:start w:val="1"/>
      <w:numFmt w:val="lowerRoman"/>
      <w:lvlText w:val="(%9)"/>
      <w:lvlJc w:val="left"/>
      <w:pPr>
        <w:ind w:left="5040" w:firstLine="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6"/>
  </w:num>
  <w:num w:numId="5">
    <w:abstractNumId w:val="53"/>
  </w:num>
  <w:num w:numId="6">
    <w:abstractNumId w:val="8"/>
    <w:lvlOverride w:ilvl="0">
      <w:startOverride w:val="1"/>
    </w:lvlOverride>
  </w:num>
  <w:num w:numId="7">
    <w:abstractNumId w:val="21"/>
  </w:num>
  <w:num w:numId="8">
    <w:abstractNumId w:val="19"/>
  </w:num>
  <w:num w:numId="9">
    <w:abstractNumId w:val="1"/>
  </w:num>
  <w:num w:numId="10">
    <w:abstractNumId w:val="38"/>
  </w:num>
  <w:num w:numId="11">
    <w:abstractNumId w:val="36"/>
  </w:num>
  <w:num w:numId="12">
    <w:abstractNumId w:val="1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48"/>
  </w:num>
  <w:num w:numId="16">
    <w:abstractNumId w:val="5"/>
  </w:num>
  <w:num w:numId="17">
    <w:abstractNumId w:val="30"/>
  </w:num>
  <w:num w:numId="18">
    <w:abstractNumId w:val="39"/>
  </w:num>
  <w:num w:numId="19">
    <w:abstractNumId w:val="49"/>
  </w:num>
  <w:num w:numId="20">
    <w:abstractNumId w:val="54"/>
  </w:num>
  <w:num w:numId="21">
    <w:abstractNumId w:val="55"/>
  </w:num>
  <w:num w:numId="22">
    <w:abstractNumId w:val="25"/>
  </w:num>
  <w:num w:numId="23">
    <w:abstractNumId w:val="9"/>
  </w:num>
  <w:num w:numId="24">
    <w:abstractNumId w:val="10"/>
  </w:num>
  <w:num w:numId="25">
    <w:abstractNumId w:val="4"/>
  </w:num>
  <w:num w:numId="26">
    <w:abstractNumId w:val="44"/>
  </w:num>
  <w:num w:numId="27">
    <w:abstractNumId w:val="42"/>
  </w:num>
  <w:num w:numId="28">
    <w:abstractNumId w:val="31"/>
  </w:num>
  <w:num w:numId="29">
    <w:abstractNumId w:val="35"/>
  </w:num>
  <w:num w:numId="30">
    <w:abstractNumId w:val="34"/>
  </w:num>
  <w:num w:numId="31">
    <w:abstractNumId w:val="18"/>
  </w:num>
  <w:num w:numId="32">
    <w:abstractNumId w:val="58"/>
  </w:num>
  <w:num w:numId="33">
    <w:abstractNumId w:val="40"/>
  </w:num>
  <w:num w:numId="34">
    <w:abstractNumId w:val="2"/>
  </w:num>
  <w:num w:numId="35">
    <w:abstractNumId w:val="13"/>
  </w:num>
  <w:num w:numId="36">
    <w:abstractNumId w:val="41"/>
  </w:num>
  <w:num w:numId="37">
    <w:abstractNumId w:val="20"/>
  </w:num>
  <w:num w:numId="38">
    <w:abstractNumId w:val="7"/>
  </w:num>
  <w:num w:numId="39">
    <w:abstractNumId w:val="17"/>
  </w:num>
  <w:num w:numId="40">
    <w:abstractNumId w:val="51"/>
  </w:num>
  <w:num w:numId="41">
    <w:abstractNumId w:val="43"/>
  </w:num>
  <w:num w:numId="42">
    <w:abstractNumId w:val="33"/>
  </w:num>
  <w:num w:numId="43">
    <w:abstractNumId w:val="57"/>
  </w:num>
  <w:num w:numId="44">
    <w:abstractNumId w:val="24"/>
  </w:num>
  <w:num w:numId="45">
    <w:abstractNumId w:val="59"/>
  </w:num>
  <w:num w:numId="46">
    <w:abstractNumId w:val="63"/>
  </w:num>
  <w:num w:numId="47">
    <w:abstractNumId w:val="32"/>
  </w:num>
  <w:num w:numId="48">
    <w:abstractNumId w:val="47"/>
  </w:num>
  <w:num w:numId="49">
    <w:abstractNumId w:val="37"/>
  </w:num>
  <w:num w:numId="50">
    <w:abstractNumId w:val="52"/>
  </w:num>
  <w:num w:numId="51">
    <w:abstractNumId w:val="64"/>
  </w:num>
  <w:num w:numId="52">
    <w:abstractNumId w:val="23"/>
  </w:num>
  <w:num w:numId="53">
    <w:abstractNumId w:val="56"/>
  </w:num>
  <w:num w:numId="54">
    <w:abstractNumId w:val="62"/>
  </w:num>
  <w:num w:numId="55">
    <w:abstractNumId w:val="16"/>
  </w:num>
  <w:num w:numId="56">
    <w:abstractNumId w:val="46"/>
  </w:num>
  <w:num w:numId="57">
    <w:abstractNumId w:val="22"/>
  </w:num>
  <w:num w:numId="58">
    <w:abstractNumId w:val="60"/>
  </w:num>
  <w:num w:numId="59">
    <w:abstractNumId w:val="6"/>
  </w:num>
  <w:num w:numId="60">
    <w:abstractNumId w:val="14"/>
  </w:num>
  <w:num w:numId="61">
    <w:abstractNumId w:val="50"/>
  </w:num>
  <w:num w:numId="62">
    <w:abstractNumId w:val="12"/>
  </w:num>
  <w:num w:numId="63">
    <w:abstractNumId w:val="15"/>
  </w:num>
  <w:num w:numId="64">
    <w:abstractNumId w:val="61"/>
  </w:num>
  <w:num w:numId="65">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95"/>
    <w:rsid w:val="0000057E"/>
    <w:rsid w:val="0000077F"/>
    <w:rsid w:val="000008A2"/>
    <w:rsid w:val="00000BDF"/>
    <w:rsid w:val="00000D4A"/>
    <w:rsid w:val="00001184"/>
    <w:rsid w:val="00001201"/>
    <w:rsid w:val="0000137F"/>
    <w:rsid w:val="0000170B"/>
    <w:rsid w:val="000018C3"/>
    <w:rsid w:val="00001CC8"/>
    <w:rsid w:val="00001D11"/>
    <w:rsid w:val="00001F27"/>
    <w:rsid w:val="000022A4"/>
    <w:rsid w:val="00002380"/>
    <w:rsid w:val="000024A1"/>
    <w:rsid w:val="00002797"/>
    <w:rsid w:val="000029D0"/>
    <w:rsid w:val="00002C0D"/>
    <w:rsid w:val="000035D0"/>
    <w:rsid w:val="00003973"/>
    <w:rsid w:val="00003D72"/>
    <w:rsid w:val="00003FCC"/>
    <w:rsid w:val="00004367"/>
    <w:rsid w:val="0000488D"/>
    <w:rsid w:val="00004EFF"/>
    <w:rsid w:val="000051C9"/>
    <w:rsid w:val="00005266"/>
    <w:rsid w:val="00005489"/>
    <w:rsid w:val="000054D9"/>
    <w:rsid w:val="00005663"/>
    <w:rsid w:val="00005701"/>
    <w:rsid w:val="000059A1"/>
    <w:rsid w:val="00005A29"/>
    <w:rsid w:val="00005ACE"/>
    <w:rsid w:val="00005C8B"/>
    <w:rsid w:val="00005DB0"/>
    <w:rsid w:val="00005F22"/>
    <w:rsid w:val="00005F44"/>
    <w:rsid w:val="000061EF"/>
    <w:rsid w:val="000064BC"/>
    <w:rsid w:val="0000670B"/>
    <w:rsid w:val="000068A1"/>
    <w:rsid w:val="00006D39"/>
    <w:rsid w:val="00006FFF"/>
    <w:rsid w:val="00007203"/>
    <w:rsid w:val="0000725C"/>
    <w:rsid w:val="00007B06"/>
    <w:rsid w:val="00007C14"/>
    <w:rsid w:val="00007CA6"/>
    <w:rsid w:val="00007E46"/>
    <w:rsid w:val="00007E54"/>
    <w:rsid w:val="0001030D"/>
    <w:rsid w:val="000103B6"/>
    <w:rsid w:val="00010ECD"/>
    <w:rsid w:val="00010EE1"/>
    <w:rsid w:val="000116EF"/>
    <w:rsid w:val="00011794"/>
    <w:rsid w:val="00011B51"/>
    <w:rsid w:val="00012115"/>
    <w:rsid w:val="0001214A"/>
    <w:rsid w:val="000121C5"/>
    <w:rsid w:val="000122F3"/>
    <w:rsid w:val="00012629"/>
    <w:rsid w:val="00012838"/>
    <w:rsid w:val="000128A4"/>
    <w:rsid w:val="0001295A"/>
    <w:rsid w:val="00012D8E"/>
    <w:rsid w:val="00012EE2"/>
    <w:rsid w:val="00012F7F"/>
    <w:rsid w:val="000130EB"/>
    <w:rsid w:val="00013108"/>
    <w:rsid w:val="0001354A"/>
    <w:rsid w:val="0001356C"/>
    <w:rsid w:val="000136FC"/>
    <w:rsid w:val="0001379C"/>
    <w:rsid w:val="00013DE7"/>
    <w:rsid w:val="0001450E"/>
    <w:rsid w:val="00014599"/>
    <w:rsid w:val="00014807"/>
    <w:rsid w:val="00014963"/>
    <w:rsid w:val="00014B69"/>
    <w:rsid w:val="00014EBD"/>
    <w:rsid w:val="00014FB8"/>
    <w:rsid w:val="00015640"/>
    <w:rsid w:val="000157C6"/>
    <w:rsid w:val="00015867"/>
    <w:rsid w:val="0001593D"/>
    <w:rsid w:val="0001593F"/>
    <w:rsid w:val="00015B04"/>
    <w:rsid w:val="00015B40"/>
    <w:rsid w:val="00015D31"/>
    <w:rsid w:val="000166B3"/>
    <w:rsid w:val="00016763"/>
    <w:rsid w:val="0001680F"/>
    <w:rsid w:val="00016B90"/>
    <w:rsid w:val="00016D73"/>
    <w:rsid w:val="00016DFC"/>
    <w:rsid w:val="00016E57"/>
    <w:rsid w:val="00016EB1"/>
    <w:rsid w:val="00016EDD"/>
    <w:rsid w:val="00016F6F"/>
    <w:rsid w:val="00017112"/>
    <w:rsid w:val="000171A8"/>
    <w:rsid w:val="0001720D"/>
    <w:rsid w:val="00017622"/>
    <w:rsid w:val="00017A4E"/>
    <w:rsid w:val="00017AEF"/>
    <w:rsid w:val="00017D88"/>
    <w:rsid w:val="00017F11"/>
    <w:rsid w:val="000201B2"/>
    <w:rsid w:val="00020284"/>
    <w:rsid w:val="00020711"/>
    <w:rsid w:val="0002094B"/>
    <w:rsid w:val="000209FC"/>
    <w:rsid w:val="00020A60"/>
    <w:rsid w:val="00020D15"/>
    <w:rsid w:val="00020E8A"/>
    <w:rsid w:val="00021064"/>
    <w:rsid w:val="0002128B"/>
    <w:rsid w:val="00021290"/>
    <w:rsid w:val="00021578"/>
    <w:rsid w:val="0002158E"/>
    <w:rsid w:val="00021721"/>
    <w:rsid w:val="000217E8"/>
    <w:rsid w:val="0002186C"/>
    <w:rsid w:val="000218B2"/>
    <w:rsid w:val="000219F0"/>
    <w:rsid w:val="00021A34"/>
    <w:rsid w:val="00021C4F"/>
    <w:rsid w:val="00021E81"/>
    <w:rsid w:val="00021E85"/>
    <w:rsid w:val="000220F8"/>
    <w:rsid w:val="000224B0"/>
    <w:rsid w:val="00022724"/>
    <w:rsid w:val="000227F6"/>
    <w:rsid w:val="000228C7"/>
    <w:rsid w:val="00022BFD"/>
    <w:rsid w:val="00022D7C"/>
    <w:rsid w:val="00022F94"/>
    <w:rsid w:val="0002303B"/>
    <w:rsid w:val="000230F9"/>
    <w:rsid w:val="000233F5"/>
    <w:rsid w:val="00023500"/>
    <w:rsid w:val="000237B0"/>
    <w:rsid w:val="00023897"/>
    <w:rsid w:val="00023C71"/>
    <w:rsid w:val="00023D33"/>
    <w:rsid w:val="000240A8"/>
    <w:rsid w:val="00024660"/>
    <w:rsid w:val="000247FB"/>
    <w:rsid w:val="00024D04"/>
    <w:rsid w:val="00024F8B"/>
    <w:rsid w:val="00025211"/>
    <w:rsid w:val="000257F5"/>
    <w:rsid w:val="00025ADF"/>
    <w:rsid w:val="00025D68"/>
    <w:rsid w:val="00025D6D"/>
    <w:rsid w:val="00025DEC"/>
    <w:rsid w:val="00025F62"/>
    <w:rsid w:val="00026422"/>
    <w:rsid w:val="0002674D"/>
    <w:rsid w:val="000269AF"/>
    <w:rsid w:val="00026B80"/>
    <w:rsid w:val="00026D62"/>
    <w:rsid w:val="00026ED3"/>
    <w:rsid w:val="00026F10"/>
    <w:rsid w:val="0002702C"/>
    <w:rsid w:val="000272E3"/>
    <w:rsid w:val="000276E6"/>
    <w:rsid w:val="000277D8"/>
    <w:rsid w:val="000278CF"/>
    <w:rsid w:val="0002792C"/>
    <w:rsid w:val="00027E0D"/>
    <w:rsid w:val="00027ED9"/>
    <w:rsid w:val="00027FE7"/>
    <w:rsid w:val="0003004F"/>
    <w:rsid w:val="0003049B"/>
    <w:rsid w:val="00030531"/>
    <w:rsid w:val="00030707"/>
    <w:rsid w:val="00030965"/>
    <w:rsid w:val="00030A24"/>
    <w:rsid w:val="00031008"/>
    <w:rsid w:val="000313BB"/>
    <w:rsid w:val="000314D0"/>
    <w:rsid w:val="00031606"/>
    <w:rsid w:val="0003190F"/>
    <w:rsid w:val="00031F22"/>
    <w:rsid w:val="000323FB"/>
    <w:rsid w:val="00032722"/>
    <w:rsid w:val="000329D6"/>
    <w:rsid w:val="00032A60"/>
    <w:rsid w:val="00032F7E"/>
    <w:rsid w:val="00033AE5"/>
    <w:rsid w:val="00033D96"/>
    <w:rsid w:val="00033F2E"/>
    <w:rsid w:val="00034224"/>
    <w:rsid w:val="00034911"/>
    <w:rsid w:val="00034A21"/>
    <w:rsid w:val="00034A34"/>
    <w:rsid w:val="00034C40"/>
    <w:rsid w:val="00034D04"/>
    <w:rsid w:val="00034D53"/>
    <w:rsid w:val="0003511C"/>
    <w:rsid w:val="0003558B"/>
    <w:rsid w:val="00035788"/>
    <w:rsid w:val="0003588F"/>
    <w:rsid w:val="00035933"/>
    <w:rsid w:val="00035986"/>
    <w:rsid w:val="00035DAE"/>
    <w:rsid w:val="000360C4"/>
    <w:rsid w:val="0003646D"/>
    <w:rsid w:val="00036570"/>
    <w:rsid w:val="000366CB"/>
    <w:rsid w:val="000367D2"/>
    <w:rsid w:val="00036929"/>
    <w:rsid w:val="000369FB"/>
    <w:rsid w:val="00036C78"/>
    <w:rsid w:val="00036C90"/>
    <w:rsid w:val="00036F41"/>
    <w:rsid w:val="0003715D"/>
    <w:rsid w:val="000379C1"/>
    <w:rsid w:val="00037A15"/>
    <w:rsid w:val="0004012E"/>
    <w:rsid w:val="0004032E"/>
    <w:rsid w:val="00040A5A"/>
    <w:rsid w:val="000414B2"/>
    <w:rsid w:val="00041830"/>
    <w:rsid w:val="00041CAA"/>
    <w:rsid w:val="00042145"/>
    <w:rsid w:val="00042147"/>
    <w:rsid w:val="000421C6"/>
    <w:rsid w:val="000421EB"/>
    <w:rsid w:val="000422D7"/>
    <w:rsid w:val="00042539"/>
    <w:rsid w:val="0004275B"/>
    <w:rsid w:val="00042773"/>
    <w:rsid w:val="000427C0"/>
    <w:rsid w:val="000429A5"/>
    <w:rsid w:val="00042E61"/>
    <w:rsid w:val="00042FCA"/>
    <w:rsid w:val="00043356"/>
    <w:rsid w:val="00043BAF"/>
    <w:rsid w:val="00043F24"/>
    <w:rsid w:val="00044133"/>
    <w:rsid w:val="0004438A"/>
    <w:rsid w:val="00044494"/>
    <w:rsid w:val="000444EE"/>
    <w:rsid w:val="00044A73"/>
    <w:rsid w:val="00044AAD"/>
    <w:rsid w:val="00044BB2"/>
    <w:rsid w:val="00044D21"/>
    <w:rsid w:val="00044E3E"/>
    <w:rsid w:val="00044F72"/>
    <w:rsid w:val="00044FA5"/>
    <w:rsid w:val="00045005"/>
    <w:rsid w:val="000451A3"/>
    <w:rsid w:val="000454BD"/>
    <w:rsid w:val="0004569C"/>
    <w:rsid w:val="00045E3C"/>
    <w:rsid w:val="000460AD"/>
    <w:rsid w:val="000460DB"/>
    <w:rsid w:val="00046182"/>
    <w:rsid w:val="00046575"/>
    <w:rsid w:val="000465C4"/>
    <w:rsid w:val="00046658"/>
    <w:rsid w:val="00046826"/>
    <w:rsid w:val="00046DE3"/>
    <w:rsid w:val="00046E8E"/>
    <w:rsid w:val="00046F61"/>
    <w:rsid w:val="00047074"/>
    <w:rsid w:val="000474BB"/>
    <w:rsid w:val="00047707"/>
    <w:rsid w:val="000477A4"/>
    <w:rsid w:val="000479E6"/>
    <w:rsid w:val="00047A28"/>
    <w:rsid w:val="00047FAF"/>
    <w:rsid w:val="0005012A"/>
    <w:rsid w:val="00050149"/>
    <w:rsid w:val="00050966"/>
    <w:rsid w:val="00050D64"/>
    <w:rsid w:val="00050D78"/>
    <w:rsid w:val="00050E86"/>
    <w:rsid w:val="00050E8B"/>
    <w:rsid w:val="00050F27"/>
    <w:rsid w:val="000510E6"/>
    <w:rsid w:val="000511B0"/>
    <w:rsid w:val="000511F5"/>
    <w:rsid w:val="000513DD"/>
    <w:rsid w:val="00051445"/>
    <w:rsid w:val="000517C2"/>
    <w:rsid w:val="00051836"/>
    <w:rsid w:val="0005185A"/>
    <w:rsid w:val="00051CA5"/>
    <w:rsid w:val="00051CFE"/>
    <w:rsid w:val="00051D91"/>
    <w:rsid w:val="00052061"/>
    <w:rsid w:val="000520E2"/>
    <w:rsid w:val="00052102"/>
    <w:rsid w:val="0005222A"/>
    <w:rsid w:val="00052476"/>
    <w:rsid w:val="0005254D"/>
    <w:rsid w:val="00052647"/>
    <w:rsid w:val="00052818"/>
    <w:rsid w:val="000528E4"/>
    <w:rsid w:val="0005293E"/>
    <w:rsid w:val="0005296B"/>
    <w:rsid w:val="000529CB"/>
    <w:rsid w:val="000529F8"/>
    <w:rsid w:val="00052EB1"/>
    <w:rsid w:val="00052EDC"/>
    <w:rsid w:val="00053176"/>
    <w:rsid w:val="00053191"/>
    <w:rsid w:val="0005334A"/>
    <w:rsid w:val="000533DB"/>
    <w:rsid w:val="0005340E"/>
    <w:rsid w:val="000534BB"/>
    <w:rsid w:val="0005371E"/>
    <w:rsid w:val="000538F9"/>
    <w:rsid w:val="000539A6"/>
    <w:rsid w:val="000542BF"/>
    <w:rsid w:val="000545A0"/>
    <w:rsid w:val="00054AEF"/>
    <w:rsid w:val="00054B15"/>
    <w:rsid w:val="00054B27"/>
    <w:rsid w:val="00054BCD"/>
    <w:rsid w:val="00054CB8"/>
    <w:rsid w:val="00054E91"/>
    <w:rsid w:val="00054EC3"/>
    <w:rsid w:val="00054ED7"/>
    <w:rsid w:val="0005500C"/>
    <w:rsid w:val="000556E1"/>
    <w:rsid w:val="00055A7C"/>
    <w:rsid w:val="00055AE3"/>
    <w:rsid w:val="00055C7C"/>
    <w:rsid w:val="00055DB7"/>
    <w:rsid w:val="00056390"/>
    <w:rsid w:val="000563AA"/>
    <w:rsid w:val="00056480"/>
    <w:rsid w:val="000566AC"/>
    <w:rsid w:val="00056978"/>
    <w:rsid w:val="00056ADB"/>
    <w:rsid w:val="00056F1B"/>
    <w:rsid w:val="000573D9"/>
    <w:rsid w:val="00057771"/>
    <w:rsid w:val="000578BA"/>
    <w:rsid w:val="00057AC5"/>
    <w:rsid w:val="000600D2"/>
    <w:rsid w:val="000603D6"/>
    <w:rsid w:val="00060497"/>
    <w:rsid w:val="000606EE"/>
    <w:rsid w:val="0006096B"/>
    <w:rsid w:val="00060F55"/>
    <w:rsid w:val="00060FED"/>
    <w:rsid w:val="000610F7"/>
    <w:rsid w:val="000618FA"/>
    <w:rsid w:val="00061A44"/>
    <w:rsid w:val="00061C4A"/>
    <w:rsid w:val="00061DD0"/>
    <w:rsid w:val="00061FA6"/>
    <w:rsid w:val="000621D3"/>
    <w:rsid w:val="000621DC"/>
    <w:rsid w:val="00062351"/>
    <w:rsid w:val="000626C0"/>
    <w:rsid w:val="00062955"/>
    <w:rsid w:val="00062E32"/>
    <w:rsid w:val="00063321"/>
    <w:rsid w:val="000633E2"/>
    <w:rsid w:val="00063B96"/>
    <w:rsid w:val="00063C81"/>
    <w:rsid w:val="00063E23"/>
    <w:rsid w:val="00064971"/>
    <w:rsid w:val="00064C42"/>
    <w:rsid w:val="00064CEB"/>
    <w:rsid w:val="00064DF0"/>
    <w:rsid w:val="00064E7F"/>
    <w:rsid w:val="00064EC7"/>
    <w:rsid w:val="00064F57"/>
    <w:rsid w:val="000650DB"/>
    <w:rsid w:val="000651BD"/>
    <w:rsid w:val="00065469"/>
    <w:rsid w:val="00065846"/>
    <w:rsid w:val="0006598A"/>
    <w:rsid w:val="00065C27"/>
    <w:rsid w:val="00066158"/>
    <w:rsid w:val="0006616A"/>
    <w:rsid w:val="00066466"/>
    <w:rsid w:val="00066613"/>
    <w:rsid w:val="00066798"/>
    <w:rsid w:val="00066897"/>
    <w:rsid w:val="000668C3"/>
    <w:rsid w:val="00066B53"/>
    <w:rsid w:val="00066EB6"/>
    <w:rsid w:val="00066EB7"/>
    <w:rsid w:val="00067263"/>
    <w:rsid w:val="00067288"/>
    <w:rsid w:val="0006751D"/>
    <w:rsid w:val="00067BBC"/>
    <w:rsid w:val="00067FCE"/>
    <w:rsid w:val="000702AB"/>
    <w:rsid w:val="00070311"/>
    <w:rsid w:val="000703DD"/>
    <w:rsid w:val="000705EB"/>
    <w:rsid w:val="0007083A"/>
    <w:rsid w:val="0007085E"/>
    <w:rsid w:val="00070B47"/>
    <w:rsid w:val="00070DA2"/>
    <w:rsid w:val="00071012"/>
    <w:rsid w:val="00071261"/>
    <w:rsid w:val="000714A9"/>
    <w:rsid w:val="00071571"/>
    <w:rsid w:val="0007160B"/>
    <w:rsid w:val="0007166B"/>
    <w:rsid w:val="000716B6"/>
    <w:rsid w:val="00071793"/>
    <w:rsid w:val="00071C3F"/>
    <w:rsid w:val="00071C64"/>
    <w:rsid w:val="000720B7"/>
    <w:rsid w:val="00072388"/>
    <w:rsid w:val="00072566"/>
    <w:rsid w:val="000725D7"/>
    <w:rsid w:val="00072926"/>
    <w:rsid w:val="00072BDC"/>
    <w:rsid w:val="00072E50"/>
    <w:rsid w:val="00073086"/>
    <w:rsid w:val="0007351E"/>
    <w:rsid w:val="0007374B"/>
    <w:rsid w:val="00073A38"/>
    <w:rsid w:val="00073CCF"/>
    <w:rsid w:val="00074162"/>
    <w:rsid w:val="000742F2"/>
    <w:rsid w:val="0007435F"/>
    <w:rsid w:val="00074385"/>
    <w:rsid w:val="000745C0"/>
    <w:rsid w:val="000748ED"/>
    <w:rsid w:val="00074D07"/>
    <w:rsid w:val="00074EF4"/>
    <w:rsid w:val="000752EC"/>
    <w:rsid w:val="000754AE"/>
    <w:rsid w:val="0007569B"/>
    <w:rsid w:val="0007588F"/>
    <w:rsid w:val="00075B01"/>
    <w:rsid w:val="0007622E"/>
    <w:rsid w:val="00076349"/>
    <w:rsid w:val="00076391"/>
    <w:rsid w:val="0007698A"/>
    <w:rsid w:val="00076ABF"/>
    <w:rsid w:val="00076BD0"/>
    <w:rsid w:val="00077146"/>
    <w:rsid w:val="000771DE"/>
    <w:rsid w:val="000774AA"/>
    <w:rsid w:val="00077537"/>
    <w:rsid w:val="00077700"/>
    <w:rsid w:val="00077C83"/>
    <w:rsid w:val="00077E5A"/>
    <w:rsid w:val="00080460"/>
    <w:rsid w:val="000805AC"/>
    <w:rsid w:val="0008064A"/>
    <w:rsid w:val="000806AA"/>
    <w:rsid w:val="000809DB"/>
    <w:rsid w:val="00080B9F"/>
    <w:rsid w:val="00080F77"/>
    <w:rsid w:val="00081187"/>
    <w:rsid w:val="00081269"/>
    <w:rsid w:val="000813D8"/>
    <w:rsid w:val="00081457"/>
    <w:rsid w:val="0008149E"/>
    <w:rsid w:val="000815A7"/>
    <w:rsid w:val="00081820"/>
    <w:rsid w:val="00081B1E"/>
    <w:rsid w:val="00081BB0"/>
    <w:rsid w:val="00081BB7"/>
    <w:rsid w:val="000821CD"/>
    <w:rsid w:val="00082251"/>
    <w:rsid w:val="00082496"/>
    <w:rsid w:val="00082B41"/>
    <w:rsid w:val="00082E62"/>
    <w:rsid w:val="00082F8F"/>
    <w:rsid w:val="00083464"/>
    <w:rsid w:val="0008350E"/>
    <w:rsid w:val="0008354C"/>
    <w:rsid w:val="0008389A"/>
    <w:rsid w:val="000838FB"/>
    <w:rsid w:val="000839DE"/>
    <w:rsid w:val="00083D12"/>
    <w:rsid w:val="00083EF2"/>
    <w:rsid w:val="00083F8F"/>
    <w:rsid w:val="0008417E"/>
    <w:rsid w:val="00084229"/>
    <w:rsid w:val="00084231"/>
    <w:rsid w:val="000842C3"/>
    <w:rsid w:val="000843BE"/>
    <w:rsid w:val="000844C8"/>
    <w:rsid w:val="0008462E"/>
    <w:rsid w:val="000847FB"/>
    <w:rsid w:val="00084D22"/>
    <w:rsid w:val="00084E4A"/>
    <w:rsid w:val="00084E6C"/>
    <w:rsid w:val="00084F17"/>
    <w:rsid w:val="00084F28"/>
    <w:rsid w:val="00085265"/>
    <w:rsid w:val="0008542B"/>
    <w:rsid w:val="00085649"/>
    <w:rsid w:val="000856F2"/>
    <w:rsid w:val="000858D8"/>
    <w:rsid w:val="00085986"/>
    <w:rsid w:val="00085A1E"/>
    <w:rsid w:val="00085D76"/>
    <w:rsid w:val="00085ED9"/>
    <w:rsid w:val="00085FEA"/>
    <w:rsid w:val="000861DE"/>
    <w:rsid w:val="000863CC"/>
    <w:rsid w:val="000864D9"/>
    <w:rsid w:val="00087369"/>
    <w:rsid w:val="00087659"/>
    <w:rsid w:val="000878FB"/>
    <w:rsid w:val="00087959"/>
    <w:rsid w:val="00087C8E"/>
    <w:rsid w:val="00087DA8"/>
    <w:rsid w:val="00087E87"/>
    <w:rsid w:val="0009034A"/>
    <w:rsid w:val="00091082"/>
    <w:rsid w:val="00091399"/>
    <w:rsid w:val="00091402"/>
    <w:rsid w:val="000919A7"/>
    <w:rsid w:val="00091A3C"/>
    <w:rsid w:val="00091DE9"/>
    <w:rsid w:val="0009246B"/>
    <w:rsid w:val="0009259C"/>
    <w:rsid w:val="0009279D"/>
    <w:rsid w:val="00092CD9"/>
    <w:rsid w:val="00092D78"/>
    <w:rsid w:val="0009307B"/>
    <w:rsid w:val="00093932"/>
    <w:rsid w:val="00093E48"/>
    <w:rsid w:val="00094028"/>
    <w:rsid w:val="00094036"/>
    <w:rsid w:val="000947B7"/>
    <w:rsid w:val="00094A59"/>
    <w:rsid w:val="00094AA4"/>
    <w:rsid w:val="00094D39"/>
    <w:rsid w:val="00094D40"/>
    <w:rsid w:val="00094FA4"/>
    <w:rsid w:val="000955E2"/>
    <w:rsid w:val="00095664"/>
    <w:rsid w:val="00095802"/>
    <w:rsid w:val="000959E0"/>
    <w:rsid w:val="00095B9F"/>
    <w:rsid w:val="00095C09"/>
    <w:rsid w:val="00095D31"/>
    <w:rsid w:val="00095E25"/>
    <w:rsid w:val="00096189"/>
    <w:rsid w:val="00096354"/>
    <w:rsid w:val="0009658C"/>
    <w:rsid w:val="000966E9"/>
    <w:rsid w:val="00097086"/>
    <w:rsid w:val="000977A6"/>
    <w:rsid w:val="0009799B"/>
    <w:rsid w:val="00097C7B"/>
    <w:rsid w:val="00097DDD"/>
    <w:rsid w:val="000A000C"/>
    <w:rsid w:val="000A0175"/>
    <w:rsid w:val="000A02F6"/>
    <w:rsid w:val="000A0409"/>
    <w:rsid w:val="000A073B"/>
    <w:rsid w:val="000A07C3"/>
    <w:rsid w:val="000A0B8A"/>
    <w:rsid w:val="000A0FD4"/>
    <w:rsid w:val="000A12F7"/>
    <w:rsid w:val="000A1950"/>
    <w:rsid w:val="000A1BF1"/>
    <w:rsid w:val="000A1CC0"/>
    <w:rsid w:val="000A1CE4"/>
    <w:rsid w:val="000A1E7A"/>
    <w:rsid w:val="000A1FFD"/>
    <w:rsid w:val="000A2007"/>
    <w:rsid w:val="000A206E"/>
    <w:rsid w:val="000A20EE"/>
    <w:rsid w:val="000A2532"/>
    <w:rsid w:val="000A26BD"/>
    <w:rsid w:val="000A289A"/>
    <w:rsid w:val="000A2B1E"/>
    <w:rsid w:val="000A2B31"/>
    <w:rsid w:val="000A2F9F"/>
    <w:rsid w:val="000A38B6"/>
    <w:rsid w:val="000A398D"/>
    <w:rsid w:val="000A3B40"/>
    <w:rsid w:val="000A3FE3"/>
    <w:rsid w:val="000A4286"/>
    <w:rsid w:val="000A4715"/>
    <w:rsid w:val="000A4AA4"/>
    <w:rsid w:val="000A4AE4"/>
    <w:rsid w:val="000A4C5A"/>
    <w:rsid w:val="000A4DCD"/>
    <w:rsid w:val="000A51B3"/>
    <w:rsid w:val="000A51CD"/>
    <w:rsid w:val="000A51F4"/>
    <w:rsid w:val="000A52CD"/>
    <w:rsid w:val="000A541E"/>
    <w:rsid w:val="000A549D"/>
    <w:rsid w:val="000A5A0C"/>
    <w:rsid w:val="000A5BCD"/>
    <w:rsid w:val="000A5EF7"/>
    <w:rsid w:val="000A5F05"/>
    <w:rsid w:val="000A602F"/>
    <w:rsid w:val="000A60B3"/>
    <w:rsid w:val="000A6357"/>
    <w:rsid w:val="000A675B"/>
    <w:rsid w:val="000A6810"/>
    <w:rsid w:val="000A6811"/>
    <w:rsid w:val="000A6F0B"/>
    <w:rsid w:val="000A70E5"/>
    <w:rsid w:val="000A75A6"/>
    <w:rsid w:val="000A76A5"/>
    <w:rsid w:val="000A798A"/>
    <w:rsid w:val="000A7ACB"/>
    <w:rsid w:val="000A7B87"/>
    <w:rsid w:val="000A7BC1"/>
    <w:rsid w:val="000A7CCA"/>
    <w:rsid w:val="000A7D16"/>
    <w:rsid w:val="000A7D9E"/>
    <w:rsid w:val="000B03F0"/>
    <w:rsid w:val="000B04D8"/>
    <w:rsid w:val="000B05AC"/>
    <w:rsid w:val="000B09BF"/>
    <w:rsid w:val="000B09C0"/>
    <w:rsid w:val="000B0C0F"/>
    <w:rsid w:val="000B1206"/>
    <w:rsid w:val="000B12B0"/>
    <w:rsid w:val="000B1353"/>
    <w:rsid w:val="000B1404"/>
    <w:rsid w:val="000B168B"/>
    <w:rsid w:val="000B194D"/>
    <w:rsid w:val="000B195E"/>
    <w:rsid w:val="000B1A85"/>
    <w:rsid w:val="000B1CE9"/>
    <w:rsid w:val="000B1FCB"/>
    <w:rsid w:val="000B206B"/>
    <w:rsid w:val="000B2846"/>
    <w:rsid w:val="000B2FE4"/>
    <w:rsid w:val="000B30A6"/>
    <w:rsid w:val="000B318D"/>
    <w:rsid w:val="000B31F3"/>
    <w:rsid w:val="000B3502"/>
    <w:rsid w:val="000B359D"/>
    <w:rsid w:val="000B3A6E"/>
    <w:rsid w:val="000B3BCE"/>
    <w:rsid w:val="000B3D88"/>
    <w:rsid w:val="000B423D"/>
    <w:rsid w:val="000B432F"/>
    <w:rsid w:val="000B43D6"/>
    <w:rsid w:val="000B43F5"/>
    <w:rsid w:val="000B4850"/>
    <w:rsid w:val="000B49C6"/>
    <w:rsid w:val="000B4C26"/>
    <w:rsid w:val="000B4F1D"/>
    <w:rsid w:val="000B4FCA"/>
    <w:rsid w:val="000B5055"/>
    <w:rsid w:val="000B5634"/>
    <w:rsid w:val="000B5732"/>
    <w:rsid w:val="000B578A"/>
    <w:rsid w:val="000B595C"/>
    <w:rsid w:val="000B5AEE"/>
    <w:rsid w:val="000B5B2D"/>
    <w:rsid w:val="000B5D5B"/>
    <w:rsid w:val="000B5D93"/>
    <w:rsid w:val="000B5EBA"/>
    <w:rsid w:val="000B660C"/>
    <w:rsid w:val="000B6D25"/>
    <w:rsid w:val="000B71FB"/>
    <w:rsid w:val="000B7299"/>
    <w:rsid w:val="000B739A"/>
    <w:rsid w:val="000B7429"/>
    <w:rsid w:val="000B7609"/>
    <w:rsid w:val="000B77AC"/>
    <w:rsid w:val="000B795D"/>
    <w:rsid w:val="000B7AE4"/>
    <w:rsid w:val="000B7BA1"/>
    <w:rsid w:val="000B7F95"/>
    <w:rsid w:val="000C042E"/>
    <w:rsid w:val="000C0430"/>
    <w:rsid w:val="000C0586"/>
    <w:rsid w:val="000C064C"/>
    <w:rsid w:val="000C075F"/>
    <w:rsid w:val="000C1014"/>
    <w:rsid w:val="000C1797"/>
    <w:rsid w:val="000C17B5"/>
    <w:rsid w:val="000C1B7B"/>
    <w:rsid w:val="000C1E80"/>
    <w:rsid w:val="000C216F"/>
    <w:rsid w:val="000C2259"/>
    <w:rsid w:val="000C22CC"/>
    <w:rsid w:val="000C2553"/>
    <w:rsid w:val="000C2592"/>
    <w:rsid w:val="000C274C"/>
    <w:rsid w:val="000C285C"/>
    <w:rsid w:val="000C2A8F"/>
    <w:rsid w:val="000C2D44"/>
    <w:rsid w:val="000C30A8"/>
    <w:rsid w:val="000C30B2"/>
    <w:rsid w:val="000C31D3"/>
    <w:rsid w:val="000C31F6"/>
    <w:rsid w:val="000C3571"/>
    <w:rsid w:val="000C37BD"/>
    <w:rsid w:val="000C385A"/>
    <w:rsid w:val="000C42D2"/>
    <w:rsid w:val="000C4627"/>
    <w:rsid w:val="000C4A6C"/>
    <w:rsid w:val="000C4B4E"/>
    <w:rsid w:val="000C4DDC"/>
    <w:rsid w:val="000C4F17"/>
    <w:rsid w:val="000C5222"/>
    <w:rsid w:val="000C53A9"/>
    <w:rsid w:val="000C5466"/>
    <w:rsid w:val="000C554E"/>
    <w:rsid w:val="000C55A0"/>
    <w:rsid w:val="000C57BC"/>
    <w:rsid w:val="000C59DC"/>
    <w:rsid w:val="000C5D11"/>
    <w:rsid w:val="000C5D36"/>
    <w:rsid w:val="000C5E1C"/>
    <w:rsid w:val="000C5FF3"/>
    <w:rsid w:val="000C6171"/>
    <w:rsid w:val="000C6939"/>
    <w:rsid w:val="000C69BA"/>
    <w:rsid w:val="000C6C1B"/>
    <w:rsid w:val="000C6D51"/>
    <w:rsid w:val="000C6D83"/>
    <w:rsid w:val="000C6D8A"/>
    <w:rsid w:val="000C7170"/>
    <w:rsid w:val="000C77DE"/>
    <w:rsid w:val="000C7826"/>
    <w:rsid w:val="000C78CE"/>
    <w:rsid w:val="000C7941"/>
    <w:rsid w:val="000C7CFC"/>
    <w:rsid w:val="000D022F"/>
    <w:rsid w:val="000D03D3"/>
    <w:rsid w:val="000D092B"/>
    <w:rsid w:val="000D0ADF"/>
    <w:rsid w:val="000D0C48"/>
    <w:rsid w:val="000D0D75"/>
    <w:rsid w:val="000D0F96"/>
    <w:rsid w:val="000D10B9"/>
    <w:rsid w:val="000D15ED"/>
    <w:rsid w:val="000D194F"/>
    <w:rsid w:val="000D1AF8"/>
    <w:rsid w:val="000D202D"/>
    <w:rsid w:val="000D203C"/>
    <w:rsid w:val="000D2072"/>
    <w:rsid w:val="000D2131"/>
    <w:rsid w:val="000D22CA"/>
    <w:rsid w:val="000D23D2"/>
    <w:rsid w:val="000D2434"/>
    <w:rsid w:val="000D2593"/>
    <w:rsid w:val="000D2856"/>
    <w:rsid w:val="000D2B34"/>
    <w:rsid w:val="000D2C93"/>
    <w:rsid w:val="000D3423"/>
    <w:rsid w:val="000D35AC"/>
    <w:rsid w:val="000D39F3"/>
    <w:rsid w:val="000D3CCC"/>
    <w:rsid w:val="000D3CE7"/>
    <w:rsid w:val="000D4087"/>
    <w:rsid w:val="000D42D9"/>
    <w:rsid w:val="000D45DC"/>
    <w:rsid w:val="000D49CC"/>
    <w:rsid w:val="000D4C44"/>
    <w:rsid w:val="000D4E35"/>
    <w:rsid w:val="000D4F34"/>
    <w:rsid w:val="000D4F41"/>
    <w:rsid w:val="000D513B"/>
    <w:rsid w:val="000D54C6"/>
    <w:rsid w:val="000D5946"/>
    <w:rsid w:val="000D5BE5"/>
    <w:rsid w:val="000D5BFB"/>
    <w:rsid w:val="000D6992"/>
    <w:rsid w:val="000D6A01"/>
    <w:rsid w:val="000D6A14"/>
    <w:rsid w:val="000D7159"/>
    <w:rsid w:val="000D75CA"/>
    <w:rsid w:val="000D798E"/>
    <w:rsid w:val="000D7A5C"/>
    <w:rsid w:val="000D7D49"/>
    <w:rsid w:val="000D7FD4"/>
    <w:rsid w:val="000D7FE4"/>
    <w:rsid w:val="000D7FE8"/>
    <w:rsid w:val="000E0275"/>
    <w:rsid w:val="000E02A2"/>
    <w:rsid w:val="000E02FA"/>
    <w:rsid w:val="000E0320"/>
    <w:rsid w:val="000E03D3"/>
    <w:rsid w:val="000E05C1"/>
    <w:rsid w:val="000E0805"/>
    <w:rsid w:val="000E0983"/>
    <w:rsid w:val="000E0C0A"/>
    <w:rsid w:val="000E0D6D"/>
    <w:rsid w:val="000E1143"/>
    <w:rsid w:val="000E13E8"/>
    <w:rsid w:val="000E15DB"/>
    <w:rsid w:val="000E172E"/>
    <w:rsid w:val="000E1A59"/>
    <w:rsid w:val="000E1C75"/>
    <w:rsid w:val="000E1F4D"/>
    <w:rsid w:val="000E1F8F"/>
    <w:rsid w:val="000E2390"/>
    <w:rsid w:val="000E2450"/>
    <w:rsid w:val="000E24DD"/>
    <w:rsid w:val="000E26CA"/>
    <w:rsid w:val="000E29BC"/>
    <w:rsid w:val="000E29F7"/>
    <w:rsid w:val="000E2AF4"/>
    <w:rsid w:val="000E3383"/>
    <w:rsid w:val="000E33AD"/>
    <w:rsid w:val="000E3740"/>
    <w:rsid w:val="000E3ACD"/>
    <w:rsid w:val="000E3B7C"/>
    <w:rsid w:val="000E3F0D"/>
    <w:rsid w:val="000E440D"/>
    <w:rsid w:val="000E4483"/>
    <w:rsid w:val="000E4584"/>
    <w:rsid w:val="000E4E1F"/>
    <w:rsid w:val="000E523C"/>
    <w:rsid w:val="000E5AEC"/>
    <w:rsid w:val="000E5BC3"/>
    <w:rsid w:val="000E5C11"/>
    <w:rsid w:val="000E5E02"/>
    <w:rsid w:val="000E671C"/>
    <w:rsid w:val="000E6E03"/>
    <w:rsid w:val="000E6ECA"/>
    <w:rsid w:val="000E6F1C"/>
    <w:rsid w:val="000E7122"/>
    <w:rsid w:val="000E7171"/>
    <w:rsid w:val="000E71AA"/>
    <w:rsid w:val="000E759B"/>
    <w:rsid w:val="000E7ACC"/>
    <w:rsid w:val="000F03B7"/>
    <w:rsid w:val="000F09BF"/>
    <w:rsid w:val="000F0B7F"/>
    <w:rsid w:val="000F1120"/>
    <w:rsid w:val="000F13FD"/>
    <w:rsid w:val="000F1494"/>
    <w:rsid w:val="000F1877"/>
    <w:rsid w:val="000F196A"/>
    <w:rsid w:val="000F19CC"/>
    <w:rsid w:val="000F1DCF"/>
    <w:rsid w:val="000F1DEE"/>
    <w:rsid w:val="000F25AE"/>
    <w:rsid w:val="000F2600"/>
    <w:rsid w:val="000F2738"/>
    <w:rsid w:val="000F303F"/>
    <w:rsid w:val="000F3337"/>
    <w:rsid w:val="000F347F"/>
    <w:rsid w:val="000F34F3"/>
    <w:rsid w:val="000F3A3F"/>
    <w:rsid w:val="000F3ED9"/>
    <w:rsid w:val="000F3F26"/>
    <w:rsid w:val="000F3FCA"/>
    <w:rsid w:val="000F41FC"/>
    <w:rsid w:val="000F48B3"/>
    <w:rsid w:val="000F528F"/>
    <w:rsid w:val="000F5A85"/>
    <w:rsid w:val="000F6504"/>
    <w:rsid w:val="000F66F8"/>
    <w:rsid w:val="000F670F"/>
    <w:rsid w:val="000F681C"/>
    <w:rsid w:val="000F7324"/>
    <w:rsid w:val="000F74AC"/>
    <w:rsid w:val="000F74B9"/>
    <w:rsid w:val="000F785F"/>
    <w:rsid w:val="000F7D3F"/>
    <w:rsid w:val="0010036A"/>
    <w:rsid w:val="001003B3"/>
    <w:rsid w:val="00100526"/>
    <w:rsid w:val="00100595"/>
    <w:rsid w:val="001007AD"/>
    <w:rsid w:val="0010083F"/>
    <w:rsid w:val="0010099F"/>
    <w:rsid w:val="00100B63"/>
    <w:rsid w:val="00100BE3"/>
    <w:rsid w:val="00100C8B"/>
    <w:rsid w:val="00100CE7"/>
    <w:rsid w:val="00100D8A"/>
    <w:rsid w:val="0010103D"/>
    <w:rsid w:val="001011DA"/>
    <w:rsid w:val="00101324"/>
    <w:rsid w:val="00101449"/>
    <w:rsid w:val="001014E9"/>
    <w:rsid w:val="0010151F"/>
    <w:rsid w:val="0010174E"/>
    <w:rsid w:val="00101934"/>
    <w:rsid w:val="00101CD7"/>
    <w:rsid w:val="00101D21"/>
    <w:rsid w:val="00101DB4"/>
    <w:rsid w:val="00102442"/>
    <w:rsid w:val="00102475"/>
    <w:rsid w:val="001026CE"/>
    <w:rsid w:val="0010272B"/>
    <w:rsid w:val="00102735"/>
    <w:rsid w:val="001029AB"/>
    <w:rsid w:val="00102A97"/>
    <w:rsid w:val="00102ACE"/>
    <w:rsid w:val="00102B88"/>
    <w:rsid w:val="00102C08"/>
    <w:rsid w:val="00103132"/>
    <w:rsid w:val="00103170"/>
    <w:rsid w:val="00103353"/>
    <w:rsid w:val="001034A1"/>
    <w:rsid w:val="0010350A"/>
    <w:rsid w:val="0010356E"/>
    <w:rsid w:val="00103755"/>
    <w:rsid w:val="0010378C"/>
    <w:rsid w:val="00103A7F"/>
    <w:rsid w:val="00103B4D"/>
    <w:rsid w:val="00103B64"/>
    <w:rsid w:val="00103BAB"/>
    <w:rsid w:val="001041AA"/>
    <w:rsid w:val="0010433F"/>
    <w:rsid w:val="0010448A"/>
    <w:rsid w:val="0010452D"/>
    <w:rsid w:val="001045A5"/>
    <w:rsid w:val="00104A57"/>
    <w:rsid w:val="00104E23"/>
    <w:rsid w:val="0010509B"/>
    <w:rsid w:val="00105253"/>
    <w:rsid w:val="00105994"/>
    <w:rsid w:val="00105A43"/>
    <w:rsid w:val="00105C3A"/>
    <w:rsid w:val="00105C86"/>
    <w:rsid w:val="00105C98"/>
    <w:rsid w:val="00105FCD"/>
    <w:rsid w:val="00106070"/>
    <w:rsid w:val="00106ABF"/>
    <w:rsid w:val="0010709C"/>
    <w:rsid w:val="0010724B"/>
    <w:rsid w:val="001073A7"/>
    <w:rsid w:val="001077CE"/>
    <w:rsid w:val="00107ABE"/>
    <w:rsid w:val="00107DEA"/>
    <w:rsid w:val="001105EC"/>
    <w:rsid w:val="00110926"/>
    <w:rsid w:val="00110FF9"/>
    <w:rsid w:val="00111937"/>
    <w:rsid w:val="00111B67"/>
    <w:rsid w:val="00112023"/>
    <w:rsid w:val="00112393"/>
    <w:rsid w:val="001123EE"/>
    <w:rsid w:val="00112503"/>
    <w:rsid w:val="0011276C"/>
    <w:rsid w:val="001127B6"/>
    <w:rsid w:val="00112A70"/>
    <w:rsid w:val="00112D36"/>
    <w:rsid w:val="00112E00"/>
    <w:rsid w:val="00112F11"/>
    <w:rsid w:val="00112FC4"/>
    <w:rsid w:val="00112FDD"/>
    <w:rsid w:val="00113319"/>
    <w:rsid w:val="00113638"/>
    <w:rsid w:val="001137B9"/>
    <w:rsid w:val="00113861"/>
    <w:rsid w:val="00113B55"/>
    <w:rsid w:val="0011418D"/>
    <w:rsid w:val="001142BF"/>
    <w:rsid w:val="001142F5"/>
    <w:rsid w:val="0011432B"/>
    <w:rsid w:val="00114430"/>
    <w:rsid w:val="00114671"/>
    <w:rsid w:val="00114B1F"/>
    <w:rsid w:val="00114CFD"/>
    <w:rsid w:val="00114D66"/>
    <w:rsid w:val="00114E60"/>
    <w:rsid w:val="00114FDD"/>
    <w:rsid w:val="00115018"/>
    <w:rsid w:val="001150A6"/>
    <w:rsid w:val="0011526A"/>
    <w:rsid w:val="001152E1"/>
    <w:rsid w:val="00115340"/>
    <w:rsid w:val="0011536A"/>
    <w:rsid w:val="00115562"/>
    <w:rsid w:val="0011572D"/>
    <w:rsid w:val="00115FE4"/>
    <w:rsid w:val="00116015"/>
    <w:rsid w:val="0011604E"/>
    <w:rsid w:val="0011620E"/>
    <w:rsid w:val="0011650B"/>
    <w:rsid w:val="00116675"/>
    <w:rsid w:val="00116C00"/>
    <w:rsid w:val="00116E2E"/>
    <w:rsid w:val="00116EF3"/>
    <w:rsid w:val="0011717D"/>
    <w:rsid w:val="00117407"/>
    <w:rsid w:val="001174AD"/>
    <w:rsid w:val="00117848"/>
    <w:rsid w:val="00117905"/>
    <w:rsid w:val="00117906"/>
    <w:rsid w:val="0011790D"/>
    <w:rsid w:val="00117B83"/>
    <w:rsid w:val="00117E4A"/>
    <w:rsid w:val="0012049A"/>
    <w:rsid w:val="00120839"/>
    <w:rsid w:val="001209CA"/>
    <w:rsid w:val="00120C46"/>
    <w:rsid w:val="00120E76"/>
    <w:rsid w:val="0012114D"/>
    <w:rsid w:val="0012127D"/>
    <w:rsid w:val="001212FA"/>
    <w:rsid w:val="001214E9"/>
    <w:rsid w:val="00121657"/>
    <w:rsid w:val="00121701"/>
    <w:rsid w:val="0012177F"/>
    <w:rsid w:val="001219C9"/>
    <w:rsid w:val="00121A8E"/>
    <w:rsid w:val="00121D18"/>
    <w:rsid w:val="00121F47"/>
    <w:rsid w:val="0012207C"/>
    <w:rsid w:val="0012240E"/>
    <w:rsid w:val="001224A3"/>
    <w:rsid w:val="00122807"/>
    <w:rsid w:val="00122A62"/>
    <w:rsid w:val="00122B30"/>
    <w:rsid w:val="00122C64"/>
    <w:rsid w:val="00122C93"/>
    <w:rsid w:val="001230A0"/>
    <w:rsid w:val="00123115"/>
    <w:rsid w:val="00123156"/>
    <w:rsid w:val="001231AA"/>
    <w:rsid w:val="0012364F"/>
    <w:rsid w:val="001238F0"/>
    <w:rsid w:val="001238FF"/>
    <w:rsid w:val="00123D1F"/>
    <w:rsid w:val="001244F2"/>
    <w:rsid w:val="00124564"/>
    <w:rsid w:val="00124E08"/>
    <w:rsid w:val="00125195"/>
    <w:rsid w:val="001251A3"/>
    <w:rsid w:val="001254DA"/>
    <w:rsid w:val="00125540"/>
    <w:rsid w:val="00125564"/>
    <w:rsid w:val="0012570F"/>
    <w:rsid w:val="00125A76"/>
    <w:rsid w:val="00125EDD"/>
    <w:rsid w:val="00125FDE"/>
    <w:rsid w:val="0012614D"/>
    <w:rsid w:val="0012643C"/>
    <w:rsid w:val="0012680E"/>
    <w:rsid w:val="00126938"/>
    <w:rsid w:val="00126DD3"/>
    <w:rsid w:val="00126E61"/>
    <w:rsid w:val="00126FE8"/>
    <w:rsid w:val="00127230"/>
    <w:rsid w:val="001272F2"/>
    <w:rsid w:val="0012762A"/>
    <w:rsid w:val="0012764C"/>
    <w:rsid w:val="00127990"/>
    <w:rsid w:val="00127E25"/>
    <w:rsid w:val="00127EC4"/>
    <w:rsid w:val="00127F3F"/>
    <w:rsid w:val="00127F73"/>
    <w:rsid w:val="00127F9D"/>
    <w:rsid w:val="00127FDC"/>
    <w:rsid w:val="001302A1"/>
    <w:rsid w:val="00130426"/>
    <w:rsid w:val="001309C5"/>
    <w:rsid w:val="00130A4B"/>
    <w:rsid w:val="00130F50"/>
    <w:rsid w:val="001317DE"/>
    <w:rsid w:val="00131F40"/>
    <w:rsid w:val="00132302"/>
    <w:rsid w:val="00132350"/>
    <w:rsid w:val="001324E3"/>
    <w:rsid w:val="001327F3"/>
    <w:rsid w:val="0013297A"/>
    <w:rsid w:val="00132EA5"/>
    <w:rsid w:val="001331A3"/>
    <w:rsid w:val="001337B6"/>
    <w:rsid w:val="00133BE0"/>
    <w:rsid w:val="00133F20"/>
    <w:rsid w:val="00133FEF"/>
    <w:rsid w:val="0013414E"/>
    <w:rsid w:val="0013450A"/>
    <w:rsid w:val="00134627"/>
    <w:rsid w:val="0013464B"/>
    <w:rsid w:val="001346E5"/>
    <w:rsid w:val="00134733"/>
    <w:rsid w:val="00134747"/>
    <w:rsid w:val="001349DD"/>
    <w:rsid w:val="00134D10"/>
    <w:rsid w:val="001352C7"/>
    <w:rsid w:val="0013583B"/>
    <w:rsid w:val="0013591B"/>
    <w:rsid w:val="00135F47"/>
    <w:rsid w:val="001366FB"/>
    <w:rsid w:val="001372A3"/>
    <w:rsid w:val="00137532"/>
    <w:rsid w:val="001375D8"/>
    <w:rsid w:val="001375EC"/>
    <w:rsid w:val="001375FB"/>
    <w:rsid w:val="001378A6"/>
    <w:rsid w:val="00137C54"/>
    <w:rsid w:val="00140B9E"/>
    <w:rsid w:val="00141464"/>
    <w:rsid w:val="00141B25"/>
    <w:rsid w:val="00142032"/>
    <w:rsid w:val="001422F8"/>
    <w:rsid w:val="00142451"/>
    <w:rsid w:val="00142769"/>
    <w:rsid w:val="0014297B"/>
    <w:rsid w:val="00142993"/>
    <w:rsid w:val="00143068"/>
    <w:rsid w:val="00143646"/>
    <w:rsid w:val="0014373B"/>
    <w:rsid w:val="001438C3"/>
    <w:rsid w:val="0014390B"/>
    <w:rsid w:val="00143A90"/>
    <w:rsid w:val="00143B0D"/>
    <w:rsid w:val="00143B3F"/>
    <w:rsid w:val="00143CDE"/>
    <w:rsid w:val="00143DE4"/>
    <w:rsid w:val="00143F0F"/>
    <w:rsid w:val="0014415B"/>
    <w:rsid w:val="00144282"/>
    <w:rsid w:val="001443A4"/>
    <w:rsid w:val="00144452"/>
    <w:rsid w:val="0014447E"/>
    <w:rsid w:val="00144690"/>
    <w:rsid w:val="001449A1"/>
    <w:rsid w:val="00144AF1"/>
    <w:rsid w:val="0014509F"/>
    <w:rsid w:val="0014536C"/>
    <w:rsid w:val="001453C7"/>
    <w:rsid w:val="00145410"/>
    <w:rsid w:val="001455D1"/>
    <w:rsid w:val="0014564F"/>
    <w:rsid w:val="0014575C"/>
    <w:rsid w:val="00145C84"/>
    <w:rsid w:val="00145E7E"/>
    <w:rsid w:val="00146087"/>
    <w:rsid w:val="001461E1"/>
    <w:rsid w:val="0014628C"/>
    <w:rsid w:val="00146383"/>
    <w:rsid w:val="001463CB"/>
    <w:rsid w:val="00146433"/>
    <w:rsid w:val="00146476"/>
    <w:rsid w:val="0014693F"/>
    <w:rsid w:val="00146A39"/>
    <w:rsid w:val="00146A79"/>
    <w:rsid w:val="00146B47"/>
    <w:rsid w:val="00146BFE"/>
    <w:rsid w:val="00146E7C"/>
    <w:rsid w:val="0014710C"/>
    <w:rsid w:val="0014714D"/>
    <w:rsid w:val="00147254"/>
    <w:rsid w:val="001475D4"/>
    <w:rsid w:val="00147771"/>
    <w:rsid w:val="001479D7"/>
    <w:rsid w:val="00147F7A"/>
    <w:rsid w:val="001501CA"/>
    <w:rsid w:val="0015085D"/>
    <w:rsid w:val="00150B28"/>
    <w:rsid w:val="00150C75"/>
    <w:rsid w:val="00150C83"/>
    <w:rsid w:val="00150ECE"/>
    <w:rsid w:val="00151004"/>
    <w:rsid w:val="0015125D"/>
    <w:rsid w:val="00151332"/>
    <w:rsid w:val="00151541"/>
    <w:rsid w:val="0015160F"/>
    <w:rsid w:val="0015189D"/>
    <w:rsid w:val="00151A71"/>
    <w:rsid w:val="00151C77"/>
    <w:rsid w:val="00151CEB"/>
    <w:rsid w:val="00151FBC"/>
    <w:rsid w:val="00152407"/>
    <w:rsid w:val="00152578"/>
    <w:rsid w:val="001527CE"/>
    <w:rsid w:val="00152B00"/>
    <w:rsid w:val="00152EB5"/>
    <w:rsid w:val="00152F1F"/>
    <w:rsid w:val="0015309D"/>
    <w:rsid w:val="00153110"/>
    <w:rsid w:val="0015344E"/>
    <w:rsid w:val="001538FA"/>
    <w:rsid w:val="0015396C"/>
    <w:rsid w:val="00153D88"/>
    <w:rsid w:val="00153FAA"/>
    <w:rsid w:val="001541F6"/>
    <w:rsid w:val="001544B2"/>
    <w:rsid w:val="001544EB"/>
    <w:rsid w:val="001546C1"/>
    <w:rsid w:val="00154826"/>
    <w:rsid w:val="00154A42"/>
    <w:rsid w:val="00154A86"/>
    <w:rsid w:val="00154F46"/>
    <w:rsid w:val="001550C3"/>
    <w:rsid w:val="001553CA"/>
    <w:rsid w:val="001554CC"/>
    <w:rsid w:val="00155BA4"/>
    <w:rsid w:val="00155DC4"/>
    <w:rsid w:val="00155F3A"/>
    <w:rsid w:val="00156214"/>
    <w:rsid w:val="00156732"/>
    <w:rsid w:val="00156AD6"/>
    <w:rsid w:val="001570E6"/>
    <w:rsid w:val="001570EF"/>
    <w:rsid w:val="00157387"/>
    <w:rsid w:val="00157646"/>
    <w:rsid w:val="00157660"/>
    <w:rsid w:val="0015772D"/>
    <w:rsid w:val="001577A5"/>
    <w:rsid w:val="00157DE8"/>
    <w:rsid w:val="00157EF1"/>
    <w:rsid w:val="001605E5"/>
    <w:rsid w:val="0016079F"/>
    <w:rsid w:val="001608B9"/>
    <w:rsid w:val="00160B26"/>
    <w:rsid w:val="00160BAE"/>
    <w:rsid w:val="00160C86"/>
    <w:rsid w:val="00160F3D"/>
    <w:rsid w:val="0016141B"/>
    <w:rsid w:val="001614E7"/>
    <w:rsid w:val="00161721"/>
    <w:rsid w:val="00161752"/>
    <w:rsid w:val="001619E2"/>
    <w:rsid w:val="00161D97"/>
    <w:rsid w:val="00161F2E"/>
    <w:rsid w:val="00161FB7"/>
    <w:rsid w:val="00161FC4"/>
    <w:rsid w:val="001620D5"/>
    <w:rsid w:val="00162653"/>
    <w:rsid w:val="00162856"/>
    <w:rsid w:val="00162B8C"/>
    <w:rsid w:val="00162BB0"/>
    <w:rsid w:val="0016320E"/>
    <w:rsid w:val="001636D4"/>
    <w:rsid w:val="00163730"/>
    <w:rsid w:val="00163840"/>
    <w:rsid w:val="0016391C"/>
    <w:rsid w:val="00163957"/>
    <w:rsid w:val="00163B9D"/>
    <w:rsid w:val="00163CD5"/>
    <w:rsid w:val="00163F4C"/>
    <w:rsid w:val="001640F2"/>
    <w:rsid w:val="00164187"/>
    <w:rsid w:val="001641A6"/>
    <w:rsid w:val="001643D0"/>
    <w:rsid w:val="001646B0"/>
    <w:rsid w:val="001646BD"/>
    <w:rsid w:val="00164B18"/>
    <w:rsid w:val="00164C3D"/>
    <w:rsid w:val="001650D4"/>
    <w:rsid w:val="001654E2"/>
    <w:rsid w:val="00165FCB"/>
    <w:rsid w:val="001660C7"/>
    <w:rsid w:val="0016617B"/>
    <w:rsid w:val="001663FA"/>
    <w:rsid w:val="00166692"/>
    <w:rsid w:val="001669EB"/>
    <w:rsid w:val="00166F93"/>
    <w:rsid w:val="00167188"/>
    <w:rsid w:val="00167255"/>
    <w:rsid w:val="0016796F"/>
    <w:rsid w:val="001679D6"/>
    <w:rsid w:val="00167A99"/>
    <w:rsid w:val="00167E7F"/>
    <w:rsid w:val="001704AD"/>
    <w:rsid w:val="0017052D"/>
    <w:rsid w:val="001705AA"/>
    <w:rsid w:val="001706A1"/>
    <w:rsid w:val="001708BE"/>
    <w:rsid w:val="00170CED"/>
    <w:rsid w:val="00170E12"/>
    <w:rsid w:val="001711AB"/>
    <w:rsid w:val="001711E9"/>
    <w:rsid w:val="0017131E"/>
    <w:rsid w:val="00171698"/>
    <w:rsid w:val="00171927"/>
    <w:rsid w:val="00171B59"/>
    <w:rsid w:val="00171C6D"/>
    <w:rsid w:val="00171C97"/>
    <w:rsid w:val="00171D49"/>
    <w:rsid w:val="001725A3"/>
    <w:rsid w:val="0017288C"/>
    <w:rsid w:val="00172AFE"/>
    <w:rsid w:val="00172BD9"/>
    <w:rsid w:val="00172CBF"/>
    <w:rsid w:val="00173038"/>
    <w:rsid w:val="0017323A"/>
    <w:rsid w:val="0017335A"/>
    <w:rsid w:val="00173402"/>
    <w:rsid w:val="0017373A"/>
    <w:rsid w:val="00173C40"/>
    <w:rsid w:val="00173E4D"/>
    <w:rsid w:val="0017404A"/>
    <w:rsid w:val="00174150"/>
    <w:rsid w:val="00174339"/>
    <w:rsid w:val="00174395"/>
    <w:rsid w:val="00174440"/>
    <w:rsid w:val="0017450E"/>
    <w:rsid w:val="0017480C"/>
    <w:rsid w:val="00174955"/>
    <w:rsid w:val="0017507D"/>
    <w:rsid w:val="001755E6"/>
    <w:rsid w:val="00175A69"/>
    <w:rsid w:val="00175EFC"/>
    <w:rsid w:val="00176036"/>
    <w:rsid w:val="001762F5"/>
    <w:rsid w:val="001765AD"/>
    <w:rsid w:val="001767FA"/>
    <w:rsid w:val="00176B38"/>
    <w:rsid w:val="00177594"/>
    <w:rsid w:val="0017777D"/>
    <w:rsid w:val="0017795E"/>
    <w:rsid w:val="00177AB5"/>
    <w:rsid w:val="00177C48"/>
    <w:rsid w:val="00177DA9"/>
    <w:rsid w:val="00177EFE"/>
    <w:rsid w:val="00180243"/>
    <w:rsid w:val="001804A0"/>
    <w:rsid w:val="0018067B"/>
    <w:rsid w:val="001806B1"/>
    <w:rsid w:val="001808BA"/>
    <w:rsid w:val="001809B1"/>
    <w:rsid w:val="00180D7E"/>
    <w:rsid w:val="00180DB6"/>
    <w:rsid w:val="00180E4F"/>
    <w:rsid w:val="00181145"/>
    <w:rsid w:val="00181370"/>
    <w:rsid w:val="00181446"/>
    <w:rsid w:val="00181B6C"/>
    <w:rsid w:val="00181C79"/>
    <w:rsid w:val="00181CB2"/>
    <w:rsid w:val="00181ED6"/>
    <w:rsid w:val="00181F0F"/>
    <w:rsid w:val="00182813"/>
    <w:rsid w:val="00182925"/>
    <w:rsid w:val="00182A21"/>
    <w:rsid w:val="00182FCF"/>
    <w:rsid w:val="0018309B"/>
    <w:rsid w:val="001831FE"/>
    <w:rsid w:val="001833C9"/>
    <w:rsid w:val="001833DB"/>
    <w:rsid w:val="001833F1"/>
    <w:rsid w:val="0018354B"/>
    <w:rsid w:val="0018365E"/>
    <w:rsid w:val="0018373E"/>
    <w:rsid w:val="00183824"/>
    <w:rsid w:val="001843DD"/>
    <w:rsid w:val="0018443E"/>
    <w:rsid w:val="0018477A"/>
    <w:rsid w:val="00184871"/>
    <w:rsid w:val="001848BC"/>
    <w:rsid w:val="0018493C"/>
    <w:rsid w:val="0018498B"/>
    <w:rsid w:val="001849D5"/>
    <w:rsid w:val="00184ADF"/>
    <w:rsid w:val="00184D5B"/>
    <w:rsid w:val="00184E93"/>
    <w:rsid w:val="00185024"/>
    <w:rsid w:val="001852DF"/>
    <w:rsid w:val="00185392"/>
    <w:rsid w:val="001853B7"/>
    <w:rsid w:val="001858D7"/>
    <w:rsid w:val="0018590E"/>
    <w:rsid w:val="00185979"/>
    <w:rsid w:val="00185B20"/>
    <w:rsid w:val="00185C26"/>
    <w:rsid w:val="00185F8D"/>
    <w:rsid w:val="00186028"/>
    <w:rsid w:val="00186254"/>
    <w:rsid w:val="001863A6"/>
    <w:rsid w:val="00186443"/>
    <w:rsid w:val="001866F7"/>
    <w:rsid w:val="00186702"/>
    <w:rsid w:val="00186718"/>
    <w:rsid w:val="001867C5"/>
    <w:rsid w:val="001869C0"/>
    <w:rsid w:val="00186A95"/>
    <w:rsid w:val="00186B4C"/>
    <w:rsid w:val="00187A9D"/>
    <w:rsid w:val="00187C0C"/>
    <w:rsid w:val="001904B0"/>
    <w:rsid w:val="001905A8"/>
    <w:rsid w:val="00190770"/>
    <w:rsid w:val="00190972"/>
    <w:rsid w:val="00190ABB"/>
    <w:rsid w:val="00190B80"/>
    <w:rsid w:val="00190B98"/>
    <w:rsid w:val="00190D08"/>
    <w:rsid w:val="001910DE"/>
    <w:rsid w:val="00191168"/>
    <w:rsid w:val="001914CE"/>
    <w:rsid w:val="0019156C"/>
    <w:rsid w:val="00191599"/>
    <w:rsid w:val="001917E5"/>
    <w:rsid w:val="00191831"/>
    <w:rsid w:val="00191B0D"/>
    <w:rsid w:val="00191B45"/>
    <w:rsid w:val="00191E5E"/>
    <w:rsid w:val="00192008"/>
    <w:rsid w:val="0019283A"/>
    <w:rsid w:val="00192A4D"/>
    <w:rsid w:val="00192A52"/>
    <w:rsid w:val="00192CC7"/>
    <w:rsid w:val="00192D9C"/>
    <w:rsid w:val="00192FFC"/>
    <w:rsid w:val="00193083"/>
    <w:rsid w:val="001932AB"/>
    <w:rsid w:val="00193328"/>
    <w:rsid w:val="001935D9"/>
    <w:rsid w:val="0019370C"/>
    <w:rsid w:val="001938B8"/>
    <w:rsid w:val="00193C8A"/>
    <w:rsid w:val="00193D4C"/>
    <w:rsid w:val="00193DFA"/>
    <w:rsid w:val="0019412E"/>
    <w:rsid w:val="001941AE"/>
    <w:rsid w:val="00194430"/>
    <w:rsid w:val="00194475"/>
    <w:rsid w:val="00194591"/>
    <w:rsid w:val="001946D5"/>
    <w:rsid w:val="00194C80"/>
    <w:rsid w:val="00195583"/>
    <w:rsid w:val="001955C4"/>
    <w:rsid w:val="00195A3A"/>
    <w:rsid w:val="00195AB8"/>
    <w:rsid w:val="00195CE4"/>
    <w:rsid w:val="00195DEF"/>
    <w:rsid w:val="001960E2"/>
    <w:rsid w:val="001960E8"/>
    <w:rsid w:val="0019612B"/>
    <w:rsid w:val="00196770"/>
    <w:rsid w:val="00196860"/>
    <w:rsid w:val="00196B57"/>
    <w:rsid w:val="00196EA4"/>
    <w:rsid w:val="00197057"/>
    <w:rsid w:val="00197180"/>
    <w:rsid w:val="001971F6"/>
    <w:rsid w:val="00197231"/>
    <w:rsid w:val="001976A3"/>
    <w:rsid w:val="001979A2"/>
    <w:rsid w:val="001A01C3"/>
    <w:rsid w:val="001A03A8"/>
    <w:rsid w:val="001A03E4"/>
    <w:rsid w:val="001A047F"/>
    <w:rsid w:val="001A09B0"/>
    <w:rsid w:val="001A0EBE"/>
    <w:rsid w:val="001A12C3"/>
    <w:rsid w:val="001A12DD"/>
    <w:rsid w:val="001A148F"/>
    <w:rsid w:val="001A14E5"/>
    <w:rsid w:val="001A161E"/>
    <w:rsid w:val="001A1658"/>
    <w:rsid w:val="001A1803"/>
    <w:rsid w:val="001A18EF"/>
    <w:rsid w:val="001A1B4B"/>
    <w:rsid w:val="001A1BB5"/>
    <w:rsid w:val="001A1CAC"/>
    <w:rsid w:val="001A1E47"/>
    <w:rsid w:val="001A1F5E"/>
    <w:rsid w:val="001A1FBD"/>
    <w:rsid w:val="001A23E4"/>
    <w:rsid w:val="001A25FB"/>
    <w:rsid w:val="001A277C"/>
    <w:rsid w:val="001A2D38"/>
    <w:rsid w:val="001A308D"/>
    <w:rsid w:val="001A35CD"/>
    <w:rsid w:val="001A3712"/>
    <w:rsid w:val="001A3730"/>
    <w:rsid w:val="001A3A79"/>
    <w:rsid w:val="001A3E7D"/>
    <w:rsid w:val="001A3F40"/>
    <w:rsid w:val="001A3F8A"/>
    <w:rsid w:val="001A4117"/>
    <w:rsid w:val="001A4177"/>
    <w:rsid w:val="001A42B8"/>
    <w:rsid w:val="001A4477"/>
    <w:rsid w:val="001A45AE"/>
    <w:rsid w:val="001A47BF"/>
    <w:rsid w:val="001A4B4E"/>
    <w:rsid w:val="001A4F3E"/>
    <w:rsid w:val="001A50E8"/>
    <w:rsid w:val="001A5150"/>
    <w:rsid w:val="001A527E"/>
    <w:rsid w:val="001A551A"/>
    <w:rsid w:val="001A5687"/>
    <w:rsid w:val="001A56F4"/>
    <w:rsid w:val="001A5839"/>
    <w:rsid w:val="001A588B"/>
    <w:rsid w:val="001A5AC1"/>
    <w:rsid w:val="001A5B2B"/>
    <w:rsid w:val="001A5DF1"/>
    <w:rsid w:val="001A63CE"/>
    <w:rsid w:val="001A658B"/>
    <w:rsid w:val="001A6604"/>
    <w:rsid w:val="001A7124"/>
    <w:rsid w:val="001A714B"/>
    <w:rsid w:val="001A72A4"/>
    <w:rsid w:val="001A757E"/>
    <w:rsid w:val="001A7588"/>
    <w:rsid w:val="001A76F4"/>
    <w:rsid w:val="001A7844"/>
    <w:rsid w:val="001A78EF"/>
    <w:rsid w:val="001A7935"/>
    <w:rsid w:val="001A7A8C"/>
    <w:rsid w:val="001A7A8F"/>
    <w:rsid w:val="001A7BEE"/>
    <w:rsid w:val="001A7DDB"/>
    <w:rsid w:val="001B00E2"/>
    <w:rsid w:val="001B02CF"/>
    <w:rsid w:val="001B042E"/>
    <w:rsid w:val="001B0C20"/>
    <w:rsid w:val="001B0EA5"/>
    <w:rsid w:val="001B0EAA"/>
    <w:rsid w:val="001B1045"/>
    <w:rsid w:val="001B160D"/>
    <w:rsid w:val="001B198F"/>
    <w:rsid w:val="001B1B7B"/>
    <w:rsid w:val="001B1D5B"/>
    <w:rsid w:val="001B1DC9"/>
    <w:rsid w:val="001B2354"/>
    <w:rsid w:val="001B23FC"/>
    <w:rsid w:val="001B2406"/>
    <w:rsid w:val="001B24D9"/>
    <w:rsid w:val="001B2563"/>
    <w:rsid w:val="001B2A59"/>
    <w:rsid w:val="001B2C27"/>
    <w:rsid w:val="001B30D8"/>
    <w:rsid w:val="001B33AA"/>
    <w:rsid w:val="001B36BC"/>
    <w:rsid w:val="001B398F"/>
    <w:rsid w:val="001B3B46"/>
    <w:rsid w:val="001B3B88"/>
    <w:rsid w:val="001B3BB8"/>
    <w:rsid w:val="001B3D28"/>
    <w:rsid w:val="001B3DC6"/>
    <w:rsid w:val="001B3DF7"/>
    <w:rsid w:val="001B404A"/>
    <w:rsid w:val="001B46BD"/>
    <w:rsid w:val="001B4714"/>
    <w:rsid w:val="001B4862"/>
    <w:rsid w:val="001B4AA1"/>
    <w:rsid w:val="001B4CD2"/>
    <w:rsid w:val="001B4D8C"/>
    <w:rsid w:val="001B4E8D"/>
    <w:rsid w:val="001B5024"/>
    <w:rsid w:val="001B5415"/>
    <w:rsid w:val="001B5825"/>
    <w:rsid w:val="001B5A44"/>
    <w:rsid w:val="001B5AA4"/>
    <w:rsid w:val="001B5B0F"/>
    <w:rsid w:val="001B5B38"/>
    <w:rsid w:val="001B5DF6"/>
    <w:rsid w:val="001B6068"/>
    <w:rsid w:val="001B64F8"/>
    <w:rsid w:val="001B6536"/>
    <w:rsid w:val="001B675C"/>
    <w:rsid w:val="001B69CB"/>
    <w:rsid w:val="001B6BBB"/>
    <w:rsid w:val="001B6D4C"/>
    <w:rsid w:val="001B6D6B"/>
    <w:rsid w:val="001B6DA6"/>
    <w:rsid w:val="001B7079"/>
    <w:rsid w:val="001B76A9"/>
    <w:rsid w:val="001B7B5A"/>
    <w:rsid w:val="001B7B5F"/>
    <w:rsid w:val="001B7DE5"/>
    <w:rsid w:val="001C000A"/>
    <w:rsid w:val="001C0182"/>
    <w:rsid w:val="001C028A"/>
    <w:rsid w:val="001C029A"/>
    <w:rsid w:val="001C08FB"/>
    <w:rsid w:val="001C0EC9"/>
    <w:rsid w:val="001C0F2A"/>
    <w:rsid w:val="001C1468"/>
    <w:rsid w:val="001C1804"/>
    <w:rsid w:val="001C1812"/>
    <w:rsid w:val="001C1CA9"/>
    <w:rsid w:val="001C27CB"/>
    <w:rsid w:val="001C28E9"/>
    <w:rsid w:val="001C2A1D"/>
    <w:rsid w:val="001C2D4A"/>
    <w:rsid w:val="001C2F5F"/>
    <w:rsid w:val="001C326D"/>
    <w:rsid w:val="001C32B9"/>
    <w:rsid w:val="001C332A"/>
    <w:rsid w:val="001C3364"/>
    <w:rsid w:val="001C3737"/>
    <w:rsid w:val="001C3966"/>
    <w:rsid w:val="001C3FE6"/>
    <w:rsid w:val="001C4379"/>
    <w:rsid w:val="001C440A"/>
    <w:rsid w:val="001C441F"/>
    <w:rsid w:val="001C55BD"/>
    <w:rsid w:val="001C5706"/>
    <w:rsid w:val="001C5DA7"/>
    <w:rsid w:val="001C5DC0"/>
    <w:rsid w:val="001C5DD2"/>
    <w:rsid w:val="001C5E99"/>
    <w:rsid w:val="001C5EB9"/>
    <w:rsid w:val="001C5ECE"/>
    <w:rsid w:val="001C60A5"/>
    <w:rsid w:val="001C636D"/>
    <w:rsid w:val="001C6432"/>
    <w:rsid w:val="001C6710"/>
    <w:rsid w:val="001C67E7"/>
    <w:rsid w:val="001C68CE"/>
    <w:rsid w:val="001C6954"/>
    <w:rsid w:val="001C69A2"/>
    <w:rsid w:val="001C6E2D"/>
    <w:rsid w:val="001C6F08"/>
    <w:rsid w:val="001C734F"/>
    <w:rsid w:val="001C73B7"/>
    <w:rsid w:val="001C7418"/>
    <w:rsid w:val="001C7E19"/>
    <w:rsid w:val="001C7EAD"/>
    <w:rsid w:val="001C7F11"/>
    <w:rsid w:val="001D00EB"/>
    <w:rsid w:val="001D072D"/>
    <w:rsid w:val="001D077E"/>
    <w:rsid w:val="001D0903"/>
    <w:rsid w:val="001D0CA9"/>
    <w:rsid w:val="001D0D18"/>
    <w:rsid w:val="001D0F8F"/>
    <w:rsid w:val="001D103D"/>
    <w:rsid w:val="001D1114"/>
    <w:rsid w:val="001D1437"/>
    <w:rsid w:val="001D1466"/>
    <w:rsid w:val="001D1799"/>
    <w:rsid w:val="001D17D4"/>
    <w:rsid w:val="001D1813"/>
    <w:rsid w:val="001D1B03"/>
    <w:rsid w:val="001D1B6A"/>
    <w:rsid w:val="001D1DE0"/>
    <w:rsid w:val="001D1F93"/>
    <w:rsid w:val="001D21F6"/>
    <w:rsid w:val="001D22A1"/>
    <w:rsid w:val="001D24F7"/>
    <w:rsid w:val="001D2666"/>
    <w:rsid w:val="001D26A3"/>
    <w:rsid w:val="001D28D5"/>
    <w:rsid w:val="001D3274"/>
    <w:rsid w:val="001D3523"/>
    <w:rsid w:val="001D357A"/>
    <w:rsid w:val="001D3606"/>
    <w:rsid w:val="001D3893"/>
    <w:rsid w:val="001D3B0C"/>
    <w:rsid w:val="001D3B1E"/>
    <w:rsid w:val="001D3EAE"/>
    <w:rsid w:val="001D4120"/>
    <w:rsid w:val="001D4308"/>
    <w:rsid w:val="001D440E"/>
    <w:rsid w:val="001D478B"/>
    <w:rsid w:val="001D4998"/>
    <w:rsid w:val="001D49E5"/>
    <w:rsid w:val="001D4ACF"/>
    <w:rsid w:val="001D4EBB"/>
    <w:rsid w:val="001D5101"/>
    <w:rsid w:val="001D536D"/>
    <w:rsid w:val="001D53C9"/>
    <w:rsid w:val="001D58A8"/>
    <w:rsid w:val="001D6094"/>
    <w:rsid w:val="001D60A3"/>
    <w:rsid w:val="001D6101"/>
    <w:rsid w:val="001D637C"/>
    <w:rsid w:val="001D6661"/>
    <w:rsid w:val="001D6994"/>
    <w:rsid w:val="001D743A"/>
    <w:rsid w:val="001D7511"/>
    <w:rsid w:val="001D7A4D"/>
    <w:rsid w:val="001D7BC5"/>
    <w:rsid w:val="001D7BFC"/>
    <w:rsid w:val="001D7F15"/>
    <w:rsid w:val="001E0274"/>
    <w:rsid w:val="001E0352"/>
    <w:rsid w:val="001E086B"/>
    <w:rsid w:val="001E086F"/>
    <w:rsid w:val="001E0F12"/>
    <w:rsid w:val="001E14A0"/>
    <w:rsid w:val="001E15CC"/>
    <w:rsid w:val="001E1D66"/>
    <w:rsid w:val="001E1ED6"/>
    <w:rsid w:val="001E2383"/>
    <w:rsid w:val="001E2413"/>
    <w:rsid w:val="001E24AE"/>
    <w:rsid w:val="001E270F"/>
    <w:rsid w:val="001E28FA"/>
    <w:rsid w:val="001E29BA"/>
    <w:rsid w:val="001E2D2E"/>
    <w:rsid w:val="001E31CD"/>
    <w:rsid w:val="001E32C4"/>
    <w:rsid w:val="001E3327"/>
    <w:rsid w:val="001E36D6"/>
    <w:rsid w:val="001E3764"/>
    <w:rsid w:val="001E379A"/>
    <w:rsid w:val="001E37D8"/>
    <w:rsid w:val="001E382B"/>
    <w:rsid w:val="001E39F0"/>
    <w:rsid w:val="001E3B5D"/>
    <w:rsid w:val="001E3C2E"/>
    <w:rsid w:val="001E3C89"/>
    <w:rsid w:val="001E3DBE"/>
    <w:rsid w:val="001E3F1E"/>
    <w:rsid w:val="001E40F8"/>
    <w:rsid w:val="001E4196"/>
    <w:rsid w:val="001E42C0"/>
    <w:rsid w:val="001E482D"/>
    <w:rsid w:val="001E48C2"/>
    <w:rsid w:val="001E4E2F"/>
    <w:rsid w:val="001E5540"/>
    <w:rsid w:val="001E56F6"/>
    <w:rsid w:val="001E5702"/>
    <w:rsid w:val="001E57C4"/>
    <w:rsid w:val="001E598B"/>
    <w:rsid w:val="001E5A0C"/>
    <w:rsid w:val="001E5AF9"/>
    <w:rsid w:val="001E5BB9"/>
    <w:rsid w:val="001E5D56"/>
    <w:rsid w:val="001E5F75"/>
    <w:rsid w:val="001E61D2"/>
    <w:rsid w:val="001E6583"/>
    <w:rsid w:val="001E6668"/>
    <w:rsid w:val="001E675E"/>
    <w:rsid w:val="001E6841"/>
    <w:rsid w:val="001E6930"/>
    <w:rsid w:val="001E6BB0"/>
    <w:rsid w:val="001E6D70"/>
    <w:rsid w:val="001E6E66"/>
    <w:rsid w:val="001E6ECC"/>
    <w:rsid w:val="001E6F69"/>
    <w:rsid w:val="001E716A"/>
    <w:rsid w:val="001E7174"/>
    <w:rsid w:val="001E7440"/>
    <w:rsid w:val="001E7474"/>
    <w:rsid w:val="001E7614"/>
    <w:rsid w:val="001E78A7"/>
    <w:rsid w:val="001E790D"/>
    <w:rsid w:val="001E7968"/>
    <w:rsid w:val="001E7D12"/>
    <w:rsid w:val="001E7E31"/>
    <w:rsid w:val="001E7E48"/>
    <w:rsid w:val="001E7FEF"/>
    <w:rsid w:val="001F02FA"/>
    <w:rsid w:val="001F0302"/>
    <w:rsid w:val="001F04F0"/>
    <w:rsid w:val="001F0717"/>
    <w:rsid w:val="001F0869"/>
    <w:rsid w:val="001F09A0"/>
    <w:rsid w:val="001F0BD9"/>
    <w:rsid w:val="001F0D09"/>
    <w:rsid w:val="001F0ED5"/>
    <w:rsid w:val="001F122E"/>
    <w:rsid w:val="001F12A7"/>
    <w:rsid w:val="001F1A20"/>
    <w:rsid w:val="001F1C22"/>
    <w:rsid w:val="001F2011"/>
    <w:rsid w:val="001F2214"/>
    <w:rsid w:val="001F2405"/>
    <w:rsid w:val="001F2AE7"/>
    <w:rsid w:val="001F2B2F"/>
    <w:rsid w:val="001F2FEC"/>
    <w:rsid w:val="001F3176"/>
    <w:rsid w:val="001F34D4"/>
    <w:rsid w:val="001F363C"/>
    <w:rsid w:val="001F3D65"/>
    <w:rsid w:val="001F46CF"/>
    <w:rsid w:val="001F5245"/>
    <w:rsid w:val="001F595B"/>
    <w:rsid w:val="001F5AB5"/>
    <w:rsid w:val="001F5AE3"/>
    <w:rsid w:val="001F5E73"/>
    <w:rsid w:val="001F624B"/>
    <w:rsid w:val="001F637A"/>
    <w:rsid w:val="001F6385"/>
    <w:rsid w:val="001F674E"/>
    <w:rsid w:val="001F676C"/>
    <w:rsid w:val="001F6CAF"/>
    <w:rsid w:val="001F6FB1"/>
    <w:rsid w:val="001F717A"/>
    <w:rsid w:val="001F76FD"/>
    <w:rsid w:val="001F7D44"/>
    <w:rsid w:val="001F7E4D"/>
    <w:rsid w:val="001F7F6A"/>
    <w:rsid w:val="0020014A"/>
    <w:rsid w:val="002003ED"/>
    <w:rsid w:val="00200445"/>
    <w:rsid w:val="002005A3"/>
    <w:rsid w:val="00200628"/>
    <w:rsid w:val="00200D34"/>
    <w:rsid w:val="00201033"/>
    <w:rsid w:val="00201242"/>
    <w:rsid w:val="0020142B"/>
    <w:rsid w:val="00201968"/>
    <w:rsid w:val="00201CBC"/>
    <w:rsid w:val="00201DB1"/>
    <w:rsid w:val="00201EC9"/>
    <w:rsid w:val="002020A7"/>
    <w:rsid w:val="00202424"/>
    <w:rsid w:val="00202926"/>
    <w:rsid w:val="002029B8"/>
    <w:rsid w:val="00202B9F"/>
    <w:rsid w:val="00202DD1"/>
    <w:rsid w:val="00202E74"/>
    <w:rsid w:val="00203018"/>
    <w:rsid w:val="00203139"/>
    <w:rsid w:val="00203328"/>
    <w:rsid w:val="00203408"/>
    <w:rsid w:val="00203750"/>
    <w:rsid w:val="00203EB9"/>
    <w:rsid w:val="00204087"/>
    <w:rsid w:val="002041EE"/>
    <w:rsid w:val="0020422E"/>
    <w:rsid w:val="0020444B"/>
    <w:rsid w:val="0020452A"/>
    <w:rsid w:val="002046ED"/>
    <w:rsid w:val="00204837"/>
    <w:rsid w:val="00204B3C"/>
    <w:rsid w:val="00204CF2"/>
    <w:rsid w:val="00204F9C"/>
    <w:rsid w:val="002050A4"/>
    <w:rsid w:val="00205229"/>
    <w:rsid w:val="002054F1"/>
    <w:rsid w:val="002055A5"/>
    <w:rsid w:val="00205657"/>
    <w:rsid w:val="00205715"/>
    <w:rsid w:val="00205AEA"/>
    <w:rsid w:val="00205E3D"/>
    <w:rsid w:val="0020608D"/>
    <w:rsid w:val="002060C5"/>
    <w:rsid w:val="0020619C"/>
    <w:rsid w:val="002062E7"/>
    <w:rsid w:val="002064E6"/>
    <w:rsid w:val="00206540"/>
    <w:rsid w:val="0020656F"/>
    <w:rsid w:val="002067ED"/>
    <w:rsid w:val="00206BF6"/>
    <w:rsid w:val="00206D15"/>
    <w:rsid w:val="00206E7C"/>
    <w:rsid w:val="00207069"/>
    <w:rsid w:val="0020706A"/>
    <w:rsid w:val="00207150"/>
    <w:rsid w:val="00207275"/>
    <w:rsid w:val="00207301"/>
    <w:rsid w:val="0020741C"/>
    <w:rsid w:val="0020755C"/>
    <w:rsid w:val="002075B6"/>
    <w:rsid w:val="00207BF6"/>
    <w:rsid w:val="00207D47"/>
    <w:rsid w:val="00207DC1"/>
    <w:rsid w:val="00207FCB"/>
    <w:rsid w:val="002100B6"/>
    <w:rsid w:val="002100CE"/>
    <w:rsid w:val="002101C5"/>
    <w:rsid w:val="00210450"/>
    <w:rsid w:val="0021083B"/>
    <w:rsid w:val="00210954"/>
    <w:rsid w:val="00210CFD"/>
    <w:rsid w:val="00210DD1"/>
    <w:rsid w:val="00210E69"/>
    <w:rsid w:val="002117DC"/>
    <w:rsid w:val="00211AE3"/>
    <w:rsid w:val="00211AF6"/>
    <w:rsid w:val="00211CB2"/>
    <w:rsid w:val="00211CEA"/>
    <w:rsid w:val="002120AF"/>
    <w:rsid w:val="002120B4"/>
    <w:rsid w:val="00212144"/>
    <w:rsid w:val="002121F3"/>
    <w:rsid w:val="00212357"/>
    <w:rsid w:val="0021269A"/>
    <w:rsid w:val="0021287C"/>
    <w:rsid w:val="002129FB"/>
    <w:rsid w:val="00212A61"/>
    <w:rsid w:val="00212FDD"/>
    <w:rsid w:val="0021325D"/>
    <w:rsid w:val="002132EF"/>
    <w:rsid w:val="00213552"/>
    <w:rsid w:val="00213A42"/>
    <w:rsid w:val="00213AF0"/>
    <w:rsid w:val="00213B91"/>
    <w:rsid w:val="00213CBE"/>
    <w:rsid w:val="0021406D"/>
    <w:rsid w:val="0021451A"/>
    <w:rsid w:val="002147CB"/>
    <w:rsid w:val="00214888"/>
    <w:rsid w:val="00214938"/>
    <w:rsid w:val="00214985"/>
    <w:rsid w:val="00214B21"/>
    <w:rsid w:val="00214C85"/>
    <w:rsid w:val="002153EF"/>
    <w:rsid w:val="00215653"/>
    <w:rsid w:val="002157ED"/>
    <w:rsid w:val="00215B03"/>
    <w:rsid w:val="00215E52"/>
    <w:rsid w:val="0021601A"/>
    <w:rsid w:val="002160E8"/>
    <w:rsid w:val="0021633F"/>
    <w:rsid w:val="0021635A"/>
    <w:rsid w:val="0021655A"/>
    <w:rsid w:val="00216B02"/>
    <w:rsid w:val="00216BC9"/>
    <w:rsid w:val="00216BE2"/>
    <w:rsid w:val="00217267"/>
    <w:rsid w:val="00217909"/>
    <w:rsid w:val="0021793C"/>
    <w:rsid w:val="00217C55"/>
    <w:rsid w:val="00217C82"/>
    <w:rsid w:val="002206C2"/>
    <w:rsid w:val="002207E4"/>
    <w:rsid w:val="00220B74"/>
    <w:rsid w:val="00221067"/>
    <w:rsid w:val="0022133F"/>
    <w:rsid w:val="00221981"/>
    <w:rsid w:val="00221AD4"/>
    <w:rsid w:val="00221B30"/>
    <w:rsid w:val="00221E98"/>
    <w:rsid w:val="002220DB"/>
    <w:rsid w:val="00222200"/>
    <w:rsid w:val="0022227D"/>
    <w:rsid w:val="0022231E"/>
    <w:rsid w:val="00222731"/>
    <w:rsid w:val="0022274A"/>
    <w:rsid w:val="002227D6"/>
    <w:rsid w:val="00222822"/>
    <w:rsid w:val="002228B5"/>
    <w:rsid w:val="00222B8A"/>
    <w:rsid w:val="00222D6C"/>
    <w:rsid w:val="002230AA"/>
    <w:rsid w:val="002233F0"/>
    <w:rsid w:val="002239F0"/>
    <w:rsid w:val="00223C69"/>
    <w:rsid w:val="00223E44"/>
    <w:rsid w:val="0022424C"/>
    <w:rsid w:val="00224CA6"/>
    <w:rsid w:val="00224D32"/>
    <w:rsid w:val="00224F5C"/>
    <w:rsid w:val="0022513F"/>
    <w:rsid w:val="002251AA"/>
    <w:rsid w:val="002252BA"/>
    <w:rsid w:val="002252C8"/>
    <w:rsid w:val="00225982"/>
    <w:rsid w:val="002259B3"/>
    <w:rsid w:val="00225AA3"/>
    <w:rsid w:val="00225F76"/>
    <w:rsid w:val="00225FEC"/>
    <w:rsid w:val="002262D5"/>
    <w:rsid w:val="002263CC"/>
    <w:rsid w:val="00226474"/>
    <w:rsid w:val="002266F8"/>
    <w:rsid w:val="00226708"/>
    <w:rsid w:val="002269B0"/>
    <w:rsid w:val="00226AFB"/>
    <w:rsid w:val="0022701B"/>
    <w:rsid w:val="00227073"/>
    <w:rsid w:val="002270BF"/>
    <w:rsid w:val="00227117"/>
    <w:rsid w:val="00227467"/>
    <w:rsid w:val="002274A6"/>
    <w:rsid w:val="0022753D"/>
    <w:rsid w:val="00227CB7"/>
    <w:rsid w:val="00227CD3"/>
    <w:rsid w:val="00227F55"/>
    <w:rsid w:val="00227F6C"/>
    <w:rsid w:val="00230153"/>
    <w:rsid w:val="00230191"/>
    <w:rsid w:val="00230A47"/>
    <w:rsid w:val="00230EC0"/>
    <w:rsid w:val="00230F09"/>
    <w:rsid w:val="002312BA"/>
    <w:rsid w:val="00231BB2"/>
    <w:rsid w:val="00231C6A"/>
    <w:rsid w:val="00231E4A"/>
    <w:rsid w:val="00231E6D"/>
    <w:rsid w:val="00231F0A"/>
    <w:rsid w:val="00232036"/>
    <w:rsid w:val="00232211"/>
    <w:rsid w:val="00232224"/>
    <w:rsid w:val="0023226C"/>
    <w:rsid w:val="0023229A"/>
    <w:rsid w:val="002323DE"/>
    <w:rsid w:val="002324E4"/>
    <w:rsid w:val="002326DC"/>
    <w:rsid w:val="0023281F"/>
    <w:rsid w:val="00232851"/>
    <w:rsid w:val="00232920"/>
    <w:rsid w:val="00232E37"/>
    <w:rsid w:val="00232F3A"/>
    <w:rsid w:val="00232F48"/>
    <w:rsid w:val="00233397"/>
    <w:rsid w:val="0023373B"/>
    <w:rsid w:val="00233B23"/>
    <w:rsid w:val="00233C3E"/>
    <w:rsid w:val="00233FCE"/>
    <w:rsid w:val="00234065"/>
    <w:rsid w:val="002340EC"/>
    <w:rsid w:val="0023467C"/>
    <w:rsid w:val="002347E4"/>
    <w:rsid w:val="00234B17"/>
    <w:rsid w:val="00234B8B"/>
    <w:rsid w:val="00234C6C"/>
    <w:rsid w:val="00235042"/>
    <w:rsid w:val="002352E0"/>
    <w:rsid w:val="0023549D"/>
    <w:rsid w:val="002359D4"/>
    <w:rsid w:val="00235BE1"/>
    <w:rsid w:val="00235C2A"/>
    <w:rsid w:val="00236001"/>
    <w:rsid w:val="0023602B"/>
    <w:rsid w:val="0023618C"/>
    <w:rsid w:val="00236332"/>
    <w:rsid w:val="0023642C"/>
    <w:rsid w:val="00236568"/>
    <w:rsid w:val="002366A6"/>
    <w:rsid w:val="00236F4F"/>
    <w:rsid w:val="0023754E"/>
    <w:rsid w:val="00237754"/>
    <w:rsid w:val="00237EEE"/>
    <w:rsid w:val="00240100"/>
    <w:rsid w:val="002405A7"/>
    <w:rsid w:val="002406D1"/>
    <w:rsid w:val="00240785"/>
    <w:rsid w:val="0024079A"/>
    <w:rsid w:val="002407EE"/>
    <w:rsid w:val="0024091F"/>
    <w:rsid w:val="00240B8B"/>
    <w:rsid w:val="00240DA4"/>
    <w:rsid w:val="00241399"/>
    <w:rsid w:val="0024186F"/>
    <w:rsid w:val="00241978"/>
    <w:rsid w:val="00241BA5"/>
    <w:rsid w:val="00242202"/>
    <w:rsid w:val="00242350"/>
    <w:rsid w:val="002428D9"/>
    <w:rsid w:val="00242D15"/>
    <w:rsid w:val="00242F0F"/>
    <w:rsid w:val="00243156"/>
    <w:rsid w:val="002439A9"/>
    <w:rsid w:val="00243CA2"/>
    <w:rsid w:val="00243D4A"/>
    <w:rsid w:val="00244038"/>
    <w:rsid w:val="00244875"/>
    <w:rsid w:val="00244A62"/>
    <w:rsid w:val="00244AC6"/>
    <w:rsid w:val="00244B2D"/>
    <w:rsid w:val="00244B4C"/>
    <w:rsid w:val="00244CDA"/>
    <w:rsid w:val="00244F26"/>
    <w:rsid w:val="00245083"/>
    <w:rsid w:val="002451D7"/>
    <w:rsid w:val="0024570A"/>
    <w:rsid w:val="00245817"/>
    <w:rsid w:val="0024594D"/>
    <w:rsid w:val="00245D6B"/>
    <w:rsid w:val="00245D70"/>
    <w:rsid w:val="00245FDE"/>
    <w:rsid w:val="0024623A"/>
    <w:rsid w:val="00246352"/>
    <w:rsid w:val="00246423"/>
    <w:rsid w:val="00246FC0"/>
    <w:rsid w:val="00247494"/>
    <w:rsid w:val="00247618"/>
    <w:rsid w:val="002477DE"/>
    <w:rsid w:val="002478DA"/>
    <w:rsid w:val="00247F10"/>
    <w:rsid w:val="00250081"/>
    <w:rsid w:val="002501AA"/>
    <w:rsid w:val="00250613"/>
    <w:rsid w:val="002506FB"/>
    <w:rsid w:val="002508D5"/>
    <w:rsid w:val="00250C49"/>
    <w:rsid w:val="00250CAB"/>
    <w:rsid w:val="00250E09"/>
    <w:rsid w:val="002510B0"/>
    <w:rsid w:val="002513C7"/>
    <w:rsid w:val="00251700"/>
    <w:rsid w:val="00251A48"/>
    <w:rsid w:val="00251A94"/>
    <w:rsid w:val="00251F49"/>
    <w:rsid w:val="002521A9"/>
    <w:rsid w:val="0025231F"/>
    <w:rsid w:val="00253302"/>
    <w:rsid w:val="0025369E"/>
    <w:rsid w:val="00253CB4"/>
    <w:rsid w:val="00253D4E"/>
    <w:rsid w:val="00253E71"/>
    <w:rsid w:val="0025401D"/>
    <w:rsid w:val="00254119"/>
    <w:rsid w:val="002541B5"/>
    <w:rsid w:val="00254261"/>
    <w:rsid w:val="00254479"/>
    <w:rsid w:val="002546AD"/>
    <w:rsid w:val="00254738"/>
    <w:rsid w:val="0025487F"/>
    <w:rsid w:val="00254881"/>
    <w:rsid w:val="002548BE"/>
    <w:rsid w:val="00254D0F"/>
    <w:rsid w:val="00254D66"/>
    <w:rsid w:val="0025558F"/>
    <w:rsid w:val="002557A0"/>
    <w:rsid w:val="002557D3"/>
    <w:rsid w:val="00255E8A"/>
    <w:rsid w:val="00255F53"/>
    <w:rsid w:val="00256690"/>
    <w:rsid w:val="002566A7"/>
    <w:rsid w:val="002566E0"/>
    <w:rsid w:val="00256852"/>
    <w:rsid w:val="00256901"/>
    <w:rsid w:val="00256AE7"/>
    <w:rsid w:val="00256B8A"/>
    <w:rsid w:val="00256BCA"/>
    <w:rsid w:val="00256BD4"/>
    <w:rsid w:val="00256D8E"/>
    <w:rsid w:val="00256F1F"/>
    <w:rsid w:val="002572DC"/>
    <w:rsid w:val="00257474"/>
    <w:rsid w:val="002576DC"/>
    <w:rsid w:val="00257AAB"/>
    <w:rsid w:val="00257FE2"/>
    <w:rsid w:val="00257FFE"/>
    <w:rsid w:val="00260246"/>
    <w:rsid w:val="00260589"/>
    <w:rsid w:val="00260621"/>
    <w:rsid w:val="00260795"/>
    <w:rsid w:val="00260C1D"/>
    <w:rsid w:val="00260C2E"/>
    <w:rsid w:val="00260F9E"/>
    <w:rsid w:val="002610AF"/>
    <w:rsid w:val="0026128F"/>
    <w:rsid w:val="002616BE"/>
    <w:rsid w:val="00261728"/>
    <w:rsid w:val="00261F4D"/>
    <w:rsid w:val="00262026"/>
    <w:rsid w:val="002621B5"/>
    <w:rsid w:val="0026235D"/>
    <w:rsid w:val="00262381"/>
    <w:rsid w:val="00262482"/>
    <w:rsid w:val="002624EE"/>
    <w:rsid w:val="00262741"/>
    <w:rsid w:val="00262811"/>
    <w:rsid w:val="00262870"/>
    <w:rsid w:val="0026289B"/>
    <w:rsid w:val="00262940"/>
    <w:rsid w:val="00262D8E"/>
    <w:rsid w:val="002634B6"/>
    <w:rsid w:val="002636C8"/>
    <w:rsid w:val="002638EF"/>
    <w:rsid w:val="00263AFC"/>
    <w:rsid w:val="00263E8E"/>
    <w:rsid w:val="002641C0"/>
    <w:rsid w:val="00264378"/>
    <w:rsid w:val="00264494"/>
    <w:rsid w:val="002646FA"/>
    <w:rsid w:val="0026489E"/>
    <w:rsid w:val="002649A0"/>
    <w:rsid w:val="00264BFF"/>
    <w:rsid w:val="00264C7E"/>
    <w:rsid w:val="00264E9F"/>
    <w:rsid w:val="00265212"/>
    <w:rsid w:val="0026539C"/>
    <w:rsid w:val="002659D9"/>
    <w:rsid w:val="00265E77"/>
    <w:rsid w:val="00265ECA"/>
    <w:rsid w:val="00265EFB"/>
    <w:rsid w:val="0026628E"/>
    <w:rsid w:val="0026659F"/>
    <w:rsid w:val="00266ADE"/>
    <w:rsid w:val="00266BB0"/>
    <w:rsid w:val="00266DDB"/>
    <w:rsid w:val="00266F0F"/>
    <w:rsid w:val="00267188"/>
    <w:rsid w:val="002672A3"/>
    <w:rsid w:val="0026775A"/>
    <w:rsid w:val="00267778"/>
    <w:rsid w:val="002678BB"/>
    <w:rsid w:val="00267BBA"/>
    <w:rsid w:val="00267BD4"/>
    <w:rsid w:val="00267F3B"/>
    <w:rsid w:val="00267F94"/>
    <w:rsid w:val="00270085"/>
    <w:rsid w:val="00270566"/>
    <w:rsid w:val="002708CE"/>
    <w:rsid w:val="002708D7"/>
    <w:rsid w:val="002709AE"/>
    <w:rsid w:val="00270B2D"/>
    <w:rsid w:val="00270B9B"/>
    <w:rsid w:val="00270E15"/>
    <w:rsid w:val="00270EF6"/>
    <w:rsid w:val="002711C5"/>
    <w:rsid w:val="00271284"/>
    <w:rsid w:val="00271371"/>
    <w:rsid w:val="00271486"/>
    <w:rsid w:val="002716DE"/>
    <w:rsid w:val="00271866"/>
    <w:rsid w:val="002718D6"/>
    <w:rsid w:val="00271939"/>
    <w:rsid w:val="00271AF5"/>
    <w:rsid w:val="00271B84"/>
    <w:rsid w:val="00271BDA"/>
    <w:rsid w:val="00272306"/>
    <w:rsid w:val="00272381"/>
    <w:rsid w:val="0027244F"/>
    <w:rsid w:val="00272857"/>
    <w:rsid w:val="00272F80"/>
    <w:rsid w:val="00273195"/>
    <w:rsid w:val="00273435"/>
    <w:rsid w:val="002734F7"/>
    <w:rsid w:val="00273A20"/>
    <w:rsid w:val="00274333"/>
    <w:rsid w:val="00274C5E"/>
    <w:rsid w:val="00274D1A"/>
    <w:rsid w:val="00274E3D"/>
    <w:rsid w:val="00274EC8"/>
    <w:rsid w:val="002753B2"/>
    <w:rsid w:val="002754BE"/>
    <w:rsid w:val="00275561"/>
    <w:rsid w:val="00275987"/>
    <w:rsid w:val="00275998"/>
    <w:rsid w:val="00275B81"/>
    <w:rsid w:val="00275CED"/>
    <w:rsid w:val="00275D79"/>
    <w:rsid w:val="00275DF4"/>
    <w:rsid w:val="0027650B"/>
    <w:rsid w:val="002769ED"/>
    <w:rsid w:val="00276B27"/>
    <w:rsid w:val="00277057"/>
    <w:rsid w:val="002770FB"/>
    <w:rsid w:val="002774C8"/>
    <w:rsid w:val="002776C2"/>
    <w:rsid w:val="00277899"/>
    <w:rsid w:val="00277974"/>
    <w:rsid w:val="00277A44"/>
    <w:rsid w:val="00277AC0"/>
    <w:rsid w:val="00277EF3"/>
    <w:rsid w:val="0028010F"/>
    <w:rsid w:val="0028014F"/>
    <w:rsid w:val="00280398"/>
    <w:rsid w:val="002803CE"/>
    <w:rsid w:val="002805C0"/>
    <w:rsid w:val="00280663"/>
    <w:rsid w:val="00280772"/>
    <w:rsid w:val="002808D0"/>
    <w:rsid w:val="00280BA5"/>
    <w:rsid w:val="00280F6B"/>
    <w:rsid w:val="00281451"/>
    <w:rsid w:val="0028170B"/>
    <w:rsid w:val="00281739"/>
    <w:rsid w:val="00281A51"/>
    <w:rsid w:val="00281D2B"/>
    <w:rsid w:val="00281D53"/>
    <w:rsid w:val="00281E43"/>
    <w:rsid w:val="00281EF0"/>
    <w:rsid w:val="00281FB0"/>
    <w:rsid w:val="00282112"/>
    <w:rsid w:val="00282113"/>
    <w:rsid w:val="002824D2"/>
    <w:rsid w:val="002827CF"/>
    <w:rsid w:val="00282942"/>
    <w:rsid w:val="0028295A"/>
    <w:rsid w:val="00282A26"/>
    <w:rsid w:val="00282ACD"/>
    <w:rsid w:val="00282DD9"/>
    <w:rsid w:val="0028301B"/>
    <w:rsid w:val="00283114"/>
    <w:rsid w:val="0028328C"/>
    <w:rsid w:val="002835B5"/>
    <w:rsid w:val="0028362A"/>
    <w:rsid w:val="00283912"/>
    <w:rsid w:val="0028395B"/>
    <w:rsid w:val="00283AA6"/>
    <w:rsid w:val="00283D2B"/>
    <w:rsid w:val="00283E71"/>
    <w:rsid w:val="002840FF"/>
    <w:rsid w:val="0028410E"/>
    <w:rsid w:val="002841C2"/>
    <w:rsid w:val="002841E5"/>
    <w:rsid w:val="002848B6"/>
    <w:rsid w:val="00284A95"/>
    <w:rsid w:val="00284AD9"/>
    <w:rsid w:val="00284C7F"/>
    <w:rsid w:val="00285220"/>
    <w:rsid w:val="0028529B"/>
    <w:rsid w:val="00285711"/>
    <w:rsid w:val="002857E9"/>
    <w:rsid w:val="002859E7"/>
    <w:rsid w:val="00285B39"/>
    <w:rsid w:val="00285C83"/>
    <w:rsid w:val="00285F51"/>
    <w:rsid w:val="0028602E"/>
    <w:rsid w:val="00286144"/>
    <w:rsid w:val="002863A8"/>
    <w:rsid w:val="002868FC"/>
    <w:rsid w:val="00286F28"/>
    <w:rsid w:val="002873FA"/>
    <w:rsid w:val="002879BD"/>
    <w:rsid w:val="00287DD0"/>
    <w:rsid w:val="00287E2F"/>
    <w:rsid w:val="0029014C"/>
    <w:rsid w:val="002902A4"/>
    <w:rsid w:val="002902F7"/>
    <w:rsid w:val="00290350"/>
    <w:rsid w:val="002903AF"/>
    <w:rsid w:val="00290419"/>
    <w:rsid w:val="00290A7F"/>
    <w:rsid w:val="00290C03"/>
    <w:rsid w:val="0029112F"/>
    <w:rsid w:val="00291387"/>
    <w:rsid w:val="002914CE"/>
    <w:rsid w:val="00291767"/>
    <w:rsid w:val="0029179E"/>
    <w:rsid w:val="002917CA"/>
    <w:rsid w:val="002918FE"/>
    <w:rsid w:val="00291D05"/>
    <w:rsid w:val="00291DAA"/>
    <w:rsid w:val="00291E12"/>
    <w:rsid w:val="002920B1"/>
    <w:rsid w:val="0029225B"/>
    <w:rsid w:val="0029234B"/>
    <w:rsid w:val="00292A53"/>
    <w:rsid w:val="0029336E"/>
    <w:rsid w:val="00293370"/>
    <w:rsid w:val="00293B99"/>
    <w:rsid w:val="00293EE7"/>
    <w:rsid w:val="00294193"/>
    <w:rsid w:val="00294226"/>
    <w:rsid w:val="002942AB"/>
    <w:rsid w:val="00294466"/>
    <w:rsid w:val="00294573"/>
    <w:rsid w:val="002947E8"/>
    <w:rsid w:val="002949CC"/>
    <w:rsid w:val="00294B0F"/>
    <w:rsid w:val="00294D33"/>
    <w:rsid w:val="00294E3E"/>
    <w:rsid w:val="00294EDD"/>
    <w:rsid w:val="00294F38"/>
    <w:rsid w:val="002951C6"/>
    <w:rsid w:val="00295212"/>
    <w:rsid w:val="0029523F"/>
    <w:rsid w:val="00295344"/>
    <w:rsid w:val="002957F0"/>
    <w:rsid w:val="00295886"/>
    <w:rsid w:val="00295931"/>
    <w:rsid w:val="00295EBE"/>
    <w:rsid w:val="00296030"/>
    <w:rsid w:val="002961F9"/>
    <w:rsid w:val="0029623C"/>
    <w:rsid w:val="002962AA"/>
    <w:rsid w:val="002964CC"/>
    <w:rsid w:val="002966EA"/>
    <w:rsid w:val="00296C45"/>
    <w:rsid w:val="0029709A"/>
    <w:rsid w:val="002976C5"/>
    <w:rsid w:val="002977BB"/>
    <w:rsid w:val="00297816"/>
    <w:rsid w:val="0029784F"/>
    <w:rsid w:val="0029787E"/>
    <w:rsid w:val="00297C9C"/>
    <w:rsid w:val="002A00C9"/>
    <w:rsid w:val="002A03A1"/>
    <w:rsid w:val="002A03D6"/>
    <w:rsid w:val="002A0652"/>
    <w:rsid w:val="002A06D7"/>
    <w:rsid w:val="002A0A47"/>
    <w:rsid w:val="002A0BFB"/>
    <w:rsid w:val="002A0E6A"/>
    <w:rsid w:val="002A0F59"/>
    <w:rsid w:val="002A0FAA"/>
    <w:rsid w:val="002A1261"/>
    <w:rsid w:val="002A16A0"/>
    <w:rsid w:val="002A1828"/>
    <w:rsid w:val="002A1AC3"/>
    <w:rsid w:val="002A1E83"/>
    <w:rsid w:val="002A2669"/>
    <w:rsid w:val="002A30E7"/>
    <w:rsid w:val="002A3154"/>
    <w:rsid w:val="002A3454"/>
    <w:rsid w:val="002A393E"/>
    <w:rsid w:val="002A3AFC"/>
    <w:rsid w:val="002A3B59"/>
    <w:rsid w:val="002A440E"/>
    <w:rsid w:val="002A496C"/>
    <w:rsid w:val="002A4A91"/>
    <w:rsid w:val="002A4D29"/>
    <w:rsid w:val="002A4D8A"/>
    <w:rsid w:val="002A508A"/>
    <w:rsid w:val="002A53F0"/>
    <w:rsid w:val="002A54AB"/>
    <w:rsid w:val="002A5A38"/>
    <w:rsid w:val="002A5B64"/>
    <w:rsid w:val="002A5BC7"/>
    <w:rsid w:val="002A5C97"/>
    <w:rsid w:val="002A60D7"/>
    <w:rsid w:val="002A62FC"/>
    <w:rsid w:val="002A64D1"/>
    <w:rsid w:val="002A6748"/>
    <w:rsid w:val="002A6D5A"/>
    <w:rsid w:val="002A6DF1"/>
    <w:rsid w:val="002A707A"/>
    <w:rsid w:val="002A708F"/>
    <w:rsid w:val="002A70B2"/>
    <w:rsid w:val="002A77DA"/>
    <w:rsid w:val="002A7AC6"/>
    <w:rsid w:val="002A7BC5"/>
    <w:rsid w:val="002A7DCC"/>
    <w:rsid w:val="002A7FB5"/>
    <w:rsid w:val="002B0130"/>
    <w:rsid w:val="002B0160"/>
    <w:rsid w:val="002B03C9"/>
    <w:rsid w:val="002B07DA"/>
    <w:rsid w:val="002B096B"/>
    <w:rsid w:val="002B1172"/>
    <w:rsid w:val="002B1651"/>
    <w:rsid w:val="002B1D35"/>
    <w:rsid w:val="002B2184"/>
    <w:rsid w:val="002B21AD"/>
    <w:rsid w:val="002B22B7"/>
    <w:rsid w:val="002B22D6"/>
    <w:rsid w:val="002B237A"/>
    <w:rsid w:val="002B2752"/>
    <w:rsid w:val="002B2977"/>
    <w:rsid w:val="002B2BBE"/>
    <w:rsid w:val="002B3116"/>
    <w:rsid w:val="002B3663"/>
    <w:rsid w:val="002B36EE"/>
    <w:rsid w:val="002B381A"/>
    <w:rsid w:val="002B3CE9"/>
    <w:rsid w:val="002B43CE"/>
    <w:rsid w:val="002B44E2"/>
    <w:rsid w:val="002B44FC"/>
    <w:rsid w:val="002B46BF"/>
    <w:rsid w:val="002B4E0A"/>
    <w:rsid w:val="002B56ED"/>
    <w:rsid w:val="002B58C8"/>
    <w:rsid w:val="002B5D75"/>
    <w:rsid w:val="002B5E58"/>
    <w:rsid w:val="002B5E5B"/>
    <w:rsid w:val="002B5EBC"/>
    <w:rsid w:val="002B63D3"/>
    <w:rsid w:val="002B6943"/>
    <w:rsid w:val="002B6957"/>
    <w:rsid w:val="002B6B6B"/>
    <w:rsid w:val="002B6C1F"/>
    <w:rsid w:val="002B6C57"/>
    <w:rsid w:val="002B7189"/>
    <w:rsid w:val="002B71D1"/>
    <w:rsid w:val="002B72C1"/>
    <w:rsid w:val="002B7490"/>
    <w:rsid w:val="002B79E3"/>
    <w:rsid w:val="002B7A2C"/>
    <w:rsid w:val="002B7D05"/>
    <w:rsid w:val="002B7DBB"/>
    <w:rsid w:val="002C01D7"/>
    <w:rsid w:val="002C01FB"/>
    <w:rsid w:val="002C06AC"/>
    <w:rsid w:val="002C0D66"/>
    <w:rsid w:val="002C1049"/>
    <w:rsid w:val="002C1133"/>
    <w:rsid w:val="002C114B"/>
    <w:rsid w:val="002C137A"/>
    <w:rsid w:val="002C1461"/>
    <w:rsid w:val="002C193D"/>
    <w:rsid w:val="002C1D36"/>
    <w:rsid w:val="002C1FA7"/>
    <w:rsid w:val="002C20CE"/>
    <w:rsid w:val="002C2540"/>
    <w:rsid w:val="002C27DA"/>
    <w:rsid w:val="002C2B57"/>
    <w:rsid w:val="002C2EDC"/>
    <w:rsid w:val="002C3199"/>
    <w:rsid w:val="002C37DE"/>
    <w:rsid w:val="002C386E"/>
    <w:rsid w:val="002C3907"/>
    <w:rsid w:val="002C393C"/>
    <w:rsid w:val="002C3B51"/>
    <w:rsid w:val="002C3C31"/>
    <w:rsid w:val="002C3CF3"/>
    <w:rsid w:val="002C3EA8"/>
    <w:rsid w:val="002C4066"/>
    <w:rsid w:val="002C42A5"/>
    <w:rsid w:val="002C452F"/>
    <w:rsid w:val="002C46C8"/>
    <w:rsid w:val="002C4893"/>
    <w:rsid w:val="002C4D6F"/>
    <w:rsid w:val="002C4DCF"/>
    <w:rsid w:val="002C4E9C"/>
    <w:rsid w:val="002C58EC"/>
    <w:rsid w:val="002C59CE"/>
    <w:rsid w:val="002C5A88"/>
    <w:rsid w:val="002C5E2B"/>
    <w:rsid w:val="002C5EFF"/>
    <w:rsid w:val="002C61F1"/>
    <w:rsid w:val="002C6298"/>
    <w:rsid w:val="002C64ED"/>
    <w:rsid w:val="002C6695"/>
    <w:rsid w:val="002C677A"/>
    <w:rsid w:val="002C69A7"/>
    <w:rsid w:val="002C6B86"/>
    <w:rsid w:val="002C6C45"/>
    <w:rsid w:val="002C75CA"/>
    <w:rsid w:val="002C7843"/>
    <w:rsid w:val="002C7853"/>
    <w:rsid w:val="002C7A1A"/>
    <w:rsid w:val="002C7A63"/>
    <w:rsid w:val="002C7C38"/>
    <w:rsid w:val="002C7DB9"/>
    <w:rsid w:val="002C7E47"/>
    <w:rsid w:val="002C7E48"/>
    <w:rsid w:val="002D05AA"/>
    <w:rsid w:val="002D06E9"/>
    <w:rsid w:val="002D0913"/>
    <w:rsid w:val="002D0AD8"/>
    <w:rsid w:val="002D0C61"/>
    <w:rsid w:val="002D131F"/>
    <w:rsid w:val="002D13E8"/>
    <w:rsid w:val="002D179B"/>
    <w:rsid w:val="002D17B1"/>
    <w:rsid w:val="002D180A"/>
    <w:rsid w:val="002D19B5"/>
    <w:rsid w:val="002D1AB9"/>
    <w:rsid w:val="002D1DB1"/>
    <w:rsid w:val="002D213C"/>
    <w:rsid w:val="002D22CA"/>
    <w:rsid w:val="002D2587"/>
    <w:rsid w:val="002D28F3"/>
    <w:rsid w:val="002D29AD"/>
    <w:rsid w:val="002D2ABB"/>
    <w:rsid w:val="002D2E99"/>
    <w:rsid w:val="002D2FB6"/>
    <w:rsid w:val="002D32EB"/>
    <w:rsid w:val="002D3802"/>
    <w:rsid w:val="002D39E7"/>
    <w:rsid w:val="002D3B97"/>
    <w:rsid w:val="002D3CA6"/>
    <w:rsid w:val="002D3DFC"/>
    <w:rsid w:val="002D4476"/>
    <w:rsid w:val="002D4882"/>
    <w:rsid w:val="002D4F0A"/>
    <w:rsid w:val="002D514E"/>
    <w:rsid w:val="002D5656"/>
    <w:rsid w:val="002D57C5"/>
    <w:rsid w:val="002D5C2A"/>
    <w:rsid w:val="002D5CE6"/>
    <w:rsid w:val="002D5E33"/>
    <w:rsid w:val="002D60CA"/>
    <w:rsid w:val="002D619E"/>
    <w:rsid w:val="002D6371"/>
    <w:rsid w:val="002D6721"/>
    <w:rsid w:val="002D6A33"/>
    <w:rsid w:val="002D6EE8"/>
    <w:rsid w:val="002D6EF0"/>
    <w:rsid w:val="002D71BE"/>
    <w:rsid w:val="002D740F"/>
    <w:rsid w:val="002D764D"/>
    <w:rsid w:val="002D797F"/>
    <w:rsid w:val="002D7BC0"/>
    <w:rsid w:val="002D7DF9"/>
    <w:rsid w:val="002E05F5"/>
    <w:rsid w:val="002E0800"/>
    <w:rsid w:val="002E094C"/>
    <w:rsid w:val="002E0C00"/>
    <w:rsid w:val="002E0FF1"/>
    <w:rsid w:val="002E10DF"/>
    <w:rsid w:val="002E124E"/>
    <w:rsid w:val="002E12B5"/>
    <w:rsid w:val="002E14A3"/>
    <w:rsid w:val="002E1882"/>
    <w:rsid w:val="002E1DE2"/>
    <w:rsid w:val="002E1ED3"/>
    <w:rsid w:val="002E2053"/>
    <w:rsid w:val="002E20E3"/>
    <w:rsid w:val="002E237A"/>
    <w:rsid w:val="002E2600"/>
    <w:rsid w:val="002E2774"/>
    <w:rsid w:val="002E2A2E"/>
    <w:rsid w:val="002E2F36"/>
    <w:rsid w:val="002E346D"/>
    <w:rsid w:val="002E34D7"/>
    <w:rsid w:val="002E3714"/>
    <w:rsid w:val="002E375F"/>
    <w:rsid w:val="002E3CC3"/>
    <w:rsid w:val="002E4065"/>
    <w:rsid w:val="002E43B4"/>
    <w:rsid w:val="002E476B"/>
    <w:rsid w:val="002E47BE"/>
    <w:rsid w:val="002E4A31"/>
    <w:rsid w:val="002E4A69"/>
    <w:rsid w:val="002E4E0D"/>
    <w:rsid w:val="002E4F92"/>
    <w:rsid w:val="002E4FD7"/>
    <w:rsid w:val="002E5342"/>
    <w:rsid w:val="002E55C7"/>
    <w:rsid w:val="002E56C8"/>
    <w:rsid w:val="002E59CB"/>
    <w:rsid w:val="002E5AB9"/>
    <w:rsid w:val="002E5AC2"/>
    <w:rsid w:val="002E5B72"/>
    <w:rsid w:val="002E5BA3"/>
    <w:rsid w:val="002E5BB1"/>
    <w:rsid w:val="002E5C26"/>
    <w:rsid w:val="002E6189"/>
    <w:rsid w:val="002E61BA"/>
    <w:rsid w:val="002E645D"/>
    <w:rsid w:val="002E66B2"/>
    <w:rsid w:val="002E6744"/>
    <w:rsid w:val="002E6BA3"/>
    <w:rsid w:val="002E6BC0"/>
    <w:rsid w:val="002E6D9F"/>
    <w:rsid w:val="002E75C1"/>
    <w:rsid w:val="002E7C19"/>
    <w:rsid w:val="002E7C59"/>
    <w:rsid w:val="002E7F73"/>
    <w:rsid w:val="002F0170"/>
    <w:rsid w:val="002F02E0"/>
    <w:rsid w:val="002F035F"/>
    <w:rsid w:val="002F03D9"/>
    <w:rsid w:val="002F0454"/>
    <w:rsid w:val="002F0533"/>
    <w:rsid w:val="002F05E0"/>
    <w:rsid w:val="002F05EE"/>
    <w:rsid w:val="002F0747"/>
    <w:rsid w:val="002F0C19"/>
    <w:rsid w:val="002F0D68"/>
    <w:rsid w:val="002F10DB"/>
    <w:rsid w:val="002F1120"/>
    <w:rsid w:val="002F122D"/>
    <w:rsid w:val="002F123F"/>
    <w:rsid w:val="002F1377"/>
    <w:rsid w:val="002F14A3"/>
    <w:rsid w:val="002F1517"/>
    <w:rsid w:val="002F157E"/>
    <w:rsid w:val="002F160C"/>
    <w:rsid w:val="002F1614"/>
    <w:rsid w:val="002F1761"/>
    <w:rsid w:val="002F1BBD"/>
    <w:rsid w:val="002F1D1F"/>
    <w:rsid w:val="002F2309"/>
    <w:rsid w:val="002F2319"/>
    <w:rsid w:val="002F24F7"/>
    <w:rsid w:val="002F26BD"/>
    <w:rsid w:val="002F293C"/>
    <w:rsid w:val="002F29EA"/>
    <w:rsid w:val="002F2CDC"/>
    <w:rsid w:val="002F2D0A"/>
    <w:rsid w:val="002F2E1D"/>
    <w:rsid w:val="002F2F9A"/>
    <w:rsid w:val="002F2FE4"/>
    <w:rsid w:val="002F300B"/>
    <w:rsid w:val="002F30C5"/>
    <w:rsid w:val="002F343A"/>
    <w:rsid w:val="002F35C8"/>
    <w:rsid w:val="002F3614"/>
    <w:rsid w:val="002F3973"/>
    <w:rsid w:val="002F3AB5"/>
    <w:rsid w:val="002F3E36"/>
    <w:rsid w:val="002F409D"/>
    <w:rsid w:val="002F4378"/>
    <w:rsid w:val="002F497F"/>
    <w:rsid w:val="002F4BE0"/>
    <w:rsid w:val="002F51C2"/>
    <w:rsid w:val="002F522E"/>
    <w:rsid w:val="002F5669"/>
    <w:rsid w:val="002F59CA"/>
    <w:rsid w:val="002F5AA7"/>
    <w:rsid w:val="002F5B84"/>
    <w:rsid w:val="002F5CE0"/>
    <w:rsid w:val="002F6000"/>
    <w:rsid w:val="002F6647"/>
    <w:rsid w:val="002F6730"/>
    <w:rsid w:val="002F6C75"/>
    <w:rsid w:val="002F6CB0"/>
    <w:rsid w:val="002F6DF9"/>
    <w:rsid w:val="002F6FE8"/>
    <w:rsid w:val="002F72DD"/>
    <w:rsid w:val="002F7431"/>
    <w:rsid w:val="002F7530"/>
    <w:rsid w:val="002F7640"/>
    <w:rsid w:val="002F77B4"/>
    <w:rsid w:val="002F7AC0"/>
    <w:rsid w:val="002F7B98"/>
    <w:rsid w:val="002F7D2D"/>
    <w:rsid w:val="002F7E20"/>
    <w:rsid w:val="003000E3"/>
    <w:rsid w:val="00300B26"/>
    <w:rsid w:val="00300C5B"/>
    <w:rsid w:val="00300C9B"/>
    <w:rsid w:val="00301F25"/>
    <w:rsid w:val="0030204C"/>
    <w:rsid w:val="0030216F"/>
    <w:rsid w:val="00302280"/>
    <w:rsid w:val="00302309"/>
    <w:rsid w:val="003025DA"/>
    <w:rsid w:val="0030265E"/>
    <w:rsid w:val="00302F3C"/>
    <w:rsid w:val="003031E8"/>
    <w:rsid w:val="00303378"/>
    <w:rsid w:val="003036C1"/>
    <w:rsid w:val="00303AF4"/>
    <w:rsid w:val="00303D5E"/>
    <w:rsid w:val="00303E5E"/>
    <w:rsid w:val="00303ED5"/>
    <w:rsid w:val="003048E9"/>
    <w:rsid w:val="00304B1F"/>
    <w:rsid w:val="00304B77"/>
    <w:rsid w:val="003051CB"/>
    <w:rsid w:val="003053B3"/>
    <w:rsid w:val="0030554D"/>
    <w:rsid w:val="0030572E"/>
    <w:rsid w:val="0030585F"/>
    <w:rsid w:val="00305A98"/>
    <w:rsid w:val="00305DF9"/>
    <w:rsid w:val="003061F4"/>
    <w:rsid w:val="003065CD"/>
    <w:rsid w:val="00306C61"/>
    <w:rsid w:val="00306D82"/>
    <w:rsid w:val="0030704C"/>
    <w:rsid w:val="00307145"/>
    <w:rsid w:val="003074FC"/>
    <w:rsid w:val="00307500"/>
    <w:rsid w:val="00307986"/>
    <w:rsid w:val="00307A23"/>
    <w:rsid w:val="00307D0A"/>
    <w:rsid w:val="00307EB2"/>
    <w:rsid w:val="003102BE"/>
    <w:rsid w:val="0031035A"/>
    <w:rsid w:val="003103DB"/>
    <w:rsid w:val="003104D3"/>
    <w:rsid w:val="003105DF"/>
    <w:rsid w:val="0031086A"/>
    <w:rsid w:val="00310A07"/>
    <w:rsid w:val="00310C22"/>
    <w:rsid w:val="00310C73"/>
    <w:rsid w:val="00310FE5"/>
    <w:rsid w:val="003110B6"/>
    <w:rsid w:val="003112B3"/>
    <w:rsid w:val="0031159C"/>
    <w:rsid w:val="0031160A"/>
    <w:rsid w:val="00311A6C"/>
    <w:rsid w:val="00311B4C"/>
    <w:rsid w:val="00311DF8"/>
    <w:rsid w:val="00311EBE"/>
    <w:rsid w:val="00311ED8"/>
    <w:rsid w:val="00311F4A"/>
    <w:rsid w:val="0031212A"/>
    <w:rsid w:val="00312526"/>
    <w:rsid w:val="00312877"/>
    <w:rsid w:val="00312C9F"/>
    <w:rsid w:val="00312E37"/>
    <w:rsid w:val="00312E71"/>
    <w:rsid w:val="00313045"/>
    <w:rsid w:val="00313605"/>
    <w:rsid w:val="0031398C"/>
    <w:rsid w:val="00313C68"/>
    <w:rsid w:val="0031417E"/>
    <w:rsid w:val="003142DB"/>
    <w:rsid w:val="003142FE"/>
    <w:rsid w:val="0031438B"/>
    <w:rsid w:val="0031445E"/>
    <w:rsid w:val="003145E4"/>
    <w:rsid w:val="00314920"/>
    <w:rsid w:val="00315260"/>
    <w:rsid w:val="00315A0D"/>
    <w:rsid w:val="00315DD9"/>
    <w:rsid w:val="003160E5"/>
    <w:rsid w:val="003162F3"/>
    <w:rsid w:val="00316545"/>
    <w:rsid w:val="00316784"/>
    <w:rsid w:val="00316B51"/>
    <w:rsid w:val="00316DB4"/>
    <w:rsid w:val="00317363"/>
    <w:rsid w:val="003173EA"/>
    <w:rsid w:val="003176F0"/>
    <w:rsid w:val="003178A2"/>
    <w:rsid w:val="00317932"/>
    <w:rsid w:val="00317D07"/>
    <w:rsid w:val="00320065"/>
    <w:rsid w:val="003201AF"/>
    <w:rsid w:val="003202E7"/>
    <w:rsid w:val="003208D3"/>
    <w:rsid w:val="00321200"/>
    <w:rsid w:val="00321530"/>
    <w:rsid w:val="00321723"/>
    <w:rsid w:val="00321CC8"/>
    <w:rsid w:val="0032211E"/>
    <w:rsid w:val="00322134"/>
    <w:rsid w:val="0032216B"/>
    <w:rsid w:val="0032216C"/>
    <w:rsid w:val="00322183"/>
    <w:rsid w:val="00322404"/>
    <w:rsid w:val="00322705"/>
    <w:rsid w:val="003227B2"/>
    <w:rsid w:val="0032291B"/>
    <w:rsid w:val="00322B7F"/>
    <w:rsid w:val="00322C40"/>
    <w:rsid w:val="00322E9B"/>
    <w:rsid w:val="00323368"/>
    <w:rsid w:val="00323416"/>
    <w:rsid w:val="003234C8"/>
    <w:rsid w:val="00323673"/>
    <w:rsid w:val="0032382B"/>
    <w:rsid w:val="0032385A"/>
    <w:rsid w:val="003239BD"/>
    <w:rsid w:val="00323A76"/>
    <w:rsid w:val="00323D04"/>
    <w:rsid w:val="003240AC"/>
    <w:rsid w:val="003243F9"/>
    <w:rsid w:val="00324C05"/>
    <w:rsid w:val="00324EE0"/>
    <w:rsid w:val="0032586D"/>
    <w:rsid w:val="00325887"/>
    <w:rsid w:val="00325963"/>
    <w:rsid w:val="00325AD6"/>
    <w:rsid w:val="00325CD5"/>
    <w:rsid w:val="00325F38"/>
    <w:rsid w:val="00325F44"/>
    <w:rsid w:val="0032639B"/>
    <w:rsid w:val="00326895"/>
    <w:rsid w:val="00326DC7"/>
    <w:rsid w:val="00326F02"/>
    <w:rsid w:val="0032719C"/>
    <w:rsid w:val="003271F5"/>
    <w:rsid w:val="00327221"/>
    <w:rsid w:val="0032741A"/>
    <w:rsid w:val="00327587"/>
    <w:rsid w:val="0032766F"/>
    <w:rsid w:val="0032796A"/>
    <w:rsid w:val="003279B8"/>
    <w:rsid w:val="003301AB"/>
    <w:rsid w:val="003302A1"/>
    <w:rsid w:val="00330555"/>
    <w:rsid w:val="003307FA"/>
    <w:rsid w:val="00330886"/>
    <w:rsid w:val="00330A4E"/>
    <w:rsid w:val="00330D76"/>
    <w:rsid w:val="00330DED"/>
    <w:rsid w:val="0033147D"/>
    <w:rsid w:val="00331870"/>
    <w:rsid w:val="003319C2"/>
    <w:rsid w:val="00331B2F"/>
    <w:rsid w:val="00331B88"/>
    <w:rsid w:val="00331C05"/>
    <w:rsid w:val="00331D25"/>
    <w:rsid w:val="00331E89"/>
    <w:rsid w:val="00332070"/>
    <w:rsid w:val="003325B7"/>
    <w:rsid w:val="00332641"/>
    <w:rsid w:val="0033273B"/>
    <w:rsid w:val="0033283C"/>
    <w:rsid w:val="00332A7C"/>
    <w:rsid w:val="00332AF8"/>
    <w:rsid w:val="00332C33"/>
    <w:rsid w:val="00332EA4"/>
    <w:rsid w:val="00332F95"/>
    <w:rsid w:val="00333344"/>
    <w:rsid w:val="00333519"/>
    <w:rsid w:val="00333546"/>
    <w:rsid w:val="00333789"/>
    <w:rsid w:val="00333913"/>
    <w:rsid w:val="00333C6F"/>
    <w:rsid w:val="00333D99"/>
    <w:rsid w:val="0033485E"/>
    <w:rsid w:val="00334A2E"/>
    <w:rsid w:val="00334DF4"/>
    <w:rsid w:val="0033516B"/>
    <w:rsid w:val="00335195"/>
    <w:rsid w:val="003352C2"/>
    <w:rsid w:val="0033531A"/>
    <w:rsid w:val="0033537E"/>
    <w:rsid w:val="0033541C"/>
    <w:rsid w:val="0033564A"/>
    <w:rsid w:val="0033596D"/>
    <w:rsid w:val="00335A17"/>
    <w:rsid w:val="00335AD5"/>
    <w:rsid w:val="00335C09"/>
    <w:rsid w:val="00335C12"/>
    <w:rsid w:val="003364CA"/>
    <w:rsid w:val="0033651F"/>
    <w:rsid w:val="0033666B"/>
    <w:rsid w:val="0033671A"/>
    <w:rsid w:val="00336A2D"/>
    <w:rsid w:val="00336C0C"/>
    <w:rsid w:val="00336F64"/>
    <w:rsid w:val="00337491"/>
    <w:rsid w:val="003375F5"/>
    <w:rsid w:val="00337742"/>
    <w:rsid w:val="0033781B"/>
    <w:rsid w:val="003378E3"/>
    <w:rsid w:val="0033793E"/>
    <w:rsid w:val="00337C08"/>
    <w:rsid w:val="00337CE6"/>
    <w:rsid w:val="003400EB"/>
    <w:rsid w:val="003401D4"/>
    <w:rsid w:val="003402E0"/>
    <w:rsid w:val="0034037A"/>
    <w:rsid w:val="003403C6"/>
    <w:rsid w:val="003404C1"/>
    <w:rsid w:val="0034065D"/>
    <w:rsid w:val="00340851"/>
    <w:rsid w:val="00340CFB"/>
    <w:rsid w:val="00340E24"/>
    <w:rsid w:val="00341073"/>
    <w:rsid w:val="003413AF"/>
    <w:rsid w:val="003414C8"/>
    <w:rsid w:val="00341C19"/>
    <w:rsid w:val="00341C9C"/>
    <w:rsid w:val="00341CF5"/>
    <w:rsid w:val="00341DA1"/>
    <w:rsid w:val="00341E0E"/>
    <w:rsid w:val="00341E44"/>
    <w:rsid w:val="00342005"/>
    <w:rsid w:val="00342652"/>
    <w:rsid w:val="0034267B"/>
    <w:rsid w:val="00342A3F"/>
    <w:rsid w:val="00342A82"/>
    <w:rsid w:val="00342D5B"/>
    <w:rsid w:val="00342DDD"/>
    <w:rsid w:val="0034336E"/>
    <w:rsid w:val="00343492"/>
    <w:rsid w:val="00343594"/>
    <w:rsid w:val="00343809"/>
    <w:rsid w:val="003438DD"/>
    <w:rsid w:val="003439E3"/>
    <w:rsid w:val="00343AD1"/>
    <w:rsid w:val="00343FEA"/>
    <w:rsid w:val="00344400"/>
    <w:rsid w:val="00344B9D"/>
    <w:rsid w:val="003451A9"/>
    <w:rsid w:val="00345438"/>
    <w:rsid w:val="00345493"/>
    <w:rsid w:val="00345876"/>
    <w:rsid w:val="00345A90"/>
    <w:rsid w:val="00345F55"/>
    <w:rsid w:val="00346148"/>
    <w:rsid w:val="00346175"/>
    <w:rsid w:val="0034688D"/>
    <w:rsid w:val="00346BC5"/>
    <w:rsid w:val="00346BE3"/>
    <w:rsid w:val="003471B2"/>
    <w:rsid w:val="00347300"/>
    <w:rsid w:val="0034731D"/>
    <w:rsid w:val="00347539"/>
    <w:rsid w:val="0034761B"/>
    <w:rsid w:val="003476CC"/>
    <w:rsid w:val="003478DA"/>
    <w:rsid w:val="00347ACA"/>
    <w:rsid w:val="00347E52"/>
    <w:rsid w:val="00347E87"/>
    <w:rsid w:val="003504CC"/>
    <w:rsid w:val="00350642"/>
    <w:rsid w:val="00350655"/>
    <w:rsid w:val="003508A2"/>
    <w:rsid w:val="00350905"/>
    <w:rsid w:val="00350965"/>
    <w:rsid w:val="00350F05"/>
    <w:rsid w:val="00351880"/>
    <w:rsid w:val="00351B32"/>
    <w:rsid w:val="00351BB5"/>
    <w:rsid w:val="00351DFB"/>
    <w:rsid w:val="00351ECB"/>
    <w:rsid w:val="00352238"/>
    <w:rsid w:val="0035259F"/>
    <w:rsid w:val="0035264B"/>
    <w:rsid w:val="00352920"/>
    <w:rsid w:val="00352BB4"/>
    <w:rsid w:val="00352BE6"/>
    <w:rsid w:val="00353083"/>
    <w:rsid w:val="0035310D"/>
    <w:rsid w:val="003536B1"/>
    <w:rsid w:val="00353B73"/>
    <w:rsid w:val="00353F56"/>
    <w:rsid w:val="00354051"/>
    <w:rsid w:val="003541B3"/>
    <w:rsid w:val="003546B3"/>
    <w:rsid w:val="00354900"/>
    <w:rsid w:val="00354C1F"/>
    <w:rsid w:val="00354CBA"/>
    <w:rsid w:val="00354F96"/>
    <w:rsid w:val="00355264"/>
    <w:rsid w:val="0035581F"/>
    <w:rsid w:val="0035592F"/>
    <w:rsid w:val="0035594A"/>
    <w:rsid w:val="00355B45"/>
    <w:rsid w:val="00355C97"/>
    <w:rsid w:val="00355CE9"/>
    <w:rsid w:val="00355F2B"/>
    <w:rsid w:val="00356281"/>
    <w:rsid w:val="003563CE"/>
    <w:rsid w:val="003565A8"/>
    <w:rsid w:val="003568DE"/>
    <w:rsid w:val="00356941"/>
    <w:rsid w:val="00356BEF"/>
    <w:rsid w:val="00356DB8"/>
    <w:rsid w:val="003570DC"/>
    <w:rsid w:val="003571C0"/>
    <w:rsid w:val="00357270"/>
    <w:rsid w:val="003574DB"/>
    <w:rsid w:val="00357817"/>
    <w:rsid w:val="003579FD"/>
    <w:rsid w:val="00357D71"/>
    <w:rsid w:val="00357D85"/>
    <w:rsid w:val="00357DDC"/>
    <w:rsid w:val="003602C4"/>
    <w:rsid w:val="0036035D"/>
    <w:rsid w:val="003605B9"/>
    <w:rsid w:val="003609E9"/>
    <w:rsid w:val="00360B45"/>
    <w:rsid w:val="00360F8B"/>
    <w:rsid w:val="00360FD4"/>
    <w:rsid w:val="00361114"/>
    <w:rsid w:val="0036130F"/>
    <w:rsid w:val="0036134B"/>
    <w:rsid w:val="003613F4"/>
    <w:rsid w:val="00361401"/>
    <w:rsid w:val="00361513"/>
    <w:rsid w:val="0036152E"/>
    <w:rsid w:val="00361A2A"/>
    <w:rsid w:val="00361D2C"/>
    <w:rsid w:val="0036219D"/>
    <w:rsid w:val="00362308"/>
    <w:rsid w:val="00362443"/>
    <w:rsid w:val="00362571"/>
    <w:rsid w:val="00362BB3"/>
    <w:rsid w:val="00362BF2"/>
    <w:rsid w:val="00362C0B"/>
    <w:rsid w:val="00362C49"/>
    <w:rsid w:val="00362D8E"/>
    <w:rsid w:val="00362DEC"/>
    <w:rsid w:val="00362EFF"/>
    <w:rsid w:val="0036307B"/>
    <w:rsid w:val="0036332C"/>
    <w:rsid w:val="00363778"/>
    <w:rsid w:val="00363973"/>
    <w:rsid w:val="00363A96"/>
    <w:rsid w:val="00363AFD"/>
    <w:rsid w:val="00363FA0"/>
    <w:rsid w:val="0036424A"/>
    <w:rsid w:val="00364414"/>
    <w:rsid w:val="00364533"/>
    <w:rsid w:val="0036456D"/>
    <w:rsid w:val="00364E17"/>
    <w:rsid w:val="00365197"/>
    <w:rsid w:val="0036543C"/>
    <w:rsid w:val="00365735"/>
    <w:rsid w:val="00365B50"/>
    <w:rsid w:val="00366073"/>
    <w:rsid w:val="003660E6"/>
    <w:rsid w:val="003661D4"/>
    <w:rsid w:val="0036629D"/>
    <w:rsid w:val="00366C44"/>
    <w:rsid w:val="00366F2D"/>
    <w:rsid w:val="00366F98"/>
    <w:rsid w:val="0036701B"/>
    <w:rsid w:val="003675CB"/>
    <w:rsid w:val="00367821"/>
    <w:rsid w:val="003678D1"/>
    <w:rsid w:val="00367D8C"/>
    <w:rsid w:val="00367E49"/>
    <w:rsid w:val="00367F0D"/>
    <w:rsid w:val="00367F8E"/>
    <w:rsid w:val="0037048C"/>
    <w:rsid w:val="00370B35"/>
    <w:rsid w:val="00370B70"/>
    <w:rsid w:val="00370B88"/>
    <w:rsid w:val="00371026"/>
    <w:rsid w:val="003710D0"/>
    <w:rsid w:val="003715CF"/>
    <w:rsid w:val="00371689"/>
    <w:rsid w:val="003716EF"/>
    <w:rsid w:val="003717A4"/>
    <w:rsid w:val="003724A6"/>
    <w:rsid w:val="00372B56"/>
    <w:rsid w:val="00372CAE"/>
    <w:rsid w:val="00372D3D"/>
    <w:rsid w:val="00372DDA"/>
    <w:rsid w:val="00373061"/>
    <w:rsid w:val="0037312D"/>
    <w:rsid w:val="003731F1"/>
    <w:rsid w:val="0037325B"/>
    <w:rsid w:val="00373507"/>
    <w:rsid w:val="00373918"/>
    <w:rsid w:val="00373AF8"/>
    <w:rsid w:val="00373C8D"/>
    <w:rsid w:val="00374010"/>
    <w:rsid w:val="0037414F"/>
    <w:rsid w:val="0037428F"/>
    <w:rsid w:val="0037429D"/>
    <w:rsid w:val="0037437B"/>
    <w:rsid w:val="003744CE"/>
    <w:rsid w:val="003744FF"/>
    <w:rsid w:val="003745C5"/>
    <w:rsid w:val="003745E5"/>
    <w:rsid w:val="003746DD"/>
    <w:rsid w:val="00374CD4"/>
    <w:rsid w:val="003750A7"/>
    <w:rsid w:val="00375335"/>
    <w:rsid w:val="0037560E"/>
    <w:rsid w:val="00375D08"/>
    <w:rsid w:val="00375E6C"/>
    <w:rsid w:val="00375EE4"/>
    <w:rsid w:val="0037602D"/>
    <w:rsid w:val="003761C8"/>
    <w:rsid w:val="00376444"/>
    <w:rsid w:val="00376687"/>
    <w:rsid w:val="00376956"/>
    <w:rsid w:val="003769EF"/>
    <w:rsid w:val="00376A40"/>
    <w:rsid w:val="00376C16"/>
    <w:rsid w:val="00376CE1"/>
    <w:rsid w:val="00376E58"/>
    <w:rsid w:val="00377164"/>
    <w:rsid w:val="003771EA"/>
    <w:rsid w:val="00377576"/>
    <w:rsid w:val="00377B1D"/>
    <w:rsid w:val="00377E06"/>
    <w:rsid w:val="0038011A"/>
    <w:rsid w:val="00380614"/>
    <w:rsid w:val="00380769"/>
    <w:rsid w:val="003808EC"/>
    <w:rsid w:val="00380D01"/>
    <w:rsid w:val="0038125B"/>
    <w:rsid w:val="003813C8"/>
    <w:rsid w:val="0038165D"/>
    <w:rsid w:val="003816DF"/>
    <w:rsid w:val="00381925"/>
    <w:rsid w:val="00381952"/>
    <w:rsid w:val="00381B3F"/>
    <w:rsid w:val="00382377"/>
    <w:rsid w:val="003825ED"/>
    <w:rsid w:val="00382836"/>
    <w:rsid w:val="00382A66"/>
    <w:rsid w:val="00382C1D"/>
    <w:rsid w:val="00382C22"/>
    <w:rsid w:val="003831EE"/>
    <w:rsid w:val="0038327C"/>
    <w:rsid w:val="00383513"/>
    <w:rsid w:val="003837C2"/>
    <w:rsid w:val="00383A72"/>
    <w:rsid w:val="00383E15"/>
    <w:rsid w:val="003840F0"/>
    <w:rsid w:val="0038418B"/>
    <w:rsid w:val="003842CB"/>
    <w:rsid w:val="00384680"/>
    <w:rsid w:val="00384777"/>
    <w:rsid w:val="00384CAA"/>
    <w:rsid w:val="00385064"/>
    <w:rsid w:val="0038529B"/>
    <w:rsid w:val="003856C4"/>
    <w:rsid w:val="00385D7F"/>
    <w:rsid w:val="00385E7F"/>
    <w:rsid w:val="00385E9F"/>
    <w:rsid w:val="003865A1"/>
    <w:rsid w:val="0038676D"/>
    <w:rsid w:val="00386DFB"/>
    <w:rsid w:val="00386F0D"/>
    <w:rsid w:val="00386FB6"/>
    <w:rsid w:val="0038700D"/>
    <w:rsid w:val="003872F9"/>
    <w:rsid w:val="0038759D"/>
    <w:rsid w:val="0038763A"/>
    <w:rsid w:val="00387B69"/>
    <w:rsid w:val="003902DB"/>
    <w:rsid w:val="00390483"/>
    <w:rsid w:val="003906C3"/>
    <w:rsid w:val="00390E0B"/>
    <w:rsid w:val="003911B3"/>
    <w:rsid w:val="00391264"/>
    <w:rsid w:val="0039149C"/>
    <w:rsid w:val="003914C0"/>
    <w:rsid w:val="00391622"/>
    <w:rsid w:val="003917F2"/>
    <w:rsid w:val="00391985"/>
    <w:rsid w:val="00391B7B"/>
    <w:rsid w:val="00391B99"/>
    <w:rsid w:val="00391C66"/>
    <w:rsid w:val="0039207F"/>
    <w:rsid w:val="00392A50"/>
    <w:rsid w:val="00392C98"/>
    <w:rsid w:val="00392D65"/>
    <w:rsid w:val="00392D89"/>
    <w:rsid w:val="00392EE9"/>
    <w:rsid w:val="0039314E"/>
    <w:rsid w:val="003931A1"/>
    <w:rsid w:val="003934AD"/>
    <w:rsid w:val="003935D4"/>
    <w:rsid w:val="00393B5A"/>
    <w:rsid w:val="00393B5F"/>
    <w:rsid w:val="00393E78"/>
    <w:rsid w:val="00394072"/>
    <w:rsid w:val="0039409D"/>
    <w:rsid w:val="00394113"/>
    <w:rsid w:val="00394267"/>
    <w:rsid w:val="003943E0"/>
    <w:rsid w:val="00394A62"/>
    <w:rsid w:val="00394A84"/>
    <w:rsid w:val="00394A9B"/>
    <w:rsid w:val="00394B84"/>
    <w:rsid w:val="00395185"/>
    <w:rsid w:val="003952C0"/>
    <w:rsid w:val="00395480"/>
    <w:rsid w:val="0039567B"/>
    <w:rsid w:val="003956D2"/>
    <w:rsid w:val="003959AA"/>
    <w:rsid w:val="00395A05"/>
    <w:rsid w:val="00395A17"/>
    <w:rsid w:val="00395B4E"/>
    <w:rsid w:val="00395B94"/>
    <w:rsid w:val="00395D5E"/>
    <w:rsid w:val="00395FAD"/>
    <w:rsid w:val="0039601A"/>
    <w:rsid w:val="003961A9"/>
    <w:rsid w:val="00396344"/>
    <w:rsid w:val="00396488"/>
    <w:rsid w:val="003966BB"/>
    <w:rsid w:val="00396A88"/>
    <w:rsid w:val="00396DB7"/>
    <w:rsid w:val="00397124"/>
    <w:rsid w:val="003971D8"/>
    <w:rsid w:val="003975B5"/>
    <w:rsid w:val="00397F71"/>
    <w:rsid w:val="00397FD8"/>
    <w:rsid w:val="003A0670"/>
    <w:rsid w:val="003A07ED"/>
    <w:rsid w:val="003A0865"/>
    <w:rsid w:val="003A0B8B"/>
    <w:rsid w:val="003A130B"/>
    <w:rsid w:val="003A14FB"/>
    <w:rsid w:val="003A16DA"/>
    <w:rsid w:val="003A188F"/>
    <w:rsid w:val="003A1CF9"/>
    <w:rsid w:val="003A1E9C"/>
    <w:rsid w:val="003A217F"/>
    <w:rsid w:val="003A24F6"/>
    <w:rsid w:val="003A258F"/>
    <w:rsid w:val="003A2648"/>
    <w:rsid w:val="003A27C9"/>
    <w:rsid w:val="003A2BA4"/>
    <w:rsid w:val="003A2CD1"/>
    <w:rsid w:val="003A2D98"/>
    <w:rsid w:val="003A325D"/>
    <w:rsid w:val="003A34D8"/>
    <w:rsid w:val="003A3617"/>
    <w:rsid w:val="003A3BB6"/>
    <w:rsid w:val="003A3CA6"/>
    <w:rsid w:val="003A42AF"/>
    <w:rsid w:val="003A433A"/>
    <w:rsid w:val="003A444A"/>
    <w:rsid w:val="003A4456"/>
    <w:rsid w:val="003A45EF"/>
    <w:rsid w:val="003A461D"/>
    <w:rsid w:val="003A46E3"/>
    <w:rsid w:val="003A4A7E"/>
    <w:rsid w:val="003A4AB6"/>
    <w:rsid w:val="003A5532"/>
    <w:rsid w:val="003A5871"/>
    <w:rsid w:val="003A587F"/>
    <w:rsid w:val="003A5A02"/>
    <w:rsid w:val="003A5AD8"/>
    <w:rsid w:val="003A5C39"/>
    <w:rsid w:val="003A5FDD"/>
    <w:rsid w:val="003A60A6"/>
    <w:rsid w:val="003A6149"/>
    <w:rsid w:val="003A63B4"/>
    <w:rsid w:val="003A6B02"/>
    <w:rsid w:val="003A6B19"/>
    <w:rsid w:val="003A6CFC"/>
    <w:rsid w:val="003A6F15"/>
    <w:rsid w:val="003A6FED"/>
    <w:rsid w:val="003A74F4"/>
    <w:rsid w:val="003A769D"/>
    <w:rsid w:val="003A78B9"/>
    <w:rsid w:val="003A7B15"/>
    <w:rsid w:val="003A7E30"/>
    <w:rsid w:val="003A7FEA"/>
    <w:rsid w:val="003B0015"/>
    <w:rsid w:val="003B0332"/>
    <w:rsid w:val="003B065B"/>
    <w:rsid w:val="003B07E1"/>
    <w:rsid w:val="003B0A08"/>
    <w:rsid w:val="003B0B41"/>
    <w:rsid w:val="003B0CF8"/>
    <w:rsid w:val="003B0D77"/>
    <w:rsid w:val="003B0E75"/>
    <w:rsid w:val="003B0EB6"/>
    <w:rsid w:val="003B110E"/>
    <w:rsid w:val="003B15E2"/>
    <w:rsid w:val="003B1721"/>
    <w:rsid w:val="003B18A7"/>
    <w:rsid w:val="003B1B3C"/>
    <w:rsid w:val="003B1C58"/>
    <w:rsid w:val="003B1D6D"/>
    <w:rsid w:val="003B2022"/>
    <w:rsid w:val="003B2320"/>
    <w:rsid w:val="003B25C5"/>
    <w:rsid w:val="003B2631"/>
    <w:rsid w:val="003B2871"/>
    <w:rsid w:val="003B28D1"/>
    <w:rsid w:val="003B2948"/>
    <w:rsid w:val="003B2A4E"/>
    <w:rsid w:val="003B2C88"/>
    <w:rsid w:val="003B2E4E"/>
    <w:rsid w:val="003B2E67"/>
    <w:rsid w:val="003B2EA3"/>
    <w:rsid w:val="003B2F97"/>
    <w:rsid w:val="003B3061"/>
    <w:rsid w:val="003B335F"/>
    <w:rsid w:val="003B3704"/>
    <w:rsid w:val="003B3726"/>
    <w:rsid w:val="003B3A96"/>
    <w:rsid w:val="003B3B50"/>
    <w:rsid w:val="003B3E3D"/>
    <w:rsid w:val="003B4082"/>
    <w:rsid w:val="003B4118"/>
    <w:rsid w:val="003B41EF"/>
    <w:rsid w:val="003B421D"/>
    <w:rsid w:val="003B48CF"/>
    <w:rsid w:val="003B48EC"/>
    <w:rsid w:val="003B49EF"/>
    <w:rsid w:val="003B4B23"/>
    <w:rsid w:val="003B4CC6"/>
    <w:rsid w:val="003B51F9"/>
    <w:rsid w:val="003B5289"/>
    <w:rsid w:val="003B555D"/>
    <w:rsid w:val="003B574D"/>
    <w:rsid w:val="003B5A40"/>
    <w:rsid w:val="003B5A5D"/>
    <w:rsid w:val="003B5B70"/>
    <w:rsid w:val="003B5C90"/>
    <w:rsid w:val="003B60A7"/>
    <w:rsid w:val="003B61BD"/>
    <w:rsid w:val="003B6211"/>
    <w:rsid w:val="003B6239"/>
    <w:rsid w:val="003B6276"/>
    <w:rsid w:val="003B648B"/>
    <w:rsid w:val="003B66DC"/>
    <w:rsid w:val="003B6A98"/>
    <w:rsid w:val="003B6CD4"/>
    <w:rsid w:val="003B7068"/>
    <w:rsid w:val="003B765E"/>
    <w:rsid w:val="003B78B5"/>
    <w:rsid w:val="003B7B62"/>
    <w:rsid w:val="003B7DEC"/>
    <w:rsid w:val="003B7EE3"/>
    <w:rsid w:val="003C0027"/>
    <w:rsid w:val="003C00F9"/>
    <w:rsid w:val="003C0260"/>
    <w:rsid w:val="003C0690"/>
    <w:rsid w:val="003C06B5"/>
    <w:rsid w:val="003C07E4"/>
    <w:rsid w:val="003C08D6"/>
    <w:rsid w:val="003C09BB"/>
    <w:rsid w:val="003C0ADD"/>
    <w:rsid w:val="003C0D81"/>
    <w:rsid w:val="003C0EF6"/>
    <w:rsid w:val="003C0F53"/>
    <w:rsid w:val="003C114F"/>
    <w:rsid w:val="003C1156"/>
    <w:rsid w:val="003C120F"/>
    <w:rsid w:val="003C146C"/>
    <w:rsid w:val="003C14A5"/>
    <w:rsid w:val="003C172D"/>
    <w:rsid w:val="003C1C02"/>
    <w:rsid w:val="003C1EE9"/>
    <w:rsid w:val="003C20B3"/>
    <w:rsid w:val="003C2164"/>
    <w:rsid w:val="003C216A"/>
    <w:rsid w:val="003C2440"/>
    <w:rsid w:val="003C25D2"/>
    <w:rsid w:val="003C2A20"/>
    <w:rsid w:val="003C2A35"/>
    <w:rsid w:val="003C35DA"/>
    <w:rsid w:val="003C368E"/>
    <w:rsid w:val="003C372C"/>
    <w:rsid w:val="003C3A11"/>
    <w:rsid w:val="003C3B5B"/>
    <w:rsid w:val="003C3E9F"/>
    <w:rsid w:val="003C40F7"/>
    <w:rsid w:val="003C442C"/>
    <w:rsid w:val="003C454A"/>
    <w:rsid w:val="003C45B8"/>
    <w:rsid w:val="003C4632"/>
    <w:rsid w:val="003C4871"/>
    <w:rsid w:val="003C4877"/>
    <w:rsid w:val="003C4C09"/>
    <w:rsid w:val="003C4CED"/>
    <w:rsid w:val="003C4F12"/>
    <w:rsid w:val="003C5282"/>
    <w:rsid w:val="003C5381"/>
    <w:rsid w:val="003C563F"/>
    <w:rsid w:val="003C5779"/>
    <w:rsid w:val="003C5C2B"/>
    <w:rsid w:val="003C5E17"/>
    <w:rsid w:val="003C63F0"/>
    <w:rsid w:val="003C65D5"/>
    <w:rsid w:val="003C6A26"/>
    <w:rsid w:val="003C6D79"/>
    <w:rsid w:val="003C6F4D"/>
    <w:rsid w:val="003C747C"/>
    <w:rsid w:val="003C76B3"/>
    <w:rsid w:val="003C76BC"/>
    <w:rsid w:val="003C77E1"/>
    <w:rsid w:val="003C77EB"/>
    <w:rsid w:val="003C7AAC"/>
    <w:rsid w:val="003C7B01"/>
    <w:rsid w:val="003C7B16"/>
    <w:rsid w:val="003C7C4B"/>
    <w:rsid w:val="003C7DBD"/>
    <w:rsid w:val="003D011B"/>
    <w:rsid w:val="003D025E"/>
    <w:rsid w:val="003D079C"/>
    <w:rsid w:val="003D07F9"/>
    <w:rsid w:val="003D0C13"/>
    <w:rsid w:val="003D10DC"/>
    <w:rsid w:val="003D1185"/>
    <w:rsid w:val="003D16D5"/>
    <w:rsid w:val="003D1809"/>
    <w:rsid w:val="003D1A96"/>
    <w:rsid w:val="003D1B5C"/>
    <w:rsid w:val="003D1C1D"/>
    <w:rsid w:val="003D2783"/>
    <w:rsid w:val="003D2877"/>
    <w:rsid w:val="003D29A8"/>
    <w:rsid w:val="003D2E0E"/>
    <w:rsid w:val="003D3316"/>
    <w:rsid w:val="003D3826"/>
    <w:rsid w:val="003D3BF2"/>
    <w:rsid w:val="003D4020"/>
    <w:rsid w:val="003D447C"/>
    <w:rsid w:val="003D473A"/>
    <w:rsid w:val="003D4822"/>
    <w:rsid w:val="003D48BB"/>
    <w:rsid w:val="003D51DD"/>
    <w:rsid w:val="003D52EA"/>
    <w:rsid w:val="003D5310"/>
    <w:rsid w:val="003D53B5"/>
    <w:rsid w:val="003D55D3"/>
    <w:rsid w:val="003D59D6"/>
    <w:rsid w:val="003D5A38"/>
    <w:rsid w:val="003D5CA7"/>
    <w:rsid w:val="003D5CF8"/>
    <w:rsid w:val="003D64A6"/>
    <w:rsid w:val="003D6527"/>
    <w:rsid w:val="003D652F"/>
    <w:rsid w:val="003D67B1"/>
    <w:rsid w:val="003D6892"/>
    <w:rsid w:val="003D6956"/>
    <w:rsid w:val="003D6B00"/>
    <w:rsid w:val="003D6C0C"/>
    <w:rsid w:val="003D6C66"/>
    <w:rsid w:val="003D6C88"/>
    <w:rsid w:val="003D6DCB"/>
    <w:rsid w:val="003D70BF"/>
    <w:rsid w:val="003D730B"/>
    <w:rsid w:val="003D7782"/>
    <w:rsid w:val="003D77C2"/>
    <w:rsid w:val="003D78F6"/>
    <w:rsid w:val="003D7B84"/>
    <w:rsid w:val="003D7DB2"/>
    <w:rsid w:val="003D7E68"/>
    <w:rsid w:val="003E0075"/>
    <w:rsid w:val="003E02EA"/>
    <w:rsid w:val="003E047F"/>
    <w:rsid w:val="003E060D"/>
    <w:rsid w:val="003E076C"/>
    <w:rsid w:val="003E08F5"/>
    <w:rsid w:val="003E0B06"/>
    <w:rsid w:val="003E0EDA"/>
    <w:rsid w:val="003E0F4E"/>
    <w:rsid w:val="003E11B0"/>
    <w:rsid w:val="003E11C4"/>
    <w:rsid w:val="003E1222"/>
    <w:rsid w:val="003E13BD"/>
    <w:rsid w:val="003E1619"/>
    <w:rsid w:val="003E1800"/>
    <w:rsid w:val="003E1950"/>
    <w:rsid w:val="003E21C4"/>
    <w:rsid w:val="003E2349"/>
    <w:rsid w:val="003E238B"/>
    <w:rsid w:val="003E2578"/>
    <w:rsid w:val="003E268B"/>
    <w:rsid w:val="003E2B1C"/>
    <w:rsid w:val="003E322F"/>
    <w:rsid w:val="003E32DC"/>
    <w:rsid w:val="003E3905"/>
    <w:rsid w:val="003E3AA6"/>
    <w:rsid w:val="003E3B81"/>
    <w:rsid w:val="003E3BF3"/>
    <w:rsid w:val="003E44C7"/>
    <w:rsid w:val="003E45AB"/>
    <w:rsid w:val="003E46EE"/>
    <w:rsid w:val="003E4881"/>
    <w:rsid w:val="003E4BA1"/>
    <w:rsid w:val="003E4BE3"/>
    <w:rsid w:val="003E4BEB"/>
    <w:rsid w:val="003E5645"/>
    <w:rsid w:val="003E58F4"/>
    <w:rsid w:val="003E5940"/>
    <w:rsid w:val="003E5962"/>
    <w:rsid w:val="003E5A95"/>
    <w:rsid w:val="003E5C86"/>
    <w:rsid w:val="003E6086"/>
    <w:rsid w:val="003E6087"/>
    <w:rsid w:val="003E60E0"/>
    <w:rsid w:val="003E61E4"/>
    <w:rsid w:val="003E6AA0"/>
    <w:rsid w:val="003E6D34"/>
    <w:rsid w:val="003E70F5"/>
    <w:rsid w:val="003E741C"/>
    <w:rsid w:val="003E7684"/>
    <w:rsid w:val="003E775A"/>
    <w:rsid w:val="003E79FB"/>
    <w:rsid w:val="003E7B16"/>
    <w:rsid w:val="003F0068"/>
    <w:rsid w:val="003F0143"/>
    <w:rsid w:val="003F028D"/>
    <w:rsid w:val="003F100F"/>
    <w:rsid w:val="003F148F"/>
    <w:rsid w:val="003F171F"/>
    <w:rsid w:val="003F1766"/>
    <w:rsid w:val="003F1838"/>
    <w:rsid w:val="003F1A79"/>
    <w:rsid w:val="003F1BFD"/>
    <w:rsid w:val="003F1C39"/>
    <w:rsid w:val="003F1C61"/>
    <w:rsid w:val="003F208B"/>
    <w:rsid w:val="003F23B3"/>
    <w:rsid w:val="003F2688"/>
    <w:rsid w:val="003F2873"/>
    <w:rsid w:val="003F2B47"/>
    <w:rsid w:val="003F2E18"/>
    <w:rsid w:val="003F2EFE"/>
    <w:rsid w:val="003F303C"/>
    <w:rsid w:val="003F3103"/>
    <w:rsid w:val="003F31B4"/>
    <w:rsid w:val="003F32FF"/>
    <w:rsid w:val="003F350B"/>
    <w:rsid w:val="003F3562"/>
    <w:rsid w:val="003F3577"/>
    <w:rsid w:val="003F35C2"/>
    <w:rsid w:val="003F385F"/>
    <w:rsid w:val="003F38FF"/>
    <w:rsid w:val="003F3A82"/>
    <w:rsid w:val="003F3C03"/>
    <w:rsid w:val="003F3DCA"/>
    <w:rsid w:val="003F4454"/>
    <w:rsid w:val="003F45AF"/>
    <w:rsid w:val="003F45FE"/>
    <w:rsid w:val="003F4633"/>
    <w:rsid w:val="003F4987"/>
    <w:rsid w:val="003F49B5"/>
    <w:rsid w:val="003F4C1B"/>
    <w:rsid w:val="003F4CF8"/>
    <w:rsid w:val="003F4D3B"/>
    <w:rsid w:val="003F5159"/>
    <w:rsid w:val="003F52D1"/>
    <w:rsid w:val="003F5364"/>
    <w:rsid w:val="003F5546"/>
    <w:rsid w:val="003F5A44"/>
    <w:rsid w:val="003F5D54"/>
    <w:rsid w:val="003F5DA0"/>
    <w:rsid w:val="003F5F82"/>
    <w:rsid w:val="003F610D"/>
    <w:rsid w:val="003F6866"/>
    <w:rsid w:val="003F6C0E"/>
    <w:rsid w:val="003F6F31"/>
    <w:rsid w:val="003F6F73"/>
    <w:rsid w:val="003F7242"/>
    <w:rsid w:val="003F7385"/>
    <w:rsid w:val="003F7946"/>
    <w:rsid w:val="003F7C19"/>
    <w:rsid w:val="003F7DCC"/>
    <w:rsid w:val="003F7FF1"/>
    <w:rsid w:val="004000C7"/>
    <w:rsid w:val="0040032F"/>
    <w:rsid w:val="00400B2F"/>
    <w:rsid w:val="0040116D"/>
    <w:rsid w:val="004011FB"/>
    <w:rsid w:val="004012A0"/>
    <w:rsid w:val="004014E7"/>
    <w:rsid w:val="004014FB"/>
    <w:rsid w:val="00401FDE"/>
    <w:rsid w:val="00402431"/>
    <w:rsid w:val="00402567"/>
    <w:rsid w:val="004025CB"/>
    <w:rsid w:val="004026FB"/>
    <w:rsid w:val="00402928"/>
    <w:rsid w:val="00402B93"/>
    <w:rsid w:val="00402FE7"/>
    <w:rsid w:val="004038EA"/>
    <w:rsid w:val="00403AA1"/>
    <w:rsid w:val="00403C64"/>
    <w:rsid w:val="00403F2D"/>
    <w:rsid w:val="00403F6C"/>
    <w:rsid w:val="00403FA1"/>
    <w:rsid w:val="004040E5"/>
    <w:rsid w:val="004041AD"/>
    <w:rsid w:val="004044F6"/>
    <w:rsid w:val="004046A0"/>
    <w:rsid w:val="00404703"/>
    <w:rsid w:val="004047D9"/>
    <w:rsid w:val="004047E5"/>
    <w:rsid w:val="00404EBD"/>
    <w:rsid w:val="00404EC8"/>
    <w:rsid w:val="0040515A"/>
    <w:rsid w:val="00405252"/>
    <w:rsid w:val="004056DC"/>
    <w:rsid w:val="00405770"/>
    <w:rsid w:val="00405EA3"/>
    <w:rsid w:val="0040614A"/>
    <w:rsid w:val="004064DB"/>
    <w:rsid w:val="00406530"/>
    <w:rsid w:val="00406558"/>
    <w:rsid w:val="00406607"/>
    <w:rsid w:val="0040662C"/>
    <w:rsid w:val="00406C81"/>
    <w:rsid w:val="00406DA3"/>
    <w:rsid w:val="00406DBE"/>
    <w:rsid w:val="00406E68"/>
    <w:rsid w:val="00407392"/>
    <w:rsid w:val="004074F3"/>
    <w:rsid w:val="0040758B"/>
    <w:rsid w:val="00407793"/>
    <w:rsid w:val="00407A5C"/>
    <w:rsid w:val="00407AE5"/>
    <w:rsid w:val="00407E9D"/>
    <w:rsid w:val="00407FB2"/>
    <w:rsid w:val="0041001F"/>
    <w:rsid w:val="00410086"/>
    <w:rsid w:val="0041033F"/>
    <w:rsid w:val="004105FF"/>
    <w:rsid w:val="004107E0"/>
    <w:rsid w:val="00410E8F"/>
    <w:rsid w:val="00411449"/>
    <w:rsid w:val="004114A8"/>
    <w:rsid w:val="00411A0F"/>
    <w:rsid w:val="00411AC4"/>
    <w:rsid w:val="00411B0B"/>
    <w:rsid w:val="004125C6"/>
    <w:rsid w:val="0041302D"/>
    <w:rsid w:val="004131A7"/>
    <w:rsid w:val="00413271"/>
    <w:rsid w:val="00413F52"/>
    <w:rsid w:val="00413FDB"/>
    <w:rsid w:val="004140C3"/>
    <w:rsid w:val="004144BC"/>
    <w:rsid w:val="004144FE"/>
    <w:rsid w:val="00414754"/>
    <w:rsid w:val="00414930"/>
    <w:rsid w:val="00414B32"/>
    <w:rsid w:val="00414D54"/>
    <w:rsid w:val="00414EDB"/>
    <w:rsid w:val="00415297"/>
    <w:rsid w:val="004154A9"/>
    <w:rsid w:val="0041551A"/>
    <w:rsid w:val="00415535"/>
    <w:rsid w:val="004156A1"/>
    <w:rsid w:val="0041574E"/>
    <w:rsid w:val="0041595F"/>
    <w:rsid w:val="00415978"/>
    <w:rsid w:val="00415F81"/>
    <w:rsid w:val="004164DA"/>
    <w:rsid w:val="00416671"/>
    <w:rsid w:val="00416738"/>
    <w:rsid w:val="0041676D"/>
    <w:rsid w:val="0041681A"/>
    <w:rsid w:val="00416904"/>
    <w:rsid w:val="00416BF7"/>
    <w:rsid w:val="00416C5F"/>
    <w:rsid w:val="00416FE7"/>
    <w:rsid w:val="0041706F"/>
    <w:rsid w:val="004171AF"/>
    <w:rsid w:val="004174AD"/>
    <w:rsid w:val="004175F2"/>
    <w:rsid w:val="00417806"/>
    <w:rsid w:val="00417AF3"/>
    <w:rsid w:val="004204BE"/>
    <w:rsid w:val="00420760"/>
    <w:rsid w:val="0042086D"/>
    <w:rsid w:val="00420DDE"/>
    <w:rsid w:val="0042121D"/>
    <w:rsid w:val="00421259"/>
    <w:rsid w:val="004214F8"/>
    <w:rsid w:val="0042158C"/>
    <w:rsid w:val="00421879"/>
    <w:rsid w:val="004218A4"/>
    <w:rsid w:val="00421B7D"/>
    <w:rsid w:val="00421DFF"/>
    <w:rsid w:val="00422200"/>
    <w:rsid w:val="0042236E"/>
    <w:rsid w:val="004224AE"/>
    <w:rsid w:val="0042267F"/>
    <w:rsid w:val="0042278E"/>
    <w:rsid w:val="004227E6"/>
    <w:rsid w:val="0042290A"/>
    <w:rsid w:val="004229F4"/>
    <w:rsid w:val="00422A7C"/>
    <w:rsid w:val="00422D1D"/>
    <w:rsid w:val="00422D63"/>
    <w:rsid w:val="00422DC8"/>
    <w:rsid w:val="00422E00"/>
    <w:rsid w:val="00422E23"/>
    <w:rsid w:val="0042315F"/>
    <w:rsid w:val="0042330C"/>
    <w:rsid w:val="00423713"/>
    <w:rsid w:val="00423739"/>
    <w:rsid w:val="0042383F"/>
    <w:rsid w:val="00423C03"/>
    <w:rsid w:val="00423CBB"/>
    <w:rsid w:val="00423F44"/>
    <w:rsid w:val="0042408F"/>
    <w:rsid w:val="00424345"/>
    <w:rsid w:val="00424598"/>
    <w:rsid w:val="00424743"/>
    <w:rsid w:val="0042496B"/>
    <w:rsid w:val="00424A18"/>
    <w:rsid w:val="00424ADC"/>
    <w:rsid w:val="00425016"/>
    <w:rsid w:val="004251E0"/>
    <w:rsid w:val="00425247"/>
    <w:rsid w:val="0042548C"/>
    <w:rsid w:val="004259A2"/>
    <w:rsid w:val="00425A24"/>
    <w:rsid w:val="00425B41"/>
    <w:rsid w:val="00425E8C"/>
    <w:rsid w:val="004262A8"/>
    <w:rsid w:val="0042681A"/>
    <w:rsid w:val="00426A29"/>
    <w:rsid w:val="00426B36"/>
    <w:rsid w:val="00426EB9"/>
    <w:rsid w:val="00426F45"/>
    <w:rsid w:val="0042714A"/>
    <w:rsid w:val="00427189"/>
    <w:rsid w:val="004275F7"/>
    <w:rsid w:val="0042763E"/>
    <w:rsid w:val="0042797F"/>
    <w:rsid w:val="00427BAB"/>
    <w:rsid w:val="00427BB3"/>
    <w:rsid w:val="00427C03"/>
    <w:rsid w:val="00427D5F"/>
    <w:rsid w:val="00427F24"/>
    <w:rsid w:val="00430045"/>
    <w:rsid w:val="0043007F"/>
    <w:rsid w:val="004301DD"/>
    <w:rsid w:val="00430417"/>
    <w:rsid w:val="004305B6"/>
    <w:rsid w:val="004308E2"/>
    <w:rsid w:val="00430C36"/>
    <w:rsid w:val="00430CA4"/>
    <w:rsid w:val="00431272"/>
    <w:rsid w:val="0043144F"/>
    <w:rsid w:val="00431711"/>
    <w:rsid w:val="004318CA"/>
    <w:rsid w:val="00431DD0"/>
    <w:rsid w:val="00431F23"/>
    <w:rsid w:val="004323FE"/>
    <w:rsid w:val="0043248A"/>
    <w:rsid w:val="00432492"/>
    <w:rsid w:val="00432C9F"/>
    <w:rsid w:val="00433097"/>
    <w:rsid w:val="0043318F"/>
    <w:rsid w:val="004335B1"/>
    <w:rsid w:val="0043372D"/>
    <w:rsid w:val="004339AB"/>
    <w:rsid w:val="00433C34"/>
    <w:rsid w:val="00433C42"/>
    <w:rsid w:val="00433DD5"/>
    <w:rsid w:val="00433E5B"/>
    <w:rsid w:val="0043400A"/>
    <w:rsid w:val="004340DF"/>
    <w:rsid w:val="0043484F"/>
    <w:rsid w:val="00434A72"/>
    <w:rsid w:val="00434C4C"/>
    <w:rsid w:val="00434D7C"/>
    <w:rsid w:val="00434F77"/>
    <w:rsid w:val="00434F8D"/>
    <w:rsid w:val="00435220"/>
    <w:rsid w:val="004352F5"/>
    <w:rsid w:val="0043536F"/>
    <w:rsid w:val="00435739"/>
    <w:rsid w:val="004359F6"/>
    <w:rsid w:val="00435B6F"/>
    <w:rsid w:val="00435C4B"/>
    <w:rsid w:val="00435F0C"/>
    <w:rsid w:val="00435F3A"/>
    <w:rsid w:val="00435F6B"/>
    <w:rsid w:val="00435FE4"/>
    <w:rsid w:val="0043613F"/>
    <w:rsid w:val="00436301"/>
    <w:rsid w:val="00436552"/>
    <w:rsid w:val="00436797"/>
    <w:rsid w:val="00436846"/>
    <w:rsid w:val="00436946"/>
    <w:rsid w:val="00436973"/>
    <w:rsid w:val="00436E18"/>
    <w:rsid w:val="0043746D"/>
    <w:rsid w:val="00437478"/>
    <w:rsid w:val="00437582"/>
    <w:rsid w:val="004375B6"/>
    <w:rsid w:val="004376EB"/>
    <w:rsid w:val="00437819"/>
    <w:rsid w:val="00437A46"/>
    <w:rsid w:val="00437B94"/>
    <w:rsid w:val="004402AF"/>
    <w:rsid w:val="0044058F"/>
    <w:rsid w:val="00440953"/>
    <w:rsid w:val="00440B6E"/>
    <w:rsid w:val="00440C2F"/>
    <w:rsid w:val="00440DFA"/>
    <w:rsid w:val="00440ED8"/>
    <w:rsid w:val="00440F19"/>
    <w:rsid w:val="00441248"/>
    <w:rsid w:val="0044151E"/>
    <w:rsid w:val="0044181B"/>
    <w:rsid w:val="0044185B"/>
    <w:rsid w:val="004418B4"/>
    <w:rsid w:val="00441C6D"/>
    <w:rsid w:val="00441DBD"/>
    <w:rsid w:val="00441DC0"/>
    <w:rsid w:val="00441E4F"/>
    <w:rsid w:val="00442120"/>
    <w:rsid w:val="004421E6"/>
    <w:rsid w:val="00442473"/>
    <w:rsid w:val="004429B3"/>
    <w:rsid w:val="004429FD"/>
    <w:rsid w:val="00442C8D"/>
    <w:rsid w:val="00442CBA"/>
    <w:rsid w:val="00442E3B"/>
    <w:rsid w:val="00443221"/>
    <w:rsid w:val="0044367C"/>
    <w:rsid w:val="00443745"/>
    <w:rsid w:val="004438F8"/>
    <w:rsid w:val="00443CA7"/>
    <w:rsid w:val="00443D76"/>
    <w:rsid w:val="00443F1B"/>
    <w:rsid w:val="004440A9"/>
    <w:rsid w:val="004443B2"/>
    <w:rsid w:val="004445F6"/>
    <w:rsid w:val="00445082"/>
    <w:rsid w:val="0044554E"/>
    <w:rsid w:val="0044588F"/>
    <w:rsid w:val="00445CA2"/>
    <w:rsid w:val="00445D82"/>
    <w:rsid w:val="00445E68"/>
    <w:rsid w:val="00445FE3"/>
    <w:rsid w:val="0044609D"/>
    <w:rsid w:val="00446340"/>
    <w:rsid w:val="004464F7"/>
    <w:rsid w:val="0044652D"/>
    <w:rsid w:val="004466E6"/>
    <w:rsid w:val="004466F2"/>
    <w:rsid w:val="00446F13"/>
    <w:rsid w:val="00447578"/>
    <w:rsid w:val="00447F1E"/>
    <w:rsid w:val="0045002B"/>
    <w:rsid w:val="00450116"/>
    <w:rsid w:val="0045045F"/>
    <w:rsid w:val="004504CB"/>
    <w:rsid w:val="004505EF"/>
    <w:rsid w:val="004507BB"/>
    <w:rsid w:val="004507E5"/>
    <w:rsid w:val="0045089D"/>
    <w:rsid w:val="00450C5A"/>
    <w:rsid w:val="00450D1F"/>
    <w:rsid w:val="004511C1"/>
    <w:rsid w:val="004511C3"/>
    <w:rsid w:val="0045132F"/>
    <w:rsid w:val="00451427"/>
    <w:rsid w:val="004516EA"/>
    <w:rsid w:val="00451822"/>
    <w:rsid w:val="00451981"/>
    <w:rsid w:val="00451CE6"/>
    <w:rsid w:val="00451DCD"/>
    <w:rsid w:val="00451F6A"/>
    <w:rsid w:val="004522C1"/>
    <w:rsid w:val="004524ED"/>
    <w:rsid w:val="0045254B"/>
    <w:rsid w:val="0045263D"/>
    <w:rsid w:val="0045296F"/>
    <w:rsid w:val="00452DC5"/>
    <w:rsid w:val="00452FDB"/>
    <w:rsid w:val="00452FDC"/>
    <w:rsid w:val="00453006"/>
    <w:rsid w:val="0045337C"/>
    <w:rsid w:val="00453626"/>
    <w:rsid w:val="0045371C"/>
    <w:rsid w:val="00453A65"/>
    <w:rsid w:val="00453B39"/>
    <w:rsid w:val="00453B4C"/>
    <w:rsid w:val="00453C91"/>
    <w:rsid w:val="00453D78"/>
    <w:rsid w:val="00453F14"/>
    <w:rsid w:val="00453F55"/>
    <w:rsid w:val="00454058"/>
    <w:rsid w:val="00454188"/>
    <w:rsid w:val="00454390"/>
    <w:rsid w:val="00454617"/>
    <w:rsid w:val="0045472D"/>
    <w:rsid w:val="00454860"/>
    <w:rsid w:val="00454BB1"/>
    <w:rsid w:val="00454BFD"/>
    <w:rsid w:val="00454F0F"/>
    <w:rsid w:val="00455271"/>
    <w:rsid w:val="0045544C"/>
    <w:rsid w:val="004554C7"/>
    <w:rsid w:val="004557CD"/>
    <w:rsid w:val="004558DD"/>
    <w:rsid w:val="00455B38"/>
    <w:rsid w:val="00455EF1"/>
    <w:rsid w:val="00456006"/>
    <w:rsid w:val="00456029"/>
    <w:rsid w:val="00456098"/>
    <w:rsid w:val="00456961"/>
    <w:rsid w:val="00456AE2"/>
    <w:rsid w:val="00456DE5"/>
    <w:rsid w:val="00456F2A"/>
    <w:rsid w:val="00457B51"/>
    <w:rsid w:val="00457CC7"/>
    <w:rsid w:val="004602B5"/>
    <w:rsid w:val="004604EF"/>
    <w:rsid w:val="00460749"/>
    <w:rsid w:val="00460A61"/>
    <w:rsid w:val="00460C27"/>
    <w:rsid w:val="00460E9C"/>
    <w:rsid w:val="00460FE6"/>
    <w:rsid w:val="0046113C"/>
    <w:rsid w:val="0046148B"/>
    <w:rsid w:val="004614E0"/>
    <w:rsid w:val="00461717"/>
    <w:rsid w:val="004619A4"/>
    <w:rsid w:val="00462451"/>
    <w:rsid w:val="004626AE"/>
    <w:rsid w:val="0046277C"/>
    <w:rsid w:val="0046287E"/>
    <w:rsid w:val="00462A53"/>
    <w:rsid w:val="00462ABF"/>
    <w:rsid w:val="00462F51"/>
    <w:rsid w:val="0046344E"/>
    <w:rsid w:val="0046354C"/>
    <w:rsid w:val="00463644"/>
    <w:rsid w:val="0046366B"/>
    <w:rsid w:val="00463795"/>
    <w:rsid w:val="00463806"/>
    <w:rsid w:val="004639BE"/>
    <w:rsid w:val="004643E5"/>
    <w:rsid w:val="00464684"/>
    <w:rsid w:val="00464E11"/>
    <w:rsid w:val="00465146"/>
    <w:rsid w:val="00465595"/>
    <w:rsid w:val="004655A6"/>
    <w:rsid w:val="004656AF"/>
    <w:rsid w:val="004658F8"/>
    <w:rsid w:val="0046603B"/>
    <w:rsid w:val="0046668A"/>
    <w:rsid w:val="004666BC"/>
    <w:rsid w:val="004669A8"/>
    <w:rsid w:val="00466E2D"/>
    <w:rsid w:val="00467053"/>
    <w:rsid w:val="0046717F"/>
    <w:rsid w:val="004671DC"/>
    <w:rsid w:val="004672C6"/>
    <w:rsid w:val="004672E8"/>
    <w:rsid w:val="004672E9"/>
    <w:rsid w:val="0046799C"/>
    <w:rsid w:val="00467F9B"/>
    <w:rsid w:val="00470327"/>
    <w:rsid w:val="004703D4"/>
    <w:rsid w:val="004705C9"/>
    <w:rsid w:val="00470932"/>
    <w:rsid w:val="0047097D"/>
    <w:rsid w:val="00470981"/>
    <w:rsid w:val="00470BD0"/>
    <w:rsid w:val="00470F54"/>
    <w:rsid w:val="00470FA6"/>
    <w:rsid w:val="00471058"/>
    <w:rsid w:val="00471DBA"/>
    <w:rsid w:val="0047206D"/>
    <w:rsid w:val="0047229B"/>
    <w:rsid w:val="004722B7"/>
    <w:rsid w:val="004722CD"/>
    <w:rsid w:val="0047246D"/>
    <w:rsid w:val="0047250C"/>
    <w:rsid w:val="004727DB"/>
    <w:rsid w:val="00472AF2"/>
    <w:rsid w:val="00472D25"/>
    <w:rsid w:val="00472E5A"/>
    <w:rsid w:val="0047352B"/>
    <w:rsid w:val="004736BB"/>
    <w:rsid w:val="00473ACC"/>
    <w:rsid w:val="0047409F"/>
    <w:rsid w:val="004743A0"/>
    <w:rsid w:val="00474521"/>
    <w:rsid w:val="00474711"/>
    <w:rsid w:val="004747DC"/>
    <w:rsid w:val="00474A03"/>
    <w:rsid w:val="00474A60"/>
    <w:rsid w:val="00474ABA"/>
    <w:rsid w:val="00474C77"/>
    <w:rsid w:val="00474D24"/>
    <w:rsid w:val="00474DE6"/>
    <w:rsid w:val="00475000"/>
    <w:rsid w:val="0047525B"/>
    <w:rsid w:val="0047541A"/>
    <w:rsid w:val="00475A48"/>
    <w:rsid w:val="00475B3F"/>
    <w:rsid w:val="00476440"/>
    <w:rsid w:val="004766BA"/>
    <w:rsid w:val="00476816"/>
    <w:rsid w:val="004768A9"/>
    <w:rsid w:val="00476C9D"/>
    <w:rsid w:val="0047717A"/>
    <w:rsid w:val="00477277"/>
    <w:rsid w:val="0047751F"/>
    <w:rsid w:val="004775F5"/>
    <w:rsid w:val="00477945"/>
    <w:rsid w:val="00477AD3"/>
    <w:rsid w:val="00477D29"/>
    <w:rsid w:val="00477F90"/>
    <w:rsid w:val="0048027E"/>
    <w:rsid w:val="00480448"/>
    <w:rsid w:val="00480531"/>
    <w:rsid w:val="00480603"/>
    <w:rsid w:val="00480779"/>
    <w:rsid w:val="00480882"/>
    <w:rsid w:val="00480993"/>
    <w:rsid w:val="00480A20"/>
    <w:rsid w:val="00480DAA"/>
    <w:rsid w:val="00480EBB"/>
    <w:rsid w:val="0048141D"/>
    <w:rsid w:val="0048174D"/>
    <w:rsid w:val="0048190E"/>
    <w:rsid w:val="00481A70"/>
    <w:rsid w:val="00481A9F"/>
    <w:rsid w:val="00481D65"/>
    <w:rsid w:val="004821CC"/>
    <w:rsid w:val="004821D9"/>
    <w:rsid w:val="00482696"/>
    <w:rsid w:val="004827CD"/>
    <w:rsid w:val="00482CDE"/>
    <w:rsid w:val="00482D5C"/>
    <w:rsid w:val="00482E87"/>
    <w:rsid w:val="00482EF6"/>
    <w:rsid w:val="0048315D"/>
    <w:rsid w:val="004831DC"/>
    <w:rsid w:val="0048345C"/>
    <w:rsid w:val="004834A0"/>
    <w:rsid w:val="004834C1"/>
    <w:rsid w:val="004834C2"/>
    <w:rsid w:val="00483629"/>
    <w:rsid w:val="00483E97"/>
    <w:rsid w:val="004840F6"/>
    <w:rsid w:val="004841BE"/>
    <w:rsid w:val="0048423E"/>
    <w:rsid w:val="00484662"/>
    <w:rsid w:val="0048466D"/>
    <w:rsid w:val="0048470C"/>
    <w:rsid w:val="004847BA"/>
    <w:rsid w:val="00484A5B"/>
    <w:rsid w:val="00484FCE"/>
    <w:rsid w:val="004850EB"/>
    <w:rsid w:val="004852AC"/>
    <w:rsid w:val="004852C0"/>
    <w:rsid w:val="00485327"/>
    <w:rsid w:val="004854BD"/>
    <w:rsid w:val="00485612"/>
    <w:rsid w:val="00485738"/>
    <w:rsid w:val="00485AC8"/>
    <w:rsid w:val="00485DAB"/>
    <w:rsid w:val="00486119"/>
    <w:rsid w:val="0048654D"/>
    <w:rsid w:val="004865B8"/>
    <w:rsid w:val="0048679E"/>
    <w:rsid w:val="004869E0"/>
    <w:rsid w:val="00486B1A"/>
    <w:rsid w:val="00486C70"/>
    <w:rsid w:val="00486DD9"/>
    <w:rsid w:val="004872E4"/>
    <w:rsid w:val="004878F1"/>
    <w:rsid w:val="00487A01"/>
    <w:rsid w:val="00487BA2"/>
    <w:rsid w:val="00487EC9"/>
    <w:rsid w:val="00490184"/>
    <w:rsid w:val="00490222"/>
    <w:rsid w:val="004902B8"/>
    <w:rsid w:val="0049040E"/>
    <w:rsid w:val="004905A2"/>
    <w:rsid w:val="00490C2E"/>
    <w:rsid w:val="00490DC8"/>
    <w:rsid w:val="00491262"/>
    <w:rsid w:val="004912DA"/>
    <w:rsid w:val="004913A9"/>
    <w:rsid w:val="004914AA"/>
    <w:rsid w:val="00491C3A"/>
    <w:rsid w:val="00491C3C"/>
    <w:rsid w:val="0049216C"/>
    <w:rsid w:val="0049218E"/>
    <w:rsid w:val="00492340"/>
    <w:rsid w:val="004924FB"/>
    <w:rsid w:val="00492A4B"/>
    <w:rsid w:val="00492CE5"/>
    <w:rsid w:val="00492CE6"/>
    <w:rsid w:val="004932DA"/>
    <w:rsid w:val="0049330A"/>
    <w:rsid w:val="0049393B"/>
    <w:rsid w:val="004943A0"/>
    <w:rsid w:val="004943DF"/>
    <w:rsid w:val="00494935"/>
    <w:rsid w:val="004949FF"/>
    <w:rsid w:val="00494A78"/>
    <w:rsid w:val="00494ABA"/>
    <w:rsid w:val="00494B47"/>
    <w:rsid w:val="00494CE4"/>
    <w:rsid w:val="00494CF1"/>
    <w:rsid w:val="00494F93"/>
    <w:rsid w:val="00495096"/>
    <w:rsid w:val="004955D2"/>
    <w:rsid w:val="00495978"/>
    <w:rsid w:val="00495E45"/>
    <w:rsid w:val="00495E94"/>
    <w:rsid w:val="00495F96"/>
    <w:rsid w:val="004962F4"/>
    <w:rsid w:val="00496933"/>
    <w:rsid w:val="00496B9C"/>
    <w:rsid w:val="00496CD2"/>
    <w:rsid w:val="00496CEB"/>
    <w:rsid w:val="004971F0"/>
    <w:rsid w:val="0049720A"/>
    <w:rsid w:val="004973D2"/>
    <w:rsid w:val="0049748F"/>
    <w:rsid w:val="0049762F"/>
    <w:rsid w:val="0049767D"/>
    <w:rsid w:val="00497C40"/>
    <w:rsid w:val="004A0151"/>
    <w:rsid w:val="004A026B"/>
    <w:rsid w:val="004A0293"/>
    <w:rsid w:val="004A02D0"/>
    <w:rsid w:val="004A0815"/>
    <w:rsid w:val="004A0994"/>
    <w:rsid w:val="004A0BAB"/>
    <w:rsid w:val="004A0BD2"/>
    <w:rsid w:val="004A131A"/>
    <w:rsid w:val="004A179C"/>
    <w:rsid w:val="004A1AED"/>
    <w:rsid w:val="004A2001"/>
    <w:rsid w:val="004A20F8"/>
    <w:rsid w:val="004A2379"/>
    <w:rsid w:val="004A2754"/>
    <w:rsid w:val="004A2990"/>
    <w:rsid w:val="004A2F55"/>
    <w:rsid w:val="004A2FAD"/>
    <w:rsid w:val="004A34DC"/>
    <w:rsid w:val="004A35E9"/>
    <w:rsid w:val="004A3929"/>
    <w:rsid w:val="004A3C09"/>
    <w:rsid w:val="004A3EB1"/>
    <w:rsid w:val="004A422C"/>
    <w:rsid w:val="004A4312"/>
    <w:rsid w:val="004A437A"/>
    <w:rsid w:val="004A4439"/>
    <w:rsid w:val="004A4619"/>
    <w:rsid w:val="004A475F"/>
    <w:rsid w:val="004A4A6B"/>
    <w:rsid w:val="004A4ABD"/>
    <w:rsid w:val="004A4CF0"/>
    <w:rsid w:val="004A5130"/>
    <w:rsid w:val="004A54EE"/>
    <w:rsid w:val="004A55CA"/>
    <w:rsid w:val="004A5787"/>
    <w:rsid w:val="004A5791"/>
    <w:rsid w:val="004A5959"/>
    <w:rsid w:val="004A5969"/>
    <w:rsid w:val="004A5DB9"/>
    <w:rsid w:val="004A5E1D"/>
    <w:rsid w:val="004A6074"/>
    <w:rsid w:val="004A6400"/>
    <w:rsid w:val="004A65FC"/>
    <w:rsid w:val="004A67AA"/>
    <w:rsid w:val="004A67BE"/>
    <w:rsid w:val="004A68EF"/>
    <w:rsid w:val="004A6A53"/>
    <w:rsid w:val="004A6B7B"/>
    <w:rsid w:val="004A7110"/>
    <w:rsid w:val="004A73E4"/>
    <w:rsid w:val="004A763F"/>
    <w:rsid w:val="004A7721"/>
    <w:rsid w:val="004A7D54"/>
    <w:rsid w:val="004A7D77"/>
    <w:rsid w:val="004B06A6"/>
    <w:rsid w:val="004B0AAE"/>
    <w:rsid w:val="004B105E"/>
    <w:rsid w:val="004B15FB"/>
    <w:rsid w:val="004B1640"/>
    <w:rsid w:val="004B1673"/>
    <w:rsid w:val="004B19B7"/>
    <w:rsid w:val="004B1E4F"/>
    <w:rsid w:val="004B25FE"/>
    <w:rsid w:val="004B2607"/>
    <w:rsid w:val="004B2953"/>
    <w:rsid w:val="004B2A11"/>
    <w:rsid w:val="004B2DAC"/>
    <w:rsid w:val="004B3950"/>
    <w:rsid w:val="004B3D3F"/>
    <w:rsid w:val="004B3FBA"/>
    <w:rsid w:val="004B4372"/>
    <w:rsid w:val="004B4433"/>
    <w:rsid w:val="004B4448"/>
    <w:rsid w:val="004B49F6"/>
    <w:rsid w:val="004B4A9F"/>
    <w:rsid w:val="004B4CFA"/>
    <w:rsid w:val="004B4DA0"/>
    <w:rsid w:val="004B57AC"/>
    <w:rsid w:val="004B5B1C"/>
    <w:rsid w:val="004B5D9B"/>
    <w:rsid w:val="004B5F80"/>
    <w:rsid w:val="004B652D"/>
    <w:rsid w:val="004B686E"/>
    <w:rsid w:val="004B6C8C"/>
    <w:rsid w:val="004B6E1D"/>
    <w:rsid w:val="004B6ED0"/>
    <w:rsid w:val="004B706F"/>
    <w:rsid w:val="004B734E"/>
    <w:rsid w:val="004B78C9"/>
    <w:rsid w:val="004C026C"/>
    <w:rsid w:val="004C0390"/>
    <w:rsid w:val="004C03C8"/>
    <w:rsid w:val="004C0460"/>
    <w:rsid w:val="004C066A"/>
    <w:rsid w:val="004C072A"/>
    <w:rsid w:val="004C0AFF"/>
    <w:rsid w:val="004C0DDD"/>
    <w:rsid w:val="004C0F69"/>
    <w:rsid w:val="004C0FAB"/>
    <w:rsid w:val="004C14E8"/>
    <w:rsid w:val="004C14FA"/>
    <w:rsid w:val="004C19A9"/>
    <w:rsid w:val="004C1BDB"/>
    <w:rsid w:val="004C1CCF"/>
    <w:rsid w:val="004C241F"/>
    <w:rsid w:val="004C2498"/>
    <w:rsid w:val="004C24EF"/>
    <w:rsid w:val="004C271C"/>
    <w:rsid w:val="004C2926"/>
    <w:rsid w:val="004C29AC"/>
    <w:rsid w:val="004C2D30"/>
    <w:rsid w:val="004C31DB"/>
    <w:rsid w:val="004C33A0"/>
    <w:rsid w:val="004C349C"/>
    <w:rsid w:val="004C373A"/>
    <w:rsid w:val="004C3C21"/>
    <w:rsid w:val="004C3F9E"/>
    <w:rsid w:val="004C40A4"/>
    <w:rsid w:val="004C474B"/>
    <w:rsid w:val="004C48CE"/>
    <w:rsid w:val="004C53A2"/>
    <w:rsid w:val="004C5622"/>
    <w:rsid w:val="004C5D82"/>
    <w:rsid w:val="004C5E52"/>
    <w:rsid w:val="004C6071"/>
    <w:rsid w:val="004C6147"/>
    <w:rsid w:val="004C6176"/>
    <w:rsid w:val="004C633A"/>
    <w:rsid w:val="004C6523"/>
    <w:rsid w:val="004C6634"/>
    <w:rsid w:val="004C67E8"/>
    <w:rsid w:val="004C692B"/>
    <w:rsid w:val="004C6946"/>
    <w:rsid w:val="004C6F15"/>
    <w:rsid w:val="004C74A7"/>
    <w:rsid w:val="004C7791"/>
    <w:rsid w:val="004C7B2C"/>
    <w:rsid w:val="004C7B5D"/>
    <w:rsid w:val="004C7C02"/>
    <w:rsid w:val="004D04B6"/>
    <w:rsid w:val="004D0670"/>
    <w:rsid w:val="004D074B"/>
    <w:rsid w:val="004D0898"/>
    <w:rsid w:val="004D08CB"/>
    <w:rsid w:val="004D11AD"/>
    <w:rsid w:val="004D11EF"/>
    <w:rsid w:val="004D15A4"/>
    <w:rsid w:val="004D1A75"/>
    <w:rsid w:val="004D1B40"/>
    <w:rsid w:val="004D21EF"/>
    <w:rsid w:val="004D23AE"/>
    <w:rsid w:val="004D25B7"/>
    <w:rsid w:val="004D26C6"/>
    <w:rsid w:val="004D26EF"/>
    <w:rsid w:val="004D2834"/>
    <w:rsid w:val="004D29B6"/>
    <w:rsid w:val="004D30C3"/>
    <w:rsid w:val="004D3403"/>
    <w:rsid w:val="004D3555"/>
    <w:rsid w:val="004D3600"/>
    <w:rsid w:val="004D361C"/>
    <w:rsid w:val="004D3D81"/>
    <w:rsid w:val="004D3EB9"/>
    <w:rsid w:val="004D3F97"/>
    <w:rsid w:val="004D405D"/>
    <w:rsid w:val="004D4142"/>
    <w:rsid w:val="004D4546"/>
    <w:rsid w:val="004D48D5"/>
    <w:rsid w:val="004D4A57"/>
    <w:rsid w:val="004D4CE2"/>
    <w:rsid w:val="004D4F89"/>
    <w:rsid w:val="004D50A9"/>
    <w:rsid w:val="004D550F"/>
    <w:rsid w:val="004D56CE"/>
    <w:rsid w:val="004D58F1"/>
    <w:rsid w:val="004D5D30"/>
    <w:rsid w:val="004D5EA6"/>
    <w:rsid w:val="004D5F2B"/>
    <w:rsid w:val="004D616B"/>
    <w:rsid w:val="004D6185"/>
    <w:rsid w:val="004D65C3"/>
    <w:rsid w:val="004D65CD"/>
    <w:rsid w:val="004D6781"/>
    <w:rsid w:val="004D6B97"/>
    <w:rsid w:val="004D6D68"/>
    <w:rsid w:val="004D6EA7"/>
    <w:rsid w:val="004D6F50"/>
    <w:rsid w:val="004D6FD0"/>
    <w:rsid w:val="004D712C"/>
    <w:rsid w:val="004D75DC"/>
    <w:rsid w:val="004D7951"/>
    <w:rsid w:val="004D79FF"/>
    <w:rsid w:val="004D7B34"/>
    <w:rsid w:val="004D7BC0"/>
    <w:rsid w:val="004D7C2A"/>
    <w:rsid w:val="004D7C54"/>
    <w:rsid w:val="004D7DE7"/>
    <w:rsid w:val="004D7E1B"/>
    <w:rsid w:val="004D7FBB"/>
    <w:rsid w:val="004E0456"/>
    <w:rsid w:val="004E04D4"/>
    <w:rsid w:val="004E084C"/>
    <w:rsid w:val="004E0F6E"/>
    <w:rsid w:val="004E109D"/>
    <w:rsid w:val="004E1272"/>
    <w:rsid w:val="004E1355"/>
    <w:rsid w:val="004E1510"/>
    <w:rsid w:val="004E16A3"/>
    <w:rsid w:val="004E176C"/>
    <w:rsid w:val="004E1BBE"/>
    <w:rsid w:val="004E1C56"/>
    <w:rsid w:val="004E1DA1"/>
    <w:rsid w:val="004E23E9"/>
    <w:rsid w:val="004E24EA"/>
    <w:rsid w:val="004E2713"/>
    <w:rsid w:val="004E287B"/>
    <w:rsid w:val="004E28C5"/>
    <w:rsid w:val="004E2EA2"/>
    <w:rsid w:val="004E2EBE"/>
    <w:rsid w:val="004E2EFE"/>
    <w:rsid w:val="004E30D1"/>
    <w:rsid w:val="004E356D"/>
    <w:rsid w:val="004E35EB"/>
    <w:rsid w:val="004E378C"/>
    <w:rsid w:val="004E3854"/>
    <w:rsid w:val="004E3E0A"/>
    <w:rsid w:val="004E4073"/>
    <w:rsid w:val="004E4366"/>
    <w:rsid w:val="004E46FF"/>
    <w:rsid w:val="004E4C28"/>
    <w:rsid w:val="004E4C82"/>
    <w:rsid w:val="004E4C97"/>
    <w:rsid w:val="004E5AA6"/>
    <w:rsid w:val="004E5BD4"/>
    <w:rsid w:val="004E5CFE"/>
    <w:rsid w:val="004E5EF4"/>
    <w:rsid w:val="004E5FA3"/>
    <w:rsid w:val="004E6046"/>
    <w:rsid w:val="004E62C3"/>
    <w:rsid w:val="004E67D9"/>
    <w:rsid w:val="004E696B"/>
    <w:rsid w:val="004E6BF7"/>
    <w:rsid w:val="004E70DE"/>
    <w:rsid w:val="004E70F6"/>
    <w:rsid w:val="004E74A0"/>
    <w:rsid w:val="004E7D2C"/>
    <w:rsid w:val="004F00D5"/>
    <w:rsid w:val="004F018A"/>
    <w:rsid w:val="004F0529"/>
    <w:rsid w:val="004F081E"/>
    <w:rsid w:val="004F0876"/>
    <w:rsid w:val="004F0C56"/>
    <w:rsid w:val="004F15C5"/>
    <w:rsid w:val="004F15CE"/>
    <w:rsid w:val="004F18C7"/>
    <w:rsid w:val="004F1AC9"/>
    <w:rsid w:val="004F1D01"/>
    <w:rsid w:val="004F1E9E"/>
    <w:rsid w:val="004F20CF"/>
    <w:rsid w:val="004F2142"/>
    <w:rsid w:val="004F2477"/>
    <w:rsid w:val="004F248A"/>
    <w:rsid w:val="004F24AC"/>
    <w:rsid w:val="004F2587"/>
    <w:rsid w:val="004F2B10"/>
    <w:rsid w:val="004F3030"/>
    <w:rsid w:val="004F31E4"/>
    <w:rsid w:val="004F3245"/>
    <w:rsid w:val="004F3780"/>
    <w:rsid w:val="004F3865"/>
    <w:rsid w:val="004F39C6"/>
    <w:rsid w:val="004F3F75"/>
    <w:rsid w:val="004F3F99"/>
    <w:rsid w:val="004F3FE5"/>
    <w:rsid w:val="004F42E2"/>
    <w:rsid w:val="004F449F"/>
    <w:rsid w:val="004F451D"/>
    <w:rsid w:val="004F47AC"/>
    <w:rsid w:val="004F4A45"/>
    <w:rsid w:val="004F4B81"/>
    <w:rsid w:val="004F4DF5"/>
    <w:rsid w:val="004F51EF"/>
    <w:rsid w:val="004F5424"/>
    <w:rsid w:val="004F56CE"/>
    <w:rsid w:val="004F5923"/>
    <w:rsid w:val="004F5BB2"/>
    <w:rsid w:val="004F5CA4"/>
    <w:rsid w:val="004F621E"/>
    <w:rsid w:val="004F686C"/>
    <w:rsid w:val="004F68AC"/>
    <w:rsid w:val="004F6B71"/>
    <w:rsid w:val="004F6CF8"/>
    <w:rsid w:val="004F6F41"/>
    <w:rsid w:val="004F70C6"/>
    <w:rsid w:val="004F74A1"/>
    <w:rsid w:val="004F7FFD"/>
    <w:rsid w:val="0050030F"/>
    <w:rsid w:val="005009F1"/>
    <w:rsid w:val="00500F13"/>
    <w:rsid w:val="005015B8"/>
    <w:rsid w:val="005015BE"/>
    <w:rsid w:val="00501C9D"/>
    <w:rsid w:val="00501F07"/>
    <w:rsid w:val="00501FA1"/>
    <w:rsid w:val="005025B1"/>
    <w:rsid w:val="00502AF0"/>
    <w:rsid w:val="00502E98"/>
    <w:rsid w:val="0050301C"/>
    <w:rsid w:val="00503219"/>
    <w:rsid w:val="005038A5"/>
    <w:rsid w:val="005038E1"/>
    <w:rsid w:val="0050391F"/>
    <w:rsid w:val="00503947"/>
    <w:rsid w:val="00503B76"/>
    <w:rsid w:val="00503E4B"/>
    <w:rsid w:val="00503F5E"/>
    <w:rsid w:val="005040F0"/>
    <w:rsid w:val="00504376"/>
    <w:rsid w:val="005043CB"/>
    <w:rsid w:val="005043DD"/>
    <w:rsid w:val="0050445E"/>
    <w:rsid w:val="0050462F"/>
    <w:rsid w:val="0050466F"/>
    <w:rsid w:val="00504DCC"/>
    <w:rsid w:val="00504F6B"/>
    <w:rsid w:val="00505103"/>
    <w:rsid w:val="00505273"/>
    <w:rsid w:val="005052DE"/>
    <w:rsid w:val="00505559"/>
    <w:rsid w:val="00505649"/>
    <w:rsid w:val="0050592D"/>
    <w:rsid w:val="00505A53"/>
    <w:rsid w:val="00505AD6"/>
    <w:rsid w:val="00505BC6"/>
    <w:rsid w:val="00505BE9"/>
    <w:rsid w:val="00505FC4"/>
    <w:rsid w:val="005061F6"/>
    <w:rsid w:val="00506335"/>
    <w:rsid w:val="0050635C"/>
    <w:rsid w:val="00506385"/>
    <w:rsid w:val="00506499"/>
    <w:rsid w:val="005064D5"/>
    <w:rsid w:val="0050668A"/>
    <w:rsid w:val="0050679B"/>
    <w:rsid w:val="00506A9D"/>
    <w:rsid w:val="00506C46"/>
    <w:rsid w:val="00506E14"/>
    <w:rsid w:val="00507343"/>
    <w:rsid w:val="0050743C"/>
    <w:rsid w:val="00507540"/>
    <w:rsid w:val="00507567"/>
    <w:rsid w:val="005078DC"/>
    <w:rsid w:val="00507A36"/>
    <w:rsid w:val="00510038"/>
    <w:rsid w:val="005100B3"/>
    <w:rsid w:val="005103B5"/>
    <w:rsid w:val="00510421"/>
    <w:rsid w:val="00510489"/>
    <w:rsid w:val="00510665"/>
    <w:rsid w:val="0051066A"/>
    <w:rsid w:val="00510A98"/>
    <w:rsid w:val="00510FED"/>
    <w:rsid w:val="00511173"/>
    <w:rsid w:val="0051133A"/>
    <w:rsid w:val="00511727"/>
    <w:rsid w:val="00511EA1"/>
    <w:rsid w:val="00512063"/>
    <w:rsid w:val="005120FB"/>
    <w:rsid w:val="005121F6"/>
    <w:rsid w:val="00512269"/>
    <w:rsid w:val="005122D0"/>
    <w:rsid w:val="0051230E"/>
    <w:rsid w:val="005123EA"/>
    <w:rsid w:val="005124BA"/>
    <w:rsid w:val="005124EE"/>
    <w:rsid w:val="005127AC"/>
    <w:rsid w:val="005127D0"/>
    <w:rsid w:val="00512A23"/>
    <w:rsid w:val="00512A3B"/>
    <w:rsid w:val="00512CE3"/>
    <w:rsid w:val="00512F76"/>
    <w:rsid w:val="00512FB4"/>
    <w:rsid w:val="005135D8"/>
    <w:rsid w:val="0051380F"/>
    <w:rsid w:val="005138AC"/>
    <w:rsid w:val="00513BE8"/>
    <w:rsid w:val="00513CF9"/>
    <w:rsid w:val="00513DC2"/>
    <w:rsid w:val="00513F6E"/>
    <w:rsid w:val="00513F75"/>
    <w:rsid w:val="00513F76"/>
    <w:rsid w:val="0051439E"/>
    <w:rsid w:val="00514447"/>
    <w:rsid w:val="0051445D"/>
    <w:rsid w:val="0051458E"/>
    <w:rsid w:val="00514737"/>
    <w:rsid w:val="00514809"/>
    <w:rsid w:val="005148F3"/>
    <w:rsid w:val="00514C6A"/>
    <w:rsid w:val="00514D74"/>
    <w:rsid w:val="00515181"/>
    <w:rsid w:val="0051569A"/>
    <w:rsid w:val="00515706"/>
    <w:rsid w:val="00515C01"/>
    <w:rsid w:val="00515C53"/>
    <w:rsid w:val="00515E2C"/>
    <w:rsid w:val="00516042"/>
    <w:rsid w:val="0051604F"/>
    <w:rsid w:val="005162DB"/>
    <w:rsid w:val="005163CD"/>
    <w:rsid w:val="005163EF"/>
    <w:rsid w:val="0051646C"/>
    <w:rsid w:val="005168AB"/>
    <w:rsid w:val="00516F01"/>
    <w:rsid w:val="005175C2"/>
    <w:rsid w:val="00517687"/>
    <w:rsid w:val="005176CA"/>
    <w:rsid w:val="005177A8"/>
    <w:rsid w:val="00517E0A"/>
    <w:rsid w:val="00517EF5"/>
    <w:rsid w:val="005201A7"/>
    <w:rsid w:val="005209D9"/>
    <w:rsid w:val="00520ADC"/>
    <w:rsid w:val="005210E1"/>
    <w:rsid w:val="00521322"/>
    <w:rsid w:val="005214F9"/>
    <w:rsid w:val="005214FA"/>
    <w:rsid w:val="005215C0"/>
    <w:rsid w:val="005216E2"/>
    <w:rsid w:val="005217F2"/>
    <w:rsid w:val="00521833"/>
    <w:rsid w:val="00521D12"/>
    <w:rsid w:val="00522057"/>
    <w:rsid w:val="00522346"/>
    <w:rsid w:val="00522425"/>
    <w:rsid w:val="0052256A"/>
    <w:rsid w:val="005225EE"/>
    <w:rsid w:val="0052287A"/>
    <w:rsid w:val="00522989"/>
    <w:rsid w:val="00522A69"/>
    <w:rsid w:val="00522DCA"/>
    <w:rsid w:val="00522FC0"/>
    <w:rsid w:val="00523349"/>
    <w:rsid w:val="0052355E"/>
    <w:rsid w:val="005237B2"/>
    <w:rsid w:val="005238A4"/>
    <w:rsid w:val="00523E87"/>
    <w:rsid w:val="00524319"/>
    <w:rsid w:val="005244AB"/>
    <w:rsid w:val="0052454B"/>
    <w:rsid w:val="00524930"/>
    <w:rsid w:val="00524B84"/>
    <w:rsid w:val="00524C66"/>
    <w:rsid w:val="00524CBF"/>
    <w:rsid w:val="00524F1D"/>
    <w:rsid w:val="00525003"/>
    <w:rsid w:val="005252AE"/>
    <w:rsid w:val="00525368"/>
    <w:rsid w:val="00525663"/>
    <w:rsid w:val="00525751"/>
    <w:rsid w:val="00525B2A"/>
    <w:rsid w:val="00525B80"/>
    <w:rsid w:val="00525BC6"/>
    <w:rsid w:val="00525CAD"/>
    <w:rsid w:val="005262E6"/>
    <w:rsid w:val="00526315"/>
    <w:rsid w:val="00526839"/>
    <w:rsid w:val="00526DF7"/>
    <w:rsid w:val="00526E1C"/>
    <w:rsid w:val="00527206"/>
    <w:rsid w:val="00527290"/>
    <w:rsid w:val="005273FD"/>
    <w:rsid w:val="00527532"/>
    <w:rsid w:val="00527AD2"/>
    <w:rsid w:val="00527CF9"/>
    <w:rsid w:val="0053035B"/>
    <w:rsid w:val="00530BDD"/>
    <w:rsid w:val="00530F1F"/>
    <w:rsid w:val="0053113F"/>
    <w:rsid w:val="00531560"/>
    <w:rsid w:val="00531638"/>
    <w:rsid w:val="005318C2"/>
    <w:rsid w:val="005318DD"/>
    <w:rsid w:val="00531AE1"/>
    <w:rsid w:val="00531D10"/>
    <w:rsid w:val="00531DA4"/>
    <w:rsid w:val="00531EC6"/>
    <w:rsid w:val="005324C6"/>
    <w:rsid w:val="00532551"/>
    <w:rsid w:val="005328CD"/>
    <w:rsid w:val="00532953"/>
    <w:rsid w:val="00532EEB"/>
    <w:rsid w:val="0053301A"/>
    <w:rsid w:val="005333BF"/>
    <w:rsid w:val="00533C26"/>
    <w:rsid w:val="005343AD"/>
    <w:rsid w:val="005344DC"/>
    <w:rsid w:val="00534667"/>
    <w:rsid w:val="0053479B"/>
    <w:rsid w:val="00534B50"/>
    <w:rsid w:val="00535675"/>
    <w:rsid w:val="0053580C"/>
    <w:rsid w:val="00535843"/>
    <w:rsid w:val="00535B0D"/>
    <w:rsid w:val="00535E42"/>
    <w:rsid w:val="00535F68"/>
    <w:rsid w:val="00535F7B"/>
    <w:rsid w:val="00536027"/>
    <w:rsid w:val="005360B8"/>
    <w:rsid w:val="00536526"/>
    <w:rsid w:val="00536528"/>
    <w:rsid w:val="00536774"/>
    <w:rsid w:val="00537532"/>
    <w:rsid w:val="0053790A"/>
    <w:rsid w:val="00537B28"/>
    <w:rsid w:val="00537CCE"/>
    <w:rsid w:val="0054006A"/>
    <w:rsid w:val="0054026D"/>
    <w:rsid w:val="0054094D"/>
    <w:rsid w:val="00540A3C"/>
    <w:rsid w:val="00540A8F"/>
    <w:rsid w:val="00540E79"/>
    <w:rsid w:val="00540FF3"/>
    <w:rsid w:val="00541286"/>
    <w:rsid w:val="005412BD"/>
    <w:rsid w:val="00541553"/>
    <w:rsid w:val="005417CE"/>
    <w:rsid w:val="0054190F"/>
    <w:rsid w:val="00541D01"/>
    <w:rsid w:val="00541DE2"/>
    <w:rsid w:val="00541FDF"/>
    <w:rsid w:val="0054232C"/>
    <w:rsid w:val="00542339"/>
    <w:rsid w:val="00542353"/>
    <w:rsid w:val="005423B7"/>
    <w:rsid w:val="00542903"/>
    <w:rsid w:val="0054290E"/>
    <w:rsid w:val="005429B5"/>
    <w:rsid w:val="00542E00"/>
    <w:rsid w:val="00542E5F"/>
    <w:rsid w:val="00542F83"/>
    <w:rsid w:val="005430F7"/>
    <w:rsid w:val="0054313C"/>
    <w:rsid w:val="005433C2"/>
    <w:rsid w:val="005434D7"/>
    <w:rsid w:val="005435FE"/>
    <w:rsid w:val="005437CF"/>
    <w:rsid w:val="005439C9"/>
    <w:rsid w:val="00543AC0"/>
    <w:rsid w:val="00543E57"/>
    <w:rsid w:val="00544245"/>
    <w:rsid w:val="005442E8"/>
    <w:rsid w:val="00544441"/>
    <w:rsid w:val="0054459A"/>
    <w:rsid w:val="005448B6"/>
    <w:rsid w:val="00544D14"/>
    <w:rsid w:val="00544F5B"/>
    <w:rsid w:val="0054506B"/>
    <w:rsid w:val="005451C3"/>
    <w:rsid w:val="0054528E"/>
    <w:rsid w:val="005457F2"/>
    <w:rsid w:val="00545CE6"/>
    <w:rsid w:val="00545E30"/>
    <w:rsid w:val="00546625"/>
    <w:rsid w:val="005467EE"/>
    <w:rsid w:val="005467F0"/>
    <w:rsid w:val="00546B38"/>
    <w:rsid w:val="00546BAA"/>
    <w:rsid w:val="00546D15"/>
    <w:rsid w:val="0054718F"/>
    <w:rsid w:val="00547322"/>
    <w:rsid w:val="00547AB2"/>
    <w:rsid w:val="00547B28"/>
    <w:rsid w:val="00547E6C"/>
    <w:rsid w:val="00547ED1"/>
    <w:rsid w:val="00547F71"/>
    <w:rsid w:val="00550037"/>
    <w:rsid w:val="00550264"/>
    <w:rsid w:val="005509B5"/>
    <w:rsid w:val="00550D9F"/>
    <w:rsid w:val="00551598"/>
    <w:rsid w:val="00551830"/>
    <w:rsid w:val="00551A82"/>
    <w:rsid w:val="00551A9E"/>
    <w:rsid w:val="00551AE7"/>
    <w:rsid w:val="00551C9B"/>
    <w:rsid w:val="00552306"/>
    <w:rsid w:val="00552675"/>
    <w:rsid w:val="0055283B"/>
    <w:rsid w:val="0055284F"/>
    <w:rsid w:val="00552D68"/>
    <w:rsid w:val="0055343C"/>
    <w:rsid w:val="00553481"/>
    <w:rsid w:val="00553728"/>
    <w:rsid w:val="0055375A"/>
    <w:rsid w:val="0055386B"/>
    <w:rsid w:val="00553982"/>
    <w:rsid w:val="00553A4C"/>
    <w:rsid w:val="00553BA3"/>
    <w:rsid w:val="00554159"/>
    <w:rsid w:val="0055467F"/>
    <w:rsid w:val="0055468A"/>
    <w:rsid w:val="00554C95"/>
    <w:rsid w:val="0055509F"/>
    <w:rsid w:val="005552AB"/>
    <w:rsid w:val="005552F4"/>
    <w:rsid w:val="00555324"/>
    <w:rsid w:val="00555583"/>
    <w:rsid w:val="0055571E"/>
    <w:rsid w:val="0055572A"/>
    <w:rsid w:val="00555776"/>
    <w:rsid w:val="005557BF"/>
    <w:rsid w:val="005557C3"/>
    <w:rsid w:val="005557C7"/>
    <w:rsid w:val="00555AE0"/>
    <w:rsid w:val="00555B67"/>
    <w:rsid w:val="005560F9"/>
    <w:rsid w:val="00556348"/>
    <w:rsid w:val="00556358"/>
    <w:rsid w:val="005564FC"/>
    <w:rsid w:val="005565D0"/>
    <w:rsid w:val="005567B7"/>
    <w:rsid w:val="00556B84"/>
    <w:rsid w:val="00556C1D"/>
    <w:rsid w:val="00556ECD"/>
    <w:rsid w:val="00556F8D"/>
    <w:rsid w:val="0055716F"/>
    <w:rsid w:val="00557707"/>
    <w:rsid w:val="00557ACC"/>
    <w:rsid w:val="00557C3C"/>
    <w:rsid w:val="00557CCC"/>
    <w:rsid w:val="00557EEF"/>
    <w:rsid w:val="00557F03"/>
    <w:rsid w:val="0056022F"/>
    <w:rsid w:val="005602DB"/>
    <w:rsid w:val="0056045E"/>
    <w:rsid w:val="0056083A"/>
    <w:rsid w:val="00560D32"/>
    <w:rsid w:val="00561000"/>
    <w:rsid w:val="005611DD"/>
    <w:rsid w:val="0056158B"/>
    <w:rsid w:val="00561710"/>
    <w:rsid w:val="00561746"/>
    <w:rsid w:val="00561CC5"/>
    <w:rsid w:val="005623A2"/>
    <w:rsid w:val="005623EC"/>
    <w:rsid w:val="00562774"/>
    <w:rsid w:val="0056291E"/>
    <w:rsid w:val="00562A5E"/>
    <w:rsid w:val="00562C33"/>
    <w:rsid w:val="00562C45"/>
    <w:rsid w:val="00562CEB"/>
    <w:rsid w:val="00562DE6"/>
    <w:rsid w:val="00562E1E"/>
    <w:rsid w:val="00562EC6"/>
    <w:rsid w:val="00563030"/>
    <w:rsid w:val="005630A0"/>
    <w:rsid w:val="00563144"/>
    <w:rsid w:val="005631CC"/>
    <w:rsid w:val="0056358A"/>
    <w:rsid w:val="00563857"/>
    <w:rsid w:val="00563CF6"/>
    <w:rsid w:val="00563E89"/>
    <w:rsid w:val="00564213"/>
    <w:rsid w:val="005642EC"/>
    <w:rsid w:val="00564557"/>
    <w:rsid w:val="00564F83"/>
    <w:rsid w:val="0056539F"/>
    <w:rsid w:val="00565404"/>
    <w:rsid w:val="005655D4"/>
    <w:rsid w:val="005655DC"/>
    <w:rsid w:val="005657C2"/>
    <w:rsid w:val="00565890"/>
    <w:rsid w:val="0056598C"/>
    <w:rsid w:val="005662DC"/>
    <w:rsid w:val="005662E1"/>
    <w:rsid w:val="0056636D"/>
    <w:rsid w:val="00566371"/>
    <w:rsid w:val="005667D2"/>
    <w:rsid w:val="005668F1"/>
    <w:rsid w:val="00566A87"/>
    <w:rsid w:val="00566EDF"/>
    <w:rsid w:val="0056704B"/>
    <w:rsid w:val="0056714A"/>
    <w:rsid w:val="005672EA"/>
    <w:rsid w:val="00567457"/>
    <w:rsid w:val="0056752E"/>
    <w:rsid w:val="00567597"/>
    <w:rsid w:val="005675E5"/>
    <w:rsid w:val="0056799D"/>
    <w:rsid w:val="00567BF7"/>
    <w:rsid w:val="00567EEE"/>
    <w:rsid w:val="00570146"/>
    <w:rsid w:val="00570163"/>
    <w:rsid w:val="00570ABF"/>
    <w:rsid w:val="00570B67"/>
    <w:rsid w:val="00570E14"/>
    <w:rsid w:val="00571026"/>
    <w:rsid w:val="00571292"/>
    <w:rsid w:val="00571530"/>
    <w:rsid w:val="005716AD"/>
    <w:rsid w:val="00571F2A"/>
    <w:rsid w:val="00571F6B"/>
    <w:rsid w:val="00572281"/>
    <w:rsid w:val="0057289A"/>
    <w:rsid w:val="00572923"/>
    <w:rsid w:val="00572F37"/>
    <w:rsid w:val="005731EC"/>
    <w:rsid w:val="00573361"/>
    <w:rsid w:val="00573607"/>
    <w:rsid w:val="005738A8"/>
    <w:rsid w:val="00573A5B"/>
    <w:rsid w:val="0057400F"/>
    <w:rsid w:val="00574663"/>
    <w:rsid w:val="005748BA"/>
    <w:rsid w:val="00574DDA"/>
    <w:rsid w:val="00574F9C"/>
    <w:rsid w:val="00574FC1"/>
    <w:rsid w:val="005754B4"/>
    <w:rsid w:val="00575789"/>
    <w:rsid w:val="005757AD"/>
    <w:rsid w:val="0057590A"/>
    <w:rsid w:val="00575D4F"/>
    <w:rsid w:val="00575E63"/>
    <w:rsid w:val="0057623C"/>
    <w:rsid w:val="0057627F"/>
    <w:rsid w:val="00576B27"/>
    <w:rsid w:val="00576C43"/>
    <w:rsid w:val="00576E17"/>
    <w:rsid w:val="00577171"/>
    <w:rsid w:val="0057794D"/>
    <w:rsid w:val="00577C86"/>
    <w:rsid w:val="00577CAD"/>
    <w:rsid w:val="005802AB"/>
    <w:rsid w:val="0058064F"/>
    <w:rsid w:val="00580A5A"/>
    <w:rsid w:val="00580BCE"/>
    <w:rsid w:val="00580E38"/>
    <w:rsid w:val="0058112B"/>
    <w:rsid w:val="00581601"/>
    <w:rsid w:val="00581695"/>
    <w:rsid w:val="005816BB"/>
    <w:rsid w:val="005816FE"/>
    <w:rsid w:val="00581A94"/>
    <w:rsid w:val="00581C25"/>
    <w:rsid w:val="00581CF3"/>
    <w:rsid w:val="00582157"/>
    <w:rsid w:val="0058230D"/>
    <w:rsid w:val="005825DC"/>
    <w:rsid w:val="00582B3C"/>
    <w:rsid w:val="00582B8F"/>
    <w:rsid w:val="00582DA3"/>
    <w:rsid w:val="00582DC6"/>
    <w:rsid w:val="00582E73"/>
    <w:rsid w:val="00582FBF"/>
    <w:rsid w:val="00583474"/>
    <w:rsid w:val="0058362F"/>
    <w:rsid w:val="005837EC"/>
    <w:rsid w:val="00583828"/>
    <w:rsid w:val="00583907"/>
    <w:rsid w:val="00583D12"/>
    <w:rsid w:val="00583EC6"/>
    <w:rsid w:val="0058415F"/>
    <w:rsid w:val="00584250"/>
    <w:rsid w:val="00584430"/>
    <w:rsid w:val="0058453C"/>
    <w:rsid w:val="00584548"/>
    <w:rsid w:val="0058458E"/>
    <w:rsid w:val="00584723"/>
    <w:rsid w:val="005847BA"/>
    <w:rsid w:val="00584812"/>
    <w:rsid w:val="00584C65"/>
    <w:rsid w:val="00584CA9"/>
    <w:rsid w:val="00585073"/>
    <w:rsid w:val="0058525E"/>
    <w:rsid w:val="005852AB"/>
    <w:rsid w:val="00585535"/>
    <w:rsid w:val="005858CC"/>
    <w:rsid w:val="00585D8A"/>
    <w:rsid w:val="00585F64"/>
    <w:rsid w:val="005862EB"/>
    <w:rsid w:val="00586CA5"/>
    <w:rsid w:val="00586DCC"/>
    <w:rsid w:val="00586DEB"/>
    <w:rsid w:val="005875BD"/>
    <w:rsid w:val="005876FE"/>
    <w:rsid w:val="005879B1"/>
    <w:rsid w:val="00587A5E"/>
    <w:rsid w:val="00590188"/>
    <w:rsid w:val="00590485"/>
    <w:rsid w:val="00590628"/>
    <w:rsid w:val="005908D4"/>
    <w:rsid w:val="00590970"/>
    <w:rsid w:val="00590ABA"/>
    <w:rsid w:val="00590BFB"/>
    <w:rsid w:val="00590CE7"/>
    <w:rsid w:val="00590E82"/>
    <w:rsid w:val="00591237"/>
    <w:rsid w:val="00591322"/>
    <w:rsid w:val="005915C8"/>
    <w:rsid w:val="00591743"/>
    <w:rsid w:val="00591948"/>
    <w:rsid w:val="00591BB1"/>
    <w:rsid w:val="00592297"/>
    <w:rsid w:val="005925D5"/>
    <w:rsid w:val="005929B4"/>
    <w:rsid w:val="00592C3A"/>
    <w:rsid w:val="00592CCE"/>
    <w:rsid w:val="00592E3A"/>
    <w:rsid w:val="00592FEF"/>
    <w:rsid w:val="0059303E"/>
    <w:rsid w:val="00593076"/>
    <w:rsid w:val="0059322D"/>
    <w:rsid w:val="005932E6"/>
    <w:rsid w:val="0059369E"/>
    <w:rsid w:val="00593AB9"/>
    <w:rsid w:val="00593B96"/>
    <w:rsid w:val="00593D0F"/>
    <w:rsid w:val="0059405B"/>
    <w:rsid w:val="005941E4"/>
    <w:rsid w:val="005941E8"/>
    <w:rsid w:val="00594375"/>
    <w:rsid w:val="0059454A"/>
    <w:rsid w:val="005947C0"/>
    <w:rsid w:val="00594D76"/>
    <w:rsid w:val="00594E4D"/>
    <w:rsid w:val="00595441"/>
    <w:rsid w:val="0059558F"/>
    <w:rsid w:val="005956A4"/>
    <w:rsid w:val="00595708"/>
    <w:rsid w:val="005957B4"/>
    <w:rsid w:val="00595B41"/>
    <w:rsid w:val="00595FD8"/>
    <w:rsid w:val="00596736"/>
    <w:rsid w:val="00596B6B"/>
    <w:rsid w:val="00597233"/>
    <w:rsid w:val="0059729D"/>
    <w:rsid w:val="0059733E"/>
    <w:rsid w:val="005974A5"/>
    <w:rsid w:val="00597574"/>
    <w:rsid w:val="005A0178"/>
    <w:rsid w:val="005A01D4"/>
    <w:rsid w:val="005A0402"/>
    <w:rsid w:val="005A04A8"/>
    <w:rsid w:val="005A0519"/>
    <w:rsid w:val="005A0758"/>
    <w:rsid w:val="005A0BE4"/>
    <w:rsid w:val="005A1323"/>
    <w:rsid w:val="005A138C"/>
    <w:rsid w:val="005A143B"/>
    <w:rsid w:val="005A15B2"/>
    <w:rsid w:val="005A17E3"/>
    <w:rsid w:val="005A1A04"/>
    <w:rsid w:val="005A1C28"/>
    <w:rsid w:val="005A2888"/>
    <w:rsid w:val="005A2971"/>
    <w:rsid w:val="005A2A6F"/>
    <w:rsid w:val="005A2F16"/>
    <w:rsid w:val="005A30FF"/>
    <w:rsid w:val="005A32F5"/>
    <w:rsid w:val="005A3372"/>
    <w:rsid w:val="005A3758"/>
    <w:rsid w:val="005A37D5"/>
    <w:rsid w:val="005A3902"/>
    <w:rsid w:val="005A3FD2"/>
    <w:rsid w:val="005A40F1"/>
    <w:rsid w:val="005A4637"/>
    <w:rsid w:val="005A48E0"/>
    <w:rsid w:val="005A4A17"/>
    <w:rsid w:val="005A4CB8"/>
    <w:rsid w:val="005A4CD3"/>
    <w:rsid w:val="005A4CF6"/>
    <w:rsid w:val="005A4EB4"/>
    <w:rsid w:val="005A4FAE"/>
    <w:rsid w:val="005A5022"/>
    <w:rsid w:val="005A51C5"/>
    <w:rsid w:val="005A5253"/>
    <w:rsid w:val="005A54B6"/>
    <w:rsid w:val="005A5899"/>
    <w:rsid w:val="005A5A87"/>
    <w:rsid w:val="005A5B26"/>
    <w:rsid w:val="005A5B6D"/>
    <w:rsid w:val="005A5F30"/>
    <w:rsid w:val="005A6265"/>
    <w:rsid w:val="005A62B5"/>
    <w:rsid w:val="005A6E4E"/>
    <w:rsid w:val="005A6F3B"/>
    <w:rsid w:val="005A6F81"/>
    <w:rsid w:val="005A703B"/>
    <w:rsid w:val="005A7138"/>
    <w:rsid w:val="005A756F"/>
    <w:rsid w:val="005A7705"/>
    <w:rsid w:val="005B0454"/>
    <w:rsid w:val="005B0540"/>
    <w:rsid w:val="005B0652"/>
    <w:rsid w:val="005B06B9"/>
    <w:rsid w:val="005B100F"/>
    <w:rsid w:val="005B1266"/>
    <w:rsid w:val="005B1343"/>
    <w:rsid w:val="005B158D"/>
    <w:rsid w:val="005B16E5"/>
    <w:rsid w:val="005B1874"/>
    <w:rsid w:val="005B1A02"/>
    <w:rsid w:val="005B1AF0"/>
    <w:rsid w:val="005B1B34"/>
    <w:rsid w:val="005B1C15"/>
    <w:rsid w:val="005B1F07"/>
    <w:rsid w:val="005B227B"/>
    <w:rsid w:val="005B2393"/>
    <w:rsid w:val="005B278B"/>
    <w:rsid w:val="005B2852"/>
    <w:rsid w:val="005B2B3E"/>
    <w:rsid w:val="005B2D4E"/>
    <w:rsid w:val="005B2D7A"/>
    <w:rsid w:val="005B2E39"/>
    <w:rsid w:val="005B32FE"/>
    <w:rsid w:val="005B36CC"/>
    <w:rsid w:val="005B381D"/>
    <w:rsid w:val="005B3B9B"/>
    <w:rsid w:val="005B4037"/>
    <w:rsid w:val="005B47C2"/>
    <w:rsid w:val="005B4B25"/>
    <w:rsid w:val="005B4B7A"/>
    <w:rsid w:val="005B4C07"/>
    <w:rsid w:val="005B4C71"/>
    <w:rsid w:val="005B4DBE"/>
    <w:rsid w:val="005B505B"/>
    <w:rsid w:val="005B522A"/>
    <w:rsid w:val="005B54BE"/>
    <w:rsid w:val="005B584C"/>
    <w:rsid w:val="005B59EF"/>
    <w:rsid w:val="005B5A43"/>
    <w:rsid w:val="005B5DA6"/>
    <w:rsid w:val="005B5DF2"/>
    <w:rsid w:val="005B5F4D"/>
    <w:rsid w:val="005B617A"/>
    <w:rsid w:val="005B6199"/>
    <w:rsid w:val="005B63CA"/>
    <w:rsid w:val="005B641F"/>
    <w:rsid w:val="005B6946"/>
    <w:rsid w:val="005B6D3B"/>
    <w:rsid w:val="005B7408"/>
    <w:rsid w:val="005B7491"/>
    <w:rsid w:val="005B7A6F"/>
    <w:rsid w:val="005B7B19"/>
    <w:rsid w:val="005B7B1D"/>
    <w:rsid w:val="005B7B55"/>
    <w:rsid w:val="005B7C34"/>
    <w:rsid w:val="005B7CAC"/>
    <w:rsid w:val="005B7EC3"/>
    <w:rsid w:val="005C0768"/>
    <w:rsid w:val="005C088C"/>
    <w:rsid w:val="005C0CDE"/>
    <w:rsid w:val="005C0F29"/>
    <w:rsid w:val="005C0FE3"/>
    <w:rsid w:val="005C1270"/>
    <w:rsid w:val="005C12E8"/>
    <w:rsid w:val="005C18E6"/>
    <w:rsid w:val="005C192D"/>
    <w:rsid w:val="005C1A1C"/>
    <w:rsid w:val="005C1BF1"/>
    <w:rsid w:val="005C1DBE"/>
    <w:rsid w:val="005C1F09"/>
    <w:rsid w:val="005C2119"/>
    <w:rsid w:val="005C2254"/>
    <w:rsid w:val="005C22C8"/>
    <w:rsid w:val="005C234E"/>
    <w:rsid w:val="005C25C6"/>
    <w:rsid w:val="005C25FD"/>
    <w:rsid w:val="005C2A45"/>
    <w:rsid w:val="005C2ACC"/>
    <w:rsid w:val="005C2CDF"/>
    <w:rsid w:val="005C2D23"/>
    <w:rsid w:val="005C2DA9"/>
    <w:rsid w:val="005C3462"/>
    <w:rsid w:val="005C37A3"/>
    <w:rsid w:val="005C38BE"/>
    <w:rsid w:val="005C3B20"/>
    <w:rsid w:val="005C3EF6"/>
    <w:rsid w:val="005C4348"/>
    <w:rsid w:val="005C437C"/>
    <w:rsid w:val="005C44C3"/>
    <w:rsid w:val="005C4601"/>
    <w:rsid w:val="005C46EF"/>
    <w:rsid w:val="005C4996"/>
    <w:rsid w:val="005C4EBB"/>
    <w:rsid w:val="005C522F"/>
    <w:rsid w:val="005C5232"/>
    <w:rsid w:val="005C536B"/>
    <w:rsid w:val="005C54C0"/>
    <w:rsid w:val="005C5888"/>
    <w:rsid w:val="005C5C8C"/>
    <w:rsid w:val="005C6178"/>
    <w:rsid w:val="005C6352"/>
    <w:rsid w:val="005C6630"/>
    <w:rsid w:val="005C6855"/>
    <w:rsid w:val="005C6A1B"/>
    <w:rsid w:val="005C6A98"/>
    <w:rsid w:val="005C6E25"/>
    <w:rsid w:val="005C6E2C"/>
    <w:rsid w:val="005C74A9"/>
    <w:rsid w:val="005C77A4"/>
    <w:rsid w:val="005C785D"/>
    <w:rsid w:val="005D05A9"/>
    <w:rsid w:val="005D064D"/>
    <w:rsid w:val="005D0BC8"/>
    <w:rsid w:val="005D0D73"/>
    <w:rsid w:val="005D1058"/>
    <w:rsid w:val="005D1549"/>
    <w:rsid w:val="005D1612"/>
    <w:rsid w:val="005D1734"/>
    <w:rsid w:val="005D1A47"/>
    <w:rsid w:val="005D1CC6"/>
    <w:rsid w:val="005D1DE6"/>
    <w:rsid w:val="005D1EE5"/>
    <w:rsid w:val="005D22F3"/>
    <w:rsid w:val="005D2405"/>
    <w:rsid w:val="005D2527"/>
    <w:rsid w:val="005D260C"/>
    <w:rsid w:val="005D2741"/>
    <w:rsid w:val="005D2754"/>
    <w:rsid w:val="005D2C1F"/>
    <w:rsid w:val="005D2CE8"/>
    <w:rsid w:val="005D2E8C"/>
    <w:rsid w:val="005D3216"/>
    <w:rsid w:val="005D3427"/>
    <w:rsid w:val="005D37E7"/>
    <w:rsid w:val="005D3A6D"/>
    <w:rsid w:val="005D3D4A"/>
    <w:rsid w:val="005D3F54"/>
    <w:rsid w:val="005D421C"/>
    <w:rsid w:val="005D4287"/>
    <w:rsid w:val="005D464D"/>
    <w:rsid w:val="005D4684"/>
    <w:rsid w:val="005D4B10"/>
    <w:rsid w:val="005D4E96"/>
    <w:rsid w:val="005D4F54"/>
    <w:rsid w:val="005D5266"/>
    <w:rsid w:val="005D5469"/>
    <w:rsid w:val="005D58ED"/>
    <w:rsid w:val="005D5AA2"/>
    <w:rsid w:val="005D5AF0"/>
    <w:rsid w:val="005D5DF2"/>
    <w:rsid w:val="005D5F74"/>
    <w:rsid w:val="005D61BF"/>
    <w:rsid w:val="005D64B8"/>
    <w:rsid w:val="005D6595"/>
    <w:rsid w:val="005D66AC"/>
    <w:rsid w:val="005D6740"/>
    <w:rsid w:val="005D68B7"/>
    <w:rsid w:val="005D6A37"/>
    <w:rsid w:val="005D6AD5"/>
    <w:rsid w:val="005D6C1B"/>
    <w:rsid w:val="005D7221"/>
    <w:rsid w:val="005D75AF"/>
    <w:rsid w:val="005D75CD"/>
    <w:rsid w:val="005D78EE"/>
    <w:rsid w:val="005D7AAB"/>
    <w:rsid w:val="005D7D15"/>
    <w:rsid w:val="005D7EC1"/>
    <w:rsid w:val="005E00D8"/>
    <w:rsid w:val="005E01A8"/>
    <w:rsid w:val="005E044A"/>
    <w:rsid w:val="005E0A61"/>
    <w:rsid w:val="005E0B58"/>
    <w:rsid w:val="005E1382"/>
    <w:rsid w:val="005E1388"/>
    <w:rsid w:val="005E1458"/>
    <w:rsid w:val="005E1744"/>
    <w:rsid w:val="005E212F"/>
    <w:rsid w:val="005E2186"/>
    <w:rsid w:val="005E21DB"/>
    <w:rsid w:val="005E22C9"/>
    <w:rsid w:val="005E22F5"/>
    <w:rsid w:val="005E2318"/>
    <w:rsid w:val="005E23BE"/>
    <w:rsid w:val="005E23C6"/>
    <w:rsid w:val="005E261E"/>
    <w:rsid w:val="005E2641"/>
    <w:rsid w:val="005E2717"/>
    <w:rsid w:val="005E29CD"/>
    <w:rsid w:val="005E2B92"/>
    <w:rsid w:val="005E311B"/>
    <w:rsid w:val="005E33E2"/>
    <w:rsid w:val="005E3525"/>
    <w:rsid w:val="005E3BA0"/>
    <w:rsid w:val="005E3BB4"/>
    <w:rsid w:val="005E3BD5"/>
    <w:rsid w:val="005E3EE7"/>
    <w:rsid w:val="005E43B7"/>
    <w:rsid w:val="005E46C9"/>
    <w:rsid w:val="005E4887"/>
    <w:rsid w:val="005E4C91"/>
    <w:rsid w:val="005E4E79"/>
    <w:rsid w:val="005E50A0"/>
    <w:rsid w:val="005E51E9"/>
    <w:rsid w:val="005E53D7"/>
    <w:rsid w:val="005E564E"/>
    <w:rsid w:val="005E5C00"/>
    <w:rsid w:val="005E5DBB"/>
    <w:rsid w:val="005E5EFD"/>
    <w:rsid w:val="005E5F29"/>
    <w:rsid w:val="005E5F5E"/>
    <w:rsid w:val="005E6081"/>
    <w:rsid w:val="005E6143"/>
    <w:rsid w:val="005E66A2"/>
    <w:rsid w:val="005E66DC"/>
    <w:rsid w:val="005E6836"/>
    <w:rsid w:val="005E69E7"/>
    <w:rsid w:val="005E71F4"/>
    <w:rsid w:val="005E7300"/>
    <w:rsid w:val="005E74BE"/>
    <w:rsid w:val="005E763C"/>
    <w:rsid w:val="005E767D"/>
    <w:rsid w:val="005E77CB"/>
    <w:rsid w:val="005F06CE"/>
    <w:rsid w:val="005F0A57"/>
    <w:rsid w:val="005F0C45"/>
    <w:rsid w:val="005F101D"/>
    <w:rsid w:val="005F13A8"/>
    <w:rsid w:val="005F18F7"/>
    <w:rsid w:val="005F198C"/>
    <w:rsid w:val="005F1A52"/>
    <w:rsid w:val="005F1D05"/>
    <w:rsid w:val="005F1E97"/>
    <w:rsid w:val="005F2037"/>
    <w:rsid w:val="005F2299"/>
    <w:rsid w:val="005F22B9"/>
    <w:rsid w:val="005F23E3"/>
    <w:rsid w:val="005F2548"/>
    <w:rsid w:val="005F2728"/>
    <w:rsid w:val="005F272B"/>
    <w:rsid w:val="005F2750"/>
    <w:rsid w:val="005F2B3A"/>
    <w:rsid w:val="005F2BE1"/>
    <w:rsid w:val="005F2EF7"/>
    <w:rsid w:val="005F3130"/>
    <w:rsid w:val="005F331B"/>
    <w:rsid w:val="005F3401"/>
    <w:rsid w:val="005F3445"/>
    <w:rsid w:val="005F386C"/>
    <w:rsid w:val="005F39B4"/>
    <w:rsid w:val="005F3F18"/>
    <w:rsid w:val="005F4101"/>
    <w:rsid w:val="005F47D5"/>
    <w:rsid w:val="005F496B"/>
    <w:rsid w:val="005F4AF7"/>
    <w:rsid w:val="005F4C64"/>
    <w:rsid w:val="005F4CF3"/>
    <w:rsid w:val="005F4D3B"/>
    <w:rsid w:val="005F4DC7"/>
    <w:rsid w:val="005F502E"/>
    <w:rsid w:val="005F569D"/>
    <w:rsid w:val="005F573E"/>
    <w:rsid w:val="005F5793"/>
    <w:rsid w:val="005F579F"/>
    <w:rsid w:val="005F5DF2"/>
    <w:rsid w:val="005F5E6D"/>
    <w:rsid w:val="005F5EC5"/>
    <w:rsid w:val="005F6151"/>
    <w:rsid w:val="005F643F"/>
    <w:rsid w:val="005F66A4"/>
    <w:rsid w:val="005F6715"/>
    <w:rsid w:val="005F674B"/>
    <w:rsid w:val="005F67BA"/>
    <w:rsid w:val="005F6A51"/>
    <w:rsid w:val="005F6DEC"/>
    <w:rsid w:val="005F6E3B"/>
    <w:rsid w:val="005F6E43"/>
    <w:rsid w:val="005F78FF"/>
    <w:rsid w:val="005F7A5C"/>
    <w:rsid w:val="005F7A68"/>
    <w:rsid w:val="005F7C53"/>
    <w:rsid w:val="005F7EE5"/>
    <w:rsid w:val="006000A8"/>
    <w:rsid w:val="006000D4"/>
    <w:rsid w:val="006001DC"/>
    <w:rsid w:val="0060022D"/>
    <w:rsid w:val="006005DF"/>
    <w:rsid w:val="00600954"/>
    <w:rsid w:val="00600A03"/>
    <w:rsid w:val="00600CFC"/>
    <w:rsid w:val="00600FCA"/>
    <w:rsid w:val="006010F3"/>
    <w:rsid w:val="0060111B"/>
    <w:rsid w:val="00601146"/>
    <w:rsid w:val="00601466"/>
    <w:rsid w:val="00601709"/>
    <w:rsid w:val="00601B5F"/>
    <w:rsid w:val="00601BEB"/>
    <w:rsid w:val="00601C0E"/>
    <w:rsid w:val="00601D0D"/>
    <w:rsid w:val="006020D1"/>
    <w:rsid w:val="00602297"/>
    <w:rsid w:val="0060232C"/>
    <w:rsid w:val="00602333"/>
    <w:rsid w:val="0060251A"/>
    <w:rsid w:val="0060287D"/>
    <w:rsid w:val="00602BC2"/>
    <w:rsid w:val="006030E8"/>
    <w:rsid w:val="0060324E"/>
    <w:rsid w:val="00603270"/>
    <w:rsid w:val="00603604"/>
    <w:rsid w:val="0060373B"/>
    <w:rsid w:val="00603A5B"/>
    <w:rsid w:val="00603CCA"/>
    <w:rsid w:val="00603FAF"/>
    <w:rsid w:val="006041F7"/>
    <w:rsid w:val="0060423A"/>
    <w:rsid w:val="006043C5"/>
    <w:rsid w:val="0060444E"/>
    <w:rsid w:val="006044D3"/>
    <w:rsid w:val="006045A4"/>
    <w:rsid w:val="00604812"/>
    <w:rsid w:val="006049BC"/>
    <w:rsid w:val="00604C43"/>
    <w:rsid w:val="00604C9A"/>
    <w:rsid w:val="00604E30"/>
    <w:rsid w:val="006052E6"/>
    <w:rsid w:val="0060535B"/>
    <w:rsid w:val="006056A7"/>
    <w:rsid w:val="006056EE"/>
    <w:rsid w:val="006057E3"/>
    <w:rsid w:val="0060589C"/>
    <w:rsid w:val="00605903"/>
    <w:rsid w:val="00605F9D"/>
    <w:rsid w:val="006063BF"/>
    <w:rsid w:val="00606431"/>
    <w:rsid w:val="0060644C"/>
    <w:rsid w:val="00606593"/>
    <w:rsid w:val="00606701"/>
    <w:rsid w:val="00606809"/>
    <w:rsid w:val="0060684F"/>
    <w:rsid w:val="00606AAA"/>
    <w:rsid w:val="00606B32"/>
    <w:rsid w:val="00606B9C"/>
    <w:rsid w:val="00606DC8"/>
    <w:rsid w:val="00606E84"/>
    <w:rsid w:val="00606EA3"/>
    <w:rsid w:val="0060706F"/>
    <w:rsid w:val="00607347"/>
    <w:rsid w:val="0060742B"/>
    <w:rsid w:val="006079A6"/>
    <w:rsid w:val="006079AC"/>
    <w:rsid w:val="00607A20"/>
    <w:rsid w:val="00610702"/>
    <w:rsid w:val="00610A13"/>
    <w:rsid w:val="00610A89"/>
    <w:rsid w:val="00610CEA"/>
    <w:rsid w:val="00610E81"/>
    <w:rsid w:val="00611321"/>
    <w:rsid w:val="00611335"/>
    <w:rsid w:val="00611467"/>
    <w:rsid w:val="00611C0D"/>
    <w:rsid w:val="00611D80"/>
    <w:rsid w:val="00611FCC"/>
    <w:rsid w:val="00612211"/>
    <w:rsid w:val="006123BA"/>
    <w:rsid w:val="00612479"/>
    <w:rsid w:val="006124B9"/>
    <w:rsid w:val="006128D6"/>
    <w:rsid w:val="00612915"/>
    <w:rsid w:val="00612A91"/>
    <w:rsid w:val="00612F07"/>
    <w:rsid w:val="00612F81"/>
    <w:rsid w:val="0061357E"/>
    <w:rsid w:val="0061358F"/>
    <w:rsid w:val="00613794"/>
    <w:rsid w:val="006137B7"/>
    <w:rsid w:val="006138A1"/>
    <w:rsid w:val="00613AC4"/>
    <w:rsid w:val="00614169"/>
    <w:rsid w:val="00614327"/>
    <w:rsid w:val="00614335"/>
    <w:rsid w:val="006143D4"/>
    <w:rsid w:val="006144F9"/>
    <w:rsid w:val="0061494D"/>
    <w:rsid w:val="00614EB6"/>
    <w:rsid w:val="00615058"/>
    <w:rsid w:val="00615352"/>
    <w:rsid w:val="0061546A"/>
    <w:rsid w:val="00615862"/>
    <w:rsid w:val="00615C60"/>
    <w:rsid w:val="00615D67"/>
    <w:rsid w:val="006161C2"/>
    <w:rsid w:val="00616473"/>
    <w:rsid w:val="0061654E"/>
    <w:rsid w:val="0061674E"/>
    <w:rsid w:val="00616756"/>
    <w:rsid w:val="00616AF1"/>
    <w:rsid w:val="00616B3B"/>
    <w:rsid w:val="00616F4D"/>
    <w:rsid w:val="00617193"/>
    <w:rsid w:val="006173EC"/>
    <w:rsid w:val="00617585"/>
    <w:rsid w:val="0061794F"/>
    <w:rsid w:val="006204C1"/>
    <w:rsid w:val="006206E4"/>
    <w:rsid w:val="006207AE"/>
    <w:rsid w:val="006207CA"/>
    <w:rsid w:val="00620BC0"/>
    <w:rsid w:val="00620BE6"/>
    <w:rsid w:val="00620D86"/>
    <w:rsid w:val="0062100B"/>
    <w:rsid w:val="0062128B"/>
    <w:rsid w:val="0062139F"/>
    <w:rsid w:val="00621A66"/>
    <w:rsid w:val="00621B40"/>
    <w:rsid w:val="00621C57"/>
    <w:rsid w:val="00621EDB"/>
    <w:rsid w:val="00621F63"/>
    <w:rsid w:val="0062237D"/>
    <w:rsid w:val="006224F3"/>
    <w:rsid w:val="006225C0"/>
    <w:rsid w:val="0062266C"/>
    <w:rsid w:val="006227AA"/>
    <w:rsid w:val="00622E5A"/>
    <w:rsid w:val="00622F90"/>
    <w:rsid w:val="00623191"/>
    <w:rsid w:val="006232EC"/>
    <w:rsid w:val="0062361F"/>
    <w:rsid w:val="0062386D"/>
    <w:rsid w:val="00623CF2"/>
    <w:rsid w:val="00623F4F"/>
    <w:rsid w:val="00624058"/>
    <w:rsid w:val="00624849"/>
    <w:rsid w:val="006249DD"/>
    <w:rsid w:val="00624BFD"/>
    <w:rsid w:val="00624E30"/>
    <w:rsid w:val="00624E96"/>
    <w:rsid w:val="00624FCB"/>
    <w:rsid w:val="00625257"/>
    <w:rsid w:val="006252E6"/>
    <w:rsid w:val="00625337"/>
    <w:rsid w:val="00625352"/>
    <w:rsid w:val="00625425"/>
    <w:rsid w:val="006256D1"/>
    <w:rsid w:val="006258C4"/>
    <w:rsid w:val="0062598F"/>
    <w:rsid w:val="006260DE"/>
    <w:rsid w:val="0062625F"/>
    <w:rsid w:val="006266ED"/>
    <w:rsid w:val="00626900"/>
    <w:rsid w:val="00626B28"/>
    <w:rsid w:val="00626E05"/>
    <w:rsid w:val="00626E9B"/>
    <w:rsid w:val="00626EB8"/>
    <w:rsid w:val="006271F4"/>
    <w:rsid w:val="006275B9"/>
    <w:rsid w:val="006275DD"/>
    <w:rsid w:val="00627C99"/>
    <w:rsid w:val="0063005C"/>
    <w:rsid w:val="006306E2"/>
    <w:rsid w:val="00630C62"/>
    <w:rsid w:val="00630ED9"/>
    <w:rsid w:val="006315F5"/>
    <w:rsid w:val="006317A8"/>
    <w:rsid w:val="00631899"/>
    <w:rsid w:val="0063199B"/>
    <w:rsid w:val="00631CE1"/>
    <w:rsid w:val="00631DCC"/>
    <w:rsid w:val="00631DDC"/>
    <w:rsid w:val="0063223B"/>
    <w:rsid w:val="006326DA"/>
    <w:rsid w:val="00632FCD"/>
    <w:rsid w:val="0063300B"/>
    <w:rsid w:val="0063305F"/>
    <w:rsid w:val="00633116"/>
    <w:rsid w:val="0063339B"/>
    <w:rsid w:val="006337CB"/>
    <w:rsid w:val="00633A73"/>
    <w:rsid w:val="00633D31"/>
    <w:rsid w:val="00633E8D"/>
    <w:rsid w:val="006342D0"/>
    <w:rsid w:val="00634537"/>
    <w:rsid w:val="006349F3"/>
    <w:rsid w:val="00635687"/>
    <w:rsid w:val="006357B4"/>
    <w:rsid w:val="0063599B"/>
    <w:rsid w:val="006359DF"/>
    <w:rsid w:val="00635BDD"/>
    <w:rsid w:val="00635CFF"/>
    <w:rsid w:val="00635FD1"/>
    <w:rsid w:val="006366C6"/>
    <w:rsid w:val="0063682C"/>
    <w:rsid w:val="00636890"/>
    <w:rsid w:val="006368AE"/>
    <w:rsid w:val="006368AF"/>
    <w:rsid w:val="0063695B"/>
    <w:rsid w:val="00636F3F"/>
    <w:rsid w:val="00637108"/>
    <w:rsid w:val="00637241"/>
    <w:rsid w:val="006372A1"/>
    <w:rsid w:val="0063731E"/>
    <w:rsid w:val="006377AF"/>
    <w:rsid w:val="00637978"/>
    <w:rsid w:val="00637B2F"/>
    <w:rsid w:val="00637BEE"/>
    <w:rsid w:val="00637D48"/>
    <w:rsid w:val="00637FCA"/>
    <w:rsid w:val="00640135"/>
    <w:rsid w:val="006401C3"/>
    <w:rsid w:val="00640331"/>
    <w:rsid w:val="00640499"/>
    <w:rsid w:val="0064049B"/>
    <w:rsid w:val="0064055F"/>
    <w:rsid w:val="00640595"/>
    <w:rsid w:val="006406B8"/>
    <w:rsid w:val="00640BEB"/>
    <w:rsid w:val="00640F06"/>
    <w:rsid w:val="006410A6"/>
    <w:rsid w:val="006413DA"/>
    <w:rsid w:val="006418D3"/>
    <w:rsid w:val="006418E8"/>
    <w:rsid w:val="006419D4"/>
    <w:rsid w:val="00641E65"/>
    <w:rsid w:val="00641FF2"/>
    <w:rsid w:val="00641FF4"/>
    <w:rsid w:val="0064231F"/>
    <w:rsid w:val="00642A2B"/>
    <w:rsid w:val="00642B2A"/>
    <w:rsid w:val="00642BF8"/>
    <w:rsid w:val="0064303F"/>
    <w:rsid w:val="0064352B"/>
    <w:rsid w:val="006435A2"/>
    <w:rsid w:val="0064367F"/>
    <w:rsid w:val="006441F6"/>
    <w:rsid w:val="0064430B"/>
    <w:rsid w:val="00644583"/>
    <w:rsid w:val="006445BD"/>
    <w:rsid w:val="006446B1"/>
    <w:rsid w:val="00644935"/>
    <w:rsid w:val="00644B42"/>
    <w:rsid w:val="00644C6A"/>
    <w:rsid w:val="00644C76"/>
    <w:rsid w:val="00644DE2"/>
    <w:rsid w:val="00644DF6"/>
    <w:rsid w:val="00644F56"/>
    <w:rsid w:val="0064500F"/>
    <w:rsid w:val="00645697"/>
    <w:rsid w:val="006457E1"/>
    <w:rsid w:val="00646035"/>
    <w:rsid w:val="00646703"/>
    <w:rsid w:val="00646851"/>
    <w:rsid w:val="0064698C"/>
    <w:rsid w:val="00646B47"/>
    <w:rsid w:val="00646C2C"/>
    <w:rsid w:val="00646D42"/>
    <w:rsid w:val="00646EC6"/>
    <w:rsid w:val="00647BE4"/>
    <w:rsid w:val="00647CA7"/>
    <w:rsid w:val="00647D04"/>
    <w:rsid w:val="00647F20"/>
    <w:rsid w:val="00647F74"/>
    <w:rsid w:val="00650A66"/>
    <w:rsid w:val="00650AFF"/>
    <w:rsid w:val="00650C00"/>
    <w:rsid w:val="00650C3D"/>
    <w:rsid w:val="00650DEC"/>
    <w:rsid w:val="00650EB2"/>
    <w:rsid w:val="00650F8F"/>
    <w:rsid w:val="00650FA9"/>
    <w:rsid w:val="00650FC9"/>
    <w:rsid w:val="00651521"/>
    <w:rsid w:val="00651865"/>
    <w:rsid w:val="00651A48"/>
    <w:rsid w:val="00651BE5"/>
    <w:rsid w:val="00651E4A"/>
    <w:rsid w:val="00651E8F"/>
    <w:rsid w:val="00651EA7"/>
    <w:rsid w:val="006522D9"/>
    <w:rsid w:val="00652443"/>
    <w:rsid w:val="006524F1"/>
    <w:rsid w:val="0065277E"/>
    <w:rsid w:val="00652AFC"/>
    <w:rsid w:val="00652B9B"/>
    <w:rsid w:val="00652BCF"/>
    <w:rsid w:val="0065302C"/>
    <w:rsid w:val="00653069"/>
    <w:rsid w:val="006533EB"/>
    <w:rsid w:val="006534DD"/>
    <w:rsid w:val="0065361E"/>
    <w:rsid w:val="00653DF7"/>
    <w:rsid w:val="00653FAC"/>
    <w:rsid w:val="006541A0"/>
    <w:rsid w:val="0065446A"/>
    <w:rsid w:val="00654477"/>
    <w:rsid w:val="006544AE"/>
    <w:rsid w:val="00654E01"/>
    <w:rsid w:val="00655597"/>
    <w:rsid w:val="0065567A"/>
    <w:rsid w:val="00655ED9"/>
    <w:rsid w:val="0065669D"/>
    <w:rsid w:val="006568D7"/>
    <w:rsid w:val="0065698B"/>
    <w:rsid w:val="00656998"/>
    <w:rsid w:val="00656C95"/>
    <w:rsid w:val="00656E1B"/>
    <w:rsid w:val="00656FD9"/>
    <w:rsid w:val="006570A0"/>
    <w:rsid w:val="0065732D"/>
    <w:rsid w:val="0065777F"/>
    <w:rsid w:val="00657F63"/>
    <w:rsid w:val="00660160"/>
    <w:rsid w:val="0066040F"/>
    <w:rsid w:val="006609BB"/>
    <w:rsid w:val="00660BDB"/>
    <w:rsid w:val="00660CE7"/>
    <w:rsid w:val="00660EF1"/>
    <w:rsid w:val="00660FAF"/>
    <w:rsid w:val="00661211"/>
    <w:rsid w:val="0066156C"/>
    <w:rsid w:val="006615B1"/>
    <w:rsid w:val="006617A1"/>
    <w:rsid w:val="0066188E"/>
    <w:rsid w:val="00661E7A"/>
    <w:rsid w:val="006620E7"/>
    <w:rsid w:val="00662118"/>
    <w:rsid w:val="0066212C"/>
    <w:rsid w:val="006621F1"/>
    <w:rsid w:val="00662E07"/>
    <w:rsid w:val="00662EAC"/>
    <w:rsid w:val="006633BA"/>
    <w:rsid w:val="00663555"/>
    <w:rsid w:val="006635EF"/>
    <w:rsid w:val="00663642"/>
    <w:rsid w:val="0066366A"/>
    <w:rsid w:val="00663772"/>
    <w:rsid w:val="00663788"/>
    <w:rsid w:val="00663BC0"/>
    <w:rsid w:val="00664131"/>
    <w:rsid w:val="00664810"/>
    <w:rsid w:val="0066484C"/>
    <w:rsid w:val="00664936"/>
    <w:rsid w:val="006649D8"/>
    <w:rsid w:val="00664B68"/>
    <w:rsid w:val="00664D64"/>
    <w:rsid w:val="00664D6A"/>
    <w:rsid w:val="00665256"/>
    <w:rsid w:val="00665276"/>
    <w:rsid w:val="006652CA"/>
    <w:rsid w:val="006653B1"/>
    <w:rsid w:val="00665B92"/>
    <w:rsid w:val="00665EB1"/>
    <w:rsid w:val="00666147"/>
    <w:rsid w:val="00666237"/>
    <w:rsid w:val="006662F2"/>
    <w:rsid w:val="00666393"/>
    <w:rsid w:val="006664B9"/>
    <w:rsid w:val="0066650F"/>
    <w:rsid w:val="0066690B"/>
    <w:rsid w:val="00666A81"/>
    <w:rsid w:val="00666B3F"/>
    <w:rsid w:val="00666DEB"/>
    <w:rsid w:val="00666F7F"/>
    <w:rsid w:val="00666F83"/>
    <w:rsid w:val="0066799E"/>
    <w:rsid w:val="006679ED"/>
    <w:rsid w:val="00667A9B"/>
    <w:rsid w:val="006700EF"/>
    <w:rsid w:val="006702D2"/>
    <w:rsid w:val="00670410"/>
    <w:rsid w:val="006704B1"/>
    <w:rsid w:val="00670AB0"/>
    <w:rsid w:val="00670DE9"/>
    <w:rsid w:val="00670F39"/>
    <w:rsid w:val="006710D9"/>
    <w:rsid w:val="0067128A"/>
    <w:rsid w:val="006713D2"/>
    <w:rsid w:val="00671599"/>
    <w:rsid w:val="00671617"/>
    <w:rsid w:val="00671C67"/>
    <w:rsid w:val="00671CFD"/>
    <w:rsid w:val="00671E28"/>
    <w:rsid w:val="006722B9"/>
    <w:rsid w:val="0067235F"/>
    <w:rsid w:val="006724C6"/>
    <w:rsid w:val="006727FF"/>
    <w:rsid w:val="006729C7"/>
    <w:rsid w:val="00672C4F"/>
    <w:rsid w:val="00672CB5"/>
    <w:rsid w:val="00672D0E"/>
    <w:rsid w:val="00672FF0"/>
    <w:rsid w:val="0067315B"/>
    <w:rsid w:val="0067315F"/>
    <w:rsid w:val="006731FB"/>
    <w:rsid w:val="0067324A"/>
    <w:rsid w:val="006733D9"/>
    <w:rsid w:val="00673511"/>
    <w:rsid w:val="00673A9A"/>
    <w:rsid w:val="00673D1B"/>
    <w:rsid w:val="006742DD"/>
    <w:rsid w:val="00674650"/>
    <w:rsid w:val="006748AE"/>
    <w:rsid w:val="0067494D"/>
    <w:rsid w:val="006749DB"/>
    <w:rsid w:val="00674A9F"/>
    <w:rsid w:val="00674B67"/>
    <w:rsid w:val="00674B7D"/>
    <w:rsid w:val="00675524"/>
    <w:rsid w:val="00675685"/>
    <w:rsid w:val="00675767"/>
    <w:rsid w:val="00675911"/>
    <w:rsid w:val="00675A01"/>
    <w:rsid w:val="00675A55"/>
    <w:rsid w:val="00675E2B"/>
    <w:rsid w:val="00675F84"/>
    <w:rsid w:val="00675F93"/>
    <w:rsid w:val="0067622B"/>
    <w:rsid w:val="006774E6"/>
    <w:rsid w:val="006775BA"/>
    <w:rsid w:val="006776E8"/>
    <w:rsid w:val="00677B92"/>
    <w:rsid w:val="00677C4E"/>
    <w:rsid w:val="00677ECA"/>
    <w:rsid w:val="006802B3"/>
    <w:rsid w:val="006802F5"/>
    <w:rsid w:val="00680503"/>
    <w:rsid w:val="006805B9"/>
    <w:rsid w:val="0068061A"/>
    <w:rsid w:val="0068066D"/>
    <w:rsid w:val="0068074E"/>
    <w:rsid w:val="00680818"/>
    <w:rsid w:val="00680AD0"/>
    <w:rsid w:val="00680D82"/>
    <w:rsid w:val="00680E4C"/>
    <w:rsid w:val="00681326"/>
    <w:rsid w:val="006817AE"/>
    <w:rsid w:val="0068199C"/>
    <w:rsid w:val="006819C7"/>
    <w:rsid w:val="006819FF"/>
    <w:rsid w:val="00681EFD"/>
    <w:rsid w:val="00681F07"/>
    <w:rsid w:val="006823FB"/>
    <w:rsid w:val="00682556"/>
    <w:rsid w:val="0068279E"/>
    <w:rsid w:val="00682C0C"/>
    <w:rsid w:val="00682E41"/>
    <w:rsid w:val="00682FCF"/>
    <w:rsid w:val="00683384"/>
    <w:rsid w:val="0068341F"/>
    <w:rsid w:val="006834A4"/>
    <w:rsid w:val="00683AC3"/>
    <w:rsid w:val="006846EE"/>
    <w:rsid w:val="006848DB"/>
    <w:rsid w:val="00684B26"/>
    <w:rsid w:val="0068548B"/>
    <w:rsid w:val="00685AFF"/>
    <w:rsid w:val="00685B9D"/>
    <w:rsid w:val="00685E1E"/>
    <w:rsid w:val="00685E86"/>
    <w:rsid w:val="00685ECD"/>
    <w:rsid w:val="00685F26"/>
    <w:rsid w:val="0068633C"/>
    <w:rsid w:val="00686496"/>
    <w:rsid w:val="00686618"/>
    <w:rsid w:val="006867DE"/>
    <w:rsid w:val="00686800"/>
    <w:rsid w:val="00686BB9"/>
    <w:rsid w:val="00686C7E"/>
    <w:rsid w:val="00686FA1"/>
    <w:rsid w:val="0068723F"/>
    <w:rsid w:val="0068729B"/>
    <w:rsid w:val="00687456"/>
    <w:rsid w:val="006877C3"/>
    <w:rsid w:val="006878DA"/>
    <w:rsid w:val="00687AAF"/>
    <w:rsid w:val="00687C66"/>
    <w:rsid w:val="00687D28"/>
    <w:rsid w:val="00687EC6"/>
    <w:rsid w:val="00687EF9"/>
    <w:rsid w:val="00690614"/>
    <w:rsid w:val="0069066D"/>
    <w:rsid w:val="0069070B"/>
    <w:rsid w:val="006908A4"/>
    <w:rsid w:val="00690A57"/>
    <w:rsid w:val="00690DF0"/>
    <w:rsid w:val="0069103C"/>
    <w:rsid w:val="006910F6"/>
    <w:rsid w:val="00691472"/>
    <w:rsid w:val="006914CC"/>
    <w:rsid w:val="00691B4B"/>
    <w:rsid w:val="00691D1F"/>
    <w:rsid w:val="00691D8F"/>
    <w:rsid w:val="00691E07"/>
    <w:rsid w:val="00691FDB"/>
    <w:rsid w:val="006920C5"/>
    <w:rsid w:val="006924C6"/>
    <w:rsid w:val="00692806"/>
    <w:rsid w:val="00692979"/>
    <w:rsid w:val="00692C36"/>
    <w:rsid w:val="00692F18"/>
    <w:rsid w:val="006934CA"/>
    <w:rsid w:val="006936CB"/>
    <w:rsid w:val="0069374A"/>
    <w:rsid w:val="006937AD"/>
    <w:rsid w:val="00693A3D"/>
    <w:rsid w:val="00693C33"/>
    <w:rsid w:val="00693C4B"/>
    <w:rsid w:val="00694075"/>
    <w:rsid w:val="006940FF"/>
    <w:rsid w:val="006941B9"/>
    <w:rsid w:val="006942CB"/>
    <w:rsid w:val="00694339"/>
    <w:rsid w:val="006945FF"/>
    <w:rsid w:val="0069463F"/>
    <w:rsid w:val="00694A7A"/>
    <w:rsid w:val="00694EDD"/>
    <w:rsid w:val="00695560"/>
    <w:rsid w:val="0069559F"/>
    <w:rsid w:val="0069560A"/>
    <w:rsid w:val="00695691"/>
    <w:rsid w:val="00695724"/>
    <w:rsid w:val="0069595C"/>
    <w:rsid w:val="00695F5F"/>
    <w:rsid w:val="00695FA0"/>
    <w:rsid w:val="006964A6"/>
    <w:rsid w:val="006965F2"/>
    <w:rsid w:val="006968DD"/>
    <w:rsid w:val="00696A0E"/>
    <w:rsid w:val="00696BA9"/>
    <w:rsid w:val="00697784"/>
    <w:rsid w:val="00697861"/>
    <w:rsid w:val="00697866"/>
    <w:rsid w:val="00697986"/>
    <w:rsid w:val="00697ABE"/>
    <w:rsid w:val="006A035C"/>
    <w:rsid w:val="006A060D"/>
    <w:rsid w:val="006A0837"/>
    <w:rsid w:val="006A0B07"/>
    <w:rsid w:val="006A1286"/>
    <w:rsid w:val="006A1292"/>
    <w:rsid w:val="006A1413"/>
    <w:rsid w:val="006A19C7"/>
    <w:rsid w:val="006A1B85"/>
    <w:rsid w:val="006A213C"/>
    <w:rsid w:val="006A213F"/>
    <w:rsid w:val="006A22A1"/>
    <w:rsid w:val="006A27E5"/>
    <w:rsid w:val="006A27F6"/>
    <w:rsid w:val="006A2890"/>
    <w:rsid w:val="006A2AF2"/>
    <w:rsid w:val="006A306D"/>
    <w:rsid w:val="006A3152"/>
    <w:rsid w:val="006A348C"/>
    <w:rsid w:val="006A3750"/>
    <w:rsid w:val="006A3959"/>
    <w:rsid w:val="006A3D8B"/>
    <w:rsid w:val="006A4458"/>
    <w:rsid w:val="006A473C"/>
    <w:rsid w:val="006A4999"/>
    <w:rsid w:val="006A4A6B"/>
    <w:rsid w:val="006A4C4E"/>
    <w:rsid w:val="006A506A"/>
    <w:rsid w:val="006A52BE"/>
    <w:rsid w:val="006A545F"/>
    <w:rsid w:val="006A5595"/>
    <w:rsid w:val="006A561D"/>
    <w:rsid w:val="006A58BE"/>
    <w:rsid w:val="006A5B6F"/>
    <w:rsid w:val="006A5C13"/>
    <w:rsid w:val="006A5E61"/>
    <w:rsid w:val="006A617B"/>
    <w:rsid w:val="006A61E6"/>
    <w:rsid w:val="006A63E2"/>
    <w:rsid w:val="006A64BB"/>
    <w:rsid w:val="006A64CD"/>
    <w:rsid w:val="006A6943"/>
    <w:rsid w:val="006A71BA"/>
    <w:rsid w:val="006A7522"/>
    <w:rsid w:val="006A78F4"/>
    <w:rsid w:val="006A7916"/>
    <w:rsid w:val="006A7CD6"/>
    <w:rsid w:val="006A7DB1"/>
    <w:rsid w:val="006A7E1E"/>
    <w:rsid w:val="006A7F52"/>
    <w:rsid w:val="006B0039"/>
    <w:rsid w:val="006B0363"/>
    <w:rsid w:val="006B03B6"/>
    <w:rsid w:val="006B09BD"/>
    <w:rsid w:val="006B0C09"/>
    <w:rsid w:val="006B0C48"/>
    <w:rsid w:val="006B0DD1"/>
    <w:rsid w:val="006B160B"/>
    <w:rsid w:val="006B19F4"/>
    <w:rsid w:val="006B1D1A"/>
    <w:rsid w:val="006B1D62"/>
    <w:rsid w:val="006B1DF6"/>
    <w:rsid w:val="006B1F1C"/>
    <w:rsid w:val="006B1FE5"/>
    <w:rsid w:val="006B22F7"/>
    <w:rsid w:val="006B244B"/>
    <w:rsid w:val="006B253F"/>
    <w:rsid w:val="006B2CFF"/>
    <w:rsid w:val="006B2F28"/>
    <w:rsid w:val="006B327F"/>
    <w:rsid w:val="006B32DC"/>
    <w:rsid w:val="006B339C"/>
    <w:rsid w:val="006B33DB"/>
    <w:rsid w:val="006B3879"/>
    <w:rsid w:val="006B38CB"/>
    <w:rsid w:val="006B39CF"/>
    <w:rsid w:val="006B3B0A"/>
    <w:rsid w:val="006B3F52"/>
    <w:rsid w:val="006B4201"/>
    <w:rsid w:val="006B436B"/>
    <w:rsid w:val="006B43C0"/>
    <w:rsid w:val="006B47A3"/>
    <w:rsid w:val="006B4B26"/>
    <w:rsid w:val="006B4F3D"/>
    <w:rsid w:val="006B5036"/>
    <w:rsid w:val="006B506A"/>
    <w:rsid w:val="006B57BF"/>
    <w:rsid w:val="006B5862"/>
    <w:rsid w:val="006B5AD0"/>
    <w:rsid w:val="006B5B6A"/>
    <w:rsid w:val="006B5F05"/>
    <w:rsid w:val="006B61E9"/>
    <w:rsid w:val="006B630D"/>
    <w:rsid w:val="006B6477"/>
    <w:rsid w:val="006B65B5"/>
    <w:rsid w:val="006B6D39"/>
    <w:rsid w:val="006B6E5D"/>
    <w:rsid w:val="006B6F90"/>
    <w:rsid w:val="006B6FD8"/>
    <w:rsid w:val="006B736F"/>
    <w:rsid w:val="006B74D4"/>
    <w:rsid w:val="006B74FD"/>
    <w:rsid w:val="006B762B"/>
    <w:rsid w:val="006B77F1"/>
    <w:rsid w:val="006B7D11"/>
    <w:rsid w:val="006B7EFB"/>
    <w:rsid w:val="006B7FA7"/>
    <w:rsid w:val="006C0025"/>
    <w:rsid w:val="006C02F4"/>
    <w:rsid w:val="006C05D8"/>
    <w:rsid w:val="006C06B9"/>
    <w:rsid w:val="006C082C"/>
    <w:rsid w:val="006C0967"/>
    <w:rsid w:val="006C0C63"/>
    <w:rsid w:val="006C0DFE"/>
    <w:rsid w:val="006C1AEF"/>
    <w:rsid w:val="006C1D38"/>
    <w:rsid w:val="006C1E28"/>
    <w:rsid w:val="006C1FB4"/>
    <w:rsid w:val="006C2336"/>
    <w:rsid w:val="006C2914"/>
    <w:rsid w:val="006C2CB7"/>
    <w:rsid w:val="006C2E3F"/>
    <w:rsid w:val="006C2E63"/>
    <w:rsid w:val="006C341C"/>
    <w:rsid w:val="006C36C8"/>
    <w:rsid w:val="006C3B5F"/>
    <w:rsid w:val="006C3C91"/>
    <w:rsid w:val="006C3EEA"/>
    <w:rsid w:val="006C46A0"/>
    <w:rsid w:val="006C4999"/>
    <w:rsid w:val="006C49CB"/>
    <w:rsid w:val="006C4CE4"/>
    <w:rsid w:val="006C50A8"/>
    <w:rsid w:val="006C58C6"/>
    <w:rsid w:val="006C5932"/>
    <w:rsid w:val="006C5C44"/>
    <w:rsid w:val="006C5CC8"/>
    <w:rsid w:val="006C5DCC"/>
    <w:rsid w:val="006C5EC8"/>
    <w:rsid w:val="006C5FB8"/>
    <w:rsid w:val="006C5FC5"/>
    <w:rsid w:val="006C6033"/>
    <w:rsid w:val="006C6277"/>
    <w:rsid w:val="006C648B"/>
    <w:rsid w:val="006C64CC"/>
    <w:rsid w:val="006C6614"/>
    <w:rsid w:val="006C676F"/>
    <w:rsid w:val="006C68EA"/>
    <w:rsid w:val="006C695D"/>
    <w:rsid w:val="006C6BC9"/>
    <w:rsid w:val="006C6C19"/>
    <w:rsid w:val="006C6D40"/>
    <w:rsid w:val="006C7092"/>
    <w:rsid w:val="006C7217"/>
    <w:rsid w:val="006C7740"/>
    <w:rsid w:val="006C7777"/>
    <w:rsid w:val="006C7BD1"/>
    <w:rsid w:val="006C7C77"/>
    <w:rsid w:val="006C7DBC"/>
    <w:rsid w:val="006C7E2E"/>
    <w:rsid w:val="006C7E3F"/>
    <w:rsid w:val="006C7EFD"/>
    <w:rsid w:val="006C7F2B"/>
    <w:rsid w:val="006C7FA2"/>
    <w:rsid w:val="006C7FA7"/>
    <w:rsid w:val="006D02AC"/>
    <w:rsid w:val="006D02F6"/>
    <w:rsid w:val="006D0736"/>
    <w:rsid w:val="006D07D1"/>
    <w:rsid w:val="006D0B69"/>
    <w:rsid w:val="006D1145"/>
    <w:rsid w:val="006D1278"/>
    <w:rsid w:val="006D131F"/>
    <w:rsid w:val="006D135B"/>
    <w:rsid w:val="006D1430"/>
    <w:rsid w:val="006D14B6"/>
    <w:rsid w:val="006D1AE4"/>
    <w:rsid w:val="006D1B1C"/>
    <w:rsid w:val="006D1BCC"/>
    <w:rsid w:val="006D1C42"/>
    <w:rsid w:val="006D1D9E"/>
    <w:rsid w:val="006D204A"/>
    <w:rsid w:val="006D2334"/>
    <w:rsid w:val="006D245F"/>
    <w:rsid w:val="006D2660"/>
    <w:rsid w:val="006D2680"/>
    <w:rsid w:val="006D26B2"/>
    <w:rsid w:val="006D2CC9"/>
    <w:rsid w:val="006D2CEF"/>
    <w:rsid w:val="006D2F37"/>
    <w:rsid w:val="006D2F5C"/>
    <w:rsid w:val="006D35EB"/>
    <w:rsid w:val="006D3C9E"/>
    <w:rsid w:val="006D3F37"/>
    <w:rsid w:val="006D40AD"/>
    <w:rsid w:val="006D48B6"/>
    <w:rsid w:val="006D49A5"/>
    <w:rsid w:val="006D4DD1"/>
    <w:rsid w:val="006D4E70"/>
    <w:rsid w:val="006D4E92"/>
    <w:rsid w:val="006D5646"/>
    <w:rsid w:val="006D56C0"/>
    <w:rsid w:val="006D57F0"/>
    <w:rsid w:val="006D5856"/>
    <w:rsid w:val="006D5956"/>
    <w:rsid w:val="006D5CB9"/>
    <w:rsid w:val="006D5F04"/>
    <w:rsid w:val="006D62E9"/>
    <w:rsid w:val="006D634F"/>
    <w:rsid w:val="006D6504"/>
    <w:rsid w:val="006D65C2"/>
    <w:rsid w:val="006D65E4"/>
    <w:rsid w:val="006D6797"/>
    <w:rsid w:val="006D6864"/>
    <w:rsid w:val="006D7122"/>
    <w:rsid w:val="006D7409"/>
    <w:rsid w:val="006D747D"/>
    <w:rsid w:val="006D76CF"/>
    <w:rsid w:val="006D76E2"/>
    <w:rsid w:val="006D7776"/>
    <w:rsid w:val="006D78AC"/>
    <w:rsid w:val="006D7AF8"/>
    <w:rsid w:val="006D7DF8"/>
    <w:rsid w:val="006E00B5"/>
    <w:rsid w:val="006E0294"/>
    <w:rsid w:val="006E03D9"/>
    <w:rsid w:val="006E05F5"/>
    <w:rsid w:val="006E080B"/>
    <w:rsid w:val="006E08C0"/>
    <w:rsid w:val="006E092C"/>
    <w:rsid w:val="006E0BB6"/>
    <w:rsid w:val="006E0DCA"/>
    <w:rsid w:val="006E0F1D"/>
    <w:rsid w:val="006E1316"/>
    <w:rsid w:val="006E15FE"/>
    <w:rsid w:val="006E1D7F"/>
    <w:rsid w:val="006E1D85"/>
    <w:rsid w:val="006E2037"/>
    <w:rsid w:val="006E2071"/>
    <w:rsid w:val="006E22FC"/>
    <w:rsid w:val="006E23E7"/>
    <w:rsid w:val="006E2582"/>
    <w:rsid w:val="006E2599"/>
    <w:rsid w:val="006E2908"/>
    <w:rsid w:val="006E2A6C"/>
    <w:rsid w:val="006E2AD4"/>
    <w:rsid w:val="006E2AD5"/>
    <w:rsid w:val="006E2DC6"/>
    <w:rsid w:val="006E2DF3"/>
    <w:rsid w:val="006E2E5A"/>
    <w:rsid w:val="006E2F74"/>
    <w:rsid w:val="006E2FA6"/>
    <w:rsid w:val="006E341D"/>
    <w:rsid w:val="006E3429"/>
    <w:rsid w:val="006E34D8"/>
    <w:rsid w:val="006E3EE4"/>
    <w:rsid w:val="006E3EF2"/>
    <w:rsid w:val="006E3EFE"/>
    <w:rsid w:val="006E4377"/>
    <w:rsid w:val="006E4586"/>
    <w:rsid w:val="006E4724"/>
    <w:rsid w:val="006E4765"/>
    <w:rsid w:val="006E4803"/>
    <w:rsid w:val="006E4887"/>
    <w:rsid w:val="006E4AAD"/>
    <w:rsid w:val="006E4F5E"/>
    <w:rsid w:val="006E50FF"/>
    <w:rsid w:val="006E52D5"/>
    <w:rsid w:val="006E52E5"/>
    <w:rsid w:val="006E54D3"/>
    <w:rsid w:val="006E5A6E"/>
    <w:rsid w:val="006E5EF5"/>
    <w:rsid w:val="006E5FD0"/>
    <w:rsid w:val="006E6045"/>
    <w:rsid w:val="006E6404"/>
    <w:rsid w:val="006E6626"/>
    <w:rsid w:val="006E66F0"/>
    <w:rsid w:val="006E6C3A"/>
    <w:rsid w:val="006E6E34"/>
    <w:rsid w:val="006E7458"/>
    <w:rsid w:val="006E74FC"/>
    <w:rsid w:val="006E77DD"/>
    <w:rsid w:val="006E78CA"/>
    <w:rsid w:val="006E7FEA"/>
    <w:rsid w:val="006F0174"/>
    <w:rsid w:val="006F07FF"/>
    <w:rsid w:val="006F08BD"/>
    <w:rsid w:val="006F0D0F"/>
    <w:rsid w:val="006F0EA6"/>
    <w:rsid w:val="006F0EAB"/>
    <w:rsid w:val="006F126B"/>
    <w:rsid w:val="006F12B2"/>
    <w:rsid w:val="006F1522"/>
    <w:rsid w:val="006F17DB"/>
    <w:rsid w:val="006F1843"/>
    <w:rsid w:val="006F1B65"/>
    <w:rsid w:val="006F1CFF"/>
    <w:rsid w:val="006F1EA0"/>
    <w:rsid w:val="006F222A"/>
    <w:rsid w:val="006F2475"/>
    <w:rsid w:val="006F25E9"/>
    <w:rsid w:val="006F2A71"/>
    <w:rsid w:val="006F2C3A"/>
    <w:rsid w:val="006F31CD"/>
    <w:rsid w:val="006F32B3"/>
    <w:rsid w:val="006F335E"/>
    <w:rsid w:val="006F3819"/>
    <w:rsid w:val="006F3945"/>
    <w:rsid w:val="006F3CD5"/>
    <w:rsid w:val="006F3DFC"/>
    <w:rsid w:val="006F3EF3"/>
    <w:rsid w:val="006F40E0"/>
    <w:rsid w:val="006F42EC"/>
    <w:rsid w:val="006F43CA"/>
    <w:rsid w:val="006F4574"/>
    <w:rsid w:val="006F48F8"/>
    <w:rsid w:val="006F4A2C"/>
    <w:rsid w:val="006F4A95"/>
    <w:rsid w:val="006F513E"/>
    <w:rsid w:val="006F52E3"/>
    <w:rsid w:val="006F5331"/>
    <w:rsid w:val="006F5950"/>
    <w:rsid w:val="006F5AAE"/>
    <w:rsid w:val="006F5B93"/>
    <w:rsid w:val="006F5C3C"/>
    <w:rsid w:val="006F5CFF"/>
    <w:rsid w:val="006F604E"/>
    <w:rsid w:val="006F60B8"/>
    <w:rsid w:val="006F62F4"/>
    <w:rsid w:val="006F63D5"/>
    <w:rsid w:val="006F67E3"/>
    <w:rsid w:val="006F6884"/>
    <w:rsid w:val="006F6CC7"/>
    <w:rsid w:val="006F6CDE"/>
    <w:rsid w:val="006F6F41"/>
    <w:rsid w:val="006F719D"/>
    <w:rsid w:val="006F76F8"/>
    <w:rsid w:val="006F78CC"/>
    <w:rsid w:val="006F7BF7"/>
    <w:rsid w:val="007000EB"/>
    <w:rsid w:val="00700304"/>
    <w:rsid w:val="0070035A"/>
    <w:rsid w:val="00700393"/>
    <w:rsid w:val="0070044D"/>
    <w:rsid w:val="00700736"/>
    <w:rsid w:val="0070091D"/>
    <w:rsid w:val="007009E3"/>
    <w:rsid w:val="00700C26"/>
    <w:rsid w:val="00700C28"/>
    <w:rsid w:val="00700CC4"/>
    <w:rsid w:val="00700E79"/>
    <w:rsid w:val="00701002"/>
    <w:rsid w:val="00701046"/>
    <w:rsid w:val="007012BC"/>
    <w:rsid w:val="00701899"/>
    <w:rsid w:val="00701D30"/>
    <w:rsid w:val="00701D74"/>
    <w:rsid w:val="0070267F"/>
    <w:rsid w:val="007027F5"/>
    <w:rsid w:val="007028E9"/>
    <w:rsid w:val="00702A36"/>
    <w:rsid w:val="00702BE2"/>
    <w:rsid w:val="007030F1"/>
    <w:rsid w:val="007032F9"/>
    <w:rsid w:val="007034F0"/>
    <w:rsid w:val="007037C0"/>
    <w:rsid w:val="00703900"/>
    <w:rsid w:val="00703B76"/>
    <w:rsid w:val="00703BF3"/>
    <w:rsid w:val="00703C59"/>
    <w:rsid w:val="007046E2"/>
    <w:rsid w:val="00704B0A"/>
    <w:rsid w:val="00704BEC"/>
    <w:rsid w:val="00704E3D"/>
    <w:rsid w:val="00705239"/>
    <w:rsid w:val="0070541A"/>
    <w:rsid w:val="00705569"/>
    <w:rsid w:val="007055B0"/>
    <w:rsid w:val="00705F9B"/>
    <w:rsid w:val="0070662A"/>
    <w:rsid w:val="00706704"/>
    <w:rsid w:val="0070681F"/>
    <w:rsid w:val="00706D61"/>
    <w:rsid w:val="00706E96"/>
    <w:rsid w:val="00706EE2"/>
    <w:rsid w:val="00707482"/>
    <w:rsid w:val="007076AA"/>
    <w:rsid w:val="0070772B"/>
    <w:rsid w:val="00707FBF"/>
    <w:rsid w:val="0071016C"/>
    <w:rsid w:val="00710277"/>
    <w:rsid w:val="00710405"/>
    <w:rsid w:val="007105AA"/>
    <w:rsid w:val="00710606"/>
    <w:rsid w:val="007107D2"/>
    <w:rsid w:val="00710D51"/>
    <w:rsid w:val="00710EEC"/>
    <w:rsid w:val="00710F06"/>
    <w:rsid w:val="007114BA"/>
    <w:rsid w:val="00711843"/>
    <w:rsid w:val="00711B82"/>
    <w:rsid w:val="00711D15"/>
    <w:rsid w:val="00711D1A"/>
    <w:rsid w:val="00711F1D"/>
    <w:rsid w:val="00712042"/>
    <w:rsid w:val="007122EE"/>
    <w:rsid w:val="007124F1"/>
    <w:rsid w:val="00712572"/>
    <w:rsid w:val="007125B8"/>
    <w:rsid w:val="00712716"/>
    <w:rsid w:val="00712DA6"/>
    <w:rsid w:val="00712F9D"/>
    <w:rsid w:val="007131A9"/>
    <w:rsid w:val="007132FC"/>
    <w:rsid w:val="0071349D"/>
    <w:rsid w:val="007134E9"/>
    <w:rsid w:val="007135D5"/>
    <w:rsid w:val="007135DA"/>
    <w:rsid w:val="007135E3"/>
    <w:rsid w:val="007136D5"/>
    <w:rsid w:val="0071397A"/>
    <w:rsid w:val="00713AE1"/>
    <w:rsid w:val="00713B7E"/>
    <w:rsid w:val="00713BDC"/>
    <w:rsid w:val="00713DFE"/>
    <w:rsid w:val="00713E66"/>
    <w:rsid w:val="00714200"/>
    <w:rsid w:val="007142A3"/>
    <w:rsid w:val="007142C8"/>
    <w:rsid w:val="0071489C"/>
    <w:rsid w:val="00714E86"/>
    <w:rsid w:val="007151DA"/>
    <w:rsid w:val="00715336"/>
    <w:rsid w:val="00715685"/>
    <w:rsid w:val="007156BF"/>
    <w:rsid w:val="007156C8"/>
    <w:rsid w:val="007157C6"/>
    <w:rsid w:val="007159C4"/>
    <w:rsid w:val="00715A4A"/>
    <w:rsid w:val="00716113"/>
    <w:rsid w:val="00716184"/>
    <w:rsid w:val="00716333"/>
    <w:rsid w:val="007167DF"/>
    <w:rsid w:val="00716ABF"/>
    <w:rsid w:val="00716B35"/>
    <w:rsid w:val="00716BD6"/>
    <w:rsid w:val="00716E03"/>
    <w:rsid w:val="00717019"/>
    <w:rsid w:val="00717202"/>
    <w:rsid w:val="007175AF"/>
    <w:rsid w:val="00717B18"/>
    <w:rsid w:val="00717E44"/>
    <w:rsid w:val="00720032"/>
    <w:rsid w:val="0072006A"/>
    <w:rsid w:val="007203D7"/>
    <w:rsid w:val="007204AE"/>
    <w:rsid w:val="00720A0E"/>
    <w:rsid w:val="00720DEB"/>
    <w:rsid w:val="00720F8A"/>
    <w:rsid w:val="007213F8"/>
    <w:rsid w:val="00721400"/>
    <w:rsid w:val="00721603"/>
    <w:rsid w:val="0072183A"/>
    <w:rsid w:val="0072197E"/>
    <w:rsid w:val="007219DF"/>
    <w:rsid w:val="00721FCA"/>
    <w:rsid w:val="00722469"/>
    <w:rsid w:val="0072274E"/>
    <w:rsid w:val="0072290E"/>
    <w:rsid w:val="0072293F"/>
    <w:rsid w:val="00722941"/>
    <w:rsid w:val="00722C90"/>
    <w:rsid w:val="00722D42"/>
    <w:rsid w:val="00723134"/>
    <w:rsid w:val="007232F5"/>
    <w:rsid w:val="00723E9E"/>
    <w:rsid w:val="00723EA4"/>
    <w:rsid w:val="007241A3"/>
    <w:rsid w:val="00724452"/>
    <w:rsid w:val="007246EA"/>
    <w:rsid w:val="007247A0"/>
    <w:rsid w:val="00724805"/>
    <w:rsid w:val="00724C61"/>
    <w:rsid w:val="00724DD1"/>
    <w:rsid w:val="0072662E"/>
    <w:rsid w:val="00726DF4"/>
    <w:rsid w:val="00727250"/>
    <w:rsid w:val="0072757E"/>
    <w:rsid w:val="00727672"/>
    <w:rsid w:val="00727A23"/>
    <w:rsid w:val="00727F71"/>
    <w:rsid w:val="007300D1"/>
    <w:rsid w:val="007302EA"/>
    <w:rsid w:val="00730338"/>
    <w:rsid w:val="007306C2"/>
    <w:rsid w:val="0073086C"/>
    <w:rsid w:val="007309CE"/>
    <w:rsid w:val="00730B1F"/>
    <w:rsid w:val="00730BBC"/>
    <w:rsid w:val="00730CBB"/>
    <w:rsid w:val="00730E08"/>
    <w:rsid w:val="00731118"/>
    <w:rsid w:val="007311FF"/>
    <w:rsid w:val="00731322"/>
    <w:rsid w:val="00731525"/>
    <w:rsid w:val="00731722"/>
    <w:rsid w:val="00731869"/>
    <w:rsid w:val="00731E8F"/>
    <w:rsid w:val="00731F03"/>
    <w:rsid w:val="00732601"/>
    <w:rsid w:val="00732618"/>
    <w:rsid w:val="0073274A"/>
    <w:rsid w:val="00732885"/>
    <w:rsid w:val="00732887"/>
    <w:rsid w:val="00732C09"/>
    <w:rsid w:val="00733108"/>
    <w:rsid w:val="00733577"/>
    <w:rsid w:val="00733717"/>
    <w:rsid w:val="00733C72"/>
    <w:rsid w:val="00733E64"/>
    <w:rsid w:val="00734212"/>
    <w:rsid w:val="0073425A"/>
    <w:rsid w:val="007344BE"/>
    <w:rsid w:val="0073478E"/>
    <w:rsid w:val="007348D5"/>
    <w:rsid w:val="00734D9E"/>
    <w:rsid w:val="00734E79"/>
    <w:rsid w:val="00735043"/>
    <w:rsid w:val="0073511B"/>
    <w:rsid w:val="00735142"/>
    <w:rsid w:val="007351C3"/>
    <w:rsid w:val="00735403"/>
    <w:rsid w:val="0073545A"/>
    <w:rsid w:val="0073582A"/>
    <w:rsid w:val="00735A50"/>
    <w:rsid w:val="0073607F"/>
    <w:rsid w:val="00736261"/>
    <w:rsid w:val="007364A4"/>
    <w:rsid w:val="007365CB"/>
    <w:rsid w:val="0073660E"/>
    <w:rsid w:val="007366D9"/>
    <w:rsid w:val="00736906"/>
    <w:rsid w:val="00736A52"/>
    <w:rsid w:val="00736B9C"/>
    <w:rsid w:val="00736E1F"/>
    <w:rsid w:val="00736E5F"/>
    <w:rsid w:val="00736E8A"/>
    <w:rsid w:val="00736E93"/>
    <w:rsid w:val="00736EAA"/>
    <w:rsid w:val="00737128"/>
    <w:rsid w:val="007374A2"/>
    <w:rsid w:val="00737646"/>
    <w:rsid w:val="00740093"/>
    <w:rsid w:val="0074024C"/>
    <w:rsid w:val="00740925"/>
    <w:rsid w:val="00740B1A"/>
    <w:rsid w:val="0074106F"/>
    <w:rsid w:val="007410A7"/>
    <w:rsid w:val="00741495"/>
    <w:rsid w:val="007419E2"/>
    <w:rsid w:val="00741CF0"/>
    <w:rsid w:val="007423F8"/>
    <w:rsid w:val="0074257C"/>
    <w:rsid w:val="00742760"/>
    <w:rsid w:val="00742AED"/>
    <w:rsid w:val="00742B99"/>
    <w:rsid w:val="00742E36"/>
    <w:rsid w:val="00742E96"/>
    <w:rsid w:val="00743202"/>
    <w:rsid w:val="00743354"/>
    <w:rsid w:val="00743387"/>
    <w:rsid w:val="007436D9"/>
    <w:rsid w:val="0074377D"/>
    <w:rsid w:val="00743B0A"/>
    <w:rsid w:val="00743B36"/>
    <w:rsid w:val="00743E04"/>
    <w:rsid w:val="00743E0F"/>
    <w:rsid w:val="007440D9"/>
    <w:rsid w:val="00744112"/>
    <w:rsid w:val="007441AC"/>
    <w:rsid w:val="00744228"/>
    <w:rsid w:val="007443CD"/>
    <w:rsid w:val="00744872"/>
    <w:rsid w:val="00744C0C"/>
    <w:rsid w:val="00744E03"/>
    <w:rsid w:val="00744EF4"/>
    <w:rsid w:val="00745264"/>
    <w:rsid w:val="007452CE"/>
    <w:rsid w:val="00745364"/>
    <w:rsid w:val="007457FF"/>
    <w:rsid w:val="0074585C"/>
    <w:rsid w:val="0074594B"/>
    <w:rsid w:val="00745F21"/>
    <w:rsid w:val="00745FD5"/>
    <w:rsid w:val="00746460"/>
    <w:rsid w:val="0074661D"/>
    <w:rsid w:val="00746666"/>
    <w:rsid w:val="00746DE6"/>
    <w:rsid w:val="00746F81"/>
    <w:rsid w:val="007474B1"/>
    <w:rsid w:val="00747706"/>
    <w:rsid w:val="00747A42"/>
    <w:rsid w:val="00747A9F"/>
    <w:rsid w:val="00747D29"/>
    <w:rsid w:val="0075035F"/>
    <w:rsid w:val="007504C5"/>
    <w:rsid w:val="007506B1"/>
    <w:rsid w:val="0075074B"/>
    <w:rsid w:val="00750A89"/>
    <w:rsid w:val="00750BE1"/>
    <w:rsid w:val="00750DB6"/>
    <w:rsid w:val="00750DDB"/>
    <w:rsid w:val="00750F90"/>
    <w:rsid w:val="007510DD"/>
    <w:rsid w:val="00751611"/>
    <w:rsid w:val="0075193F"/>
    <w:rsid w:val="00751A31"/>
    <w:rsid w:val="00751C19"/>
    <w:rsid w:val="0075240B"/>
    <w:rsid w:val="0075282A"/>
    <w:rsid w:val="00752A60"/>
    <w:rsid w:val="00752D12"/>
    <w:rsid w:val="00752E19"/>
    <w:rsid w:val="00753044"/>
    <w:rsid w:val="00753234"/>
    <w:rsid w:val="007534A4"/>
    <w:rsid w:val="007538E4"/>
    <w:rsid w:val="00753C34"/>
    <w:rsid w:val="00753E1F"/>
    <w:rsid w:val="0075401F"/>
    <w:rsid w:val="0075420C"/>
    <w:rsid w:val="00754DD6"/>
    <w:rsid w:val="007551CB"/>
    <w:rsid w:val="00755496"/>
    <w:rsid w:val="00755B2A"/>
    <w:rsid w:val="00755C4C"/>
    <w:rsid w:val="00755D80"/>
    <w:rsid w:val="007560F1"/>
    <w:rsid w:val="0075635A"/>
    <w:rsid w:val="00756364"/>
    <w:rsid w:val="00756391"/>
    <w:rsid w:val="007569CE"/>
    <w:rsid w:val="00756A8B"/>
    <w:rsid w:val="00756C71"/>
    <w:rsid w:val="00757333"/>
    <w:rsid w:val="007575AC"/>
    <w:rsid w:val="007575E3"/>
    <w:rsid w:val="00757613"/>
    <w:rsid w:val="0075765A"/>
    <w:rsid w:val="00757941"/>
    <w:rsid w:val="00757A65"/>
    <w:rsid w:val="00757C3E"/>
    <w:rsid w:val="00757D5A"/>
    <w:rsid w:val="00757D9F"/>
    <w:rsid w:val="00757E58"/>
    <w:rsid w:val="00757F37"/>
    <w:rsid w:val="007600DD"/>
    <w:rsid w:val="0076011E"/>
    <w:rsid w:val="00761035"/>
    <w:rsid w:val="00761152"/>
    <w:rsid w:val="00761416"/>
    <w:rsid w:val="00761851"/>
    <w:rsid w:val="00761B89"/>
    <w:rsid w:val="00761B8E"/>
    <w:rsid w:val="00761C79"/>
    <w:rsid w:val="00761F2D"/>
    <w:rsid w:val="00761F4D"/>
    <w:rsid w:val="00761FC8"/>
    <w:rsid w:val="0076213B"/>
    <w:rsid w:val="00762727"/>
    <w:rsid w:val="0076278F"/>
    <w:rsid w:val="00762A76"/>
    <w:rsid w:val="00762EB8"/>
    <w:rsid w:val="007631AA"/>
    <w:rsid w:val="00763205"/>
    <w:rsid w:val="00763509"/>
    <w:rsid w:val="007636FF"/>
    <w:rsid w:val="0076373A"/>
    <w:rsid w:val="00763849"/>
    <w:rsid w:val="00763DE4"/>
    <w:rsid w:val="00763EAD"/>
    <w:rsid w:val="00763EFC"/>
    <w:rsid w:val="00763F8F"/>
    <w:rsid w:val="0076411F"/>
    <w:rsid w:val="007641D5"/>
    <w:rsid w:val="00764387"/>
    <w:rsid w:val="00764BBD"/>
    <w:rsid w:val="007650DF"/>
    <w:rsid w:val="0076514B"/>
    <w:rsid w:val="00765173"/>
    <w:rsid w:val="0076583A"/>
    <w:rsid w:val="0076599E"/>
    <w:rsid w:val="00765AD1"/>
    <w:rsid w:val="007664C7"/>
    <w:rsid w:val="00766658"/>
    <w:rsid w:val="0076680D"/>
    <w:rsid w:val="007669F6"/>
    <w:rsid w:val="00766AD1"/>
    <w:rsid w:val="00766D7F"/>
    <w:rsid w:val="00766E45"/>
    <w:rsid w:val="00766FB4"/>
    <w:rsid w:val="0076745E"/>
    <w:rsid w:val="00767B63"/>
    <w:rsid w:val="00767BBC"/>
    <w:rsid w:val="00767E87"/>
    <w:rsid w:val="007700EA"/>
    <w:rsid w:val="0077013E"/>
    <w:rsid w:val="007705C0"/>
    <w:rsid w:val="00770904"/>
    <w:rsid w:val="00770AF5"/>
    <w:rsid w:val="00770FA1"/>
    <w:rsid w:val="0077104F"/>
    <w:rsid w:val="007716EF"/>
    <w:rsid w:val="00771979"/>
    <w:rsid w:val="00771CE7"/>
    <w:rsid w:val="00771FFA"/>
    <w:rsid w:val="00772098"/>
    <w:rsid w:val="00772105"/>
    <w:rsid w:val="007722D6"/>
    <w:rsid w:val="007722E2"/>
    <w:rsid w:val="00772655"/>
    <w:rsid w:val="00772947"/>
    <w:rsid w:val="00772FE8"/>
    <w:rsid w:val="00773242"/>
    <w:rsid w:val="00773523"/>
    <w:rsid w:val="007737A8"/>
    <w:rsid w:val="00773ABC"/>
    <w:rsid w:val="00773D1A"/>
    <w:rsid w:val="00773EFC"/>
    <w:rsid w:val="007742BC"/>
    <w:rsid w:val="0077432D"/>
    <w:rsid w:val="007743AB"/>
    <w:rsid w:val="00774621"/>
    <w:rsid w:val="0077469A"/>
    <w:rsid w:val="007746A4"/>
    <w:rsid w:val="00774A38"/>
    <w:rsid w:val="00774C69"/>
    <w:rsid w:val="00774CD7"/>
    <w:rsid w:val="00774DE1"/>
    <w:rsid w:val="00774EF7"/>
    <w:rsid w:val="00775164"/>
    <w:rsid w:val="00775367"/>
    <w:rsid w:val="007756E4"/>
    <w:rsid w:val="007757AF"/>
    <w:rsid w:val="007757FB"/>
    <w:rsid w:val="00775B97"/>
    <w:rsid w:val="00775E33"/>
    <w:rsid w:val="00775E6A"/>
    <w:rsid w:val="00775FDD"/>
    <w:rsid w:val="00776076"/>
    <w:rsid w:val="00776099"/>
    <w:rsid w:val="0077609B"/>
    <w:rsid w:val="007773AC"/>
    <w:rsid w:val="00777ADE"/>
    <w:rsid w:val="00777B5E"/>
    <w:rsid w:val="00777EE1"/>
    <w:rsid w:val="00777FC3"/>
    <w:rsid w:val="00777FD6"/>
    <w:rsid w:val="00780058"/>
    <w:rsid w:val="0078024D"/>
    <w:rsid w:val="0078042F"/>
    <w:rsid w:val="0078045D"/>
    <w:rsid w:val="007807C3"/>
    <w:rsid w:val="00780D3F"/>
    <w:rsid w:val="00781362"/>
    <w:rsid w:val="0078136C"/>
    <w:rsid w:val="0078145E"/>
    <w:rsid w:val="007816DD"/>
    <w:rsid w:val="0078186D"/>
    <w:rsid w:val="00781E1C"/>
    <w:rsid w:val="00781F0B"/>
    <w:rsid w:val="00781F3B"/>
    <w:rsid w:val="00782259"/>
    <w:rsid w:val="00782534"/>
    <w:rsid w:val="00782AC4"/>
    <w:rsid w:val="00782C7E"/>
    <w:rsid w:val="00782D8E"/>
    <w:rsid w:val="00782F2F"/>
    <w:rsid w:val="007831DE"/>
    <w:rsid w:val="0078333A"/>
    <w:rsid w:val="00783E25"/>
    <w:rsid w:val="00784209"/>
    <w:rsid w:val="007844BC"/>
    <w:rsid w:val="007846E1"/>
    <w:rsid w:val="00784739"/>
    <w:rsid w:val="007847A9"/>
    <w:rsid w:val="00784868"/>
    <w:rsid w:val="007849FA"/>
    <w:rsid w:val="00784EB1"/>
    <w:rsid w:val="00785374"/>
    <w:rsid w:val="007859D9"/>
    <w:rsid w:val="007861BC"/>
    <w:rsid w:val="00786330"/>
    <w:rsid w:val="007865A5"/>
    <w:rsid w:val="00786A1C"/>
    <w:rsid w:val="00786CEC"/>
    <w:rsid w:val="00787012"/>
    <w:rsid w:val="00787250"/>
    <w:rsid w:val="007874AE"/>
    <w:rsid w:val="00787567"/>
    <w:rsid w:val="0078757A"/>
    <w:rsid w:val="007877C5"/>
    <w:rsid w:val="00787880"/>
    <w:rsid w:val="007878FE"/>
    <w:rsid w:val="00787C05"/>
    <w:rsid w:val="0079042C"/>
    <w:rsid w:val="0079072B"/>
    <w:rsid w:val="00790B92"/>
    <w:rsid w:val="00790C01"/>
    <w:rsid w:val="007910C0"/>
    <w:rsid w:val="0079198C"/>
    <w:rsid w:val="00791AA4"/>
    <w:rsid w:val="00791C0D"/>
    <w:rsid w:val="00791F01"/>
    <w:rsid w:val="00792253"/>
    <w:rsid w:val="00792278"/>
    <w:rsid w:val="00792390"/>
    <w:rsid w:val="007924F7"/>
    <w:rsid w:val="007924FF"/>
    <w:rsid w:val="007925B7"/>
    <w:rsid w:val="007925B9"/>
    <w:rsid w:val="007927FF"/>
    <w:rsid w:val="00792C6F"/>
    <w:rsid w:val="00792DDC"/>
    <w:rsid w:val="0079327F"/>
    <w:rsid w:val="007937D4"/>
    <w:rsid w:val="00793B88"/>
    <w:rsid w:val="00793D5B"/>
    <w:rsid w:val="00793D70"/>
    <w:rsid w:val="00793DA9"/>
    <w:rsid w:val="00793E53"/>
    <w:rsid w:val="00793FD7"/>
    <w:rsid w:val="007947A2"/>
    <w:rsid w:val="00794AC3"/>
    <w:rsid w:val="00795414"/>
    <w:rsid w:val="007955ED"/>
    <w:rsid w:val="007958C2"/>
    <w:rsid w:val="00795B47"/>
    <w:rsid w:val="00795DE5"/>
    <w:rsid w:val="00795E23"/>
    <w:rsid w:val="0079607A"/>
    <w:rsid w:val="00796199"/>
    <w:rsid w:val="0079626C"/>
    <w:rsid w:val="007962C0"/>
    <w:rsid w:val="00796717"/>
    <w:rsid w:val="00796733"/>
    <w:rsid w:val="0079692F"/>
    <w:rsid w:val="00796F2E"/>
    <w:rsid w:val="00796F74"/>
    <w:rsid w:val="00797014"/>
    <w:rsid w:val="0079708D"/>
    <w:rsid w:val="00797398"/>
    <w:rsid w:val="007974C4"/>
    <w:rsid w:val="00797612"/>
    <w:rsid w:val="0079771C"/>
    <w:rsid w:val="00797726"/>
    <w:rsid w:val="007978ED"/>
    <w:rsid w:val="007979BB"/>
    <w:rsid w:val="00797CE9"/>
    <w:rsid w:val="007A0394"/>
    <w:rsid w:val="007A039E"/>
    <w:rsid w:val="007A03F3"/>
    <w:rsid w:val="007A0722"/>
    <w:rsid w:val="007A096D"/>
    <w:rsid w:val="007A0A40"/>
    <w:rsid w:val="007A0A76"/>
    <w:rsid w:val="007A0B71"/>
    <w:rsid w:val="007A0CB9"/>
    <w:rsid w:val="007A0E43"/>
    <w:rsid w:val="007A0F44"/>
    <w:rsid w:val="007A10F0"/>
    <w:rsid w:val="007A119D"/>
    <w:rsid w:val="007A13A4"/>
    <w:rsid w:val="007A1869"/>
    <w:rsid w:val="007A1B66"/>
    <w:rsid w:val="007A1CD8"/>
    <w:rsid w:val="007A2152"/>
    <w:rsid w:val="007A27DA"/>
    <w:rsid w:val="007A2804"/>
    <w:rsid w:val="007A294B"/>
    <w:rsid w:val="007A2AE6"/>
    <w:rsid w:val="007A2B10"/>
    <w:rsid w:val="007A3579"/>
    <w:rsid w:val="007A38F6"/>
    <w:rsid w:val="007A3917"/>
    <w:rsid w:val="007A3B81"/>
    <w:rsid w:val="007A41DF"/>
    <w:rsid w:val="007A43B8"/>
    <w:rsid w:val="007A4460"/>
    <w:rsid w:val="007A4829"/>
    <w:rsid w:val="007A4AB2"/>
    <w:rsid w:val="007A4CA1"/>
    <w:rsid w:val="007A4D98"/>
    <w:rsid w:val="007A4DE6"/>
    <w:rsid w:val="007A5001"/>
    <w:rsid w:val="007A54C8"/>
    <w:rsid w:val="007A57D1"/>
    <w:rsid w:val="007A5C7B"/>
    <w:rsid w:val="007A5D56"/>
    <w:rsid w:val="007A5EF1"/>
    <w:rsid w:val="007A6653"/>
    <w:rsid w:val="007A66E4"/>
    <w:rsid w:val="007A6754"/>
    <w:rsid w:val="007A686D"/>
    <w:rsid w:val="007A6965"/>
    <w:rsid w:val="007A6E78"/>
    <w:rsid w:val="007A7394"/>
    <w:rsid w:val="007A7461"/>
    <w:rsid w:val="007A7950"/>
    <w:rsid w:val="007A79B6"/>
    <w:rsid w:val="007A7C55"/>
    <w:rsid w:val="007A7EA6"/>
    <w:rsid w:val="007A7EBA"/>
    <w:rsid w:val="007B00C9"/>
    <w:rsid w:val="007B010E"/>
    <w:rsid w:val="007B04CD"/>
    <w:rsid w:val="007B0644"/>
    <w:rsid w:val="007B0C60"/>
    <w:rsid w:val="007B0F1B"/>
    <w:rsid w:val="007B0F27"/>
    <w:rsid w:val="007B165F"/>
    <w:rsid w:val="007B1918"/>
    <w:rsid w:val="007B19C4"/>
    <w:rsid w:val="007B1B6D"/>
    <w:rsid w:val="007B21F3"/>
    <w:rsid w:val="007B223B"/>
    <w:rsid w:val="007B2266"/>
    <w:rsid w:val="007B2362"/>
    <w:rsid w:val="007B24D2"/>
    <w:rsid w:val="007B264E"/>
    <w:rsid w:val="007B27E9"/>
    <w:rsid w:val="007B298C"/>
    <w:rsid w:val="007B29C4"/>
    <w:rsid w:val="007B2A71"/>
    <w:rsid w:val="007B2F24"/>
    <w:rsid w:val="007B327E"/>
    <w:rsid w:val="007B372C"/>
    <w:rsid w:val="007B384C"/>
    <w:rsid w:val="007B3A78"/>
    <w:rsid w:val="007B3F4B"/>
    <w:rsid w:val="007B427E"/>
    <w:rsid w:val="007B4313"/>
    <w:rsid w:val="007B4324"/>
    <w:rsid w:val="007B444F"/>
    <w:rsid w:val="007B4670"/>
    <w:rsid w:val="007B4673"/>
    <w:rsid w:val="007B47BD"/>
    <w:rsid w:val="007B48E1"/>
    <w:rsid w:val="007B4B2C"/>
    <w:rsid w:val="007B4BF4"/>
    <w:rsid w:val="007B4F7D"/>
    <w:rsid w:val="007B5842"/>
    <w:rsid w:val="007B5B6B"/>
    <w:rsid w:val="007B5CA7"/>
    <w:rsid w:val="007B6185"/>
    <w:rsid w:val="007B6439"/>
    <w:rsid w:val="007B646F"/>
    <w:rsid w:val="007B7023"/>
    <w:rsid w:val="007B75D1"/>
    <w:rsid w:val="007B75F6"/>
    <w:rsid w:val="007B7615"/>
    <w:rsid w:val="007B7771"/>
    <w:rsid w:val="007B7839"/>
    <w:rsid w:val="007B78EE"/>
    <w:rsid w:val="007B7A4C"/>
    <w:rsid w:val="007B7A7C"/>
    <w:rsid w:val="007B7B1C"/>
    <w:rsid w:val="007B7D4C"/>
    <w:rsid w:val="007B7DE3"/>
    <w:rsid w:val="007C007D"/>
    <w:rsid w:val="007C0187"/>
    <w:rsid w:val="007C0363"/>
    <w:rsid w:val="007C0702"/>
    <w:rsid w:val="007C0B02"/>
    <w:rsid w:val="007C10DA"/>
    <w:rsid w:val="007C10DD"/>
    <w:rsid w:val="007C1476"/>
    <w:rsid w:val="007C16C6"/>
    <w:rsid w:val="007C1BA9"/>
    <w:rsid w:val="007C1C03"/>
    <w:rsid w:val="007C1C5C"/>
    <w:rsid w:val="007C1F9C"/>
    <w:rsid w:val="007C1FC2"/>
    <w:rsid w:val="007C211A"/>
    <w:rsid w:val="007C227D"/>
    <w:rsid w:val="007C26D0"/>
    <w:rsid w:val="007C2739"/>
    <w:rsid w:val="007C27C0"/>
    <w:rsid w:val="007C2CE2"/>
    <w:rsid w:val="007C2D1F"/>
    <w:rsid w:val="007C2E94"/>
    <w:rsid w:val="007C2F24"/>
    <w:rsid w:val="007C31E4"/>
    <w:rsid w:val="007C3460"/>
    <w:rsid w:val="007C3569"/>
    <w:rsid w:val="007C3CB1"/>
    <w:rsid w:val="007C3CC5"/>
    <w:rsid w:val="007C450B"/>
    <w:rsid w:val="007C4621"/>
    <w:rsid w:val="007C48AF"/>
    <w:rsid w:val="007C4A3A"/>
    <w:rsid w:val="007C4C44"/>
    <w:rsid w:val="007C50EF"/>
    <w:rsid w:val="007C51D4"/>
    <w:rsid w:val="007C524D"/>
    <w:rsid w:val="007C529E"/>
    <w:rsid w:val="007C542D"/>
    <w:rsid w:val="007C55DD"/>
    <w:rsid w:val="007C5604"/>
    <w:rsid w:val="007C5A79"/>
    <w:rsid w:val="007C6090"/>
    <w:rsid w:val="007C6808"/>
    <w:rsid w:val="007C6AA9"/>
    <w:rsid w:val="007C6B5B"/>
    <w:rsid w:val="007C6C9B"/>
    <w:rsid w:val="007C6E3D"/>
    <w:rsid w:val="007C7327"/>
    <w:rsid w:val="007C77B4"/>
    <w:rsid w:val="007C7967"/>
    <w:rsid w:val="007C7B59"/>
    <w:rsid w:val="007C7BC8"/>
    <w:rsid w:val="007C7F98"/>
    <w:rsid w:val="007D00F9"/>
    <w:rsid w:val="007D01F4"/>
    <w:rsid w:val="007D03B0"/>
    <w:rsid w:val="007D03FE"/>
    <w:rsid w:val="007D061D"/>
    <w:rsid w:val="007D0A03"/>
    <w:rsid w:val="007D0BA6"/>
    <w:rsid w:val="007D0BBB"/>
    <w:rsid w:val="007D0DEC"/>
    <w:rsid w:val="007D103E"/>
    <w:rsid w:val="007D1388"/>
    <w:rsid w:val="007D140F"/>
    <w:rsid w:val="007D1B7E"/>
    <w:rsid w:val="007D1E19"/>
    <w:rsid w:val="007D1EA5"/>
    <w:rsid w:val="007D1F72"/>
    <w:rsid w:val="007D20A4"/>
    <w:rsid w:val="007D2362"/>
    <w:rsid w:val="007D23B4"/>
    <w:rsid w:val="007D2502"/>
    <w:rsid w:val="007D25AE"/>
    <w:rsid w:val="007D25EB"/>
    <w:rsid w:val="007D268B"/>
    <w:rsid w:val="007D2912"/>
    <w:rsid w:val="007D2A17"/>
    <w:rsid w:val="007D2B5D"/>
    <w:rsid w:val="007D2BB5"/>
    <w:rsid w:val="007D327B"/>
    <w:rsid w:val="007D32DC"/>
    <w:rsid w:val="007D3570"/>
    <w:rsid w:val="007D35A0"/>
    <w:rsid w:val="007D3818"/>
    <w:rsid w:val="007D394E"/>
    <w:rsid w:val="007D4069"/>
    <w:rsid w:val="007D40E9"/>
    <w:rsid w:val="007D40FD"/>
    <w:rsid w:val="007D433F"/>
    <w:rsid w:val="007D4659"/>
    <w:rsid w:val="007D4905"/>
    <w:rsid w:val="007D4AB8"/>
    <w:rsid w:val="007D4B91"/>
    <w:rsid w:val="007D4BBA"/>
    <w:rsid w:val="007D4BC3"/>
    <w:rsid w:val="007D4BE6"/>
    <w:rsid w:val="007D4C8C"/>
    <w:rsid w:val="007D4CD2"/>
    <w:rsid w:val="007D4E1A"/>
    <w:rsid w:val="007D4E1E"/>
    <w:rsid w:val="007D4E7D"/>
    <w:rsid w:val="007D5015"/>
    <w:rsid w:val="007D5FB6"/>
    <w:rsid w:val="007D605D"/>
    <w:rsid w:val="007D6257"/>
    <w:rsid w:val="007D638A"/>
    <w:rsid w:val="007D6B7A"/>
    <w:rsid w:val="007D6E14"/>
    <w:rsid w:val="007D72F7"/>
    <w:rsid w:val="007D75FA"/>
    <w:rsid w:val="007D76C5"/>
    <w:rsid w:val="007D7784"/>
    <w:rsid w:val="007D7839"/>
    <w:rsid w:val="007D78CA"/>
    <w:rsid w:val="007D78F2"/>
    <w:rsid w:val="007D7919"/>
    <w:rsid w:val="007D7A57"/>
    <w:rsid w:val="007D7BA2"/>
    <w:rsid w:val="007D7BB8"/>
    <w:rsid w:val="007D7DB3"/>
    <w:rsid w:val="007E0785"/>
    <w:rsid w:val="007E08C0"/>
    <w:rsid w:val="007E08E0"/>
    <w:rsid w:val="007E09FC"/>
    <w:rsid w:val="007E0CAA"/>
    <w:rsid w:val="007E0D29"/>
    <w:rsid w:val="007E15AF"/>
    <w:rsid w:val="007E164B"/>
    <w:rsid w:val="007E1679"/>
    <w:rsid w:val="007E16BE"/>
    <w:rsid w:val="007E1948"/>
    <w:rsid w:val="007E2363"/>
    <w:rsid w:val="007E25F0"/>
    <w:rsid w:val="007E26B4"/>
    <w:rsid w:val="007E27FE"/>
    <w:rsid w:val="007E2A06"/>
    <w:rsid w:val="007E2F0D"/>
    <w:rsid w:val="007E308C"/>
    <w:rsid w:val="007E34BD"/>
    <w:rsid w:val="007E385A"/>
    <w:rsid w:val="007E3926"/>
    <w:rsid w:val="007E39C2"/>
    <w:rsid w:val="007E3CC9"/>
    <w:rsid w:val="007E40BA"/>
    <w:rsid w:val="007E4428"/>
    <w:rsid w:val="007E4B35"/>
    <w:rsid w:val="007E4D61"/>
    <w:rsid w:val="007E4EFA"/>
    <w:rsid w:val="007E4F2B"/>
    <w:rsid w:val="007E4FCC"/>
    <w:rsid w:val="007E514F"/>
    <w:rsid w:val="007E530E"/>
    <w:rsid w:val="007E54C2"/>
    <w:rsid w:val="007E5DE8"/>
    <w:rsid w:val="007E620E"/>
    <w:rsid w:val="007E622D"/>
    <w:rsid w:val="007E6331"/>
    <w:rsid w:val="007E64A9"/>
    <w:rsid w:val="007E6D4E"/>
    <w:rsid w:val="007E7195"/>
    <w:rsid w:val="007E72C6"/>
    <w:rsid w:val="007E733A"/>
    <w:rsid w:val="007E7440"/>
    <w:rsid w:val="007F0073"/>
    <w:rsid w:val="007F00D7"/>
    <w:rsid w:val="007F03DE"/>
    <w:rsid w:val="007F0744"/>
    <w:rsid w:val="007F0AD2"/>
    <w:rsid w:val="007F0BAA"/>
    <w:rsid w:val="007F0F60"/>
    <w:rsid w:val="007F12B7"/>
    <w:rsid w:val="007F16E4"/>
    <w:rsid w:val="007F1783"/>
    <w:rsid w:val="007F1981"/>
    <w:rsid w:val="007F1A90"/>
    <w:rsid w:val="007F1B70"/>
    <w:rsid w:val="007F1CD8"/>
    <w:rsid w:val="007F2430"/>
    <w:rsid w:val="007F25A7"/>
    <w:rsid w:val="007F265C"/>
    <w:rsid w:val="007F29EB"/>
    <w:rsid w:val="007F2A90"/>
    <w:rsid w:val="007F2BBE"/>
    <w:rsid w:val="007F3101"/>
    <w:rsid w:val="007F3227"/>
    <w:rsid w:val="007F35B6"/>
    <w:rsid w:val="007F3669"/>
    <w:rsid w:val="007F3BF6"/>
    <w:rsid w:val="007F401B"/>
    <w:rsid w:val="007F4099"/>
    <w:rsid w:val="007F42AE"/>
    <w:rsid w:val="007F452B"/>
    <w:rsid w:val="007F45B1"/>
    <w:rsid w:val="007F4679"/>
    <w:rsid w:val="007F49C7"/>
    <w:rsid w:val="007F4CD3"/>
    <w:rsid w:val="007F4DC6"/>
    <w:rsid w:val="007F4FA1"/>
    <w:rsid w:val="007F523C"/>
    <w:rsid w:val="007F5308"/>
    <w:rsid w:val="007F5365"/>
    <w:rsid w:val="007F53E8"/>
    <w:rsid w:val="007F589C"/>
    <w:rsid w:val="007F5B5F"/>
    <w:rsid w:val="007F5BBB"/>
    <w:rsid w:val="007F5D18"/>
    <w:rsid w:val="007F5D50"/>
    <w:rsid w:val="007F5DEF"/>
    <w:rsid w:val="007F6004"/>
    <w:rsid w:val="007F6014"/>
    <w:rsid w:val="007F6092"/>
    <w:rsid w:val="007F611A"/>
    <w:rsid w:val="007F624A"/>
    <w:rsid w:val="007F6395"/>
    <w:rsid w:val="007F6604"/>
    <w:rsid w:val="007F675A"/>
    <w:rsid w:val="007F690B"/>
    <w:rsid w:val="007F6A2D"/>
    <w:rsid w:val="007F6EFD"/>
    <w:rsid w:val="007F6F4A"/>
    <w:rsid w:val="007F7032"/>
    <w:rsid w:val="007F70FB"/>
    <w:rsid w:val="007F72C4"/>
    <w:rsid w:val="007F7301"/>
    <w:rsid w:val="007F74FE"/>
    <w:rsid w:val="007F7568"/>
    <w:rsid w:val="007F76A3"/>
    <w:rsid w:val="007F7C2A"/>
    <w:rsid w:val="007F7C91"/>
    <w:rsid w:val="008003C7"/>
    <w:rsid w:val="00800592"/>
    <w:rsid w:val="00800623"/>
    <w:rsid w:val="00800A31"/>
    <w:rsid w:val="00800AEC"/>
    <w:rsid w:val="00800B69"/>
    <w:rsid w:val="00800C6D"/>
    <w:rsid w:val="00800E33"/>
    <w:rsid w:val="00800F6C"/>
    <w:rsid w:val="008011D3"/>
    <w:rsid w:val="00801A17"/>
    <w:rsid w:val="00801E3B"/>
    <w:rsid w:val="008022C1"/>
    <w:rsid w:val="0080260E"/>
    <w:rsid w:val="00802861"/>
    <w:rsid w:val="00802EB8"/>
    <w:rsid w:val="008030C3"/>
    <w:rsid w:val="00803299"/>
    <w:rsid w:val="008033B5"/>
    <w:rsid w:val="0080359B"/>
    <w:rsid w:val="008038D9"/>
    <w:rsid w:val="00803A97"/>
    <w:rsid w:val="00803C89"/>
    <w:rsid w:val="00803CD8"/>
    <w:rsid w:val="00803EB9"/>
    <w:rsid w:val="00804193"/>
    <w:rsid w:val="008047A3"/>
    <w:rsid w:val="00804830"/>
    <w:rsid w:val="00804BC9"/>
    <w:rsid w:val="00804C27"/>
    <w:rsid w:val="00804D98"/>
    <w:rsid w:val="00804D9E"/>
    <w:rsid w:val="00805134"/>
    <w:rsid w:val="00805386"/>
    <w:rsid w:val="00805AFD"/>
    <w:rsid w:val="00805E81"/>
    <w:rsid w:val="00806467"/>
    <w:rsid w:val="00806517"/>
    <w:rsid w:val="00806680"/>
    <w:rsid w:val="0080670A"/>
    <w:rsid w:val="00806A9B"/>
    <w:rsid w:val="00806CC7"/>
    <w:rsid w:val="00806D12"/>
    <w:rsid w:val="00806DEF"/>
    <w:rsid w:val="00807058"/>
    <w:rsid w:val="00807597"/>
    <w:rsid w:val="00807720"/>
    <w:rsid w:val="00807E25"/>
    <w:rsid w:val="00807E54"/>
    <w:rsid w:val="00810028"/>
    <w:rsid w:val="008102BE"/>
    <w:rsid w:val="00810505"/>
    <w:rsid w:val="008108AD"/>
    <w:rsid w:val="00810A82"/>
    <w:rsid w:val="00810AC3"/>
    <w:rsid w:val="00810C65"/>
    <w:rsid w:val="00810CA4"/>
    <w:rsid w:val="00810D31"/>
    <w:rsid w:val="00810FF9"/>
    <w:rsid w:val="0081141F"/>
    <w:rsid w:val="00811579"/>
    <w:rsid w:val="008115B3"/>
    <w:rsid w:val="0081180E"/>
    <w:rsid w:val="008118A2"/>
    <w:rsid w:val="00811A4B"/>
    <w:rsid w:val="00811AC3"/>
    <w:rsid w:val="00811D8F"/>
    <w:rsid w:val="00811D95"/>
    <w:rsid w:val="008121FF"/>
    <w:rsid w:val="008125A5"/>
    <w:rsid w:val="008129B6"/>
    <w:rsid w:val="008129EC"/>
    <w:rsid w:val="00812B67"/>
    <w:rsid w:val="00812BE8"/>
    <w:rsid w:val="00812E96"/>
    <w:rsid w:val="00812F01"/>
    <w:rsid w:val="0081384B"/>
    <w:rsid w:val="0081395C"/>
    <w:rsid w:val="00813F93"/>
    <w:rsid w:val="008140BE"/>
    <w:rsid w:val="0081498B"/>
    <w:rsid w:val="008149FD"/>
    <w:rsid w:val="00814D7C"/>
    <w:rsid w:val="00814FDA"/>
    <w:rsid w:val="008152D6"/>
    <w:rsid w:val="008154B6"/>
    <w:rsid w:val="0081553E"/>
    <w:rsid w:val="00815667"/>
    <w:rsid w:val="008156DA"/>
    <w:rsid w:val="0081581F"/>
    <w:rsid w:val="00815AD7"/>
    <w:rsid w:val="00815B56"/>
    <w:rsid w:val="00815CDE"/>
    <w:rsid w:val="008160D2"/>
    <w:rsid w:val="008165EA"/>
    <w:rsid w:val="008168FB"/>
    <w:rsid w:val="00816916"/>
    <w:rsid w:val="00816B9A"/>
    <w:rsid w:val="00816C86"/>
    <w:rsid w:val="008172E2"/>
    <w:rsid w:val="00817323"/>
    <w:rsid w:val="00817472"/>
    <w:rsid w:val="008176E3"/>
    <w:rsid w:val="00817A81"/>
    <w:rsid w:val="00817F5B"/>
    <w:rsid w:val="00817F80"/>
    <w:rsid w:val="0082013F"/>
    <w:rsid w:val="00820480"/>
    <w:rsid w:val="00820B62"/>
    <w:rsid w:val="00820BA2"/>
    <w:rsid w:val="00820E85"/>
    <w:rsid w:val="00821006"/>
    <w:rsid w:val="008217E4"/>
    <w:rsid w:val="00821826"/>
    <w:rsid w:val="008218D3"/>
    <w:rsid w:val="00821AF1"/>
    <w:rsid w:val="00822170"/>
    <w:rsid w:val="008221AC"/>
    <w:rsid w:val="00822234"/>
    <w:rsid w:val="00822513"/>
    <w:rsid w:val="00822952"/>
    <w:rsid w:val="00822976"/>
    <w:rsid w:val="008229FD"/>
    <w:rsid w:val="00822A87"/>
    <w:rsid w:val="00822B1C"/>
    <w:rsid w:val="00822D21"/>
    <w:rsid w:val="00822EB6"/>
    <w:rsid w:val="0082323F"/>
    <w:rsid w:val="00823920"/>
    <w:rsid w:val="00823AA0"/>
    <w:rsid w:val="00823C3F"/>
    <w:rsid w:val="00823DE2"/>
    <w:rsid w:val="00823E4B"/>
    <w:rsid w:val="0082407B"/>
    <w:rsid w:val="00824166"/>
    <w:rsid w:val="00824178"/>
    <w:rsid w:val="00824537"/>
    <w:rsid w:val="00824596"/>
    <w:rsid w:val="0082487F"/>
    <w:rsid w:val="00824B89"/>
    <w:rsid w:val="00824BD5"/>
    <w:rsid w:val="00824CB6"/>
    <w:rsid w:val="00824CEE"/>
    <w:rsid w:val="00824D96"/>
    <w:rsid w:val="00825031"/>
    <w:rsid w:val="00825224"/>
    <w:rsid w:val="00825525"/>
    <w:rsid w:val="00825640"/>
    <w:rsid w:val="0082564D"/>
    <w:rsid w:val="00825A1D"/>
    <w:rsid w:val="00825A81"/>
    <w:rsid w:val="00825AA3"/>
    <w:rsid w:val="00825CD9"/>
    <w:rsid w:val="00825D94"/>
    <w:rsid w:val="00826035"/>
    <w:rsid w:val="00826047"/>
    <w:rsid w:val="008262A9"/>
    <w:rsid w:val="008263AC"/>
    <w:rsid w:val="00826843"/>
    <w:rsid w:val="00826B4F"/>
    <w:rsid w:val="0082744A"/>
    <w:rsid w:val="008274F2"/>
    <w:rsid w:val="00827532"/>
    <w:rsid w:val="0082760A"/>
    <w:rsid w:val="00827AF5"/>
    <w:rsid w:val="0083063F"/>
    <w:rsid w:val="00830684"/>
    <w:rsid w:val="0083078E"/>
    <w:rsid w:val="008307FC"/>
    <w:rsid w:val="0083093E"/>
    <w:rsid w:val="00830F2D"/>
    <w:rsid w:val="008313DA"/>
    <w:rsid w:val="00831636"/>
    <w:rsid w:val="008316AE"/>
    <w:rsid w:val="0083194C"/>
    <w:rsid w:val="00831BFD"/>
    <w:rsid w:val="00832381"/>
    <w:rsid w:val="008323FA"/>
    <w:rsid w:val="00832568"/>
    <w:rsid w:val="008325EA"/>
    <w:rsid w:val="00832832"/>
    <w:rsid w:val="00832A12"/>
    <w:rsid w:val="00832C5C"/>
    <w:rsid w:val="00832F79"/>
    <w:rsid w:val="00832FDD"/>
    <w:rsid w:val="00833165"/>
    <w:rsid w:val="008334DC"/>
    <w:rsid w:val="00833584"/>
    <w:rsid w:val="008335C4"/>
    <w:rsid w:val="00833683"/>
    <w:rsid w:val="00833750"/>
    <w:rsid w:val="008337FC"/>
    <w:rsid w:val="008338A3"/>
    <w:rsid w:val="008338CA"/>
    <w:rsid w:val="00833A3C"/>
    <w:rsid w:val="00833A44"/>
    <w:rsid w:val="00833DBB"/>
    <w:rsid w:val="00834036"/>
    <w:rsid w:val="0083455E"/>
    <w:rsid w:val="00834885"/>
    <w:rsid w:val="00834922"/>
    <w:rsid w:val="0083497A"/>
    <w:rsid w:val="008349A4"/>
    <w:rsid w:val="00834A61"/>
    <w:rsid w:val="00834B1A"/>
    <w:rsid w:val="00834F75"/>
    <w:rsid w:val="00834FC5"/>
    <w:rsid w:val="00835146"/>
    <w:rsid w:val="008356E2"/>
    <w:rsid w:val="008359BE"/>
    <w:rsid w:val="00835B81"/>
    <w:rsid w:val="00835CD2"/>
    <w:rsid w:val="00835F33"/>
    <w:rsid w:val="0083615B"/>
    <w:rsid w:val="008363B5"/>
    <w:rsid w:val="008363BE"/>
    <w:rsid w:val="008365F2"/>
    <w:rsid w:val="0083690F"/>
    <w:rsid w:val="00836B05"/>
    <w:rsid w:val="00836CC7"/>
    <w:rsid w:val="00836EE3"/>
    <w:rsid w:val="0083765D"/>
    <w:rsid w:val="00837901"/>
    <w:rsid w:val="0084043A"/>
    <w:rsid w:val="00840558"/>
    <w:rsid w:val="00840645"/>
    <w:rsid w:val="0084078F"/>
    <w:rsid w:val="00840793"/>
    <w:rsid w:val="00840AFC"/>
    <w:rsid w:val="00840FB8"/>
    <w:rsid w:val="00841479"/>
    <w:rsid w:val="0084195A"/>
    <w:rsid w:val="00841F07"/>
    <w:rsid w:val="008420B6"/>
    <w:rsid w:val="008421B5"/>
    <w:rsid w:val="00842215"/>
    <w:rsid w:val="0084230B"/>
    <w:rsid w:val="00842973"/>
    <w:rsid w:val="00842B9F"/>
    <w:rsid w:val="0084306B"/>
    <w:rsid w:val="0084312A"/>
    <w:rsid w:val="00843233"/>
    <w:rsid w:val="008432CE"/>
    <w:rsid w:val="008434B0"/>
    <w:rsid w:val="008435DF"/>
    <w:rsid w:val="008436DE"/>
    <w:rsid w:val="008437C3"/>
    <w:rsid w:val="00843821"/>
    <w:rsid w:val="00843BB9"/>
    <w:rsid w:val="00843BD2"/>
    <w:rsid w:val="00843F14"/>
    <w:rsid w:val="00843FCF"/>
    <w:rsid w:val="00844063"/>
    <w:rsid w:val="008441F2"/>
    <w:rsid w:val="00844340"/>
    <w:rsid w:val="008444EF"/>
    <w:rsid w:val="0084493D"/>
    <w:rsid w:val="00844D35"/>
    <w:rsid w:val="00844D61"/>
    <w:rsid w:val="00844FD5"/>
    <w:rsid w:val="00845572"/>
    <w:rsid w:val="00845A53"/>
    <w:rsid w:val="00845B0A"/>
    <w:rsid w:val="00845B7F"/>
    <w:rsid w:val="00845F61"/>
    <w:rsid w:val="0084617B"/>
    <w:rsid w:val="00846509"/>
    <w:rsid w:val="008466A4"/>
    <w:rsid w:val="00846BB1"/>
    <w:rsid w:val="00846C38"/>
    <w:rsid w:val="00846D4E"/>
    <w:rsid w:val="00846FC2"/>
    <w:rsid w:val="00847046"/>
    <w:rsid w:val="008470B8"/>
    <w:rsid w:val="0084710D"/>
    <w:rsid w:val="008471D5"/>
    <w:rsid w:val="00847545"/>
    <w:rsid w:val="00847E72"/>
    <w:rsid w:val="00847F16"/>
    <w:rsid w:val="0085012D"/>
    <w:rsid w:val="0085066F"/>
    <w:rsid w:val="008507EC"/>
    <w:rsid w:val="00850D10"/>
    <w:rsid w:val="00850D62"/>
    <w:rsid w:val="00850EF0"/>
    <w:rsid w:val="00851076"/>
    <w:rsid w:val="008510F4"/>
    <w:rsid w:val="008511CA"/>
    <w:rsid w:val="008512D6"/>
    <w:rsid w:val="00851510"/>
    <w:rsid w:val="0085155D"/>
    <w:rsid w:val="00851AF1"/>
    <w:rsid w:val="00851EAE"/>
    <w:rsid w:val="00852184"/>
    <w:rsid w:val="0085221B"/>
    <w:rsid w:val="0085240B"/>
    <w:rsid w:val="0085247F"/>
    <w:rsid w:val="0085273F"/>
    <w:rsid w:val="0085289F"/>
    <w:rsid w:val="0085302E"/>
    <w:rsid w:val="00853475"/>
    <w:rsid w:val="0085374E"/>
    <w:rsid w:val="00853BE7"/>
    <w:rsid w:val="00853C44"/>
    <w:rsid w:val="00853CE6"/>
    <w:rsid w:val="00853D2B"/>
    <w:rsid w:val="008549AF"/>
    <w:rsid w:val="00854B3C"/>
    <w:rsid w:val="00854D2A"/>
    <w:rsid w:val="00854F5F"/>
    <w:rsid w:val="00855181"/>
    <w:rsid w:val="00855204"/>
    <w:rsid w:val="00855923"/>
    <w:rsid w:val="00855E8B"/>
    <w:rsid w:val="008563F0"/>
    <w:rsid w:val="00856688"/>
    <w:rsid w:val="008566F3"/>
    <w:rsid w:val="00857325"/>
    <w:rsid w:val="008578AF"/>
    <w:rsid w:val="00857B81"/>
    <w:rsid w:val="00857BB1"/>
    <w:rsid w:val="00857CB6"/>
    <w:rsid w:val="00857E80"/>
    <w:rsid w:val="00860182"/>
    <w:rsid w:val="008601DF"/>
    <w:rsid w:val="0086021F"/>
    <w:rsid w:val="008602E2"/>
    <w:rsid w:val="008604A9"/>
    <w:rsid w:val="0086076B"/>
    <w:rsid w:val="0086085A"/>
    <w:rsid w:val="00860C21"/>
    <w:rsid w:val="00860FC8"/>
    <w:rsid w:val="00861282"/>
    <w:rsid w:val="008613B5"/>
    <w:rsid w:val="00861C74"/>
    <w:rsid w:val="00861D8D"/>
    <w:rsid w:val="00861DBE"/>
    <w:rsid w:val="0086200B"/>
    <w:rsid w:val="00862041"/>
    <w:rsid w:val="00862179"/>
    <w:rsid w:val="00862402"/>
    <w:rsid w:val="008624E2"/>
    <w:rsid w:val="00862581"/>
    <w:rsid w:val="008626CC"/>
    <w:rsid w:val="008627E2"/>
    <w:rsid w:val="008629DF"/>
    <w:rsid w:val="00862AF7"/>
    <w:rsid w:val="00862C17"/>
    <w:rsid w:val="00862C22"/>
    <w:rsid w:val="00862CF4"/>
    <w:rsid w:val="00862E4B"/>
    <w:rsid w:val="00862E5C"/>
    <w:rsid w:val="00862EA3"/>
    <w:rsid w:val="008632FC"/>
    <w:rsid w:val="00863347"/>
    <w:rsid w:val="00863598"/>
    <w:rsid w:val="00863762"/>
    <w:rsid w:val="0086385F"/>
    <w:rsid w:val="008638BA"/>
    <w:rsid w:val="00863BB6"/>
    <w:rsid w:val="00863D75"/>
    <w:rsid w:val="00863DAF"/>
    <w:rsid w:val="00863DDC"/>
    <w:rsid w:val="00864072"/>
    <w:rsid w:val="008641D4"/>
    <w:rsid w:val="008645A6"/>
    <w:rsid w:val="00864A24"/>
    <w:rsid w:val="00864AEB"/>
    <w:rsid w:val="00865028"/>
    <w:rsid w:val="00865123"/>
    <w:rsid w:val="00865229"/>
    <w:rsid w:val="0086547F"/>
    <w:rsid w:val="008655CC"/>
    <w:rsid w:val="00865B3E"/>
    <w:rsid w:val="00865DC6"/>
    <w:rsid w:val="00865DE6"/>
    <w:rsid w:val="00865E81"/>
    <w:rsid w:val="00865F2E"/>
    <w:rsid w:val="0086648F"/>
    <w:rsid w:val="00866678"/>
    <w:rsid w:val="00866736"/>
    <w:rsid w:val="00866D4A"/>
    <w:rsid w:val="00866D90"/>
    <w:rsid w:val="00866F41"/>
    <w:rsid w:val="00867088"/>
    <w:rsid w:val="00867589"/>
    <w:rsid w:val="008677BD"/>
    <w:rsid w:val="008678DA"/>
    <w:rsid w:val="00867AF2"/>
    <w:rsid w:val="00867ECC"/>
    <w:rsid w:val="00867FA8"/>
    <w:rsid w:val="008701E6"/>
    <w:rsid w:val="0087050C"/>
    <w:rsid w:val="0087054E"/>
    <w:rsid w:val="00870710"/>
    <w:rsid w:val="00870EDB"/>
    <w:rsid w:val="008711C2"/>
    <w:rsid w:val="0087151D"/>
    <w:rsid w:val="008716B6"/>
    <w:rsid w:val="0087171E"/>
    <w:rsid w:val="008717D0"/>
    <w:rsid w:val="00871F06"/>
    <w:rsid w:val="008721F6"/>
    <w:rsid w:val="0087250F"/>
    <w:rsid w:val="008728D5"/>
    <w:rsid w:val="00872AA7"/>
    <w:rsid w:val="00872CFE"/>
    <w:rsid w:val="00872F42"/>
    <w:rsid w:val="0087338E"/>
    <w:rsid w:val="0087342E"/>
    <w:rsid w:val="00873649"/>
    <w:rsid w:val="00873800"/>
    <w:rsid w:val="00873AFB"/>
    <w:rsid w:val="00873BCD"/>
    <w:rsid w:val="00873C33"/>
    <w:rsid w:val="00873C59"/>
    <w:rsid w:val="00873CF3"/>
    <w:rsid w:val="008740A1"/>
    <w:rsid w:val="0087417C"/>
    <w:rsid w:val="008748D6"/>
    <w:rsid w:val="00874A7C"/>
    <w:rsid w:val="00874ACE"/>
    <w:rsid w:val="00874C1D"/>
    <w:rsid w:val="00874C57"/>
    <w:rsid w:val="0087518F"/>
    <w:rsid w:val="008751CF"/>
    <w:rsid w:val="0087528D"/>
    <w:rsid w:val="00875551"/>
    <w:rsid w:val="00875619"/>
    <w:rsid w:val="00875823"/>
    <w:rsid w:val="00875897"/>
    <w:rsid w:val="008759C7"/>
    <w:rsid w:val="00875ADC"/>
    <w:rsid w:val="00875F5F"/>
    <w:rsid w:val="00876094"/>
    <w:rsid w:val="008760BF"/>
    <w:rsid w:val="008760C4"/>
    <w:rsid w:val="00876175"/>
    <w:rsid w:val="0087660A"/>
    <w:rsid w:val="00876DBC"/>
    <w:rsid w:val="00877140"/>
    <w:rsid w:val="00877450"/>
    <w:rsid w:val="00877A3E"/>
    <w:rsid w:val="008800D7"/>
    <w:rsid w:val="008800FC"/>
    <w:rsid w:val="0088010E"/>
    <w:rsid w:val="008808B5"/>
    <w:rsid w:val="00880DE5"/>
    <w:rsid w:val="00880E76"/>
    <w:rsid w:val="00880EC3"/>
    <w:rsid w:val="008810A9"/>
    <w:rsid w:val="008814B4"/>
    <w:rsid w:val="00881575"/>
    <w:rsid w:val="0088164F"/>
    <w:rsid w:val="0088168C"/>
    <w:rsid w:val="00881A31"/>
    <w:rsid w:val="00881A79"/>
    <w:rsid w:val="00881B13"/>
    <w:rsid w:val="00881CE9"/>
    <w:rsid w:val="00881EAC"/>
    <w:rsid w:val="00881FA4"/>
    <w:rsid w:val="008823E4"/>
    <w:rsid w:val="00882480"/>
    <w:rsid w:val="00882898"/>
    <w:rsid w:val="008834B3"/>
    <w:rsid w:val="00883740"/>
    <w:rsid w:val="00883965"/>
    <w:rsid w:val="00883987"/>
    <w:rsid w:val="008840B2"/>
    <w:rsid w:val="0088418A"/>
    <w:rsid w:val="0088423F"/>
    <w:rsid w:val="0088435A"/>
    <w:rsid w:val="008843C8"/>
    <w:rsid w:val="00884539"/>
    <w:rsid w:val="00884829"/>
    <w:rsid w:val="00884D53"/>
    <w:rsid w:val="00884F19"/>
    <w:rsid w:val="008852C0"/>
    <w:rsid w:val="008854ED"/>
    <w:rsid w:val="00885868"/>
    <w:rsid w:val="008859CA"/>
    <w:rsid w:val="00885A1C"/>
    <w:rsid w:val="00885AEF"/>
    <w:rsid w:val="00885B2C"/>
    <w:rsid w:val="00885CCF"/>
    <w:rsid w:val="00885F46"/>
    <w:rsid w:val="008862CB"/>
    <w:rsid w:val="00886710"/>
    <w:rsid w:val="0088683E"/>
    <w:rsid w:val="00886A06"/>
    <w:rsid w:val="00886D16"/>
    <w:rsid w:val="00886DDE"/>
    <w:rsid w:val="00886E1F"/>
    <w:rsid w:val="00886EE9"/>
    <w:rsid w:val="00886F14"/>
    <w:rsid w:val="00886F44"/>
    <w:rsid w:val="00886F93"/>
    <w:rsid w:val="00887137"/>
    <w:rsid w:val="0088728E"/>
    <w:rsid w:val="008873BC"/>
    <w:rsid w:val="00887560"/>
    <w:rsid w:val="0088768E"/>
    <w:rsid w:val="00887748"/>
    <w:rsid w:val="008878C6"/>
    <w:rsid w:val="00887CA3"/>
    <w:rsid w:val="00887D49"/>
    <w:rsid w:val="00887F70"/>
    <w:rsid w:val="0089078E"/>
    <w:rsid w:val="008907E9"/>
    <w:rsid w:val="0089081C"/>
    <w:rsid w:val="00890885"/>
    <w:rsid w:val="00890941"/>
    <w:rsid w:val="00890A3E"/>
    <w:rsid w:val="00890C58"/>
    <w:rsid w:val="008911B4"/>
    <w:rsid w:val="00891582"/>
    <w:rsid w:val="00891764"/>
    <w:rsid w:val="00891963"/>
    <w:rsid w:val="00891AEE"/>
    <w:rsid w:val="008921D6"/>
    <w:rsid w:val="008922E6"/>
    <w:rsid w:val="0089236D"/>
    <w:rsid w:val="00892797"/>
    <w:rsid w:val="00892A9F"/>
    <w:rsid w:val="00892C4F"/>
    <w:rsid w:val="00892D31"/>
    <w:rsid w:val="00892EEC"/>
    <w:rsid w:val="00892F69"/>
    <w:rsid w:val="00893304"/>
    <w:rsid w:val="0089390D"/>
    <w:rsid w:val="0089394F"/>
    <w:rsid w:val="00893AE1"/>
    <w:rsid w:val="00893C6E"/>
    <w:rsid w:val="00893DAA"/>
    <w:rsid w:val="00893FC6"/>
    <w:rsid w:val="00894506"/>
    <w:rsid w:val="00894620"/>
    <w:rsid w:val="00894700"/>
    <w:rsid w:val="008948B4"/>
    <w:rsid w:val="00894BC5"/>
    <w:rsid w:val="0089538C"/>
    <w:rsid w:val="0089562B"/>
    <w:rsid w:val="0089592D"/>
    <w:rsid w:val="00895B4E"/>
    <w:rsid w:val="0089635A"/>
    <w:rsid w:val="008966B8"/>
    <w:rsid w:val="008968B0"/>
    <w:rsid w:val="008969B1"/>
    <w:rsid w:val="00896DD2"/>
    <w:rsid w:val="00896EFC"/>
    <w:rsid w:val="00897502"/>
    <w:rsid w:val="00897826"/>
    <w:rsid w:val="00897B2B"/>
    <w:rsid w:val="00897C20"/>
    <w:rsid w:val="008A0111"/>
    <w:rsid w:val="008A03A0"/>
    <w:rsid w:val="008A05A1"/>
    <w:rsid w:val="008A0773"/>
    <w:rsid w:val="008A0854"/>
    <w:rsid w:val="008A0C8C"/>
    <w:rsid w:val="008A0CC3"/>
    <w:rsid w:val="008A0F08"/>
    <w:rsid w:val="008A10BE"/>
    <w:rsid w:val="008A1131"/>
    <w:rsid w:val="008A18F0"/>
    <w:rsid w:val="008A1C1E"/>
    <w:rsid w:val="008A1C4E"/>
    <w:rsid w:val="008A1D3B"/>
    <w:rsid w:val="008A1D5B"/>
    <w:rsid w:val="008A1E36"/>
    <w:rsid w:val="008A1FBF"/>
    <w:rsid w:val="008A1FEF"/>
    <w:rsid w:val="008A25DF"/>
    <w:rsid w:val="008A26AF"/>
    <w:rsid w:val="008A2DBF"/>
    <w:rsid w:val="008A2E41"/>
    <w:rsid w:val="008A2F92"/>
    <w:rsid w:val="008A3213"/>
    <w:rsid w:val="008A3297"/>
    <w:rsid w:val="008A4095"/>
    <w:rsid w:val="008A40C4"/>
    <w:rsid w:val="008A44E5"/>
    <w:rsid w:val="008A46AC"/>
    <w:rsid w:val="008A49E3"/>
    <w:rsid w:val="008A4A10"/>
    <w:rsid w:val="008A4F81"/>
    <w:rsid w:val="008A56DB"/>
    <w:rsid w:val="008A579A"/>
    <w:rsid w:val="008A57C9"/>
    <w:rsid w:val="008A5A95"/>
    <w:rsid w:val="008A5D99"/>
    <w:rsid w:val="008A5EBC"/>
    <w:rsid w:val="008A600F"/>
    <w:rsid w:val="008A61EE"/>
    <w:rsid w:val="008A6579"/>
    <w:rsid w:val="008A65B2"/>
    <w:rsid w:val="008A6AE5"/>
    <w:rsid w:val="008A6D01"/>
    <w:rsid w:val="008A6E32"/>
    <w:rsid w:val="008A7016"/>
    <w:rsid w:val="008A7164"/>
    <w:rsid w:val="008A74DA"/>
    <w:rsid w:val="008A771A"/>
    <w:rsid w:val="008A77BC"/>
    <w:rsid w:val="008A7912"/>
    <w:rsid w:val="008A7A1E"/>
    <w:rsid w:val="008B015A"/>
    <w:rsid w:val="008B018D"/>
    <w:rsid w:val="008B02E2"/>
    <w:rsid w:val="008B0632"/>
    <w:rsid w:val="008B066F"/>
    <w:rsid w:val="008B0772"/>
    <w:rsid w:val="008B0E15"/>
    <w:rsid w:val="008B124F"/>
    <w:rsid w:val="008B13DA"/>
    <w:rsid w:val="008B15E7"/>
    <w:rsid w:val="008B1712"/>
    <w:rsid w:val="008B1A9E"/>
    <w:rsid w:val="008B1B3C"/>
    <w:rsid w:val="008B1B5A"/>
    <w:rsid w:val="008B2225"/>
    <w:rsid w:val="008B234E"/>
    <w:rsid w:val="008B288B"/>
    <w:rsid w:val="008B292F"/>
    <w:rsid w:val="008B29A1"/>
    <w:rsid w:val="008B2D2B"/>
    <w:rsid w:val="008B2E4F"/>
    <w:rsid w:val="008B2EC8"/>
    <w:rsid w:val="008B3001"/>
    <w:rsid w:val="008B3033"/>
    <w:rsid w:val="008B3125"/>
    <w:rsid w:val="008B329A"/>
    <w:rsid w:val="008B32C0"/>
    <w:rsid w:val="008B331C"/>
    <w:rsid w:val="008B3508"/>
    <w:rsid w:val="008B3B9B"/>
    <w:rsid w:val="008B3C7A"/>
    <w:rsid w:val="008B40BD"/>
    <w:rsid w:val="008B462F"/>
    <w:rsid w:val="008B47EB"/>
    <w:rsid w:val="008B49A5"/>
    <w:rsid w:val="008B5485"/>
    <w:rsid w:val="008B551B"/>
    <w:rsid w:val="008B56FF"/>
    <w:rsid w:val="008B5BA6"/>
    <w:rsid w:val="008B5D8C"/>
    <w:rsid w:val="008B5DA5"/>
    <w:rsid w:val="008B5F30"/>
    <w:rsid w:val="008B5FDF"/>
    <w:rsid w:val="008B65C2"/>
    <w:rsid w:val="008B66DC"/>
    <w:rsid w:val="008B67E6"/>
    <w:rsid w:val="008B6983"/>
    <w:rsid w:val="008B69EB"/>
    <w:rsid w:val="008B6A9A"/>
    <w:rsid w:val="008B6ACA"/>
    <w:rsid w:val="008B6CEA"/>
    <w:rsid w:val="008B6E76"/>
    <w:rsid w:val="008B732A"/>
    <w:rsid w:val="008B757C"/>
    <w:rsid w:val="008B757F"/>
    <w:rsid w:val="008B77EB"/>
    <w:rsid w:val="008B78A9"/>
    <w:rsid w:val="008B7911"/>
    <w:rsid w:val="008B7A88"/>
    <w:rsid w:val="008B7EB8"/>
    <w:rsid w:val="008C023C"/>
    <w:rsid w:val="008C04EB"/>
    <w:rsid w:val="008C0655"/>
    <w:rsid w:val="008C0FA0"/>
    <w:rsid w:val="008C11E5"/>
    <w:rsid w:val="008C11F3"/>
    <w:rsid w:val="008C12D8"/>
    <w:rsid w:val="008C1439"/>
    <w:rsid w:val="008C14A9"/>
    <w:rsid w:val="008C199B"/>
    <w:rsid w:val="008C1C6A"/>
    <w:rsid w:val="008C1D28"/>
    <w:rsid w:val="008C1DC8"/>
    <w:rsid w:val="008C1FC9"/>
    <w:rsid w:val="008C2156"/>
    <w:rsid w:val="008C2537"/>
    <w:rsid w:val="008C2553"/>
    <w:rsid w:val="008C25C1"/>
    <w:rsid w:val="008C2A81"/>
    <w:rsid w:val="008C2DCA"/>
    <w:rsid w:val="008C2FD9"/>
    <w:rsid w:val="008C300F"/>
    <w:rsid w:val="008C3202"/>
    <w:rsid w:val="008C3448"/>
    <w:rsid w:val="008C3481"/>
    <w:rsid w:val="008C34C9"/>
    <w:rsid w:val="008C3587"/>
    <w:rsid w:val="008C36AA"/>
    <w:rsid w:val="008C3B23"/>
    <w:rsid w:val="008C40FD"/>
    <w:rsid w:val="008C4852"/>
    <w:rsid w:val="008C48AD"/>
    <w:rsid w:val="008C48D9"/>
    <w:rsid w:val="008C4AA2"/>
    <w:rsid w:val="008C4FE4"/>
    <w:rsid w:val="008C5295"/>
    <w:rsid w:val="008C52B9"/>
    <w:rsid w:val="008C550B"/>
    <w:rsid w:val="008C5570"/>
    <w:rsid w:val="008C57D6"/>
    <w:rsid w:val="008C5840"/>
    <w:rsid w:val="008C59CA"/>
    <w:rsid w:val="008C59FB"/>
    <w:rsid w:val="008C5B93"/>
    <w:rsid w:val="008C5F3C"/>
    <w:rsid w:val="008C69C7"/>
    <w:rsid w:val="008C6ADE"/>
    <w:rsid w:val="008C6DFC"/>
    <w:rsid w:val="008C7344"/>
    <w:rsid w:val="008C746E"/>
    <w:rsid w:val="008C747A"/>
    <w:rsid w:val="008C7556"/>
    <w:rsid w:val="008C76C5"/>
    <w:rsid w:val="008C76CE"/>
    <w:rsid w:val="008C7725"/>
    <w:rsid w:val="008C7DF4"/>
    <w:rsid w:val="008D0147"/>
    <w:rsid w:val="008D0391"/>
    <w:rsid w:val="008D0896"/>
    <w:rsid w:val="008D09D6"/>
    <w:rsid w:val="008D159E"/>
    <w:rsid w:val="008D1600"/>
    <w:rsid w:val="008D17E5"/>
    <w:rsid w:val="008D1D24"/>
    <w:rsid w:val="008D1DC1"/>
    <w:rsid w:val="008D1F5B"/>
    <w:rsid w:val="008D2486"/>
    <w:rsid w:val="008D2495"/>
    <w:rsid w:val="008D26EC"/>
    <w:rsid w:val="008D2813"/>
    <w:rsid w:val="008D29C0"/>
    <w:rsid w:val="008D2C23"/>
    <w:rsid w:val="008D3819"/>
    <w:rsid w:val="008D38AC"/>
    <w:rsid w:val="008D3A03"/>
    <w:rsid w:val="008D3A8B"/>
    <w:rsid w:val="008D3D6D"/>
    <w:rsid w:val="008D3DA2"/>
    <w:rsid w:val="008D3DA6"/>
    <w:rsid w:val="008D4258"/>
    <w:rsid w:val="008D4284"/>
    <w:rsid w:val="008D429A"/>
    <w:rsid w:val="008D4628"/>
    <w:rsid w:val="008D4735"/>
    <w:rsid w:val="008D490E"/>
    <w:rsid w:val="008D4964"/>
    <w:rsid w:val="008D49D4"/>
    <w:rsid w:val="008D4BC8"/>
    <w:rsid w:val="008D4ECE"/>
    <w:rsid w:val="008D5094"/>
    <w:rsid w:val="008D5393"/>
    <w:rsid w:val="008D539E"/>
    <w:rsid w:val="008D5458"/>
    <w:rsid w:val="008D54CB"/>
    <w:rsid w:val="008D5571"/>
    <w:rsid w:val="008D568C"/>
    <w:rsid w:val="008D5763"/>
    <w:rsid w:val="008D58E2"/>
    <w:rsid w:val="008D5E3E"/>
    <w:rsid w:val="008D6422"/>
    <w:rsid w:val="008D64F8"/>
    <w:rsid w:val="008D6ABE"/>
    <w:rsid w:val="008D6AE4"/>
    <w:rsid w:val="008D6C3F"/>
    <w:rsid w:val="008D6D97"/>
    <w:rsid w:val="008D6DF5"/>
    <w:rsid w:val="008D6F04"/>
    <w:rsid w:val="008D6F63"/>
    <w:rsid w:val="008D763C"/>
    <w:rsid w:val="008D7940"/>
    <w:rsid w:val="008D7A4C"/>
    <w:rsid w:val="008D7BB0"/>
    <w:rsid w:val="008E0128"/>
    <w:rsid w:val="008E0262"/>
    <w:rsid w:val="008E02CB"/>
    <w:rsid w:val="008E0333"/>
    <w:rsid w:val="008E0461"/>
    <w:rsid w:val="008E09FE"/>
    <w:rsid w:val="008E0F30"/>
    <w:rsid w:val="008E10ED"/>
    <w:rsid w:val="008E12B0"/>
    <w:rsid w:val="008E180B"/>
    <w:rsid w:val="008E1C51"/>
    <w:rsid w:val="008E20E0"/>
    <w:rsid w:val="008E21C7"/>
    <w:rsid w:val="008E21CF"/>
    <w:rsid w:val="008E23FA"/>
    <w:rsid w:val="008E2609"/>
    <w:rsid w:val="008E29DA"/>
    <w:rsid w:val="008E2A48"/>
    <w:rsid w:val="008E2AE9"/>
    <w:rsid w:val="008E2C39"/>
    <w:rsid w:val="008E2D0A"/>
    <w:rsid w:val="008E2DAA"/>
    <w:rsid w:val="008E2DDB"/>
    <w:rsid w:val="008E2F9E"/>
    <w:rsid w:val="008E324E"/>
    <w:rsid w:val="008E364E"/>
    <w:rsid w:val="008E38AA"/>
    <w:rsid w:val="008E3959"/>
    <w:rsid w:val="008E3ACC"/>
    <w:rsid w:val="008E3C0F"/>
    <w:rsid w:val="008E3F5C"/>
    <w:rsid w:val="008E40C0"/>
    <w:rsid w:val="008E44A1"/>
    <w:rsid w:val="008E461C"/>
    <w:rsid w:val="008E49DF"/>
    <w:rsid w:val="008E4F00"/>
    <w:rsid w:val="008E4F87"/>
    <w:rsid w:val="008E507E"/>
    <w:rsid w:val="008E50A8"/>
    <w:rsid w:val="008E51E3"/>
    <w:rsid w:val="008E52D8"/>
    <w:rsid w:val="008E5489"/>
    <w:rsid w:val="008E55CE"/>
    <w:rsid w:val="008E55F3"/>
    <w:rsid w:val="008E578B"/>
    <w:rsid w:val="008E5CAA"/>
    <w:rsid w:val="008E5DD4"/>
    <w:rsid w:val="008E5E7F"/>
    <w:rsid w:val="008E6569"/>
    <w:rsid w:val="008E669E"/>
    <w:rsid w:val="008E6C1B"/>
    <w:rsid w:val="008E7002"/>
    <w:rsid w:val="008E73DC"/>
    <w:rsid w:val="008E7715"/>
    <w:rsid w:val="008E7852"/>
    <w:rsid w:val="008E7933"/>
    <w:rsid w:val="008E7CA5"/>
    <w:rsid w:val="008F02F4"/>
    <w:rsid w:val="008F07D0"/>
    <w:rsid w:val="008F0BC0"/>
    <w:rsid w:val="008F0BC1"/>
    <w:rsid w:val="008F13E0"/>
    <w:rsid w:val="008F18D0"/>
    <w:rsid w:val="008F22A2"/>
    <w:rsid w:val="008F22EB"/>
    <w:rsid w:val="008F22F5"/>
    <w:rsid w:val="008F2355"/>
    <w:rsid w:val="008F2415"/>
    <w:rsid w:val="008F2665"/>
    <w:rsid w:val="008F29F4"/>
    <w:rsid w:val="008F2AAD"/>
    <w:rsid w:val="008F2DBE"/>
    <w:rsid w:val="008F2DC7"/>
    <w:rsid w:val="008F3099"/>
    <w:rsid w:val="008F30F0"/>
    <w:rsid w:val="008F317D"/>
    <w:rsid w:val="008F3318"/>
    <w:rsid w:val="008F33A9"/>
    <w:rsid w:val="008F36B6"/>
    <w:rsid w:val="008F3996"/>
    <w:rsid w:val="008F3ADE"/>
    <w:rsid w:val="008F3C4B"/>
    <w:rsid w:val="008F3E3A"/>
    <w:rsid w:val="008F4056"/>
    <w:rsid w:val="008F41F1"/>
    <w:rsid w:val="008F451C"/>
    <w:rsid w:val="008F4524"/>
    <w:rsid w:val="008F4989"/>
    <w:rsid w:val="008F4B2D"/>
    <w:rsid w:val="008F4B82"/>
    <w:rsid w:val="008F4C79"/>
    <w:rsid w:val="008F51E3"/>
    <w:rsid w:val="008F5A44"/>
    <w:rsid w:val="008F5AE5"/>
    <w:rsid w:val="008F60D9"/>
    <w:rsid w:val="008F6175"/>
    <w:rsid w:val="008F61C7"/>
    <w:rsid w:val="008F654A"/>
    <w:rsid w:val="008F65E2"/>
    <w:rsid w:val="008F67D9"/>
    <w:rsid w:val="008F6A53"/>
    <w:rsid w:val="008F6BA1"/>
    <w:rsid w:val="008F6C31"/>
    <w:rsid w:val="008F6C34"/>
    <w:rsid w:val="008F6D9B"/>
    <w:rsid w:val="008F6E6E"/>
    <w:rsid w:val="008F6FA7"/>
    <w:rsid w:val="008F735C"/>
    <w:rsid w:val="008F748E"/>
    <w:rsid w:val="008F7583"/>
    <w:rsid w:val="008F7D85"/>
    <w:rsid w:val="008F7FD3"/>
    <w:rsid w:val="0090002D"/>
    <w:rsid w:val="00900075"/>
    <w:rsid w:val="00900226"/>
    <w:rsid w:val="00900461"/>
    <w:rsid w:val="0090048D"/>
    <w:rsid w:val="009004D0"/>
    <w:rsid w:val="00900615"/>
    <w:rsid w:val="00900685"/>
    <w:rsid w:val="009006A6"/>
    <w:rsid w:val="00900738"/>
    <w:rsid w:val="00900BC7"/>
    <w:rsid w:val="0090106B"/>
    <w:rsid w:val="009010C6"/>
    <w:rsid w:val="009012D9"/>
    <w:rsid w:val="00901358"/>
    <w:rsid w:val="0090137E"/>
    <w:rsid w:val="009013A3"/>
    <w:rsid w:val="009015A8"/>
    <w:rsid w:val="009015FC"/>
    <w:rsid w:val="00901644"/>
    <w:rsid w:val="00901790"/>
    <w:rsid w:val="009017A9"/>
    <w:rsid w:val="009018CB"/>
    <w:rsid w:val="009019F8"/>
    <w:rsid w:val="00901BD3"/>
    <w:rsid w:val="00901CEC"/>
    <w:rsid w:val="00901E8B"/>
    <w:rsid w:val="00901ECC"/>
    <w:rsid w:val="00902010"/>
    <w:rsid w:val="009020CE"/>
    <w:rsid w:val="009021C3"/>
    <w:rsid w:val="009021E7"/>
    <w:rsid w:val="009022FE"/>
    <w:rsid w:val="009025EF"/>
    <w:rsid w:val="009029F7"/>
    <w:rsid w:val="00902DB6"/>
    <w:rsid w:val="009030F7"/>
    <w:rsid w:val="00903167"/>
    <w:rsid w:val="0090324A"/>
    <w:rsid w:val="00903380"/>
    <w:rsid w:val="009034C4"/>
    <w:rsid w:val="009034FC"/>
    <w:rsid w:val="0090360C"/>
    <w:rsid w:val="0090381B"/>
    <w:rsid w:val="00903A2F"/>
    <w:rsid w:val="00903B27"/>
    <w:rsid w:val="00903D70"/>
    <w:rsid w:val="00903DE4"/>
    <w:rsid w:val="00903E51"/>
    <w:rsid w:val="00903FAE"/>
    <w:rsid w:val="009043A4"/>
    <w:rsid w:val="009044CD"/>
    <w:rsid w:val="009048CC"/>
    <w:rsid w:val="009048E7"/>
    <w:rsid w:val="00904B26"/>
    <w:rsid w:val="00904E80"/>
    <w:rsid w:val="0090500D"/>
    <w:rsid w:val="009051DC"/>
    <w:rsid w:val="00905311"/>
    <w:rsid w:val="009055C9"/>
    <w:rsid w:val="009055D6"/>
    <w:rsid w:val="00905886"/>
    <w:rsid w:val="0090596F"/>
    <w:rsid w:val="00905AD9"/>
    <w:rsid w:val="00905E6B"/>
    <w:rsid w:val="0090610A"/>
    <w:rsid w:val="00906361"/>
    <w:rsid w:val="00906647"/>
    <w:rsid w:val="00906655"/>
    <w:rsid w:val="009067E9"/>
    <w:rsid w:val="009069E5"/>
    <w:rsid w:val="00906A6C"/>
    <w:rsid w:val="00906A8C"/>
    <w:rsid w:val="00906ABC"/>
    <w:rsid w:val="00906B90"/>
    <w:rsid w:val="00906D97"/>
    <w:rsid w:val="00906F5A"/>
    <w:rsid w:val="0090731A"/>
    <w:rsid w:val="0090732B"/>
    <w:rsid w:val="0090747B"/>
    <w:rsid w:val="009077A2"/>
    <w:rsid w:val="0090785D"/>
    <w:rsid w:val="0090790A"/>
    <w:rsid w:val="0091045C"/>
    <w:rsid w:val="009109DB"/>
    <w:rsid w:val="00910C12"/>
    <w:rsid w:val="00910C2A"/>
    <w:rsid w:val="00910F46"/>
    <w:rsid w:val="00911436"/>
    <w:rsid w:val="0091146A"/>
    <w:rsid w:val="0091155F"/>
    <w:rsid w:val="00911AD7"/>
    <w:rsid w:val="00911FF0"/>
    <w:rsid w:val="00912044"/>
    <w:rsid w:val="009120D0"/>
    <w:rsid w:val="009121C8"/>
    <w:rsid w:val="0091228F"/>
    <w:rsid w:val="00912445"/>
    <w:rsid w:val="009128AC"/>
    <w:rsid w:val="00912977"/>
    <w:rsid w:val="00912A42"/>
    <w:rsid w:val="00912B65"/>
    <w:rsid w:val="00912D9C"/>
    <w:rsid w:val="00912E20"/>
    <w:rsid w:val="00912E4B"/>
    <w:rsid w:val="00912EA5"/>
    <w:rsid w:val="00912FE3"/>
    <w:rsid w:val="0091301D"/>
    <w:rsid w:val="0091305E"/>
    <w:rsid w:val="009130E3"/>
    <w:rsid w:val="009131A8"/>
    <w:rsid w:val="009132B3"/>
    <w:rsid w:val="009132CC"/>
    <w:rsid w:val="00913461"/>
    <w:rsid w:val="009138B7"/>
    <w:rsid w:val="00913AF1"/>
    <w:rsid w:val="00913B05"/>
    <w:rsid w:val="00913B98"/>
    <w:rsid w:val="00913F61"/>
    <w:rsid w:val="009140BB"/>
    <w:rsid w:val="00914123"/>
    <w:rsid w:val="009141FB"/>
    <w:rsid w:val="009144AC"/>
    <w:rsid w:val="00914548"/>
    <w:rsid w:val="009146F6"/>
    <w:rsid w:val="009149E3"/>
    <w:rsid w:val="00914F6A"/>
    <w:rsid w:val="00915285"/>
    <w:rsid w:val="0091547A"/>
    <w:rsid w:val="00915875"/>
    <w:rsid w:val="0091590F"/>
    <w:rsid w:val="009159D6"/>
    <w:rsid w:val="00915BFB"/>
    <w:rsid w:val="00915D71"/>
    <w:rsid w:val="009166CB"/>
    <w:rsid w:val="009166F4"/>
    <w:rsid w:val="00916853"/>
    <w:rsid w:val="0091692D"/>
    <w:rsid w:val="00916C92"/>
    <w:rsid w:val="00917054"/>
    <w:rsid w:val="0091755B"/>
    <w:rsid w:val="009177EB"/>
    <w:rsid w:val="00917985"/>
    <w:rsid w:val="00917AEB"/>
    <w:rsid w:val="00917C13"/>
    <w:rsid w:val="00917E43"/>
    <w:rsid w:val="009202D2"/>
    <w:rsid w:val="009204DC"/>
    <w:rsid w:val="00920577"/>
    <w:rsid w:val="0092060C"/>
    <w:rsid w:val="009206E0"/>
    <w:rsid w:val="0092073B"/>
    <w:rsid w:val="00920772"/>
    <w:rsid w:val="009207B2"/>
    <w:rsid w:val="009207FF"/>
    <w:rsid w:val="009208DC"/>
    <w:rsid w:val="009208FF"/>
    <w:rsid w:val="00920996"/>
    <w:rsid w:val="009209A2"/>
    <w:rsid w:val="009209D9"/>
    <w:rsid w:val="00920E1C"/>
    <w:rsid w:val="00921225"/>
    <w:rsid w:val="009213C3"/>
    <w:rsid w:val="00921481"/>
    <w:rsid w:val="00921844"/>
    <w:rsid w:val="0092189A"/>
    <w:rsid w:val="00922190"/>
    <w:rsid w:val="009221BE"/>
    <w:rsid w:val="009227BD"/>
    <w:rsid w:val="009228F9"/>
    <w:rsid w:val="00922955"/>
    <w:rsid w:val="00922CEF"/>
    <w:rsid w:val="00922D35"/>
    <w:rsid w:val="00922DEE"/>
    <w:rsid w:val="00922E32"/>
    <w:rsid w:val="00922FBE"/>
    <w:rsid w:val="00922FD5"/>
    <w:rsid w:val="0092314D"/>
    <w:rsid w:val="009232EC"/>
    <w:rsid w:val="00923413"/>
    <w:rsid w:val="00923627"/>
    <w:rsid w:val="009236E8"/>
    <w:rsid w:val="009239DD"/>
    <w:rsid w:val="00923A1A"/>
    <w:rsid w:val="00923AED"/>
    <w:rsid w:val="0092408B"/>
    <w:rsid w:val="009240C8"/>
    <w:rsid w:val="009241A7"/>
    <w:rsid w:val="009241B2"/>
    <w:rsid w:val="00924217"/>
    <w:rsid w:val="00924226"/>
    <w:rsid w:val="009248F3"/>
    <w:rsid w:val="0092490A"/>
    <w:rsid w:val="00924AA2"/>
    <w:rsid w:val="00924AD1"/>
    <w:rsid w:val="00924B55"/>
    <w:rsid w:val="00924D7D"/>
    <w:rsid w:val="00924E0D"/>
    <w:rsid w:val="00924EAF"/>
    <w:rsid w:val="00925283"/>
    <w:rsid w:val="00925492"/>
    <w:rsid w:val="009259B9"/>
    <w:rsid w:val="009261AF"/>
    <w:rsid w:val="009262D3"/>
    <w:rsid w:val="009266D1"/>
    <w:rsid w:val="0092677C"/>
    <w:rsid w:val="009271CA"/>
    <w:rsid w:val="00927580"/>
    <w:rsid w:val="0092760C"/>
    <w:rsid w:val="00927676"/>
    <w:rsid w:val="0092768D"/>
    <w:rsid w:val="0092773A"/>
    <w:rsid w:val="009277F8"/>
    <w:rsid w:val="009279FE"/>
    <w:rsid w:val="00927BEE"/>
    <w:rsid w:val="009302BA"/>
    <w:rsid w:val="009302C3"/>
    <w:rsid w:val="00930934"/>
    <w:rsid w:val="00930940"/>
    <w:rsid w:val="00930948"/>
    <w:rsid w:val="00930CCA"/>
    <w:rsid w:val="00931569"/>
    <w:rsid w:val="00931579"/>
    <w:rsid w:val="0093173C"/>
    <w:rsid w:val="0093185C"/>
    <w:rsid w:val="009318F7"/>
    <w:rsid w:val="00931A7C"/>
    <w:rsid w:val="00931AB0"/>
    <w:rsid w:val="00931AE3"/>
    <w:rsid w:val="00931BF0"/>
    <w:rsid w:val="00932485"/>
    <w:rsid w:val="00932718"/>
    <w:rsid w:val="00932785"/>
    <w:rsid w:val="00932931"/>
    <w:rsid w:val="00932AC0"/>
    <w:rsid w:val="00932D95"/>
    <w:rsid w:val="00932EDC"/>
    <w:rsid w:val="00932F65"/>
    <w:rsid w:val="00932FEF"/>
    <w:rsid w:val="00933861"/>
    <w:rsid w:val="009338EB"/>
    <w:rsid w:val="00933BE6"/>
    <w:rsid w:val="00933C64"/>
    <w:rsid w:val="00933E35"/>
    <w:rsid w:val="00933FA7"/>
    <w:rsid w:val="0093415B"/>
    <w:rsid w:val="00934364"/>
    <w:rsid w:val="009345D0"/>
    <w:rsid w:val="009349F6"/>
    <w:rsid w:val="00934C13"/>
    <w:rsid w:val="00934CEC"/>
    <w:rsid w:val="00935227"/>
    <w:rsid w:val="009356E5"/>
    <w:rsid w:val="00935BA5"/>
    <w:rsid w:val="00935C25"/>
    <w:rsid w:val="00935D78"/>
    <w:rsid w:val="009360F5"/>
    <w:rsid w:val="00936378"/>
    <w:rsid w:val="00936527"/>
    <w:rsid w:val="0093673F"/>
    <w:rsid w:val="0093699D"/>
    <w:rsid w:val="00937214"/>
    <w:rsid w:val="0093723E"/>
    <w:rsid w:val="00937C0A"/>
    <w:rsid w:val="00937F3C"/>
    <w:rsid w:val="00940023"/>
    <w:rsid w:val="009403F0"/>
    <w:rsid w:val="0094058B"/>
    <w:rsid w:val="00940676"/>
    <w:rsid w:val="009406B9"/>
    <w:rsid w:val="009407ED"/>
    <w:rsid w:val="00940B8D"/>
    <w:rsid w:val="00941234"/>
    <w:rsid w:val="009413E2"/>
    <w:rsid w:val="00941E99"/>
    <w:rsid w:val="00942262"/>
    <w:rsid w:val="009426A8"/>
    <w:rsid w:val="00942955"/>
    <w:rsid w:val="009429C9"/>
    <w:rsid w:val="00942DFC"/>
    <w:rsid w:val="009431A8"/>
    <w:rsid w:val="009435AF"/>
    <w:rsid w:val="009437D6"/>
    <w:rsid w:val="00943A8A"/>
    <w:rsid w:val="00943FF5"/>
    <w:rsid w:val="009440F8"/>
    <w:rsid w:val="00944170"/>
    <w:rsid w:val="0094428A"/>
    <w:rsid w:val="009442C8"/>
    <w:rsid w:val="00944670"/>
    <w:rsid w:val="0094476A"/>
    <w:rsid w:val="00944A56"/>
    <w:rsid w:val="00944AD5"/>
    <w:rsid w:val="00944B39"/>
    <w:rsid w:val="00944D30"/>
    <w:rsid w:val="00944DC1"/>
    <w:rsid w:val="0094500B"/>
    <w:rsid w:val="0094505D"/>
    <w:rsid w:val="009454B1"/>
    <w:rsid w:val="00945755"/>
    <w:rsid w:val="009458E1"/>
    <w:rsid w:val="00945B04"/>
    <w:rsid w:val="00945D01"/>
    <w:rsid w:val="00945DA6"/>
    <w:rsid w:val="00945DE2"/>
    <w:rsid w:val="00946116"/>
    <w:rsid w:val="00946184"/>
    <w:rsid w:val="009463E8"/>
    <w:rsid w:val="0094669B"/>
    <w:rsid w:val="0094673A"/>
    <w:rsid w:val="00946A29"/>
    <w:rsid w:val="009471FE"/>
    <w:rsid w:val="009478E2"/>
    <w:rsid w:val="00947F0D"/>
    <w:rsid w:val="00947FF4"/>
    <w:rsid w:val="00950034"/>
    <w:rsid w:val="00950076"/>
    <w:rsid w:val="00950186"/>
    <w:rsid w:val="00950226"/>
    <w:rsid w:val="00950305"/>
    <w:rsid w:val="009503F3"/>
    <w:rsid w:val="00950731"/>
    <w:rsid w:val="00950952"/>
    <w:rsid w:val="00950CF4"/>
    <w:rsid w:val="00950D22"/>
    <w:rsid w:val="00950DB9"/>
    <w:rsid w:val="0095137E"/>
    <w:rsid w:val="009513CE"/>
    <w:rsid w:val="0095154D"/>
    <w:rsid w:val="00951585"/>
    <w:rsid w:val="00951987"/>
    <w:rsid w:val="00951CD5"/>
    <w:rsid w:val="00952485"/>
    <w:rsid w:val="0095276B"/>
    <w:rsid w:val="009533B1"/>
    <w:rsid w:val="009535FE"/>
    <w:rsid w:val="00953609"/>
    <w:rsid w:val="0095373C"/>
    <w:rsid w:val="009537AD"/>
    <w:rsid w:val="00953804"/>
    <w:rsid w:val="00953AA9"/>
    <w:rsid w:val="009542AC"/>
    <w:rsid w:val="009547FD"/>
    <w:rsid w:val="00954A17"/>
    <w:rsid w:val="00954E75"/>
    <w:rsid w:val="00954E8F"/>
    <w:rsid w:val="00954FF0"/>
    <w:rsid w:val="0095518C"/>
    <w:rsid w:val="00955588"/>
    <w:rsid w:val="00955707"/>
    <w:rsid w:val="00955C5C"/>
    <w:rsid w:val="00955D1E"/>
    <w:rsid w:val="00955F1E"/>
    <w:rsid w:val="00955F67"/>
    <w:rsid w:val="00956246"/>
    <w:rsid w:val="0095648E"/>
    <w:rsid w:val="009565DD"/>
    <w:rsid w:val="00956AAD"/>
    <w:rsid w:val="00956BBD"/>
    <w:rsid w:val="00956D9A"/>
    <w:rsid w:val="00956EA5"/>
    <w:rsid w:val="00957056"/>
    <w:rsid w:val="009570FE"/>
    <w:rsid w:val="0095713D"/>
    <w:rsid w:val="0095752F"/>
    <w:rsid w:val="009577B2"/>
    <w:rsid w:val="009577C3"/>
    <w:rsid w:val="009579FF"/>
    <w:rsid w:val="00957DEB"/>
    <w:rsid w:val="009601FA"/>
    <w:rsid w:val="00960930"/>
    <w:rsid w:val="009609F3"/>
    <w:rsid w:val="00960B22"/>
    <w:rsid w:val="00960DAB"/>
    <w:rsid w:val="00961606"/>
    <w:rsid w:val="0096205B"/>
    <w:rsid w:val="00962249"/>
    <w:rsid w:val="009623F2"/>
    <w:rsid w:val="009623F3"/>
    <w:rsid w:val="009626E4"/>
    <w:rsid w:val="009627B7"/>
    <w:rsid w:val="00962859"/>
    <w:rsid w:val="00962887"/>
    <w:rsid w:val="0096314A"/>
    <w:rsid w:val="009631D6"/>
    <w:rsid w:val="009633DF"/>
    <w:rsid w:val="00963759"/>
    <w:rsid w:val="00963775"/>
    <w:rsid w:val="009637D1"/>
    <w:rsid w:val="009639BD"/>
    <w:rsid w:val="00964030"/>
    <w:rsid w:val="0096405F"/>
    <w:rsid w:val="00964084"/>
    <w:rsid w:val="009642C2"/>
    <w:rsid w:val="00964313"/>
    <w:rsid w:val="009647BC"/>
    <w:rsid w:val="00964976"/>
    <w:rsid w:val="00964B27"/>
    <w:rsid w:val="00964D8D"/>
    <w:rsid w:val="009654F8"/>
    <w:rsid w:val="009655F9"/>
    <w:rsid w:val="00965928"/>
    <w:rsid w:val="00965E18"/>
    <w:rsid w:val="00965F70"/>
    <w:rsid w:val="00966095"/>
    <w:rsid w:val="00966110"/>
    <w:rsid w:val="00966264"/>
    <w:rsid w:val="00966333"/>
    <w:rsid w:val="00966579"/>
    <w:rsid w:val="0096670F"/>
    <w:rsid w:val="0096682D"/>
    <w:rsid w:val="00966F77"/>
    <w:rsid w:val="00967176"/>
    <w:rsid w:val="0096729B"/>
    <w:rsid w:val="0096729C"/>
    <w:rsid w:val="00967A65"/>
    <w:rsid w:val="00967CA0"/>
    <w:rsid w:val="00967D2A"/>
    <w:rsid w:val="00967D2E"/>
    <w:rsid w:val="009700F0"/>
    <w:rsid w:val="00970263"/>
    <w:rsid w:val="00970552"/>
    <w:rsid w:val="0097090D"/>
    <w:rsid w:val="00970997"/>
    <w:rsid w:val="00970E56"/>
    <w:rsid w:val="00970E94"/>
    <w:rsid w:val="00970F43"/>
    <w:rsid w:val="00970FE9"/>
    <w:rsid w:val="00971041"/>
    <w:rsid w:val="00971604"/>
    <w:rsid w:val="00971678"/>
    <w:rsid w:val="0097191E"/>
    <w:rsid w:val="00971A22"/>
    <w:rsid w:val="009720B2"/>
    <w:rsid w:val="0097232E"/>
    <w:rsid w:val="00972D98"/>
    <w:rsid w:val="00973434"/>
    <w:rsid w:val="00973473"/>
    <w:rsid w:val="009735B6"/>
    <w:rsid w:val="00973AD7"/>
    <w:rsid w:val="00973DA7"/>
    <w:rsid w:val="00973DCC"/>
    <w:rsid w:val="00973EA9"/>
    <w:rsid w:val="00973EC0"/>
    <w:rsid w:val="00973FC1"/>
    <w:rsid w:val="0097446B"/>
    <w:rsid w:val="00974580"/>
    <w:rsid w:val="00974A66"/>
    <w:rsid w:val="00974A6D"/>
    <w:rsid w:val="00974B14"/>
    <w:rsid w:val="00974BD5"/>
    <w:rsid w:val="009751A3"/>
    <w:rsid w:val="0097552D"/>
    <w:rsid w:val="00975710"/>
    <w:rsid w:val="00975858"/>
    <w:rsid w:val="00975982"/>
    <w:rsid w:val="00975BFA"/>
    <w:rsid w:val="00975D2F"/>
    <w:rsid w:val="00976291"/>
    <w:rsid w:val="009763BA"/>
    <w:rsid w:val="0097654F"/>
    <w:rsid w:val="00976789"/>
    <w:rsid w:val="00976D4D"/>
    <w:rsid w:val="0097712A"/>
    <w:rsid w:val="009772D0"/>
    <w:rsid w:val="00977A97"/>
    <w:rsid w:val="00977F0D"/>
    <w:rsid w:val="009805A5"/>
    <w:rsid w:val="0098068B"/>
    <w:rsid w:val="0098081B"/>
    <w:rsid w:val="00980A8F"/>
    <w:rsid w:val="00980BA3"/>
    <w:rsid w:val="00980BFA"/>
    <w:rsid w:val="00980D29"/>
    <w:rsid w:val="00980F53"/>
    <w:rsid w:val="00980F73"/>
    <w:rsid w:val="009810BB"/>
    <w:rsid w:val="0098116F"/>
    <w:rsid w:val="009811CF"/>
    <w:rsid w:val="009813A7"/>
    <w:rsid w:val="0098144E"/>
    <w:rsid w:val="009816A2"/>
    <w:rsid w:val="009818C0"/>
    <w:rsid w:val="00981EAC"/>
    <w:rsid w:val="0098202E"/>
    <w:rsid w:val="0098291D"/>
    <w:rsid w:val="0098291F"/>
    <w:rsid w:val="00982B9E"/>
    <w:rsid w:val="00982FF3"/>
    <w:rsid w:val="00983245"/>
    <w:rsid w:val="0098324B"/>
    <w:rsid w:val="00983402"/>
    <w:rsid w:val="00983684"/>
    <w:rsid w:val="00983724"/>
    <w:rsid w:val="00983890"/>
    <w:rsid w:val="0098401B"/>
    <w:rsid w:val="009840BA"/>
    <w:rsid w:val="0098410B"/>
    <w:rsid w:val="009841E8"/>
    <w:rsid w:val="00984254"/>
    <w:rsid w:val="00984905"/>
    <w:rsid w:val="00984E73"/>
    <w:rsid w:val="00985371"/>
    <w:rsid w:val="009853B0"/>
    <w:rsid w:val="00985A60"/>
    <w:rsid w:val="00985C07"/>
    <w:rsid w:val="00985E37"/>
    <w:rsid w:val="00985FF7"/>
    <w:rsid w:val="009860AD"/>
    <w:rsid w:val="009861A8"/>
    <w:rsid w:val="00986200"/>
    <w:rsid w:val="0098630E"/>
    <w:rsid w:val="009867A0"/>
    <w:rsid w:val="00986918"/>
    <w:rsid w:val="00986B1F"/>
    <w:rsid w:val="00986CF0"/>
    <w:rsid w:val="00986D32"/>
    <w:rsid w:val="00986D40"/>
    <w:rsid w:val="00986FDA"/>
    <w:rsid w:val="00987412"/>
    <w:rsid w:val="009877D8"/>
    <w:rsid w:val="00987819"/>
    <w:rsid w:val="00987A47"/>
    <w:rsid w:val="00987AE3"/>
    <w:rsid w:val="00987BDC"/>
    <w:rsid w:val="00987F91"/>
    <w:rsid w:val="00990252"/>
    <w:rsid w:val="00990275"/>
    <w:rsid w:val="0099029E"/>
    <w:rsid w:val="0099056D"/>
    <w:rsid w:val="00990585"/>
    <w:rsid w:val="00990702"/>
    <w:rsid w:val="0099086A"/>
    <w:rsid w:val="009908B2"/>
    <w:rsid w:val="00990CF6"/>
    <w:rsid w:val="00990DDF"/>
    <w:rsid w:val="00990F47"/>
    <w:rsid w:val="00990FF9"/>
    <w:rsid w:val="0099111F"/>
    <w:rsid w:val="009915D2"/>
    <w:rsid w:val="009916A1"/>
    <w:rsid w:val="009916C3"/>
    <w:rsid w:val="0099195E"/>
    <w:rsid w:val="00991AD0"/>
    <w:rsid w:val="00991EB1"/>
    <w:rsid w:val="0099202B"/>
    <w:rsid w:val="0099280C"/>
    <w:rsid w:val="00992B15"/>
    <w:rsid w:val="00992C86"/>
    <w:rsid w:val="00992D73"/>
    <w:rsid w:val="00992DED"/>
    <w:rsid w:val="00992F39"/>
    <w:rsid w:val="00993480"/>
    <w:rsid w:val="009937CB"/>
    <w:rsid w:val="00993811"/>
    <w:rsid w:val="0099420E"/>
    <w:rsid w:val="009944BA"/>
    <w:rsid w:val="00994C4A"/>
    <w:rsid w:val="00994DD1"/>
    <w:rsid w:val="009950F1"/>
    <w:rsid w:val="00995162"/>
    <w:rsid w:val="00995534"/>
    <w:rsid w:val="00995DBF"/>
    <w:rsid w:val="009960E6"/>
    <w:rsid w:val="009963D4"/>
    <w:rsid w:val="00996457"/>
    <w:rsid w:val="00996A8C"/>
    <w:rsid w:val="00996BB9"/>
    <w:rsid w:val="00997073"/>
    <w:rsid w:val="009972D6"/>
    <w:rsid w:val="00997331"/>
    <w:rsid w:val="009975DB"/>
    <w:rsid w:val="0099772A"/>
    <w:rsid w:val="00997842"/>
    <w:rsid w:val="00997AA6"/>
    <w:rsid w:val="00997D15"/>
    <w:rsid w:val="00997D37"/>
    <w:rsid w:val="00997E3C"/>
    <w:rsid w:val="00997EA4"/>
    <w:rsid w:val="009A00F0"/>
    <w:rsid w:val="009A0290"/>
    <w:rsid w:val="009A0433"/>
    <w:rsid w:val="009A04C5"/>
    <w:rsid w:val="009A051B"/>
    <w:rsid w:val="009A0568"/>
    <w:rsid w:val="009A05C0"/>
    <w:rsid w:val="009A062C"/>
    <w:rsid w:val="009A0FC2"/>
    <w:rsid w:val="009A1085"/>
    <w:rsid w:val="009A1525"/>
    <w:rsid w:val="009A155C"/>
    <w:rsid w:val="009A1D3B"/>
    <w:rsid w:val="009A1DC6"/>
    <w:rsid w:val="009A1FCA"/>
    <w:rsid w:val="009A201C"/>
    <w:rsid w:val="009A204A"/>
    <w:rsid w:val="009A2075"/>
    <w:rsid w:val="009A215F"/>
    <w:rsid w:val="009A2475"/>
    <w:rsid w:val="009A26F2"/>
    <w:rsid w:val="009A2771"/>
    <w:rsid w:val="009A2B34"/>
    <w:rsid w:val="009A2CF3"/>
    <w:rsid w:val="009A2DA7"/>
    <w:rsid w:val="009A2EE5"/>
    <w:rsid w:val="009A3179"/>
    <w:rsid w:val="009A31E9"/>
    <w:rsid w:val="009A3343"/>
    <w:rsid w:val="009A356E"/>
    <w:rsid w:val="009A36EC"/>
    <w:rsid w:val="009A38E6"/>
    <w:rsid w:val="009A39BE"/>
    <w:rsid w:val="009A3A2E"/>
    <w:rsid w:val="009A3BF3"/>
    <w:rsid w:val="009A3CD2"/>
    <w:rsid w:val="009A3E49"/>
    <w:rsid w:val="009A3E84"/>
    <w:rsid w:val="009A404B"/>
    <w:rsid w:val="009A406B"/>
    <w:rsid w:val="009A407E"/>
    <w:rsid w:val="009A43D8"/>
    <w:rsid w:val="009A48C8"/>
    <w:rsid w:val="009A496B"/>
    <w:rsid w:val="009A4CB9"/>
    <w:rsid w:val="009A4CC9"/>
    <w:rsid w:val="009A4D6C"/>
    <w:rsid w:val="009A4FE0"/>
    <w:rsid w:val="009A5025"/>
    <w:rsid w:val="009A50D7"/>
    <w:rsid w:val="009A50DE"/>
    <w:rsid w:val="009A52C3"/>
    <w:rsid w:val="009A57D6"/>
    <w:rsid w:val="009A5B1C"/>
    <w:rsid w:val="009A5C56"/>
    <w:rsid w:val="009A5D93"/>
    <w:rsid w:val="009A5DA4"/>
    <w:rsid w:val="009A6066"/>
    <w:rsid w:val="009A61B0"/>
    <w:rsid w:val="009A69B2"/>
    <w:rsid w:val="009A6C57"/>
    <w:rsid w:val="009A6F31"/>
    <w:rsid w:val="009A6FA7"/>
    <w:rsid w:val="009A746C"/>
    <w:rsid w:val="009A74D0"/>
    <w:rsid w:val="009A7C17"/>
    <w:rsid w:val="009A7D2C"/>
    <w:rsid w:val="009B0753"/>
    <w:rsid w:val="009B0FC6"/>
    <w:rsid w:val="009B105A"/>
    <w:rsid w:val="009B1395"/>
    <w:rsid w:val="009B189F"/>
    <w:rsid w:val="009B1A15"/>
    <w:rsid w:val="009B1AA3"/>
    <w:rsid w:val="009B1F7F"/>
    <w:rsid w:val="009B22D2"/>
    <w:rsid w:val="009B24DB"/>
    <w:rsid w:val="009B2529"/>
    <w:rsid w:val="009B2706"/>
    <w:rsid w:val="009B2BAD"/>
    <w:rsid w:val="009B2CA3"/>
    <w:rsid w:val="009B32AA"/>
    <w:rsid w:val="009B338F"/>
    <w:rsid w:val="009B365B"/>
    <w:rsid w:val="009B3F73"/>
    <w:rsid w:val="009B4473"/>
    <w:rsid w:val="009B48D4"/>
    <w:rsid w:val="009B4D00"/>
    <w:rsid w:val="009B52EC"/>
    <w:rsid w:val="009B54BF"/>
    <w:rsid w:val="009B5697"/>
    <w:rsid w:val="009B59FE"/>
    <w:rsid w:val="009B5C3F"/>
    <w:rsid w:val="009B600C"/>
    <w:rsid w:val="009B6679"/>
    <w:rsid w:val="009B6EC5"/>
    <w:rsid w:val="009B714A"/>
    <w:rsid w:val="009B750A"/>
    <w:rsid w:val="009B760B"/>
    <w:rsid w:val="009B7712"/>
    <w:rsid w:val="009B7761"/>
    <w:rsid w:val="009B7CDB"/>
    <w:rsid w:val="009B7E16"/>
    <w:rsid w:val="009B7E52"/>
    <w:rsid w:val="009B7F21"/>
    <w:rsid w:val="009B7F38"/>
    <w:rsid w:val="009B7FFC"/>
    <w:rsid w:val="009C0252"/>
    <w:rsid w:val="009C035D"/>
    <w:rsid w:val="009C03C8"/>
    <w:rsid w:val="009C0771"/>
    <w:rsid w:val="009C0DDF"/>
    <w:rsid w:val="009C0F02"/>
    <w:rsid w:val="009C101B"/>
    <w:rsid w:val="009C1161"/>
    <w:rsid w:val="009C1419"/>
    <w:rsid w:val="009C1620"/>
    <w:rsid w:val="009C164E"/>
    <w:rsid w:val="009C1718"/>
    <w:rsid w:val="009C1AC5"/>
    <w:rsid w:val="009C1E7A"/>
    <w:rsid w:val="009C1F09"/>
    <w:rsid w:val="009C20CC"/>
    <w:rsid w:val="009C2329"/>
    <w:rsid w:val="009C2374"/>
    <w:rsid w:val="009C239F"/>
    <w:rsid w:val="009C2478"/>
    <w:rsid w:val="009C2487"/>
    <w:rsid w:val="009C281E"/>
    <w:rsid w:val="009C325A"/>
    <w:rsid w:val="009C3434"/>
    <w:rsid w:val="009C34FC"/>
    <w:rsid w:val="009C3571"/>
    <w:rsid w:val="009C3607"/>
    <w:rsid w:val="009C373D"/>
    <w:rsid w:val="009C37CE"/>
    <w:rsid w:val="009C3A34"/>
    <w:rsid w:val="009C3AB0"/>
    <w:rsid w:val="009C3B3D"/>
    <w:rsid w:val="009C3B42"/>
    <w:rsid w:val="009C416A"/>
    <w:rsid w:val="009C4367"/>
    <w:rsid w:val="009C448B"/>
    <w:rsid w:val="009C46BB"/>
    <w:rsid w:val="009C4B03"/>
    <w:rsid w:val="009C4B43"/>
    <w:rsid w:val="009C520B"/>
    <w:rsid w:val="009C52AE"/>
    <w:rsid w:val="009C5337"/>
    <w:rsid w:val="009C53AA"/>
    <w:rsid w:val="009C5563"/>
    <w:rsid w:val="009C584D"/>
    <w:rsid w:val="009C58AD"/>
    <w:rsid w:val="009C59DF"/>
    <w:rsid w:val="009C5AAA"/>
    <w:rsid w:val="009C5B5E"/>
    <w:rsid w:val="009C60A4"/>
    <w:rsid w:val="009C60F3"/>
    <w:rsid w:val="009C66AE"/>
    <w:rsid w:val="009C6746"/>
    <w:rsid w:val="009C680A"/>
    <w:rsid w:val="009C685B"/>
    <w:rsid w:val="009C6935"/>
    <w:rsid w:val="009C69DA"/>
    <w:rsid w:val="009C6AA7"/>
    <w:rsid w:val="009C6EA6"/>
    <w:rsid w:val="009C752F"/>
    <w:rsid w:val="009C7909"/>
    <w:rsid w:val="009C7972"/>
    <w:rsid w:val="009C7D82"/>
    <w:rsid w:val="009C7DE3"/>
    <w:rsid w:val="009D04D5"/>
    <w:rsid w:val="009D0547"/>
    <w:rsid w:val="009D061D"/>
    <w:rsid w:val="009D06D8"/>
    <w:rsid w:val="009D0829"/>
    <w:rsid w:val="009D0B99"/>
    <w:rsid w:val="009D0C00"/>
    <w:rsid w:val="009D0FA1"/>
    <w:rsid w:val="009D0FD0"/>
    <w:rsid w:val="009D10E2"/>
    <w:rsid w:val="009D1347"/>
    <w:rsid w:val="009D1418"/>
    <w:rsid w:val="009D18F1"/>
    <w:rsid w:val="009D1E82"/>
    <w:rsid w:val="009D1F5E"/>
    <w:rsid w:val="009D1F72"/>
    <w:rsid w:val="009D1FE6"/>
    <w:rsid w:val="009D22A5"/>
    <w:rsid w:val="009D238E"/>
    <w:rsid w:val="009D24C8"/>
    <w:rsid w:val="009D2523"/>
    <w:rsid w:val="009D27C2"/>
    <w:rsid w:val="009D2AC7"/>
    <w:rsid w:val="009D2ADD"/>
    <w:rsid w:val="009D2CE3"/>
    <w:rsid w:val="009D2D47"/>
    <w:rsid w:val="009D308F"/>
    <w:rsid w:val="009D3099"/>
    <w:rsid w:val="009D30E8"/>
    <w:rsid w:val="009D3145"/>
    <w:rsid w:val="009D32C9"/>
    <w:rsid w:val="009D32E4"/>
    <w:rsid w:val="009D3311"/>
    <w:rsid w:val="009D333F"/>
    <w:rsid w:val="009D3353"/>
    <w:rsid w:val="009D375E"/>
    <w:rsid w:val="009D4278"/>
    <w:rsid w:val="009D42E6"/>
    <w:rsid w:val="009D44A4"/>
    <w:rsid w:val="009D44BA"/>
    <w:rsid w:val="009D474C"/>
    <w:rsid w:val="009D4D35"/>
    <w:rsid w:val="009D4E1F"/>
    <w:rsid w:val="009D5124"/>
    <w:rsid w:val="009D5240"/>
    <w:rsid w:val="009D53E2"/>
    <w:rsid w:val="009D55E9"/>
    <w:rsid w:val="009D5BAE"/>
    <w:rsid w:val="009D5C65"/>
    <w:rsid w:val="009D60F7"/>
    <w:rsid w:val="009D635E"/>
    <w:rsid w:val="009D651A"/>
    <w:rsid w:val="009D6654"/>
    <w:rsid w:val="009D682A"/>
    <w:rsid w:val="009D6947"/>
    <w:rsid w:val="009D6953"/>
    <w:rsid w:val="009D6F08"/>
    <w:rsid w:val="009D6F43"/>
    <w:rsid w:val="009D70DE"/>
    <w:rsid w:val="009D7891"/>
    <w:rsid w:val="009D78DF"/>
    <w:rsid w:val="009D7B98"/>
    <w:rsid w:val="009D7EE4"/>
    <w:rsid w:val="009D7F01"/>
    <w:rsid w:val="009E0030"/>
    <w:rsid w:val="009E0081"/>
    <w:rsid w:val="009E01AB"/>
    <w:rsid w:val="009E01D8"/>
    <w:rsid w:val="009E04F3"/>
    <w:rsid w:val="009E1384"/>
    <w:rsid w:val="009E1A94"/>
    <w:rsid w:val="009E1AA0"/>
    <w:rsid w:val="009E1C2A"/>
    <w:rsid w:val="009E1D0C"/>
    <w:rsid w:val="009E1D52"/>
    <w:rsid w:val="009E1E14"/>
    <w:rsid w:val="009E2073"/>
    <w:rsid w:val="009E211A"/>
    <w:rsid w:val="009E2256"/>
    <w:rsid w:val="009E22E4"/>
    <w:rsid w:val="009E2301"/>
    <w:rsid w:val="009E2780"/>
    <w:rsid w:val="009E2917"/>
    <w:rsid w:val="009E335D"/>
    <w:rsid w:val="009E3570"/>
    <w:rsid w:val="009E39B4"/>
    <w:rsid w:val="009E3CFF"/>
    <w:rsid w:val="009E3D7B"/>
    <w:rsid w:val="009E40C2"/>
    <w:rsid w:val="009E44A2"/>
    <w:rsid w:val="009E4656"/>
    <w:rsid w:val="009E465D"/>
    <w:rsid w:val="009E475E"/>
    <w:rsid w:val="009E4E01"/>
    <w:rsid w:val="009E4EF6"/>
    <w:rsid w:val="009E5331"/>
    <w:rsid w:val="009E53CA"/>
    <w:rsid w:val="009E56DF"/>
    <w:rsid w:val="009E6365"/>
    <w:rsid w:val="009E63BD"/>
    <w:rsid w:val="009E63F9"/>
    <w:rsid w:val="009E6492"/>
    <w:rsid w:val="009E64E4"/>
    <w:rsid w:val="009E671A"/>
    <w:rsid w:val="009E6730"/>
    <w:rsid w:val="009E67A1"/>
    <w:rsid w:val="009E6D1E"/>
    <w:rsid w:val="009E6D22"/>
    <w:rsid w:val="009E6D4E"/>
    <w:rsid w:val="009E6F2D"/>
    <w:rsid w:val="009E7137"/>
    <w:rsid w:val="009E72DC"/>
    <w:rsid w:val="009E74C8"/>
    <w:rsid w:val="009E7541"/>
    <w:rsid w:val="009E7649"/>
    <w:rsid w:val="009E767E"/>
    <w:rsid w:val="009E7947"/>
    <w:rsid w:val="009E7FD1"/>
    <w:rsid w:val="009F021B"/>
    <w:rsid w:val="009F0321"/>
    <w:rsid w:val="009F0523"/>
    <w:rsid w:val="009F0778"/>
    <w:rsid w:val="009F07F0"/>
    <w:rsid w:val="009F084F"/>
    <w:rsid w:val="009F0980"/>
    <w:rsid w:val="009F0B22"/>
    <w:rsid w:val="009F0E2E"/>
    <w:rsid w:val="009F0EFA"/>
    <w:rsid w:val="009F0FD1"/>
    <w:rsid w:val="009F1783"/>
    <w:rsid w:val="009F1932"/>
    <w:rsid w:val="009F1940"/>
    <w:rsid w:val="009F1B99"/>
    <w:rsid w:val="009F1BA0"/>
    <w:rsid w:val="009F1E0A"/>
    <w:rsid w:val="009F1F66"/>
    <w:rsid w:val="009F2470"/>
    <w:rsid w:val="009F274A"/>
    <w:rsid w:val="009F29BE"/>
    <w:rsid w:val="009F2AB1"/>
    <w:rsid w:val="009F2B85"/>
    <w:rsid w:val="009F3040"/>
    <w:rsid w:val="009F3363"/>
    <w:rsid w:val="009F3C1F"/>
    <w:rsid w:val="009F3C28"/>
    <w:rsid w:val="009F3C65"/>
    <w:rsid w:val="009F3EAD"/>
    <w:rsid w:val="009F42E4"/>
    <w:rsid w:val="009F434B"/>
    <w:rsid w:val="009F46AE"/>
    <w:rsid w:val="009F48FF"/>
    <w:rsid w:val="009F4906"/>
    <w:rsid w:val="009F4925"/>
    <w:rsid w:val="009F4C09"/>
    <w:rsid w:val="009F4C96"/>
    <w:rsid w:val="009F5575"/>
    <w:rsid w:val="009F5644"/>
    <w:rsid w:val="009F59F1"/>
    <w:rsid w:val="009F5A4B"/>
    <w:rsid w:val="009F5E35"/>
    <w:rsid w:val="009F6311"/>
    <w:rsid w:val="009F63E1"/>
    <w:rsid w:val="009F68D5"/>
    <w:rsid w:val="009F6C50"/>
    <w:rsid w:val="009F6C6E"/>
    <w:rsid w:val="009F7266"/>
    <w:rsid w:val="009F73A7"/>
    <w:rsid w:val="009F74C2"/>
    <w:rsid w:val="009F7501"/>
    <w:rsid w:val="009F7770"/>
    <w:rsid w:val="009F77B8"/>
    <w:rsid w:val="009F7BA2"/>
    <w:rsid w:val="00A004C2"/>
    <w:rsid w:val="00A005DF"/>
    <w:rsid w:val="00A00861"/>
    <w:rsid w:val="00A00BC6"/>
    <w:rsid w:val="00A0109C"/>
    <w:rsid w:val="00A01152"/>
    <w:rsid w:val="00A01210"/>
    <w:rsid w:val="00A012A2"/>
    <w:rsid w:val="00A01392"/>
    <w:rsid w:val="00A01634"/>
    <w:rsid w:val="00A01671"/>
    <w:rsid w:val="00A01800"/>
    <w:rsid w:val="00A01DFC"/>
    <w:rsid w:val="00A020A6"/>
    <w:rsid w:val="00A02149"/>
    <w:rsid w:val="00A021B4"/>
    <w:rsid w:val="00A025AA"/>
    <w:rsid w:val="00A0268B"/>
    <w:rsid w:val="00A02700"/>
    <w:rsid w:val="00A028D8"/>
    <w:rsid w:val="00A029DA"/>
    <w:rsid w:val="00A02AFD"/>
    <w:rsid w:val="00A02DBF"/>
    <w:rsid w:val="00A0303F"/>
    <w:rsid w:val="00A03250"/>
    <w:rsid w:val="00A037A5"/>
    <w:rsid w:val="00A03A0E"/>
    <w:rsid w:val="00A03DF6"/>
    <w:rsid w:val="00A03E09"/>
    <w:rsid w:val="00A03E51"/>
    <w:rsid w:val="00A040BE"/>
    <w:rsid w:val="00A045B5"/>
    <w:rsid w:val="00A0478C"/>
    <w:rsid w:val="00A04AD2"/>
    <w:rsid w:val="00A04D9B"/>
    <w:rsid w:val="00A04FFB"/>
    <w:rsid w:val="00A05076"/>
    <w:rsid w:val="00A0586F"/>
    <w:rsid w:val="00A0590E"/>
    <w:rsid w:val="00A05BBC"/>
    <w:rsid w:val="00A05ED0"/>
    <w:rsid w:val="00A061BE"/>
    <w:rsid w:val="00A0651F"/>
    <w:rsid w:val="00A06680"/>
    <w:rsid w:val="00A0677C"/>
    <w:rsid w:val="00A067EA"/>
    <w:rsid w:val="00A069B7"/>
    <w:rsid w:val="00A06A4D"/>
    <w:rsid w:val="00A06B5D"/>
    <w:rsid w:val="00A06BAE"/>
    <w:rsid w:val="00A06EA0"/>
    <w:rsid w:val="00A06FB3"/>
    <w:rsid w:val="00A0702F"/>
    <w:rsid w:val="00A0712C"/>
    <w:rsid w:val="00A0733D"/>
    <w:rsid w:val="00A073EC"/>
    <w:rsid w:val="00A07979"/>
    <w:rsid w:val="00A07982"/>
    <w:rsid w:val="00A079B1"/>
    <w:rsid w:val="00A07BEF"/>
    <w:rsid w:val="00A100C4"/>
    <w:rsid w:val="00A10106"/>
    <w:rsid w:val="00A10333"/>
    <w:rsid w:val="00A107D9"/>
    <w:rsid w:val="00A108B2"/>
    <w:rsid w:val="00A10CDA"/>
    <w:rsid w:val="00A11408"/>
    <w:rsid w:val="00A11C19"/>
    <w:rsid w:val="00A11F28"/>
    <w:rsid w:val="00A120D9"/>
    <w:rsid w:val="00A122ED"/>
    <w:rsid w:val="00A12344"/>
    <w:rsid w:val="00A12B13"/>
    <w:rsid w:val="00A12B36"/>
    <w:rsid w:val="00A12CDA"/>
    <w:rsid w:val="00A12E4E"/>
    <w:rsid w:val="00A1302F"/>
    <w:rsid w:val="00A13059"/>
    <w:rsid w:val="00A13431"/>
    <w:rsid w:val="00A139B3"/>
    <w:rsid w:val="00A13AF1"/>
    <w:rsid w:val="00A13CCB"/>
    <w:rsid w:val="00A14A96"/>
    <w:rsid w:val="00A14E72"/>
    <w:rsid w:val="00A15043"/>
    <w:rsid w:val="00A1582C"/>
    <w:rsid w:val="00A15831"/>
    <w:rsid w:val="00A15AA0"/>
    <w:rsid w:val="00A15ABC"/>
    <w:rsid w:val="00A15EF2"/>
    <w:rsid w:val="00A160AA"/>
    <w:rsid w:val="00A16158"/>
    <w:rsid w:val="00A1627B"/>
    <w:rsid w:val="00A1627F"/>
    <w:rsid w:val="00A162B2"/>
    <w:rsid w:val="00A165AB"/>
    <w:rsid w:val="00A166F5"/>
    <w:rsid w:val="00A16768"/>
    <w:rsid w:val="00A168BD"/>
    <w:rsid w:val="00A16A84"/>
    <w:rsid w:val="00A16B88"/>
    <w:rsid w:val="00A16DF6"/>
    <w:rsid w:val="00A17020"/>
    <w:rsid w:val="00A17231"/>
    <w:rsid w:val="00A1730A"/>
    <w:rsid w:val="00A173D3"/>
    <w:rsid w:val="00A173D6"/>
    <w:rsid w:val="00A17428"/>
    <w:rsid w:val="00A17600"/>
    <w:rsid w:val="00A176C0"/>
    <w:rsid w:val="00A17EFB"/>
    <w:rsid w:val="00A17F3C"/>
    <w:rsid w:val="00A201E5"/>
    <w:rsid w:val="00A20305"/>
    <w:rsid w:val="00A20360"/>
    <w:rsid w:val="00A2058D"/>
    <w:rsid w:val="00A20D91"/>
    <w:rsid w:val="00A21178"/>
    <w:rsid w:val="00A211F0"/>
    <w:rsid w:val="00A2169A"/>
    <w:rsid w:val="00A216B3"/>
    <w:rsid w:val="00A2181F"/>
    <w:rsid w:val="00A21A12"/>
    <w:rsid w:val="00A21A38"/>
    <w:rsid w:val="00A21BBE"/>
    <w:rsid w:val="00A21EBA"/>
    <w:rsid w:val="00A2222D"/>
    <w:rsid w:val="00A223FF"/>
    <w:rsid w:val="00A22451"/>
    <w:rsid w:val="00A225B5"/>
    <w:rsid w:val="00A225F9"/>
    <w:rsid w:val="00A2268A"/>
    <w:rsid w:val="00A22706"/>
    <w:rsid w:val="00A227A5"/>
    <w:rsid w:val="00A22CE5"/>
    <w:rsid w:val="00A22F44"/>
    <w:rsid w:val="00A2312C"/>
    <w:rsid w:val="00A231FA"/>
    <w:rsid w:val="00A23903"/>
    <w:rsid w:val="00A23B48"/>
    <w:rsid w:val="00A23C3C"/>
    <w:rsid w:val="00A23E62"/>
    <w:rsid w:val="00A23F68"/>
    <w:rsid w:val="00A23FA2"/>
    <w:rsid w:val="00A242EB"/>
    <w:rsid w:val="00A24609"/>
    <w:rsid w:val="00A24A50"/>
    <w:rsid w:val="00A24AA1"/>
    <w:rsid w:val="00A24D50"/>
    <w:rsid w:val="00A24F04"/>
    <w:rsid w:val="00A25315"/>
    <w:rsid w:val="00A2542F"/>
    <w:rsid w:val="00A25B46"/>
    <w:rsid w:val="00A25BBB"/>
    <w:rsid w:val="00A25D9E"/>
    <w:rsid w:val="00A2674A"/>
    <w:rsid w:val="00A26EBC"/>
    <w:rsid w:val="00A272DC"/>
    <w:rsid w:val="00A27596"/>
    <w:rsid w:val="00A27B23"/>
    <w:rsid w:val="00A27B78"/>
    <w:rsid w:val="00A27EA6"/>
    <w:rsid w:val="00A300A4"/>
    <w:rsid w:val="00A3044F"/>
    <w:rsid w:val="00A305D5"/>
    <w:rsid w:val="00A30A1C"/>
    <w:rsid w:val="00A30CD0"/>
    <w:rsid w:val="00A30E2D"/>
    <w:rsid w:val="00A31012"/>
    <w:rsid w:val="00A31090"/>
    <w:rsid w:val="00A31187"/>
    <w:rsid w:val="00A315EA"/>
    <w:rsid w:val="00A31CF4"/>
    <w:rsid w:val="00A31E5B"/>
    <w:rsid w:val="00A32012"/>
    <w:rsid w:val="00A32046"/>
    <w:rsid w:val="00A3211D"/>
    <w:rsid w:val="00A3218A"/>
    <w:rsid w:val="00A32398"/>
    <w:rsid w:val="00A32402"/>
    <w:rsid w:val="00A3283E"/>
    <w:rsid w:val="00A32901"/>
    <w:rsid w:val="00A32C65"/>
    <w:rsid w:val="00A33016"/>
    <w:rsid w:val="00A33119"/>
    <w:rsid w:val="00A33462"/>
    <w:rsid w:val="00A335D5"/>
    <w:rsid w:val="00A33713"/>
    <w:rsid w:val="00A33889"/>
    <w:rsid w:val="00A3394E"/>
    <w:rsid w:val="00A339F4"/>
    <w:rsid w:val="00A33F7A"/>
    <w:rsid w:val="00A34033"/>
    <w:rsid w:val="00A341B0"/>
    <w:rsid w:val="00A34352"/>
    <w:rsid w:val="00A346C1"/>
    <w:rsid w:val="00A34834"/>
    <w:rsid w:val="00A34B03"/>
    <w:rsid w:val="00A3503D"/>
    <w:rsid w:val="00A3519C"/>
    <w:rsid w:val="00A353EC"/>
    <w:rsid w:val="00A35452"/>
    <w:rsid w:val="00A355F5"/>
    <w:rsid w:val="00A35683"/>
    <w:rsid w:val="00A356A5"/>
    <w:rsid w:val="00A356B4"/>
    <w:rsid w:val="00A356CE"/>
    <w:rsid w:val="00A358C6"/>
    <w:rsid w:val="00A35CB3"/>
    <w:rsid w:val="00A35CCE"/>
    <w:rsid w:val="00A35FBE"/>
    <w:rsid w:val="00A367DF"/>
    <w:rsid w:val="00A369D9"/>
    <w:rsid w:val="00A36E70"/>
    <w:rsid w:val="00A36FA2"/>
    <w:rsid w:val="00A37690"/>
    <w:rsid w:val="00A37712"/>
    <w:rsid w:val="00A37D02"/>
    <w:rsid w:val="00A4013E"/>
    <w:rsid w:val="00A406D1"/>
    <w:rsid w:val="00A4072A"/>
    <w:rsid w:val="00A4075A"/>
    <w:rsid w:val="00A40A91"/>
    <w:rsid w:val="00A40B65"/>
    <w:rsid w:val="00A40C6A"/>
    <w:rsid w:val="00A40F9C"/>
    <w:rsid w:val="00A410A4"/>
    <w:rsid w:val="00A41500"/>
    <w:rsid w:val="00A41671"/>
    <w:rsid w:val="00A417AC"/>
    <w:rsid w:val="00A41878"/>
    <w:rsid w:val="00A4199E"/>
    <w:rsid w:val="00A419DA"/>
    <w:rsid w:val="00A41B26"/>
    <w:rsid w:val="00A429D4"/>
    <w:rsid w:val="00A42C8D"/>
    <w:rsid w:val="00A42EB4"/>
    <w:rsid w:val="00A438A1"/>
    <w:rsid w:val="00A43B2E"/>
    <w:rsid w:val="00A43CF8"/>
    <w:rsid w:val="00A43DAD"/>
    <w:rsid w:val="00A4433A"/>
    <w:rsid w:val="00A44605"/>
    <w:rsid w:val="00A44994"/>
    <w:rsid w:val="00A44CB8"/>
    <w:rsid w:val="00A44E1B"/>
    <w:rsid w:val="00A44E99"/>
    <w:rsid w:val="00A45351"/>
    <w:rsid w:val="00A45375"/>
    <w:rsid w:val="00A455E4"/>
    <w:rsid w:val="00A45D14"/>
    <w:rsid w:val="00A45F8E"/>
    <w:rsid w:val="00A46060"/>
    <w:rsid w:val="00A460A8"/>
    <w:rsid w:val="00A4639F"/>
    <w:rsid w:val="00A46548"/>
    <w:rsid w:val="00A4654A"/>
    <w:rsid w:val="00A46653"/>
    <w:rsid w:val="00A46714"/>
    <w:rsid w:val="00A469DE"/>
    <w:rsid w:val="00A46BC5"/>
    <w:rsid w:val="00A46F0E"/>
    <w:rsid w:val="00A47545"/>
    <w:rsid w:val="00A476F1"/>
    <w:rsid w:val="00A47729"/>
    <w:rsid w:val="00A4781E"/>
    <w:rsid w:val="00A47DBE"/>
    <w:rsid w:val="00A504AB"/>
    <w:rsid w:val="00A5055B"/>
    <w:rsid w:val="00A5068D"/>
    <w:rsid w:val="00A50869"/>
    <w:rsid w:val="00A5088E"/>
    <w:rsid w:val="00A50927"/>
    <w:rsid w:val="00A50CCF"/>
    <w:rsid w:val="00A50F41"/>
    <w:rsid w:val="00A5108B"/>
    <w:rsid w:val="00A51161"/>
    <w:rsid w:val="00A512D1"/>
    <w:rsid w:val="00A51345"/>
    <w:rsid w:val="00A516B4"/>
    <w:rsid w:val="00A51972"/>
    <w:rsid w:val="00A51975"/>
    <w:rsid w:val="00A51E0E"/>
    <w:rsid w:val="00A51E99"/>
    <w:rsid w:val="00A522BB"/>
    <w:rsid w:val="00A522EA"/>
    <w:rsid w:val="00A5244D"/>
    <w:rsid w:val="00A524EF"/>
    <w:rsid w:val="00A52797"/>
    <w:rsid w:val="00A527B5"/>
    <w:rsid w:val="00A5280C"/>
    <w:rsid w:val="00A52B46"/>
    <w:rsid w:val="00A531C6"/>
    <w:rsid w:val="00A53B9F"/>
    <w:rsid w:val="00A53DE5"/>
    <w:rsid w:val="00A5433B"/>
    <w:rsid w:val="00A54C60"/>
    <w:rsid w:val="00A54D2D"/>
    <w:rsid w:val="00A54DCE"/>
    <w:rsid w:val="00A551FD"/>
    <w:rsid w:val="00A55EDE"/>
    <w:rsid w:val="00A55FC9"/>
    <w:rsid w:val="00A56119"/>
    <w:rsid w:val="00A56334"/>
    <w:rsid w:val="00A563BB"/>
    <w:rsid w:val="00A563C7"/>
    <w:rsid w:val="00A56400"/>
    <w:rsid w:val="00A5682B"/>
    <w:rsid w:val="00A568FB"/>
    <w:rsid w:val="00A56ED8"/>
    <w:rsid w:val="00A570EC"/>
    <w:rsid w:val="00A575B2"/>
    <w:rsid w:val="00A578D8"/>
    <w:rsid w:val="00A57936"/>
    <w:rsid w:val="00A57A09"/>
    <w:rsid w:val="00A57CF5"/>
    <w:rsid w:val="00A57E09"/>
    <w:rsid w:val="00A60045"/>
    <w:rsid w:val="00A601B5"/>
    <w:rsid w:val="00A6024E"/>
    <w:rsid w:val="00A60382"/>
    <w:rsid w:val="00A6042F"/>
    <w:rsid w:val="00A604ED"/>
    <w:rsid w:val="00A6066B"/>
    <w:rsid w:val="00A60761"/>
    <w:rsid w:val="00A60AB9"/>
    <w:rsid w:val="00A60B22"/>
    <w:rsid w:val="00A60B64"/>
    <w:rsid w:val="00A61032"/>
    <w:rsid w:val="00A613A5"/>
    <w:rsid w:val="00A61587"/>
    <w:rsid w:val="00A61B50"/>
    <w:rsid w:val="00A61D06"/>
    <w:rsid w:val="00A61F37"/>
    <w:rsid w:val="00A6226E"/>
    <w:rsid w:val="00A62582"/>
    <w:rsid w:val="00A62D3A"/>
    <w:rsid w:val="00A62F35"/>
    <w:rsid w:val="00A630A9"/>
    <w:rsid w:val="00A631BE"/>
    <w:rsid w:val="00A63367"/>
    <w:rsid w:val="00A63396"/>
    <w:rsid w:val="00A63972"/>
    <w:rsid w:val="00A63D64"/>
    <w:rsid w:val="00A641B7"/>
    <w:rsid w:val="00A6428E"/>
    <w:rsid w:val="00A6499C"/>
    <w:rsid w:val="00A64B5A"/>
    <w:rsid w:val="00A64BFE"/>
    <w:rsid w:val="00A6513A"/>
    <w:rsid w:val="00A656D9"/>
    <w:rsid w:val="00A657C8"/>
    <w:rsid w:val="00A65EA3"/>
    <w:rsid w:val="00A65F5C"/>
    <w:rsid w:val="00A66525"/>
    <w:rsid w:val="00A66554"/>
    <w:rsid w:val="00A665C7"/>
    <w:rsid w:val="00A66AD7"/>
    <w:rsid w:val="00A66BA3"/>
    <w:rsid w:val="00A66C10"/>
    <w:rsid w:val="00A66CA5"/>
    <w:rsid w:val="00A66F57"/>
    <w:rsid w:val="00A67029"/>
    <w:rsid w:val="00A67090"/>
    <w:rsid w:val="00A672A8"/>
    <w:rsid w:val="00A67353"/>
    <w:rsid w:val="00A676EA"/>
    <w:rsid w:val="00A67E25"/>
    <w:rsid w:val="00A70340"/>
    <w:rsid w:val="00A70569"/>
    <w:rsid w:val="00A70A6A"/>
    <w:rsid w:val="00A71150"/>
    <w:rsid w:val="00A71452"/>
    <w:rsid w:val="00A71546"/>
    <w:rsid w:val="00A7155A"/>
    <w:rsid w:val="00A7179E"/>
    <w:rsid w:val="00A71A6D"/>
    <w:rsid w:val="00A71B20"/>
    <w:rsid w:val="00A71BCF"/>
    <w:rsid w:val="00A71D53"/>
    <w:rsid w:val="00A71E12"/>
    <w:rsid w:val="00A71EC6"/>
    <w:rsid w:val="00A7221F"/>
    <w:rsid w:val="00A725F8"/>
    <w:rsid w:val="00A72991"/>
    <w:rsid w:val="00A72E35"/>
    <w:rsid w:val="00A72FC6"/>
    <w:rsid w:val="00A730B0"/>
    <w:rsid w:val="00A73303"/>
    <w:rsid w:val="00A733F0"/>
    <w:rsid w:val="00A73D4C"/>
    <w:rsid w:val="00A74237"/>
    <w:rsid w:val="00A745BB"/>
    <w:rsid w:val="00A747BC"/>
    <w:rsid w:val="00A749A5"/>
    <w:rsid w:val="00A74C4D"/>
    <w:rsid w:val="00A74D4E"/>
    <w:rsid w:val="00A75434"/>
    <w:rsid w:val="00A7559A"/>
    <w:rsid w:val="00A757F3"/>
    <w:rsid w:val="00A758A9"/>
    <w:rsid w:val="00A759AE"/>
    <w:rsid w:val="00A75C90"/>
    <w:rsid w:val="00A75DD8"/>
    <w:rsid w:val="00A76287"/>
    <w:rsid w:val="00A7650A"/>
    <w:rsid w:val="00A76FDC"/>
    <w:rsid w:val="00A7701F"/>
    <w:rsid w:val="00A7711B"/>
    <w:rsid w:val="00A77303"/>
    <w:rsid w:val="00A77468"/>
    <w:rsid w:val="00A776F7"/>
    <w:rsid w:val="00A77709"/>
    <w:rsid w:val="00A779F2"/>
    <w:rsid w:val="00A77A9A"/>
    <w:rsid w:val="00A77BDC"/>
    <w:rsid w:val="00A77FF0"/>
    <w:rsid w:val="00A8006A"/>
    <w:rsid w:val="00A800B8"/>
    <w:rsid w:val="00A80575"/>
    <w:rsid w:val="00A80761"/>
    <w:rsid w:val="00A807BD"/>
    <w:rsid w:val="00A80814"/>
    <w:rsid w:val="00A8084A"/>
    <w:rsid w:val="00A809D1"/>
    <w:rsid w:val="00A80A3E"/>
    <w:rsid w:val="00A80D56"/>
    <w:rsid w:val="00A80FF9"/>
    <w:rsid w:val="00A810C5"/>
    <w:rsid w:val="00A81105"/>
    <w:rsid w:val="00A811C9"/>
    <w:rsid w:val="00A81312"/>
    <w:rsid w:val="00A81351"/>
    <w:rsid w:val="00A8168B"/>
    <w:rsid w:val="00A817AB"/>
    <w:rsid w:val="00A81970"/>
    <w:rsid w:val="00A8210A"/>
    <w:rsid w:val="00A822AD"/>
    <w:rsid w:val="00A82309"/>
    <w:rsid w:val="00A8243E"/>
    <w:rsid w:val="00A82AF7"/>
    <w:rsid w:val="00A82E9D"/>
    <w:rsid w:val="00A82EB4"/>
    <w:rsid w:val="00A83034"/>
    <w:rsid w:val="00A83189"/>
    <w:rsid w:val="00A831CC"/>
    <w:rsid w:val="00A832FD"/>
    <w:rsid w:val="00A83578"/>
    <w:rsid w:val="00A83707"/>
    <w:rsid w:val="00A83711"/>
    <w:rsid w:val="00A8392A"/>
    <w:rsid w:val="00A83AF9"/>
    <w:rsid w:val="00A83B49"/>
    <w:rsid w:val="00A83B6F"/>
    <w:rsid w:val="00A83E28"/>
    <w:rsid w:val="00A83F8F"/>
    <w:rsid w:val="00A841C4"/>
    <w:rsid w:val="00A84250"/>
    <w:rsid w:val="00A842FD"/>
    <w:rsid w:val="00A8439B"/>
    <w:rsid w:val="00A84492"/>
    <w:rsid w:val="00A845D7"/>
    <w:rsid w:val="00A84610"/>
    <w:rsid w:val="00A84A2D"/>
    <w:rsid w:val="00A85108"/>
    <w:rsid w:val="00A854ED"/>
    <w:rsid w:val="00A85851"/>
    <w:rsid w:val="00A85A1F"/>
    <w:rsid w:val="00A85AE4"/>
    <w:rsid w:val="00A85D4B"/>
    <w:rsid w:val="00A8600F"/>
    <w:rsid w:val="00A86049"/>
    <w:rsid w:val="00A86142"/>
    <w:rsid w:val="00A86245"/>
    <w:rsid w:val="00A8638E"/>
    <w:rsid w:val="00A86633"/>
    <w:rsid w:val="00A8664A"/>
    <w:rsid w:val="00A8673A"/>
    <w:rsid w:val="00A86C94"/>
    <w:rsid w:val="00A86E46"/>
    <w:rsid w:val="00A871C3"/>
    <w:rsid w:val="00A8786F"/>
    <w:rsid w:val="00A90F06"/>
    <w:rsid w:val="00A91036"/>
    <w:rsid w:val="00A91305"/>
    <w:rsid w:val="00A91384"/>
    <w:rsid w:val="00A919A7"/>
    <w:rsid w:val="00A919B6"/>
    <w:rsid w:val="00A91FAA"/>
    <w:rsid w:val="00A925B5"/>
    <w:rsid w:val="00A92C9A"/>
    <w:rsid w:val="00A92FB7"/>
    <w:rsid w:val="00A92FEC"/>
    <w:rsid w:val="00A930ED"/>
    <w:rsid w:val="00A93876"/>
    <w:rsid w:val="00A93A82"/>
    <w:rsid w:val="00A93C77"/>
    <w:rsid w:val="00A94144"/>
    <w:rsid w:val="00A941A4"/>
    <w:rsid w:val="00A94297"/>
    <w:rsid w:val="00A944AE"/>
    <w:rsid w:val="00A9454E"/>
    <w:rsid w:val="00A945FA"/>
    <w:rsid w:val="00A94B9D"/>
    <w:rsid w:val="00A94C43"/>
    <w:rsid w:val="00A94EC4"/>
    <w:rsid w:val="00A95234"/>
    <w:rsid w:val="00A952A7"/>
    <w:rsid w:val="00A95379"/>
    <w:rsid w:val="00A95531"/>
    <w:rsid w:val="00A95707"/>
    <w:rsid w:val="00A95761"/>
    <w:rsid w:val="00A9584A"/>
    <w:rsid w:val="00A95CC1"/>
    <w:rsid w:val="00A9619A"/>
    <w:rsid w:val="00A96766"/>
    <w:rsid w:val="00A968FE"/>
    <w:rsid w:val="00A96C0B"/>
    <w:rsid w:val="00A96DC7"/>
    <w:rsid w:val="00A96E5E"/>
    <w:rsid w:val="00A96F03"/>
    <w:rsid w:val="00A973FC"/>
    <w:rsid w:val="00A97497"/>
    <w:rsid w:val="00A976FD"/>
    <w:rsid w:val="00A9783B"/>
    <w:rsid w:val="00AA02B7"/>
    <w:rsid w:val="00AA02CA"/>
    <w:rsid w:val="00AA054A"/>
    <w:rsid w:val="00AA0616"/>
    <w:rsid w:val="00AA06EF"/>
    <w:rsid w:val="00AA0904"/>
    <w:rsid w:val="00AA0A64"/>
    <w:rsid w:val="00AA0D39"/>
    <w:rsid w:val="00AA0D72"/>
    <w:rsid w:val="00AA0F56"/>
    <w:rsid w:val="00AA1268"/>
    <w:rsid w:val="00AA14B3"/>
    <w:rsid w:val="00AA1615"/>
    <w:rsid w:val="00AA169F"/>
    <w:rsid w:val="00AA1B18"/>
    <w:rsid w:val="00AA1C02"/>
    <w:rsid w:val="00AA2116"/>
    <w:rsid w:val="00AA225E"/>
    <w:rsid w:val="00AA2495"/>
    <w:rsid w:val="00AA29F3"/>
    <w:rsid w:val="00AA2B50"/>
    <w:rsid w:val="00AA2C52"/>
    <w:rsid w:val="00AA319F"/>
    <w:rsid w:val="00AA3293"/>
    <w:rsid w:val="00AA3374"/>
    <w:rsid w:val="00AA3412"/>
    <w:rsid w:val="00AA352F"/>
    <w:rsid w:val="00AA35D2"/>
    <w:rsid w:val="00AA37A6"/>
    <w:rsid w:val="00AA3C5F"/>
    <w:rsid w:val="00AA3C90"/>
    <w:rsid w:val="00AA3E57"/>
    <w:rsid w:val="00AA3F73"/>
    <w:rsid w:val="00AA4186"/>
    <w:rsid w:val="00AA4551"/>
    <w:rsid w:val="00AA461E"/>
    <w:rsid w:val="00AA46E3"/>
    <w:rsid w:val="00AA4BFC"/>
    <w:rsid w:val="00AA4C4D"/>
    <w:rsid w:val="00AA4C82"/>
    <w:rsid w:val="00AA4D25"/>
    <w:rsid w:val="00AA5004"/>
    <w:rsid w:val="00AA51B4"/>
    <w:rsid w:val="00AA5288"/>
    <w:rsid w:val="00AA588A"/>
    <w:rsid w:val="00AA5A4B"/>
    <w:rsid w:val="00AA5B71"/>
    <w:rsid w:val="00AA5C6D"/>
    <w:rsid w:val="00AA616A"/>
    <w:rsid w:val="00AA620B"/>
    <w:rsid w:val="00AA6258"/>
    <w:rsid w:val="00AA666F"/>
    <w:rsid w:val="00AA670B"/>
    <w:rsid w:val="00AA674E"/>
    <w:rsid w:val="00AA67F3"/>
    <w:rsid w:val="00AA6B1E"/>
    <w:rsid w:val="00AA6C92"/>
    <w:rsid w:val="00AA6E1A"/>
    <w:rsid w:val="00AA6EBB"/>
    <w:rsid w:val="00AA6FCA"/>
    <w:rsid w:val="00AA700A"/>
    <w:rsid w:val="00AA77D0"/>
    <w:rsid w:val="00AA7F39"/>
    <w:rsid w:val="00AB021D"/>
    <w:rsid w:val="00AB025C"/>
    <w:rsid w:val="00AB0560"/>
    <w:rsid w:val="00AB07E2"/>
    <w:rsid w:val="00AB18F2"/>
    <w:rsid w:val="00AB1AFD"/>
    <w:rsid w:val="00AB1ECF"/>
    <w:rsid w:val="00AB203E"/>
    <w:rsid w:val="00AB21E8"/>
    <w:rsid w:val="00AB22C2"/>
    <w:rsid w:val="00AB240E"/>
    <w:rsid w:val="00AB25A9"/>
    <w:rsid w:val="00AB2B7C"/>
    <w:rsid w:val="00AB2E1B"/>
    <w:rsid w:val="00AB2E2D"/>
    <w:rsid w:val="00AB2E7E"/>
    <w:rsid w:val="00AB305D"/>
    <w:rsid w:val="00AB312C"/>
    <w:rsid w:val="00AB31DC"/>
    <w:rsid w:val="00AB344C"/>
    <w:rsid w:val="00AB35D3"/>
    <w:rsid w:val="00AB36FD"/>
    <w:rsid w:val="00AB3C91"/>
    <w:rsid w:val="00AB4B32"/>
    <w:rsid w:val="00AB4B9F"/>
    <w:rsid w:val="00AB4CBF"/>
    <w:rsid w:val="00AB4F24"/>
    <w:rsid w:val="00AB5387"/>
    <w:rsid w:val="00AB53CF"/>
    <w:rsid w:val="00AB567D"/>
    <w:rsid w:val="00AB5AC0"/>
    <w:rsid w:val="00AB5B99"/>
    <w:rsid w:val="00AB5BB1"/>
    <w:rsid w:val="00AB5BC7"/>
    <w:rsid w:val="00AB5E24"/>
    <w:rsid w:val="00AB6104"/>
    <w:rsid w:val="00AB624D"/>
    <w:rsid w:val="00AB6372"/>
    <w:rsid w:val="00AB6384"/>
    <w:rsid w:val="00AB64FA"/>
    <w:rsid w:val="00AB658A"/>
    <w:rsid w:val="00AB666B"/>
    <w:rsid w:val="00AB6CE2"/>
    <w:rsid w:val="00AB6D55"/>
    <w:rsid w:val="00AB72E7"/>
    <w:rsid w:val="00AB7312"/>
    <w:rsid w:val="00AB7774"/>
    <w:rsid w:val="00AB7AD3"/>
    <w:rsid w:val="00AB7C4C"/>
    <w:rsid w:val="00AC00F3"/>
    <w:rsid w:val="00AC0782"/>
    <w:rsid w:val="00AC0817"/>
    <w:rsid w:val="00AC09A7"/>
    <w:rsid w:val="00AC0AE3"/>
    <w:rsid w:val="00AC0B0B"/>
    <w:rsid w:val="00AC0BA9"/>
    <w:rsid w:val="00AC0E24"/>
    <w:rsid w:val="00AC0F66"/>
    <w:rsid w:val="00AC0FAC"/>
    <w:rsid w:val="00AC0FB7"/>
    <w:rsid w:val="00AC10A3"/>
    <w:rsid w:val="00AC126B"/>
    <w:rsid w:val="00AC1449"/>
    <w:rsid w:val="00AC1546"/>
    <w:rsid w:val="00AC165C"/>
    <w:rsid w:val="00AC165F"/>
    <w:rsid w:val="00AC1942"/>
    <w:rsid w:val="00AC19CA"/>
    <w:rsid w:val="00AC1CF4"/>
    <w:rsid w:val="00AC1D32"/>
    <w:rsid w:val="00AC1E85"/>
    <w:rsid w:val="00AC20B2"/>
    <w:rsid w:val="00AC220B"/>
    <w:rsid w:val="00AC22A8"/>
    <w:rsid w:val="00AC22BE"/>
    <w:rsid w:val="00AC2369"/>
    <w:rsid w:val="00AC2374"/>
    <w:rsid w:val="00AC2468"/>
    <w:rsid w:val="00AC2478"/>
    <w:rsid w:val="00AC268A"/>
    <w:rsid w:val="00AC2993"/>
    <w:rsid w:val="00AC33F2"/>
    <w:rsid w:val="00AC34AF"/>
    <w:rsid w:val="00AC38B9"/>
    <w:rsid w:val="00AC3D99"/>
    <w:rsid w:val="00AC3DA6"/>
    <w:rsid w:val="00AC4189"/>
    <w:rsid w:val="00AC452F"/>
    <w:rsid w:val="00AC495A"/>
    <w:rsid w:val="00AC497F"/>
    <w:rsid w:val="00AC4A67"/>
    <w:rsid w:val="00AC4FBC"/>
    <w:rsid w:val="00AC514A"/>
    <w:rsid w:val="00AC5590"/>
    <w:rsid w:val="00AC575A"/>
    <w:rsid w:val="00AC5EEA"/>
    <w:rsid w:val="00AC600B"/>
    <w:rsid w:val="00AC6104"/>
    <w:rsid w:val="00AC61DE"/>
    <w:rsid w:val="00AC6629"/>
    <w:rsid w:val="00AC684B"/>
    <w:rsid w:val="00AC6941"/>
    <w:rsid w:val="00AC6B1C"/>
    <w:rsid w:val="00AC6B80"/>
    <w:rsid w:val="00AC6CAF"/>
    <w:rsid w:val="00AC6CFF"/>
    <w:rsid w:val="00AC6E55"/>
    <w:rsid w:val="00AC6FF3"/>
    <w:rsid w:val="00AC7320"/>
    <w:rsid w:val="00AC7683"/>
    <w:rsid w:val="00AC7782"/>
    <w:rsid w:val="00AC7B85"/>
    <w:rsid w:val="00AC7E58"/>
    <w:rsid w:val="00AC7FAF"/>
    <w:rsid w:val="00AD07BD"/>
    <w:rsid w:val="00AD0D32"/>
    <w:rsid w:val="00AD112F"/>
    <w:rsid w:val="00AD11CD"/>
    <w:rsid w:val="00AD15A4"/>
    <w:rsid w:val="00AD1671"/>
    <w:rsid w:val="00AD19D4"/>
    <w:rsid w:val="00AD1ED0"/>
    <w:rsid w:val="00AD20B7"/>
    <w:rsid w:val="00AD2604"/>
    <w:rsid w:val="00AD2633"/>
    <w:rsid w:val="00AD26D2"/>
    <w:rsid w:val="00AD279F"/>
    <w:rsid w:val="00AD27C0"/>
    <w:rsid w:val="00AD2D4C"/>
    <w:rsid w:val="00AD3036"/>
    <w:rsid w:val="00AD32C3"/>
    <w:rsid w:val="00AD3603"/>
    <w:rsid w:val="00AD360E"/>
    <w:rsid w:val="00AD375A"/>
    <w:rsid w:val="00AD3951"/>
    <w:rsid w:val="00AD3EB4"/>
    <w:rsid w:val="00AD43D9"/>
    <w:rsid w:val="00AD440F"/>
    <w:rsid w:val="00AD452A"/>
    <w:rsid w:val="00AD46A4"/>
    <w:rsid w:val="00AD46DD"/>
    <w:rsid w:val="00AD484D"/>
    <w:rsid w:val="00AD4883"/>
    <w:rsid w:val="00AD4A12"/>
    <w:rsid w:val="00AD4A28"/>
    <w:rsid w:val="00AD4B3C"/>
    <w:rsid w:val="00AD4C6D"/>
    <w:rsid w:val="00AD4CB4"/>
    <w:rsid w:val="00AD5546"/>
    <w:rsid w:val="00AD5601"/>
    <w:rsid w:val="00AD581F"/>
    <w:rsid w:val="00AD5ABD"/>
    <w:rsid w:val="00AD5AEA"/>
    <w:rsid w:val="00AD5AFE"/>
    <w:rsid w:val="00AD5C5D"/>
    <w:rsid w:val="00AD61F0"/>
    <w:rsid w:val="00AD6505"/>
    <w:rsid w:val="00AD68CF"/>
    <w:rsid w:val="00AD6939"/>
    <w:rsid w:val="00AD75CB"/>
    <w:rsid w:val="00AD798A"/>
    <w:rsid w:val="00AD7BB5"/>
    <w:rsid w:val="00AD7C1B"/>
    <w:rsid w:val="00AE00AF"/>
    <w:rsid w:val="00AE0222"/>
    <w:rsid w:val="00AE0316"/>
    <w:rsid w:val="00AE034F"/>
    <w:rsid w:val="00AE054D"/>
    <w:rsid w:val="00AE05B4"/>
    <w:rsid w:val="00AE06A2"/>
    <w:rsid w:val="00AE09BE"/>
    <w:rsid w:val="00AE09D7"/>
    <w:rsid w:val="00AE0A00"/>
    <w:rsid w:val="00AE0AC1"/>
    <w:rsid w:val="00AE0C48"/>
    <w:rsid w:val="00AE0DE3"/>
    <w:rsid w:val="00AE0E3D"/>
    <w:rsid w:val="00AE0EC0"/>
    <w:rsid w:val="00AE1211"/>
    <w:rsid w:val="00AE1627"/>
    <w:rsid w:val="00AE1FB7"/>
    <w:rsid w:val="00AE29E0"/>
    <w:rsid w:val="00AE2B2F"/>
    <w:rsid w:val="00AE2B92"/>
    <w:rsid w:val="00AE2F58"/>
    <w:rsid w:val="00AE2F7D"/>
    <w:rsid w:val="00AE31A4"/>
    <w:rsid w:val="00AE3BD8"/>
    <w:rsid w:val="00AE3CE5"/>
    <w:rsid w:val="00AE3F97"/>
    <w:rsid w:val="00AE425A"/>
    <w:rsid w:val="00AE435F"/>
    <w:rsid w:val="00AE45B5"/>
    <w:rsid w:val="00AE463C"/>
    <w:rsid w:val="00AE5053"/>
    <w:rsid w:val="00AE50B3"/>
    <w:rsid w:val="00AE5241"/>
    <w:rsid w:val="00AE5353"/>
    <w:rsid w:val="00AE5D08"/>
    <w:rsid w:val="00AE5D25"/>
    <w:rsid w:val="00AE5F17"/>
    <w:rsid w:val="00AE5FFD"/>
    <w:rsid w:val="00AE60F7"/>
    <w:rsid w:val="00AE623E"/>
    <w:rsid w:val="00AE6CE4"/>
    <w:rsid w:val="00AE6E43"/>
    <w:rsid w:val="00AE71C6"/>
    <w:rsid w:val="00AE766A"/>
    <w:rsid w:val="00AE78DD"/>
    <w:rsid w:val="00AE7B3F"/>
    <w:rsid w:val="00AE7BDC"/>
    <w:rsid w:val="00AE7DCC"/>
    <w:rsid w:val="00AF0154"/>
    <w:rsid w:val="00AF0346"/>
    <w:rsid w:val="00AF08B1"/>
    <w:rsid w:val="00AF0BE0"/>
    <w:rsid w:val="00AF0F4C"/>
    <w:rsid w:val="00AF1025"/>
    <w:rsid w:val="00AF1101"/>
    <w:rsid w:val="00AF135D"/>
    <w:rsid w:val="00AF1499"/>
    <w:rsid w:val="00AF14D0"/>
    <w:rsid w:val="00AF167A"/>
    <w:rsid w:val="00AF1764"/>
    <w:rsid w:val="00AF17ED"/>
    <w:rsid w:val="00AF1828"/>
    <w:rsid w:val="00AF1868"/>
    <w:rsid w:val="00AF1CFC"/>
    <w:rsid w:val="00AF1F3A"/>
    <w:rsid w:val="00AF20B0"/>
    <w:rsid w:val="00AF2934"/>
    <w:rsid w:val="00AF297A"/>
    <w:rsid w:val="00AF2D4C"/>
    <w:rsid w:val="00AF3000"/>
    <w:rsid w:val="00AF313B"/>
    <w:rsid w:val="00AF3149"/>
    <w:rsid w:val="00AF32AA"/>
    <w:rsid w:val="00AF3312"/>
    <w:rsid w:val="00AF33F5"/>
    <w:rsid w:val="00AF395C"/>
    <w:rsid w:val="00AF3A44"/>
    <w:rsid w:val="00AF3BBE"/>
    <w:rsid w:val="00AF3C14"/>
    <w:rsid w:val="00AF3C71"/>
    <w:rsid w:val="00AF3C7D"/>
    <w:rsid w:val="00AF3C7F"/>
    <w:rsid w:val="00AF3DD3"/>
    <w:rsid w:val="00AF40E4"/>
    <w:rsid w:val="00AF44C6"/>
    <w:rsid w:val="00AF4630"/>
    <w:rsid w:val="00AF46AC"/>
    <w:rsid w:val="00AF479C"/>
    <w:rsid w:val="00AF4808"/>
    <w:rsid w:val="00AF4822"/>
    <w:rsid w:val="00AF4AB3"/>
    <w:rsid w:val="00AF4D7B"/>
    <w:rsid w:val="00AF4F1D"/>
    <w:rsid w:val="00AF5003"/>
    <w:rsid w:val="00AF564C"/>
    <w:rsid w:val="00AF57BA"/>
    <w:rsid w:val="00AF586F"/>
    <w:rsid w:val="00AF5EF2"/>
    <w:rsid w:val="00AF6493"/>
    <w:rsid w:val="00AF6626"/>
    <w:rsid w:val="00AF6A1E"/>
    <w:rsid w:val="00AF6B27"/>
    <w:rsid w:val="00AF7396"/>
    <w:rsid w:val="00AF763A"/>
    <w:rsid w:val="00AF7909"/>
    <w:rsid w:val="00AF79AE"/>
    <w:rsid w:val="00B00373"/>
    <w:rsid w:val="00B009CC"/>
    <w:rsid w:val="00B00ACA"/>
    <w:rsid w:val="00B00DB8"/>
    <w:rsid w:val="00B00E48"/>
    <w:rsid w:val="00B01064"/>
    <w:rsid w:val="00B01127"/>
    <w:rsid w:val="00B0149F"/>
    <w:rsid w:val="00B01651"/>
    <w:rsid w:val="00B0192E"/>
    <w:rsid w:val="00B01A54"/>
    <w:rsid w:val="00B01BD3"/>
    <w:rsid w:val="00B01D36"/>
    <w:rsid w:val="00B01F50"/>
    <w:rsid w:val="00B02148"/>
    <w:rsid w:val="00B021FC"/>
    <w:rsid w:val="00B026F3"/>
    <w:rsid w:val="00B028A8"/>
    <w:rsid w:val="00B02F69"/>
    <w:rsid w:val="00B02FAA"/>
    <w:rsid w:val="00B033D5"/>
    <w:rsid w:val="00B03568"/>
    <w:rsid w:val="00B035A0"/>
    <w:rsid w:val="00B03AF7"/>
    <w:rsid w:val="00B03C22"/>
    <w:rsid w:val="00B03C4F"/>
    <w:rsid w:val="00B041C5"/>
    <w:rsid w:val="00B04792"/>
    <w:rsid w:val="00B0480E"/>
    <w:rsid w:val="00B048C9"/>
    <w:rsid w:val="00B04B13"/>
    <w:rsid w:val="00B04CAC"/>
    <w:rsid w:val="00B04CE3"/>
    <w:rsid w:val="00B04D3A"/>
    <w:rsid w:val="00B04D3C"/>
    <w:rsid w:val="00B0527C"/>
    <w:rsid w:val="00B052E3"/>
    <w:rsid w:val="00B059D5"/>
    <w:rsid w:val="00B05BFE"/>
    <w:rsid w:val="00B05F95"/>
    <w:rsid w:val="00B06CA7"/>
    <w:rsid w:val="00B06D1E"/>
    <w:rsid w:val="00B070BA"/>
    <w:rsid w:val="00B07421"/>
    <w:rsid w:val="00B07672"/>
    <w:rsid w:val="00B0776C"/>
    <w:rsid w:val="00B077A5"/>
    <w:rsid w:val="00B07B27"/>
    <w:rsid w:val="00B07DB7"/>
    <w:rsid w:val="00B07E52"/>
    <w:rsid w:val="00B1076F"/>
    <w:rsid w:val="00B10888"/>
    <w:rsid w:val="00B10A59"/>
    <w:rsid w:val="00B10C26"/>
    <w:rsid w:val="00B10CDB"/>
    <w:rsid w:val="00B10F1A"/>
    <w:rsid w:val="00B11012"/>
    <w:rsid w:val="00B1110F"/>
    <w:rsid w:val="00B112E4"/>
    <w:rsid w:val="00B114E1"/>
    <w:rsid w:val="00B115EA"/>
    <w:rsid w:val="00B1164C"/>
    <w:rsid w:val="00B1176E"/>
    <w:rsid w:val="00B11928"/>
    <w:rsid w:val="00B11965"/>
    <w:rsid w:val="00B11CB9"/>
    <w:rsid w:val="00B11D6B"/>
    <w:rsid w:val="00B11F41"/>
    <w:rsid w:val="00B11FA0"/>
    <w:rsid w:val="00B12350"/>
    <w:rsid w:val="00B124E2"/>
    <w:rsid w:val="00B129CE"/>
    <w:rsid w:val="00B12C08"/>
    <w:rsid w:val="00B12CC7"/>
    <w:rsid w:val="00B12F20"/>
    <w:rsid w:val="00B12FA6"/>
    <w:rsid w:val="00B13088"/>
    <w:rsid w:val="00B13546"/>
    <w:rsid w:val="00B13549"/>
    <w:rsid w:val="00B13724"/>
    <w:rsid w:val="00B139BE"/>
    <w:rsid w:val="00B13C77"/>
    <w:rsid w:val="00B13D53"/>
    <w:rsid w:val="00B13F2F"/>
    <w:rsid w:val="00B143F2"/>
    <w:rsid w:val="00B1457B"/>
    <w:rsid w:val="00B145B5"/>
    <w:rsid w:val="00B14EA1"/>
    <w:rsid w:val="00B150E9"/>
    <w:rsid w:val="00B151C6"/>
    <w:rsid w:val="00B15456"/>
    <w:rsid w:val="00B15575"/>
    <w:rsid w:val="00B15AB6"/>
    <w:rsid w:val="00B15C85"/>
    <w:rsid w:val="00B15CAE"/>
    <w:rsid w:val="00B15F3F"/>
    <w:rsid w:val="00B15FE8"/>
    <w:rsid w:val="00B16254"/>
    <w:rsid w:val="00B1644A"/>
    <w:rsid w:val="00B1650B"/>
    <w:rsid w:val="00B16574"/>
    <w:rsid w:val="00B165BB"/>
    <w:rsid w:val="00B16713"/>
    <w:rsid w:val="00B16A8F"/>
    <w:rsid w:val="00B16CC5"/>
    <w:rsid w:val="00B173DC"/>
    <w:rsid w:val="00B1743E"/>
    <w:rsid w:val="00B176FB"/>
    <w:rsid w:val="00B1779E"/>
    <w:rsid w:val="00B17FAA"/>
    <w:rsid w:val="00B201E6"/>
    <w:rsid w:val="00B20329"/>
    <w:rsid w:val="00B20396"/>
    <w:rsid w:val="00B20915"/>
    <w:rsid w:val="00B20E04"/>
    <w:rsid w:val="00B2106D"/>
    <w:rsid w:val="00B21157"/>
    <w:rsid w:val="00B21F51"/>
    <w:rsid w:val="00B21FE3"/>
    <w:rsid w:val="00B2222C"/>
    <w:rsid w:val="00B2227C"/>
    <w:rsid w:val="00B223CE"/>
    <w:rsid w:val="00B2278A"/>
    <w:rsid w:val="00B229D5"/>
    <w:rsid w:val="00B22A6B"/>
    <w:rsid w:val="00B22C04"/>
    <w:rsid w:val="00B2319D"/>
    <w:rsid w:val="00B231D9"/>
    <w:rsid w:val="00B2322B"/>
    <w:rsid w:val="00B232E8"/>
    <w:rsid w:val="00B233BF"/>
    <w:rsid w:val="00B23469"/>
    <w:rsid w:val="00B23565"/>
    <w:rsid w:val="00B23658"/>
    <w:rsid w:val="00B2377D"/>
    <w:rsid w:val="00B2378D"/>
    <w:rsid w:val="00B23856"/>
    <w:rsid w:val="00B23859"/>
    <w:rsid w:val="00B23AA9"/>
    <w:rsid w:val="00B23C1A"/>
    <w:rsid w:val="00B23C1B"/>
    <w:rsid w:val="00B23EB7"/>
    <w:rsid w:val="00B23EE7"/>
    <w:rsid w:val="00B242AE"/>
    <w:rsid w:val="00B244F6"/>
    <w:rsid w:val="00B248FF"/>
    <w:rsid w:val="00B24D0D"/>
    <w:rsid w:val="00B253C0"/>
    <w:rsid w:val="00B25465"/>
    <w:rsid w:val="00B2576B"/>
    <w:rsid w:val="00B2590D"/>
    <w:rsid w:val="00B25BB7"/>
    <w:rsid w:val="00B25C63"/>
    <w:rsid w:val="00B25D9A"/>
    <w:rsid w:val="00B26019"/>
    <w:rsid w:val="00B260B0"/>
    <w:rsid w:val="00B260B3"/>
    <w:rsid w:val="00B262AD"/>
    <w:rsid w:val="00B26532"/>
    <w:rsid w:val="00B26801"/>
    <w:rsid w:val="00B26A77"/>
    <w:rsid w:val="00B26D03"/>
    <w:rsid w:val="00B26EC4"/>
    <w:rsid w:val="00B27080"/>
    <w:rsid w:val="00B272A4"/>
    <w:rsid w:val="00B272B2"/>
    <w:rsid w:val="00B27359"/>
    <w:rsid w:val="00B2787C"/>
    <w:rsid w:val="00B279BE"/>
    <w:rsid w:val="00B27A29"/>
    <w:rsid w:val="00B27A36"/>
    <w:rsid w:val="00B30184"/>
    <w:rsid w:val="00B30335"/>
    <w:rsid w:val="00B30962"/>
    <w:rsid w:val="00B30B1E"/>
    <w:rsid w:val="00B30C4C"/>
    <w:rsid w:val="00B30E23"/>
    <w:rsid w:val="00B30FA8"/>
    <w:rsid w:val="00B310A3"/>
    <w:rsid w:val="00B310F7"/>
    <w:rsid w:val="00B31EDD"/>
    <w:rsid w:val="00B32035"/>
    <w:rsid w:val="00B320B9"/>
    <w:rsid w:val="00B32456"/>
    <w:rsid w:val="00B32475"/>
    <w:rsid w:val="00B324E2"/>
    <w:rsid w:val="00B32771"/>
    <w:rsid w:val="00B329EA"/>
    <w:rsid w:val="00B32B1B"/>
    <w:rsid w:val="00B32BAE"/>
    <w:rsid w:val="00B32DCE"/>
    <w:rsid w:val="00B32E2A"/>
    <w:rsid w:val="00B33024"/>
    <w:rsid w:val="00B334ED"/>
    <w:rsid w:val="00B33A77"/>
    <w:rsid w:val="00B33EFB"/>
    <w:rsid w:val="00B34191"/>
    <w:rsid w:val="00B34287"/>
    <w:rsid w:val="00B342D0"/>
    <w:rsid w:val="00B34AD8"/>
    <w:rsid w:val="00B34B6C"/>
    <w:rsid w:val="00B34DBD"/>
    <w:rsid w:val="00B34EB3"/>
    <w:rsid w:val="00B35561"/>
    <w:rsid w:val="00B3572B"/>
    <w:rsid w:val="00B35B6F"/>
    <w:rsid w:val="00B35F9E"/>
    <w:rsid w:val="00B363E0"/>
    <w:rsid w:val="00B36425"/>
    <w:rsid w:val="00B3644C"/>
    <w:rsid w:val="00B366B3"/>
    <w:rsid w:val="00B366C5"/>
    <w:rsid w:val="00B368AA"/>
    <w:rsid w:val="00B36A01"/>
    <w:rsid w:val="00B36BC2"/>
    <w:rsid w:val="00B36BD5"/>
    <w:rsid w:val="00B375D5"/>
    <w:rsid w:val="00B37870"/>
    <w:rsid w:val="00B37B9F"/>
    <w:rsid w:val="00B37BA2"/>
    <w:rsid w:val="00B37CE8"/>
    <w:rsid w:val="00B37E34"/>
    <w:rsid w:val="00B37F5A"/>
    <w:rsid w:val="00B4030E"/>
    <w:rsid w:val="00B403AD"/>
    <w:rsid w:val="00B40609"/>
    <w:rsid w:val="00B4068B"/>
    <w:rsid w:val="00B40709"/>
    <w:rsid w:val="00B4168B"/>
    <w:rsid w:val="00B41976"/>
    <w:rsid w:val="00B41A50"/>
    <w:rsid w:val="00B41FFF"/>
    <w:rsid w:val="00B4231A"/>
    <w:rsid w:val="00B4283C"/>
    <w:rsid w:val="00B42AA9"/>
    <w:rsid w:val="00B42F2B"/>
    <w:rsid w:val="00B42FFA"/>
    <w:rsid w:val="00B431D0"/>
    <w:rsid w:val="00B4337D"/>
    <w:rsid w:val="00B4342A"/>
    <w:rsid w:val="00B43524"/>
    <w:rsid w:val="00B4382B"/>
    <w:rsid w:val="00B4384E"/>
    <w:rsid w:val="00B43B59"/>
    <w:rsid w:val="00B43BBE"/>
    <w:rsid w:val="00B43CA9"/>
    <w:rsid w:val="00B43D0D"/>
    <w:rsid w:val="00B43E88"/>
    <w:rsid w:val="00B44075"/>
    <w:rsid w:val="00B440CC"/>
    <w:rsid w:val="00B44164"/>
    <w:rsid w:val="00B4423E"/>
    <w:rsid w:val="00B44426"/>
    <w:rsid w:val="00B444E9"/>
    <w:rsid w:val="00B4454C"/>
    <w:rsid w:val="00B445D8"/>
    <w:rsid w:val="00B44696"/>
    <w:rsid w:val="00B4499F"/>
    <w:rsid w:val="00B44AD9"/>
    <w:rsid w:val="00B44B66"/>
    <w:rsid w:val="00B44ED5"/>
    <w:rsid w:val="00B44FED"/>
    <w:rsid w:val="00B451FD"/>
    <w:rsid w:val="00B456E3"/>
    <w:rsid w:val="00B45760"/>
    <w:rsid w:val="00B4586E"/>
    <w:rsid w:val="00B45873"/>
    <w:rsid w:val="00B459E8"/>
    <w:rsid w:val="00B45AFF"/>
    <w:rsid w:val="00B45D39"/>
    <w:rsid w:val="00B463BB"/>
    <w:rsid w:val="00B46770"/>
    <w:rsid w:val="00B469AA"/>
    <w:rsid w:val="00B46A25"/>
    <w:rsid w:val="00B46C8A"/>
    <w:rsid w:val="00B46ED7"/>
    <w:rsid w:val="00B46FAF"/>
    <w:rsid w:val="00B470FE"/>
    <w:rsid w:val="00B471B1"/>
    <w:rsid w:val="00B4752A"/>
    <w:rsid w:val="00B4768B"/>
    <w:rsid w:val="00B476E5"/>
    <w:rsid w:val="00B47751"/>
    <w:rsid w:val="00B47848"/>
    <w:rsid w:val="00B47A3A"/>
    <w:rsid w:val="00B47D32"/>
    <w:rsid w:val="00B47EB9"/>
    <w:rsid w:val="00B50042"/>
    <w:rsid w:val="00B50214"/>
    <w:rsid w:val="00B50377"/>
    <w:rsid w:val="00B505DF"/>
    <w:rsid w:val="00B50AB9"/>
    <w:rsid w:val="00B516FB"/>
    <w:rsid w:val="00B517CB"/>
    <w:rsid w:val="00B51AD9"/>
    <w:rsid w:val="00B52066"/>
    <w:rsid w:val="00B52653"/>
    <w:rsid w:val="00B52672"/>
    <w:rsid w:val="00B52FD8"/>
    <w:rsid w:val="00B53629"/>
    <w:rsid w:val="00B536AE"/>
    <w:rsid w:val="00B536CB"/>
    <w:rsid w:val="00B536DC"/>
    <w:rsid w:val="00B53CE8"/>
    <w:rsid w:val="00B53F49"/>
    <w:rsid w:val="00B54048"/>
    <w:rsid w:val="00B541E5"/>
    <w:rsid w:val="00B5448F"/>
    <w:rsid w:val="00B544F2"/>
    <w:rsid w:val="00B5461F"/>
    <w:rsid w:val="00B54E1F"/>
    <w:rsid w:val="00B54E2E"/>
    <w:rsid w:val="00B551F2"/>
    <w:rsid w:val="00B553FD"/>
    <w:rsid w:val="00B55465"/>
    <w:rsid w:val="00B55518"/>
    <w:rsid w:val="00B55924"/>
    <w:rsid w:val="00B55959"/>
    <w:rsid w:val="00B55C66"/>
    <w:rsid w:val="00B55D94"/>
    <w:rsid w:val="00B5604A"/>
    <w:rsid w:val="00B56075"/>
    <w:rsid w:val="00B5616F"/>
    <w:rsid w:val="00B561A5"/>
    <w:rsid w:val="00B561E6"/>
    <w:rsid w:val="00B56C39"/>
    <w:rsid w:val="00B56CD5"/>
    <w:rsid w:val="00B56E14"/>
    <w:rsid w:val="00B56EC0"/>
    <w:rsid w:val="00B56EFE"/>
    <w:rsid w:val="00B574B8"/>
    <w:rsid w:val="00B574E8"/>
    <w:rsid w:val="00B57B2C"/>
    <w:rsid w:val="00B60667"/>
    <w:rsid w:val="00B60689"/>
    <w:rsid w:val="00B607A9"/>
    <w:rsid w:val="00B60812"/>
    <w:rsid w:val="00B610DB"/>
    <w:rsid w:val="00B611B8"/>
    <w:rsid w:val="00B61228"/>
    <w:rsid w:val="00B6127C"/>
    <w:rsid w:val="00B61397"/>
    <w:rsid w:val="00B61503"/>
    <w:rsid w:val="00B61717"/>
    <w:rsid w:val="00B61909"/>
    <w:rsid w:val="00B619DB"/>
    <w:rsid w:val="00B61FE0"/>
    <w:rsid w:val="00B62593"/>
    <w:rsid w:val="00B626FA"/>
    <w:rsid w:val="00B629B7"/>
    <w:rsid w:val="00B62BD4"/>
    <w:rsid w:val="00B62C32"/>
    <w:rsid w:val="00B62D3D"/>
    <w:rsid w:val="00B62D48"/>
    <w:rsid w:val="00B62DD8"/>
    <w:rsid w:val="00B62E4A"/>
    <w:rsid w:val="00B6349C"/>
    <w:rsid w:val="00B63AFF"/>
    <w:rsid w:val="00B63B25"/>
    <w:rsid w:val="00B63DC1"/>
    <w:rsid w:val="00B63DD9"/>
    <w:rsid w:val="00B64013"/>
    <w:rsid w:val="00B64216"/>
    <w:rsid w:val="00B645E2"/>
    <w:rsid w:val="00B6470F"/>
    <w:rsid w:val="00B64743"/>
    <w:rsid w:val="00B64A9F"/>
    <w:rsid w:val="00B64C7C"/>
    <w:rsid w:val="00B6505F"/>
    <w:rsid w:val="00B650F5"/>
    <w:rsid w:val="00B65457"/>
    <w:rsid w:val="00B65655"/>
    <w:rsid w:val="00B65814"/>
    <w:rsid w:val="00B65BCB"/>
    <w:rsid w:val="00B65C20"/>
    <w:rsid w:val="00B65FD0"/>
    <w:rsid w:val="00B662AA"/>
    <w:rsid w:val="00B668F8"/>
    <w:rsid w:val="00B66B16"/>
    <w:rsid w:val="00B66FF7"/>
    <w:rsid w:val="00B67124"/>
    <w:rsid w:val="00B67170"/>
    <w:rsid w:val="00B675AB"/>
    <w:rsid w:val="00B67AD6"/>
    <w:rsid w:val="00B67C0B"/>
    <w:rsid w:val="00B67D25"/>
    <w:rsid w:val="00B7014B"/>
    <w:rsid w:val="00B702C5"/>
    <w:rsid w:val="00B703E3"/>
    <w:rsid w:val="00B70D53"/>
    <w:rsid w:val="00B712C7"/>
    <w:rsid w:val="00B719A6"/>
    <w:rsid w:val="00B71BBD"/>
    <w:rsid w:val="00B71CB5"/>
    <w:rsid w:val="00B71F5D"/>
    <w:rsid w:val="00B72366"/>
    <w:rsid w:val="00B723CA"/>
    <w:rsid w:val="00B728F2"/>
    <w:rsid w:val="00B72920"/>
    <w:rsid w:val="00B7292F"/>
    <w:rsid w:val="00B729F8"/>
    <w:rsid w:val="00B72A12"/>
    <w:rsid w:val="00B72CC8"/>
    <w:rsid w:val="00B732A6"/>
    <w:rsid w:val="00B736C6"/>
    <w:rsid w:val="00B73A17"/>
    <w:rsid w:val="00B73E6A"/>
    <w:rsid w:val="00B73F96"/>
    <w:rsid w:val="00B741F9"/>
    <w:rsid w:val="00B7452B"/>
    <w:rsid w:val="00B748ED"/>
    <w:rsid w:val="00B74914"/>
    <w:rsid w:val="00B74A3E"/>
    <w:rsid w:val="00B74A4E"/>
    <w:rsid w:val="00B74A4F"/>
    <w:rsid w:val="00B74ABA"/>
    <w:rsid w:val="00B7511C"/>
    <w:rsid w:val="00B75134"/>
    <w:rsid w:val="00B751EF"/>
    <w:rsid w:val="00B75746"/>
    <w:rsid w:val="00B75AA4"/>
    <w:rsid w:val="00B75B97"/>
    <w:rsid w:val="00B75C88"/>
    <w:rsid w:val="00B75E5F"/>
    <w:rsid w:val="00B75FA6"/>
    <w:rsid w:val="00B76399"/>
    <w:rsid w:val="00B763E1"/>
    <w:rsid w:val="00B76528"/>
    <w:rsid w:val="00B76FC7"/>
    <w:rsid w:val="00B7701D"/>
    <w:rsid w:val="00B77061"/>
    <w:rsid w:val="00B779A3"/>
    <w:rsid w:val="00B77B98"/>
    <w:rsid w:val="00B80349"/>
    <w:rsid w:val="00B807E0"/>
    <w:rsid w:val="00B80DB6"/>
    <w:rsid w:val="00B812EC"/>
    <w:rsid w:val="00B81782"/>
    <w:rsid w:val="00B817AD"/>
    <w:rsid w:val="00B81C2E"/>
    <w:rsid w:val="00B81CFE"/>
    <w:rsid w:val="00B81ECA"/>
    <w:rsid w:val="00B825F7"/>
    <w:rsid w:val="00B82907"/>
    <w:rsid w:val="00B82DDF"/>
    <w:rsid w:val="00B82F4B"/>
    <w:rsid w:val="00B832A5"/>
    <w:rsid w:val="00B83864"/>
    <w:rsid w:val="00B83913"/>
    <w:rsid w:val="00B83AEC"/>
    <w:rsid w:val="00B83C25"/>
    <w:rsid w:val="00B8406B"/>
    <w:rsid w:val="00B8435B"/>
    <w:rsid w:val="00B84418"/>
    <w:rsid w:val="00B84A04"/>
    <w:rsid w:val="00B84A67"/>
    <w:rsid w:val="00B84BD7"/>
    <w:rsid w:val="00B84E14"/>
    <w:rsid w:val="00B85208"/>
    <w:rsid w:val="00B852D5"/>
    <w:rsid w:val="00B85546"/>
    <w:rsid w:val="00B8563F"/>
    <w:rsid w:val="00B85912"/>
    <w:rsid w:val="00B85A75"/>
    <w:rsid w:val="00B85BC8"/>
    <w:rsid w:val="00B85C5B"/>
    <w:rsid w:val="00B85E5A"/>
    <w:rsid w:val="00B86182"/>
    <w:rsid w:val="00B861BA"/>
    <w:rsid w:val="00B86342"/>
    <w:rsid w:val="00B863EF"/>
    <w:rsid w:val="00B8695C"/>
    <w:rsid w:val="00B86972"/>
    <w:rsid w:val="00B86E4D"/>
    <w:rsid w:val="00B86E58"/>
    <w:rsid w:val="00B86F73"/>
    <w:rsid w:val="00B87174"/>
    <w:rsid w:val="00B871DE"/>
    <w:rsid w:val="00B8749F"/>
    <w:rsid w:val="00B8752D"/>
    <w:rsid w:val="00B875D2"/>
    <w:rsid w:val="00B87865"/>
    <w:rsid w:val="00B87AE5"/>
    <w:rsid w:val="00B87EE5"/>
    <w:rsid w:val="00B90006"/>
    <w:rsid w:val="00B9001F"/>
    <w:rsid w:val="00B9065D"/>
    <w:rsid w:val="00B9088D"/>
    <w:rsid w:val="00B90986"/>
    <w:rsid w:val="00B909F0"/>
    <w:rsid w:val="00B90FBD"/>
    <w:rsid w:val="00B91556"/>
    <w:rsid w:val="00B9177B"/>
    <w:rsid w:val="00B926A3"/>
    <w:rsid w:val="00B926B6"/>
    <w:rsid w:val="00B92809"/>
    <w:rsid w:val="00B92A86"/>
    <w:rsid w:val="00B92A89"/>
    <w:rsid w:val="00B92B30"/>
    <w:rsid w:val="00B92E0A"/>
    <w:rsid w:val="00B93098"/>
    <w:rsid w:val="00B934DB"/>
    <w:rsid w:val="00B93739"/>
    <w:rsid w:val="00B9378E"/>
    <w:rsid w:val="00B93851"/>
    <w:rsid w:val="00B938C2"/>
    <w:rsid w:val="00B93AEB"/>
    <w:rsid w:val="00B93B55"/>
    <w:rsid w:val="00B93BC2"/>
    <w:rsid w:val="00B93CBB"/>
    <w:rsid w:val="00B93E4C"/>
    <w:rsid w:val="00B93E82"/>
    <w:rsid w:val="00B93EA4"/>
    <w:rsid w:val="00B93FB4"/>
    <w:rsid w:val="00B94377"/>
    <w:rsid w:val="00B94766"/>
    <w:rsid w:val="00B9485D"/>
    <w:rsid w:val="00B9490A"/>
    <w:rsid w:val="00B94FCE"/>
    <w:rsid w:val="00B9518A"/>
    <w:rsid w:val="00B9541A"/>
    <w:rsid w:val="00B95551"/>
    <w:rsid w:val="00B95861"/>
    <w:rsid w:val="00B958E3"/>
    <w:rsid w:val="00B959A5"/>
    <w:rsid w:val="00B95A35"/>
    <w:rsid w:val="00B95C97"/>
    <w:rsid w:val="00B95DF7"/>
    <w:rsid w:val="00B95F00"/>
    <w:rsid w:val="00B96574"/>
    <w:rsid w:val="00B96581"/>
    <w:rsid w:val="00B96A3C"/>
    <w:rsid w:val="00B96BBA"/>
    <w:rsid w:val="00B96E73"/>
    <w:rsid w:val="00B9722E"/>
    <w:rsid w:val="00B9725E"/>
    <w:rsid w:val="00B9738C"/>
    <w:rsid w:val="00B97819"/>
    <w:rsid w:val="00B978AF"/>
    <w:rsid w:val="00B97975"/>
    <w:rsid w:val="00B97A4B"/>
    <w:rsid w:val="00B97E22"/>
    <w:rsid w:val="00BA0027"/>
    <w:rsid w:val="00BA0110"/>
    <w:rsid w:val="00BA01A5"/>
    <w:rsid w:val="00BA0257"/>
    <w:rsid w:val="00BA036B"/>
    <w:rsid w:val="00BA04BE"/>
    <w:rsid w:val="00BA0598"/>
    <w:rsid w:val="00BA1403"/>
    <w:rsid w:val="00BA14BB"/>
    <w:rsid w:val="00BA150D"/>
    <w:rsid w:val="00BA19E4"/>
    <w:rsid w:val="00BA1A3C"/>
    <w:rsid w:val="00BA1C0F"/>
    <w:rsid w:val="00BA1DED"/>
    <w:rsid w:val="00BA20CF"/>
    <w:rsid w:val="00BA237E"/>
    <w:rsid w:val="00BA286E"/>
    <w:rsid w:val="00BA2CC5"/>
    <w:rsid w:val="00BA2F17"/>
    <w:rsid w:val="00BA3099"/>
    <w:rsid w:val="00BA319E"/>
    <w:rsid w:val="00BA3361"/>
    <w:rsid w:val="00BA360B"/>
    <w:rsid w:val="00BA378C"/>
    <w:rsid w:val="00BA381E"/>
    <w:rsid w:val="00BA38AC"/>
    <w:rsid w:val="00BA394E"/>
    <w:rsid w:val="00BA3FA3"/>
    <w:rsid w:val="00BA3FB4"/>
    <w:rsid w:val="00BA41C0"/>
    <w:rsid w:val="00BA443A"/>
    <w:rsid w:val="00BA449F"/>
    <w:rsid w:val="00BA4A33"/>
    <w:rsid w:val="00BA4B6A"/>
    <w:rsid w:val="00BA4DF8"/>
    <w:rsid w:val="00BA58E3"/>
    <w:rsid w:val="00BA5C35"/>
    <w:rsid w:val="00BA5E3D"/>
    <w:rsid w:val="00BA610D"/>
    <w:rsid w:val="00BA6301"/>
    <w:rsid w:val="00BA63A2"/>
    <w:rsid w:val="00BA6461"/>
    <w:rsid w:val="00BA64E9"/>
    <w:rsid w:val="00BA65A4"/>
    <w:rsid w:val="00BA6911"/>
    <w:rsid w:val="00BA691B"/>
    <w:rsid w:val="00BA6AFC"/>
    <w:rsid w:val="00BA6DD9"/>
    <w:rsid w:val="00BA6FCF"/>
    <w:rsid w:val="00BA70F2"/>
    <w:rsid w:val="00BA71A8"/>
    <w:rsid w:val="00BA7553"/>
    <w:rsid w:val="00BA7573"/>
    <w:rsid w:val="00BA7698"/>
    <w:rsid w:val="00BA76F0"/>
    <w:rsid w:val="00BA790F"/>
    <w:rsid w:val="00BA7957"/>
    <w:rsid w:val="00BA7BD5"/>
    <w:rsid w:val="00BA7C8C"/>
    <w:rsid w:val="00BA7DAD"/>
    <w:rsid w:val="00BA7DEC"/>
    <w:rsid w:val="00BB0091"/>
    <w:rsid w:val="00BB05DF"/>
    <w:rsid w:val="00BB0C53"/>
    <w:rsid w:val="00BB0E3B"/>
    <w:rsid w:val="00BB0F45"/>
    <w:rsid w:val="00BB132D"/>
    <w:rsid w:val="00BB145E"/>
    <w:rsid w:val="00BB14C0"/>
    <w:rsid w:val="00BB14DC"/>
    <w:rsid w:val="00BB15E5"/>
    <w:rsid w:val="00BB1FE8"/>
    <w:rsid w:val="00BB2161"/>
    <w:rsid w:val="00BB22DC"/>
    <w:rsid w:val="00BB2317"/>
    <w:rsid w:val="00BB2426"/>
    <w:rsid w:val="00BB247C"/>
    <w:rsid w:val="00BB2553"/>
    <w:rsid w:val="00BB2A4F"/>
    <w:rsid w:val="00BB2D5A"/>
    <w:rsid w:val="00BB30C5"/>
    <w:rsid w:val="00BB329C"/>
    <w:rsid w:val="00BB3351"/>
    <w:rsid w:val="00BB3360"/>
    <w:rsid w:val="00BB3424"/>
    <w:rsid w:val="00BB353B"/>
    <w:rsid w:val="00BB36A5"/>
    <w:rsid w:val="00BB3A74"/>
    <w:rsid w:val="00BB3A8F"/>
    <w:rsid w:val="00BB3BE5"/>
    <w:rsid w:val="00BB3DC1"/>
    <w:rsid w:val="00BB4218"/>
    <w:rsid w:val="00BB44E7"/>
    <w:rsid w:val="00BB4613"/>
    <w:rsid w:val="00BB4CBC"/>
    <w:rsid w:val="00BB4D68"/>
    <w:rsid w:val="00BB4D88"/>
    <w:rsid w:val="00BB4E7A"/>
    <w:rsid w:val="00BB4F7D"/>
    <w:rsid w:val="00BB4FF5"/>
    <w:rsid w:val="00BB5073"/>
    <w:rsid w:val="00BB52BE"/>
    <w:rsid w:val="00BB54AF"/>
    <w:rsid w:val="00BB5678"/>
    <w:rsid w:val="00BB5753"/>
    <w:rsid w:val="00BB589F"/>
    <w:rsid w:val="00BB58DD"/>
    <w:rsid w:val="00BB5FDD"/>
    <w:rsid w:val="00BB60EA"/>
    <w:rsid w:val="00BB6110"/>
    <w:rsid w:val="00BB61F0"/>
    <w:rsid w:val="00BB63F1"/>
    <w:rsid w:val="00BB66E1"/>
    <w:rsid w:val="00BB6814"/>
    <w:rsid w:val="00BB6A37"/>
    <w:rsid w:val="00BB7109"/>
    <w:rsid w:val="00BB7515"/>
    <w:rsid w:val="00BB759A"/>
    <w:rsid w:val="00BB7A1A"/>
    <w:rsid w:val="00BB7CFE"/>
    <w:rsid w:val="00BC00A1"/>
    <w:rsid w:val="00BC00D2"/>
    <w:rsid w:val="00BC03BB"/>
    <w:rsid w:val="00BC0512"/>
    <w:rsid w:val="00BC0623"/>
    <w:rsid w:val="00BC0CCD"/>
    <w:rsid w:val="00BC0E1C"/>
    <w:rsid w:val="00BC1038"/>
    <w:rsid w:val="00BC1060"/>
    <w:rsid w:val="00BC1723"/>
    <w:rsid w:val="00BC1767"/>
    <w:rsid w:val="00BC1F4A"/>
    <w:rsid w:val="00BC20C9"/>
    <w:rsid w:val="00BC20D2"/>
    <w:rsid w:val="00BC22D0"/>
    <w:rsid w:val="00BC23BC"/>
    <w:rsid w:val="00BC26EC"/>
    <w:rsid w:val="00BC2734"/>
    <w:rsid w:val="00BC2925"/>
    <w:rsid w:val="00BC29C4"/>
    <w:rsid w:val="00BC2FAC"/>
    <w:rsid w:val="00BC31B5"/>
    <w:rsid w:val="00BC3256"/>
    <w:rsid w:val="00BC32E2"/>
    <w:rsid w:val="00BC3493"/>
    <w:rsid w:val="00BC3A18"/>
    <w:rsid w:val="00BC4050"/>
    <w:rsid w:val="00BC40B8"/>
    <w:rsid w:val="00BC4572"/>
    <w:rsid w:val="00BC460C"/>
    <w:rsid w:val="00BC4A82"/>
    <w:rsid w:val="00BC500B"/>
    <w:rsid w:val="00BC5038"/>
    <w:rsid w:val="00BC51C2"/>
    <w:rsid w:val="00BC53B4"/>
    <w:rsid w:val="00BC5679"/>
    <w:rsid w:val="00BC5717"/>
    <w:rsid w:val="00BC5868"/>
    <w:rsid w:val="00BC58C2"/>
    <w:rsid w:val="00BC5CE1"/>
    <w:rsid w:val="00BC61D2"/>
    <w:rsid w:val="00BC627F"/>
    <w:rsid w:val="00BC629C"/>
    <w:rsid w:val="00BC64E5"/>
    <w:rsid w:val="00BC65DA"/>
    <w:rsid w:val="00BC673C"/>
    <w:rsid w:val="00BC6832"/>
    <w:rsid w:val="00BC68CB"/>
    <w:rsid w:val="00BC69C6"/>
    <w:rsid w:val="00BC6A11"/>
    <w:rsid w:val="00BC6AB1"/>
    <w:rsid w:val="00BC6B9E"/>
    <w:rsid w:val="00BC6BE3"/>
    <w:rsid w:val="00BC75C8"/>
    <w:rsid w:val="00BC7788"/>
    <w:rsid w:val="00BC7A43"/>
    <w:rsid w:val="00BC7E8B"/>
    <w:rsid w:val="00BD0150"/>
    <w:rsid w:val="00BD01C3"/>
    <w:rsid w:val="00BD1000"/>
    <w:rsid w:val="00BD1173"/>
    <w:rsid w:val="00BD124D"/>
    <w:rsid w:val="00BD128A"/>
    <w:rsid w:val="00BD145F"/>
    <w:rsid w:val="00BD1502"/>
    <w:rsid w:val="00BD1772"/>
    <w:rsid w:val="00BD19B0"/>
    <w:rsid w:val="00BD1A2E"/>
    <w:rsid w:val="00BD1A30"/>
    <w:rsid w:val="00BD1B41"/>
    <w:rsid w:val="00BD1DE8"/>
    <w:rsid w:val="00BD1EE3"/>
    <w:rsid w:val="00BD1F68"/>
    <w:rsid w:val="00BD2767"/>
    <w:rsid w:val="00BD2FA3"/>
    <w:rsid w:val="00BD2FE3"/>
    <w:rsid w:val="00BD34A7"/>
    <w:rsid w:val="00BD3834"/>
    <w:rsid w:val="00BD3973"/>
    <w:rsid w:val="00BD3C3B"/>
    <w:rsid w:val="00BD3C60"/>
    <w:rsid w:val="00BD3CE8"/>
    <w:rsid w:val="00BD3DCA"/>
    <w:rsid w:val="00BD3E9D"/>
    <w:rsid w:val="00BD411C"/>
    <w:rsid w:val="00BD431E"/>
    <w:rsid w:val="00BD43B3"/>
    <w:rsid w:val="00BD43E6"/>
    <w:rsid w:val="00BD4453"/>
    <w:rsid w:val="00BD4559"/>
    <w:rsid w:val="00BD457D"/>
    <w:rsid w:val="00BD4832"/>
    <w:rsid w:val="00BD4B1D"/>
    <w:rsid w:val="00BD4EEE"/>
    <w:rsid w:val="00BD508C"/>
    <w:rsid w:val="00BD50EB"/>
    <w:rsid w:val="00BD5364"/>
    <w:rsid w:val="00BD56F9"/>
    <w:rsid w:val="00BD5735"/>
    <w:rsid w:val="00BD5801"/>
    <w:rsid w:val="00BD5B99"/>
    <w:rsid w:val="00BD5BCC"/>
    <w:rsid w:val="00BD5C20"/>
    <w:rsid w:val="00BD5C25"/>
    <w:rsid w:val="00BD6092"/>
    <w:rsid w:val="00BD622F"/>
    <w:rsid w:val="00BD64BD"/>
    <w:rsid w:val="00BD6529"/>
    <w:rsid w:val="00BD6836"/>
    <w:rsid w:val="00BD6F73"/>
    <w:rsid w:val="00BD72F0"/>
    <w:rsid w:val="00BD7BA6"/>
    <w:rsid w:val="00BD7F34"/>
    <w:rsid w:val="00BD7F95"/>
    <w:rsid w:val="00BE01C0"/>
    <w:rsid w:val="00BE0548"/>
    <w:rsid w:val="00BE0673"/>
    <w:rsid w:val="00BE06F2"/>
    <w:rsid w:val="00BE0815"/>
    <w:rsid w:val="00BE097C"/>
    <w:rsid w:val="00BE0CF1"/>
    <w:rsid w:val="00BE0D7D"/>
    <w:rsid w:val="00BE0D98"/>
    <w:rsid w:val="00BE0DB3"/>
    <w:rsid w:val="00BE0F2C"/>
    <w:rsid w:val="00BE1047"/>
    <w:rsid w:val="00BE1541"/>
    <w:rsid w:val="00BE1756"/>
    <w:rsid w:val="00BE1D03"/>
    <w:rsid w:val="00BE1D7D"/>
    <w:rsid w:val="00BE1DE7"/>
    <w:rsid w:val="00BE1E3B"/>
    <w:rsid w:val="00BE2147"/>
    <w:rsid w:val="00BE23FE"/>
    <w:rsid w:val="00BE2A9E"/>
    <w:rsid w:val="00BE2C5D"/>
    <w:rsid w:val="00BE2F3B"/>
    <w:rsid w:val="00BE300E"/>
    <w:rsid w:val="00BE3812"/>
    <w:rsid w:val="00BE3848"/>
    <w:rsid w:val="00BE3896"/>
    <w:rsid w:val="00BE3913"/>
    <w:rsid w:val="00BE3A25"/>
    <w:rsid w:val="00BE3ABC"/>
    <w:rsid w:val="00BE433F"/>
    <w:rsid w:val="00BE43C2"/>
    <w:rsid w:val="00BE4644"/>
    <w:rsid w:val="00BE4717"/>
    <w:rsid w:val="00BE4732"/>
    <w:rsid w:val="00BE4D09"/>
    <w:rsid w:val="00BE50DA"/>
    <w:rsid w:val="00BE50F0"/>
    <w:rsid w:val="00BE5231"/>
    <w:rsid w:val="00BE5321"/>
    <w:rsid w:val="00BE5B02"/>
    <w:rsid w:val="00BE5EBE"/>
    <w:rsid w:val="00BE618A"/>
    <w:rsid w:val="00BE61A7"/>
    <w:rsid w:val="00BE65A1"/>
    <w:rsid w:val="00BE67D5"/>
    <w:rsid w:val="00BE6928"/>
    <w:rsid w:val="00BE69FA"/>
    <w:rsid w:val="00BE6AE2"/>
    <w:rsid w:val="00BE6C63"/>
    <w:rsid w:val="00BE6DDF"/>
    <w:rsid w:val="00BE7041"/>
    <w:rsid w:val="00BE7371"/>
    <w:rsid w:val="00BE738D"/>
    <w:rsid w:val="00BE73B2"/>
    <w:rsid w:val="00BE76C8"/>
    <w:rsid w:val="00BE78F5"/>
    <w:rsid w:val="00BE7A03"/>
    <w:rsid w:val="00BE7C46"/>
    <w:rsid w:val="00BE7CA1"/>
    <w:rsid w:val="00BF0110"/>
    <w:rsid w:val="00BF0164"/>
    <w:rsid w:val="00BF04B5"/>
    <w:rsid w:val="00BF0524"/>
    <w:rsid w:val="00BF054B"/>
    <w:rsid w:val="00BF0986"/>
    <w:rsid w:val="00BF09C5"/>
    <w:rsid w:val="00BF0D32"/>
    <w:rsid w:val="00BF0E51"/>
    <w:rsid w:val="00BF14C7"/>
    <w:rsid w:val="00BF1727"/>
    <w:rsid w:val="00BF1802"/>
    <w:rsid w:val="00BF1A38"/>
    <w:rsid w:val="00BF1B60"/>
    <w:rsid w:val="00BF1B68"/>
    <w:rsid w:val="00BF1DAE"/>
    <w:rsid w:val="00BF1DBC"/>
    <w:rsid w:val="00BF2186"/>
    <w:rsid w:val="00BF21D9"/>
    <w:rsid w:val="00BF228E"/>
    <w:rsid w:val="00BF22EA"/>
    <w:rsid w:val="00BF2474"/>
    <w:rsid w:val="00BF2605"/>
    <w:rsid w:val="00BF263C"/>
    <w:rsid w:val="00BF27CF"/>
    <w:rsid w:val="00BF27EB"/>
    <w:rsid w:val="00BF288C"/>
    <w:rsid w:val="00BF2BAA"/>
    <w:rsid w:val="00BF2C3A"/>
    <w:rsid w:val="00BF2F14"/>
    <w:rsid w:val="00BF3107"/>
    <w:rsid w:val="00BF31E6"/>
    <w:rsid w:val="00BF335F"/>
    <w:rsid w:val="00BF33EF"/>
    <w:rsid w:val="00BF385B"/>
    <w:rsid w:val="00BF3E97"/>
    <w:rsid w:val="00BF3F81"/>
    <w:rsid w:val="00BF3FEC"/>
    <w:rsid w:val="00BF4461"/>
    <w:rsid w:val="00BF4521"/>
    <w:rsid w:val="00BF47DA"/>
    <w:rsid w:val="00BF48AA"/>
    <w:rsid w:val="00BF4904"/>
    <w:rsid w:val="00BF4F7B"/>
    <w:rsid w:val="00BF5094"/>
    <w:rsid w:val="00BF51E0"/>
    <w:rsid w:val="00BF5341"/>
    <w:rsid w:val="00BF55A1"/>
    <w:rsid w:val="00BF56E5"/>
    <w:rsid w:val="00BF580F"/>
    <w:rsid w:val="00BF5854"/>
    <w:rsid w:val="00BF594E"/>
    <w:rsid w:val="00BF59F5"/>
    <w:rsid w:val="00BF5A62"/>
    <w:rsid w:val="00BF5C2C"/>
    <w:rsid w:val="00BF5CBE"/>
    <w:rsid w:val="00BF5F6A"/>
    <w:rsid w:val="00BF6197"/>
    <w:rsid w:val="00BF7007"/>
    <w:rsid w:val="00BF708B"/>
    <w:rsid w:val="00BF71B8"/>
    <w:rsid w:val="00BF71DB"/>
    <w:rsid w:val="00BF7368"/>
    <w:rsid w:val="00BF785C"/>
    <w:rsid w:val="00BF78D0"/>
    <w:rsid w:val="00BF7B6D"/>
    <w:rsid w:val="00BF7FC7"/>
    <w:rsid w:val="00C0053D"/>
    <w:rsid w:val="00C005DC"/>
    <w:rsid w:val="00C0079A"/>
    <w:rsid w:val="00C00B5C"/>
    <w:rsid w:val="00C00C03"/>
    <w:rsid w:val="00C00DFC"/>
    <w:rsid w:val="00C00FC6"/>
    <w:rsid w:val="00C0150B"/>
    <w:rsid w:val="00C01522"/>
    <w:rsid w:val="00C01DB4"/>
    <w:rsid w:val="00C01FED"/>
    <w:rsid w:val="00C02140"/>
    <w:rsid w:val="00C0217D"/>
    <w:rsid w:val="00C02226"/>
    <w:rsid w:val="00C02483"/>
    <w:rsid w:val="00C02519"/>
    <w:rsid w:val="00C026C1"/>
    <w:rsid w:val="00C0284E"/>
    <w:rsid w:val="00C02A29"/>
    <w:rsid w:val="00C02AEB"/>
    <w:rsid w:val="00C02E39"/>
    <w:rsid w:val="00C031A2"/>
    <w:rsid w:val="00C0354B"/>
    <w:rsid w:val="00C037BA"/>
    <w:rsid w:val="00C03A5C"/>
    <w:rsid w:val="00C03A9B"/>
    <w:rsid w:val="00C03B8A"/>
    <w:rsid w:val="00C03CCD"/>
    <w:rsid w:val="00C03F5A"/>
    <w:rsid w:val="00C03FD5"/>
    <w:rsid w:val="00C046A4"/>
    <w:rsid w:val="00C04728"/>
    <w:rsid w:val="00C0488A"/>
    <w:rsid w:val="00C04BEF"/>
    <w:rsid w:val="00C04CC0"/>
    <w:rsid w:val="00C050D0"/>
    <w:rsid w:val="00C05284"/>
    <w:rsid w:val="00C052BC"/>
    <w:rsid w:val="00C0602B"/>
    <w:rsid w:val="00C0625F"/>
    <w:rsid w:val="00C0633F"/>
    <w:rsid w:val="00C0646E"/>
    <w:rsid w:val="00C06578"/>
    <w:rsid w:val="00C065F4"/>
    <w:rsid w:val="00C066D6"/>
    <w:rsid w:val="00C068B0"/>
    <w:rsid w:val="00C06BFF"/>
    <w:rsid w:val="00C074F2"/>
    <w:rsid w:val="00C07559"/>
    <w:rsid w:val="00C0768A"/>
    <w:rsid w:val="00C0772A"/>
    <w:rsid w:val="00C077BD"/>
    <w:rsid w:val="00C077C2"/>
    <w:rsid w:val="00C07915"/>
    <w:rsid w:val="00C07F4C"/>
    <w:rsid w:val="00C10098"/>
    <w:rsid w:val="00C10337"/>
    <w:rsid w:val="00C10514"/>
    <w:rsid w:val="00C10598"/>
    <w:rsid w:val="00C10781"/>
    <w:rsid w:val="00C10A58"/>
    <w:rsid w:val="00C10B91"/>
    <w:rsid w:val="00C112C5"/>
    <w:rsid w:val="00C1137F"/>
    <w:rsid w:val="00C11A12"/>
    <w:rsid w:val="00C11B19"/>
    <w:rsid w:val="00C11CB5"/>
    <w:rsid w:val="00C11D89"/>
    <w:rsid w:val="00C11FE5"/>
    <w:rsid w:val="00C12002"/>
    <w:rsid w:val="00C1205E"/>
    <w:rsid w:val="00C1219D"/>
    <w:rsid w:val="00C12415"/>
    <w:rsid w:val="00C125DA"/>
    <w:rsid w:val="00C12859"/>
    <w:rsid w:val="00C13043"/>
    <w:rsid w:val="00C130F1"/>
    <w:rsid w:val="00C1323B"/>
    <w:rsid w:val="00C132E4"/>
    <w:rsid w:val="00C133C1"/>
    <w:rsid w:val="00C1392A"/>
    <w:rsid w:val="00C13A00"/>
    <w:rsid w:val="00C13AC1"/>
    <w:rsid w:val="00C13EB7"/>
    <w:rsid w:val="00C13F77"/>
    <w:rsid w:val="00C14410"/>
    <w:rsid w:val="00C1464B"/>
    <w:rsid w:val="00C147E1"/>
    <w:rsid w:val="00C148E1"/>
    <w:rsid w:val="00C14D09"/>
    <w:rsid w:val="00C15027"/>
    <w:rsid w:val="00C1514E"/>
    <w:rsid w:val="00C15275"/>
    <w:rsid w:val="00C15506"/>
    <w:rsid w:val="00C156B0"/>
    <w:rsid w:val="00C157A9"/>
    <w:rsid w:val="00C15A56"/>
    <w:rsid w:val="00C15BDE"/>
    <w:rsid w:val="00C15C27"/>
    <w:rsid w:val="00C1625B"/>
    <w:rsid w:val="00C167FA"/>
    <w:rsid w:val="00C16E84"/>
    <w:rsid w:val="00C16FE4"/>
    <w:rsid w:val="00C170E9"/>
    <w:rsid w:val="00C1712B"/>
    <w:rsid w:val="00C1752B"/>
    <w:rsid w:val="00C175F8"/>
    <w:rsid w:val="00C17E0E"/>
    <w:rsid w:val="00C20194"/>
    <w:rsid w:val="00C20241"/>
    <w:rsid w:val="00C207E1"/>
    <w:rsid w:val="00C20EC8"/>
    <w:rsid w:val="00C21283"/>
    <w:rsid w:val="00C2155A"/>
    <w:rsid w:val="00C216EE"/>
    <w:rsid w:val="00C21716"/>
    <w:rsid w:val="00C21A7C"/>
    <w:rsid w:val="00C221EF"/>
    <w:rsid w:val="00C2223F"/>
    <w:rsid w:val="00C22638"/>
    <w:rsid w:val="00C231C9"/>
    <w:rsid w:val="00C231DE"/>
    <w:rsid w:val="00C23346"/>
    <w:rsid w:val="00C233D0"/>
    <w:rsid w:val="00C23710"/>
    <w:rsid w:val="00C24071"/>
    <w:rsid w:val="00C24172"/>
    <w:rsid w:val="00C24547"/>
    <w:rsid w:val="00C2469E"/>
    <w:rsid w:val="00C249A8"/>
    <w:rsid w:val="00C24AC1"/>
    <w:rsid w:val="00C24B79"/>
    <w:rsid w:val="00C24D55"/>
    <w:rsid w:val="00C24E3F"/>
    <w:rsid w:val="00C2504E"/>
    <w:rsid w:val="00C25193"/>
    <w:rsid w:val="00C251C0"/>
    <w:rsid w:val="00C2550E"/>
    <w:rsid w:val="00C25536"/>
    <w:rsid w:val="00C25588"/>
    <w:rsid w:val="00C25BB2"/>
    <w:rsid w:val="00C25C93"/>
    <w:rsid w:val="00C26590"/>
    <w:rsid w:val="00C266B2"/>
    <w:rsid w:val="00C26938"/>
    <w:rsid w:val="00C26ACF"/>
    <w:rsid w:val="00C26F5C"/>
    <w:rsid w:val="00C26FD1"/>
    <w:rsid w:val="00C2712C"/>
    <w:rsid w:val="00C27139"/>
    <w:rsid w:val="00C27704"/>
    <w:rsid w:val="00C27CB1"/>
    <w:rsid w:val="00C27D0B"/>
    <w:rsid w:val="00C27DB8"/>
    <w:rsid w:val="00C27E1A"/>
    <w:rsid w:val="00C306E8"/>
    <w:rsid w:val="00C30A65"/>
    <w:rsid w:val="00C30DEE"/>
    <w:rsid w:val="00C30F56"/>
    <w:rsid w:val="00C311B2"/>
    <w:rsid w:val="00C311B3"/>
    <w:rsid w:val="00C31427"/>
    <w:rsid w:val="00C31AAF"/>
    <w:rsid w:val="00C32169"/>
    <w:rsid w:val="00C32474"/>
    <w:rsid w:val="00C3257B"/>
    <w:rsid w:val="00C32973"/>
    <w:rsid w:val="00C329F5"/>
    <w:rsid w:val="00C32C2C"/>
    <w:rsid w:val="00C32CD2"/>
    <w:rsid w:val="00C32D75"/>
    <w:rsid w:val="00C32E73"/>
    <w:rsid w:val="00C32E99"/>
    <w:rsid w:val="00C33642"/>
    <w:rsid w:val="00C33686"/>
    <w:rsid w:val="00C33783"/>
    <w:rsid w:val="00C339A1"/>
    <w:rsid w:val="00C339D8"/>
    <w:rsid w:val="00C33B7A"/>
    <w:rsid w:val="00C33C97"/>
    <w:rsid w:val="00C33D17"/>
    <w:rsid w:val="00C33ED7"/>
    <w:rsid w:val="00C3430E"/>
    <w:rsid w:val="00C3485E"/>
    <w:rsid w:val="00C3491D"/>
    <w:rsid w:val="00C34D05"/>
    <w:rsid w:val="00C34E22"/>
    <w:rsid w:val="00C351DE"/>
    <w:rsid w:val="00C35396"/>
    <w:rsid w:val="00C353A4"/>
    <w:rsid w:val="00C3546F"/>
    <w:rsid w:val="00C35553"/>
    <w:rsid w:val="00C359EC"/>
    <w:rsid w:val="00C36DF1"/>
    <w:rsid w:val="00C37377"/>
    <w:rsid w:val="00C3767B"/>
    <w:rsid w:val="00C37C25"/>
    <w:rsid w:val="00C37CF0"/>
    <w:rsid w:val="00C37D03"/>
    <w:rsid w:val="00C37D2B"/>
    <w:rsid w:val="00C37D62"/>
    <w:rsid w:val="00C37E71"/>
    <w:rsid w:val="00C37EB4"/>
    <w:rsid w:val="00C37F43"/>
    <w:rsid w:val="00C4012B"/>
    <w:rsid w:val="00C40165"/>
    <w:rsid w:val="00C405BB"/>
    <w:rsid w:val="00C40EBD"/>
    <w:rsid w:val="00C40F38"/>
    <w:rsid w:val="00C40FA1"/>
    <w:rsid w:val="00C411F8"/>
    <w:rsid w:val="00C4160A"/>
    <w:rsid w:val="00C4180D"/>
    <w:rsid w:val="00C4185D"/>
    <w:rsid w:val="00C418B6"/>
    <w:rsid w:val="00C41DBF"/>
    <w:rsid w:val="00C421E4"/>
    <w:rsid w:val="00C42277"/>
    <w:rsid w:val="00C426B5"/>
    <w:rsid w:val="00C42802"/>
    <w:rsid w:val="00C42944"/>
    <w:rsid w:val="00C42D7B"/>
    <w:rsid w:val="00C42DA1"/>
    <w:rsid w:val="00C4337C"/>
    <w:rsid w:val="00C43496"/>
    <w:rsid w:val="00C434BB"/>
    <w:rsid w:val="00C4369C"/>
    <w:rsid w:val="00C43771"/>
    <w:rsid w:val="00C43786"/>
    <w:rsid w:val="00C43D1C"/>
    <w:rsid w:val="00C44284"/>
    <w:rsid w:val="00C4437A"/>
    <w:rsid w:val="00C443B0"/>
    <w:rsid w:val="00C4496C"/>
    <w:rsid w:val="00C44E4C"/>
    <w:rsid w:val="00C44F27"/>
    <w:rsid w:val="00C45357"/>
    <w:rsid w:val="00C453D9"/>
    <w:rsid w:val="00C4542A"/>
    <w:rsid w:val="00C458F0"/>
    <w:rsid w:val="00C45D37"/>
    <w:rsid w:val="00C45EB9"/>
    <w:rsid w:val="00C463B2"/>
    <w:rsid w:val="00C46563"/>
    <w:rsid w:val="00C4668E"/>
    <w:rsid w:val="00C4675E"/>
    <w:rsid w:val="00C467D4"/>
    <w:rsid w:val="00C4695D"/>
    <w:rsid w:val="00C46ECA"/>
    <w:rsid w:val="00C471B3"/>
    <w:rsid w:val="00C471BE"/>
    <w:rsid w:val="00C472E0"/>
    <w:rsid w:val="00C47576"/>
    <w:rsid w:val="00C4767A"/>
    <w:rsid w:val="00C476E0"/>
    <w:rsid w:val="00C4780B"/>
    <w:rsid w:val="00C47944"/>
    <w:rsid w:val="00C47A89"/>
    <w:rsid w:val="00C47B7A"/>
    <w:rsid w:val="00C47D85"/>
    <w:rsid w:val="00C47FB7"/>
    <w:rsid w:val="00C50104"/>
    <w:rsid w:val="00C50105"/>
    <w:rsid w:val="00C50495"/>
    <w:rsid w:val="00C50A4D"/>
    <w:rsid w:val="00C50AC5"/>
    <w:rsid w:val="00C50B43"/>
    <w:rsid w:val="00C50BC7"/>
    <w:rsid w:val="00C5108A"/>
    <w:rsid w:val="00C511B3"/>
    <w:rsid w:val="00C51402"/>
    <w:rsid w:val="00C515FD"/>
    <w:rsid w:val="00C51717"/>
    <w:rsid w:val="00C518CB"/>
    <w:rsid w:val="00C519F7"/>
    <w:rsid w:val="00C51AE0"/>
    <w:rsid w:val="00C51B10"/>
    <w:rsid w:val="00C51D85"/>
    <w:rsid w:val="00C51DC3"/>
    <w:rsid w:val="00C51E45"/>
    <w:rsid w:val="00C51E83"/>
    <w:rsid w:val="00C51F64"/>
    <w:rsid w:val="00C52002"/>
    <w:rsid w:val="00C521A1"/>
    <w:rsid w:val="00C524FC"/>
    <w:rsid w:val="00C52FF0"/>
    <w:rsid w:val="00C5316B"/>
    <w:rsid w:val="00C5334D"/>
    <w:rsid w:val="00C53387"/>
    <w:rsid w:val="00C533CB"/>
    <w:rsid w:val="00C53416"/>
    <w:rsid w:val="00C5352B"/>
    <w:rsid w:val="00C53FA0"/>
    <w:rsid w:val="00C5438A"/>
    <w:rsid w:val="00C54A0B"/>
    <w:rsid w:val="00C54AA5"/>
    <w:rsid w:val="00C54AE7"/>
    <w:rsid w:val="00C54C7C"/>
    <w:rsid w:val="00C5567D"/>
    <w:rsid w:val="00C559C3"/>
    <w:rsid w:val="00C55D78"/>
    <w:rsid w:val="00C55D97"/>
    <w:rsid w:val="00C55DB4"/>
    <w:rsid w:val="00C56045"/>
    <w:rsid w:val="00C561D6"/>
    <w:rsid w:val="00C56475"/>
    <w:rsid w:val="00C5662D"/>
    <w:rsid w:val="00C56675"/>
    <w:rsid w:val="00C56A9F"/>
    <w:rsid w:val="00C56C04"/>
    <w:rsid w:val="00C56DC4"/>
    <w:rsid w:val="00C56E15"/>
    <w:rsid w:val="00C56E8F"/>
    <w:rsid w:val="00C56F61"/>
    <w:rsid w:val="00C570D9"/>
    <w:rsid w:val="00C575D4"/>
    <w:rsid w:val="00C57714"/>
    <w:rsid w:val="00C5775F"/>
    <w:rsid w:val="00C57B25"/>
    <w:rsid w:val="00C57B6F"/>
    <w:rsid w:val="00C57BFF"/>
    <w:rsid w:val="00C57CAB"/>
    <w:rsid w:val="00C57CD5"/>
    <w:rsid w:val="00C60456"/>
    <w:rsid w:val="00C60560"/>
    <w:rsid w:val="00C605B8"/>
    <w:rsid w:val="00C60630"/>
    <w:rsid w:val="00C60AEA"/>
    <w:rsid w:val="00C60B64"/>
    <w:rsid w:val="00C60C7E"/>
    <w:rsid w:val="00C60D56"/>
    <w:rsid w:val="00C60DC5"/>
    <w:rsid w:val="00C619F7"/>
    <w:rsid w:val="00C61B59"/>
    <w:rsid w:val="00C61C0C"/>
    <w:rsid w:val="00C6241B"/>
    <w:rsid w:val="00C62906"/>
    <w:rsid w:val="00C62E1D"/>
    <w:rsid w:val="00C62F35"/>
    <w:rsid w:val="00C6312A"/>
    <w:rsid w:val="00C638D1"/>
    <w:rsid w:val="00C638E5"/>
    <w:rsid w:val="00C63AF6"/>
    <w:rsid w:val="00C63C55"/>
    <w:rsid w:val="00C63CF7"/>
    <w:rsid w:val="00C640A8"/>
    <w:rsid w:val="00C644EC"/>
    <w:rsid w:val="00C64E38"/>
    <w:rsid w:val="00C64F77"/>
    <w:rsid w:val="00C65413"/>
    <w:rsid w:val="00C65429"/>
    <w:rsid w:val="00C65DF0"/>
    <w:rsid w:val="00C65E33"/>
    <w:rsid w:val="00C66007"/>
    <w:rsid w:val="00C66191"/>
    <w:rsid w:val="00C665FE"/>
    <w:rsid w:val="00C6682C"/>
    <w:rsid w:val="00C66942"/>
    <w:rsid w:val="00C66F53"/>
    <w:rsid w:val="00C671FC"/>
    <w:rsid w:val="00C67441"/>
    <w:rsid w:val="00C67FD6"/>
    <w:rsid w:val="00C7015A"/>
    <w:rsid w:val="00C704DC"/>
    <w:rsid w:val="00C706CB"/>
    <w:rsid w:val="00C70748"/>
    <w:rsid w:val="00C7079D"/>
    <w:rsid w:val="00C707E5"/>
    <w:rsid w:val="00C7097F"/>
    <w:rsid w:val="00C70D15"/>
    <w:rsid w:val="00C70EE5"/>
    <w:rsid w:val="00C7117E"/>
    <w:rsid w:val="00C7123B"/>
    <w:rsid w:val="00C7164E"/>
    <w:rsid w:val="00C71654"/>
    <w:rsid w:val="00C7172C"/>
    <w:rsid w:val="00C717F0"/>
    <w:rsid w:val="00C717FC"/>
    <w:rsid w:val="00C7187C"/>
    <w:rsid w:val="00C71A2F"/>
    <w:rsid w:val="00C71F42"/>
    <w:rsid w:val="00C7209E"/>
    <w:rsid w:val="00C723F9"/>
    <w:rsid w:val="00C72726"/>
    <w:rsid w:val="00C727B9"/>
    <w:rsid w:val="00C729EC"/>
    <w:rsid w:val="00C72B17"/>
    <w:rsid w:val="00C73855"/>
    <w:rsid w:val="00C7391C"/>
    <w:rsid w:val="00C73DB0"/>
    <w:rsid w:val="00C742AD"/>
    <w:rsid w:val="00C744F9"/>
    <w:rsid w:val="00C74540"/>
    <w:rsid w:val="00C74726"/>
    <w:rsid w:val="00C74BB3"/>
    <w:rsid w:val="00C74DF7"/>
    <w:rsid w:val="00C7514B"/>
    <w:rsid w:val="00C7516C"/>
    <w:rsid w:val="00C7525F"/>
    <w:rsid w:val="00C7550E"/>
    <w:rsid w:val="00C75AC5"/>
    <w:rsid w:val="00C75BF1"/>
    <w:rsid w:val="00C75E93"/>
    <w:rsid w:val="00C762A9"/>
    <w:rsid w:val="00C76BC5"/>
    <w:rsid w:val="00C76F28"/>
    <w:rsid w:val="00C770DE"/>
    <w:rsid w:val="00C77220"/>
    <w:rsid w:val="00C77319"/>
    <w:rsid w:val="00C77797"/>
    <w:rsid w:val="00C777D6"/>
    <w:rsid w:val="00C778C8"/>
    <w:rsid w:val="00C77B26"/>
    <w:rsid w:val="00C77B2D"/>
    <w:rsid w:val="00C77C00"/>
    <w:rsid w:val="00C77F49"/>
    <w:rsid w:val="00C802B8"/>
    <w:rsid w:val="00C8064C"/>
    <w:rsid w:val="00C8071C"/>
    <w:rsid w:val="00C80840"/>
    <w:rsid w:val="00C80D6D"/>
    <w:rsid w:val="00C8108E"/>
    <w:rsid w:val="00C81ADF"/>
    <w:rsid w:val="00C81CA2"/>
    <w:rsid w:val="00C81CC4"/>
    <w:rsid w:val="00C81DC1"/>
    <w:rsid w:val="00C81DE4"/>
    <w:rsid w:val="00C82014"/>
    <w:rsid w:val="00C821AE"/>
    <w:rsid w:val="00C828BF"/>
    <w:rsid w:val="00C829C7"/>
    <w:rsid w:val="00C82ACB"/>
    <w:rsid w:val="00C82BD7"/>
    <w:rsid w:val="00C82F80"/>
    <w:rsid w:val="00C83023"/>
    <w:rsid w:val="00C830EC"/>
    <w:rsid w:val="00C833A9"/>
    <w:rsid w:val="00C83408"/>
    <w:rsid w:val="00C834FA"/>
    <w:rsid w:val="00C8391B"/>
    <w:rsid w:val="00C83A15"/>
    <w:rsid w:val="00C83DB6"/>
    <w:rsid w:val="00C83E9D"/>
    <w:rsid w:val="00C83F6B"/>
    <w:rsid w:val="00C83F93"/>
    <w:rsid w:val="00C841AF"/>
    <w:rsid w:val="00C841CD"/>
    <w:rsid w:val="00C8429D"/>
    <w:rsid w:val="00C842BF"/>
    <w:rsid w:val="00C84D57"/>
    <w:rsid w:val="00C84E0B"/>
    <w:rsid w:val="00C84EEF"/>
    <w:rsid w:val="00C8502F"/>
    <w:rsid w:val="00C851D0"/>
    <w:rsid w:val="00C85201"/>
    <w:rsid w:val="00C852E7"/>
    <w:rsid w:val="00C85930"/>
    <w:rsid w:val="00C8593E"/>
    <w:rsid w:val="00C85956"/>
    <w:rsid w:val="00C86476"/>
    <w:rsid w:val="00C8649F"/>
    <w:rsid w:val="00C865BA"/>
    <w:rsid w:val="00C86B2B"/>
    <w:rsid w:val="00C87060"/>
    <w:rsid w:val="00C873B6"/>
    <w:rsid w:val="00C8754E"/>
    <w:rsid w:val="00C87595"/>
    <w:rsid w:val="00C87629"/>
    <w:rsid w:val="00C87920"/>
    <w:rsid w:val="00C87B5E"/>
    <w:rsid w:val="00C87BD5"/>
    <w:rsid w:val="00C900A8"/>
    <w:rsid w:val="00C90100"/>
    <w:rsid w:val="00C901F0"/>
    <w:rsid w:val="00C903FB"/>
    <w:rsid w:val="00C9058B"/>
    <w:rsid w:val="00C90767"/>
    <w:rsid w:val="00C908CF"/>
    <w:rsid w:val="00C90B76"/>
    <w:rsid w:val="00C90BE3"/>
    <w:rsid w:val="00C90CEC"/>
    <w:rsid w:val="00C90D3A"/>
    <w:rsid w:val="00C91051"/>
    <w:rsid w:val="00C9149A"/>
    <w:rsid w:val="00C914DF"/>
    <w:rsid w:val="00C91539"/>
    <w:rsid w:val="00C91A3E"/>
    <w:rsid w:val="00C91B56"/>
    <w:rsid w:val="00C91B8A"/>
    <w:rsid w:val="00C921D2"/>
    <w:rsid w:val="00C92578"/>
    <w:rsid w:val="00C926C8"/>
    <w:rsid w:val="00C92F81"/>
    <w:rsid w:val="00C93653"/>
    <w:rsid w:val="00C93A37"/>
    <w:rsid w:val="00C93A7C"/>
    <w:rsid w:val="00C93A88"/>
    <w:rsid w:val="00C93B84"/>
    <w:rsid w:val="00C93C07"/>
    <w:rsid w:val="00C93F52"/>
    <w:rsid w:val="00C93FDD"/>
    <w:rsid w:val="00C94282"/>
    <w:rsid w:val="00C942E4"/>
    <w:rsid w:val="00C943B1"/>
    <w:rsid w:val="00C94658"/>
    <w:rsid w:val="00C94924"/>
    <w:rsid w:val="00C94AE7"/>
    <w:rsid w:val="00C94AF6"/>
    <w:rsid w:val="00C95077"/>
    <w:rsid w:val="00C9525F"/>
    <w:rsid w:val="00C952DD"/>
    <w:rsid w:val="00C95485"/>
    <w:rsid w:val="00C95502"/>
    <w:rsid w:val="00C9559B"/>
    <w:rsid w:val="00C958D8"/>
    <w:rsid w:val="00C95A5A"/>
    <w:rsid w:val="00C95B24"/>
    <w:rsid w:val="00C95F53"/>
    <w:rsid w:val="00C961E7"/>
    <w:rsid w:val="00C9643E"/>
    <w:rsid w:val="00C96758"/>
    <w:rsid w:val="00C9698F"/>
    <w:rsid w:val="00C96D88"/>
    <w:rsid w:val="00C96F7E"/>
    <w:rsid w:val="00C972BB"/>
    <w:rsid w:val="00C9753B"/>
    <w:rsid w:val="00C975C4"/>
    <w:rsid w:val="00C976A7"/>
    <w:rsid w:val="00C9783A"/>
    <w:rsid w:val="00CA0139"/>
    <w:rsid w:val="00CA0246"/>
    <w:rsid w:val="00CA0325"/>
    <w:rsid w:val="00CA0684"/>
    <w:rsid w:val="00CA07D5"/>
    <w:rsid w:val="00CA09CD"/>
    <w:rsid w:val="00CA09F6"/>
    <w:rsid w:val="00CA0D58"/>
    <w:rsid w:val="00CA0D5C"/>
    <w:rsid w:val="00CA1044"/>
    <w:rsid w:val="00CA10F3"/>
    <w:rsid w:val="00CA1C08"/>
    <w:rsid w:val="00CA1C21"/>
    <w:rsid w:val="00CA1C4F"/>
    <w:rsid w:val="00CA1CE2"/>
    <w:rsid w:val="00CA1DD5"/>
    <w:rsid w:val="00CA20E9"/>
    <w:rsid w:val="00CA21DC"/>
    <w:rsid w:val="00CA23F8"/>
    <w:rsid w:val="00CA25A0"/>
    <w:rsid w:val="00CA2B33"/>
    <w:rsid w:val="00CA2BBE"/>
    <w:rsid w:val="00CA32F2"/>
    <w:rsid w:val="00CA3704"/>
    <w:rsid w:val="00CA3937"/>
    <w:rsid w:val="00CA3C96"/>
    <w:rsid w:val="00CA3CE2"/>
    <w:rsid w:val="00CA3D50"/>
    <w:rsid w:val="00CA40E2"/>
    <w:rsid w:val="00CA4168"/>
    <w:rsid w:val="00CA4321"/>
    <w:rsid w:val="00CA4450"/>
    <w:rsid w:val="00CA4858"/>
    <w:rsid w:val="00CA4C17"/>
    <w:rsid w:val="00CA4D5D"/>
    <w:rsid w:val="00CA4D70"/>
    <w:rsid w:val="00CA5073"/>
    <w:rsid w:val="00CA5077"/>
    <w:rsid w:val="00CA5DBB"/>
    <w:rsid w:val="00CA5E5A"/>
    <w:rsid w:val="00CA6015"/>
    <w:rsid w:val="00CA65B4"/>
    <w:rsid w:val="00CA6952"/>
    <w:rsid w:val="00CA69B4"/>
    <w:rsid w:val="00CA6C0F"/>
    <w:rsid w:val="00CA6CBA"/>
    <w:rsid w:val="00CA6CF3"/>
    <w:rsid w:val="00CA6EB5"/>
    <w:rsid w:val="00CA6F17"/>
    <w:rsid w:val="00CA6F4A"/>
    <w:rsid w:val="00CA6FC8"/>
    <w:rsid w:val="00CA792A"/>
    <w:rsid w:val="00CA7CF1"/>
    <w:rsid w:val="00CA7F9E"/>
    <w:rsid w:val="00CB0230"/>
    <w:rsid w:val="00CB034D"/>
    <w:rsid w:val="00CB04BB"/>
    <w:rsid w:val="00CB07A3"/>
    <w:rsid w:val="00CB084D"/>
    <w:rsid w:val="00CB087C"/>
    <w:rsid w:val="00CB0996"/>
    <w:rsid w:val="00CB0EBA"/>
    <w:rsid w:val="00CB13A4"/>
    <w:rsid w:val="00CB1422"/>
    <w:rsid w:val="00CB185D"/>
    <w:rsid w:val="00CB1D0E"/>
    <w:rsid w:val="00CB1EDF"/>
    <w:rsid w:val="00CB1FA8"/>
    <w:rsid w:val="00CB2196"/>
    <w:rsid w:val="00CB2344"/>
    <w:rsid w:val="00CB260E"/>
    <w:rsid w:val="00CB2A87"/>
    <w:rsid w:val="00CB2DDA"/>
    <w:rsid w:val="00CB321E"/>
    <w:rsid w:val="00CB366D"/>
    <w:rsid w:val="00CB3C4B"/>
    <w:rsid w:val="00CB4044"/>
    <w:rsid w:val="00CB46C5"/>
    <w:rsid w:val="00CB47C5"/>
    <w:rsid w:val="00CB485D"/>
    <w:rsid w:val="00CB4C15"/>
    <w:rsid w:val="00CB4C50"/>
    <w:rsid w:val="00CB4DF0"/>
    <w:rsid w:val="00CB5108"/>
    <w:rsid w:val="00CB518A"/>
    <w:rsid w:val="00CB535B"/>
    <w:rsid w:val="00CB5478"/>
    <w:rsid w:val="00CB5631"/>
    <w:rsid w:val="00CB5BA9"/>
    <w:rsid w:val="00CB64B4"/>
    <w:rsid w:val="00CB65F3"/>
    <w:rsid w:val="00CB6882"/>
    <w:rsid w:val="00CB6A33"/>
    <w:rsid w:val="00CB6F0E"/>
    <w:rsid w:val="00CB710E"/>
    <w:rsid w:val="00CB7777"/>
    <w:rsid w:val="00CB782E"/>
    <w:rsid w:val="00CB7A3C"/>
    <w:rsid w:val="00CC0096"/>
    <w:rsid w:val="00CC0192"/>
    <w:rsid w:val="00CC01D0"/>
    <w:rsid w:val="00CC026B"/>
    <w:rsid w:val="00CC05F0"/>
    <w:rsid w:val="00CC0AA5"/>
    <w:rsid w:val="00CC0BE4"/>
    <w:rsid w:val="00CC0D57"/>
    <w:rsid w:val="00CC0F6C"/>
    <w:rsid w:val="00CC1535"/>
    <w:rsid w:val="00CC16F5"/>
    <w:rsid w:val="00CC1720"/>
    <w:rsid w:val="00CC175E"/>
    <w:rsid w:val="00CC1C37"/>
    <w:rsid w:val="00CC1DE4"/>
    <w:rsid w:val="00CC1E87"/>
    <w:rsid w:val="00CC1F53"/>
    <w:rsid w:val="00CC2544"/>
    <w:rsid w:val="00CC28A2"/>
    <w:rsid w:val="00CC2976"/>
    <w:rsid w:val="00CC2CDA"/>
    <w:rsid w:val="00CC2CE3"/>
    <w:rsid w:val="00CC2D21"/>
    <w:rsid w:val="00CC3307"/>
    <w:rsid w:val="00CC34EF"/>
    <w:rsid w:val="00CC3819"/>
    <w:rsid w:val="00CC38DA"/>
    <w:rsid w:val="00CC3911"/>
    <w:rsid w:val="00CC398C"/>
    <w:rsid w:val="00CC39A8"/>
    <w:rsid w:val="00CC4157"/>
    <w:rsid w:val="00CC49D2"/>
    <w:rsid w:val="00CC4AEB"/>
    <w:rsid w:val="00CC4C38"/>
    <w:rsid w:val="00CC4FF3"/>
    <w:rsid w:val="00CC5405"/>
    <w:rsid w:val="00CC5560"/>
    <w:rsid w:val="00CC5603"/>
    <w:rsid w:val="00CC5A10"/>
    <w:rsid w:val="00CC5E8A"/>
    <w:rsid w:val="00CC604A"/>
    <w:rsid w:val="00CC61ED"/>
    <w:rsid w:val="00CC63FB"/>
    <w:rsid w:val="00CC6416"/>
    <w:rsid w:val="00CC656C"/>
    <w:rsid w:val="00CC67EC"/>
    <w:rsid w:val="00CC7009"/>
    <w:rsid w:val="00CC7159"/>
    <w:rsid w:val="00CC7331"/>
    <w:rsid w:val="00CC7949"/>
    <w:rsid w:val="00CC7ACF"/>
    <w:rsid w:val="00CD00AE"/>
    <w:rsid w:val="00CD0203"/>
    <w:rsid w:val="00CD09B7"/>
    <w:rsid w:val="00CD0E82"/>
    <w:rsid w:val="00CD100C"/>
    <w:rsid w:val="00CD1300"/>
    <w:rsid w:val="00CD136D"/>
    <w:rsid w:val="00CD13FC"/>
    <w:rsid w:val="00CD14F3"/>
    <w:rsid w:val="00CD187E"/>
    <w:rsid w:val="00CD1996"/>
    <w:rsid w:val="00CD1A54"/>
    <w:rsid w:val="00CD1B88"/>
    <w:rsid w:val="00CD1CA7"/>
    <w:rsid w:val="00CD1DB6"/>
    <w:rsid w:val="00CD1E9A"/>
    <w:rsid w:val="00CD1F5E"/>
    <w:rsid w:val="00CD2230"/>
    <w:rsid w:val="00CD2384"/>
    <w:rsid w:val="00CD2410"/>
    <w:rsid w:val="00CD25C7"/>
    <w:rsid w:val="00CD265D"/>
    <w:rsid w:val="00CD294B"/>
    <w:rsid w:val="00CD29E9"/>
    <w:rsid w:val="00CD2F06"/>
    <w:rsid w:val="00CD3292"/>
    <w:rsid w:val="00CD3394"/>
    <w:rsid w:val="00CD3D46"/>
    <w:rsid w:val="00CD4207"/>
    <w:rsid w:val="00CD42DB"/>
    <w:rsid w:val="00CD4305"/>
    <w:rsid w:val="00CD4590"/>
    <w:rsid w:val="00CD4D65"/>
    <w:rsid w:val="00CD51A8"/>
    <w:rsid w:val="00CD5312"/>
    <w:rsid w:val="00CD54E0"/>
    <w:rsid w:val="00CD56AA"/>
    <w:rsid w:val="00CD58BD"/>
    <w:rsid w:val="00CD58E9"/>
    <w:rsid w:val="00CD59D5"/>
    <w:rsid w:val="00CD5F5B"/>
    <w:rsid w:val="00CD619D"/>
    <w:rsid w:val="00CD622C"/>
    <w:rsid w:val="00CD6665"/>
    <w:rsid w:val="00CD666E"/>
    <w:rsid w:val="00CD6918"/>
    <w:rsid w:val="00CD69E0"/>
    <w:rsid w:val="00CD7119"/>
    <w:rsid w:val="00CD7243"/>
    <w:rsid w:val="00CD750E"/>
    <w:rsid w:val="00CD75DF"/>
    <w:rsid w:val="00CD76C4"/>
    <w:rsid w:val="00CD78A3"/>
    <w:rsid w:val="00CD7A64"/>
    <w:rsid w:val="00CD7AA8"/>
    <w:rsid w:val="00CD7C56"/>
    <w:rsid w:val="00CD7D0A"/>
    <w:rsid w:val="00CD7DE0"/>
    <w:rsid w:val="00CD7E93"/>
    <w:rsid w:val="00CE01EA"/>
    <w:rsid w:val="00CE0BC7"/>
    <w:rsid w:val="00CE0FB3"/>
    <w:rsid w:val="00CE1567"/>
    <w:rsid w:val="00CE1684"/>
    <w:rsid w:val="00CE1845"/>
    <w:rsid w:val="00CE1872"/>
    <w:rsid w:val="00CE1B77"/>
    <w:rsid w:val="00CE1D33"/>
    <w:rsid w:val="00CE2563"/>
    <w:rsid w:val="00CE29E0"/>
    <w:rsid w:val="00CE3541"/>
    <w:rsid w:val="00CE37FF"/>
    <w:rsid w:val="00CE39A1"/>
    <w:rsid w:val="00CE4347"/>
    <w:rsid w:val="00CE440F"/>
    <w:rsid w:val="00CE478B"/>
    <w:rsid w:val="00CE49A9"/>
    <w:rsid w:val="00CE4A8F"/>
    <w:rsid w:val="00CE4C57"/>
    <w:rsid w:val="00CE4CB4"/>
    <w:rsid w:val="00CE4D95"/>
    <w:rsid w:val="00CE509B"/>
    <w:rsid w:val="00CE51AB"/>
    <w:rsid w:val="00CE52D2"/>
    <w:rsid w:val="00CE5475"/>
    <w:rsid w:val="00CE55D2"/>
    <w:rsid w:val="00CE5792"/>
    <w:rsid w:val="00CE584E"/>
    <w:rsid w:val="00CE5B33"/>
    <w:rsid w:val="00CE5E66"/>
    <w:rsid w:val="00CE634F"/>
    <w:rsid w:val="00CE67D4"/>
    <w:rsid w:val="00CE6D93"/>
    <w:rsid w:val="00CE6EC1"/>
    <w:rsid w:val="00CE6F4F"/>
    <w:rsid w:val="00CE7104"/>
    <w:rsid w:val="00CE724A"/>
    <w:rsid w:val="00CE725C"/>
    <w:rsid w:val="00CE7402"/>
    <w:rsid w:val="00CE7416"/>
    <w:rsid w:val="00CE7B86"/>
    <w:rsid w:val="00CE7FD7"/>
    <w:rsid w:val="00CF04BD"/>
    <w:rsid w:val="00CF05F5"/>
    <w:rsid w:val="00CF07B4"/>
    <w:rsid w:val="00CF089A"/>
    <w:rsid w:val="00CF0C94"/>
    <w:rsid w:val="00CF0E65"/>
    <w:rsid w:val="00CF1462"/>
    <w:rsid w:val="00CF173A"/>
    <w:rsid w:val="00CF19C7"/>
    <w:rsid w:val="00CF2363"/>
    <w:rsid w:val="00CF25C2"/>
    <w:rsid w:val="00CF2654"/>
    <w:rsid w:val="00CF296C"/>
    <w:rsid w:val="00CF2B80"/>
    <w:rsid w:val="00CF2C80"/>
    <w:rsid w:val="00CF2EFE"/>
    <w:rsid w:val="00CF2F05"/>
    <w:rsid w:val="00CF3519"/>
    <w:rsid w:val="00CF3CF2"/>
    <w:rsid w:val="00CF3D54"/>
    <w:rsid w:val="00CF3E45"/>
    <w:rsid w:val="00CF42E1"/>
    <w:rsid w:val="00CF42F9"/>
    <w:rsid w:val="00CF43A5"/>
    <w:rsid w:val="00CF4569"/>
    <w:rsid w:val="00CF4812"/>
    <w:rsid w:val="00CF4A6E"/>
    <w:rsid w:val="00CF4EF4"/>
    <w:rsid w:val="00CF4F7B"/>
    <w:rsid w:val="00CF5382"/>
    <w:rsid w:val="00CF53E6"/>
    <w:rsid w:val="00CF55F6"/>
    <w:rsid w:val="00CF57E7"/>
    <w:rsid w:val="00CF5829"/>
    <w:rsid w:val="00CF5BD3"/>
    <w:rsid w:val="00CF5D0E"/>
    <w:rsid w:val="00CF5DF8"/>
    <w:rsid w:val="00CF5E6F"/>
    <w:rsid w:val="00CF602A"/>
    <w:rsid w:val="00CF6091"/>
    <w:rsid w:val="00CF617F"/>
    <w:rsid w:val="00CF6530"/>
    <w:rsid w:val="00CF6747"/>
    <w:rsid w:val="00CF694D"/>
    <w:rsid w:val="00CF6B81"/>
    <w:rsid w:val="00CF6B8A"/>
    <w:rsid w:val="00CF74C6"/>
    <w:rsid w:val="00CF7541"/>
    <w:rsid w:val="00CF76E7"/>
    <w:rsid w:val="00CF782F"/>
    <w:rsid w:val="00CF797A"/>
    <w:rsid w:val="00CF7B43"/>
    <w:rsid w:val="00CF7EEE"/>
    <w:rsid w:val="00D0034D"/>
    <w:rsid w:val="00D00507"/>
    <w:rsid w:val="00D00798"/>
    <w:rsid w:val="00D007CB"/>
    <w:rsid w:val="00D008BF"/>
    <w:rsid w:val="00D00A1F"/>
    <w:rsid w:val="00D00B6A"/>
    <w:rsid w:val="00D0121F"/>
    <w:rsid w:val="00D014B4"/>
    <w:rsid w:val="00D017EE"/>
    <w:rsid w:val="00D01821"/>
    <w:rsid w:val="00D01D85"/>
    <w:rsid w:val="00D01F98"/>
    <w:rsid w:val="00D02099"/>
    <w:rsid w:val="00D020DE"/>
    <w:rsid w:val="00D024EE"/>
    <w:rsid w:val="00D0255E"/>
    <w:rsid w:val="00D025E3"/>
    <w:rsid w:val="00D0287F"/>
    <w:rsid w:val="00D02A1A"/>
    <w:rsid w:val="00D02A8D"/>
    <w:rsid w:val="00D02B4E"/>
    <w:rsid w:val="00D02C36"/>
    <w:rsid w:val="00D02D55"/>
    <w:rsid w:val="00D02F87"/>
    <w:rsid w:val="00D0314A"/>
    <w:rsid w:val="00D0320F"/>
    <w:rsid w:val="00D035AF"/>
    <w:rsid w:val="00D03683"/>
    <w:rsid w:val="00D03776"/>
    <w:rsid w:val="00D038BD"/>
    <w:rsid w:val="00D03E3D"/>
    <w:rsid w:val="00D03E3E"/>
    <w:rsid w:val="00D03F74"/>
    <w:rsid w:val="00D0432D"/>
    <w:rsid w:val="00D0494A"/>
    <w:rsid w:val="00D04B1B"/>
    <w:rsid w:val="00D04B36"/>
    <w:rsid w:val="00D04B3B"/>
    <w:rsid w:val="00D04B85"/>
    <w:rsid w:val="00D0548D"/>
    <w:rsid w:val="00D05783"/>
    <w:rsid w:val="00D05869"/>
    <w:rsid w:val="00D058E0"/>
    <w:rsid w:val="00D05C3F"/>
    <w:rsid w:val="00D05CC0"/>
    <w:rsid w:val="00D05CD3"/>
    <w:rsid w:val="00D05DDB"/>
    <w:rsid w:val="00D05FF3"/>
    <w:rsid w:val="00D060B4"/>
    <w:rsid w:val="00D063B2"/>
    <w:rsid w:val="00D06736"/>
    <w:rsid w:val="00D06886"/>
    <w:rsid w:val="00D06B80"/>
    <w:rsid w:val="00D06BFC"/>
    <w:rsid w:val="00D06FF0"/>
    <w:rsid w:val="00D0761B"/>
    <w:rsid w:val="00D078CC"/>
    <w:rsid w:val="00D07ADD"/>
    <w:rsid w:val="00D10388"/>
    <w:rsid w:val="00D106B1"/>
    <w:rsid w:val="00D106F5"/>
    <w:rsid w:val="00D1088B"/>
    <w:rsid w:val="00D10BB6"/>
    <w:rsid w:val="00D10DCB"/>
    <w:rsid w:val="00D10EDD"/>
    <w:rsid w:val="00D10F42"/>
    <w:rsid w:val="00D1119D"/>
    <w:rsid w:val="00D11437"/>
    <w:rsid w:val="00D11B2D"/>
    <w:rsid w:val="00D11CA3"/>
    <w:rsid w:val="00D12186"/>
    <w:rsid w:val="00D125A9"/>
    <w:rsid w:val="00D125B4"/>
    <w:rsid w:val="00D12AC8"/>
    <w:rsid w:val="00D12DA5"/>
    <w:rsid w:val="00D12E1A"/>
    <w:rsid w:val="00D12E6F"/>
    <w:rsid w:val="00D12EAE"/>
    <w:rsid w:val="00D12F9F"/>
    <w:rsid w:val="00D135D1"/>
    <w:rsid w:val="00D13653"/>
    <w:rsid w:val="00D1391D"/>
    <w:rsid w:val="00D13A6B"/>
    <w:rsid w:val="00D13B92"/>
    <w:rsid w:val="00D13CCB"/>
    <w:rsid w:val="00D13D65"/>
    <w:rsid w:val="00D13E4A"/>
    <w:rsid w:val="00D143D9"/>
    <w:rsid w:val="00D14A4C"/>
    <w:rsid w:val="00D14AE7"/>
    <w:rsid w:val="00D14B63"/>
    <w:rsid w:val="00D15225"/>
    <w:rsid w:val="00D152CF"/>
    <w:rsid w:val="00D152F4"/>
    <w:rsid w:val="00D153EE"/>
    <w:rsid w:val="00D15468"/>
    <w:rsid w:val="00D1546E"/>
    <w:rsid w:val="00D15542"/>
    <w:rsid w:val="00D15D2D"/>
    <w:rsid w:val="00D15D3A"/>
    <w:rsid w:val="00D15E80"/>
    <w:rsid w:val="00D15F9D"/>
    <w:rsid w:val="00D1608C"/>
    <w:rsid w:val="00D16395"/>
    <w:rsid w:val="00D1650F"/>
    <w:rsid w:val="00D1677E"/>
    <w:rsid w:val="00D16E02"/>
    <w:rsid w:val="00D17839"/>
    <w:rsid w:val="00D17877"/>
    <w:rsid w:val="00D1796B"/>
    <w:rsid w:val="00D17E54"/>
    <w:rsid w:val="00D2009D"/>
    <w:rsid w:val="00D2035C"/>
    <w:rsid w:val="00D20650"/>
    <w:rsid w:val="00D206F2"/>
    <w:rsid w:val="00D20A3A"/>
    <w:rsid w:val="00D20A3C"/>
    <w:rsid w:val="00D21456"/>
    <w:rsid w:val="00D215A0"/>
    <w:rsid w:val="00D217BA"/>
    <w:rsid w:val="00D21B66"/>
    <w:rsid w:val="00D21B73"/>
    <w:rsid w:val="00D22040"/>
    <w:rsid w:val="00D223E8"/>
    <w:rsid w:val="00D226F1"/>
    <w:rsid w:val="00D229DA"/>
    <w:rsid w:val="00D22E42"/>
    <w:rsid w:val="00D234D1"/>
    <w:rsid w:val="00D234DA"/>
    <w:rsid w:val="00D23592"/>
    <w:rsid w:val="00D23A39"/>
    <w:rsid w:val="00D23A76"/>
    <w:rsid w:val="00D23EF4"/>
    <w:rsid w:val="00D23F5E"/>
    <w:rsid w:val="00D2409A"/>
    <w:rsid w:val="00D24381"/>
    <w:rsid w:val="00D243DD"/>
    <w:rsid w:val="00D243FE"/>
    <w:rsid w:val="00D2450F"/>
    <w:rsid w:val="00D24595"/>
    <w:rsid w:val="00D24827"/>
    <w:rsid w:val="00D24CFD"/>
    <w:rsid w:val="00D25353"/>
    <w:rsid w:val="00D25694"/>
    <w:rsid w:val="00D25798"/>
    <w:rsid w:val="00D2587D"/>
    <w:rsid w:val="00D258B6"/>
    <w:rsid w:val="00D25AD0"/>
    <w:rsid w:val="00D25DA9"/>
    <w:rsid w:val="00D25DD5"/>
    <w:rsid w:val="00D2601B"/>
    <w:rsid w:val="00D260B6"/>
    <w:rsid w:val="00D260F9"/>
    <w:rsid w:val="00D26601"/>
    <w:rsid w:val="00D26656"/>
    <w:rsid w:val="00D26B64"/>
    <w:rsid w:val="00D26E9F"/>
    <w:rsid w:val="00D26EB0"/>
    <w:rsid w:val="00D26EB9"/>
    <w:rsid w:val="00D26F2B"/>
    <w:rsid w:val="00D26F81"/>
    <w:rsid w:val="00D27029"/>
    <w:rsid w:val="00D279B5"/>
    <w:rsid w:val="00D30148"/>
    <w:rsid w:val="00D3081B"/>
    <w:rsid w:val="00D308FF"/>
    <w:rsid w:val="00D309A5"/>
    <w:rsid w:val="00D30C32"/>
    <w:rsid w:val="00D30F4D"/>
    <w:rsid w:val="00D30FF6"/>
    <w:rsid w:val="00D3122C"/>
    <w:rsid w:val="00D31323"/>
    <w:rsid w:val="00D31504"/>
    <w:rsid w:val="00D31507"/>
    <w:rsid w:val="00D31539"/>
    <w:rsid w:val="00D315BE"/>
    <w:rsid w:val="00D315EC"/>
    <w:rsid w:val="00D31613"/>
    <w:rsid w:val="00D316E7"/>
    <w:rsid w:val="00D31C26"/>
    <w:rsid w:val="00D31D6C"/>
    <w:rsid w:val="00D31E56"/>
    <w:rsid w:val="00D32146"/>
    <w:rsid w:val="00D32496"/>
    <w:rsid w:val="00D324D2"/>
    <w:rsid w:val="00D327EE"/>
    <w:rsid w:val="00D32985"/>
    <w:rsid w:val="00D32CB7"/>
    <w:rsid w:val="00D32CEA"/>
    <w:rsid w:val="00D33038"/>
    <w:rsid w:val="00D33194"/>
    <w:rsid w:val="00D332F7"/>
    <w:rsid w:val="00D332FA"/>
    <w:rsid w:val="00D33335"/>
    <w:rsid w:val="00D336BE"/>
    <w:rsid w:val="00D337EE"/>
    <w:rsid w:val="00D33972"/>
    <w:rsid w:val="00D33C65"/>
    <w:rsid w:val="00D33E3A"/>
    <w:rsid w:val="00D3410D"/>
    <w:rsid w:val="00D34199"/>
    <w:rsid w:val="00D3429A"/>
    <w:rsid w:val="00D342D8"/>
    <w:rsid w:val="00D3430B"/>
    <w:rsid w:val="00D344AA"/>
    <w:rsid w:val="00D3498B"/>
    <w:rsid w:val="00D34C3E"/>
    <w:rsid w:val="00D34E2E"/>
    <w:rsid w:val="00D35213"/>
    <w:rsid w:val="00D353A1"/>
    <w:rsid w:val="00D35548"/>
    <w:rsid w:val="00D355C1"/>
    <w:rsid w:val="00D35A08"/>
    <w:rsid w:val="00D35A54"/>
    <w:rsid w:val="00D36184"/>
    <w:rsid w:val="00D362E6"/>
    <w:rsid w:val="00D3642A"/>
    <w:rsid w:val="00D36484"/>
    <w:rsid w:val="00D36844"/>
    <w:rsid w:val="00D369B5"/>
    <w:rsid w:val="00D36AEB"/>
    <w:rsid w:val="00D36DBA"/>
    <w:rsid w:val="00D36E7A"/>
    <w:rsid w:val="00D36ED2"/>
    <w:rsid w:val="00D3729B"/>
    <w:rsid w:val="00D37422"/>
    <w:rsid w:val="00D37456"/>
    <w:rsid w:val="00D37695"/>
    <w:rsid w:val="00D378BE"/>
    <w:rsid w:val="00D37CB5"/>
    <w:rsid w:val="00D37CD9"/>
    <w:rsid w:val="00D37D51"/>
    <w:rsid w:val="00D37F90"/>
    <w:rsid w:val="00D40085"/>
    <w:rsid w:val="00D401A3"/>
    <w:rsid w:val="00D404DD"/>
    <w:rsid w:val="00D40663"/>
    <w:rsid w:val="00D4090D"/>
    <w:rsid w:val="00D409D9"/>
    <w:rsid w:val="00D40B1A"/>
    <w:rsid w:val="00D40CA7"/>
    <w:rsid w:val="00D40D68"/>
    <w:rsid w:val="00D40DCC"/>
    <w:rsid w:val="00D41052"/>
    <w:rsid w:val="00D41A58"/>
    <w:rsid w:val="00D41BF9"/>
    <w:rsid w:val="00D421CB"/>
    <w:rsid w:val="00D42214"/>
    <w:rsid w:val="00D4224A"/>
    <w:rsid w:val="00D423BF"/>
    <w:rsid w:val="00D42502"/>
    <w:rsid w:val="00D42598"/>
    <w:rsid w:val="00D425A1"/>
    <w:rsid w:val="00D42662"/>
    <w:rsid w:val="00D428F0"/>
    <w:rsid w:val="00D42976"/>
    <w:rsid w:val="00D42A56"/>
    <w:rsid w:val="00D42C97"/>
    <w:rsid w:val="00D42DDE"/>
    <w:rsid w:val="00D42FB8"/>
    <w:rsid w:val="00D43103"/>
    <w:rsid w:val="00D43107"/>
    <w:rsid w:val="00D431AF"/>
    <w:rsid w:val="00D43376"/>
    <w:rsid w:val="00D43462"/>
    <w:rsid w:val="00D4353F"/>
    <w:rsid w:val="00D436A6"/>
    <w:rsid w:val="00D43994"/>
    <w:rsid w:val="00D439E3"/>
    <w:rsid w:val="00D43AE6"/>
    <w:rsid w:val="00D43BAB"/>
    <w:rsid w:val="00D43D83"/>
    <w:rsid w:val="00D43E53"/>
    <w:rsid w:val="00D44054"/>
    <w:rsid w:val="00D440BF"/>
    <w:rsid w:val="00D440E8"/>
    <w:rsid w:val="00D44176"/>
    <w:rsid w:val="00D445D1"/>
    <w:rsid w:val="00D44B44"/>
    <w:rsid w:val="00D44B51"/>
    <w:rsid w:val="00D44B72"/>
    <w:rsid w:val="00D44E36"/>
    <w:rsid w:val="00D45769"/>
    <w:rsid w:val="00D45A3C"/>
    <w:rsid w:val="00D45B79"/>
    <w:rsid w:val="00D45CA0"/>
    <w:rsid w:val="00D45D50"/>
    <w:rsid w:val="00D45D93"/>
    <w:rsid w:val="00D45FA1"/>
    <w:rsid w:val="00D46461"/>
    <w:rsid w:val="00D46528"/>
    <w:rsid w:val="00D46681"/>
    <w:rsid w:val="00D466A6"/>
    <w:rsid w:val="00D46824"/>
    <w:rsid w:val="00D46C4D"/>
    <w:rsid w:val="00D47338"/>
    <w:rsid w:val="00D47450"/>
    <w:rsid w:val="00D47521"/>
    <w:rsid w:val="00D475A5"/>
    <w:rsid w:val="00D477FC"/>
    <w:rsid w:val="00D479FB"/>
    <w:rsid w:val="00D47BA7"/>
    <w:rsid w:val="00D47F1C"/>
    <w:rsid w:val="00D5006C"/>
    <w:rsid w:val="00D50269"/>
    <w:rsid w:val="00D503E5"/>
    <w:rsid w:val="00D50413"/>
    <w:rsid w:val="00D505DD"/>
    <w:rsid w:val="00D50F8E"/>
    <w:rsid w:val="00D51024"/>
    <w:rsid w:val="00D51081"/>
    <w:rsid w:val="00D513E0"/>
    <w:rsid w:val="00D516A6"/>
    <w:rsid w:val="00D5170A"/>
    <w:rsid w:val="00D51759"/>
    <w:rsid w:val="00D5177F"/>
    <w:rsid w:val="00D5189E"/>
    <w:rsid w:val="00D518C3"/>
    <w:rsid w:val="00D518C6"/>
    <w:rsid w:val="00D51A78"/>
    <w:rsid w:val="00D51C1B"/>
    <w:rsid w:val="00D5200B"/>
    <w:rsid w:val="00D52091"/>
    <w:rsid w:val="00D526F9"/>
    <w:rsid w:val="00D52B20"/>
    <w:rsid w:val="00D52CA4"/>
    <w:rsid w:val="00D52DB7"/>
    <w:rsid w:val="00D53037"/>
    <w:rsid w:val="00D530E0"/>
    <w:rsid w:val="00D53164"/>
    <w:rsid w:val="00D533D1"/>
    <w:rsid w:val="00D5357A"/>
    <w:rsid w:val="00D53A27"/>
    <w:rsid w:val="00D53A6C"/>
    <w:rsid w:val="00D53B57"/>
    <w:rsid w:val="00D54092"/>
    <w:rsid w:val="00D5451D"/>
    <w:rsid w:val="00D54703"/>
    <w:rsid w:val="00D54770"/>
    <w:rsid w:val="00D5490F"/>
    <w:rsid w:val="00D54DAC"/>
    <w:rsid w:val="00D54DE6"/>
    <w:rsid w:val="00D5506C"/>
    <w:rsid w:val="00D55092"/>
    <w:rsid w:val="00D55234"/>
    <w:rsid w:val="00D553FC"/>
    <w:rsid w:val="00D5564F"/>
    <w:rsid w:val="00D55770"/>
    <w:rsid w:val="00D55896"/>
    <w:rsid w:val="00D55ACE"/>
    <w:rsid w:val="00D5611D"/>
    <w:rsid w:val="00D568E5"/>
    <w:rsid w:val="00D568F5"/>
    <w:rsid w:val="00D56969"/>
    <w:rsid w:val="00D56A43"/>
    <w:rsid w:val="00D57296"/>
    <w:rsid w:val="00D576B6"/>
    <w:rsid w:val="00D576D6"/>
    <w:rsid w:val="00D57797"/>
    <w:rsid w:val="00D57905"/>
    <w:rsid w:val="00D57E82"/>
    <w:rsid w:val="00D57EFD"/>
    <w:rsid w:val="00D60305"/>
    <w:rsid w:val="00D60318"/>
    <w:rsid w:val="00D605FD"/>
    <w:rsid w:val="00D6062E"/>
    <w:rsid w:val="00D606B5"/>
    <w:rsid w:val="00D606DC"/>
    <w:rsid w:val="00D6079E"/>
    <w:rsid w:val="00D60B11"/>
    <w:rsid w:val="00D60F60"/>
    <w:rsid w:val="00D61232"/>
    <w:rsid w:val="00D61AD3"/>
    <w:rsid w:val="00D61B0C"/>
    <w:rsid w:val="00D6204D"/>
    <w:rsid w:val="00D621A1"/>
    <w:rsid w:val="00D6227E"/>
    <w:rsid w:val="00D62485"/>
    <w:rsid w:val="00D625F0"/>
    <w:rsid w:val="00D6261D"/>
    <w:rsid w:val="00D6266C"/>
    <w:rsid w:val="00D62888"/>
    <w:rsid w:val="00D628C5"/>
    <w:rsid w:val="00D62ADF"/>
    <w:rsid w:val="00D62AE4"/>
    <w:rsid w:val="00D62E01"/>
    <w:rsid w:val="00D632DD"/>
    <w:rsid w:val="00D63488"/>
    <w:rsid w:val="00D6350F"/>
    <w:rsid w:val="00D6381D"/>
    <w:rsid w:val="00D639A5"/>
    <w:rsid w:val="00D63AA2"/>
    <w:rsid w:val="00D63D34"/>
    <w:rsid w:val="00D63F1E"/>
    <w:rsid w:val="00D64242"/>
    <w:rsid w:val="00D64357"/>
    <w:rsid w:val="00D643EB"/>
    <w:rsid w:val="00D6470E"/>
    <w:rsid w:val="00D64E69"/>
    <w:rsid w:val="00D64EA9"/>
    <w:rsid w:val="00D650BF"/>
    <w:rsid w:val="00D65126"/>
    <w:rsid w:val="00D6520E"/>
    <w:rsid w:val="00D656C4"/>
    <w:rsid w:val="00D657CB"/>
    <w:rsid w:val="00D65813"/>
    <w:rsid w:val="00D659D2"/>
    <w:rsid w:val="00D65A44"/>
    <w:rsid w:val="00D65B27"/>
    <w:rsid w:val="00D65B40"/>
    <w:rsid w:val="00D65BAA"/>
    <w:rsid w:val="00D65CA3"/>
    <w:rsid w:val="00D6600F"/>
    <w:rsid w:val="00D660D1"/>
    <w:rsid w:val="00D66493"/>
    <w:rsid w:val="00D66560"/>
    <w:rsid w:val="00D666E6"/>
    <w:rsid w:val="00D667AE"/>
    <w:rsid w:val="00D66B60"/>
    <w:rsid w:val="00D66DE8"/>
    <w:rsid w:val="00D6720D"/>
    <w:rsid w:val="00D67707"/>
    <w:rsid w:val="00D67856"/>
    <w:rsid w:val="00D67DA8"/>
    <w:rsid w:val="00D70259"/>
    <w:rsid w:val="00D705D9"/>
    <w:rsid w:val="00D7082C"/>
    <w:rsid w:val="00D70918"/>
    <w:rsid w:val="00D7091D"/>
    <w:rsid w:val="00D70D09"/>
    <w:rsid w:val="00D70D8C"/>
    <w:rsid w:val="00D70F59"/>
    <w:rsid w:val="00D70F6F"/>
    <w:rsid w:val="00D7111F"/>
    <w:rsid w:val="00D712BA"/>
    <w:rsid w:val="00D71477"/>
    <w:rsid w:val="00D7171C"/>
    <w:rsid w:val="00D71820"/>
    <w:rsid w:val="00D71839"/>
    <w:rsid w:val="00D718EA"/>
    <w:rsid w:val="00D71A05"/>
    <w:rsid w:val="00D71D7E"/>
    <w:rsid w:val="00D71E4C"/>
    <w:rsid w:val="00D72245"/>
    <w:rsid w:val="00D722C5"/>
    <w:rsid w:val="00D724AC"/>
    <w:rsid w:val="00D7259C"/>
    <w:rsid w:val="00D725C4"/>
    <w:rsid w:val="00D729FF"/>
    <w:rsid w:val="00D72E51"/>
    <w:rsid w:val="00D73036"/>
    <w:rsid w:val="00D73336"/>
    <w:rsid w:val="00D733A8"/>
    <w:rsid w:val="00D73453"/>
    <w:rsid w:val="00D734F4"/>
    <w:rsid w:val="00D73860"/>
    <w:rsid w:val="00D7388E"/>
    <w:rsid w:val="00D738F3"/>
    <w:rsid w:val="00D7393E"/>
    <w:rsid w:val="00D73B7B"/>
    <w:rsid w:val="00D73ECE"/>
    <w:rsid w:val="00D74242"/>
    <w:rsid w:val="00D7477E"/>
    <w:rsid w:val="00D74AC6"/>
    <w:rsid w:val="00D74B8A"/>
    <w:rsid w:val="00D74D26"/>
    <w:rsid w:val="00D7527F"/>
    <w:rsid w:val="00D752D4"/>
    <w:rsid w:val="00D753AD"/>
    <w:rsid w:val="00D75504"/>
    <w:rsid w:val="00D75677"/>
    <w:rsid w:val="00D757DA"/>
    <w:rsid w:val="00D765ED"/>
    <w:rsid w:val="00D769F0"/>
    <w:rsid w:val="00D76A0A"/>
    <w:rsid w:val="00D76BBE"/>
    <w:rsid w:val="00D76CE0"/>
    <w:rsid w:val="00D76DEE"/>
    <w:rsid w:val="00D76E7B"/>
    <w:rsid w:val="00D770A7"/>
    <w:rsid w:val="00D770E2"/>
    <w:rsid w:val="00D77146"/>
    <w:rsid w:val="00D7739F"/>
    <w:rsid w:val="00D773BA"/>
    <w:rsid w:val="00D77535"/>
    <w:rsid w:val="00D77A8B"/>
    <w:rsid w:val="00D77B0F"/>
    <w:rsid w:val="00D77FE7"/>
    <w:rsid w:val="00D77FF6"/>
    <w:rsid w:val="00D80568"/>
    <w:rsid w:val="00D805FD"/>
    <w:rsid w:val="00D80850"/>
    <w:rsid w:val="00D80A5C"/>
    <w:rsid w:val="00D80B49"/>
    <w:rsid w:val="00D80CD9"/>
    <w:rsid w:val="00D81086"/>
    <w:rsid w:val="00D81C70"/>
    <w:rsid w:val="00D8201E"/>
    <w:rsid w:val="00D82151"/>
    <w:rsid w:val="00D82195"/>
    <w:rsid w:val="00D82731"/>
    <w:rsid w:val="00D82A15"/>
    <w:rsid w:val="00D82CA9"/>
    <w:rsid w:val="00D82D2F"/>
    <w:rsid w:val="00D82EB5"/>
    <w:rsid w:val="00D8341F"/>
    <w:rsid w:val="00D834C7"/>
    <w:rsid w:val="00D8353B"/>
    <w:rsid w:val="00D8370E"/>
    <w:rsid w:val="00D837B0"/>
    <w:rsid w:val="00D837E5"/>
    <w:rsid w:val="00D84195"/>
    <w:rsid w:val="00D842EE"/>
    <w:rsid w:val="00D8444B"/>
    <w:rsid w:val="00D84C61"/>
    <w:rsid w:val="00D84C82"/>
    <w:rsid w:val="00D851D4"/>
    <w:rsid w:val="00D85547"/>
    <w:rsid w:val="00D85922"/>
    <w:rsid w:val="00D85A1C"/>
    <w:rsid w:val="00D85BF2"/>
    <w:rsid w:val="00D85D7B"/>
    <w:rsid w:val="00D85ED0"/>
    <w:rsid w:val="00D86379"/>
    <w:rsid w:val="00D86722"/>
    <w:rsid w:val="00D867BB"/>
    <w:rsid w:val="00D869D9"/>
    <w:rsid w:val="00D86D5D"/>
    <w:rsid w:val="00D86F3E"/>
    <w:rsid w:val="00D87154"/>
    <w:rsid w:val="00D8774A"/>
    <w:rsid w:val="00D87DF1"/>
    <w:rsid w:val="00D87E32"/>
    <w:rsid w:val="00D87ED0"/>
    <w:rsid w:val="00D87F94"/>
    <w:rsid w:val="00D90571"/>
    <w:rsid w:val="00D90744"/>
    <w:rsid w:val="00D90827"/>
    <w:rsid w:val="00D909F1"/>
    <w:rsid w:val="00D90B59"/>
    <w:rsid w:val="00D90D0E"/>
    <w:rsid w:val="00D90D58"/>
    <w:rsid w:val="00D90FF6"/>
    <w:rsid w:val="00D913F8"/>
    <w:rsid w:val="00D9140E"/>
    <w:rsid w:val="00D9173E"/>
    <w:rsid w:val="00D918F2"/>
    <w:rsid w:val="00D918FB"/>
    <w:rsid w:val="00D91D00"/>
    <w:rsid w:val="00D91E51"/>
    <w:rsid w:val="00D922E8"/>
    <w:rsid w:val="00D9231E"/>
    <w:rsid w:val="00D92625"/>
    <w:rsid w:val="00D926F0"/>
    <w:rsid w:val="00D92880"/>
    <w:rsid w:val="00D9289B"/>
    <w:rsid w:val="00D9292E"/>
    <w:rsid w:val="00D92BF3"/>
    <w:rsid w:val="00D92D19"/>
    <w:rsid w:val="00D92DE0"/>
    <w:rsid w:val="00D92F32"/>
    <w:rsid w:val="00D92FD2"/>
    <w:rsid w:val="00D93143"/>
    <w:rsid w:val="00D93401"/>
    <w:rsid w:val="00D93407"/>
    <w:rsid w:val="00D9344F"/>
    <w:rsid w:val="00D936FC"/>
    <w:rsid w:val="00D937CE"/>
    <w:rsid w:val="00D938FB"/>
    <w:rsid w:val="00D939E8"/>
    <w:rsid w:val="00D93C51"/>
    <w:rsid w:val="00D93DAA"/>
    <w:rsid w:val="00D94507"/>
    <w:rsid w:val="00D94569"/>
    <w:rsid w:val="00D94687"/>
    <w:rsid w:val="00D9472F"/>
    <w:rsid w:val="00D9473B"/>
    <w:rsid w:val="00D9481A"/>
    <w:rsid w:val="00D94B8A"/>
    <w:rsid w:val="00D9502B"/>
    <w:rsid w:val="00D9533F"/>
    <w:rsid w:val="00D95366"/>
    <w:rsid w:val="00D955C8"/>
    <w:rsid w:val="00D95950"/>
    <w:rsid w:val="00D95AA8"/>
    <w:rsid w:val="00D95AB8"/>
    <w:rsid w:val="00D95B26"/>
    <w:rsid w:val="00D96060"/>
    <w:rsid w:val="00D9626F"/>
    <w:rsid w:val="00D965A4"/>
    <w:rsid w:val="00D96678"/>
    <w:rsid w:val="00D96ABF"/>
    <w:rsid w:val="00D96C7B"/>
    <w:rsid w:val="00D97021"/>
    <w:rsid w:val="00D972C6"/>
    <w:rsid w:val="00D9740B"/>
    <w:rsid w:val="00D97417"/>
    <w:rsid w:val="00D9751B"/>
    <w:rsid w:val="00D97543"/>
    <w:rsid w:val="00DA03BD"/>
    <w:rsid w:val="00DA0535"/>
    <w:rsid w:val="00DA0BEF"/>
    <w:rsid w:val="00DA0C20"/>
    <w:rsid w:val="00DA0F62"/>
    <w:rsid w:val="00DA1138"/>
    <w:rsid w:val="00DA1555"/>
    <w:rsid w:val="00DA1642"/>
    <w:rsid w:val="00DA186D"/>
    <w:rsid w:val="00DA18FF"/>
    <w:rsid w:val="00DA1926"/>
    <w:rsid w:val="00DA1956"/>
    <w:rsid w:val="00DA1B5B"/>
    <w:rsid w:val="00DA1DA8"/>
    <w:rsid w:val="00DA1EEF"/>
    <w:rsid w:val="00DA20E4"/>
    <w:rsid w:val="00DA22A7"/>
    <w:rsid w:val="00DA243C"/>
    <w:rsid w:val="00DA24BC"/>
    <w:rsid w:val="00DA2555"/>
    <w:rsid w:val="00DA2652"/>
    <w:rsid w:val="00DA2BBB"/>
    <w:rsid w:val="00DA2D1E"/>
    <w:rsid w:val="00DA303F"/>
    <w:rsid w:val="00DA355B"/>
    <w:rsid w:val="00DA35C9"/>
    <w:rsid w:val="00DA38C1"/>
    <w:rsid w:val="00DA3955"/>
    <w:rsid w:val="00DA3C83"/>
    <w:rsid w:val="00DA4539"/>
    <w:rsid w:val="00DA45DD"/>
    <w:rsid w:val="00DA4798"/>
    <w:rsid w:val="00DA4886"/>
    <w:rsid w:val="00DA4BD8"/>
    <w:rsid w:val="00DA4D79"/>
    <w:rsid w:val="00DA4E97"/>
    <w:rsid w:val="00DA4EDB"/>
    <w:rsid w:val="00DA5385"/>
    <w:rsid w:val="00DA54F3"/>
    <w:rsid w:val="00DA5714"/>
    <w:rsid w:val="00DA5851"/>
    <w:rsid w:val="00DA5967"/>
    <w:rsid w:val="00DA5A1F"/>
    <w:rsid w:val="00DA5C98"/>
    <w:rsid w:val="00DA5FBD"/>
    <w:rsid w:val="00DA610C"/>
    <w:rsid w:val="00DA61B3"/>
    <w:rsid w:val="00DA669A"/>
    <w:rsid w:val="00DA6A7E"/>
    <w:rsid w:val="00DA6B8D"/>
    <w:rsid w:val="00DA6C5F"/>
    <w:rsid w:val="00DA6DB6"/>
    <w:rsid w:val="00DA6DFE"/>
    <w:rsid w:val="00DA6F98"/>
    <w:rsid w:val="00DA7003"/>
    <w:rsid w:val="00DA714F"/>
    <w:rsid w:val="00DA7537"/>
    <w:rsid w:val="00DA75B8"/>
    <w:rsid w:val="00DA7754"/>
    <w:rsid w:val="00DA781D"/>
    <w:rsid w:val="00DA7A38"/>
    <w:rsid w:val="00DA7AF9"/>
    <w:rsid w:val="00DA7B71"/>
    <w:rsid w:val="00DA7D3D"/>
    <w:rsid w:val="00DB02AD"/>
    <w:rsid w:val="00DB030C"/>
    <w:rsid w:val="00DB0381"/>
    <w:rsid w:val="00DB07F5"/>
    <w:rsid w:val="00DB08CD"/>
    <w:rsid w:val="00DB0AE4"/>
    <w:rsid w:val="00DB0BEB"/>
    <w:rsid w:val="00DB1416"/>
    <w:rsid w:val="00DB1431"/>
    <w:rsid w:val="00DB1564"/>
    <w:rsid w:val="00DB160F"/>
    <w:rsid w:val="00DB178D"/>
    <w:rsid w:val="00DB17C6"/>
    <w:rsid w:val="00DB1944"/>
    <w:rsid w:val="00DB1AC1"/>
    <w:rsid w:val="00DB1CAA"/>
    <w:rsid w:val="00DB1EDD"/>
    <w:rsid w:val="00DB214D"/>
    <w:rsid w:val="00DB2269"/>
    <w:rsid w:val="00DB2476"/>
    <w:rsid w:val="00DB27E7"/>
    <w:rsid w:val="00DB2B8E"/>
    <w:rsid w:val="00DB2FCE"/>
    <w:rsid w:val="00DB354F"/>
    <w:rsid w:val="00DB3624"/>
    <w:rsid w:val="00DB3FF0"/>
    <w:rsid w:val="00DB41B0"/>
    <w:rsid w:val="00DB420B"/>
    <w:rsid w:val="00DB42FB"/>
    <w:rsid w:val="00DB4364"/>
    <w:rsid w:val="00DB4891"/>
    <w:rsid w:val="00DB49C3"/>
    <w:rsid w:val="00DB4AD3"/>
    <w:rsid w:val="00DB4F40"/>
    <w:rsid w:val="00DB503A"/>
    <w:rsid w:val="00DB53CB"/>
    <w:rsid w:val="00DB5619"/>
    <w:rsid w:val="00DB5846"/>
    <w:rsid w:val="00DB5A78"/>
    <w:rsid w:val="00DB5DF8"/>
    <w:rsid w:val="00DB5EBD"/>
    <w:rsid w:val="00DB63C3"/>
    <w:rsid w:val="00DB6689"/>
    <w:rsid w:val="00DB686D"/>
    <w:rsid w:val="00DB69C8"/>
    <w:rsid w:val="00DB6B84"/>
    <w:rsid w:val="00DB6F5C"/>
    <w:rsid w:val="00DB701F"/>
    <w:rsid w:val="00DB708F"/>
    <w:rsid w:val="00DB7140"/>
    <w:rsid w:val="00DB7204"/>
    <w:rsid w:val="00DB7433"/>
    <w:rsid w:val="00DB76F8"/>
    <w:rsid w:val="00DB7C58"/>
    <w:rsid w:val="00DB7CA6"/>
    <w:rsid w:val="00DB7DDD"/>
    <w:rsid w:val="00DB7E23"/>
    <w:rsid w:val="00DB7EAE"/>
    <w:rsid w:val="00DB7FE5"/>
    <w:rsid w:val="00DC0690"/>
    <w:rsid w:val="00DC0757"/>
    <w:rsid w:val="00DC076D"/>
    <w:rsid w:val="00DC0911"/>
    <w:rsid w:val="00DC0A20"/>
    <w:rsid w:val="00DC1247"/>
    <w:rsid w:val="00DC13B3"/>
    <w:rsid w:val="00DC14FA"/>
    <w:rsid w:val="00DC1581"/>
    <w:rsid w:val="00DC1728"/>
    <w:rsid w:val="00DC1969"/>
    <w:rsid w:val="00DC1B03"/>
    <w:rsid w:val="00DC1C40"/>
    <w:rsid w:val="00DC1E7F"/>
    <w:rsid w:val="00DC2359"/>
    <w:rsid w:val="00DC253C"/>
    <w:rsid w:val="00DC294B"/>
    <w:rsid w:val="00DC2E18"/>
    <w:rsid w:val="00DC32B8"/>
    <w:rsid w:val="00DC34BA"/>
    <w:rsid w:val="00DC3AAA"/>
    <w:rsid w:val="00DC3C4F"/>
    <w:rsid w:val="00DC3C94"/>
    <w:rsid w:val="00DC428C"/>
    <w:rsid w:val="00DC429C"/>
    <w:rsid w:val="00DC42BC"/>
    <w:rsid w:val="00DC4472"/>
    <w:rsid w:val="00DC44B1"/>
    <w:rsid w:val="00DC46C2"/>
    <w:rsid w:val="00DC46EF"/>
    <w:rsid w:val="00DC4F05"/>
    <w:rsid w:val="00DC5021"/>
    <w:rsid w:val="00DC5331"/>
    <w:rsid w:val="00DC5375"/>
    <w:rsid w:val="00DC53DE"/>
    <w:rsid w:val="00DC5BEC"/>
    <w:rsid w:val="00DC5EF4"/>
    <w:rsid w:val="00DC5F03"/>
    <w:rsid w:val="00DC6102"/>
    <w:rsid w:val="00DC64C4"/>
    <w:rsid w:val="00DC6552"/>
    <w:rsid w:val="00DC6602"/>
    <w:rsid w:val="00DC66CD"/>
    <w:rsid w:val="00DC6732"/>
    <w:rsid w:val="00DC6740"/>
    <w:rsid w:val="00DC68F2"/>
    <w:rsid w:val="00DC6C2A"/>
    <w:rsid w:val="00DC6D8B"/>
    <w:rsid w:val="00DC7009"/>
    <w:rsid w:val="00DC72AE"/>
    <w:rsid w:val="00DC75EF"/>
    <w:rsid w:val="00DC7697"/>
    <w:rsid w:val="00DC76BC"/>
    <w:rsid w:val="00DC7A1A"/>
    <w:rsid w:val="00DD0015"/>
    <w:rsid w:val="00DD02C8"/>
    <w:rsid w:val="00DD04A1"/>
    <w:rsid w:val="00DD05A0"/>
    <w:rsid w:val="00DD095D"/>
    <w:rsid w:val="00DD0D5E"/>
    <w:rsid w:val="00DD0E78"/>
    <w:rsid w:val="00DD0EC4"/>
    <w:rsid w:val="00DD1008"/>
    <w:rsid w:val="00DD1081"/>
    <w:rsid w:val="00DD11AF"/>
    <w:rsid w:val="00DD127D"/>
    <w:rsid w:val="00DD1284"/>
    <w:rsid w:val="00DD1479"/>
    <w:rsid w:val="00DD15AC"/>
    <w:rsid w:val="00DD16E5"/>
    <w:rsid w:val="00DD19F6"/>
    <w:rsid w:val="00DD1CD1"/>
    <w:rsid w:val="00DD209C"/>
    <w:rsid w:val="00DD23A3"/>
    <w:rsid w:val="00DD2482"/>
    <w:rsid w:val="00DD2494"/>
    <w:rsid w:val="00DD277F"/>
    <w:rsid w:val="00DD27C6"/>
    <w:rsid w:val="00DD2939"/>
    <w:rsid w:val="00DD2ABD"/>
    <w:rsid w:val="00DD2AF3"/>
    <w:rsid w:val="00DD2ED8"/>
    <w:rsid w:val="00DD3340"/>
    <w:rsid w:val="00DD36ED"/>
    <w:rsid w:val="00DD3941"/>
    <w:rsid w:val="00DD3A35"/>
    <w:rsid w:val="00DD3F16"/>
    <w:rsid w:val="00DD4046"/>
    <w:rsid w:val="00DD43DA"/>
    <w:rsid w:val="00DD4A95"/>
    <w:rsid w:val="00DD4B05"/>
    <w:rsid w:val="00DD4DC9"/>
    <w:rsid w:val="00DD549C"/>
    <w:rsid w:val="00DD556F"/>
    <w:rsid w:val="00DD5871"/>
    <w:rsid w:val="00DD5B1E"/>
    <w:rsid w:val="00DD5C06"/>
    <w:rsid w:val="00DD5ED5"/>
    <w:rsid w:val="00DD6387"/>
    <w:rsid w:val="00DD6453"/>
    <w:rsid w:val="00DD64F3"/>
    <w:rsid w:val="00DD678D"/>
    <w:rsid w:val="00DD6E80"/>
    <w:rsid w:val="00DD76BF"/>
    <w:rsid w:val="00DD7BFA"/>
    <w:rsid w:val="00DD7C5D"/>
    <w:rsid w:val="00DD7CF8"/>
    <w:rsid w:val="00DD7FC1"/>
    <w:rsid w:val="00DE023B"/>
    <w:rsid w:val="00DE0626"/>
    <w:rsid w:val="00DE0634"/>
    <w:rsid w:val="00DE0944"/>
    <w:rsid w:val="00DE0C3D"/>
    <w:rsid w:val="00DE0FCD"/>
    <w:rsid w:val="00DE1084"/>
    <w:rsid w:val="00DE109C"/>
    <w:rsid w:val="00DE177E"/>
    <w:rsid w:val="00DE17F5"/>
    <w:rsid w:val="00DE18CC"/>
    <w:rsid w:val="00DE1AAC"/>
    <w:rsid w:val="00DE1AFE"/>
    <w:rsid w:val="00DE1C04"/>
    <w:rsid w:val="00DE1C43"/>
    <w:rsid w:val="00DE1C4D"/>
    <w:rsid w:val="00DE1D31"/>
    <w:rsid w:val="00DE1EF1"/>
    <w:rsid w:val="00DE1F33"/>
    <w:rsid w:val="00DE1F95"/>
    <w:rsid w:val="00DE20BD"/>
    <w:rsid w:val="00DE25D0"/>
    <w:rsid w:val="00DE25D3"/>
    <w:rsid w:val="00DE263A"/>
    <w:rsid w:val="00DE280A"/>
    <w:rsid w:val="00DE294E"/>
    <w:rsid w:val="00DE2990"/>
    <w:rsid w:val="00DE2A52"/>
    <w:rsid w:val="00DE2C56"/>
    <w:rsid w:val="00DE3D59"/>
    <w:rsid w:val="00DE3DFA"/>
    <w:rsid w:val="00DE3E02"/>
    <w:rsid w:val="00DE3F3B"/>
    <w:rsid w:val="00DE41A1"/>
    <w:rsid w:val="00DE42BA"/>
    <w:rsid w:val="00DE44D4"/>
    <w:rsid w:val="00DE46B6"/>
    <w:rsid w:val="00DE4873"/>
    <w:rsid w:val="00DE489D"/>
    <w:rsid w:val="00DE4B53"/>
    <w:rsid w:val="00DE4BE0"/>
    <w:rsid w:val="00DE4D47"/>
    <w:rsid w:val="00DE4D70"/>
    <w:rsid w:val="00DE507E"/>
    <w:rsid w:val="00DE5250"/>
    <w:rsid w:val="00DE532A"/>
    <w:rsid w:val="00DE544A"/>
    <w:rsid w:val="00DE56E5"/>
    <w:rsid w:val="00DE5797"/>
    <w:rsid w:val="00DE57A4"/>
    <w:rsid w:val="00DE5A2A"/>
    <w:rsid w:val="00DE5A55"/>
    <w:rsid w:val="00DE5A8A"/>
    <w:rsid w:val="00DE5C5A"/>
    <w:rsid w:val="00DE5D46"/>
    <w:rsid w:val="00DE615A"/>
    <w:rsid w:val="00DE642D"/>
    <w:rsid w:val="00DE6448"/>
    <w:rsid w:val="00DE6465"/>
    <w:rsid w:val="00DE71CD"/>
    <w:rsid w:val="00DE72B0"/>
    <w:rsid w:val="00DE75B4"/>
    <w:rsid w:val="00DE7749"/>
    <w:rsid w:val="00DE79DD"/>
    <w:rsid w:val="00DE7CE3"/>
    <w:rsid w:val="00DE7D3E"/>
    <w:rsid w:val="00DE7EC2"/>
    <w:rsid w:val="00DF007A"/>
    <w:rsid w:val="00DF00DB"/>
    <w:rsid w:val="00DF00EE"/>
    <w:rsid w:val="00DF05E6"/>
    <w:rsid w:val="00DF07D8"/>
    <w:rsid w:val="00DF0BC1"/>
    <w:rsid w:val="00DF0DC2"/>
    <w:rsid w:val="00DF1367"/>
    <w:rsid w:val="00DF1552"/>
    <w:rsid w:val="00DF1752"/>
    <w:rsid w:val="00DF1A54"/>
    <w:rsid w:val="00DF1A69"/>
    <w:rsid w:val="00DF1BD4"/>
    <w:rsid w:val="00DF1F96"/>
    <w:rsid w:val="00DF1FA1"/>
    <w:rsid w:val="00DF2344"/>
    <w:rsid w:val="00DF24CA"/>
    <w:rsid w:val="00DF25D5"/>
    <w:rsid w:val="00DF28AE"/>
    <w:rsid w:val="00DF2923"/>
    <w:rsid w:val="00DF2AC4"/>
    <w:rsid w:val="00DF2D74"/>
    <w:rsid w:val="00DF2D90"/>
    <w:rsid w:val="00DF2E85"/>
    <w:rsid w:val="00DF2F83"/>
    <w:rsid w:val="00DF2FA0"/>
    <w:rsid w:val="00DF305B"/>
    <w:rsid w:val="00DF30D3"/>
    <w:rsid w:val="00DF310D"/>
    <w:rsid w:val="00DF33CD"/>
    <w:rsid w:val="00DF376C"/>
    <w:rsid w:val="00DF380D"/>
    <w:rsid w:val="00DF3C41"/>
    <w:rsid w:val="00DF3DD5"/>
    <w:rsid w:val="00DF3FB7"/>
    <w:rsid w:val="00DF3FBE"/>
    <w:rsid w:val="00DF3FCF"/>
    <w:rsid w:val="00DF4A37"/>
    <w:rsid w:val="00DF4CD6"/>
    <w:rsid w:val="00DF53DB"/>
    <w:rsid w:val="00DF56E3"/>
    <w:rsid w:val="00DF5967"/>
    <w:rsid w:val="00DF5C3A"/>
    <w:rsid w:val="00DF5E99"/>
    <w:rsid w:val="00DF60A1"/>
    <w:rsid w:val="00DF6179"/>
    <w:rsid w:val="00DF61BF"/>
    <w:rsid w:val="00DF66AF"/>
    <w:rsid w:val="00DF6983"/>
    <w:rsid w:val="00DF7044"/>
    <w:rsid w:val="00DF706F"/>
    <w:rsid w:val="00DF70A8"/>
    <w:rsid w:val="00DF7143"/>
    <w:rsid w:val="00DF720A"/>
    <w:rsid w:val="00DF7662"/>
    <w:rsid w:val="00DF78D1"/>
    <w:rsid w:val="00DF7AAC"/>
    <w:rsid w:val="00DF7F67"/>
    <w:rsid w:val="00E00102"/>
    <w:rsid w:val="00E001E2"/>
    <w:rsid w:val="00E0053C"/>
    <w:rsid w:val="00E00D02"/>
    <w:rsid w:val="00E00E0A"/>
    <w:rsid w:val="00E0119A"/>
    <w:rsid w:val="00E01666"/>
    <w:rsid w:val="00E017C7"/>
    <w:rsid w:val="00E018ED"/>
    <w:rsid w:val="00E01963"/>
    <w:rsid w:val="00E01CB2"/>
    <w:rsid w:val="00E01CDA"/>
    <w:rsid w:val="00E020A1"/>
    <w:rsid w:val="00E021FF"/>
    <w:rsid w:val="00E02270"/>
    <w:rsid w:val="00E022AA"/>
    <w:rsid w:val="00E0265C"/>
    <w:rsid w:val="00E02945"/>
    <w:rsid w:val="00E02B9B"/>
    <w:rsid w:val="00E02D82"/>
    <w:rsid w:val="00E02F8F"/>
    <w:rsid w:val="00E030E0"/>
    <w:rsid w:val="00E0389E"/>
    <w:rsid w:val="00E038AC"/>
    <w:rsid w:val="00E03D2C"/>
    <w:rsid w:val="00E03E2A"/>
    <w:rsid w:val="00E044AF"/>
    <w:rsid w:val="00E044C4"/>
    <w:rsid w:val="00E04A66"/>
    <w:rsid w:val="00E04E9B"/>
    <w:rsid w:val="00E04F6B"/>
    <w:rsid w:val="00E051F4"/>
    <w:rsid w:val="00E057D2"/>
    <w:rsid w:val="00E05839"/>
    <w:rsid w:val="00E06434"/>
    <w:rsid w:val="00E06877"/>
    <w:rsid w:val="00E06987"/>
    <w:rsid w:val="00E06AF8"/>
    <w:rsid w:val="00E06CE1"/>
    <w:rsid w:val="00E06EFA"/>
    <w:rsid w:val="00E06F0E"/>
    <w:rsid w:val="00E06F3B"/>
    <w:rsid w:val="00E06FCF"/>
    <w:rsid w:val="00E071DB"/>
    <w:rsid w:val="00E072D1"/>
    <w:rsid w:val="00E07478"/>
    <w:rsid w:val="00E076C2"/>
    <w:rsid w:val="00E076DA"/>
    <w:rsid w:val="00E07924"/>
    <w:rsid w:val="00E07A55"/>
    <w:rsid w:val="00E07B3C"/>
    <w:rsid w:val="00E07B60"/>
    <w:rsid w:val="00E07E17"/>
    <w:rsid w:val="00E07E5B"/>
    <w:rsid w:val="00E10005"/>
    <w:rsid w:val="00E1064B"/>
    <w:rsid w:val="00E1084C"/>
    <w:rsid w:val="00E10A57"/>
    <w:rsid w:val="00E10B4A"/>
    <w:rsid w:val="00E10C86"/>
    <w:rsid w:val="00E10D4A"/>
    <w:rsid w:val="00E10DB3"/>
    <w:rsid w:val="00E11091"/>
    <w:rsid w:val="00E1125F"/>
    <w:rsid w:val="00E11805"/>
    <w:rsid w:val="00E1194B"/>
    <w:rsid w:val="00E11992"/>
    <w:rsid w:val="00E11F7F"/>
    <w:rsid w:val="00E12285"/>
    <w:rsid w:val="00E12509"/>
    <w:rsid w:val="00E126CF"/>
    <w:rsid w:val="00E129E9"/>
    <w:rsid w:val="00E12B9A"/>
    <w:rsid w:val="00E12F27"/>
    <w:rsid w:val="00E133DE"/>
    <w:rsid w:val="00E1369B"/>
    <w:rsid w:val="00E1371B"/>
    <w:rsid w:val="00E137C3"/>
    <w:rsid w:val="00E13AEA"/>
    <w:rsid w:val="00E13C93"/>
    <w:rsid w:val="00E13C9B"/>
    <w:rsid w:val="00E13D71"/>
    <w:rsid w:val="00E13E5B"/>
    <w:rsid w:val="00E13F65"/>
    <w:rsid w:val="00E145B1"/>
    <w:rsid w:val="00E148AE"/>
    <w:rsid w:val="00E149F6"/>
    <w:rsid w:val="00E14AC9"/>
    <w:rsid w:val="00E14E44"/>
    <w:rsid w:val="00E15031"/>
    <w:rsid w:val="00E1506F"/>
    <w:rsid w:val="00E153B4"/>
    <w:rsid w:val="00E1540C"/>
    <w:rsid w:val="00E154AC"/>
    <w:rsid w:val="00E1576E"/>
    <w:rsid w:val="00E15A0F"/>
    <w:rsid w:val="00E15A83"/>
    <w:rsid w:val="00E15C2C"/>
    <w:rsid w:val="00E1657B"/>
    <w:rsid w:val="00E165AC"/>
    <w:rsid w:val="00E17064"/>
    <w:rsid w:val="00E1711E"/>
    <w:rsid w:val="00E17199"/>
    <w:rsid w:val="00E173E7"/>
    <w:rsid w:val="00E17643"/>
    <w:rsid w:val="00E176CB"/>
    <w:rsid w:val="00E17790"/>
    <w:rsid w:val="00E17C7B"/>
    <w:rsid w:val="00E20296"/>
    <w:rsid w:val="00E2032A"/>
    <w:rsid w:val="00E2065E"/>
    <w:rsid w:val="00E20671"/>
    <w:rsid w:val="00E208E2"/>
    <w:rsid w:val="00E20C2B"/>
    <w:rsid w:val="00E20F2E"/>
    <w:rsid w:val="00E2111A"/>
    <w:rsid w:val="00E2120A"/>
    <w:rsid w:val="00E2188F"/>
    <w:rsid w:val="00E219A5"/>
    <w:rsid w:val="00E21A3E"/>
    <w:rsid w:val="00E21B4D"/>
    <w:rsid w:val="00E22095"/>
    <w:rsid w:val="00E220BD"/>
    <w:rsid w:val="00E229E6"/>
    <w:rsid w:val="00E22A9A"/>
    <w:rsid w:val="00E22AE4"/>
    <w:rsid w:val="00E22D18"/>
    <w:rsid w:val="00E23071"/>
    <w:rsid w:val="00E233AA"/>
    <w:rsid w:val="00E234E5"/>
    <w:rsid w:val="00E235AF"/>
    <w:rsid w:val="00E2390E"/>
    <w:rsid w:val="00E23934"/>
    <w:rsid w:val="00E23BFA"/>
    <w:rsid w:val="00E23D16"/>
    <w:rsid w:val="00E23E16"/>
    <w:rsid w:val="00E23EF7"/>
    <w:rsid w:val="00E23F96"/>
    <w:rsid w:val="00E24281"/>
    <w:rsid w:val="00E24351"/>
    <w:rsid w:val="00E24438"/>
    <w:rsid w:val="00E24532"/>
    <w:rsid w:val="00E2460A"/>
    <w:rsid w:val="00E247F6"/>
    <w:rsid w:val="00E2494D"/>
    <w:rsid w:val="00E24B1B"/>
    <w:rsid w:val="00E24BE6"/>
    <w:rsid w:val="00E24FCF"/>
    <w:rsid w:val="00E25027"/>
    <w:rsid w:val="00E255AB"/>
    <w:rsid w:val="00E25919"/>
    <w:rsid w:val="00E25A89"/>
    <w:rsid w:val="00E25BB7"/>
    <w:rsid w:val="00E25D6F"/>
    <w:rsid w:val="00E26242"/>
    <w:rsid w:val="00E26362"/>
    <w:rsid w:val="00E2642B"/>
    <w:rsid w:val="00E26915"/>
    <w:rsid w:val="00E26A45"/>
    <w:rsid w:val="00E26C0F"/>
    <w:rsid w:val="00E26D6C"/>
    <w:rsid w:val="00E26D9D"/>
    <w:rsid w:val="00E270E7"/>
    <w:rsid w:val="00E272B0"/>
    <w:rsid w:val="00E272B5"/>
    <w:rsid w:val="00E276D4"/>
    <w:rsid w:val="00E279EA"/>
    <w:rsid w:val="00E27C73"/>
    <w:rsid w:val="00E27D6D"/>
    <w:rsid w:val="00E302E4"/>
    <w:rsid w:val="00E308A4"/>
    <w:rsid w:val="00E308EC"/>
    <w:rsid w:val="00E30901"/>
    <w:rsid w:val="00E30A89"/>
    <w:rsid w:val="00E30AE0"/>
    <w:rsid w:val="00E30D12"/>
    <w:rsid w:val="00E30DD9"/>
    <w:rsid w:val="00E31141"/>
    <w:rsid w:val="00E31699"/>
    <w:rsid w:val="00E316CB"/>
    <w:rsid w:val="00E316FD"/>
    <w:rsid w:val="00E317F4"/>
    <w:rsid w:val="00E31B4D"/>
    <w:rsid w:val="00E31B77"/>
    <w:rsid w:val="00E31BC9"/>
    <w:rsid w:val="00E323E8"/>
    <w:rsid w:val="00E32647"/>
    <w:rsid w:val="00E3264A"/>
    <w:rsid w:val="00E32B2D"/>
    <w:rsid w:val="00E32BFE"/>
    <w:rsid w:val="00E32DAB"/>
    <w:rsid w:val="00E33067"/>
    <w:rsid w:val="00E3353B"/>
    <w:rsid w:val="00E33626"/>
    <w:rsid w:val="00E33919"/>
    <w:rsid w:val="00E33D85"/>
    <w:rsid w:val="00E33DB3"/>
    <w:rsid w:val="00E340BE"/>
    <w:rsid w:val="00E34375"/>
    <w:rsid w:val="00E348D0"/>
    <w:rsid w:val="00E34A4F"/>
    <w:rsid w:val="00E34DB5"/>
    <w:rsid w:val="00E34F09"/>
    <w:rsid w:val="00E35165"/>
    <w:rsid w:val="00E35270"/>
    <w:rsid w:val="00E352E6"/>
    <w:rsid w:val="00E35358"/>
    <w:rsid w:val="00E3549D"/>
    <w:rsid w:val="00E35CE3"/>
    <w:rsid w:val="00E3607A"/>
    <w:rsid w:val="00E3609D"/>
    <w:rsid w:val="00E36240"/>
    <w:rsid w:val="00E362D3"/>
    <w:rsid w:val="00E3657A"/>
    <w:rsid w:val="00E367F1"/>
    <w:rsid w:val="00E3681B"/>
    <w:rsid w:val="00E369CE"/>
    <w:rsid w:val="00E36A47"/>
    <w:rsid w:val="00E37112"/>
    <w:rsid w:val="00E37B28"/>
    <w:rsid w:val="00E37C22"/>
    <w:rsid w:val="00E37EFD"/>
    <w:rsid w:val="00E400C1"/>
    <w:rsid w:val="00E400DA"/>
    <w:rsid w:val="00E40385"/>
    <w:rsid w:val="00E408CB"/>
    <w:rsid w:val="00E4104A"/>
    <w:rsid w:val="00E41363"/>
    <w:rsid w:val="00E416DB"/>
    <w:rsid w:val="00E41A96"/>
    <w:rsid w:val="00E41D47"/>
    <w:rsid w:val="00E41DA5"/>
    <w:rsid w:val="00E4215D"/>
    <w:rsid w:val="00E42211"/>
    <w:rsid w:val="00E422B0"/>
    <w:rsid w:val="00E42387"/>
    <w:rsid w:val="00E423AE"/>
    <w:rsid w:val="00E42A93"/>
    <w:rsid w:val="00E42F46"/>
    <w:rsid w:val="00E42F80"/>
    <w:rsid w:val="00E4304D"/>
    <w:rsid w:val="00E43FF3"/>
    <w:rsid w:val="00E44281"/>
    <w:rsid w:val="00E443EB"/>
    <w:rsid w:val="00E446D8"/>
    <w:rsid w:val="00E4471C"/>
    <w:rsid w:val="00E44B51"/>
    <w:rsid w:val="00E44C3F"/>
    <w:rsid w:val="00E44D6A"/>
    <w:rsid w:val="00E44EB8"/>
    <w:rsid w:val="00E45477"/>
    <w:rsid w:val="00E454E5"/>
    <w:rsid w:val="00E45743"/>
    <w:rsid w:val="00E459A9"/>
    <w:rsid w:val="00E46558"/>
    <w:rsid w:val="00E467B9"/>
    <w:rsid w:val="00E46A42"/>
    <w:rsid w:val="00E46EC0"/>
    <w:rsid w:val="00E47132"/>
    <w:rsid w:val="00E47161"/>
    <w:rsid w:val="00E471E2"/>
    <w:rsid w:val="00E474AA"/>
    <w:rsid w:val="00E4765A"/>
    <w:rsid w:val="00E4770B"/>
    <w:rsid w:val="00E47743"/>
    <w:rsid w:val="00E477F0"/>
    <w:rsid w:val="00E478BE"/>
    <w:rsid w:val="00E478F9"/>
    <w:rsid w:val="00E479DA"/>
    <w:rsid w:val="00E47B61"/>
    <w:rsid w:val="00E47BD5"/>
    <w:rsid w:val="00E47CB2"/>
    <w:rsid w:val="00E47D4E"/>
    <w:rsid w:val="00E47E7A"/>
    <w:rsid w:val="00E503CC"/>
    <w:rsid w:val="00E50674"/>
    <w:rsid w:val="00E507BC"/>
    <w:rsid w:val="00E508F3"/>
    <w:rsid w:val="00E50D54"/>
    <w:rsid w:val="00E50E35"/>
    <w:rsid w:val="00E50FF4"/>
    <w:rsid w:val="00E5104F"/>
    <w:rsid w:val="00E51241"/>
    <w:rsid w:val="00E514C1"/>
    <w:rsid w:val="00E51809"/>
    <w:rsid w:val="00E518C0"/>
    <w:rsid w:val="00E51A64"/>
    <w:rsid w:val="00E51AC9"/>
    <w:rsid w:val="00E521DF"/>
    <w:rsid w:val="00E5222D"/>
    <w:rsid w:val="00E529A2"/>
    <w:rsid w:val="00E52E38"/>
    <w:rsid w:val="00E52F39"/>
    <w:rsid w:val="00E52FC9"/>
    <w:rsid w:val="00E536B2"/>
    <w:rsid w:val="00E537F8"/>
    <w:rsid w:val="00E5381E"/>
    <w:rsid w:val="00E53A1C"/>
    <w:rsid w:val="00E53A57"/>
    <w:rsid w:val="00E53AC0"/>
    <w:rsid w:val="00E54101"/>
    <w:rsid w:val="00E5413C"/>
    <w:rsid w:val="00E5429C"/>
    <w:rsid w:val="00E546FE"/>
    <w:rsid w:val="00E5472C"/>
    <w:rsid w:val="00E5489E"/>
    <w:rsid w:val="00E548F1"/>
    <w:rsid w:val="00E54A5E"/>
    <w:rsid w:val="00E54B97"/>
    <w:rsid w:val="00E54DB2"/>
    <w:rsid w:val="00E54E38"/>
    <w:rsid w:val="00E554D6"/>
    <w:rsid w:val="00E55846"/>
    <w:rsid w:val="00E55FD0"/>
    <w:rsid w:val="00E560DA"/>
    <w:rsid w:val="00E56246"/>
    <w:rsid w:val="00E5628E"/>
    <w:rsid w:val="00E569A9"/>
    <w:rsid w:val="00E56B0B"/>
    <w:rsid w:val="00E56B35"/>
    <w:rsid w:val="00E56EFB"/>
    <w:rsid w:val="00E56F8B"/>
    <w:rsid w:val="00E5768A"/>
    <w:rsid w:val="00E57787"/>
    <w:rsid w:val="00E5784D"/>
    <w:rsid w:val="00E57D49"/>
    <w:rsid w:val="00E57E71"/>
    <w:rsid w:val="00E60429"/>
    <w:rsid w:val="00E6072A"/>
    <w:rsid w:val="00E607D7"/>
    <w:rsid w:val="00E6097B"/>
    <w:rsid w:val="00E60C11"/>
    <w:rsid w:val="00E60CED"/>
    <w:rsid w:val="00E60E1C"/>
    <w:rsid w:val="00E60E66"/>
    <w:rsid w:val="00E6106D"/>
    <w:rsid w:val="00E610B0"/>
    <w:rsid w:val="00E610E7"/>
    <w:rsid w:val="00E613AB"/>
    <w:rsid w:val="00E618A5"/>
    <w:rsid w:val="00E61A3A"/>
    <w:rsid w:val="00E61BF0"/>
    <w:rsid w:val="00E61C86"/>
    <w:rsid w:val="00E61F3B"/>
    <w:rsid w:val="00E620D2"/>
    <w:rsid w:val="00E621DD"/>
    <w:rsid w:val="00E62273"/>
    <w:rsid w:val="00E624CD"/>
    <w:rsid w:val="00E62649"/>
    <w:rsid w:val="00E626D3"/>
    <w:rsid w:val="00E62976"/>
    <w:rsid w:val="00E62B15"/>
    <w:rsid w:val="00E62C60"/>
    <w:rsid w:val="00E6324F"/>
    <w:rsid w:val="00E6339E"/>
    <w:rsid w:val="00E6352C"/>
    <w:rsid w:val="00E63E71"/>
    <w:rsid w:val="00E6412F"/>
    <w:rsid w:val="00E64191"/>
    <w:rsid w:val="00E642A9"/>
    <w:rsid w:val="00E64334"/>
    <w:rsid w:val="00E6449F"/>
    <w:rsid w:val="00E64907"/>
    <w:rsid w:val="00E64C30"/>
    <w:rsid w:val="00E64E9A"/>
    <w:rsid w:val="00E64EE7"/>
    <w:rsid w:val="00E64FFF"/>
    <w:rsid w:val="00E6523F"/>
    <w:rsid w:val="00E65542"/>
    <w:rsid w:val="00E657FB"/>
    <w:rsid w:val="00E6590D"/>
    <w:rsid w:val="00E65982"/>
    <w:rsid w:val="00E65AD8"/>
    <w:rsid w:val="00E65DC9"/>
    <w:rsid w:val="00E6613F"/>
    <w:rsid w:val="00E661E7"/>
    <w:rsid w:val="00E6628E"/>
    <w:rsid w:val="00E6654A"/>
    <w:rsid w:val="00E665B5"/>
    <w:rsid w:val="00E6683F"/>
    <w:rsid w:val="00E668F6"/>
    <w:rsid w:val="00E66B4B"/>
    <w:rsid w:val="00E66B96"/>
    <w:rsid w:val="00E66D4F"/>
    <w:rsid w:val="00E66D73"/>
    <w:rsid w:val="00E66E62"/>
    <w:rsid w:val="00E6703A"/>
    <w:rsid w:val="00E672FD"/>
    <w:rsid w:val="00E67720"/>
    <w:rsid w:val="00E67800"/>
    <w:rsid w:val="00E678F5"/>
    <w:rsid w:val="00E6792A"/>
    <w:rsid w:val="00E67B1E"/>
    <w:rsid w:val="00E67D9F"/>
    <w:rsid w:val="00E67F6F"/>
    <w:rsid w:val="00E67FE5"/>
    <w:rsid w:val="00E70010"/>
    <w:rsid w:val="00E7030C"/>
    <w:rsid w:val="00E70741"/>
    <w:rsid w:val="00E70A23"/>
    <w:rsid w:val="00E70C34"/>
    <w:rsid w:val="00E70C60"/>
    <w:rsid w:val="00E70DC4"/>
    <w:rsid w:val="00E70F8A"/>
    <w:rsid w:val="00E7124B"/>
    <w:rsid w:val="00E71337"/>
    <w:rsid w:val="00E715E8"/>
    <w:rsid w:val="00E717DB"/>
    <w:rsid w:val="00E72380"/>
    <w:rsid w:val="00E7290F"/>
    <w:rsid w:val="00E72A61"/>
    <w:rsid w:val="00E72DD6"/>
    <w:rsid w:val="00E72FDF"/>
    <w:rsid w:val="00E7303B"/>
    <w:rsid w:val="00E73535"/>
    <w:rsid w:val="00E73571"/>
    <w:rsid w:val="00E7368F"/>
    <w:rsid w:val="00E73803"/>
    <w:rsid w:val="00E73C58"/>
    <w:rsid w:val="00E7441D"/>
    <w:rsid w:val="00E74629"/>
    <w:rsid w:val="00E74835"/>
    <w:rsid w:val="00E74A58"/>
    <w:rsid w:val="00E74DA9"/>
    <w:rsid w:val="00E7515F"/>
    <w:rsid w:val="00E755B8"/>
    <w:rsid w:val="00E756C3"/>
    <w:rsid w:val="00E75F1E"/>
    <w:rsid w:val="00E75F2F"/>
    <w:rsid w:val="00E75F75"/>
    <w:rsid w:val="00E762A0"/>
    <w:rsid w:val="00E7687F"/>
    <w:rsid w:val="00E76ABA"/>
    <w:rsid w:val="00E76C5E"/>
    <w:rsid w:val="00E76DC7"/>
    <w:rsid w:val="00E76FC7"/>
    <w:rsid w:val="00E77933"/>
    <w:rsid w:val="00E779B4"/>
    <w:rsid w:val="00E77A92"/>
    <w:rsid w:val="00E77ADE"/>
    <w:rsid w:val="00E77B80"/>
    <w:rsid w:val="00E800B1"/>
    <w:rsid w:val="00E80195"/>
    <w:rsid w:val="00E802C9"/>
    <w:rsid w:val="00E807C5"/>
    <w:rsid w:val="00E8097A"/>
    <w:rsid w:val="00E810FF"/>
    <w:rsid w:val="00E8129D"/>
    <w:rsid w:val="00E815D3"/>
    <w:rsid w:val="00E817C0"/>
    <w:rsid w:val="00E81BAB"/>
    <w:rsid w:val="00E81C3F"/>
    <w:rsid w:val="00E81C6A"/>
    <w:rsid w:val="00E81C70"/>
    <w:rsid w:val="00E82322"/>
    <w:rsid w:val="00E82734"/>
    <w:rsid w:val="00E829A5"/>
    <w:rsid w:val="00E82AA3"/>
    <w:rsid w:val="00E82CE9"/>
    <w:rsid w:val="00E835C9"/>
    <w:rsid w:val="00E83605"/>
    <w:rsid w:val="00E83727"/>
    <w:rsid w:val="00E83961"/>
    <w:rsid w:val="00E83A04"/>
    <w:rsid w:val="00E84683"/>
    <w:rsid w:val="00E84AC9"/>
    <w:rsid w:val="00E84B08"/>
    <w:rsid w:val="00E84BFF"/>
    <w:rsid w:val="00E84ED6"/>
    <w:rsid w:val="00E852D7"/>
    <w:rsid w:val="00E8534F"/>
    <w:rsid w:val="00E85473"/>
    <w:rsid w:val="00E854F8"/>
    <w:rsid w:val="00E85532"/>
    <w:rsid w:val="00E855C6"/>
    <w:rsid w:val="00E857FA"/>
    <w:rsid w:val="00E85C45"/>
    <w:rsid w:val="00E85EEB"/>
    <w:rsid w:val="00E86222"/>
    <w:rsid w:val="00E86254"/>
    <w:rsid w:val="00E86264"/>
    <w:rsid w:val="00E86351"/>
    <w:rsid w:val="00E867B7"/>
    <w:rsid w:val="00E86890"/>
    <w:rsid w:val="00E86A4E"/>
    <w:rsid w:val="00E86B8B"/>
    <w:rsid w:val="00E86CD0"/>
    <w:rsid w:val="00E86CD7"/>
    <w:rsid w:val="00E86E0B"/>
    <w:rsid w:val="00E873F9"/>
    <w:rsid w:val="00E87A73"/>
    <w:rsid w:val="00E87B8D"/>
    <w:rsid w:val="00E90212"/>
    <w:rsid w:val="00E90425"/>
    <w:rsid w:val="00E905AD"/>
    <w:rsid w:val="00E9063C"/>
    <w:rsid w:val="00E9068C"/>
    <w:rsid w:val="00E90A95"/>
    <w:rsid w:val="00E90DDF"/>
    <w:rsid w:val="00E90F12"/>
    <w:rsid w:val="00E9105A"/>
    <w:rsid w:val="00E9118E"/>
    <w:rsid w:val="00E91458"/>
    <w:rsid w:val="00E91581"/>
    <w:rsid w:val="00E91638"/>
    <w:rsid w:val="00E9164B"/>
    <w:rsid w:val="00E91654"/>
    <w:rsid w:val="00E91BDF"/>
    <w:rsid w:val="00E91D8F"/>
    <w:rsid w:val="00E91E99"/>
    <w:rsid w:val="00E929A2"/>
    <w:rsid w:val="00E92C7F"/>
    <w:rsid w:val="00E92C99"/>
    <w:rsid w:val="00E92C9D"/>
    <w:rsid w:val="00E92D2C"/>
    <w:rsid w:val="00E93201"/>
    <w:rsid w:val="00E9326E"/>
    <w:rsid w:val="00E9350E"/>
    <w:rsid w:val="00E93AAF"/>
    <w:rsid w:val="00E93BDC"/>
    <w:rsid w:val="00E93D0A"/>
    <w:rsid w:val="00E93D2D"/>
    <w:rsid w:val="00E93DCC"/>
    <w:rsid w:val="00E94208"/>
    <w:rsid w:val="00E942A0"/>
    <w:rsid w:val="00E94480"/>
    <w:rsid w:val="00E94B23"/>
    <w:rsid w:val="00E94D54"/>
    <w:rsid w:val="00E94E2E"/>
    <w:rsid w:val="00E94EB5"/>
    <w:rsid w:val="00E9505E"/>
    <w:rsid w:val="00E95100"/>
    <w:rsid w:val="00E951A9"/>
    <w:rsid w:val="00E95358"/>
    <w:rsid w:val="00E955EE"/>
    <w:rsid w:val="00E95BA8"/>
    <w:rsid w:val="00E95C05"/>
    <w:rsid w:val="00E95CC8"/>
    <w:rsid w:val="00E96051"/>
    <w:rsid w:val="00E96302"/>
    <w:rsid w:val="00E966A7"/>
    <w:rsid w:val="00E96B4F"/>
    <w:rsid w:val="00E96CDF"/>
    <w:rsid w:val="00E9703C"/>
    <w:rsid w:val="00E97456"/>
    <w:rsid w:val="00E97548"/>
    <w:rsid w:val="00E97858"/>
    <w:rsid w:val="00E97D51"/>
    <w:rsid w:val="00E97EC3"/>
    <w:rsid w:val="00E97F32"/>
    <w:rsid w:val="00EA0444"/>
    <w:rsid w:val="00EA0521"/>
    <w:rsid w:val="00EA0658"/>
    <w:rsid w:val="00EA07BC"/>
    <w:rsid w:val="00EA0EA7"/>
    <w:rsid w:val="00EA0F35"/>
    <w:rsid w:val="00EA1107"/>
    <w:rsid w:val="00EA11C4"/>
    <w:rsid w:val="00EA1457"/>
    <w:rsid w:val="00EA1590"/>
    <w:rsid w:val="00EA15A1"/>
    <w:rsid w:val="00EA17EF"/>
    <w:rsid w:val="00EA1806"/>
    <w:rsid w:val="00EA1936"/>
    <w:rsid w:val="00EA1B92"/>
    <w:rsid w:val="00EA25C5"/>
    <w:rsid w:val="00EA273F"/>
    <w:rsid w:val="00EA2827"/>
    <w:rsid w:val="00EA29B6"/>
    <w:rsid w:val="00EA2AAA"/>
    <w:rsid w:val="00EA2D31"/>
    <w:rsid w:val="00EA2E7A"/>
    <w:rsid w:val="00EA32FE"/>
    <w:rsid w:val="00EA356A"/>
    <w:rsid w:val="00EA3AC1"/>
    <w:rsid w:val="00EA3B06"/>
    <w:rsid w:val="00EA3D7E"/>
    <w:rsid w:val="00EA3E0A"/>
    <w:rsid w:val="00EA3F8B"/>
    <w:rsid w:val="00EA4275"/>
    <w:rsid w:val="00EA4A60"/>
    <w:rsid w:val="00EA4C88"/>
    <w:rsid w:val="00EA4F27"/>
    <w:rsid w:val="00EA5163"/>
    <w:rsid w:val="00EA5356"/>
    <w:rsid w:val="00EA5465"/>
    <w:rsid w:val="00EA55DF"/>
    <w:rsid w:val="00EA5627"/>
    <w:rsid w:val="00EA59B5"/>
    <w:rsid w:val="00EA5C0D"/>
    <w:rsid w:val="00EA5C91"/>
    <w:rsid w:val="00EA5CA0"/>
    <w:rsid w:val="00EA62EC"/>
    <w:rsid w:val="00EA631D"/>
    <w:rsid w:val="00EA65FC"/>
    <w:rsid w:val="00EA6621"/>
    <w:rsid w:val="00EA6688"/>
    <w:rsid w:val="00EA672A"/>
    <w:rsid w:val="00EA6952"/>
    <w:rsid w:val="00EA6DAE"/>
    <w:rsid w:val="00EA6EF0"/>
    <w:rsid w:val="00EA7158"/>
    <w:rsid w:val="00EA756E"/>
    <w:rsid w:val="00EA75C5"/>
    <w:rsid w:val="00EA7727"/>
    <w:rsid w:val="00EA7862"/>
    <w:rsid w:val="00EA7A0B"/>
    <w:rsid w:val="00EA7D67"/>
    <w:rsid w:val="00EA7D6F"/>
    <w:rsid w:val="00EA7E9E"/>
    <w:rsid w:val="00EB04FD"/>
    <w:rsid w:val="00EB0728"/>
    <w:rsid w:val="00EB077F"/>
    <w:rsid w:val="00EB09E3"/>
    <w:rsid w:val="00EB0A07"/>
    <w:rsid w:val="00EB0A09"/>
    <w:rsid w:val="00EB0A45"/>
    <w:rsid w:val="00EB0AF7"/>
    <w:rsid w:val="00EB0CEF"/>
    <w:rsid w:val="00EB16C3"/>
    <w:rsid w:val="00EB1DE8"/>
    <w:rsid w:val="00EB20B9"/>
    <w:rsid w:val="00EB2490"/>
    <w:rsid w:val="00EB29C3"/>
    <w:rsid w:val="00EB2A9C"/>
    <w:rsid w:val="00EB2D4A"/>
    <w:rsid w:val="00EB2E75"/>
    <w:rsid w:val="00EB2EFE"/>
    <w:rsid w:val="00EB3166"/>
    <w:rsid w:val="00EB3411"/>
    <w:rsid w:val="00EB3A3B"/>
    <w:rsid w:val="00EB3B17"/>
    <w:rsid w:val="00EB3CFF"/>
    <w:rsid w:val="00EB401D"/>
    <w:rsid w:val="00EB4303"/>
    <w:rsid w:val="00EB4480"/>
    <w:rsid w:val="00EB4A26"/>
    <w:rsid w:val="00EB5032"/>
    <w:rsid w:val="00EB506A"/>
    <w:rsid w:val="00EB526F"/>
    <w:rsid w:val="00EB58DC"/>
    <w:rsid w:val="00EB5A27"/>
    <w:rsid w:val="00EB5B26"/>
    <w:rsid w:val="00EB5BCE"/>
    <w:rsid w:val="00EB5DB5"/>
    <w:rsid w:val="00EB5EF6"/>
    <w:rsid w:val="00EB615B"/>
    <w:rsid w:val="00EB63AC"/>
    <w:rsid w:val="00EB64E6"/>
    <w:rsid w:val="00EB6538"/>
    <w:rsid w:val="00EB66FD"/>
    <w:rsid w:val="00EB67A4"/>
    <w:rsid w:val="00EB67EC"/>
    <w:rsid w:val="00EB6937"/>
    <w:rsid w:val="00EB6C3B"/>
    <w:rsid w:val="00EB701E"/>
    <w:rsid w:val="00EB7129"/>
    <w:rsid w:val="00EB71D3"/>
    <w:rsid w:val="00EB71F5"/>
    <w:rsid w:val="00EB721A"/>
    <w:rsid w:val="00EB7961"/>
    <w:rsid w:val="00EB7BCC"/>
    <w:rsid w:val="00EB7D0F"/>
    <w:rsid w:val="00EB7D48"/>
    <w:rsid w:val="00EC04B9"/>
    <w:rsid w:val="00EC05E6"/>
    <w:rsid w:val="00EC0610"/>
    <w:rsid w:val="00EC088B"/>
    <w:rsid w:val="00EC0A63"/>
    <w:rsid w:val="00EC0C33"/>
    <w:rsid w:val="00EC133B"/>
    <w:rsid w:val="00EC16FE"/>
    <w:rsid w:val="00EC1733"/>
    <w:rsid w:val="00EC18B9"/>
    <w:rsid w:val="00EC194F"/>
    <w:rsid w:val="00EC1A83"/>
    <w:rsid w:val="00EC1B4D"/>
    <w:rsid w:val="00EC1CEB"/>
    <w:rsid w:val="00EC1EDA"/>
    <w:rsid w:val="00EC2006"/>
    <w:rsid w:val="00EC2325"/>
    <w:rsid w:val="00EC2345"/>
    <w:rsid w:val="00EC2355"/>
    <w:rsid w:val="00EC23E3"/>
    <w:rsid w:val="00EC253A"/>
    <w:rsid w:val="00EC26FD"/>
    <w:rsid w:val="00EC293E"/>
    <w:rsid w:val="00EC2ABE"/>
    <w:rsid w:val="00EC2DDB"/>
    <w:rsid w:val="00EC3392"/>
    <w:rsid w:val="00EC34F8"/>
    <w:rsid w:val="00EC38D3"/>
    <w:rsid w:val="00EC3921"/>
    <w:rsid w:val="00EC3ADA"/>
    <w:rsid w:val="00EC3B25"/>
    <w:rsid w:val="00EC3C74"/>
    <w:rsid w:val="00EC3D7A"/>
    <w:rsid w:val="00EC3E84"/>
    <w:rsid w:val="00EC4139"/>
    <w:rsid w:val="00EC42C0"/>
    <w:rsid w:val="00EC4343"/>
    <w:rsid w:val="00EC44F3"/>
    <w:rsid w:val="00EC4A7C"/>
    <w:rsid w:val="00EC4DD6"/>
    <w:rsid w:val="00EC4ED8"/>
    <w:rsid w:val="00EC4F0F"/>
    <w:rsid w:val="00EC51AD"/>
    <w:rsid w:val="00EC52F0"/>
    <w:rsid w:val="00EC5791"/>
    <w:rsid w:val="00EC58F1"/>
    <w:rsid w:val="00EC5939"/>
    <w:rsid w:val="00EC5A74"/>
    <w:rsid w:val="00EC5C51"/>
    <w:rsid w:val="00EC5D86"/>
    <w:rsid w:val="00EC60FE"/>
    <w:rsid w:val="00EC6277"/>
    <w:rsid w:val="00EC6407"/>
    <w:rsid w:val="00EC653A"/>
    <w:rsid w:val="00EC65CF"/>
    <w:rsid w:val="00EC6637"/>
    <w:rsid w:val="00EC6CF6"/>
    <w:rsid w:val="00EC6E01"/>
    <w:rsid w:val="00EC6E3C"/>
    <w:rsid w:val="00EC6F04"/>
    <w:rsid w:val="00EC77A2"/>
    <w:rsid w:val="00EC7C8C"/>
    <w:rsid w:val="00EC7CEF"/>
    <w:rsid w:val="00ED0710"/>
    <w:rsid w:val="00ED0875"/>
    <w:rsid w:val="00ED0908"/>
    <w:rsid w:val="00ED09A7"/>
    <w:rsid w:val="00ED09DA"/>
    <w:rsid w:val="00ED0AC9"/>
    <w:rsid w:val="00ED0DAF"/>
    <w:rsid w:val="00ED0EBF"/>
    <w:rsid w:val="00ED0F33"/>
    <w:rsid w:val="00ED12B0"/>
    <w:rsid w:val="00ED15BC"/>
    <w:rsid w:val="00ED1796"/>
    <w:rsid w:val="00ED1902"/>
    <w:rsid w:val="00ED1A46"/>
    <w:rsid w:val="00ED1AEC"/>
    <w:rsid w:val="00ED1DFE"/>
    <w:rsid w:val="00ED2002"/>
    <w:rsid w:val="00ED207E"/>
    <w:rsid w:val="00ED2374"/>
    <w:rsid w:val="00ED2C02"/>
    <w:rsid w:val="00ED2C34"/>
    <w:rsid w:val="00ED2C42"/>
    <w:rsid w:val="00ED33C9"/>
    <w:rsid w:val="00ED34BF"/>
    <w:rsid w:val="00ED34D2"/>
    <w:rsid w:val="00ED3637"/>
    <w:rsid w:val="00ED3722"/>
    <w:rsid w:val="00ED3A53"/>
    <w:rsid w:val="00ED3B03"/>
    <w:rsid w:val="00ED4050"/>
    <w:rsid w:val="00ED4240"/>
    <w:rsid w:val="00ED4570"/>
    <w:rsid w:val="00ED45ED"/>
    <w:rsid w:val="00ED462C"/>
    <w:rsid w:val="00ED481C"/>
    <w:rsid w:val="00ED4C2D"/>
    <w:rsid w:val="00ED4EB4"/>
    <w:rsid w:val="00ED52CB"/>
    <w:rsid w:val="00ED5333"/>
    <w:rsid w:val="00ED5599"/>
    <w:rsid w:val="00ED56D3"/>
    <w:rsid w:val="00ED5906"/>
    <w:rsid w:val="00ED5A2B"/>
    <w:rsid w:val="00ED5A64"/>
    <w:rsid w:val="00ED5B3F"/>
    <w:rsid w:val="00ED5B86"/>
    <w:rsid w:val="00ED626B"/>
    <w:rsid w:val="00ED648A"/>
    <w:rsid w:val="00ED6498"/>
    <w:rsid w:val="00ED6863"/>
    <w:rsid w:val="00ED68DA"/>
    <w:rsid w:val="00ED6981"/>
    <w:rsid w:val="00ED6D05"/>
    <w:rsid w:val="00ED6EE3"/>
    <w:rsid w:val="00ED706A"/>
    <w:rsid w:val="00ED73D0"/>
    <w:rsid w:val="00ED73D8"/>
    <w:rsid w:val="00ED74AE"/>
    <w:rsid w:val="00ED7594"/>
    <w:rsid w:val="00ED75A9"/>
    <w:rsid w:val="00ED762E"/>
    <w:rsid w:val="00ED794A"/>
    <w:rsid w:val="00ED7A5E"/>
    <w:rsid w:val="00ED7C21"/>
    <w:rsid w:val="00ED7E5F"/>
    <w:rsid w:val="00EE0064"/>
    <w:rsid w:val="00EE0088"/>
    <w:rsid w:val="00EE0311"/>
    <w:rsid w:val="00EE05AC"/>
    <w:rsid w:val="00EE07E2"/>
    <w:rsid w:val="00EE0CAD"/>
    <w:rsid w:val="00EE1149"/>
    <w:rsid w:val="00EE158E"/>
    <w:rsid w:val="00EE16C6"/>
    <w:rsid w:val="00EE1AEC"/>
    <w:rsid w:val="00EE1AFB"/>
    <w:rsid w:val="00EE1E3B"/>
    <w:rsid w:val="00EE205E"/>
    <w:rsid w:val="00EE2199"/>
    <w:rsid w:val="00EE2418"/>
    <w:rsid w:val="00EE2777"/>
    <w:rsid w:val="00EE2CFA"/>
    <w:rsid w:val="00EE2E18"/>
    <w:rsid w:val="00EE2F01"/>
    <w:rsid w:val="00EE33FD"/>
    <w:rsid w:val="00EE3473"/>
    <w:rsid w:val="00EE3C2C"/>
    <w:rsid w:val="00EE3E06"/>
    <w:rsid w:val="00EE3E68"/>
    <w:rsid w:val="00EE3F2E"/>
    <w:rsid w:val="00EE4053"/>
    <w:rsid w:val="00EE418A"/>
    <w:rsid w:val="00EE41A4"/>
    <w:rsid w:val="00EE41E5"/>
    <w:rsid w:val="00EE41FC"/>
    <w:rsid w:val="00EE4704"/>
    <w:rsid w:val="00EE4864"/>
    <w:rsid w:val="00EE486C"/>
    <w:rsid w:val="00EE4889"/>
    <w:rsid w:val="00EE4A92"/>
    <w:rsid w:val="00EE4D41"/>
    <w:rsid w:val="00EE4F7E"/>
    <w:rsid w:val="00EE4FB4"/>
    <w:rsid w:val="00EE51BC"/>
    <w:rsid w:val="00EE5477"/>
    <w:rsid w:val="00EE56AF"/>
    <w:rsid w:val="00EE56DB"/>
    <w:rsid w:val="00EE5856"/>
    <w:rsid w:val="00EE58B4"/>
    <w:rsid w:val="00EE62D3"/>
    <w:rsid w:val="00EE637D"/>
    <w:rsid w:val="00EE69E1"/>
    <w:rsid w:val="00EE6C9C"/>
    <w:rsid w:val="00EE706D"/>
    <w:rsid w:val="00EE77C2"/>
    <w:rsid w:val="00EE78DE"/>
    <w:rsid w:val="00EE7CFC"/>
    <w:rsid w:val="00EE7DDB"/>
    <w:rsid w:val="00EF04BF"/>
    <w:rsid w:val="00EF0860"/>
    <w:rsid w:val="00EF09AE"/>
    <w:rsid w:val="00EF0AEF"/>
    <w:rsid w:val="00EF1239"/>
    <w:rsid w:val="00EF1281"/>
    <w:rsid w:val="00EF16B8"/>
    <w:rsid w:val="00EF16CA"/>
    <w:rsid w:val="00EF1835"/>
    <w:rsid w:val="00EF1E86"/>
    <w:rsid w:val="00EF1F82"/>
    <w:rsid w:val="00EF213F"/>
    <w:rsid w:val="00EF263E"/>
    <w:rsid w:val="00EF267C"/>
    <w:rsid w:val="00EF27F3"/>
    <w:rsid w:val="00EF2A89"/>
    <w:rsid w:val="00EF2ACF"/>
    <w:rsid w:val="00EF2D1A"/>
    <w:rsid w:val="00EF33BB"/>
    <w:rsid w:val="00EF34F5"/>
    <w:rsid w:val="00EF3957"/>
    <w:rsid w:val="00EF3C28"/>
    <w:rsid w:val="00EF3D63"/>
    <w:rsid w:val="00EF4023"/>
    <w:rsid w:val="00EF45F5"/>
    <w:rsid w:val="00EF49E6"/>
    <w:rsid w:val="00EF4DF9"/>
    <w:rsid w:val="00EF50A8"/>
    <w:rsid w:val="00EF51C9"/>
    <w:rsid w:val="00EF53C9"/>
    <w:rsid w:val="00EF55F3"/>
    <w:rsid w:val="00EF570E"/>
    <w:rsid w:val="00EF58D2"/>
    <w:rsid w:val="00EF5A40"/>
    <w:rsid w:val="00EF6558"/>
    <w:rsid w:val="00EF6709"/>
    <w:rsid w:val="00EF6A65"/>
    <w:rsid w:val="00EF6A9D"/>
    <w:rsid w:val="00EF6C4C"/>
    <w:rsid w:val="00EF6CDB"/>
    <w:rsid w:val="00EF6D71"/>
    <w:rsid w:val="00EF6E89"/>
    <w:rsid w:val="00EF6EF1"/>
    <w:rsid w:val="00EF7268"/>
    <w:rsid w:val="00EF78C8"/>
    <w:rsid w:val="00EF7A3B"/>
    <w:rsid w:val="00EF7AA8"/>
    <w:rsid w:val="00EF7FE9"/>
    <w:rsid w:val="00F00011"/>
    <w:rsid w:val="00F0027B"/>
    <w:rsid w:val="00F002C1"/>
    <w:rsid w:val="00F0097C"/>
    <w:rsid w:val="00F009A0"/>
    <w:rsid w:val="00F00B81"/>
    <w:rsid w:val="00F010D1"/>
    <w:rsid w:val="00F015FC"/>
    <w:rsid w:val="00F01839"/>
    <w:rsid w:val="00F01872"/>
    <w:rsid w:val="00F018C9"/>
    <w:rsid w:val="00F01D50"/>
    <w:rsid w:val="00F0225D"/>
    <w:rsid w:val="00F02619"/>
    <w:rsid w:val="00F026E2"/>
    <w:rsid w:val="00F027C4"/>
    <w:rsid w:val="00F029AB"/>
    <w:rsid w:val="00F029E5"/>
    <w:rsid w:val="00F02C1C"/>
    <w:rsid w:val="00F02C65"/>
    <w:rsid w:val="00F02C7D"/>
    <w:rsid w:val="00F02CA4"/>
    <w:rsid w:val="00F0310C"/>
    <w:rsid w:val="00F03153"/>
    <w:rsid w:val="00F03582"/>
    <w:rsid w:val="00F035DA"/>
    <w:rsid w:val="00F036AF"/>
    <w:rsid w:val="00F0377F"/>
    <w:rsid w:val="00F039CC"/>
    <w:rsid w:val="00F03A87"/>
    <w:rsid w:val="00F03DBB"/>
    <w:rsid w:val="00F04271"/>
    <w:rsid w:val="00F042AA"/>
    <w:rsid w:val="00F04381"/>
    <w:rsid w:val="00F0475E"/>
    <w:rsid w:val="00F048AF"/>
    <w:rsid w:val="00F04ACE"/>
    <w:rsid w:val="00F04B7E"/>
    <w:rsid w:val="00F04BCC"/>
    <w:rsid w:val="00F0528C"/>
    <w:rsid w:val="00F0588A"/>
    <w:rsid w:val="00F05B6B"/>
    <w:rsid w:val="00F05D5E"/>
    <w:rsid w:val="00F06170"/>
    <w:rsid w:val="00F0671E"/>
    <w:rsid w:val="00F0674B"/>
    <w:rsid w:val="00F06776"/>
    <w:rsid w:val="00F069CF"/>
    <w:rsid w:val="00F06A99"/>
    <w:rsid w:val="00F06B46"/>
    <w:rsid w:val="00F0717D"/>
    <w:rsid w:val="00F0741A"/>
    <w:rsid w:val="00F07687"/>
    <w:rsid w:val="00F07779"/>
    <w:rsid w:val="00F07829"/>
    <w:rsid w:val="00F07852"/>
    <w:rsid w:val="00F078D7"/>
    <w:rsid w:val="00F07B27"/>
    <w:rsid w:val="00F07D57"/>
    <w:rsid w:val="00F07EE0"/>
    <w:rsid w:val="00F100C9"/>
    <w:rsid w:val="00F1042B"/>
    <w:rsid w:val="00F1059F"/>
    <w:rsid w:val="00F105E4"/>
    <w:rsid w:val="00F10BFF"/>
    <w:rsid w:val="00F10C9A"/>
    <w:rsid w:val="00F10D76"/>
    <w:rsid w:val="00F110D5"/>
    <w:rsid w:val="00F112A7"/>
    <w:rsid w:val="00F11454"/>
    <w:rsid w:val="00F114A9"/>
    <w:rsid w:val="00F11ADD"/>
    <w:rsid w:val="00F11BA7"/>
    <w:rsid w:val="00F11D61"/>
    <w:rsid w:val="00F12152"/>
    <w:rsid w:val="00F121D9"/>
    <w:rsid w:val="00F12843"/>
    <w:rsid w:val="00F12C72"/>
    <w:rsid w:val="00F12D18"/>
    <w:rsid w:val="00F12EBD"/>
    <w:rsid w:val="00F12FCB"/>
    <w:rsid w:val="00F13071"/>
    <w:rsid w:val="00F1313F"/>
    <w:rsid w:val="00F1327B"/>
    <w:rsid w:val="00F13502"/>
    <w:rsid w:val="00F135A3"/>
    <w:rsid w:val="00F137FA"/>
    <w:rsid w:val="00F13B49"/>
    <w:rsid w:val="00F140F1"/>
    <w:rsid w:val="00F1433F"/>
    <w:rsid w:val="00F1461A"/>
    <w:rsid w:val="00F146A9"/>
    <w:rsid w:val="00F149D0"/>
    <w:rsid w:val="00F14A80"/>
    <w:rsid w:val="00F14CB3"/>
    <w:rsid w:val="00F14D97"/>
    <w:rsid w:val="00F15020"/>
    <w:rsid w:val="00F1507A"/>
    <w:rsid w:val="00F156FB"/>
    <w:rsid w:val="00F15882"/>
    <w:rsid w:val="00F15F9B"/>
    <w:rsid w:val="00F16362"/>
    <w:rsid w:val="00F16653"/>
    <w:rsid w:val="00F16FE4"/>
    <w:rsid w:val="00F17135"/>
    <w:rsid w:val="00F172D6"/>
    <w:rsid w:val="00F17405"/>
    <w:rsid w:val="00F176DC"/>
    <w:rsid w:val="00F179E1"/>
    <w:rsid w:val="00F17BD7"/>
    <w:rsid w:val="00F17C6A"/>
    <w:rsid w:val="00F17CAE"/>
    <w:rsid w:val="00F17DB9"/>
    <w:rsid w:val="00F20074"/>
    <w:rsid w:val="00F206BD"/>
    <w:rsid w:val="00F21635"/>
    <w:rsid w:val="00F21C3B"/>
    <w:rsid w:val="00F22156"/>
    <w:rsid w:val="00F22574"/>
    <w:rsid w:val="00F226D8"/>
    <w:rsid w:val="00F23102"/>
    <w:rsid w:val="00F231AE"/>
    <w:rsid w:val="00F23316"/>
    <w:rsid w:val="00F23512"/>
    <w:rsid w:val="00F23656"/>
    <w:rsid w:val="00F23DED"/>
    <w:rsid w:val="00F23DEF"/>
    <w:rsid w:val="00F23FE3"/>
    <w:rsid w:val="00F24154"/>
    <w:rsid w:val="00F24229"/>
    <w:rsid w:val="00F24423"/>
    <w:rsid w:val="00F24857"/>
    <w:rsid w:val="00F24940"/>
    <w:rsid w:val="00F24A4D"/>
    <w:rsid w:val="00F24E6B"/>
    <w:rsid w:val="00F24FCA"/>
    <w:rsid w:val="00F253F1"/>
    <w:rsid w:val="00F2554E"/>
    <w:rsid w:val="00F25797"/>
    <w:rsid w:val="00F257CE"/>
    <w:rsid w:val="00F25E55"/>
    <w:rsid w:val="00F25EA6"/>
    <w:rsid w:val="00F260C4"/>
    <w:rsid w:val="00F260DD"/>
    <w:rsid w:val="00F26733"/>
    <w:rsid w:val="00F26780"/>
    <w:rsid w:val="00F26851"/>
    <w:rsid w:val="00F2690E"/>
    <w:rsid w:val="00F26B3F"/>
    <w:rsid w:val="00F26C38"/>
    <w:rsid w:val="00F26D24"/>
    <w:rsid w:val="00F26D4B"/>
    <w:rsid w:val="00F270F3"/>
    <w:rsid w:val="00F27216"/>
    <w:rsid w:val="00F272CC"/>
    <w:rsid w:val="00F273E3"/>
    <w:rsid w:val="00F275B5"/>
    <w:rsid w:val="00F30088"/>
    <w:rsid w:val="00F302A7"/>
    <w:rsid w:val="00F306E9"/>
    <w:rsid w:val="00F3099F"/>
    <w:rsid w:val="00F30A31"/>
    <w:rsid w:val="00F30B13"/>
    <w:rsid w:val="00F30B4A"/>
    <w:rsid w:val="00F30C91"/>
    <w:rsid w:val="00F30F3C"/>
    <w:rsid w:val="00F30F6D"/>
    <w:rsid w:val="00F316B5"/>
    <w:rsid w:val="00F3177C"/>
    <w:rsid w:val="00F317CF"/>
    <w:rsid w:val="00F31BF6"/>
    <w:rsid w:val="00F31E03"/>
    <w:rsid w:val="00F31EFA"/>
    <w:rsid w:val="00F31FD4"/>
    <w:rsid w:val="00F320CF"/>
    <w:rsid w:val="00F32239"/>
    <w:rsid w:val="00F322AD"/>
    <w:rsid w:val="00F3234C"/>
    <w:rsid w:val="00F323D4"/>
    <w:rsid w:val="00F3248E"/>
    <w:rsid w:val="00F324CB"/>
    <w:rsid w:val="00F325B4"/>
    <w:rsid w:val="00F32700"/>
    <w:rsid w:val="00F32A6D"/>
    <w:rsid w:val="00F3309B"/>
    <w:rsid w:val="00F33180"/>
    <w:rsid w:val="00F3321D"/>
    <w:rsid w:val="00F332F6"/>
    <w:rsid w:val="00F3335F"/>
    <w:rsid w:val="00F3337B"/>
    <w:rsid w:val="00F33902"/>
    <w:rsid w:val="00F339C0"/>
    <w:rsid w:val="00F33C66"/>
    <w:rsid w:val="00F33E88"/>
    <w:rsid w:val="00F33F63"/>
    <w:rsid w:val="00F34020"/>
    <w:rsid w:val="00F3433B"/>
    <w:rsid w:val="00F34568"/>
    <w:rsid w:val="00F346B6"/>
    <w:rsid w:val="00F346E9"/>
    <w:rsid w:val="00F3477B"/>
    <w:rsid w:val="00F34830"/>
    <w:rsid w:val="00F348DA"/>
    <w:rsid w:val="00F34C46"/>
    <w:rsid w:val="00F35084"/>
    <w:rsid w:val="00F35948"/>
    <w:rsid w:val="00F35CC7"/>
    <w:rsid w:val="00F35D05"/>
    <w:rsid w:val="00F35D20"/>
    <w:rsid w:val="00F35F7D"/>
    <w:rsid w:val="00F3610B"/>
    <w:rsid w:val="00F36234"/>
    <w:rsid w:val="00F365F6"/>
    <w:rsid w:val="00F366DA"/>
    <w:rsid w:val="00F36834"/>
    <w:rsid w:val="00F36E59"/>
    <w:rsid w:val="00F36F98"/>
    <w:rsid w:val="00F37005"/>
    <w:rsid w:val="00F3730E"/>
    <w:rsid w:val="00F37438"/>
    <w:rsid w:val="00F375A4"/>
    <w:rsid w:val="00F378CE"/>
    <w:rsid w:val="00F37AD0"/>
    <w:rsid w:val="00F37D1D"/>
    <w:rsid w:val="00F37F09"/>
    <w:rsid w:val="00F37F0D"/>
    <w:rsid w:val="00F37F2C"/>
    <w:rsid w:val="00F37F5B"/>
    <w:rsid w:val="00F37F5E"/>
    <w:rsid w:val="00F40099"/>
    <w:rsid w:val="00F400D5"/>
    <w:rsid w:val="00F401B5"/>
    <w:rsid w:val="00F4032B"/>
    <w:rsid w:val="00F4049C"/>
    <w:rsid w:val="00F405B3"/>
    <w:rsid w:val="00F40A9E"/>
    <w:rsid w:val="00F40BA9"/>
    <w:rsid w:val="00F41251"/>
    <w:rsid w:val="00F413E2"/>
    <w:rsid w:val="00F41DE6"/>
    <w:rsid w:val="00F41EC7"/>
    <w:rsid w:val="00F42330"/>
    <w:rsid w:val="00F4239F"/>
    <w:rsid w:val="00F423D6"/>
    <w:rsid w:val="00F426F5"/>
    <w:rsid w:val="00F42A0B"/>
    <w:rsid w:val="00F42C2B"/>
    <w:rsid w:val="00F42E12"/>
    <w:rsid w:val="00F430FE"/>
    <w:rsid w:val="00F4325F"/>
    <w:rsid w:val="00F433D5"/>
    <w:rsid w:val="00F43560"/>
    <w:rsid w:val="00F436EE"/>
    <w:rsid w:val="00F43708"/>
    <w:rsid w:val="00F4384A"/>
    <w:rsid w:val="00F438D4"/>
    <w:rsid w:val="00F43B13"/>
    <w:rsid w:val="00F43B64"/>
    <w:rsid w:val="00F43FA0"/>
    <w:rsid w:val="00F44252"/>
    <w:rsid w:val="00F44AB4"/>
    <w:rsid w:val="00F44AFE"/>
    <w:rsid w:val="00F44D21"/>
    <w:rsid w:val="00F44DFF"/>
    <w:rsid w:val="00F45093"/>
    <w:rsid w:val="00F4585E"/>
    <w:rsid w:val="00F458A3"/>
    <w:rsid w:val="00F45A18"/>
    <w:rsid w:val="00F45AB3"/>
    <w:rsid w:val="00F45AD3"/>
    <w:rsid w:val="00F45D50"/>
    <w:rsid w:val="00F45D64"/>
    <w:rsid w:val="00F460C0"/>
    <w:rsid w:val="00F463FA"/>
    <w:rsid w:val="00F46460"/>
    <w:rsid w:val="00F46645"/>
    <w:rsid w:val="00F46784"/>
    <w:rsid w:val="00F468C8"/>
    <w:rsid w:val="00F46987"/>
    <w:rsid w:val="00F46A03"/>
    <w:rsid w:val="00F46AD4"/>
    <w:rsid w:val="00F4740D"/>
    <w:rsid w:val="00F47829"/>
    <w:rsid w:val="00F4794E"/>
    <w:rsid w:val="00F47965"/>
    <w:rsid w:val="00F47D9E"/>
    <w:rsid w:val="00F47FC4"/>
    <w:rsid w:val="00F50431"/>
    <w:rsid w:val="00F5056E"/>
    <w:rsid w:val="00F50665"/>
    <w:rsid w:val="00F5092F"/>
    <w:rsid w:val="00F50E9F"/>
    <w:rsid w:val="00F50F37"/>
    <w:rsid w:val="00F51212"/>
    <w:rsid w:val="00F51235"/>
    <w:rsid w:val="00F51462"/>
    <w:rsid w:val="00F517B7"/>
    <w:rsid w:val="00F518FD"/>
    <w:rsid w:val="00F519CE"/>
    <w:rsid w:val="00F51A14"/>
    <w:rsid w:val="00F51EE7"/>
    <w:rsid w:val="00F51F68"/>
    <w:rsid w:val="00F520ED"/>
    <w:rsid w:val="00F52269"/>
    <w:rsid w:val="00F5239B"/>
    <w:rsid w:val="00F524A8"/>
    <w:rsid w:val="00F52825"/>
    <w:rsid w:val="00F52A9E"/>
    <w:rsid w:val="00F52B0A"/>
    <w:rsid w:val="00F52D60"/>
    <w:rsid w:val="00F53084"/>
    <w:rsid w:val="00F53136"/>
    <w:rsid w:val="00F532A1"/>
    <w:rsid w:val="00F533D6"/>
    <w:rsid w:val="00F53BC6"/>
    <w:rsid w:val="00F53CA4"/>
    <w:rsid w:val="00F53D17"/>
    <w:rsid w:val="00F53E30"/>
    <w:rsid w:val="00F53E4E"/>
    <w:rsid w:val="00F53FC6"/>
    <w:rsid w:val="00F54195"/>
    <w:rsid w:val="00F542AB"/>
    <w:rsid w:val="00F54701"/>
    <w:rsid w:val="00F5482F"/>
    <w:rsid w:val="00F54E5D"/>
    <w:rsid w:val="00F54EF7"/>
    <w:rsid w:val="00F55A47"/>
    <w:rsid w:val="00F55BAA"/>
    <w:rsid w:val="00F55C9C"/>
    <w:rsid w:val="00F55E20"/>
    <w:rsid w:val="00F575E0"/>
    <w:rsid w:val="00F576E4"/>
    <w:rsid w:val="00F577F1"/>
    <w:rsid w:val="00F57AD4"/>
    <w:rsid w:val="00F57F00"/>
    <w:rsid w:val="00F60191"/>
    <w:rsid w:val="00F60C84"/>
    <w:rsid w:val="00F60CAD"/>
    <w:rsid w:val="00F61C0B"/>
    <w:rsid w:val="00F61E58"/>
    <w:rsid w:val="00F61E6A"/>
    <w:rsid w:val="00F61E7C"/>
    <w:rsid w:val="00F61F76"/>
    <w:rsid w:val="00F61FC4"/>
    <w:rsid w:val="00F6229C"/>
    <w:rsid w:val="00F6258A"/>
    <w:rsid w:val="00F63071"/>
    <w:rsid w:val="00F633A9"/>
    <w:rsid w:val="00F634B1"/>
    <w:rsid w:val="00F6397D"/>
    <w:rsid w:val="00F63DAE"/>
    <w:rsid w:val="00F63E62"/>
    <w:rsid w:val="00F64235"/>
    <w:rsid w:val="00F64960"/>
    <w:rsid w:val="00F64AB1"/>
    <w:rsid w:val="00F64BB2"/>
    <w:rsid w:val="00F64BF2"/>
    <w:rsid w:val="00F64F6E"/>
    <w:rsid w:val="00F65601"/>
    <w:rsid w:val="00F65736"/>
    <w:rsid w:val="00F6586E"/>
    <w:rsid w:val="00F65899"/>
    <w:rsid w:val="00F65A19"/>
    <w:rsid w:val="00F65CF0"/>
    <w:rsid w:val="00F65FB3"/>
    <w:rsid w:val="00F66577"/>
    <w:rsid w:val="00F665B5"/>
    <w:rsid w:val="00F668AB"/>
    <w:rsid w:val="00F6690B"/>
    <w:rsid w:val="00F66B4C"/>
    <w:rsid w:val="00F66C3B"/>
    <w:rsid w:val="00F66D65"/>
    <w:rsid w:val="00F66F07"/>
    <w:rsid w:val="00F67024"/>
    <w:rsid w:val="00F672F0"/>
    <w:rsid w:val="00F6771D"/>
    <w:rsid w:val="00F67C83"/>
    <w:rsid w:val="00F67C9B"/>
    <w:rsid w:val="00F67E68"/>
    <w:rsid w:val="00F67EF6"/>
    <w:rsid w:val="00F67FE2"/>
    <w:rsid w:val="00F700A8"/>
    <w:rsid w:val="00F700B9"/>
    <w:rsid w:val="00F705C0"/>
    <w:rsid w:val="00F70872"/>
    <w:rsid w:val="00F709B5"/>
    <w:rsid w:val="00F70A5C"/>
    <w:rsid w:val="00F70E09"/>
    <w:rsid w:val="00F710B9"/>
    <w:rsid w:val="00F71177"/>
    <w:rsid w:val="00F71A34"/>
    <w:rsid w:val="00F71BBF"/>
    <w:rsid w:val="00F71C01"/>
    <w:rsid w:val="00F721BA"/>
    <w:rsid w:val="00F722E9"/>
    <w:rsid w:val="00F72704"/>
    <w:rsid w:val="00F72895"/>
    <w:rsid w:val="00F7294E"/>
    <w:rsid w:val="00F72ABE"/>
    <w:rsid w:val="00F7304F"/>
    <w:rsid w:val="00F73091"/>
    <w:rsid w:val="00F730B0"/>
    <w:rsid w:val="00F730B9"/>
    <w:rsid w:val="00F731CF"/>
    <w:rsid w:val="00F73280"/>
    <w:rsid w:val="00F733BE"/>
    <w:rsid w:val="00F734A9"/>
    <w:rsid w:val="00F73663"/>
    <w:rsid w:val="00F73779"/>
    <w:rsid w:val="00F738B0"/>
    <w:rsid w:val="00F738D1"/>
    <w:rsid w:val="00F73BC4"/>
    <w:rsid w:val="00F7425B"/>
    <w:rsid w:val="00F74302"/>
    <w:rsid w:val="00F74400"/>
    <w:rsid w:val="00F74C44"/>
    <w:rsid w:val="00F74E00"/>
    <w:rsid w:val="00F7504A"/>
    <w:rsid w:val="00F7538A"/>
    <w:rsid w:val="00F7539C"/>
    <w:rsid w:val="00F7564E"/>
    <w:rsid w:val="00F756B2"/>
    <w:rsid w:val="00F75BBA"/>
    <w:rsid w:val="00F75BD7"/>
    <w:rsid w:val="00F7606F"/>
    <w:rsid w:val="00F761E4"/>
    <w:rsid w:val="00F7633B"/>
    <w:rsid w:val="00F76703"/>
    <w:rsid w:val="00F76809"/>
    <w:rsid w:val="00F7684B"/>
    <w:rsid w:val="00F76BAE"/>
    <w:rsid w:val="00F76C09"/>
    <w:rsid w:val="00F76D13"/>
    <w:rsid w:val="00F76D36"/>
    <w:rsid w:val="00F76E7B"/>
    <w:rsid w:val="00F7732B"/>
    <w:rsid w:val="00F7732F"/>
    <w:rsid w:val="00F77379"/>
    <w:rsid w:val="00F77571"/>
    <w:rsid w:val="00F77941"/>
    <w:rsid w:val="00F77D5E"/>
    <w:rsid w:val="00F77DAC"/>
    <w:rsid w:val="00F77EE3"/>
    <w:rsid w:val="00F77EEE"/>
    <w:rsid w:val="00F800C4"/>
    <w:rsid w:val="00F80434"/>
    <w:rsid w:val="00F80484"/>
    <w:rsid w:val="00F806D9"/>
    <w:rsid w:val="00F807C1"/>
    <w:rsid w:val="00F80828"/>
    <w:rsid w:val="00F80A5B"/>
    <w:rsid w:val="00F80AE7"/>
    <w:rsid w:val="00F80DEA"/>
    <w:rsid w:val="00F80DF4"/>
    <w:rsid w:val="00F81285"/>
    <w:rsid w:val="00F81C2E"/>
    <w:rsid w:val="00F81D42"/>
    <w:rsid w:val="00F821BE"/>
    <w:rsid w:val="00F826B5"/>
    <w:rsid w:val="00F82913"/>
    <w:rsid w:val="00F82B8E"/>
    <w:rsid w:val="00F82BA7"/>
    <w:rsid w:val="00F82D44"/>
    <w:rsid w:val="00F831BD"/>
    <w:rsid w:val="00F833C4"/>
    <w:rsid w:val="00F8342D"/>
    <w:rsid w:val="00F8345A"/>
    <w:rsid w:val="00F83A95"/>
    <w:rsid w:val="00F83BF8"/>
    <w:rsid w:val="00F83FB5"/>
    <w:rsid w:val="00F843D5"/>
    <w:rsid w:val="00F84488"/>
    <w:rsid w:val="00F848C6"/>
    <w:rsid w:val="00F84C5A"/>
    <w:rsid w:val="00F85257"/>
    <w:rsid w:val="00F85408"/>
    <w:rsid w:val="00F8555D"/>
    <w:rsid w:val="00F85B61"/>
    <w:rsid w:val="00F85CC1"/>
    <w:rsid w:val="00F864D7"/>
    <w:rsid w:val="00F8671E"/>
    <w:rsid w:val="00F8694A"/>
    <w:rsid w:val="00F869DF"/>
    <w:rsid w:val="00F86AFE"/>
    <w:rsid w:val="00F86D6D"/>
    <w:rsid w:val="00F86E48"/>
    <w:rsid w:val="00F87018"/>
    <w:rsid w:val="00F873C2"/>
    <w:rsid w:val="00F876FE"/>
    <w:rsid w:val="00F87916"/>
    <w:rsid w:val="00F87A02"/>
    <w:rsid w:val="00F87A5D"/>
    <w:rsid w:val="00F87BC6"/>
    <w:rsid w:val="00F87DD7"/>
    <w:rsid w:val="00F9017D"/>
    <w:rsid w:val="00F9024F"/>
    <w:rsid w:val="00F9034F"/>
    <w:rsid w:val="00F903A4"/>
    <w:rsid w:val="00F904E0"/>
    <w:rsid w:val="00F90984"/>
    <w:rsid w:val="00F90B11"/>
    <w:rsid w:val="00F90D1F"/>
    <w:rsid w:val="00F90E1F"/>
    <w:rsid w:val="00F90EF6"/>
    <w:rsid w:val="00F91373"/>
    <w:rsid w:val="00F9184A"/>
    <w:rsid w:val="00F9188B"/>
    <w:rsid w:val="00F919B6"/>
    <w:rsid w:val="00F91C9F"/>
    <w:rsid w:val="00F91D5D"/>
    <w:rsid w:val="00F91D64"/>
    <w:rsid w:val="00F91ED6"/>
    <w:rsid w:val="00F926FD"/>
    <w:rsid w:val="00F928BF"/>
    <w:rsid w:val="00F929D9"/>
    <w:rsid w:val="00F92B37"/>
    <w:rsid w:val="00F92D41"/>
    <w:rsid w:val="00F92E76"/>
    <w:rsid w:val="00F9305A"/>
    <w:rsid w:val="00F93160"/>
    <w:rsid w:val="00F93170"/>
    <w:rsid w:val="00F937F1"/>
    <w:rsid w:val="00F93842"/>
    <w:rsid w:val="00F93C50"/>
    <w:rsid w:val="00F93F0F"/>
    <w:rsid w:val="00F94115"/>
    <w:rsid w:val="00F94131"/>
    <w:rsid w:val="00F94139"/>
    <w:rsid w:val="00F94333"/>
    <w:rsid w:val="00F94455"/>
    <w:rsid w:val="00F944F4"/>
    <w:rsid w:val="00F948B1"/>
    <w:rsid w:val="00F949A5"/>
    <w:rsid w:val="00F94F86"/>
    <w:rsid w:val="00F95187"/>
    <w:rsid w:val="00F9558E"/>
    <w:rsid w:val="00F956B1"/>
    <w:rsid w:val="00F959CE"/>
    <w:rsid w:val="00F959E7"/>
    <w:rsid w:val="00F95B8D"/>
    <w:rsid w:val="00F95DE0"/>
    <w:rsid w:val="00F96085"/>
    <w:rsid w:val="00F965D8"/>
    <w:rsid w:val="00F966E5"/>
    <w:rsid w:val="00F9683E"/>
    <w:rsid w:val="00F96873"/>
    <w:rsid w:val="00F96883"/>
    <w:rsid w:val="00F96884"/>
    <w:rsid w:val="00F96A64"/>
    <w:rsid w:val="00F96B30"/>
    <w:rsid w:val="00F96B96"/>
    <w:rsid w:val="00F96BB3"/>
    <w:rsid w:val="00F96E79"/>
    <w:rsid w:val="00F9701B"/>
    <w:rsid w:val="00F97797"/>
    <w:rsid w:val="00F979D5"/>
    <w:rsid w:val="00F97A9E"/>
    <w:rsid w:val="00F97AFA"/>
    <w:rsid w:val="00F97F7F"/>
    <w:rsid w:val="00FA012E"/>
    <w:rsid w:val="00FA01F1"/>
    <w:rsid w:val="00FA0529"/>
    <w:rsid w:val="00FA05E1"/>
    <w:rsid w:val="00FA0AD4"/>
    <w:rsid w:val="00FA0C1D"/>
    <w:rsid w:val="00FA0C47"/>
    <w:rsid w:val="00FA0EC0"/>
    <w:rsid w:val="00FA11E4"/>
    <w:rsid w:val="00FA1203"/>
    <w:rsid w:val="00FA12E5"/>
    <w:rsid w:val="00FA1F7C"/>
    <w:rsid w:val="00FA2112"/>
    <w:rsid w:val="00FA2353"/>
    <w:rsid w:val="00FA2902"/>
    <w:rsid w:val="00FA2965"/>
    <w:rsid w:val="00FA29A0"/>
    <w:rsid w:val="00FA2B0F"/>
    <w:rsid w:val="00FA2D9F"/>
    <w:rsid w:val="00FA2DCD"/>
    <w:rsid w:val="00FA2E3F"/>
    <w:rsid w:val="00FA367C"/>
    <w:rsid w:val="00FA36B7"/>
    <w:rsid w:val="00FA3F0F"/>
    <w:rsid w:val="00FA4295"/>
    <w:rsid w:val="00FA42FA"/>
    <w:rsid w:val="00FA438A"/>
    <w:rsid w:val="00FA44F7"/>
    <w:rsid w:val="00FA44FD"/>
    <w:rsid w:val="00FA47C4"/>
    <w:rsid w:val="00FA47ED"/>
    <w:rsid w:val="00FA4A95"/>
    <w:rsid w:val="00FA4C53"/>
    <w:rsid w:val="00FA4E9C"/>
    <w:rsid w:val="00FA50E1"/>
    <w:rsid w:val="00FA5185"/>
    <w:rsid w:val="00FA52B6"/>
    <w:rsid w:val="00FA5778"/>
    <w:rsid w:val="00FA5888"/>
    <w:rsid w:val="00FA58B2"/>
    <w:rsid w:val="00FA592D"/>
    <w:rsid w:val="00FA5B17"/>
    <w:rsid w:val="00FA5B49"/>
    <w:rsid w:val="00FA6302"/>
    <w:rsid w:val="00FA680E"/>
    <w:rsid w:val="00FA6993"/>
    <w:rsid w:val="00FA6BE5"/>
    <w:rsid w:val="00FB00B7"/>
    <w:rsid w:val="00FB0169"/>
    <w:rsid w:val="00FB0379"/>
    <w:rsid w:val="00FB0444"/>
    <w:rsid w:val="00FB0524"/>
    <w:rsid w:val="00FB0C74"/>
    <w:rsid w:val="00FB0E0C"/>
    <w:rsid w:val="00FB1157"/>
    <w:rsid w:val="00FB1196"/>
    <w:rsid w:val="00FB12E4"/>
    <w:rsid w:val="00FB1384"/>
    <w:rsid w:val="00FB13F4"/>
    <w:rsid w:val="00FB14A4"/>
    <w:rsid w:val="00FB1AAE"/>
    <w:rsid w:val="00FB1AB6"/>
    <w:rsid w:val="00FB1ABE"/>
    <w:rsid w:val="00FB1AC1"/>
    <w:rsid w:val="00FB1ACC"/>
    <w:rsid w:val="00FB1BC9"/>
    <w:rsid w:val="00FB2351"/>
    <w:rsid w:val="00FB2915"/>
    <w:rsid w:val="00FB2C21"/>
    <w:rsid w:val="00FB2FCE"/>
    <w:rsid w:val="00FB2FD2"/>
    <w:rsid w:val="00FB311F"/>
    <w:rsid w:val="00FB32DD"/>
    <w:rsid w:val="00FB35E9"/>
    <w:rsid w:val="00FB391F"/>
    <w:rsid w:val="00FB39C6"/>
    <w:rsid w:val="00FB3C2D"/>
    <w:rsid w:val="00FB41F2"/>
    <w:rsid w:val="00FB42B1"/>
    <w:rsid w:val="00FB42FD"/>
    <w:rsid w:val="00FB44B9"/>
    <w:rsid w:val="00FB44C9"/>
    <w:rsid w:val="00FB44CA"/>
    <w:rsid w:val="00FB4545"/>
    <w:rsid w:val="00FB4661"/>
    <w:rsid w:val="00FB4816"/>
    <w:rsid w:val="00FB49AB"/>
    <w:rsid w:val="00FB4D0D"/>
    <w:rsid w:val="00FB4E84"/>
    <w:rsid w:val="00FB52F0"/>
    <w:rsid w:val="00FB53E6"/>
    <w:rsid w:val="00FB53F9"/>
    <w:rsid w:val="00FB5502"/>
    <w:rsid w:val="00FB5591"/>
    <w:rsid w:val="00FB5AC9"/>
    <w:rsid w:val="00FB5F25"/>
    <w:rsid w:val="00FB5F43"/>
    <w:rsid w:val="00FB5F49"/>
    <w:rsid w:val="00FB62B0"/>
    <w:rsid w:val="00FB62C5"/>
    <w:rsid w:val="00FB62DE"/>
    <w:rsid w:val="00FB6345"/>
    <w:rsid w:val="00FB665D"/>
    <w:rsid w:val="00FB6693"/>
    <w:rsid w:val="00FB66F8"/>
    <w:rsid w:val="00FB67A6"/>
    <w:rsid w:val="00FB67C8"/>
    <w:rsid w:val="00FB688B"/>
    <w:rsid w:val="00FB6BD4"/>
    <w:rsid w:val="00FB7063"/>
    <w:rsid w:val="00FB7240"/>
    <w:rsid w:val="00FB7247"/>
    <w:rsid w:val="00FB727A"/>
    <w:rsid w:val="00FB7320"/>
    <w:rsid w:val="00FB762B"/>
    <w:rsid w:val="00FB7D18"/>
    <w:rsid w:val="00FB7DD7"/>
    <w:rsid w:val="00FB7DFC"/>
    <w:rsid w:val="00FB7EA5"/>
    <w:rsid w:val="00FB7EDE"/>
    <w:rsid w:val="00FC03A7"/>
    <w:rsid w:val="00FC0787"/>
    <w:rsid w:val="00FC0A89"/>
    <w:rsid w:val="00FC0EE3"/>
    <w:rsid w:val="00FC1217"/>
    <w:rsid w:val="00FC1606"/>
    <w:rsid w:val="00FC1637"/>
    <w:rsid w:val="00FC1A0F"/>
    <w:rsid w:val="00FC1BD0"/>
    <w:rsid w:val="00FC1BFA"/>
    <w:rsid w:val="00FC1D1C"/>
    <w:rsid w:val="00FC1E95"/>
    <w:rsid w:val="00FC235B"/>
    <w:rsid w:val="00FC2446"/>
    <w:rsid w:val="00FC2CEB"/>
    <w:rsid w:val="00FC3082"/>
    <w:rsid w:val="00FC30AF"/>
    <w:rsid w:val="00FC347F"/>
    <w:rsid w:val="00FC34E5"/>
    <w:rsid w:val="00FC39BD"/>
    <w:rsid w:val="00FC3A4D"/>
    <w:rsid w:val="00FC3D86"/>
    <w:rsid w:val="00FC41C7"/>
    <w:rsid w:val="00FC43AB"/>
    <w:rsid w:val="00FC46E7"/>
    <w:rsid w:val="00FC48DF"/>
    <w:rsid w:val="00FC48E0"/>
    <w:rsid w:val="00FC4C35"/>
    <w:rsid w:val="00FC4DF5"/>
    <w:rsid w:val="00FC4E6F"/>
    <w:rsid w:val="00FC4F4B"/>
    <w:rsid w:val="00FC5025"/>
    <w:rsid w:val="00FC5037"/>
    <w:rsid w:val="00FC50AC"/>
    <w:rsid w:val="00FC50F8"/>
    <w:rsid w:val="00FC530F"/>
    <w:rsid w:val="00FC5449"/>
    <w:rsid w:val="00FC5452"/>
    <w:rsid w:val="00FC54E1"/>
    <w:rsid w:val="00FC5873"/>
    <w:rsid w:val="00FC587C"/>
    <w:rsid w:val="00FC58D7"/>
    <w:rsid w:val="00FC5A04"/>
    <w:rsid w:val="00FC5C33"/>
    <w:rsid w:val="00FC6738"/>
    <w:rsid w:val="00FC6A27"/>
    <w:rsid w:val="00FC6B99"/>
    <w:rsid w:val="00FC6C7E"/>
    <w:rsid w:val="00FC6DC2"/>
    <w:rsid w:val="00FC6FC9"/>
    <w:rsid w:val="00FC70D0"/>
    <w:rsid w:val="00FC7567"/>
    <w:rsid w:val="00FC78FE"/>
    <w:rsid w:val="00FC7B93"/>
    <w:rsid w:val="00FC7BC5"/>
    <w:rsid w:val="00FC7D7F"/>
    <w:rsid w:val="00FC7E6B"/>
    <w:rsid w:val="00FC7F13"/>
    <w:rsid w:val="00FD0264"/>
    <w:rsid w:val="00FD03BD"/>
    <w:rsid w:val="00FD09AF"/>
    <w:rsid w:val="00FD0A98"/>
    <w:rsid w:val="00FD0AC5"/>
    <w:rsid w:val="00FD0F55"/>
    <w:rsid w:val="00FD0FD5"/>
    <w:rsid w:val="00FD1122"/>
    <w:rsid w:val="00FD114B"/>
    <w:rsid w:val="00FD1621"/>
    <w:rsid w:val="00FD1918"/>
    <w:rsid w:val="00FD1D00"/>
    <w:rsid w:val="00FD1DA3"/>
    <w:rsid w:val="00FD203B"/>
    <w:rsid w:val="00FD225B"/>
    <w:rsid w:val="00FD2913"/>
    <w:rsid w:val="00FD296B"/>
    <w:rsid w:val="00FD2B69"/>
    <w:rsid w:val="00FD2BFB"/>
    <w:rsid w:val="00FD3064"/>
    <w:rsid w:val="00FD327A"/>
    <w:rsid w:val="00FD35BF"/>
    <w:rsid w:val="00FD3BFA"/>
    <w:rsid w:val="00FD3E46"/>
    <w:rsid w:val="00FD463E"/>
    <w:rsid w:val="00FD47FE"/>
    <w:rsid w:val="00FD4A73"/>
    <w:rsid w:val="00FD4CBD"/>
    <w:rsid w:val="00FD51D5"/>
    <w:rsid w:val="00FD5536"/>
    <w:rsid w:val="00FD5B98"/>
    <w:rsid w:val="00FD5D73"/>
    <w:rsid w:val="00FD5EEB"/>
    <w:rsid w:val="00FD5FF1"/>
    <w:rsid w:val="00FD60BD"/>
    <w:rsid w:val="00FD6469"/>
    <w:rsid w:val="00FD6656"/>
    <w:rsid w:val="00FD676B"/>
    <w:rsid w:val="00FD6C33"/>
    <w:rsid w:val="00FD6CD3"/>
    <w:rsid w:val="00FD6E0C"/>
    <w:rsid w:val="00FD71FE"/>
    <w:rsid w:val="00FD7457"/>
    <w:rsid w:val="00FD79B3"/>
    <w:rsid w:val="00FD7B83"/>
    <w:rsid w:val="00FE0163"/>
    <w:rsid w:val="00FE0277"/>
    <w:rsid w:val="00FE0674"/>
    <w:rsid w:val="00FE067E"/>
    <w:rsid w:val="00FE06B1"/>
    <w:rsid w:val="00FE070F"/>
    <w:rsid w:val="00FE07A3"/>
    <w:rsid w:val="00FE100E"/>
    <w:rsid w:val="00FE1202"/>
    <w:rsid w:val="00FE15DB"/>
    <w:rsid w:val="00FE1672"/>
    <w:rsid w:val="00FE17E5"/>
    <w:rsid w:val="00FE18A5"/>
    <w:rsid w:val="00FE1911"/>
    <w:rsid w:val="00FE1E08"/>
    <w:rsid w:val="00FE1E2B"/>
    <w:rsid w:val="00FE253F"/>
    <w:rsid w:val="00FE255C"/>
    <w:rsid w:val="00FE260F"/>
    <w:rsid w:val="00FE30FB"/>
    <w:rsid w:val="00FE31B1"/>
    <w:rsid w:val="00FE3485"/>
    <w:rsid w:val="00FE378E"/>
    <w:rsid w:val="00FE3A7F"/>
    <w:rsid w:val="00FE3C4A"/>
    <w:rsid w:val="00FE3CF3"/>
    <w:rsid w:val="00FE41DB"/>
    <w:rsid w:val="00FE4304"/>
    <w:rsid w:val="00FE443F"/>
    <w:rsid w:val="00FE465D"/>
    <w:rsid w:val="00FE4703"/>
    <w:rsid w:val="00FE481C"/>
    <w:rsid w:val="00FE4847"/>
    <w:rsid w:val="00FE4B1D"/>
    <w:rsid w:val="00FE4DDB"/>
    <w:rsid w:val="00FE4E03"/>
    <w:rsid w:val="00FE4E19"/>
    <w:rsid w:val="00FE4E22"/>
    <w:rsid w:val="00FE5049"/>
    <w:rsid w:val="00FE592D"/>
    <w:rsid w:val="00FE63F6"/>
    <w:rsid w:val="00FE6491"/>
    <w:rsid w:val="00FE64AB"/>
    <w:rsid w:val="00FE6596"/>
    <w:rsid w:val="00FE6E87"/>
    <w:rsid w:val="00FE75CF"/>
    <w:rsid w:val="00FE78ED"/>
    <w:rsid w:val="00FE7C8C"/>
    <w:rsid w:val="00FE7F81"/>
    <w:rsid w:val="00FF0409"/>
    <w:rsid w:val="00FF0576"/>
    <w:rsid w:val="00FF05A5"/>
    <w:rsid w:val="00FF05C9"/>
    <w:rsid w:val="00FF05FC"/>
    <w:rsid w:val="00FF0707"/>
    <w:rsid w:val="00FF0754"/>
    <w:rsid w:val="00FF07DF"/>
    <w:rsid w:val="00FF0999"/>
    <w:rsid w:val="00FF09DD"/>
    <w:rsid w:val="00FF0B65"/>
    <w:rsid w:val="00FF0BB7"/>
    <w:rsid w:val="00FF0DDB"/>
    <w:rsid w:val="00FF12C6"/>
    <w:rsid w:val="00FF12DC"/>
    <w:rsid w:val="00FF1447"/>
    <w:rsid w:val="00FF1592"/>
    <w:rsid w:val="00FF1807"/>
    <w:rsid w:val="00FF18B9"/>
    <w:rsid w:val="00FF1BEE"/>
    <w:rsid w:val="00FF1C88"/>
    <w:rsid w:val="00FF1D23"/>
    <w:rsid w:val="00FF227D"/>
    <w:rsid w:val="00FF24C7"/>
    <w:rsid w:val="00FF28BC"/>
    <w:rsid w:val="00FF2AC1"/>
    <w:rsid w:val="00FF2AF3"/>
    <w:rsid w:val="00FF2DA7"/>
    <w:rsid w:val="00FF2EB0"/>
    <w:rsid w:val="00FF2F18"/>
    <w:rsid w:val="00FF30E9"/>
    <w:rsid w:val="00FF3102"/>
    <w:rsid w:val="00FF3512"/>
    <w:rsid w:val="00FF3691"/>
    <w:rsid w:val="00FF3A3D"/>
    <w:rsid w:val="00FF3B92"/>
    <w:rsid w:val="00FF3C10"/>
    <w:rsid w:val="00FF4023"/>
    <w:rsid w:val="00FF49A1"/>
    <w:rsid w:val="00FF4DEC"/>
    <w:rsid w:val="00FF4E43"/>
    <w:rsid w:val="00FF4E45"/>
    <w:rsid w:val="00FF5022"/>
    <w:rsid w:val="00FF5167"/>
    <w:rsid w:val="00FF5212"/>
    <w:rsid w:val="00FF548C"/>
    <w:rsid w:val="00FF58AE"/>
    <w:rsid w:val="00FF5F45"/>
    <w:rsid w:val="00FF60FA"/>
    <w:rsid w:val="00FF629F"/>
    <w:rsid w:val="00FF66AF"/>
    <w:rsid w:val="00FF6734"/>
    <w:rsid w:val="00FF6735"/>
    <w:rsid w:val="00FF6944"/>
    <w:rsid w:val="00FF6A40"/>
    <w:rsid w:val="00FF6AAE"/>
    <w:rsid w:val="00FF6BD7"/>
    <w:rsid w:val="00FF6CB0"/>
    <w:rsid w:val="00FF6EF0"/>
    <w:rsid w:val="00FF719F"/>
    <w:rsid w:val="00FF723C"/>
    <w:rsid w:val="00FF74CA"/>
    <w:rsid w:val="00FF7A59"/>
    <w:rsid w:val="00FF7BD6"/>
    <w:rsid w:val="00FF7CD9"/>
    <w:rsid w:val="014B5389"/>
    <w:rsid w:val="015A7413"/>
    <w:rsid w:val="01625864"/>
    <w:rsid w:val="01858A96"/>
    <w:rsid w:val="01B40B79"/>
    <w:rsid w:val="025005EB"/>
    <w:rsid w:val="026A6314"/>
    <w:rsid w:val="026C717D"/>
    <w:rsid w:val="030E027A"/>
    <w:rsid w:val="03BADBA9"/>
    <w:rsid w:val="042D0536"/>
    <w:rsid w:val="0445308C"/>
    <w:rsid w:val="053BD31F"/>
    <w:rsid w:val="0553337F"/>
    <w:rsid w:val="056BEEF6"/>
    <w:rsid w:val="05968568"/>
    <w:rsid w:val="059A53B9"/>
    <w:rsid w:val="059B61E6"/>
    <w:rsid w:val="05D64ADA"/>
    <w:rsid w:val="06E98940"/>
    <w:rsid w:val="0855184B"/>
    <w:rsid w:val="088D1F4A"/>
    <w:rsid w:val="09F5A3CD"/>
    <w:rsid w:val="0A3FFD13"/>
    <w:rsid w:val="0C10ADE2"/>
    <w:rsid w:val="0D8D9698"/>
    <w:rsid w:val="0D993060"/>
    <w:rsid w:val="0D9F0738"/>
    <w:rsid w:val="0DFE32AD"/>
    <w:rsid w:val="0EF61216"/>
    <w:rsid w:val="0F314B77"/>
    <w:rsid w:val="0F595C2C"/>
    <w:rsid w:val="10347FF8"/>
    <w:rsid w:val="104CCC2A"/>
    <w:rsid w:val="10E34BA0"/>
    <w:rsid w:val="1133095B"/>
    <w:rsid w:val="11D3FDD3"/>
    <w:rsid w:val="11DD2F1D"/>
    <w:rsid w:val="11ED8069"/>
    <w:rsid w:val="11F81887"/>
    <w:rsid w:val="12E34C27"/>
    <w:rsid w:val="137D8D93"/>
    <w:rsid w:val="14771C49"/>
    <w:rsid w:val="1477971B"/>
    <w:rsid w:val="148953EF"/>
    <w:rsid w:val="14A69DBE"/>
    <w:rsid w:val="14EF0EE9"/>
    <w:rsid w:val="15261593"/>
    <w:rsid w:val="15942ADE"/>
    <w:rsid w:val="15D9CE8E"/>
    <w:rsid w:val="15DD2E6C"/>
    <w:rsid w:val="16E5D66D"/>
    <w:rsid w:val="1784FE15"/>
    <w:rsid w:val="17C9E5F3"/>
    <w:rsid w:val="181FCD8A"/>
    <w:rsid w:val="18F5D23B"/>
    <w:rsid w:val="1A70C8A8"/>
    <w:rsid w:val="1B3E85B6"/>
    <w:rsid w:val="1B9FA3F7"/>
    <w:rsid w:val="1C4C353C"/>
    <w:rsid w:val="1C8D9DF8"/>
    <w:rsid w:val="1D75F942"/>
    <w:rsid w:val="1DF9DE0D"/>
    <w:rsid w:val="1E2A80A3"/>
    <w:rsid w:val="1E5FFFB3"/>
    <w:rsid w:val="1E6B8AD7"/>
    <w:rsid w:val="1E9F7921"/>
    <w:rsid w:val="1EAA9381"/>
    <w:rsid w:val="1ECF3ED6"/>
    <w:rsid w:val="1FA331D0"/>
    <w:rsid w:val="1FC49EC5"/>
    <w:rsid w:val="20995501"/>
    <w:rsid w:val="22131EF3"/>
    <w:rsid w:val="22EDB510"/>
    <w:rsid w:val="2334D6C8"/>
    <w:rsid w:val="2459E429"/>
    <w:rsid w:val="25587420"/>
    <w:rsid w:val="25679E30"/>
    <w:rsid w:val="25AA89E3"/>
    <w:rsid w:val="26E67DAE"/>
    <w:rsid w:val="2850D8A3"/>
    <w:rsid w:val="28B2A5EA"/>
    <w:rsid w:val="28BFA749"/>
    <w:rsid w:val="29CDDE99"/>
    <w:rsid w:val="29EC5A2C"/>
    <w:rsid w:val="2A1EAD26"/>
    <w:rsid w:val="2B48197B"/>
    <w:rsid w:val="2D321DEB"/>
    <w:rsid w:val="2DFE286E"/>
    <w:rsid w:val="2E3B10AA"/>
    <w:rsid w:val="2E88F06F"/>
    <w:rsid w:val="2EC735D7"/>
    <w:rsid w:val="2EECD10B"/>
    <w:rsid w:val="2F5B3C05"/>
    <w:rsid w:val="2FE14562"/>
    <w:rsid w:val="2FF68755"/>
    <w:rsid w:val="30B14DB8"/>
    <w:rsid w:val="30FA956A"/>
    <w:rsid w:val="3128C66C"/>
    <w:rsid w:val="31D20D08"/>
    <w:rsid w:val="31E00D83"/>
    <w:rsid w:val="31F92A4D"/>
    <w:rsid w:val="3365CF63"/>
    <w:rsid w:val="33AF9F3C"/>
    <w:rsid w:val="33D379FF"/>
    <w:rsid w:val="360F6EDA"/>
    <w:rsid w:val="367D9835"/>
    <w:rsid w:val="36BA1BF1"/>
    <w:rsid w:val="36D39BCF"/>
    <w:rsid w:val="3728DF7E"/>
    <w:rsid w:val="372FEFCB"/>
    <w:rsid w:val="3787A1FA"/>
    <w:rsid w:val="3810B003"/>
    <w:rsid w:val="382DB7C9"/>
    <w:rsid w:val="384F3158"/>
    <w:rsid w:val="390F4BA4"/>
    <w:rsid w:val="394AF18F"/>
    <w:rsid w:val="39873D11"/>
    <w:rsid w:val="398E6A73"/>
    <w:rsid w:val="3AAB311E"/>
    <w:rsid w:val="3AAC877C"/>
    <w:rsid w:val="3B0F6D71"/>
    <w:rsid w:val="3B41BCC6"/>
    <w:rsid w:val="3BAAFC7E"/>
    <w:rsid w:val="3BCECDF3"/>
    <w:rsid w:val="3C5C2E40"/>
    <w:rsid w:val="3D891D4B"/>
    <w:rsid w:val="3DAC0A50"/>
    <w:rsid w:val="3E274C12"/>
    <w:rsid w:val="3EA57219"/>
    <w:rsid w:val="3ED5E760"/>
    <w:rsid w:val="3F220794"/>
    <w:rsid w:val="3FA6411C"/>
    <w:rsid w:val="406094BD"/>
    <w:rsid w:val="40DE9883"/>
    <w:rsid w:val="40E9A647"/>
    <w:rsid w:val="411FD938"/>
    <w:rsid w:val="419281AE"/>
    <w:rsid w:val="421E2C7C"/>
    <w:rsid w:val="425E547D"/>
    <w:rsid w:val="43170494"/>
    <w:rsid w:val="43455685"/>
    <w:rsid w:val="441C42DB"/>
    <w:rsid w:val="44AB0BFB"/>
    <w:rsid w:val="45264CA0"/>
    <w:rsid w:val="45B54200"/>
    <w:rsid w:val="4612E9B5"/>
    <w:rsid w:val="47D115A8"/>
    <w:rsid w:val="47D47D53"/>
    <w:rsid w:val="49712B6E"/>
    <w:rsid w:val="498AC7C6"/>
    <w:rsid w:val="49F206D1"/>
    <w:rsid w:val="4AA1AB0D"/>
    <w:rsid w:val="4AB909EE"/>
    <w:rsid w:val="4B11DF91"/>
    <w:rsid w:val="4B230020"/>
    <w:rsid w:val="4B25506B"/>
    <w:rsid w:val="4B4E4961"/>
    <w:rsid w:val="4B7F3B25"/>
    <w:rsid w:val="4BA43786"/>
    <w:rsid w:val="4C348163"/>
    <w:rsid w:val="4CAA358C"/>
    <w:rsid w:val="4D1643AF"/>
    <w:rsid w:val="4D7C7BB0"/>
    <w:rsid w:val="4D894D3B"/>
    <w:rsid w:val="4DF695F8"/>
    <w:rsid w:val="4E5DBF93"/>
    <w:rsid w:val="4ED6F62C"/>
    <w:rsid w:val="4F0B778E"/>
    <w:rsid w:val="4F361F53"/>
    <w:rsid w:val="4F3FF339"/>
    <w:rsid w:val="506EC1BE"/>
    <w:rsid w:val="50BF7061"/>
    <w:rsid w:val="5115C0FF"/>
    <w:rsid w:val="51A5C0D9"/>
    <w:rsid w:val="51E255DD"/>
    <w:rsid w:val="52038253"/>
    <w:rsid w:val="52296CA4"/>
    <w:rsid w:val="524F78EB"/>
    <w:rsid w:val="52B2E38A"/>
    <w:rsid w:val="54BD9486"/>
    <w:rsid w:val="55119DC7"/>
    <w:rsid w:val="55F11673"/>
    <w:rsid w:val="5648C188"/>
    <w:rsid w:val="5717EC11"/>
    <w:rsid w:val="57C7120B"/>
    <w:rsid w:val="5826BB76"/>
    <w:rsid w:val="585F2F26"/>
    <w:rsid w:val="58CC8EC4"/>
    <w:rsid w:val="597F63E6"/>
    <w:rsid w:val="599E1C99"/>
    <w:rsid w:val="59EA912B"/>
    <w:rsid w:val="5ABAC3FD"/>
    <w:rsid w:val="5B6D7EBE"/>
    <w:rsid w:val="5B945B00"/>
    <w:rsid w:val="5C2F7EB6"/>
    <w:rsid w:val="5C3A58D2"/>
    <w:rsid w:val="5C7D27BD"/>
    <w:rsid w:val="5C8289AA"/>
    <w:rsid w:val="5D3E83BD"/>
    <w:rsid w:val="5E0F46A7"/>
    <w:rsid w:val="5E4E8953"/>
    <w:rsid w:val="5E5AFAC7"/>
    <w:rsid w:val="5E5BD5E0"/>
    <w:rsid w:val="5EE3A8A2"/>
    <w:rsid w:val="5F235A4A"/>
    <w:rsid w:val="608C6196"/>
    <w:rsid w:val="614FE832"/>
    <w:rsid w:val="61EAFE93"/>
    <w:rsid w:val="62114485"/>
    <w:rsid w:val="629B34F1"/>
    <w:rsid w:val="6421522C"/>
    <w:rsid w:val="6461686D"/>
    <w:rsid w:val="64A3250E"/>
    <w:rsid w:val="65554724"/>
    <w:rsid w:val="66E8B1E4"/>
    <w:rsid w:val="67450785"/>
    <w:rsid w:val="67BCD9C7"/>
    <w:rsid w:val="688D9BEB"/>
    <w:rsid w:val="68E42E3B"/>
    <w:rsid w:val="697C19B0"/>
    <w:rsid w:val="69DA8C85"/>
    <w:rsid w:val="6A004A16"/>
    <w:rsid w:val="6AEAC538"/>
    <w:rsid w:val="6B545D4E"/>
    <w:rsid w:val="6BCF10E6"/>
    <w:rsid w:val="6BD29A06"/>
    <w:rsid w:val="6C89B07E"/>
    <w:rsid w:val="6C95303B"/>
    <w:rsid w:val="6D7CCFD2"/>
    <w:rsid w:val="6D7D8E6F"/>
    <w:rsid w:val="6E1A735E"/>
    <w:rsid w:val="6E82306B"/>
    <w:rsid w:val="6E9045D3"/>
    <w:rsid w:val="6EFF2D04"/>
    <w:rsid w:val="6F1319A9"/>
    <w:rsid w:val="6F799882"/>
    <w:rsid w:val="6F7EA2BC"/>
    <w:rsid w:val="6FAACFBF"/>
    <w:rsid w:val="70E15157"/>
    <w:rsid w:val="71324090"/>
    <w:rsid w:val="71827BEE"/>
    <w:rsid w:val="71A729FD"/>
    <w:rsid w:val="72E4A7C0"/>
    <w:rsid w:val="73281891"/>
    <w:rsid w:val="733C539B"/>
    <w:rsid w:val="7342599A"/>
    <w:rsid w:val="73DAA68F"/>
    <w:rsid w:val="73E6FEE0"/>
    <w:rsid w:val="741049E3"/>
    <w:rsid w:val="741A7FD4"/>
    <w:rsid w:val="74B4DDBA"/>
    <w:rsid w:val="74CC4B29"/>
    <w:rsid w:val="7573D1BF"/>
    <w:rsid w:val="7626FF8B"/>
    <w:rsid w:val="76338B57"/>
    <w:rsid w:val="764094E2"/>
    <w:rsid w:val="768185B0"/>
    <w:rsid w:val="777300A8"/>
    <w:rsid w:val="78438B6E"/>
    <w:rsid w:val="7861FFCB"/>
    <w:rsid w:val="78759DC4"/>
    <w:rsid w:val="7888055D"/>
    <w:rsid w:val="78BA258B"/>
    <w:rsid w:val="7987E9C3"/>
    <w:rsid w:val="79C9909E"/>
    <w:rsid w:val="79FD4DE9"/>
    <w:rsid w:val="7A5FF33E"/>
    <w:rsid w:val="7AAFFEEF"/>
    <w:rsid w:val="7B150CD2"/>
    <w:rsid w:val="7C9935C5"/>
    <w:rsid w:val="7D4AA4B0"/>
    <w:rsid w:val="7DD26CDA"/>
    <w:rsid w:val="7E55CE97"/>
    <w:rsid w:val="7EA9A3E2"/>
    <w:rsid w:val="7ECCD46C"/>
    <w:rsid w:val="7FAEC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10788"/>
  <w15:docId w15:val="{3F920BE8-C7CB-4CCF-8B40-7BF1C89E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16"/>
    <w:pPr>
      <w:overflowPunct w:val="0"/>
      <w:autoSpaceDE w:val="0"/>
      <w:autoSpaceDN w:val="0"/>
      <w:adjustRightInd w:val="0"/>
      <w:spacing w:line="360" w:lineRule="auto"/>
      <w:ind w:firstLine="720"/>
    </w:pPr>
    <w:rPr>
      <w:rFonts w:ascii="Times New Roman" w:eastAsia="Times New Roman" w:hAnsi="Times New Roman"/>
      <w:sz w:val="26"/>
    </w:rPr>
  </w:style>
  <w:style w:type="paragraph" w:styleId="Heading1">
    <w:name w:val="heading 1"/>
    <w:next w:val="Normal"/>
    <w:link w:val="Heading1Char"/>
    <w:qFormat/>
    <w:rsid w:val="004C2D30"/>
    <w:pPr>
      <w:jc w:val="center"/>
      <w:outlineLvl w:val="0"/>
    </w:pPr>
    <w:rPr>
      <w:rFonts w:ascii="Times New Roman" w:eastAsia="Times New Roman" w:hAnsi="Times New Roman"/>
      <w:b/>
      <w:sz w:val="26"/>
      <w:szCs w:val="26"/>
    </w:rPr>
  </w:style>
  <w:style w:type="paragraph" w:styleId="Heading2">
    <w:name w:val="heading 2"/>
    <w:basedOn w:val="Heading1"/>
    <w:next w:val="Normal"/>
    <w:link w:val="Heading2Char"/>
    <w:qFormat/>
    <w:rsid w:val="006418D3"/>
    <w:pPr>
      <w:tabs>
        <w:tab w:val="left" w:pos="-1800"/>
      </w:tabs>
      <w:spacing w:after="120"/>
      <w:jc w:val="left"/>
      <w:outlineLvl w:val="1"/>
    </w:pPr>
  </w:style>
  <w:style w:type="paragraph" w:styleId="Heading3">
    <w:name w:val="heading 3"/>
    <w:basedOn w:val="Heading2"/>
    <w:next w:val="Normal"/>
    <w:link w:val="Heading3Char"/>
    <w:qFormat/>
    <w:rsid w:val="006418D3"/>
    <w:pPr>
      <w:keepNext/>
      <w:outlineLvl w:val="2"/>
    </w:pPr>
  </w:style>
  <w:style w:type="paragraph" w:styleId="Heading4">
    <w:name w:val="heading 4"/>
    <w:basedOn w:val="Heading3"/>
    <w:next w:val="Normal"/>
    <w:link w:val="Heading4Char"/>
    <w:qFormat/>
    <w:rsid w:val="004C2D30"/>
    <w:pPr>
      <w:outlineLvl w:val="3"/>
    </w:pPr>
  </w:style>
  <w:style w:type="paragraph" w:styleId="Heading5">
    <w:name w:val="heading 5"/>
    <w:basedOn w:val="Heading4"/>
    <w:next w:val="Normal"/>
    <w:link w:val="Heading5Char"/>
    <w:uiPriority w:val="99"/>
    <w:qFormat/>
    <w:rsid w:val="004C2D30"/>
    <w:pPr>
      <w:textAlignment w:val="baseline"/>
      <w:outlineLvl w:val="4"/>
    </w:pPr>
  </w:style>
  <w:style w:type="paragraph" w:styleId="Heading6">
    <w:name w:val="heading 6"/>
    <w:basedOn w:val="Normal"/>
    <w:next w:val="Normal"/>
    <w:link w:val="Heading6Char"/>
    <w:uiPriority w:val="99"/>
    <w:qFormat/>
    <w:rsid w:val="004C2D30"/>
    <w:pPr>
      <w:keepNext/>
      <w:spacing w:after="200" w:line="480" w:lineRule="auto"/>
      <w:ind w:right="-180" w:firstLine="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4C2D30"/>
    <w:pPr>
      <w:keepNext/>
      <w:spacing w:after="200" w:line="288" w:lineRule="auto"/>
      <w:ind w:right="-187" w:firstLine="0"/>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4C2D30"/>
    <w:pPr>
      <w:keepNext/>
      <w:spacing w:after="200" w:line="480" w:lineRule="auto"/>
      <w:ind w:right="-187" w:firstLine="0"/>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4C2D30"/>
    <w:pPr>
      <w:keepNext/>
      <w:spacing w:after="200" w:line="480" w:lineRule="auto"/>
      <w:ind w:right="-187" w:firstLine="0"/>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038"/>
    <w:rPr>
      <w:rFonts w:ascii="Times New Roman" w:eastAsia="Times New Roman" w:hAnsi="Times New Roman"/>
      <w:b/>
      <w:sz w:val="26"/>
      <w:szCs w:val="26"/>
    </w:rPr>
  </w:style>
  <w:style w:type="character" w:customStyle="1" w:styleId="Heading2Char">
    <w:name w:val="Heading 2 Char"/>
    <w:basedOn w:val="DefaultParagraphFont"/>
    <w:link w:val="Heading2"/>
    <w:rsid w:val="00681326"/>
    <w:rPr>
      <w:rFonts w:ascii="Times New Roman" w:eastAsia="Times New Roman" w:hAnsi="Times New Roman"/>
      <w:b/>
      <w:sz w:val="26"/>
      <w:szCs w:val="26"/>
    </w:rPr>
  </w:style>
  <w:style w:type="character" w:customStyle="1" w:styleId="Heading3Char">
    <w:name w:val="Heading 3 Char"/>
    <w:basedOn w:val="DefaultParagraphFont"/>
    <w:link w:val="Heading3"/>
    <w:rsid w:val="00681326"/>
    <w:rPr>
      <w:rFonts w:ascii="Times New Roman" w:eastAsia="Times New Roman" w:hAnsi="Times New Roman"/>
      <w:b/>
      <w:sz w:val="26"/>
      <w:szCs w:val="26"/>
    </w:rPr>
  </w:style>
  <w:style w:type="character" w:customStyle="1" w:styleId="Heading4Char">
    <w:name w:val="Heading 4 Char"/>
    <w:basedOn w:val="DefaultParagraphFont"/>
    <w:link w:val="Heading4"/>
    <w:rsid w:val="00A84492"/>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901790"/>
    <w:rPr>
      <w:rFonts w:ascii="Times New Roman" w:eastAsia="Times New Roman" w:hAnsi="Times New Roman"/>
      <w:b/>
      <w:sz w:val="26"/>
      <w:szCs w:val="26"/>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customStyle="1" w:styleId="p3">
    <w:name w:val="p3"/>
    <w:basedOn w:val="Normal"/>
    <w:link w:val="p3Char"/>
    <w:uiPriority w:val="99"/>
    <w:rsid w:val="00FA4295"/>
    <w:pPr>
      <w:widowControl w:val="0"/>
      <w:tabs>
        <w:tab w:val="left" w:pos="204"/>
      </w:tabs>
      <w:overflowPunct/>
    </w:pPr>
    <w:rPr>
      <w:szCs w:val="24"/>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paragraph" w:styleId="BodyTextIndent3">
    <w:name w:val="Body Text Indent 3"/>
    <w:basedOn w:val="Normal"/>
    <w:link w:val="BodyTextIndent3Char"/>
    <w:uiPriority w:val="99"/>
    <w:qFormat/>
    <w:rsid w:val="00F700A8"/>
    <w:pPr>
      <w:spacing w:after="200" w:line="288" w:lineRule="auto"/>
      <w:ind w:left="720"/>
      <w:textAlignment w:val="baseline"/>
    </w:pPr>
    <w:rPr>
      <w:sz w:val="24"/>
    </w:rPr>
  </w:style>
  <w:style w:type="character" w:customStyle="1" w:styleId="BodyTextIndent3Char">
    <w:name w:val="Body Text Indent 3 Char"/>
    <w:basedOn w:val="DefaultParagraphFont"/>
    <w:link w:val="BodyTextIndent3"/>
    <w:uiPriority w:val="99"/>
    <w:rsid w:val="00F700A8"/>
    <w:rPr>
      <w:rFonts w:ascii="Times New Roman" w:eastAsia="Times New Roman" w:hAnsi="Times New Roman"/>
      <w:sz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4"/>
    <w:unhideWhenUsed/>
    <w:qFormat/>
    <w:rsid w:val="0087050C"/>
    <w:pPr>
      <w:spacing w:line="240" w:lineRule="auto"/>
      <w:ind w:firstLine="0"/>
    </w:pPr>
    <w:rPr>
      <w:sz w:val="22"/>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4"/>
    <w:rsid w:val="0087050C"/>
    <w:rPr>
      <w:rFonts w:ascii="Times New Roman" w:eastAsia="Times New Roman" w:hAnsi="Times New Roman"/>
      <w:sz w:val="22"/>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4"/>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12877"/>
    <w:pPr>
      <w:spacing w:after="100" w:line="288" w:lineRule="auto"/>
      <w:ind w:left="3240" w:hanging="360"/>
      <w:textAlignment w:val="baseline"/>
    </w:pPr>
    <w:rPr>
      <w:sz w:val="24"/>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Garamond" w:hAnsi="Garamond"/>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Garamond" w:hAnsi="Garamond"/>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1"/>
    <w:qFormat/>
    <w:rsid w:val="00395D5E"/>
    <w:pPr>
      <w:numPr>
        <w:numId w:val="4"/>
      </w:numPr>
      <w:adjustRightInd/>
    </w:pPr>
    <w:rPr>
      <w:rFonts w:cs="Arial"/>
    </w:rPr>
  </w:style>
  <w:style w:type="paragraph" w:customStyle="1" w:styleId="source2">
    <w:name w:val="source 2"/>
    <w:basedOn w:val="ListParagraph"/>
    <w:uiPriority w:val="2"/>
    <w:qFormat/>
    <w:rsid w:val="00395D5E"/>
    <w:pPr>
      <w:numPr>
        <w:ilvl w:val="1"/>
        <w:numId w:val="4"/>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Garamond" w:hAnsi="Garamond"/>
        <w:b/>
        <w:sz w:val="18"/>
      </w:rPr>
      <w:tblPr/>
      <w:tcPr>
        <w:shd w:val="clear" w:color="auto" w:fill="BFBFBF"/>
      </w:tcPr>
    </w:tblStylePr>
    <w:tblStylePr w:type="band2Horz">
      <w:rPr>
        <w:rFonts w:ascii="Garamond" w:hAnsi="Garamond"/>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3"/>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numPr>
        <w:numId w:val="10"/>
      </w:numPr>
      <w:spacing w:before="480" w:line="276" w:lineRule="auto"/>
      <w:outlineLvl w:val="9"/>
    </w:pPr>
    <w:rPr>
      <w:rFonts w:asciiTheme="majorHAnsi" w:eastAsiaTheme="majorEastAsia" w:hAnsiTheme="majorHAnsi" w:cstheme="majorBidi"/>
      <w:smallCaps/>
      <w:color w:val="365F91" w:themeColor="accent1" w:themeShade="BF"/>
      <w:sz w:val="28"/>
      <w:szCs w:val="28"/>
      <w:lang w:eastAsia="ja-JP"/>
    </w:rPr>
  </w:style>
  <w:style w:type="character" w:styleId="HTMLCite">
    <w:name w:val="HTML Cite"/>
    <w:basedOn w:val="DefaultParagraphFont"/>
    <w:uiPriority w:val="99"/>
    <w:semiHidden/>
    <w:unhideWhenUsed/>
    <w:rsid w:val="00AD5601"/>
    <w:rPr>
      <w:i/>
      <w:iCs/>
    </w:rPr>
  </w:style>
  <w:style w:type="table" w:styleId="MediumShading1">
    <w:name w:val="Medium Shading 1"/>
    <w:basedOn w:val="TableNormal"/>
    <w:uiPriority w:val="63"/>
    <w:rsid w:val="008667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B92A89"/>
    <w:rPr>
      <w:color w:val="605E5C"/>
      <w:shd w:val="clear" w:color="auto" w:fill="E1DFDD"/>
    </w:rPr>
  </w:style>
  <w:style w:type="table" w:customStyle="1" w:styleId="TableGridLight1">
    <w:name w:val="Table Grid Light1"/>
    <w:basedOn w:val="TableNormal"/>
    <w:uiPriority w:val="40"/>
    <w:rsid w:val="002652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planationtext">
    <w:name w:val="Explanation text"/>
    <w:basedOn w:val="Normal"/>
    <w:qFormat/>
    <w:rsid w:val="00BD431E"/>
  </w:style>
  <w:style w:type="character" w:customStyle="1" w:styleId="UnresolvedMention2">
    <w:name w:val="Unresolved Mention2"/>
    <w:basedOn w:val="DefaultParagraphFont"/>
    <w:uiPriority w:val="99"/>
    <w:semiHidden/>
    <w:unhideWhenUsed/>
    <w:rsid w:val="00666237"/>
    <w:rPr>
      <w:color w:val="605E5C"/>
      <w:shd w:val="clear" w:color="auto" w:fill="E1DFDD"/>
    </w:rPr>
  </w:style>
  <w:style w:type="character" w:customStyle="1" w:styleId="UnresolvedMention3">
    <w:name w:val="Unresolved Mention3"/>
    <w:basedOn w:val="DefaultParagraphFont"/>
    <w:uiPriority w:val="99"/>
    <w:semiHidden/>
    <w:unhideWhenUsed/>
    <w:rsid w:val="00DC6602"/>
    <w:rPr>
      <w:color w:val="605E5C"/>
      <w:shd w:val="clear" w:color="auto" w:fill="E1DFDD"/>
    </w:rPr>
  </w:style>
  <w:style w:type="character" w:customStyle="1" w:styleId="UnresolvedMention4">
    <w:name w:val="Unresolved Mention4"/>
    <w:basedOn w:val="DefaultParagraphFont"/>
    <w:uiPriority w:val="99"/>
    <w:semiHidden/>
    <w:unhideWhenUsed/>
    <w:rsid w:val="00807058"/>
    <w:rPr>
      <w:color w:val="605E5C"/>
      <w:shd w:val="clear" w:color="auto" w:fill="E1DFDD"/>
    </w:rPr>
  </w:style>
  <w:style w:type="character" w:styleId="PageNumber">
    <w:name w:val="page number"/>
    <w:uiPriority w:val="99"/>
    <w:rsid w:val="005E22C9"/>
    <w:rPr>
      <w:rFonts w:cs="Times New Roman"/>
    </w:rPr>
  </w:style>
  <w:style w:type="character" w:styleId="PlaceholderText">
    <w:name w:val="Placeholder Text"/>
    <w:basedOn w:val="DefaultParagraphFont"/>
    <w:uiPriority w:val="99"/>
    <w:semiHidden/>
    <w:rsid w:val="00477D29"/>
    <w:rPr>
      <w:color w:val="808080"/>
    </w:rPr>
  </w:style>
  <w:style w:type="paragraph" w:customStyle="1" w:styleId="CommentsDisposition">
    <w:name w:val="CommentsDisposition"/>
    <w:basedOn w:val="ListParagraph"/>
    <w:qFormat/>
    <w:rsid w:val="00EA32FE"/>
    <w:pPr>
      <w:numPr>
        <w:numId w:val="9"/>
      </w:numPr>
    </w:pPr>
    <w:rPr>
      <w:b/>
      <w:bCs/>
    </w:rPr>
  </w:style>
  <w:style w:type="paragraph" w:styleId="NormalWeb">
    <w:name w:val="Normal (Web)"/>
    <w:basedOn w:val="Normal"/>
    <w:uiPriority w:val="99"/>
    <w:semiHidden/>
    <w:unhideWhenUsed/>
    <w:rsid w:val="00BD1DE8"/>
    <w:pPr>
      <w:overflowPunct/>
      <w:autoSpaceDE/>
      <w:autoSpaceDN/>
      <w:adjustRightInd/>
      <w:spacing w:before="100" w:beforeAutospacing="1" w:after="100" w:afterAutospacing="1" w:line="240" w:lineRule="auto"/>
    </w:pPr>
    <w:rPr>
      <w:sz w:val="24"/>
      <w:szCs w:val="24"/>
    </w:rPr>
  </w:style>
  <w:style w:type="character" w:customStyle="1" w:styleId="UnresolvedMention5">
    <w:name w:val="Unresolved Mention5"/>
    <w:basedOn w:val="DefaultParagraphFont"/>
    <w:uiPriority w:val="99"/>
    <w:semiHidden/>
    <w:unhideWhenUsed/>
    <w:rsid w:val="006936CB"/>
    <w:rPr>
      <w:color w:val="605E5C"/>
      <w:shd w:val="clear" w:color="auto" w:fill="E1DFDD"/>
    </w:rPr>
  </w:style>
  <w:style w:type="paragraph" w:customStyle="1" w:styleId="Footnote">
    <w:name w:val="Footnote"/>
    <w:basedOn w:val="FootnoteText"/>
    <w:qFormat/>
    <w:rsid w:val="003A325D"/>
  </w:style>
  <w:style w:type="character" w:customStyle="1" w:styleId="UnresolvedMention6">
    <w:name w:val="Unresolved Mention6"/>
    <w:basedOn w:val="DefaultParagraphFont"/>
    <w:uiPriority w:val="99"/>
    <w:semiHidden/>
    <w:unhideWhenUsed/>
    <w:rsid w:val="003F2688"/>
    <w:rPr>
      <w:color w:val="605E5C"/>
      <w:shd w:val="clear" w:color="auto" w:fill="E1DFDD"/>
    </w:rPr>
  </w:style>
  <w:style w:type="character" w:customStyle="1" w:styleId="UnresolvedMention7">
    <w:name w:val="Unresolved Mention7"/>
    <w:basedOn w:val="DefaultParagraphFont"/>
    <w:uiPriority w:val="99"/>
    <w:semiHidden/>
    <w:unhideWhenUsed/>
    <w:rsid w:val="00D2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9784">
      <w:bodyDiv w:val="1"/>
      <w:marLeft w:val="0"/>
      <w:marRight w:val="0"/>
      <w:marTop w:val="0"/>
      <w:marBottom w:val="0"/>
      <w:divBdr>
        <w:top w:val="none" w:sz="0" w:space="0" w:color="auto"/>
        <w:left w:val="none" w:sz="0" w:space="0" w:color="auto"/>
        <w:bottom w:val="none" w:sz="0" w:space="0" w:color="auto"/>
        <w:right w:val="none" w:sz="0" w:space="0" w:color="auto"/>
      </w:divBdr>
    </w:div>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280038423">
      <w:bodyDiv w:val="1"/>
      <w:marLeft w:val="0"/>
      <w:marRight w:val="0"/>
      <w:marTop w:val="0"/>
      <w:marBottom w:val="0"/>
      <w:divBdr>
        <w:top w:val="none" w:sz="0" w:space="0" w:color="auto"/>
        <w:left w:val="none" w:sz="0" w:space="0" w:color="auto"/>
        <w:bottom w:val="none" w:sz="0" w:space="0" w:color="auto"/>
        <w:right w:val="none" w:sz="0" w:space="0" w:color="auto"/>
      </w:divBdr>
    </w:div>
    <w:div w:id="363746875">
      <w:bodyDiv w:val="1"/>
      <w:marLeft w:val="0"/>
      <w:marRight w:val="0"/>
      <w:marTop w:val="0"/>
      <w:marBottom w:val="0"/>
      <w:divBdr>
        <w:top w:val="none" w:sz="0" w:space="0" w:color="auto"/>
        <w:left w:val="none" w:sz="0" w:space="0" w:color="auto"/>
        <w:bottom w:val="none" w:sz="0" w:space="0" w:color="auto"/>
        <w:right w:val="none" w:sz="0" w:space="0" w:color="auto"/>
      </w:divBdr>
    </w:div>
    <w:div w:id="403338570">
      <w:bodyDiv w:val="1"/>
      <w:marLeft w:val="0"/>
      <w:marRight w:val="0"/>
      <w:marTop w:val="0"/>
      <w:marBottom w:val="0"/>
      <w:divBdr>
        <w:top w:val="none" w:sz="0" w:space="0" w:color="auto"/>
        <w:left w:val="none" w:sz="0" w:space="0" w:color="auto"/>
        <w:bottom w:val="none" w:sz="0" w:space="0" w:color="auto"/>
        <w:right w:val="none" w:sz="0" w:space="0" w:color="auto"/>
      </w:divBdr>
    </w:div>
    <w:div w:id="421069133">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27183666">
      <w:bodyDiv w:val="1"/>
      <w:marLeft w:val="0"/>
      <w:marRight w:val="0"/>
      <w:marTop w:val="0"/>
      <w:marBottom w:val="0"/>
      <w:divBdr>
        <w:top w:val="none" w:sz="0" w:space="0" w:color="auto"/>
        <w:left w:val="none" w:sz="0" w:space="0" w:color="auto"/>
        <w:bottom w:val="none" w:sz="0" w:space="0" w:color="auto"/>
        <w:right w:val="none" w:sz="0" w:space="0" w:color="auto"/>
      </w:divBdr>
    </w:div>
    <w:div w:id="534586003">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4832133">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553546300">
      <w:bodyDiv w:val="1"/>
      <w:marLeft w:val="0"/>
      <w:marRight w:val="0"/>
      <w:marTop w:val="0"/>
      <w:marBottom w:val="0"/>
      <w:divBdr>
        <w:top w:val="none" w:sz="0" w:space="0" w:color="auto"/>
        <w:left w:val="none" w:sz="0" w:space="0" w:color="auto"/>
        <w:bottom w:val="none" w:sz="0" w:space="0" w:color="auto"/>
        <w:right w:val="none" w:sz="0" w:space="0" w:color="auto"/>
      </w:divBdr>
    </w:div>
    <w:div w:id="559246243">
      <w:bodyDiv w:val="1"/>
      <w:marLeft w:val="0"/>
      <w:marRight w:val="0"/>
      <w:marTop w:val="0"/>
      <w:marBottom w:val="0"/>
      <w:divBdr>
        <w:top w:val="none" w:sz="0" w:space="0" w:color="auto"/>
        <w:left w:val="none" w:sz="0" w:space="0" w:color="auto"/>
        <w:bottom w:val="none" w:sz="0" w:space="0" w:color="auto"/>
        <w:right w:val="none" w:sz="0" w:space="0" w:color="auto"/>
      </w:divBdr>
    </w:div>
    <w:div w:id="684016815">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51538466">
          <w:marLeft w:val="547"/>
          <w:marRight w:val="0"/>
          <w:marTop w:val="62"/>
          <w:marBottom w:val="0"/>
          <w:divBdr>
            <w:top w:val="none" w:sz="0" w:space="0" w:color="auto"/>
            <w:left w:val="none" w:sz="0" w:space="0" w:color="auto"/>
            <w:bottom w:val="none" w:sz="0" w:space="0" w:color="auto"/>
            <w:right w:val="none" w:sz="0" w:space="0" w:color="auto"/>
          </w:divBdr>
        </w:div>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sChild>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74485780">
      <w:bodyDiv w:val="1"/>
      <w:marLeft w:val="0"/>
      <w:marRight w:val="0"/>
      <w:marTop w:val="0"/>
      <w:marBottom w:val="0"/>
      <w:divBdr>
        <w:top w:val="none" w:sz="0" w:space="0" w:color="auto"/>
        <w:left w:val="none" w:sz="0" w:space="0" w:color="auto"/>
        <w:bottom w:val="none" w:sz="0" w:space="0" w:color="auto"/>
        <w:right w:val="none" w:sz="0" w:space="0" w:color="auto"/>
      </w:divBdr>
      <w:divsChild>
        <w:div w:id="1349402870">
          <w:marLeft w:val="0"/>
          <w:marRight w:val="0"/>
          <w:marTop w:val="0"/>
          <w:marBottom w:val="0"/>
          <w:divBdr>
            <w:top w:val="single" w:sz="2" w:space="0" w:color="2E2E2E"/>
            <w:left w:val="single" w:sz="2" w:space="0" w:color="2E2E2E"/>
            <w:bottom w:val="single" w:sz="2" w:space="0" w:color="2E2E2E"/>
            <w:right w:val="single" w:sz="2" w:space="0" w:color="2E2E2E"/>
          </w:divBdr>
          <w:divsChild>
            <w:div w:id="1921215284">
              <w:marLeft w:val="0"/>
              <w:marRight w:val="0"/>
              <w:marTop w:val="0"/>
              <w:marBottom w:val="0"/>
              <w:divBdr>
                <w:top w:val="single" w:sz="6" w:space="0" w:color="C9C9C9"/>
                <w:left w:val="none" w:sz="0" w:space="0" w:color="auto"/>
                <w:bottom w:val="none" w:sz="0" w:space="0" w:color="auto"/>
                <w:right w:val="none" w:sz="0" w:space="0" w:color="auto"/>
              </w:divBdr>
              <w:divsChild>
                <w:div w:id="1562055507">
                  <w:marLeft w:val="0"/>
                  <w:marRight w:val="0"/>
                  <w:marTop w:val="0"/>
                  <w:marBottom w:val="0"/>
                  <w:divBdr>
                    <w:top w:val="none" w:sz="0" w:space="0" w:color="auto"/>
                    <w:left w:val="none" w:sz="0" w:space="0" w:color="auto"/>
                    <w:bottom w:val="none" w:sz="0" w:space="0" w:color="auto"/>
                    <w:right w:val="none" w:sz="0" w:space="0" w:color="auto"/>
                  </w:divBdr>
                  <w:divsChild>
                    <w:div w:id="466972542">
                      <w:marLeft w:val="0"/>
                      <w:marRight w:val="0"/>
                      <w:marTop w:val="0"/>
                      <w:marBottom w:val="0"/>
                      <w:divBdr>
                        <w:top w:val="none" w:sz="0" w:space="0" w:color="auto"/>
                        <w:left w:val="none" w:sz="0" w:space="0" w:color="auto"/>
                        <w:bottom w:val="none" w:sz="0" w:space="0" w:color="auto"/>
                        <w:right w:val="none" w:sz="0" w:space="0" w:color="auto"/>
                      </w:divBdr>
                      <w:divsChild>
                        <w:div w:id="9830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71036">
      <w:bodyDiv w:val="1"/>
      <w:marLeft w:val="0"/>
      <w:marRight w:val="0"/>
      <w:marTop w:val="0"/>
      <w:marBottom w:val="0"/>
      <w:divBdr>
        <w:top w:val="none" w:sz="0" w:space="0" w:color="auto"/>
        <w:left w:val="none" w:sz="0" w:space="0" w:color="auto"/>
        <w:bottom w:val="none" w:sz="0" w:space="0" w:color="auto"/>
        <w:right w:val="none" w:sz="0" w:space="0" w:color="auto"/>
      </w:divBdr>
    </w:div>
    <w:div w:id="1250964940">
      <w:bodyDiv w:val="1"/>
      <w:marLeft w:val="0"/>
      <w:marRight w:val="0"/>
      <w:marTop w:val="0"/>
      <w:marBottom w:val="0"/>
      <w:divBdr>
        <w:top w:val="none" w:sz="0" w:space="0" w:color="auto"/>
        <w:left w:val="none" w:sz="0" w:space="0" w:color="auto"/>
        <w:bottom w:val="none" w:sz="0" w:space="0" w:color="auto"/>
        <w:right w:val="none" w:sz="0" w:space="0" w:color="auto"/>
      </w:divBdr>
    </w:div>
    <w:div w:id="1251154967">
      <w:bodyDiv w:val="1"/>
      <w:marLeft w:val="0"/>
      <w:marRight w:val="0"/>
      <w:marTop w:val="0"/>
      <w:marBottom w:val="0"/>
      <w:divBdr>
        <w:top w:val="none" w:sz="0" w:space="0" w:color="auto"/>
        <w:left w:val="none" w:sz="0" w:space="0" w:color="auto"/>
        <w:bottom w:val="none" w:sz="0" w:space="0" w:color="auto"/>
        <w:right w:val="none" w:sz="0" w:space="0" w:color="auto"/>
      </w:divBdr>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438520676">
      <w:bodyDiv w:val="1"/>
      <w:marLeft w:val="0"/>
      <w:marRight w:val="0"/>
      <w:marTop w:val="0"/>
      <w:marBottom w:val="0"/>
      <w:divBdr>
        <w:top w:val="none" w:sz="0" w:space="0" w:color="auto"/>
        <w:left w:val="none" w:sz="0" w:space="0" w:color="auto"/>
        <w:bottom w:val="none" w:sz="0" w:space="0" w:color="auto"/>
        <w:right w:val="none" w:sz="0" w:space="0" w:color="auto"/>
      </w:divBdr>
    </w:div>
    <w:div w:id="1480459099">
      <w:bodyDiv w:val="1"/>
      <w:marLeft w:val="0"/>
      <w:marRight w:val="0"/>
      <w:marTop w:val="0"/>
      <w:marBottom w:val="0"/>
      <w:divBdr>
        <w:top w:val="none" w:sz="0" w:space="0" w:color="auto"/>
        <w:left w:val="none" w:sz="0" w:space="0" w:color="auto"/>
        <w:bottom w:val="none" w:sz="0" w:space="0" w:color="auto"/>
        <w:right w:val="none" w:sz="0" w:space="0" w:color="auto"/>
      </w:divBdr>
    </w:div>
    <w:div w:id="1524783294">
      <w:bodyDiv w:val="1"/>
      <w:marLeft w:val="0"/>
      <w:marRight w:val="0"/>
      <w:marTop w:val="0"/>
      <w:marBottom w:val="0"/>
      <w:divBdr>
        <w:top w:val="none" w:sz="0" w:space="0" w:color="auto"/>
        <w:left w:val="none" w:sz="0" w:space="0" w:color="auto"/>
        <w:bottom w:val="none" w:sz="0" w:space="0" w:color="auto"/>
        <w:right w:val="none" w:sz="0" w:space="0" w:color="auto"/>
      </w:divBdr>
    </w:div>
    <w:div w:id="1549336928">
      <w:bodyDiv w:val="1"/>
      <w:marLeft w:val="0"/>
      <w:marRight w:val="0"/>
      <w:marTop w:val="0"/>
      <w:marBottom w:val="0"/>
      <w:divBdr>
        <w:top w:val="none" w:sz="0" w:space="0" w:color="auto"/>
        <w:left w:val="none" w:sz="0" w:space="0" w:color="auto"/>
        <w:bottom w:val="none" w:sz="0" w:space="0" w:color="auto"/>
        <w:right w:val="none" w:sz="0" w:space="0" w:color="auto"/>
      </w:divBdr>
    </w:div>
    <w:div w:id="1567954766">
      <w:bodyDiv w:val="1"/>
      <w:marLeft w:val="0"/>
      <w:marRight w:val="0"/>
      <w:marTop w:val="0"/>
      <w:marBottom w:val="0"/>
      <w:divBdr>
        <w:top w:val="none" w:sz="0" w:space="0" w:color="auto"/>
        <w:left w:val="none" w:sz="0" w:space="0" w:color="auto"/>
        <w:bottom w:val="none" w:sz="0" w:space="0" w:color="auto"/>
        <w:right w:val="none" w:sz="0" w:space="0" w:color="auto"/>
      </w:divBdr>
    </w:div>
    <w:div w:id="1646735100">
      <w:bodyDiv w:val="1"/>
      <w:marLeft w:val="0"/>
      <w:marRight w:val="0"/>
      <w:marTop w:val="0"/>
      <w:marBottom w:val="0"/>
      <w:divBdr>
        <w:top w:val="none" w:sz="0" w:space="0" w:color="auto"/>
        <w:left w:val="none" w:sz="0" w:space="0" w:color="auto"/>
        <w:bottom w:val="none" w:sz="0" w:space="0" w:color="auto"/>
        <w:right w:val="none" w:sz="0" w:space="0" w:color="auto"/>
      </w:divBdr>
    </w:div>
    <w:div w:id="1674265056">
      <w:bodyDiv w:val="1"/>
      <w:marLeft w:val="0"/>
      <w:marRight w:val="0"/>
      <w:marTop w:val="0"/>
      <w:marBottom w:val="0"/>
      <w:divBdr>
        <w:top w:val="none" w:sz="0" w:space="0" w:color="auto"/>
        <w:left w:val="none" w:sz="0" w:space="0" w:color="auto"/>
        <w:bottom w:val="none" w:sz="0" w:space="0" w:color="auto"/>
        <w:right w:val="none" w:sz="0" w:space="0" w:color="auto"/>
      </w:divBdr>
    </w:div>
    <w:div w:id="1745880281">
      <w:bodyDiv w:val="1"/>
      <w:marLeft w:val="0"/>
      <w:marRight w:val="0"/>
      <w:marTop w:val="0"/>
      <w:marBottom w:val="0"/>
      <w:divBdr>
        <w:top w:val="none" w:sz="0" w:space="0" w:color="auto"/>
        <w:left w:val="none" w:sz="0" w:space="0" w:color="auto"/>
        <w:bottom w:val="none" w:sz="0" w:space="0" w:color="auto"/>
        <w:right w:val="none" w:sz="0" w:space="0" w:color="auto"/>
      </w:divBdr>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26307273">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01677345">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uc.pa.gov/filing_resources/issues_laws_regulations/act_129_information/technical_reference_manual.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appliance-standards.org/sites/default/files/Fact_Sheet_Who_Opposes_DOE_Light_Bulb_Rollback_Final1.pdf" TargetMode="External"/><Relationship Id="rId13" Type="http://schemas.openxmlformats.org/officeDocument/2006/relationships/hyperlink" Target="https://www.regulations.gov/document?D=EERE-2014-BT-STD-0042-0016" TargetMode="External"/><Relationship Id="rId18" Type="http://schemas.openxmlformats.org/officeDocument/2006/relationships/hyperlink" Target="https://rtf.nwcouncil.org/measure/floating-head-pressure-controls-single-compressor-systems" TargetMode="External"/><Relationship Id="rId3" Type="http://schemas.openxmlformats.org/officeDocument/2006/relationships/hyperlink" Target="https://www.energystar.gov/sites/default/files/asset/document/MFHR%20Flowchart_v1.3.pdf" TargetMode="External"/><Relationship Id="rId21" Type="http://schemas.openxmlformats.org/officeDocument/2006/relationships/hyperlink" Target="http://docs.lib.purdue.edu/iracc/1154" TargetMode="External"/><Relationship Id="rId7" Type="http://schemas.openxmlformats.org/officeDocument/2006/relationships/hyperlink" Target="http://ilsagfiles.org/SAG_files/Technical_Reference_Manual/Version_7/Final_9-28-18/IL-TRM_Effective_010119_v7.0_Vol_2_C_and_I_092818_Final.pdf" TargetMode="External"/><Relationship Id="rId12" Type="http://schemas.openxmlformats.org/officeDocument/2006/relationships/hyperlink" Target="https://appliance-standards.org/sites/default/files/Fact_Sheet_Who_Opposes_DOE_Light_Bulb_Rollback_Final1.pdf" TargetMode="External"/><Relationship Id="rId17" Type="http://schemas.openxmlformats.org/officeDocument/2006/relationships/hyperlink" Target="https://neep.org/commercial-refrigeration-loadshape-report-10-2015-0" TargetMode="External"/><Relationship Id="rId25" Type="http://schemas.openxmlformats.org/officeDocument/2006/relationships/hyperlink" Target="https://focusonenergy.com/sites/default/files/bpmeasurelifestudyfinal_evaluationreport.pdf" TargetMode="External"/><Relationship Id="rId2" Type="http://schemas.openxmlformats.org/officeDocument/2006/relationships/hyperlink" Target="http://mn.gov/commerce-stat/pdfs/card-report-energy-efficiency-behavorial-prog.pdf" TargetMode="External"/><Relationship Id="rId16" Type="http://schemas.openxmlformats.org/officeDocument/2006/relationships/hyperlink" Target="https://www.energy.gov/sites/prod/files/2014/02/f8/Motor%20Energy%20Savings%20Potential%20Report%202013-12-4.pdf" TargetMode="External"/><Relationship Id="rId20" Type="http://schemas.openxmlformats.org/officeDocument/2006/relationships/hyperlink" Target="https://www1.eere.energy.gov/buildings/pdfs/commercial_refrigeration_equipment_research_opportunities.pdf" TargetMode="External"/><Relationship Id="rId1" Type="http://schemas.openxmlformats.org/officeDocument/2006/relationships/hyperlink" Target="https://rredc.nrel.gov/solar/old_data/nsrdb/1991-2005/tmy3/by_state_and_city.html" TargetMode="External"/><Relationship Id="rId6" Type="http://schemas.openxmlformats.org/officeDocument/2006/relationships/hyperlink" Target="https://rtf.nwcouncil.org/meeting/rtf-meeting-november-14-2012" TargetMode="External"/><Relationship Id="rId11" Type="http://schemas.openxmlformats.org/officeDocument/2006/relationships/hyperlink" Target="https://beopt.nrel.gov/home" TargetMode="External"/><Relationship Id="rId24" Type="http://schemas.openxmlformats.org/officeDocument/2006/relationships/hyperlink" Target="https://www.focusonenergy.com/sites/default/files/bpmeasurelifestudyfinal_evaluationreport.pdf" TargetMode="External"/><Relationship Id="rId5" Type="http://schemas.openxmlformats.org/officeDocument/2006/relationships/hyperlink" Target="https://appliance-standards.org/sites/default/files/Fact_Sheet_Who_Opposes_DOE_Light_Bulb_Rollback_Final1.pdf" TargetMode="External"/><Relationship Id="rId15" Type="http://schemas.openxmlformats.org/officeDocument/2006/relationships/hyperlink" Target="https://neep.org/commercial-refrigeration-loadshape-report-10-2015-0" TargetMode="External"/><Relationship Id="rId23" Type="http://schemas.openxmlformats.org/officeDocument/2006/relationships/hyperlink" Target="http://ma-eeac.org/wordpress/wp-content/uploads/RLPNC_173_APSMeteringReport_5OCT2018_Finalv2.pdf" TargetMode="External"/><Relationship Id="rId10" Type="http://schemas.openxmlformats.org/officeDocument/2006/relationships/hyperlink" Target="https://beopt.nrel.gov/home" TargetMode="External"/><Relationship Id="rId19" Type="http://schemas.openxmlformats.org/officeDocument/2006/relationships/hyperlink" Target="https://neep.org/commercial-refrigeration-loadshape-report-10-2015-0" TargetMode="External"/><Relationship Id="rId4" Type="http://schemas.openxmlformats.org/officeDocument/2006/relationships/hyperlink" Target="http://conference2018.resnet.us/data/energymeetings/presentations/How%20Standards%20are%20Evolving%20to%20Better%20Address%20Multifamily%20Ratings%20.pdf" TargetMode="External"/><Relationship Id="rId9" Type="http://schemas.openxmlformats.org/officeDocument/2006/relationships/hyperlink" Target="https://www1.eere.energy.gov/buildings/appliance_standards/standards.aspx?productid=4" TargetMode="External"/><Relationship Id="rId14" Type="http://schemas.openxmlformats.org/officeDocument/2006/relationships/hyperlink" Target="http://ma-eeac.org/wordpress/wp-content/uploads/Prescriptive-Gas-Pre-Rinse-Spray-Valve-Measure-Impact-Evaluation.pdf" TargetMode="External"/><Relationship Id="rId22" Type="http://schemas.openxmlformats.org/officeDocument/2006/relationships/hyperlink" Target="http://www.puc.pa.gov/pcdocs/13591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051ef0-edd4-46a5-9f74-d6eaace64f71">J72333MUYW4V-895870458-32049</_dlc_DocId>
    <_dlc_DocIdUrl xmlns="1b051ef0-edd4-46a5-9f74-d6eaace64f71">
      <Url>https://nmrgroupinc.sharepoint.com/PAPUCSWE/_layouts/15/DocIdRedir.aspx?ID=J72333MUYW4V-895870458-32049</Url>
      <Description>J72333MUYW4V-895870458-32049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67E9D46A20145BD2AB299499EEBA5" ma:contentTypeVersion="12" ma:contentTypeDescription="Create a new document." ma:contentTypeScope="" ma:versionID="cf303c646f88c423c89f8e6e3783ac52">
  <xsd:schema xmlns:xsd="http://www.w3.org/2001/XMLSchema" xmlns:xs="http://www.w3.org/2001/XMLSchema" xmlns:p="http://schemas.microsoft.com/office/2006/metadata/properties" xmlns:ns2="1b051ef0-edd4-46a5-9f74-d6eaace64f71" xmlns:ns3="4f5afe23-90fe-4866-81f5-a9dfd6970532" targetNamespace="http://schemas.microsoft.com/office/2006/metadata/properties" ma:root="true" ma:fieldsID="2eb8c12b1bc467b028539d45005a6f52" ns2:_="" ns3:_="">
    <xsd:import namespace="1b051ef0-edd4-46a5-9f74-d6eaace64f71"/>
    <xsd:import namespace="4f5afe23-90fe-4866-81f5-a9dfd6970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1ef0-edd4-46a5-9f74-d6eaace64f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5afe23-90fe-4866-81f5-a9dfd6970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760F-285D-4A8D-9DD8-3A7FDB29DF2A}">
  <ds:schemaRefs>
    <ds:schemaRef ds:uri="http://schemas.microsoft.com/office/2006/metadata/properties"/>
    <ds:schemaRef ds:uri="http://schemas.microsoft.com/office/infopath/2007/PartnerControls"/>
    <ds:schemaRef ds:uri="1b051ef0-edd4-46a5-9f74-d6eaace64f71"/>
  </ds:schemaRefs>
</ds:datastoreItem>
</file>

<file path=customXml/itemProps2.xml><?xml version="1.0" encoding="utf-8"?>
<ds:datastoreItem xmlns:ds="http://schemas.openxmlformats.org/officeDocument/2006/customXml" ds:itemID="{76340112-24DA-42C4-8294-1A074DD94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1ef0-edd4-46a5-9f74-d6eaace64f71"/>
    <ds:schemaRef ds:uri="4f5afe23-90fe-4866-81f5-a9dfd697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78556-F276-4D32-84F6-36E88D9234A3}">
  <ds:schemaRefs>
    <ds:schemaRef ds:uri="http://schemas.microsoft.com/sharepoint/events"/>
  </ds:schemaRefs>
</ds:datastoreItem>
</file>

<file path=customXml/itemProps4.xml><?xml version="1.0" encoding="utf-8"?>
<ds:datastoreItem xmlns:ds="http://schemas.openxmlformats.org/officeDocument/2006/customXml" ds:itemID="{53E48554-882F-43B5-9613-2AD6EFE56E6A}">
  <ds:schemaRefs>
    <ds:schemaRef ds:uri="http://schemas.microsoft.com/sharepoint/v3/contenttype/forms"/>
  </ds:schemaRefs>
</ds:datastoreItem>
</file>

<file path=customXml/itemProps5.xml><?xml version="1.0" encoding="utf-8"?>
<ds:datastoreItem xmlns:ds="http://schemas.openxmlformats.org/officeDocument/2006/customXml" ds:itemID="{48D4402D-1850-49C7-A2C6-821E0491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147</Pages>
  <Words>37386</Words>
  <Characters>213104</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249991</CharactersWithSpaces>
  <SharedDoc>false</SharedDoc>
  <HyperlinkBase/>
  <HLinks>
    <vt:vector size="1116" baseType="variant">
      <vt:variant>
        <vt:i4>6029433</vt:i4>
      </vt:variant>
      <vt:variant>
        <vt:i4>1113</vt:i4>
      </vt:variant>
      <vt:variant>
        <vt:i4>0</vt:i4>
      </vt:variant>
      <vt:variant>
        <vt:i4>5</vt:i4>
      </vt:variant>
      <vt:variant>
        <vt:lpwstr>http://www.puc.pa.gov/filing_resources/issues_laws_regulations/act_129_information/technical_reference_manual.aspx</vt:lpwstr>
      </vt:variant>
      <vt:variant>
        <vt:lpwstr/>
      </vt:variant>
      <vt:variant>
        <vt:i4>4456563</vt:i4>
      </vt:variant>
      <vt:variant>
        <vt:i4>945</vt:i4>
      </vt:variant>
      <vt:variant>
        <vt:i4>0</vt:i4>
      </vt:variant>
      <vt:variant>
        <vt:i4>5</vt:i4>
      </vt:variant>
      <vt:variant>
        <vt:lpwstr/>
      </vt:variant>
      <vt:variant>
        <vt:lpwstr>_Removed_C&amp;I_EE&amp;C</vt:lpwstr>
      </vt:variant>
      <vt:variant>
        <vt:i4>4194345</vt:i4>
      </vt:variant>
      <vt:variant>
        <vt:i4>942</vt:i4>
      </vt:variant>
      <vt:variant>
        <vt:i4>0</vt:i4>
      </vt:variant>
      <vt:variant>
        <vt:i4>5</vt:i4>
      </vt:variant>
      <vt:variant>
        <vt:lpwstr/>
      </vt:variant>
      <vt:variant>
        <vt:lpwstr>_Removed_Residential_EE&amp;C</vt:lpwstr>
      </vt:variant>
      <vt:variant>
        <vt:i4>3538963</vt:i4>
      </vt:variant>
      <vt:variant>
        <vt:i4>939</vt:i4>
      </vt:variant>
      <vt:variant>
        <vt:i4>0</vt:i4>
      </vt:variant>
      <vt:variant>
        <vt:i4>5</vt:i4>
      </vt:variant>
      <vt:variant>
        <vt:lpwstr/>
      </vt:variant>
      <vt:variant>
        <vt:lpwstr>_Existing_C&amp;I_EE&amp;C</vt:lpwstr>
      </vt:variant>
      <vt:variant>
        <vt:i4>7077911</vt:i4>
      </vt:variant>
      <vt:variant>
        <vt:i4>936</vt:i4>
      </vt:variant>
      <vt:variant>
        <vt:i4>0</vt:i4>
      </vt:variant>
      <vt:variant>
        <vt:i4>5</vt:i4>
      </vt:variant>
      <vt:variant>
        <vt:lpwstr/>
      </vt:variant>
      <vt:variant>
        <vt:lpwstr>_Existing_Residential_EE&amp;C</vt:lpwstr>
      </vt:variant>
      <vt:variant>
        <vt:i4>6226032</vt:i4>
      </vt:variant>
      <vt:variant>
        <vt:i4>933</vt:i4>
      </vt:variant>
      <vt:variant>
        <vt:i4>0</vt:i4>
      </vt:variant>
      <vt:variant>
        <vt:i4>5</vt:i4>
      </vt:variant>
      <vt:variant>
        <vt:lpwstr/>
      </vt:variant>
      <vt:variant>
        <vt:lpwstr>_Additional_C&amp;I_EE&amp;C</vt:lpwstr>
      </vt:variant>
      <vt:variant>
        <vt:i4>327796</vt:i4>
      </vt:variant>
      <vt:variant>
        <vt:i4>930</vt:i4>
      </vt:variant>
      <vt:variant>
        <vt:i4>0</vt:i4>
      </vt:variant>
      <vt:variant>
        <vt:i4>5</vt:i4>
      </vt:variant>
      <vt:variant>
        <vt:lpwstr/>
      </vt:variant>
      <vt:variant>
        <vt:lpwstr>_Additional_Residential_EE&amp;C</vt:lpwstr>
      </vt:variant>
      <vt:variant>
        <vt:i4>1376267</vt:i4>
      </vt:variant>
      <vt:variant>
        <vt:i4>927</vt:i4>
      </vt:variant>
      <vt:variant>
        <vt:i4>0</vt:i4>
      </vt:variant>
      <vt:variant>
        <vt:i4>5</vt:i4>
      </vt:variant>
      <vt:variant>
        <vt:lpwstr/>
      </vt:variant>
      <vt:variant>
        <vt:lpwstr>_General_Improvements</vt:lpwstr>
      </vt:variant>
      <vt:variant>
        <vt:i4>1114164</vt:i4>
      </vt:variant>
      <vt:variant>
        <vt:i4>920</vt:i4>
      </vt:variant>
      <vt:variant>
        <vt:i4>0</vt:i4>
      </vt:variant>
      <vt:variant>
        <vt:i4>5</vt:i4>
      </vt:variant>
      <vt:variant>
        <vt:lpwstr/>
      </vt:variant>
      <vt:variant>
        <vt:lpwstr>_Toc13771331</vt:lpwstr>
      </vt:variant>
      <vt:variant>
        <vt:i4>1048628</vt:i4>
      </vt:variant>
      <vt:variant>
        <vt:i4>914</vt:i4>
      </vt:variant>
      <vt:variant>
        <vt:i4>0</vt:i4>
      </vt:variant>
      <vt:variant>
        <vt:i4>5</vt:i4>
      </vt:variant>
      <vt:variant>
        <vt:lpwstr/>
      </vt:variant>
      <vt:variant>
        <vt:lpwstr>_Toc13771330</vt:lpwstr>
      </vt:variant>
      <vt:variant>
        <vt:i4>1638453</vt:i4>
      </vt:variant>
      <vt:variant>
        <vt:i4>908</vt:i4>
      </vt:variant>
      <vt:variant>
        <vt:i4>0</vt:i4>
      </vt:variant>
      <vt:variant>
        <vt:i4>5</vt:i4>
      </vt:variant>
      <vt:variant>
        <vt:lpwstr/>
      </vt:variant>
      <vt:variant>
        <vt:lpwstr>_Toc13771329</vt:lpwstr>
      </vt:variant>
      <vt:variant>
        <vt:i4>1572917</vt:i4>
      </vt:variant>
      <vt:variant>
        <vt:i4>902</vt:i4>
      </vt:variant>
      <vt:variant>
        <vt:i4>0</vt:i4>
      </vt:variant>
      <vt:variant>
        <vt:i4>5</vt:i4>
      </vt:variant>
      <vt:variant>
        <vt:lpwstr/>
      </vt:variant>
      <vt:variant>
        <vt:lpwstr>_Toc13771328</vt:lpwstr>
      </vt:variant>
      <vt:variant>
        <vt:i4>1507381</vt:i4>
      </vt:variant>
      <vt:variant>
        <vt:i4>896</vt:i4>
      </vt:variant>
      <vt:variant>
        <vt:i4>0</vt:i4>
      </vt:variant>
      <vt:variant>
        <vt:i4>5</vt:i4>
      </vt:variant>
      <vt:variant>
        <vt:lpwstr/>
      </vt:variant>
      <vt:variant>
        <vt:lpwstr>_Toc13771327</vt:lpwstr>
      </vt:variant>
      <vt:variant>
        <vt:i4>1441845</vt:i4>
      </vt:variant>
      <vt:variant>
        <vt:i4>890</vt:i4>
      </vt:variant>
      <vt:variant>
        <vt:i4>0</vt:i4>
      </vt:variant>
      <vt:variant>
        <vt:i4>5</vt:i4>
      </vt:variant>
      <vt:variant>
        <vt:lpwstr/>
      </vt:variant>
      <vt:variant>
        <vt:lpwstr>_Toc13771326</vt:lpwstr>
      </vt:variant>
      <vt:variant>
        <vt:i4>1376309</vt:i4>
      </vt:variant>
      <vt:variant>
        <vt:i4>884</vt:i4>
      </vt:variant>
      <vt:variant>
        <vt:i4>0</vt:i4>
      </vt:variant>
      <vt:variant>
        <vt:i4>5</vt:i4>
      </vt:variant>
      <vt:variant>
        <vt:lpwstr/>
      </vt:variant>
      <vt:variant>
        <vt:lpwstr>_Toc13771325</vt:lpwstr>
      </vt:variant>
      <vt:variant>
        <vt:i4>1310773</vt:i4>
      </vt:variant>
      <vt:variant>
        <vt:i4>878</vt:i4>
      </vt:variant>
      <vt:variant>
        <vt:i4>0</vt:i4>
      </vt:variant>
      <vt:variant>
        <vt:i4>5</vt:i4>
      </vt:variant>
      <vt:variant>
        <vt:lpwstr/>
      </vt:variant>
      <vt:variant>
        <vt:lpwstr>_Toc13771324</vt:lpwstr>
      </vt:variant>
      <vt:variant>
        <vt:i4>1245237</vt:i4>
      </vt:variant>
      <vt:variant>
        <vt:i4>872</vt:i4>
      </vt:variant>
      <vt:variant>
        <vt:i4>0</vt:i4>
      </vt:variant>
      <vt:variant>
        <vt:i4>5</vt:i4>
      </vt:variant>
      <vt:variant>
        <vt:lpwstr/>
      </vt:variant>
      <vt:variant>
        <vt:lpwstr>_Toc13771323</vt:lpwstr>
      </vt:variant>
      <vt:variant>
        <vt:i4>1179701</vt:i4>
      </vt:variant>
      <vt:variant>
        <vt:i4>866</vt:i4>
      </vt:variant>
      <vt:variant>
        <vt:i4>0</vt:i4>
      </vt:variant>
      <vt:variant>
        <vt:i4>5</vt:i4>
      </vt:variant>
      <vt:variant>
        <vt:lpwstr/>
      </vt:variant>
      <vt:variant>
        <vt:lpwstr>_Toc13771322</vt:lpwstr>
      </vt:variant>
      <vt:variant>
        <vt:i4>1114165</vt:i4>
      </vt:variant>
      <vt:variant>
        <vt:i4>860</vt:i4>
      </vt:variant>
      <vt:variant>
        <vt:i4>0</vt:i4>
      </vt:variant>
      <vt:variant>
        <vt:i4>5</vt:i4>
      </vt:variant>
      <vt:variant>
        <vt:lpwstr/>
      </vt:variant>
      <vt:variant>
        <vt:lpwstr>_Toc13771321</vt:lpwstr>
      </vt:variant>
      <vt:variant>
        <vt:i4>1048629</vt:i4>
      </vt:variant>
      <vt:variant>
        <vt:i4>854</vt:i4>
      </vt:variant>
      <vt:variant>
        <vt:i4>0</vt:i4>
      </vt:variant>
      <vt:variant>
        <vt:i4>5</vt:i4>
      </vt:variant>
      <vt:variant>
        <vt:lpwstr/>
      </vt:variant>
      <vt:variant>
        <vt:lpwstr>_Toc13771320</vt:lpwstr>
      </vt:variant>
      <vt:variant>
        <vt:i4>1638454</vt:i4>
      </vt:variant>
      <vt:variant>
        <vt:i4>848</vt:i4>
      </vt:variant>
      <vt:variant>
        <vt:i4>0</vt:i4>
      </vt:variant>
      <vt:variant>
        <vt:i4>5</vt:i4>
      </vt:variant>
      <vt:variant>
        <vt:lpwstr/>
      </vt:variant>
      <vt:variant>
        <vt:lpwstr>_Toc13771319</vt:lpwstr>
      </vt:variant>
      <vt:variant>
        <vt:i4>1572918</vt:i4>
      </vt:variant>
      <vt:variant>
        <vt:i4>842</vt:i4>
      </vt:variant>
      <vt:variant>
        <vt:i4>0</vt:i4>
      </vt:variant>
      <vt:variant>
        <vt:i4>5</vt:i4>
      </vt:variant>
      <vt:variant>
        <vt:lpwstr/>
      </vt:variant>
      <vt:variant>
        <vt:lpwstr>_Toc13771318</vt:lpwstr>
      </vt:variant>
      <vt:variant>
        <vt:i4>1507382</vt:i4>
      </vt:variant>
      <vt:variant>
        <vt:i4>836</vt:i4>
      </vt:variant>
      <vt:variant>
        <vt:i4>0</vt:i4>
      </vt:variant>
      <vt:variant>
        <vt:i4>5</vt:i4>
      </vt:variant>
      <vt:variant>
        <vt:lpwstr/>
      </vt:variant>
      <vt:variant>
        <vt:lpwstr>_Toc13771317</vt:lpwstr>
      </vt:variant>
      <vt:variant>
        <vt:i4>1441846</vt:i4>
      </vt:variant>
      <vt:variant>
        <vt:i4>830</vt:i4>
      </vt:variant>
      <vt:variant>
        <vt:i4>0</vt:i4>
      </vt:variant>
      <vt:variant>
        <vt:i4>5</vt:i4>
      </vt:variant>
      <vt:variant>
        <vt:lpwstr/>
      </vt:variant>
      <vt:variant>
        <vt:lpwstr>_Toc13771316</vt:lpwstr>
      </vt:variant>
      <vt:variant>
        <vt:i4>1376310</vt:i4>
      </vt:variant>
      <vt:variant>
        <vt:i4>824</vt:i4>
      </vt:variant>
      <vt:variant>
        <vt:i4>0</vt:i4>
      </vt:variant>
      <vt:variant>
        <vt:i4>5</vt:i4>
      </vt:variant>
      <vt:variant>
        <vt:lpwstr/>
      </vt:variant>
      <vt:variant>
        <vt:lpwstr>_Toc13771315</vt:lpwstr>
      </vt:variant>
      <vt:variant>
        <vt:i4>1310774</vt:i4>
      </vt:variant>
      <vt:variant>
        <vt:i4>818</vt:i4>
      </vt:variant>
      <vt:variant>
        <vt:i4>0</vt:i4>
      </vt:variant>
      <vt:variant>
        <vt:i4>5</vt:i4>
      </vt:variant>
      <vt:variant>
        <vt:lpwstr/>
      </vt:variant>
      <vt:variant>
        <vt:lpwstr>_Toc13771314</vt:lpwstr>
      </vt:variant>
      <vt:variant>
        <vt:i4>1245238</vt:i4>
      </vt:variant>
      <vt:variant>
        <vt:i4>812</vt:i4>
      </vt:variant>
      <vt:variant>
        <vt:i4>0</vt:i4>
      </vt:variant>
      <vt:variant>
        <vt:i4>5</vt:i4>
      </vt:variant>
      <vt:variant>
        <vt:lpwstr/>
      </vt:variant>
      <vt:variant>
        <vt:lpwstr>_Toc13771313</vt:lpwstr>
      </vt:variant>
      <vt:variant>
        <vt:i4>1179702</vt:i4>
      </vt:variant>
      <vt:variant>
        <vt:i4>806</vt:i4>
      </vt:variant>
      <vt:variant>
        <vt:i4>0</vt:i4>
      </vt:variant>
      <vt:variant>
        <vt:i4>5</vt:i4>
      </vt:variant>
      <vt:variant>
        <vt:lpwstr/>
      </vt:variant>
      <vt:variant>
        <vt:lpwstr>_Toc13771312</vt:lpwstr>
      </vt:variant>
      <vt:variant>
        <vt:i4>1114166</vt:i4>
      </vt:variant>
      <vt:variant>
        <vt:i4>800</vt:i4>
      </vt:variant>
      <vt:variant>
        <vt:i4>0</vt:i4>
      </vt:variant>
      <vt:variant>
        <vt:i4>5</vt:i4>
      </vt:variant>
      <vt:variant>
        <vt:lpwstr/>
      </vt:variant>
      <vt:variant>
        <vt:lpwstr>_Toc13771311</vt:lpwstr>
      </vt:variant>
      <vt:variant>
        <vt:i4>1048630</vt:i4>
      </vt:variant>
      <vt:variant>
        <vt:i4>794</vt:i4>
      </vt:variant>
      <vt:variant>
        <vt:i4>0</vt:i4>
      </vt:variant>
      <vt:variant>
        <vt:i4>5</vt:i4>
      </vt:variant>
      <vt:variant>
        <vt:lpwstr/>
      </vt:variant>
      <vt:variant>
        <vt:lpwstr>_Toc13771310</vt:lpwstr>
      </vt:variant>
      <vt:variant>
        <vt:i4>1638455</vt:i4>
      </vt:variant>
      <vt:variant>
        <vt:i4>788</vt:i4>
      </vt:variant>
      <vt:variant>
        <vt:i4>0</vt:i4>
      </vt:variant>
      <vt:variant>
        <vt:i4>5</vt:i4>
      </vt:variant>
      <vt:variant>
        <vt:lpwstr/>
      </vt:variant>
      <vt:variant>
        <vt:lpwstr>_Toc13771309</vt:lpwstr>
      </vt:variant>
      <vt:variant>
        <vt:i4>1572919</vt:i4>
      </vt:variant>
      <vt:variant>
        <vt:i4>782</vt:i4>
      </vt:variant>
      <vt:variant>
        <vt:i4>0</vt:i4>
      </vt:variant>
      <vt:variant>
        <vt:i4>5</vt:i4>
      </vt:variant>
      <vt:variant>
        <vt:lpwstr/>
      </vt:variant>
      <vt:variant>
        <vt:lpwstr>_Toc13771308</vt:lpwstr>
      </vt:variant>
      <vt:variant>
        <vt:i4>1507383</vt:i4>
      </vt:variant>
      <vt:variant>
        <vt:i4>776</vt:i4>
      </vt:variant>
      <vt:variant>
        <vt:i4>0</vt:i4>
      </vt:variant>
      <vt:variant>
        <vt:i4>5</vt:i4>
      </vt:variant>
      <vt:variant>
        <vt:lpwstr/>
      </vt:variant>
      <vt:variant>
        <vt:lpwstr>_Toc13771307</vt:lpwstr>
      </vt:variant>
      <vt:variant>
        <vt:i4>1441847</vt:i4>
      </vt:variant>
      <vt:variant>
        <vt:i4>770</vt:i4>
      </vt:variant>
      <vt:variant>
        <vt:i4>0</vt:i4>
      </vt:variant>
      <vt:variant>
        <vt:i4>5</vt:i4>
      </vt:variant>
      <vt:variant>
        <vt:lpwstr/>
      </vt:variant>
      <vt:variant>
        <vt:lpwstr>_Toc13771306</vt:lpwstr>
      </vt:variant>
      <vt:variant>
        <vt:i4>1376311</vt:i4>
      </vt:variant>
      <vt:variant>
        <vt:i4>764</vt:i4>
      </vt:variant>
      <vt:variant>
        <vt:i4>0</vt:i4>
      </vt:variant>
      <vt:variant>
        <vt:i4>5</vt:i4>
      </vt:variant>
      <vt:variant>
        <vt:lpwstr/>
      </vt:variant>
      <vt:variant>
        <vt:lpwstr>_Toc13771305</vt:lpwstr>
      </vt:variant>
      <vt:variant>
        <vt:i4>1310775</vt:i4>
      </vt:variant>
      <vt:variant>
        <vt:i4>758</vt:i4>
      </vt:variant>
      <vt:variant>
        <vt:i4>0</vt:i4>
      </vt:variant>
      <vt:variant>
        <vt:i4>5</vt:i4>
      </vt:variant>
      <vt:variant>
        <vt:lpwstr/>
      </vt:variant>
      <vt:variant>
        <vt:lpwstr>_Toc13771304</vt:lpwstr>
      </vt:variant>
      <vt:variant>
        <vt:i4>1245239</vt:i4>
      </vt:variant>
      <vt:variant>
        <vt:i4>752</vt:i4>
      </vt:variant>
      <vt:variant>
        <vt:i4>0</vt:i4>
      </vt:variant>
      <vt:variant>
        <vt:i4>5</vt:i4>
      </vt:variant>
      <vt:variant>
        <vt:lpwstr/>
      </vt:variant>
      <vt:variant>
        <vt:lpwstr>_Toc13771303</vt:lpwstr>
      </vt:variant>
      <vt:variant>
        <vt:i4>1179703</vt:i4>
      </vt:variant>
      <vt:variant>
        <vt:i4>746</vt:i4>
      </vt:variant>
      <vt:variant>
        <vt:i4>0</vt:i4>
      </vt:variant>
      <vt:variant>
        <vt:i4>5</vt:i4>
      </vt:variant>
      <vt:variant>
        <vt:lpwstr/>
      </vt:variant>
      <vt:variant>
        <vt:lpwstr>_Toc13771302</vt:lpwstr>
      </vt:variant>
      <vt:variant>
        <vt:i4>1114167</vt:i4>
      </vt:variant>
      <vt:variant>
        <vt:i4>740</vt:i4>
      </vt:variant>
      <vt:variant>
        <vt:i4>0</vt:i4>
      </vt:variant>
      <vt:variant>
        <vt:i4>5</vt:i4>
      </vt:variant>
      <vt:variant>
        <vt:lpwstr/>
      </vt:variant>
      <vt:variant>
        <vt:lpwstr>_Toc13771301</vt:lpwstr>
      </vt:variant>
      <vt:variant>
        <vt:i4>1048631</vt:i4>
      </vt:variant>
      <vt:variant>
        <vt:i4>734</vt:i4>
      </vt:variant>
      <vt:variant>
        <vt:i4>0</vt:i4>
      </vt:variant>
      <vt:variant>
        <vt:i4>5</vt:i4>
      </vt:variant>
      <vt:variant>
        <vt:lpwstr/>
      </vt:variant>
      <vt:variant>
        <vt:lpwstr>_Toc13771300</vt:lpwstr>
      </vt:variant>
      <vt:variant>
        <vt:i4>1572926</vt:i4>
      </vt:variant>
      <vt:variant>
        <vt:i4>728</vt:i4>
      </vt:variant>
      <vt:variant>
        <vt:i4>0</vt:i4>
      </vt:variant>
      <vt:variant>
        <vt:i4>5</vt:i4>
      </vt:variant>
      <vt:variant>
        <vt:lpwstr/>
      </vt:variant>
      <vt:variant>
        <vt:lpwstr>_Toc13771299</vt:lpwstr>
      </vt:variant>
      <vt:variant>
        <vt:i4>1638462</vt:i4>
      </vt:variant>
      <vt:variant>
        <vt:i4>722</vt:i4>
      </vt:variant>
      <vt:variant>
        <vt:i4>0</vt:i4>
      </vt:variant>
      <vt:variant>
        <vt:i4>5</vt:i4>
      </vt:variant>
      <vt:variant>
        <vt:lpwstr/>
      </vt:variant>
      <vt:variant>
        <vt:lpwstr>_Toc13771298</vt:lpwstr>
      </vt:variant>
      <vt:variant>
        <vt:i4>1441854</vt:i4>
      </vt:variant>
      <vt:variant>
        <vt:i4>716</vt:i4>
      </vt:variant>
      <vt:variant>
        <vt:i4>0</vt:i4>
      </vt:variant>
      <vt:variant>
        <vt:i4>5</vt:i4>
      </vt:variant>
      <vt:variant>
        <vt:lpwstr/>
      </vt:variant>
      <vt:variant>
        <vt:lpwstr>_Toc13771297</vt:lpwstr>
      </vt:variant>
      <vt:variant>
        <vt:i4>1507390</vt:i4>
      </vt:variant>
      <vt:variant>
        <vt:i4>710</vt:i4>
      </vt:variant>
      <vt:variant>
        <vt:i4>0</vt:i4>
      </vt:variant>
      <vt:variant>
        <vt:i4>5</vt:i4>
      </vt:variant>
      <vt:variant>
        <vt:lpwstr/>
      </vt:variant>
      <vt:variant>
        <vt:lpwstr>_Toc13771296</vt:lpwstr>
      </vt:variant>
      <vt:variant>
        <vt:i4>1310782</vt:i4>
      </vt:variant>
      <vt:variant>
        <vt:i4>704</vt:i4>
      </vt:variant>
      <vt:variant>
        <vt:i4>0</vt:i4>
      </vt:variant>
      <vt:variant>
        <vt:i4>5</vt:i4>
      </vt:variant>
      <vt:variant>
        <vt:lpwstr/>
      </vt:variant>
      <vt:variant>
        <vt:lpwstr>_Toc13771295</vt:lpwstr>
      </vt:variant>
      <vt:variant>
        <vt:i4>1376318</vt:i4>
      </vt:variant>
      <vt:variant>
        <vt:i4>698</vt:i4>
      </vt:variant>
      <vt:variant>
        <vt:i4>0</vt:i4>
      </vt:variant>
      <vt:variant>
        <vt:i4>5</vt:i4>
      </vt:variant>
      <vt:variant>
        <vt:lpwstr/>
      </vt:variant>
      <vt:variant>
        <vt:lpwstr>_Toc13771294</vt:lpwstr>
      </vt:variant>
      <vt:variant>
        <vt:i4>1179710</vt:i4>
      </vt:variant>
      <vt:variant>
        <vt:i4>692</vt:i4>
      </vt:variant>
      <vt:variant>
        <vt:i4>0</vt:i4>
      </vt:variant>
      <vt:variant>
        <vt:i4>5</vt:i4>
      </vt:variant>
      <vt:variant>
        <vt:lpwstr/>
      </vt:variant>
      <vt:variant>
        <vt:lpwstr>_Toc13771293</vt:lpwstr>
      </vt:variant>
      <vt:variant>
        <vt:i4>1245246</vt:i4>
      </vt:variant>
      <vt:variant>
        <vt:i4>686</vt:i4>
      </vt:variant>
      <vt:variant>
        <vt:i4>0</vt:i4>
      </vt:variant>
      <vt:variant>
        <vt:i4>5</vt:i4>
      </vt:variant>
      <vt:variant>
        <vt:lpwstr/>
      </vt:variant>
      <vt:variant>
        <vt:lpwstr>_Toc13771292</vt:lpwstr>
      </vt:variant>
      <vt:variant>
        <vt:i4>1048638</vt:i4>
      </vt:variant>
      <vt:variant>
        <vt:i4>680</vt:i4>
      </vt:variant>
      <vt:variant>
        <vt:i4>0</vt:i4>
      </vt:variant>
      <vt:variant>
        <vt:i4>5</vt:i4>
      </vt:variant>
      <vt:variant>
        <vt:lpwstr/>
      </vt:variant>
      <vt:variant>
        <vt:lpwstr>_Toc13771291</vt:lpwstr>
      </vt:variant>
      <vt:variant>
        <vt:i4>1114174</vt:i4>
      </vt:variant>
      <vt:variant>
        <vt:i4>674</vt:i4>
      </vt:variant>
      <vt:variant>
        <vt:i4>0</vt:i4>
      </vt:variant>
      <vt:variant>
        <vt:i4>5</vt:i4>
      </vt:variant>
      <vt:variant>
        <vt:lpwstr/>
      </vt:variant>
      <vt:variant>
        <vt:lpwstr>_Toc13771290</vt:lpwstr>
      </vt:variant>
      <vt:variant>
        <vt:i4>1572927</vt:i4>
      </vt:variant>
      <vt:variant>
        <vt:i4>668</vt:i4>
      </vt:variant>
      <vt:variant>
        <vt:i4>0</vt:i4>
      </vt:variant>
      <vt:variant>
        <vt:i4>5</vt:i4>
      </vt:variant>
      <vt:variant>
        <vt:lpwstr/>
      </vt:variant>
      <vt:variant>
        <vt:lpwstr>_Toc13771289</vt:lpwstr>
      </vt:variant>
      <vt:variant>
        <vt:i4>1638463</vt:i4>
      </vt:variant>
      <vt:variant>
        <vt:i4>662</vt:i4>
      </vt:variant>
      <vt:variant>
        <vt:i4>0</vt:i4>
      </vt:variant>
      <vt:variant>
        <vt:i4>5</vt:i4>
      </vt:variant>
      <vt:variant>
        <vt:lpwstr/>
      </vt:variant>
      <vt:variant>
        <vt:lpwstr>_Toc13771288</vt:lpwstr>
      </vt:variant>
      <vt:variant>
        <vt:i4>1441855</vt:i4>
      </vt:variant>
      <vt:variant>
        <vt:i4>656</vt:i4>
      </vt:variant>
      <vt:variant>
        <vt:i4>0</vt:i4>
      </vt:variant>
      <vt:variant>
        <vt:i4>5</vt:i4>
      </vt:variant>
      <vt:variant>
        <vt:lpwstr/>
      </vt:variant>
      <vt:variant>
        <vt:lpwstr>_Toc13771287</vt:lpwstr>
      </vt:variant>
      <vt:variant>
        <vt:i4>1507377</vt:i4>
      </vt:variant>
      <vt:variant>
        <vt:i4>650</vt:i4>
      </vt:variant>
      <vt:variant>
        <vt:i4>0</vt:i4>
      </vt:variant>
      <vt:variant>
        <vt:i4>5</vt:i4>
      </vt:variant>
      <vt:variant>
        <vt:lpwstr/>
      </vt:variant>
      <vt:variant>
        <vt:lpwstr>_Toc13771266</vt:lpwstr>
      </vt:variant>
      <vt:variant>
        <vt:i4>1310769</vt:i4>
      </vt:variant>
      <vt:variant>
        <vt:i4>644</vt:i4>
      </vt:variant>
      <vt:variant>
        <vt:i4>0</vt:i4>
      </vt:variant>
      <vt:variant>
        <vt:i4>5</vt:i4>
      </vt:variant>
      <vt:variant>
        <vt:lpwstr/>
      </vt:variant>
      <vt:variant>
        <vt:lpwstr>_Toc13771265</vt:lpwstr>
      </vt:variant>
      <vt:variant>
        <vt:i4>1376305</vt:i4>
      </vt:variant>
      <vt:variant>
        <vt:i4>638</vt:i4>
      </vt:variant>
      <vt:variant>
        <vt:i4>0</vt:i4>
      </vt:variant>
      <vt:variant>
        <vt:i4>5</vt:i4>
      </vt:variant>
      <vt:variant>
        <vt:lpwstr/>
      </vt:variant>
      <vt:variant>
        <vt:lpwstr>_Toc13771264</vt:lpwstr>
      </vt:variant>
      <vt:variant>
        <vt:i4>1179697</vt:i4>
      </vt:variant>
      <vt:variant>
        <vt:i4>632</vt:i4>
      </vt:variant>
      <vt:variant>
        <vt:i4>0</vt:i4>
      </vt:variant>
      <vt:variant>
        <vt:i4>5</vt:i4>
      </vt:variant>
      <vt:variant>
        <vt:lpwstr/>
      </vt:variant>
      <vt:variant>
        <vt:lpwstr>_Toc13771263</vt:lpwstr>
      </vt:variant>
      <vt:variant>
        <vt:i4>1245233</vt:i4>
      </vt:variant>
      <vt:variant>
        <vt:i4>626</vt:i4>
      </vt:variant>
      <vt:variant>
        <vt:i4>0</vt:i4>
      </vt:variant>
      <vt:variant>
        <vt:i4>5</vt:i4>
      </vt:variant>
      <vt:variant>
        <vt:lpwstr/>
      </vt:variant>
      <vt:variant>
        <vt:lpwstr>_Toc13771262</vt:lpwstr>
      </vt:variant>
      <vt:variant>
        <vt:i4>1048625</vt:i4>
      </vt:variant>
      <vt:variant>
        <vt:i4>620</vt:i4>
      </vt:variant>
      <vt:variant>
        <vt:i4>0</vt:i4>
      </vt:variant>
      <vt:variant>
        <vt:i4>5</vt:i4>
      </vt:variant>
      <vt:variant>
        <vt:lpwstr/>
      </vt:variant>
      <vt:variant>
        <vt:lpwstr>_Toc13771261</vt:lpwstr>
      </vt:variant>
      <vt:variant>
        <vt:i4>1114161</vt:i4>
      </vt:variant>
      <vt:variant>
        <vt:i4>614</vt:i4>
      </vt:variant>
      <vt:variant>
        <vt:i4>0</vt:i4>
      </vt:variant>
      <vt:variant>
        <vt:i4>5</vt:i4>
      </vt:variant>
      <vt:variant>
        <vt:lpwstr/>
      </vt:variant>
      <vt:variant>
        <vt:lpwstr>_Toc13771260</vt:lpwstr>
      </vt:variant>
      <vt:variant>
        <vt:i4>1572914</vt:i4>
      </vt:variant>
      <vt:variant>
        <vt:i4>608</vt:i4>
      </vt:variant>
      <vt:variant>
        <vt:i4>0</vt:i4>
      </vt:variant>
      <vt:variant>
        <vt:i4>5</vt:i4>
      </vt:variant>
      <vt:variant>
        <vt:lpwstr/>
      </vt:variant>
      <vt:variant>
        <vt:lpwstr>_Toc13771259</vt:lpwstr>
      </vt:variant>
      <vt:variant>
        <vt:i4>1638450</vt:i4>
      </vt:variant>
      <vt:variant>
        <vt:i4>602</vt:i4>
      </vt:variant>
      <vt:variant>
        <vt:i4>0</vt:i4>
      </vt:variant>
      <vt:variant>
        <vt:i4>5</vt:i4>
      </vt:variant>
      <vt:variant>
        <vt:lpwstr/>
      </vt:variant>
      <vt:variant>
        <vt:lpwstr>_Toc13771258</vt:lpwstr>
      </vt:variant>
      <vt:variant>
        <vt:i4>1441842</vt:i4>
      </vt:variant>
      <vt:variant>
        <vt:i4>596</vt:i4>
      </vt:variant>
      <vt:variant>
        <vt:i4>0</vt:i4>
      </vt:variant>
      <vt:variant>
        <vt:i4>5</vt:i4>
      </vt:variant>
      <vt:variant>
        <vt:lpwstr/>
      </vt:variant>
      <vt:variant>
        <vt:lpwstr>_Toc13771257</vt:lpwstr>
      </vt:variant>
      <vt:variant>
        <vt:i4>1507378</vt:i4>
      </vt:variant>
      <vt:variant>
        <vt:i4>590</vt:i4>
      </vt:variant>
      <vt:variant>
        <vt:i4>0</vt:i4>
      </vt:variant>
      <vt:variant>
        <vt:i4>5</vt:i4>
      </vt:variant>
      <vt:variant>
        <vt:lpwstr/>
      </vt:variant>
      <vt:variant>
        <vt:lpwstr>_Toc13771256</vt:lpwstr>
      </vt:variant>
      <vt:variant>
        <vt:i4>1310770</vt:i4>
      </vt:variant>
      <vt:variant>
        <vt:i4>584</vt:i4>
      </vt:variant>
      <vt:variant>
        <vt:i4>0</vt:i4>
      </vt:variant>
      <vt:variant>
        <vt:i4>5</vt:i4>
      </vt:variant>
      <vt:variant>
        <vt:lpwstr/>
      </vt:variant>
      <vt:variant>
        <vt:lpwstr>_Toc13771255</vt:lpwstr>
      </vt:variant>
      <vt:variant>
        <vt:i4>1376306</vt:i4>
      </vt:variant>
      <vt:variant>
        <vt:i4>578</vt:i4>
      </vt:variant>
      <vt:variant>
        <vt:i4>0</vt:i4>
      </vt:variant>
      <vt:variant>
        <vt:i4>5</vt:i4>
      </vt:variant>
      <vt:variant>
        <vt:lpwstr/>
      </vt:variant>
      <vt:variant>
        <vt:lpwstr>_Toc13771254</vt:lpwstr>
      </vt:variant>
      <vt:variant>
        <vt:i4>1179698</vt:i4>
      </vt:variant>
      <vt:variant>
        <vt:i4>572</vt:i4>
      </vt:variant>
      <vt:variant>
        <vt:i4>0</vt:i4>
      </vt:variant>
      <vt:variant>
        <vt:i4>5</vt:i4>
      </vt:variant>
      <vt:variant>
        <vt:lpwstr/>
      </vt:variant>
      <vt:variant>
        <vt:lpwstr>_Toc13771253</vt:lpwstr>
      </vt:variant>
      <vt:variant>
        <vt:i4>1245234</vt:i4>
      </vt:variant>
      <vt:variant>
        <vt:i4>566</vt:i4>
      </vt:variant>
      <vt:variant>
        <vt:i4>0</vt:i4>
      </vt:variant>
      <vt:variant>
        <vt:i4>5</vt:i4>
      </vt:variant>
      <vt:variant>
        <vt:lpwstr/>
      </vt:variant>
      <vt:variant>
        <vt:lpwstr>_Toc13771252</vt:lpwstr>
      </vt:variant>
      <vt:variant>
        <vt:i4>1048626</vt:i4>
      </vt:variant>
      <vt:variant>
        <vt:i4>560</vt:i4>
      </vt:variant>
      <vt:variant>
        <vt:i4>0</vt:i4>
      </vt:variant>
      <vt:variant>
        <vt:i4>5</vt:i4>
      </vt:variant>
      <vt:variant>
        <vt:lpwstr/>
      </vt:variant>
      <vt:variant>
        <vt:lpwstr>_Toc13771251</vt:lpwstr>
      </vt:variant>
      <vt:variant>
        <vt:i4>1114162</vt:i4>
      </vt:variant>
      <vt:variant>
        <vt:i4>554</vt:i4>
      </vt:variant>
      <vt:variant>
        <vt:i4>0</vt:i4>
      </vt:variant>
      <vt:variant>
        <vt:i4>5</vt:i4>
      </vt:variant>
      <vt:variant>
        <vt:lpwstr/>
      </vt:variant>
      <vt:variant>
        <vt:lpwstr>_Toc13771250</vt:lpwstr>
      </vt:variant>
      <vt:variant>
        <vt:i4>1572915</vt:i4>
      </vt:variant>
      <vt:variant>
        <vt:i4>548</vt:i4>
      </vt:variant>
      <vt:variant>
        <vt:i4>0</vt:i4>
      </vt:variant>
      <vt:variant>
        <vt:i4>5</vt:i4>
      </vt:variant>
      <vt:variant>
        <vt:lpwstr/>
      </vt:variant>
      <vt:variant>
        <vt:lpwstr>_Toc13771249</vt:lpwstr>
      </vt:variant>
      <vt:variant>
        <vt:i4>1638451</vt:i4>
      </vt:variant>
      <vt:variant>
        <vt:i4>542</vt:i4>
      </vt:variant>
      <vt:variant>
        <vt:i4>0</vt:i4>
      </vt:variant>
      <vt:variant>
        <vt:i4>5</vt:i4>
      </vt:variant>
      <vt:variant>
        <vt:lpwstr/>
      </vt:variant>
      <vt:variant>
        <vt:lpwstr>_Toc13771248</vt:lpwstr>
      </vt:variant>
      <vt:variant>
        <vt:i4>1441843</vt:i4>
      </vt:variant>
      <vt:variant>
        <vt:i4>536</vt:i4>
      </vt:variant>
      <vt:variant>
        <vt:i4>0</vt:i4>
      </vt:variant>
      <vt:variant>
        <vt:i4>5</vt:i4>
      </vt:variant>
      <vt:variant>
        <vt:lpwstr/>
      </vt:variant>
      <vt:variant>
        <vt:lpwstr>_Toc13771247</vt:lpwstr>
      </vt:variant>
      <vt:variant>
        <vt:i4>1507379</vt:i4>
      </vt:variant>
      <vt:variant>
        <vt:i4>530</vt:i4>
      </vt:variant>
      <vt:variant>
        <vt:i4>0</vt:i4>
      </vt:variant>
      <vt:variant>
        <vt:i4>5</vt:i4>
      </vt:variant>
      <vt:variant>
        <vt:lpwstr/>
      </vt:variant>
      <vt:variant>
        <vt:lpwstr>_Toc13771246</vt:lpwstr>
      </vt:variant>
      <vt:variant>
        <vt:i4>1310771</vt:i4>
      </vt:variant>
      <vt:variant>
        <vt:i4>524</vt:i4>
      </vt:variant>
      <vt:variant>
        <vt:i4>0</vt:i4>
      </vt:variant>
      <vt:variant>
        <vt:i4>5</vt:i4>
      </vt:variant>
      <vt:variant>
        <vt:lpwstr/>
      </vt:variant>
      <vt:variant>
        <vt:lpwstr>_Toc13771245</vt:lpwstr>
      </vt:variant>
      <vt:variant>
        <vt:i4>1376307</vt:i4>
      </vt:variant>
      <vt:variant>
        <vt:i4>518</vt:i4>
      </vt:variant>
      <vt:variant>
        <vt:i4>0</vt:i4>
      </vt:variant>
      <vt:variant>
        <vt:i4>5</vt:i4>
      </vt:variant>
      <vt:variant>
        <vt:lpwstr/>
      </vt:variant>
      <vt:variant>
        <vt:lpwstr>_Toc13771244</vt:lpwstr>
      </vt:variant>
      <vt:variant>
        <vt:i4>1179699</vt:i4>
      </vt:variant>
      <vt:variant>
        <vt:i4>512</vt:i4>
      </vt:variant>
      <vt:variant>
        <vt:i4>0</vt:i4>
      </vt:variant>
      <vt:variant>
        <vt:i4>5</vt:i4>
      </vt:variant>
      <vt:variant>
        <vt:lpwstr/>
      </vt:variant>
      <vt:variant>
        <vt:lpwstr>_Toc13771243</vt:lpwstr>
      </vt:variant>
      <vt:variant>
        <vt:i4>1245235</vt:i4>
      </vt:variant>
      <vt:variant>
        <vt:i4>506</vt:i4>
      </vt:variant>
      <vt:variant>
        <vt:i4>0</vt:i4>
      </vt:variant>
      <vt:variant>
        <vt:i4>5</vt:i4>
      </vt:variant>
      <vt:variant>
        <vt:lpwstr/>
      </vt:variant>
      <vt:variant>
        <vt:lpwstr>_Toc13771242</vt:lpwstr>
      </vt:variant>
      <vt:variant>
        <vt:i4>1048627</vt:i4>
      </vt:variant>
      <vt:variant>
        <vt:i4>500</vt:i4>
      </vt:variant>
      <vt:variant>
        <vt:i4>0</vt:i4>
      </vt:variant>
      <vt:variant>
        <vt:i4>5</vt:i4>
      </vt:variant>
      <vt:variant>
        <vt:lpwstr/>
      </vt:variant>
      <vt:variant>
        <vt:lpwstr>_Toc13771241</vt:lpwstr>
      </vt:variant>
      <vt:variant>
        <vt:i4>1114163</vt:i4>
      </vt:variant>
      <vt:variant>
        <vt:i4>494</vt:i4>
      </vt:variant>
      <vt:variant>
        <vt:i4>0</vt:i4>
      </vt:variant>
      <vt:variant>
        <vt:i4>5</vt:i4>
      </vt:variant>
      <vt:variant>
        <vt:lpwstr/>
      </vt:variant>
      <vt:variant>
        <vt:lpwstr>_Toc13771240</vt:lpwstr>
      </vt:variant>
      <vt:variant>
        <vt:i4>1572916</vt:i4>
      </vt:variant>
      <vt:variant>
        <vt:i4>488</vt:i4>
      </vt:variant>
      <vt:variant>
        <vt:i4>0</vt:i4>
      </vt:variant>
      <vt:variant>
        <vt:i4>5</vt:i4>
      </vt:variant>
      <vt:variant>
        <vt:lpwstr/>
      </vt:variant>
      <vt:variant>
        <vt:lpwstr>_Toc13771239</vt:lpwstr>
      </vt:variant>
      <vt:variant>
        <vt:i4>1638452</vt:i4>
      </vt:variant>
      <vt:variant>
        <vt:i4>482</vt:i4>
      </vt:variant>
      <vt:variant>
        <vt:i4>0</vt:i4>
      </vt:variant>
      <vt:variant>
        <vt:i4>5</vt:i4>
      </vt:variant>
      <vt:variant>
        <vt:lpwstr/>
      </vt:variant>
      <vt:variant>
        <vt:lpwstr>_Toc13771238</vt:lpwstr>
      </vt:variant>
      <vt:variant>
        <vt:i4>1441844</vt:i4>
      </vt:variant>
      <vt:variant>
        <vt:i4>476</vt:i4>
      </vt:variant>
      <vt:variant>
        <vt:i4>0</vt:i4>
      </vt:variant>
      <vt:variant>
        <vt:i4>5</vt:i4>
      </vt:variant>
      <vt:variant>
        <vt:lpwstr/>
      </vt:variant>
      <vt:variant>
        <vt:lpwstr>_Toc13771237</vt:lpwstr>
      </vt:variant>
      <vt:variant>
        <vt:i4>1507380</vt:i4>
      </vt:variant>
      <vt:variant>
        <vt:i4>470</vt:i4>
      </vt:variant>
      <vt:variant>
        <vt:i4>0</vt:i4>
      </vt:variant>
      <vt:variant>
        <vt:i4>5</vt:i4>
      </vt:variant>
      <vt:variant>
        <vt:lpwstr/>
      </vt:variant>
      <vt:variant>
        <vt:lpwstr>_Toc13771236</vt:lpwstr>
      </vt:variant>
      <vt:variant>
        <vt:i4>1310772</vt:i4>
      </vt:variant>
      <vt:variant>
        <vt:i4>464</vt:i4>
      </vt:variant>
      <vt:variant>
        <vt:i4>0</vt:i4>
      </vt:variant>
      <vt:variant>
        <vt:i4>5</vt:i4>
      </vt:variant>
      <vt:variant>
        <vt:lpwstr/>
      </vt:variant>
      <vt:variant>
        <vt:lpwstr>_Toc13771235</vt:lpwstr>
      </vt:variant>
      <vt:variant>
        <vt:i4>1376308</vt:i4>
      </vt:variant>
      <vt:variant>
        <vt:i4>458</vt:i4>
      </vt:variant>
      <vt:variant>
        <vt:i4>0</vt:i4>
      </vt:variant>
      <vt:variant>
        <vt:i4>5</vt:i4>
      </vt:variant>
      <vt:variant>
        <vt:lpwstr/>
      </vt:variant>
      <vt:variant>
        <vt:lpwstr>_Toc13771234</vt:lpwstr>
      </vt:variant>
      <vt:variant>
        <vt:i4>1179700</vt:i4>
      </vt:variant>
      <vt:variant>
        <vt:i4>452</vt:i4>
      </vt:variant>
      <vt:variant>
        <vt:i4>0</vt:i4>
      </vt:variant>
      <vt:variant>
        <vt:i4>5</vt:i4>
      </vt:variant>
      <vt:variant>
        <vt:lpwstr/>
      </vt:variant>
      <vt:variant>
        <vt:lpwstr>_Toc13771233</vt:lpwstr>
      </vt:variant>
      <vt:variant>
        <vt:i4>1245236</vt:i4>
      </vt:variant>
      <vt:variant>
        <vt:i4>446</vt:i4>
      </vt:variant>
      <vt:variant>
        <vt:i4>0</vt:i4>
      </vt:variant>
      <vt:variant>
        <vt:i4>5</vt:i4>
      </vt:variant>
      <vt:variant>
        <vt:lpwstr/>
      </vt:variant>
      <vt:variant>
        <vt:lpwstr>_Toc13771232</vt:lpwstr>
      </vt:variant>
      <vt:variant>
        <vt:i4>1048628</vt:i4>
      </vt:variant>
      <vt:variant>
        <vt:i4>440</vt:i4>
      </vt:variant>
      <vt:variant>
        <vt:i4>0</vt:i4>
      </vt:variant>
      <vt:variant>
        <vt:i4>5</vt:i4>
      </vt:variant>
      <vt:variant>
        <vt:lpwstr/>
      </vt:variant>
      <vt:variant>
        <vt:lpwstr>_Toc13771231</vt:lpwstr>
      </vt:variant>
      <vt:variant>
        <vt:i4>1441845</vt:i4>
      </vt:variant>
      <vt:variant>
        <vt:i4>434</vt:i4>
      </vt:variant>
      <vt:variant>
        <vt:i4>0</vt:i4>
      </vt:variant>
      <vt:variant>
        <vt:i4>5</vt:i4>
      </vt:variant>
      <vt:variant>
        <vt:lpwstr/>
      </vt:variant>
      <vt:variant>
        <vt:lpwstr>_Toc13771227</vt:lpwstr>
      </vt:variant>
      <vt:variant>
        <vt:i4>1507381</vt:i4>
      </vt:variant>
      <vt:variant>
        <vt:i4>428</vt:i4>
      </vt:variant>
      <vt:variant>
        <vt:i4>0</vt:i4>
      </vt:variant>
      <vt:variant>
        <vt:i4>5</vt:i4>
      </vt:variant>
      <vt:variant>
        <vt:lpwstr/>
      </vt:variant>
      <vt:variant>
        <vt:lpwstr>_Toc13771226</vt:lpwstr>
      </vt:variant>
      <vt:variant>
        <vt:i4>1310773</vt:i4>
      </vt:variant>
      <vt:variant>
        <vt:i4>422</vt:i4>
      </vt:variant>
      <vt:variant>
        <vt:i4>0</vt:i4>
      </vt:variant>
      <vt:variant>
        <vt:i4>5</vt:i4>
      </vt:variant>
      <vt:variant>
        <vt:lpwstr/>
      </vt:variant>
      <vt:variant>
        <vt:lpwstr>_Toc13771225</vt:lpwstr>
      </vt:variant>
      <vt:variant>
        <vt:i4>1376309</vt:i4>
      </vt:variant>
      <vt:variant>
        <vt:i4>416</vt:i4>
      </vt:variant>
      <vt:variant>
        <vt:i4>0</vt:i4>
      </vt:variant>
      <vt:variant>
        <vt:i4>5</vt:i4>
      </vt:variant>
      <vt:variant>
        <vt:lpwstr/>
      </vt:variant>
      <vt:variant>
        <vt:lpwstr>_Toc13771224</vt:lpwstr>
      </vt:variant>
      <vt:variant>
        <vt:i4>1179701</vt:i4>
      </vt:variant>
      <vt:variant>
        <vt:i4>410</vt:i4>
      </vt:variant>
      <vt:variant>
        <vt:i4>0</vt:i4>
      </vt:variant>
      <vt:variant>
        <vt:i4>5</vt:i4>
      </vt:variant>
      <vt:variant>
        <vt:lpwstr/>
      </vt:variant>
      <vt:variant>
        <vt:lpwstr>_Toc13771223</vt:lpwstr>
      </vt:variant>
      <vt:variant>
        <vt:i4>1245237</vt:i4>
      </vt:variant>
      <vt:variant>
        <vt:i4>404</vt:i4>
      </vt:variant>
      <vt:variant>
        <vt:i4>0</vt:i4>
      </vt:variant>
      <vt:variant>
        <vt:i4>5</vt:i4>
      </vt:variant>
      <vt:variant>
        <vt:lpwstr/>
      </vt:variant>
      <vt:variant>
        <vt:lpwstr>_Toc13771222</vt:lpwstr>
      </vt:variant>
      <vt:variant>
        <vt:i4>1048629</vt:i4>
      </vt:variant>
      <vt:variant>
        <vt:i4>398</vt:i4>
      </vt:variant>
      <vt:variant>
        <vt:i4>0</vt:i4>
      </vt:variant>
      <vt:variant>
        <vt:i4>5</vt:i4>
      </vt:variant>
      <vt:variant>
        <vt:lpwstr/>
      </vt:variant>
      <vt:variant>
        <vt:lpwstr>_Toc13771221</vt:lpwstr>
      </vt:variant>
      <vt:variant>
        <vt:i4>1114165</vt:i4>
      </vt:variant>
      <vt:variant>
        <vt:i4>392</vt:i4>
      </vt:variant>
      <vt:variant>
        <vt:i4>0</vt:i4>
      </vt:variant>
      <vt:variant>
        <vt:i4>5</vt:i4>
      </vt:variant>
      <vt:variant>
        <vt:lpwstr/>
      </vt:variant>
      <vt:variant>
        <vt:lpwstr>_Toc13771220</vt:lpwstr>
      </vt:variant>
      <vt:variant>
        <vt:i4>1572918</vt:i4>
      </vt:variant>
      <vt:variant>
        <vt:i4>386</vt:i4>
      </vt:variant>
      <vt:variant>
        <vt:i4>0</vt:i4>
      </vt:variant>
      <vt:variant>
        <vt:i4>5</vt:i4>
      </vt:variant>
      <vt:variant>
        <vt:lpwstr/>
      </vt:variant>
      <vt:variant>
        <vt:lpwstr>_Toc13771219</vt:lpwstr>
      </vt:variant>
      <vt:variant>
        <vt:i4>1638454</vt:i4>
      </vt:variant>
      <vt:variant>
        <vt:i4>380</vt:i4>
      </vt:variant>
      <vt:variant>
        <vt:i4>0</vt:i4>
      </vt:variant>
      <vt:variant>
        <vt:i4>5</vt:i4>
      </vt:variant>
      <vt:variant>
        <vt:lpwstr/>
      </vt:variant>
      <vt:variant>
        <vt:lpwstr>_Toc13771218</vt:lpwstr>
      </vt:variant>
      <vt:variant>
        <vt:i4>1441846</vt:i4>
      </vt:variant>
      <vt:variant>
        <vt:i4>374</vt:i4>
      </vt:variant>
      <vt:variant>
        <vt:i4>0</vt:i4>
      </vt:variant>
      <vt:variant>
        <vt:i4>5</vt:i4>
      </vt:variant>
      <vt:variant>
        <vt:lpwstr/>
      </vt:variant>
      <vt:variant>
        <vt:lpwstr>_Toc13771217</vt:lpwstr>
      </vt:variant>
      <vt:variant>
        <vt:i4>1507382</vt:i4>
      </vt:variant>
      <vt:variant>
        <vt:i4>368</vt:i4>
      </vt:variant>
      <vt:variant>
        <vt:i4>0</vt:i4>
      </vt:variant>
      <vt:variant>
        <vt:i4>5</vt:i4>
      </vt:variant>
      <vt:variant>
        <vt:lpwstr/>
      </vt:variant>
      <vt:variant>
        <vt:lpwstr>_Toc13771216</vt:lpwstr>
      </vt:variant>
      <vt:variant>
        <vt:i4>1310774</vt:i4>
      </vt:variant>
      <vt:variant>
        <vt:i4>362</vt:i4>
      </vt:variant>
      <vt:variant>
        <vt:i4>0</vt:i4>
      </vt:variant>
      <vt:variant>
        <vt:i4>5</vt:i4>
      </vt:variant>
      <vt:variant>
        <vt:lpwstr/>
      </vt:variant>
      <vt:variant>
        <vt:lpwstr>_Toc13771215</vt:lpwstr>
      </vt:variant>
      <vt:variant>
        <vt:i4>1376310</vt:i4>
      </vt:variant>
      <vt:variant>
        <vt:i4>356</vt:i4>
      </vt:variant>
      <vt:variant>
        <vt:i4>0</vt:i4>
      </vt:variant>
      <vt:variant>
        <vt:i4>5</vt:i4>
      </vt:variant>
      <vt:variant>
        <vt:lpwstr/>
      </vt:variant>
      <vt:variant>
        <vt:lpwstr>_Toc13771214</vt:lpwstr>
      </vt:variant>
      <vt:variant>
        <vt:i4>1179702</vt:i4>
      </vt:variant>
      <vt:variant>
        <vt:i4>350</vt:i4>
      </vt:variant>
      <vt:variant>
        <vt:i4>0</vt:i4>
      </vt:variant>
      <vt:variant>
        <vt:i4>5</vt:i4>
      </vt:variant>
      <vt:variant>
        <vt:lpwstr/>
      </vt:variant>
      <vt:variant>
        <vt:lpwstr>_Toc13771213</vt:lpwstr>
      </vt:variant>
      <vt:variant>
        <vt:i4>1245238</vt:i4>
      </vt:variant>
      <vt:variant>
        <vt:i4>344</vt:i4>
      </vt:variant>
      <vt:variant>
        <vt:i4>0</vt:i4>
      </vt:variant>
      <vt:variant>
        <vt:i4>5</vt:i4>
      </vt:variant>
      <vt:variant>
        <vt:lpwstr/>
      </vt:variant>
      <vt:variant>
        <vt:lpwstr>_Toc13771212</vt:lpwstr>
      </vt:variant>
      <vt:variant>
        <vt:i4>1048630</vt:i4>
      </vt:variant>
      <vt:variant>
        <vt:i4>338</vt:i4>
      </vt:variant>
      <vt:variant>
        <vt:i4>0</vt:i4>
      </vt:variant>
      <vt:variant>
        <vt:i4>5</vt:i4>
      </vt:variant>
      <vt:variant>
        <vt:lpwstr/>
      </vt:variant>
      <vt:variant>
        <vt:lpwstr>_Toc13771211</vt:lpwstr>
      </vt:variant>
      <vt:variant>
        <vt:i4>1114166</vt:i4>
      </vt:variant>
      <vt:variant>
        <vt:i4>332</vt:i4>
      </vt:variant>
      <vt:variant>
        <vt:i4>0</vt:i4>
      </vt:variant>
      <vt:variant>
        <vt:i4>5</vt:i4>
      </vt:variant>
      <vt:variant>
        <vt:lpwstr/>
      </vt:variant>
      <vt:variant>
        <vt:lpwstr>_Toc13771210</vt:lpwstr>
      </vt:variant>
      <vt:variant>
        <vt:i4>1572919</vt:i4>
      </vt:variant>
      <vt:variant>
        <vt:i4>326</vt:i4>
      </vt:variant>
      <vt:variant>
        <vt:i4>0</vt:i4>
      </vt:variant>
      <vt:variant>
        <vt:i4>5</vt:i4>
      </vt:variant>
      <vt:variant>
        <vt:lpwstr/>
      </vt:variant>
      <vt:variant>
        <vt:lpwstr>_Toc13771209</vt:lpwstr>
      </vt:variant>
      <vt:variant>
        <vt:i4>1638455</vt:i4>
      </vt:variant>
      <vt:variant>
        <vt:i4>320</vt:i4>
      </vt:variant>
      <vt:variant>
        <vt:i4>0</vt:i4>
      </vt:variant>
      <vt:variant>
        <vt:i4>5</vt:i4>
      </vt:variant>
      <vt:variant>
        <vt:lpwstr/>
      </vt:variant>
      <vt:variant>
        <vt:lpwstr>_Toc13771208</vt:lpwstr>
      </vt:variant>
      <vt:variant>
        <vt:i4>1441847</vt:i4>
      </vt:variant>
      <vt:variant>
        <vt:i4>314</vt:i4>
      </vt:variant>
      <vt:variant>
        <vt:i4>0</vt:i4>
      </vt:variant>
      <vt:variant>
        <vt:i4>5</vt:i4>
      </vt:variant>
      <vt:variant>
        <vt:lpwstr/>
      </vt:variant>
      <vt:variant>
        <vt:lpwstr>_Toc13771207</vt:lpwstr>
      </vt:variant>
      <vt:variant>
        <vt:i4>1507383</vt:i4>
      </vt:variant>
      <vt:variant>
        <vt:i4>308</vt:i4>
      </vt:variant>
      <vt:variant>
        <vt:i4>0</vt:i4>
      </vt:variant>
      <vt:variant>
        <vt:i4>5</vt:i4>
      </vt:variant>
      <vt:variant>
        <vt:lpwstr/>
      </vt:variant>
      <vt:variant>
        <vt:lpwstr>_Toc13771206</vt:lpwstr>
      </vt:variant>
      <vt:variant>
        <vt:i4>1310775</vt:i4>
      </vt:variant>
      <vt:variant>
        <vt:i4>302</vt:i4>
      </vt:variant>
      <vt:variant>
        <vt:i4>0</vt:i4>
      </vt:variant>
      <vt:variant>
        <vt:i4>5</vt:i4>
      </vt:variant>
      <vt:variant>
        <vt:lpwstr/>
      </vt:variant>
      <vt:variant>
        <vt:lpwstr>_Toc13771205</vt:lpwstr>
      </vt:variant>
      <vt:variant>
        <vt:i4>1376311</vt:i4>
      </vt:variant>
      <vt:variant>
        <vt:i4>296</vt:i4>
      </vt:variant>
      <vt:variant>
        <vt:i4>0</vt:i4>
      </vt:variant>
      <vt:variant>
        <vt:i4>5</vt:i4>
      </vt:variant>
      <vt:variant>
        <vt:lpwstr/>
      </vt:variant>
      <vt:variant>
        <vt:lpwstr>_Toc13771204</vt:lpwstr>
      </vt:variant>
      <vt:variant>
        <vt:i4>1179703</vt:i4>
      </vt:variant>
      <vt:variant>
        <vt:i4>290</vt:i4>
      </vt:variant>
      <vt:variant>
        <vt:i4>0</vt:i4>
      </vt:variant>
      <vt:variant>
        <vt:i4>5</vt:i4>
      </vt:variant>
      <vt:variant>
        <vt:lpwstr/>
      </vt:variant>
      <vt:variant>
        <vt:lpwstr>_Toc13771203</vt:lpwstr>
      </vt:variant>
      <vt:variant>
        <vt:i4>1245239</vt:i4>
      </vt:variant>
      <vt:variant>
        <vt:i4>284</vt:i4>
      </vt:variant>
      <vt:variant>
        <vt:i4>0</vt:i4>
      </vt:variant>
      <vt:variant>
        <vt:i4>5</vt:i4>
      </vt:variant>
      <vt:variant>
        <vt:lpwstr/>
      </vt:variant>
      <vt:variant>
        <vt:lpwstr>_Toc13771202</vt:lpwstr>
      </vt:variant>
      <vt:variant>
        <vt:i4>1048631</vt:i4>
      </vt:variant>
      <vt:variant>
        <vt:i4>278</vt:i4>
      </vt:variant>
      <vt:variant>
        <vt:i4>0</vt:i4>
      </vt:variant>
      <vt:variant>
        <vt:i4>5</vt:i4>
      </vt:variant>
      <vt:variant>
        <vt:lpwstr/>
      </vt:variant>
      <vt:variant>
        <vt:lpwstr>_Toc13771201</vt:lpwstr>
      </vt:variant>
      <vt:variant>
        <vt:i4>1114167</vt:i4>
      </vt:variant>
      <vt:variant>
        <vt:i4>272</vt:i4>
      </vt:variant>
      <vt:variant>
        <vt:i4>0</vt:i4>
      </vt:variant>
      <vt:variant>
        <vt:i4>5</vt:i4>
      </vt:variant>
      <vt:variant>
        <vt:lpwstr/>
      </vt:variant>
      <vt:variant>
        <vt:lpwstr>_Toc13771200</vt:lpwstr>
      </vt:variant>
      <vt:variant>
        <vt:i4>1769534</vt:i4>
      </vt:variant>
      <vt:variant>
        <vt:i4>266</vt:i4>
      </vt:variant>
      <vt:variant>
        <vt:i4>0</vt:i4>
      </vt:variant>
      <vt:variant>
        <vt:i4>5</vt:i4>
      </vt:variant>
      <vt:variant>
        <vt:lpwstr/>
      </vt:variant>
      <vt:variant>
        <vt:lpwstr>_Toc13771199</vt:lpwstr>
      </vt:variant>
      <vt:variant>
        <vt:i4>1703998</vt:i4>
      </vt:variant>
      <vt:variant>
        <vt:i4>260</vt:i4>
      </vt:variant>
      <vt:variant>
        <vt:i4>0</vt:i4>
      </vt:variant>
      <vt:variant>
        <vt:i4>5</vt:i4>
      </vt:variant>
      <vt:variant>
        <vt:lpwstr/>
      </vt:variant>
      <vt:variant>
        <vt:lpwstr>_Toc13771198</vt:lpwstr>
      </vt:variant>
      <vt:variant>
        <vt:i4>1376318</vt:i4>
      </vt:variant>
      <vt:variant>
        <vt:i4>254</vt:i4>
      </vt:variant>
      <vt:variant>
        <vt:i4>0</vt:i4>
      </vt:variant>
      <vt:variant>
        <vt:i4>5</vt:i4>
      </vt:variant>
      <vt:variant>
        <vt:lpwstr/>
      </vt:variant>
      <vt:variant>
        <vt:lpwstr>_Toc13771197</vt:lpwstr>
      </vt:variant>
      <vt:variant>
        <vt:i4>1310782</vt:i4>
      </vt:variant>
      <vt:variant>
        <vt:i4>248</vt:i4>
      </vt:variant>
      <vt:variant>
        <vt:i4>0</vt:i4>
      </vt:variant>
      <vt:variant>
        <vt:i4>5</vt:i4>
      </vt:variant>
      <vt:variant>
        <vt:lpwstr/>
      </vt:variant>
      <vt:variant>
        <vt:lpwstr>_Toc13771196</vt:lpwstr>
      </vt:variant>
      <vt:variant>
        <vt:i4>1507390</vt:i4>
      </vt:variant>
      <vt:variant>
        <vt:i4>242</vt:i4>
      </vt:variant>
      <vt:variant>
        <vt:i4>0</vt:i4>
      </vt:variant>
      <vt:variant>
        <vt:i4>5</vt:i4>
      </vt:variant>
      <vt:variant>
        <vt:lpwstr/>
      </vt:variant>
      <vt:variant>
        <vt:lpwstr>_Toc13771195</vt:lpwstr>
      </vt:variant>
      <vt:variant>
        <vt:i4>1441854</vt:i4>
      </vt:variant>
      <vt:variant>
        <vt:i4>236</vt:i4>
      </vt:variant>
      <vt:variant>
        <vt:i4>0</vt:i4>
      </vt:variant>
      <vt:variant>
        <vt:i4>5</vt:i4>
      </vt:variant>
      <vt:variant>
        <vt:lpwstr/>
      </vt:variant>
      <vt:variant>
        <vt:lpwstr>_Toc13771194</vt:lpwstr>
      </vt:variant>
      <vt:variant>
        <vt:i4>1114174</vt:i4>
      </vt:variant>
      <vt:variant>
        <vt:i4>230</vt:i4>
      </vt:variant>
      <vt:variant>
        <vt:i4>0</vt:i4>
      </vt:variant>
      <vt:variant>
        <vt:i4>5</vt:i4>
      </vt:variant>
      <vt:variant>
        <vt:lpwstr/>
      </vt:variant>
      <vt:variant>
        <vt:lpwstr>_Toc13771193</vt:lpwstr>
      </vt:variant>
      <vt:variant>
        <vt:i4>1048638</vt:i4>
      </vt:variant>
      <vt:variant>
        <vt:i4>224</vt:i4>
      </vt:variant>
      <vt:variant>
        <vt:i4>0</vt:i4>
      </vt:variant>
      <vt:variant>
        <vt:i4>5</vt:i4>
      </vt:variant>
      <vt:variant>
        <vt:lpwstr/>
      </vt:variant>
      <vt:variant>
        <vt:lpwstr>_Toc13771192</vt:lpwstr>
      </vt:variant>
      <vt:variant>
        <vt:i4>1245246</vt:i4>
      </vt:variant>
      <vt:variant>
        <vt:i4>218</vt:i4>
      </vt:variant>
      <vt:variant>
        <vt:i4>0</vt:i4>
      </vt:variant>
      <vt:variant>
        <vt:i4>5</vt:i4>
      </vt:variant>
      <vt:variant>
        <vt:lpwstr/>
      </vt:variant>
      <vt:variant>
        <vt:lpwstr>_Toc13771191</vt:lpwstr>
      </vt:variant>
      <vt:variant>
        <vt:i4>1179710</vt:i4>
      </vt:variant>
      <vt:variant>
        <vt:i4>212</vt:i4>
      </vt:variant>
      <vt:variant>
        <vt:i4>0</vt:i4>
      </vt:variant>
      <vt:variant>
        <vt:i4>5</vt:i4>
      </vt:variant>
      <vt:variant>
        <vt:lpwstr/>
      </vt:variant>
      <vt:variant>
        <vt:lpwstr>_Toc13771190</vt:lpwstr>
      </vt:variant>
      <vt:variant>
        <vt:i4>1769535</vt:i4>
      </vt:variant>
      <vt:variant>
        <vt:i4>206</vt:i4>
      </vt:variant>
      <vt:variant>
        <vt:i4>0</vt:i4>
      </vt:variant>
      <vt:variant>
        <vt:i4>5</vt:i4>
      </vt:variant>
      <vt:variant>
        <vt:lpwstr/>
      </vt:variant>
      <vt:variant>
        <vt:lpwstr>_Toc13771189</vt:lpwstr>
      </vt:variant>
      <vt:variant>
        <vt:i4>1703999</vt:i4>
      </vt:variant>
      <vt:variant>
        <vt:i4>200</vt:i4>
      </vt:variant>
      <vt:variant>
        <vt:i4>0</vt:i4>
      </vt:variant>
      <vt:variant>
        <vt:i4>5</vt:i4>
      </vt:variant>
      <vt:variant>
        <vt:lpwstr/>
      </vt:variant>
      <vt:variant>
        <vt:lpwstr>_Toc13771188</vt:lpwstr>
      </vt:variant>
      <vt:variant>
        <vt:i4>1376319</vt:i4>
      </vt:variant>
      <vt:variant>
        <vt:i4>194</vt:i4>
      </vt:variant>
      <vt:variant>
        <vt:i4>0</vt:i4>
      </vt:variant>
      <vt:variant>
        <vt:i4>5</vt:i4>
      </vt:variant>
      <vt:variant>
        <vt:lpwstr/>
      </vt:variant>
      <vt:variant>
        <vt:lpwstr>_Toc13771187</vt:lpwstr>
      </vt:variant>
      <vt:variant>
        <vt:i4>1310783</vt:i4>
      </vt:variant>
      <vt:variant>
        <vt:i4>188</vt:i4>
      </vt:variant>
      <vt:variant>
        <vt:i4>0</vt:i4>
      </vt:variant>
      <vt:variant>
        <vt:i4>5</vt:i4>
      </vt:variant>
      <vt:variant>
        <vt:lpwstr/>
      </vt:variant>
      <vt:variant>
        <vt:lpwstr>_Toc13771186</vt:lpwstr>
      </vt:variant>
      <vt:variant>
        <vt:i4>1507391</vt:i4>
      </vt:variant>
      <vt:variant>
        <vt:i4>182</vt:i4>
      </vt:variant>
      <vt:variant>
        <vt:i4>0</vt:i4>
      </vt:variant>
      <vt:variant>
        <vt:i4>5</vt:i4>
      </vt:variant>
      <vt:variant>
        <vt:lpwstr/>
      </vt:variant>
      <vt:variant>
        <vt:lpwstr>_Toc13771185</vt:lpwstr>
      </vt:variant>
      <vt:variant>
        <vt:i4>1441855</vt:i4>
      </vt:variant>
      <vt:variant>
        <vt:i4>176</vt:i4>
      </vt:variant>
      <vt:variant>
        <vt:i4>0</vt:i4>
      </vt:variant>
      <vt:variant>
        <vt:i4>5</vt:i4>
      </vt:variant>
      <vt:variant>
        <vt:lpwstr/>
      </vt:variant>
      <vt:variant>
        <vt:lpwstr>_Toc13771184</vt:lpwstr>
      </vt:variant>
      <vt:variant>
        <vt:i4>1114175</vt:i4>
      </vt:variant>
      <vt:variant>
        <vt:i4>170</vt:i4>
      </vt:variant>
      <vt:variant>
        <vt:i4>0</vt:i4>
      </vt:variant>
      <vt:variant>
        <vt:i4>5</vt:i4>
      </vt:variant>
      <vt:variant>
        <vt:lpwstr/>
      </vt:variant>
      <vt:variant>
        <vt:lpwstr>_Toc13771183</vt:lpwstr>
      </vt:variant>
      <vt:variant>
        <vt:i4>1048639</vt:i4>
      </vt:variant>
      <vt:variant>
        <vt:i4>164</vt:i4>
      </vt:variant>
      <vt:variant>
        <vt:i4>0</vt:i4>
      </vt:variant>
      <vt:variant>
        <vt:i4>5</vt:i4>
      </vt:variant>
      <vt:variant>
        <vt:lpwstr/>
      </vt:variant>
      <vt:variant>
        <vt:lpwstr>_Toc13771182</vt:lpwstr>
      </vt:variant>
      <vt:variant>
        <vt:i4>1245247</vt:i4>
      </vt:variant>
      <vt:variant>
        <vt:i4>158</vt:i4>
      </vt:variant>
      <vt:variant>
        <vt:i4>0</vt:i4>
      </vt:variant>
      <vt:variant>
        <vt:i4>5</vt:i4>
      </vt:variant>
      <vt:variant>
        <vt:lpwstr/>
      </vt:variant>
      <vt:variant>
        <vt:lpwstr>_Toc13771181</vt:lpwstr>
      </vt:variant>
      <vt:variant>
        <vt:i4>1769520</vt:i4>
      </vt:variant>
      <vt:variant>
        <vt:i4>152</vt:i4>
      </vt:variant>
      <vt:variant>
        <vt:i4>0</vt:i4>
      </vt:variant>
      <vt:variant>
        <vt:i4>5</vt:i4>
      </vt:variant>
      <vt:variant>
        <vt:lpwstr/>
      </vt:variant>
      <vt:variant>
        <vt:lpwstr>_Toc13771179</vt:lpwstr>
      </vt:variant>
      <vt:variant>
        <vt:i4>1703984</vt:i4>
      </vt:variant>
      <vt:variant>
        <vt:i4>146</vt:i4>
      </vt:variant>
      <vt:variant>
        <vt:i4>0</vt:i4>
      </vt:variant>
      <vt:variant>
        <vt:i4>5</vt:i4>
      </vt:variant>
      <vt:variant>
        <vt:lpwstr/>
      </vt:variant>
      <vt:variant>
        <vt:lpwstr>_Toc13771178</vt:lpwstr>
      </vt:variant>
      <vt:variant>
        <vt:i4>1376304</vt:i4>
      </vt:variant>
      <vt:variant>
        <vt:i4>140</vt:i4>
      </vt:variant>
      <vt:variant>
        <vt:i4>0</vt:i4>
      </vt:variant>
      <vt:variant>
        <vt:i4>5</vt:i4>
      </vt:variant>
      <vt:variant>
        <vt:lpwstr/>
      </vt:variant>
      <vt:variant>
        <vt:lpwstr>_Toc13771177</vt:lpwstr>
      </vt:variant>
      <vt:variant>
        <vt:i4>1310768</vt:i4>
      </vt:variant>
      <vt:variant>
        <vt:i4>134</vt:i4>
      </vt:variant>
      <vt:variant>
        <vt:i4>0</vt:i4>
      </vt:variant>
      <vt:variant>
        <vt:i4>5</vt:i4>
      </vt:variant>
      <vt:variant>
        <vt:lpwstr/>
      </vt:variant>
      <vt:variant>
        <vt:lpwstr>_Toc13771176</vt:lpwstr>
      </vt:variant>
      <vt:variant>
        <vt:i4>1507376</vt:i4>
      </vt:variant>
      <vt:variant>
        <vt:i4>128</vt:i4>
      </vt:variant>
      <vt:variant>
        <vt:i4>0</vt:i4>
      </vt:variant>
      <vt:variant>
        <vt:i4>5</vt:i4>
      </vt:variant>
      <vt:variant>
        <vt:lpwstr/>
      </vt:variant>
      <vt:variant>
        <vt:lpwstr>_Toc13771175</vt:lpwstr>
      </vt:variant>
      <vt:variant>
        <vt:i4>1441840</vt:i4>
      </vt:variant>
      <vt:variant>
        <vt:i4>122</vt:i4>
      </vt:variant>
      <vt:variant>
        <vt:i4>0</vt:i4>
      </vt:variant>
      <vt:variant>
        <vt:i4>5</vt:i4>
      </vt:variant>
      <vt:variant>
        <vt:lpwstr/>
      </vt:variant>
      <vt:variant>
        <vt:lpwstr>_Toc13771174</vt:lpwstr>
      </vt:variant>
      <vt:variant>
        <vt:i4>1114160</vt:i4>
      </vt:variant>
      <vt:variant>
        <vt:i4>116</vt:i4>
      </vt:variant>
      <vt:variant>
        <vt:i4>0</vt:i4>
      </vt:variant>
      <vt:variant>
        <vt:i4>5</vt:i4>
      </vt:variant>
      <vt:variant>
        <vt:lpwstr/>
      </vt:variant>
      <vt:variant>
        <vt:lpwstr>_Toc13771173</vt:lpwstr>
      </vt:variant>
      <vt:variant>
        <vt:i4>1048624</vt:i4>
      </vt:variant>
      <vt:variant>
        <vt:i4>110</vt:i4>
      </vt:variant>
      <vt:variant>
        <vt:i4>0</vt:i4>
      </vt:variant>
      <vt:variant>
        <vt:i4>5</vt:i4>
      </vt:variant>
      <vt:variant>
        <vt:lpwstr/>
      </vt:variant>
      <vt:variant>
        <vt:lpwstr>_Toc13771172</vt:lpwstr>
      </vt:variant>
      <vt:variant>
        <vt:i4>1245232</vt:i4>
      </vt:variant>
      <vt:variant>
        <vt:i4>104</vt:i4>
      </vt:variant>
      <vt:variant>
        <vt:i4>0</vt:i4>
      </vt:variant>
      <vt:variant>
        <vt:i4>5</vt:i4>
      </vt:variant>
      <vt:variant>
        <vt:lpwstr/>
      </vt:variant>
      <vt:variant>
        <vt:lpwstr>_Toc13771171</vt:lpwstr>
      </vt:variant>
      <vt:variant>
        <vt:i4>1179696</vt:i4>
      </vt:variant>
      <vt:variant>
        <vt:i4>98</vt:i4>
      </vt:variant>
      <vt:variant>
        <vt:i4>0</vt:i4>
      </vt:variant>
      <vt:variant>
        <vt:i4>5</vt:i4>
      </vt:variant>
      <vt:variant>
        <vt:lpwstr/>
      </vt:variant>
      <vt:variant>
        <vt:lpwstr>_Toc13771170</vt:lpwstr>
      </vt:variant>
      <vt:variant>
        <vt:i4>1769521</vt:i4>
      </vt:variant>
      <vt:variant>
        <vt:i4>92</vt:i4>
      </vt:variant>
      <vt:variant>
        <vt:i4>0</vt:i4>
      </vt:variant>
      <vt:variant>
        <vt:i4>5</vt:i4>
      </vt:variant>
      <vt:variant>
        <vt:lpwstr/>
      </vt:variant>
      <vt:variant>
        <vt:lpwstr>_Toc13771169</vt:lpwstr>
      </vt:variant>
      <vt:variant>
        <vt:i4>1703985</vt:i4>
      </vt:variant>
      <vt:variant>
        <vt:i4>86</vt:i4>
      </vt:variant>
      <vt:variant>
        <vt:i4>0</vt:i4>
      </vt:variant>
      <vt:variant>
        <vt:i4>5</vt:i4>
      </vt:variant>
      <vt:variant>
        <vt:lpwstr/>
      </vt:variant>
      <vt:variant>
        <vt:lpwstr>_Toc13771168</vt:lpwstr>
      </vt:variant>
      <vt:variant>
        <vt:i4>1376305</vt:i4>
      </vt:variant>
      <vt:variant>
        <vt:i4>80</vt:i4>
      </vt:variant>
      <vt:variant>
        <vt:i4>0</vt:i4>
      </vt:variant>
      <vt:variant>
        <vt:i4>5</vt:i4>
      </vt:variant>
      <vt:variant>
        <vt:lpwstr/>
      </vt:variant>
      <vt:variant>
        <vt:lpwstr>_Toc13771167</vt:lpwstr>
      </vt:variant>
      <vt:variant>
        <vt:i4>1310769</vt:i4>
      </vt:variant>
      <vt:variant>
        <vt:i4>74</vt:i4>
      </vt:variant>
      <vt:variant>
        <vt:i4>0</vt:i4>
      </vt:variant>
      <vt:variant>
        <vt:i4>5</vt:i4>
      </vt:variant>
      <vt:variant>
        <vt:lpwstr/>
      </vt:variant>
      <vt:variant>
        <vt:lpwstr>_Toc13771166</vt:lpwstr>
      </vt:variant>
      <vt:variant>
        <vt:i4>1507377</vt:i4>
      </vt:variant>
      <vt:variant>
        <vt:i4>68</vt:i4>
      </vt:variant>
      <vt:variant>
        <vt:i4>0</vt:i4>
      </vt:variant>
      <vt:variant>
        <vt:i4>5</vt:i4>
      </vt:variant>
      <vt:variant>
        <vt:lpwstr/>
      </vt:variant>
      <vt:variant>
        <vt:lpwstr>_Toc13771165</vt:lpwstr>
      </vt:variant>
      <vt:variant>
        <vt:i4>1441841</vt:i4>
      </vt:variant>
      <vt:variant>
        <vt:i4>62</vt:i4>
      </vt:variant>
      <vt:variant>
        <vt:i4>0</vt:i4>
      </vt:variant>
      <vt:variant>
        <vt:i4>5</vt:i4>
      </vt:variant>
      <vt:variant>
        <vt:lpwstr/>
      </vt:variant>
      <vt:variant>
        <vt:lpwstr>_Toc13771164</vt:lpwstr>
      </vt:variant>
      <vt:variant>
        <vt:i4>1114161</vt:i4>
      </vt:variant>
      <vt:variant>
        <vt:i4>56</vt:i4>
      </vt:variant>
      <vt:variant>
        <vt:i4>0</vt:i4>
      </vt:variant>
      <vt:variant>
        <vt:i4>5</vt:i4>
      </vt:variant>
      <vt:variant>
        <vt:lpwstr/>
      </vt:variant>
      <vt:variant>
        <vt:lpwstr>_Toc13771163</vt:lpwstr>
      </vt:variant>
      <vt:variant>
        <vt:i4>1048625</vt:i4>
      </vt:variant>
      <vt:variant>
        <vt:i4>50</vt:i4>
      </vt:variant>
      <vt:variant>
        <vt:i4>0</vt:i4>
      </vt:variant>
      <vt:variant>
        <vt:i4>5</vt:i4>
      </vt:variant>
      <vt:variant>
        <vt:lpwstr/>
      </vt:variant>
      <vt:variant>
        <vt:lpwstr>_Toc13771162</vt:lpwstr>
      </vt:variant>
      <vt:variant>
        <vt:i4>1245233</vt:i4>
      </vt:variant>
      <vt:variant>
        <vt:i4>44</vt:i4>
      </vt:variant>
      <vt:variant>
        <vt:i4>0</vt:i4>
      </vt:variant>
      <vt:variant>
        <vt:i4>5</vt:i4>
      </vt:variant>
      <vt:variant>
        <vt:lpwstr/>
      </vt:variant>
      <vt:variant>
        <vt:lpwstr>_Toc13771161</vt:lpwstr>
      </vt:variant>
      <vt:variant>
        <vt:i4>1179697</vt:i4>
      </vt:variant>
      <vt:variant>
        <vt:i4>38</vt:i4>
      </vt:variant>
      <vt:variant>
        <vt:i4>0</vt:i4>
      </vt:variant>
      <vt:variant>
        <vt:i4>5</vt:i4>
      </vt:variant>
      <vt:variant>
        <vt:lpwstr/>
      </vt:variant>
      <vt:variant>
        <vt:lpwstr>_Toc13771160</vt:lpwstr>
      </vt:variant>
      <vt:variant>
        <vt:i4>1769522</vt:i4>
      </vt:variant>
      <vt:variant>
        <vt:i4>32</vt:i4>
      </vt:variant>
      <vt:variant>
        <vt:i4>0</vt:i4>
      </vt:variant>
      <vt:variant>
        <vt:i4>5</vt:i4>
      </vt:variant>
      <vt:variant>
        <vt:lpwstr/>
      </vt:variant>
      <vt:variant>
        <vt:lpwstr>_Toc13771159</vt:lpwstr>
      </vt:variant>
      <vt:variant>
        <vt:i4>1703986</vt:i4>
      </vt:variant>
      <vt:variant>
        <vt:i4>26</vt:i4>
      </vt:variant>
      <vt:variant>
        <vt:i4>0</vt:i4>
      </vt:variant>
      <vt:variant>
        <vt:i4>5</vt:i4>
      </vt:variant>
      <vt:variant>
        <vt:lpwstr/>
      </vt:variant>
      <vt:variant>
        <vt:lpwstr>_Toc13771158</vt:lpwstr>
      </vt:variant>
      <vt:variant>
        <vt:i4>1376306</vt:i4>
      </vt:variant>
      <vt:variant>
        <vt:i4>20</vt:i4>
      </vt:variant>
      <vt:variant>
        <vt:i4>0</vt:i4>
      </vt:variant>
      <vt:variant>
        <vt:i4>5</vt:i4>
      </vt:variant>
      <vt:variant>
        <vt:lpwstr/>
      </vt:variant>
      <vt:variant>
        <vt:lpwstr>_Toc13771157</vt:lpwstr>
      </vt:variant>
      <vt:variant>
        <vt:i4>1310770</vt:i4>
      </vt:variant>
      <vt:variant>
        <vt:i4>14</vt:i4>
      </vt:variant>
      <vt:variant>
        <vt:i4>0</vt:i4>
      </vt:variant>
      <vt:variant>
        <vt:i4>5</vt:i4>
      </vt:variant>
      <vt:variant>
        <vt:lpwstr/>
      </vt:variant>
      <vt:variant>
        <vt:lpwstr>_Toc13771156</vt:lpwstr>
      </vt:variant>
      <vt:variant>
        <vt:i4>1507378</vt:i4>
      </vt:variant>
      <vt:variant>
        <vt:i4>8</vt:i4>
      </vt:variant>
      <vt:variant>
        <vt:i4>0</vt:i4>
      </vt:variant>
      <vt:variant>
        <vt:i4>5</vt:i4>
      </vt:variant>
      <vt:variant>
        <vt:lpwstr/>
      </vt:variant>
      <vt:variant>
        <vt:lpwstr>_Toc13771155</vt:lpwstr>
      </vt:variant>
      <vt:variant>
        <vt:i4>1441842</vt:i4>
      </vt:variant>
      <vt:variant>
        <vt:i4>2</vt:i4>
      </vt:variant>
      <vt:variant>
        <vt:i4>0</vt:i4>
      </vt:variant>
      <vt:variant>
        <vt:i4>5</vt:i4>
      </vt:variant>
      <vt:variant>
        <vt:lpwstr/>
      </vt:variant>
      <vt:variant>
        <vt:lpwstr>_Toc13771154</vt:lpwstr>
      </vt:variant>
      <vt:variant>
        <vt:i4>7209058</vt:i4>
      </vt:variant>
      <vt:variant>
        <vt:i4>90</vt:i4>
      </vt:variant>
      <vt:variant>
        <vt:i4>0</vt:i4>
      </vt:variant>
      <vt:variant>
        <vt:i4>5</vt:i4>
      </vt:variant>
      <vt:variant>
        <vt:lpwstr>http://ma-eeac.org/wordpress/wp-content/uploads/RLPNC_173_APSMeteringReport_5OCT2018_Finalv2.pdf</vt:lpwstr>
      </vt:variant>
      <vt:variant>
        <vt:lpwstr/>
      </vt:variant>
      <vt:variant>
        <vt:i4>4325461</vt:i4>
      </vt:variant>
      <vt:variant>
        <vt:i4>84</vt:i4>
      </vt:variant>
      <vt:variant>
        <vt:i4>0</vt:i4>
      </vt:variant>
      <vt:variant>
        <vt:i4>5</vt:i4>
      </vt:variant>
      <vt:variant>
        <vt:lpwstr>http://www.puc.pa.gov/pcdocs/1359168.pdf</vt:lpwstr>
      </vt:variant>
      <vt:variant>
        <vt:lpwstr/>
      </vt:variant>
      <vt:variant>
        <vt:i4>5111814</vt:i4>
      </vt:variant>
      <vt:variant>
        <vt:i4>75</vt:i4>
      </vt:variant>
      <vt:variant>
        <vt:i4>0</vt:i4>
      </vt:variant>
      <vt:variant>
        <vt:i4>5</vt:i4>
      </vt:variant>
      <vt:variant>
        <vt:lpwstr>http://docs.lib.purdue.edu/iracc/1154</vt:lpwstr>
      </vt:variant>
      <vt:variant>
        <vt:lpwstr/>
      </vt:variant>
      <vt:variant>
        <vt:i4>2687101</vt:i4>
      </vt:variant>
      <vt:variant>
        <vt:i4>66</vt:i4>
      </vt:variant>
      <vt:variant>
        <vt:i4>0</vt:i4>
      </vt:variant>
      <vt:variant>
        <vt:i4>5</vt:i4>
      </vt:variant>
      <vt:variant>
        <vt:lpwstr>https://www1.eere.energy.gov/buildings/pdfs/commercial_refrigeration_equipment_research_opportunities.pdf</vt:lpwstr>
      </vt:variant>
      <vt:variant>
        <vt:lpwstr/>
      </vt:variant>
      <vt:variant>
        <vt:i4>1376266</vt:i4>
      </vt:variant>
      <vt:variant>
        <vt:i4>63</vt:i4>
      </vt:variant>
      <vt:variant>
        <vt:i4>0</vt:i4>
      </vt:variant>
      <vt:variant>
        <vt:i4>5</vt:i4>
      </vt:variant>
      <vt:variant>
        <vt:lpwstr>https://neep.org/commercial-refrigeration-loadshape-report-10-2015-0</vt:lpwstr>
      </vt:variant>
      <vt:variant>
        <vt:lpwstr/>
      </vt:variant>
      <vt:variant>
        <vt:i4>2228340</vt:i4>
      </vt:variant>
      <vt:variant>
        <vt:i4>60</vt:i4>
      </vt:variant>
      <vt:variant>
        <vt:i4>0</vt:i4>
      </vt:variant>
      <vt:variant>
        <vt:i4>5</vt:i4>
      </vt:variant>
      <vt:variant>
        <vt:lpwstr>https://rtf.nwcouncil.org/measure/floating-head-pressure-controls-single-compressor-systems</vt:lpwstr>
      </vt:variant>
      <vt:variant>
        <vt:lpwstr/>
      </vt:variant>
      <vt:variant>
        <vt:i4>1376266</vt:i4>
      </vt:variant>
      <vt:variant>
        <vt:i4>57</vt:i4>
      </vt:variant>
      <vt:variant>
        <vt:i4>0</vt:i4>
      </vt:variant>
      <vt:variant>
        <vt:i4>5</vt:i4>
      </vt:variant>
      <vt:variant>
        <vt:lpwstr>https://neep.org/commercial-refrigeration-loadshape-report-10-2015-0</vt:lpwstr>
      </vt:variant>
      <vt:variant>
        <vt:lpwstr/>
      </vt:variant>
      <vt:variant>
        <vt:i4>6553701</vt:i4>
      </vt:variant>
      <vt:variant>
        <vt:i4>54</vt:i4>
      </vt:variant>
      <vt:variant>
        <vt:i4>0</vt:i4>
      </vt:variant>
      <vt:variant>
        <vt:i4>5</vt:i4>
      </vt:variant>
      <vt:variant>
        <vt:lpwstr>https://www.energy.gov/sites/prod/files/2014/02/f8/Motor Energy Savings Potential Report 2013-12-4.pdf</vt:lpwstr>
      </vt:variant>
      <vt:variant>
        <vt:lpwstr/>
      </vt:variant>
      <vt:variant>
        <vt:i4>1376266</vt:i4>
      </vt:variant>
      <vt:variant>
        <vt:i4>51</vt:i4>
      </vt:variant>
      <vt:variant>
        <vt:i4>0</vt:i4>
      </vt:variant>
      <vt:variant>
        <vt:i4>5</vt:i4>
      </vt:variant>
      <vt:variant>
        <vt:lpwstr>https://neep.org/commercial-refrigeration-loadshape-report-10-2015-0</vt:lpwstr>
      </vt:variant>
      <vt:variant>
        <vt:lpwstr/>
      </vt:variant>
      <vt:variant>
        <vt:i4>196702</vt:i4>
      </vt:variant>
      <vt:variant>
        <vt:i4>42</vt:i4>
      </vt:variant>
      <vt:variant>
        <vt:i4>0</vt:i4>
      </vt:variant>
      <vt:variant>
        <vt:i4>5</vt:i4>
      </vt:variant>
      <vt:variant>
        <vt:lpwstr>http://ma-eeac.org/wordpress/wp-content/uploads/Prescriptive-Gas-Pre-Rinse-Spray-Valve-Measure-Impact-Evaluation.pdf</vt:lpwstr>
      </vt:variant>
      <vt:variant>
        <vt:lpwstr/>
      </vt:variant>
      <vt:variant>
        <vt:i4>1310738</vt:i4>
      </vt:variant>
      <vt:variant>
        <vt:i4>39</vt:i4>
      </vt:variant>
      <vt:variant>
        <vt:i4>0</vt:i4>
      </vt:variant>
      <vt:variant>
        <vt:i4>5</vt:i4>
      </vt:variant>
      <vt:variant>
        <vt:lpwstr>https://www.regulations.gov/document?D=EERE-2014-BT-STD-0042-0016</vt:lpwstr>
      </vt:variant>
      <vt:variant>
        <vt:lpwstr/>
      </vt:variant>
      <vt:variant>
        <vt:i4>7405608</vt:i4>
      </vt:variant>
      <vt:variant>
        <vt:i4>36</vt:i4>
      </vt:variant>
      <vt:variant>
        <vt:i4>0</vt:i4>
      </vt:variant>
      <vt:variant>
        <vt:i4>5</vt:i4>
      </vt:variant>
      <vt:variant>
        <vt:lpwstr>https://appliance-standards.org/sites/default/files/Fact_Sheet_Who_Opposes_DOE_Light_Bulb_Rollback_Final1.pdf</vt:lpwstr>
      </vt:variant>
      <vt:variant>
        <vt:lpwstr/>
      </vt:variant>
      <vt:variant>
        <vt:i4>2097203</vt:i4>
      </vt:variant>
      <vt:variant>
        <vt:i4>33</vt:i4>
      </vt:variant>
      <vt:variant>
        <vt:i4>0</vt:i4>
      </vt:variant>
      <vt:variant>
        <vt:i4>5</vt:i4>
      </vt:variant>
      <vt:variant>
        <vt:lpwstr>https://beopt.nrel.gov/home</vt:lpwstr>
      </vt:variant>
      <vt:variant>
        <vt:lpwstr/>
      </vt:variant>
      <vt:variant>
        <vt:i4>2097203</vt:i4>
      </vt:variant>
      <vt:variant>
        <vt:i4>30</vt:i4>
      </vt:variant>
      <vt:variant>
        <vt:i4>0</vt:i4>
      </vt:variant>
      <vt:variant>
        <vt:i4>5</vt:i4>
      </vt:variant>
      <vt:variant>
        <vt:lpwstr>https://beopt.nrel.gov/home</vt:lpwstr>
      </vt:variant>
      <vt:variant>
        <vt:lpwstr/>
      </vt:variant>
      <vt:variant>
        <vt:i4>4391000</vt:i4>
      </vt:variant>
      <vt:variant>
        <vt:i4>27</vt:i4>
      </vt:variant>
      <vt:variant>
        <vt:i4>0</vt:i4>
      </vt:variant>
      <vt:variant>
        <vt:i4>5</vt:i4>
      </vt:variant>
      <vt:variant>
        <vt:lpwstr>http://www.puc.pa.gov/pcdocs/1345079.pdf</vt:lpwstr>
      </vt:variant>
      <vt:variant>
        <vt:lpwstr/>
      </vt:variant>
      <vt:variant>
        <vt:i4>1310830</vt:i4>
      </vt:variant>
      <vt:variant>
        <vt:i4>24</vt:i4>
      </vt:variant>
      <vt:variant>
        <vt:i4>0</vt:i4>
      </vt:variant>
      <vt:variant>
        <vt:i4>5</vt:i4>
      </vt:variant>
      <vt:variant>
        <vt:lpwstr>https://www1.eere.energy.gov/buildings/appliance_standards/standards.aspx?productid=4</vt:lpwstr>
      </vt:variant>
      <vt:variant>
        <vt:lpwstr/>
      </vt:variant>
      <vt:variant>
        <vt:i4>7405608</vt:i4>
      </vt:variant>
      <vt:variant>
        <vt:i4>21</vt:i4>
      </vt:variant>
      <vt:variant>
        <vt:i4>0</vt:i4>
      </vt:variant>
      <vt:variant>
        <vt:i4>5</vt:i4>
      </vt:variant>
      <vt:variant>
        <vt:lpwstr>https://appliance-standards.org/sites/default/files/Fact_Sheet_Who_Opposes_DOE_Light_Bulb_Rollback_Final1.pdf</vt:lpwstr>
      </vt:variant>
      <vt:variant>
        <vt:lpwstr/>
      </vt:variant>
      <vt:variant>
        <vt:i4>1900642</vt:i4>
      </vt:variant>
      <vt:variant>
        <vt:i4>18</vt:i4>
      </vt:variant>
      <vt:variant>
        <vt:i4>0</vt:i4>
      </vt:variant>
      <vt:variant>
        <vt:i4>5</vt:i4>
      </vt:variant>
      <vt:variant>
        <vt:lpwstr>http://ilsagfiles.org/SAG_files/Technical_Reference_Manual/Version_7/Final_9-28-18/IL-TRM_Effective_010119_v7.0_Vol_2_C_and_I_092818_Final.pdf</vt:lpwstr>
      </vt:variant>
      <vt:variant>
        <vt:lpwstr/>
      </vt:variant>
      <vt:variant>
        <vt:i4>7405608</vt:i4>
      </vt:variant>
      <vt:variant>
        <vt:i4>15</vt:i4>
      </vt:variant>
      <vt:variant>
        <vt:i4>0</vt:i4>
      </vt:variant>
      <vt:variant>
        <vt:i4>5</vt:i4>
      </vt:variant>
      <vt:variant>
        <vt:lpwstr>https://appliance-standards.org/sites/default/files/Fact_Sheet_Who_Opposes_DOE_Light_Bulb_Rollback_Final1.pdf</vt:lpwstr>
      </vt:variant>
      <vt:variant>
        <vt:lpwstr/>
      </vt:variant>
      <vt:variant>
        <vt:i4>3080231</vt:i4>
      </vt:variant>
      <vt:variant>
        <vt:i4>12</vt:i4>
      </vt:variant>
      <vt:variant>
        <vt:i4>0</vt:i4>
      </vt:variant>
      <vt:variant>
        <vt:i4>5</vt:i4>
      </vt:variant>
      <vt:variant>
        <vt:lpwstr>http://mn.gov/commerce-stat/pdfs/card-report-energy-efficiency-behavorial-prog.pdf</vt:lpwstr>
      </vt:variant>
      <vt:variant>
        <vt:lpwstr/>
      </vt:variant>
      <vt:variant>
        <vt:i4>8323116</vt:i4>
      </vt:variant>
      <vt:variant>
        <vt:i4>9</vt:i4>
      </vt:variant>
      <vt:variant>
        <vt:i4>0</vt:i4>
      </vt:variant>
      <vt:variant>
        <vt:i4>5</vt:i4>
      </vt:variant>
      <vt:variant>
        <vt:lpwstr>http://conference2018.resnet.us/data/energymeetings/presentations/How Standards are Evolving to Better Address Multifamily Ratings .pdf</vt:lpwstr>
      </vt:variant>
      <vt:variant>
        <vt:lpwstr/>
      </vt:variant>
      <vt:variant>
        <vt:i4>39</vt:i4>
      </vt:variant>
      <vt:variant>
        <vt:i4>6</vt:i4>
      </vt:variant>
      <vt:variant>
        <vt:i4>0</vt:i4>
      </vt:variant>
      <vt:variant>
        <vt:i4>5</vt:i4>
      </vt:variant>
      <vt:variant>
        <vt:lpwstr>https://www.energystar.gov/sites/default/files/asset/document/MFHR Flowchart_v1.3.pdf</vt:lpwstr>
      </vt:variant>
      <vt:variant>
        <vt:lpwstr/>
      </vt:variant>
      <vt:variant>
        <vt:i4>7274551</vt:i4>
      </vt:variant>
      <vt:variant>
        <vt:i4>3</vt:i4>
      </vt:variant>
      <vt:variant>
        <vt:i4>0</vt:i4>
      </vt:variant>
      <vt:variant>
        <vt:i4>5</vt:i4>
      </vt:variant>
      <vt:variant>
        <vt:lpwstr>https://www.ecobee.com/donateyourdata/</vt:lpwstr>
      </vt:variant>
      <vt:variant>
        <vt:lpwstr/>
      </vt:variant>
      <vt:variant>
        <vt:i4>7995513</vt:i4>
      </vt:variant>
      <vt:variant>
        <vt:i4>0</vt:i4>
      </vt:variant>
      <vt:variant>
        <vt:i4>0</vt:i4>
      </vt:variant>
      <vt:variant>
        <vt:i4>5</vt:i4>
      </vt:variant>
      <vt:variant>
        <vt:lpwstr>https://rredc.nrel.gov/solar/old_data/nsrdb/1991-2005/tmy3/by_state_and_city.html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Wagner, Nathan R</cp:lastModifiedBy>
  <cp:revision>4</cp:revision>
  <cp:lastPrinted>2019-08-02T21:10:00Z</cp:lastPrinted>
  <dcterms:created xsi:type="dcterms:W3CDTF">2019-08-05T18:13:00Z</dcterms:created>
  <dcterms:modified xsi:type="dcterms:W3CDTF">2019-08-08T11:56:00Z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0x010100A1967E9D46A20145BD2AB299499EEBA5</vt:lpwstr>
  </property>
  <property fmtid="{D5CDD505-2E9C-101B-9397-08002B2CF9AE}" pid="3" name="AuthorIds_UIVersion_1024">
    <vt:lpwstr>88</vt:lpwstr>
  </property>
  <property fmtid="{D5CDD505-2E9C-101B-9397-08002B2CF9AE}" pid="4" name="_dlc_DocIdItemGuid">
    <vt:lpwstr>b4c4c72e-2808-4cb9-9711-d21b084c4af5</vt:lpwstr>
  </property>
</Properties>
</file>