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2448"/>
        <w:gridCol w:w="2250"/>
        <w:gridCol w:w="1260"/>
        <w:gridCol w:w="720"/>
        <w:gridCol w:w="2160"/>
        <w:gridCol w:w="720"/>
      </w:tblGrid>
      <w:tr w:rsidR="00AB5D9A" w:rsidRPr="00AB5D9A" w14:paraId="1C03DDB6" w14:textId="77777777" w:rsidTr="009413C4">
        <w:tc>
          <w:tcPr>
            <w:tcW w:w="2448" w:type="dxa"/>
          </w:tcPr>
          <w:p w14:paraId="36EECED6" w14:textId="77777777" w:rsidR="00DF7EBB" w:rsidRPr="00AB5D9A" w:rsidRDefault="00DF7EBB" w:rsidP="00D74E5E">
            <w:pPr>
              <w:rPr>
                <w:color w:val="000000" w:themeColor="text1"/>
                <w:sz w:val="26"/>
                <w:szCs w:val="26"/>
              </w:rPr>
            </w:pPr>
          </w:p>
        </w:tc>
        <w:tc>
          <w:tcPr>
            <w:tcW w:w="4230" w:type="dxa"/>
            <w:gridSpan w:val="3"/>
          </w:tcPr>
          <w:p w14:paraId="0281B11A" w14:textId="77777777" w:rsidR="00DF7EBB" w:rsidRPr="00AB5D9A" w:rsidRDefault="00DF7EBB" w:rsidP="00D74E5E">
            <w:pPr>
              <w:jc w:val="center"/>
              <w:rPr>
                <w:b/>
                <w:color w:val="000000" w:themeColor="text1"/>
                <w:sz w:val="26"/>
                <w:szCs w:val="26"/>
              </w:rPr>
            </w:pPr>
            <w:r w:rsidRPr="00AB5D9A">
              <w:rPr>
                <w:b/>
                <w:color w:val="000000" w:themeColor="text1"/>
                <w:sz w:val="26"/>
                <w:szCs w:val="26"/>
              </w:rPr>
              <w:t>PENNSYLVANIA</w:t>
            </w:r>
          </w:p>
          <w:p w14:paraId="4473F641" w14:textId="77777777" w:rsidR="00DF7EBB" w:rsidRPr="00AB5D9A" w:rsidRDefault="00DF7EBB" w:rsidP="00D74E5E">
            <w:pPr>
              <w:jc w:val="center"/>
              <w:rPr>
                <w:b/>
                <w:color w:val="000000" w:themeColor="text1"/>
                <w:sz w:val="26"/>
                <w:szCs w:val="26"/>
              </w:rPr>
            </w:pPr>
            <w:r w:rsidRPr="00AB5D9A">
              <w:rPr>
                <w:b/>
                <w:color w:val="000000" w:themeColor="text1"/>
                <w:sz w:val="26"/>
                <w:szCs w:val="26"/>
              </w:rPr>
              <w:t>PUBLIC UTILITY COMMISSION</w:t>
            </w:r>
          </w:p>
          <w:p w14:paraId="2FBB0438" w14:textId="77777777" w:rsidR="00DF7EBB" w:rsidRPr="00AB5D9A" w:rsidRDefault="00DF7EBB" w:rsidP="00D74E5E">
            <w:pPr>
              <w:jc w:val="center"/>
              <w:rPr>
                <w:color w:val="000000" w:themeColor="text1"/>
                <w:sz w:val="26"/>
                <w:szCs w:val="26"/>
              </w:rPr>
            </w:pPr>
            <w:r w:rsidRPr="00AB5D9A">
              <w:rPr>
                <w:b/>
                <w:color w:val="000000" w:themeColor="text1"/>
                <w:sz w:val="26"/>
                <w:szCs w:val="26"/>
              </w:rPr>
              <w:t>Harrisburg</w:t>
            </w:r>
            <w:r w:rsidR="00091554" w:rsidRPr="00AB5D9A">
              <w:rPr>
                <w:b/>
                <w:color w:val="000000" w:themeColor="text1"/>
                <w:sz w:val="26"/>
                <w:szCs w:val="26"/>
              </w:rPr>
              <w:t>, PA</w:t>
            </w:r>
            <w:r w:rsidRPr="00AB5D9A">
              <w:rPr>
                <w:b/>
                <w:color w:val="000000" w:themeColor="text1"/>
                <w:sz w:val="26"/>
                <w:szCs w:val="26"/>
              </w:rPr>
              <w:t xml:space="preserve">  17105-3265</w:t>
            </w:r>
          </w:p>
        </w:tc>
        <w:tc>
          <w:tcPr>
            <w:tcW w:w="2880" w:type="dxa"/>
            <w:gridSpan w:val="2"/>
          </w:tcPr>
          <w:p w14:paraId="349D9257" w14:textId="77777777" w:rsidR="00DF7EBB" w:rsidRPr="00AB5D9A" w:rsidRDefault="00DF7EBB" w:rsidP="00D74E5E">
            <w:pPr>
              <w:rPr>
                <w:color w:val="000000" w:themeColor="text1"/>
                <w:sz w:val="26"/>
                <w:szCs w:val="26"/>
              </w:rPr>
            </w:pPr>
          </w:p>
        </w:tc>
      </w:tr>
      <w:tr w:rsidR="00AB5D9A" w:rsidRPr="00AB5D9A" w14:paraId="3B615B48" w14:textId="77777777" w:rsidTr="009413C4">
        <w:tc>
          <w:tcPr>
            <w:tcW w:w="2448" w:type="dxa"/>
          </w:tcPr>
          <w:p w14:paraId="5B5D5B3E" w14:textId="77777777" w:rsidR="00C9585E" w:rsidRPr="00AB5D9A" w:rsidRDefault="00C9585E" w:rsidP="00D74E5E">
            <w:pPr>
              <w:rPr>
                <w:color w:val="000000" w:themeColor="text1"/>
                <w:sz w:val="26"/>
                <w:szCs w:val="26"/>
              </w:rPr>
            </w:pPr>
          </w:p>
        </w:tc>
        <w:tc>
          <w:tcPr>
            <w:tcW w:w="4230" w:type="dxa"/>
            <w:gridSpan w:val="3"/>
          </w:tcPr>
          <w:p w14:paraId="27824858" w14:textId="77777777" w:rsidR="00C9585E" w:rsidRPr="00AB5D9A" w:rsidRDefault="00C9585E" w:rsidP="00D74E5E">
            <w:pPr>
              <w:jc w:val="center"/>
              <w:rPr>
                <w:b/>
                <w:color w:val="000000" w:themeColor="text1"/>
                <w:sz w:val="26"/>
                <w:szCs w:val="26"/>
              </w:rPr>
            </w:pPr>
          </w:p>
        </w:tc>
        <w:tc>
          <w:tcPr>
            <w:tcW w:w="2880" w:type="dxa"/>
            <w:gridSpan w:val="2"/>
          </w:tcPr>
          <w:p w14:paraId="4C1E243F" w14:textId="77777777" w:rsidR="00C9585E" w:rsidRPr="00AB5D9A" w:rsidRDefault="00C9585E" w:rsidP="00D74E5E">
            <w:pPr>
              <w:rPr>
                <w:color w:val="000000" w:themeColor="text1"/>
                <w:sz w:val="26"/>
                <w:szCs w:val="26"/>
              </w:rPr>
            </w:pPr>
          </w:p>
        </w:tc>
      </w:tr>
      <w:tr w:rsidR="00AB5D9A" w:rsidRPr="00AB5D9A" w14:paraId="44ACFBE8" w14:textId="77777777" w:rsidTr="009413C4">
        <w:tc>
          <w:tcPr>
            <w:tcW w:w="4698" w:type="dxa"/>
            <w:gridSpan w:val="2"/>
          </w:tcPr>
          <w:p w14:paraId="20F79D32" w14:textId="77777777" w:rsidR="00DF7EBB" w:rsidRPr="00AB5D9A" w:rsidRDefault="00DF7EBB" w:rsidP="00D74E5E">
            <w:pPr>
              <w:rPr>
                <w:color w:val="000000" w:themeColor="text1"/>
                <w:sz w:val="26"/>
                <w:szCs w:val="26"/>
              </w:rPr>
            </w:pPr>
          </w:p>
        </w:tc>
        <w:tc>
          <w:tcPr>
            <w:tcW w:w="4860" w:type="dxa"/>
            <w:gridSpan w:val="4"/>
          </w:tcPr>
          <w:p w14:paraId="565637F1" w14:textId="61CAD623" w:rsidR="00DF7EBB" w:rsidRPr="00AB5D9A" w:rsidRDefault="00DF7EBB" w:rsidP="00353906">
            <w:pPr>
              <w:jc w:val="right"/>
              <w:rPr>
                <w:color w:val="000000" w:themeColor="text1"/>
                <w:sz w:val="26"/>
                <w:szCs w:val="26"/>
              </w:rPr>
            </w:pPr>
            <w:r w:rsidRPr="00AB5D9A">
              <w:rPr>
                <w:color w:val="000000" w:themeColor="text1"/>
                <w:sz w:val="26"/>
                <w:szCs w:val="26"/>
              </w:rPr>
              <w:t>Public Meeting held</w:t>
            </w:r>
            <w:r w:rsidR="00265290" w:rsidRPr="00AB5D9A">
              <w:rPr>
                <w:color w:val="000000" w:themeColor="text1"/>
                <w:sz w:val="26"/>
                <w:szCs w:val="26"/>
              </w:rPr>
              <w:t xml:space="preserve"> </w:t>
            </w:r>
            <w:r w:rsidR="00353906">
              <w:rPr>
                <w:color w:val="000000" w:themeColor="text1"/>
                <w:sz w:val="26"/>
                <w:szCs w:val="26"/>
              </w:rPr>
              <w:t xml:space="preserve">May </w:t>
            </w:r>
            <w:r w:rsidR="00867E9C">
              <w:rPr>
                <w:color w:val="000000" w:themeColor="text1"/>
                <w:sz w:val="26"/>
                <w:szCs w:val="26"/>
              </w:rPr>
              <w:t>2</w:t>
            </w:r>
            <w:r w:rsidR="00760A26">
              <w:rPr>
                <w:color w:val="000000" w:themeColor="text1"/>
                <w:sz w:val="26"/>
                <w:szCs w:val="26"/>
              </w:rPr>
              <w:t>3</w:t>
            </w:r>
            <w:r w:rsidR="00D41912" w:rsidRPr="00AB5D9A">
              <w:rPr>
                <w:color w:val="000000" w:themeColor="text1"/>
                <w:sz w:val="26"/>
                <w:szCs w:val="26"/>
              </w:rPr>
              <w:t>, 201</w:t>
            </w:r>
            <w:r w:rsidR="00867E9C">
              <w:rPr>
                <w:color w:val="000000" w:themeColor="text1"/>
                <w:sz w:val="26"/>
                <w:szCs w:val="26"/>
              </w:rPr>
              <w:t>9</w:t>
            </w:r>
            <w:r w:rsidR="008A3E3A" w:rsidRPr="00AB5D9A">
              <w:rPr>
                <w:color w:val="000000" w:themeColor="text1"/>
                <w:sz w:val="26"/>
                <w:szCs w:val="26"/>
              </w:rPr>
              <w:t xml:space="preserve"> </w:t>
            </w:r>
          </w:p>
        </w:tc>
      </w:tr>
      <w:tr w:rsidR="00AB5D9A" w:rsidRPr="00AB5D9A" w14:paraId="6633E14D" w14:textId="77777777" w:rsidTr="009413C4">
        <w:tc>
          <w:tcPr>
            <w:tcW w:w="4698" w:type="dxa"/>
            <w:gridSpan w:val="2"/>
          </w:tcPr>
          <w:p w14:paraId="3B48C794" w14:textId="77777777" w:rsidR="00DF7EBB" w:rsidRPr="00AB5D9A" w:rsidRDefault="00DF7EBB" w:rsidP="00D74E5E">
            <w:pPr>
              <w:rPr>
                <w:color w:val="000000" w:themeColor="text1"/>
                <w:sz w:val="26"/>
                <w:szCs w:val="26"/>
              </w:rPr>
            </w:pPr>
            <w:r w:rsidRPr="00AB5D9A">
              <w:rPr>
                <w:color w:val="000000" w:themeColor="text1"/>
                <w:sz w:val="26"/>
                <w:szCs w:val="26"/>
              </w:rPr>
              <w:t>Commissioners Present:</w:t>
            </w:r>
          </w:p>
        </w:tc>
        <w:tc>
          <w:tcPr>
            <w:tcW w:w="4860" w:type="dxa"/>
            <w:gridSpan w:val="4"/>
          </w:tcPr>
          <w:p w14:paraId="721D3980" w14:textId="77777777" w:rsidR="00DF7EBB" w:rsidRPr="00AB5D9A" w:rsidRDefault="00DF7EBB" w:rsidP="00D74E5E">
            <w:pPr>
              <w:rPr>
                <w:color w:val="000000" w:themeColor="text1"/>
                <w:sz w:val="26"/>
                <w:szCs w:val="26"/>
              </w:rPr>
            </w:pPr>
          </w:p>
        </w:tc>
      </w:tr>
      <w:tr w:rsidR="00AB5D9A" w:rsidRPr="00AB5D9A" w14:paraId="012DB1AC" w14:textId="77777777" w:rsidTr="00BC6367">
        <w:trPr>
          <w:trHeight w:val="279"/>
        </w:trPr>
        <w:tc>
          <w:tcPr>
            <w:tcW w:w="4698" w:type="dxa"/>
            <w:gridSpan w:val="2"/>
          </w:tcPr>
          <w:p w14:paraId="6F574646" w14:textId="77777777" w:rsidR="00C9585E" w:rsidRPr="00AB5D9A" w:rsidRDefault="00C9585E" w:rsidP="00D74E5E">
            <w:pPr>
              <w:rPr>
                <w:color w:val="000000" w:themeColor="text1"/>
                <w:sz w:val="26"/>
                <w:szCs w:val="26"/>
              </w:rPr>
            </w:pPr>
          </w:p>
        </w:tc>
        <w:tc>
          <w:tcPr>
            <w:tcW w:w="4860" w:type="dxa"/>
            <w:gridSpan w:val="4"/>
          </w:tcPr>
          <w:p w14:paraId="022FDC93" w14:textId="77777777" w:rsidR="00C9585E" w:rsidRPr="00AB5D9A" w:rsidRDefault="00C9585E" w:rsidP="00D74E5E">
            <w:pPr>
              <w:rPr>
                <w:color w:val="000000" w:themeColor="text1"/>
                <w:sz w:val="26"/>
                <w:szCs w:val="26"/>
              </w:rPr>
            </w:pPr>
          </w:p>
        </w:tc>
      </w:tr>
      <w:tr w:rsidR="00AB5D9A" w:rsidRPr="00AB5D9A" w14:paraId="2082F3F1" w14:textId="77777777" w:rsidTr="00760A26">
        <w:trPr>
          <w:trHeight w:val="243"/>
        </w:trPr>
        <w:tc>
          <w:tcPr>
            <w:tcW w:w="8838" w:type="dxa"/>
            <w:gridSpan w:val="5"/>
          </w:tcPr>
          <w:p w14:paraId="5105C4CA" w14:textId="57F56CED" w:rsidR="00760A26" w:rsidRDefault="00760A26" w:rsidP="00760A26">
            <w:pPr>
              <w:ind w:left="360"/>
              <w:rPr>
                <w:rFonts w:ascii="Times New (W1)" w:hAnsi="Times New (W1)"/>
                <w:color w:val="000000" w:themeColor="text1"/>
                <w:sz w:val="26"/>
                <w:szCs w:val="26"/>
              </w:rPr>
            </w:pPr>
            <w:r>
              <w:rPr>
                <w:rFonts w:ascii="Times New (W1)" w:hAnsi="Times New (W1)"/>
                <w:color w:val="000000" w:themeColor="text1"/>
                <w:sz w:val="26"/>
                <w:szCs w:val="26"/>
              </w:rPr>
              <w:t>Gladys Brown</w:t>
            </w:r>
            <w:r w:rsidR="00867E9C">
              <w:rPr>
                <w:rFonts w:ascii="Times New (W1)" w:hAnsi="Times New (W1)"/>
                <w:color w:val="000000" w:themeColor="text1"/>
                <w:sz w:val="26"/>
                <w:szCs w:val="26"/>
              </w:rPr>
              <w:t xml:space="preserve"> Dutrieuille</w:t>
            </w:r>
            <w:r>
              <w:rPr>
                <w:rFonts w:ascii="Times New (W1)" w:hAnsi="Times New (W1)"/>
                <w:color w:val="000000" w:themeColor="text1"/>
                <w:sz w:val="26"/>
                <w:szCs w:val="26"/>
              </w:rPr>
              <w:t>, Chairman</w:t>
            </w:r>
          </w:p>
          <w:p w14:paraId="655B57C9" w14:textId="22E53C74" w:rsidR="00760A26" w:rsidRDefault="00867E9C" w:rsidP="00760A26">
            <w:pPr>
              <w:ind w:left="360"/>
              <w:rPr>
                <w:rFonts w:ascii="Times New (W1)" w:hAnsi="Times New (W1)"/>
                <w:color w:val="000000" w:themeColor="text1"/>
                <w:sz w:val="26"/>
                <w:szCs w:val="26"/>
              </w:rPr>
            </w:pPr>
            <w:r>
              <w:rPr>
                <w:rFonts w:ascii="Times New (W1)" w:hAnsi="Times New (W1)"/>
                <w:color w:val="000000" w:themeColor="text1"/>
                <w:sz w:val="26"/>
                <w:szCs w:val="26"/>
              </w:rPr>
              <w:t>David W. Sweet</w:t>
            </w:r>
            <w:r w:rsidR="00760A26">
              <w:rPr>
                <w:rFonts w:ascii="Times New (W1)" w:hAnsi="Times New (W1)"/>
                <w:color w:val="000000" w:themeColor="text1"/>
                <w:sz w:val="26"/>
                <w:szCs w:val="26"/>
              </w:rPr>
              <w:t>, Vice Chairman</w:t>
            </w:r>
          </w:p>
          <w:p w14:paraId="4DE7D0E1" w14:textId="77777777" w:rsidR="00867E9C" w:rsidRPr="00D15510" w:rsidRDefault="00867E9C" w:rsidP="00867E9C">
            <w:pPr>
              <w:ind w:left="360"/>
              <w:rPr>
                <w:rFonts w:cs="Arial"/>
                <w:color w:val="auto"/>
                <w:sz w:val="26"/>
                <w:szCs w:val="26"/>
              </w:rPr>
            </w:pPr>
            <w:r w:rsidRPr="00867E9C">
              <w:rPr>
                <w:rFonts w:ascii="Times New (W1)" w:hAnsi="Times New (W1)"/>
                <w:color w:val="000000" w:themeColor="text1"/>
                <w:sz w:val="26"/>
                <w:szCs w:val="26"/>
              </w:rPr>
              <w:t>Norman</w:t>
            </w:r>
            <w:r w:rsidRPr="00D15510">
              <w:rPr>
                <w:rFonts w:cs="Arial"/>
                <w:color w:val="auto"/>
                <w:sz w:val="26"/>
                <w:szCs w:val="26"/>
              </w:rPr>
              <w:t xml:space="preserve"> J. Kennard</w:t>
            </w:r>
          </w:p>
          <w:p w14:paraId="5145204E" w14:textId="77777777" w:rsidR="00867E9C" w:rsidRPr="00D15510" w:rsidRDefault="00867E9C" w:rsidP="00867E9C">
            <w:pPr>
              <w:ind w:left="360"/>
              <w:rPr>
                <w:rFonts w:cs="Arial"/>
                <w:color w:val="auto"/>
                <w:sz w:val="26"/>
                <w:szCs w:val="26"/>
              </w:rPr>
            </w:pPr>
            <w:r w:rsidRPr="00D15510">
              <w:rPr>
                <w:rFonts w:cs="Arial"/>
                <w:color w:val="auto"/>
                <w:sz w:val="26"/>
                <w:szCs w:val="26"/>
              </w:rPr>
              <w:t>Andrew G. Place</w:t>
            </w:r>
          </w:p>
          <w:p w14:paraId="63F51EA2" w14:textId="77777777" w:rsidR="00867E9C" w:rsidRPr="00D15510" w:rsidRDefault="00867E9C" w:rsidP="00867E9C">
            <w:pPr>
              <w:ind w:left="360"/>
              <w:rPr>
                <w:color w:val="auto"/>
                <w:sz w:val="26"/>
                <w:szCs w:val="26"/>
              </w:rPr>
            </w:pPr>
            <w:r w:rsidRPr="00D15510">
              <w:rPr>
                <w:color w:val="auto"/>
                <w:sz w:val="26"/>
                <w:szCs w:val="26"/>
              </w:rPr>
              <w:t>John F. Coleman, Jr.</w:t>
            </w:r>
          </w:p>
          <w:p w14:paraId="522D3E05" w14:textId="33AEA474" w:rsidR="00C9585E" w:rsidRPr="00760A26" w:rsidRDefault="00C9585E" w:rsidP="00760A26">
            <w:pPr>
              <w:ind w:left="360"/>
              <w:rPr>
                <w:rFonts w:ascii="Times New (W1)" w:hAnsi="Times New (W1)"/>
                <w:color w:val="000000" w:themeColor="text1"/>
                <w:sz w:val="26"/>
                <w:szCs w:val="26"/>
              </w:rPr>
            </w:pPr>
          </w:p>
        </w:tc>
        <w:tc>
          <w:tcPr>
            <w:tcW w:w="720" w:type="dxa"/>
          </w:tcPr>
          <w:p w14:paraId="2CB11518" w14:textId="77777777" w:rsidR="00DF7EBB" w:rsidRPr="00AB5D9A" w:rsidRDefault="00DF7EBB" w:rsidP="00D74E5E">
            <w:pPr>
              <w:rPr>
                <w:color w:val="000000" w:themeColor="text1"/>
                <w:sz w:val="26"/>
                <w:szCs w:val="26"/>
              </w:rPr>
            </w:pPr>
          </w:p>
        </w:tc>
      </w:tr>
      <w:tr w:rsidR="00AB5D9A" w:rsidRPr="00AB5D9A" w14:paraId="1C72C9BB" w14:textId="77777777" w:rsidTr="009413C4">
        <w:tc>
          <w:tcPr>
            <w:tcW w:w="8838" w:type="dxa"/>
            <w:gridSpan w:val="5"/>
          </w:tcPr>
          <w:p w14:paraId="5AD51D32" w14:textId="77777777" w:rsidR="00956EBA" w:rsidRDefault="00956EBA" w:rsidP="00D74E5E">
            <w:pPr>
              <w:rPr>
                <w:color w:val="000000" w:themeColor="text1"/>
                <w:sz w:val="26"/>
                <w:szCs w:val="26"/>
              </w:rPr>
            </w:pPr>
          </w:p>
          <w:p w14:paraId="3CCDED4B" w14:textId="77777777" w:rsidR="004A3D04" w:rsidRPr="00AB5D9A" w:rsidRDefault="004A3D04" w:rsidP="00D74E5E">
            <w:pPr>
              <w:rPr>
                <w:color w:val="000000" w:themeColor="text1"/>
                <w:sz w:val="26"/>
                <w:szCs w:val="26"/>
              </w:rPr>
            </w:pPr>
          </w:p>
        </w:tc>
        <w:tc>
          <w:tcPr>
            <w:tcW w:w="720" w:type="dxa"/>
          </w:tcPr>
          <w:p w14:paraId="43151FD3" w14:textId="77777777" w:rsidR="00BE4EA8" w:rsidRPr="00AB5D9A" w:rsidRDefault="00BE4EA8" w:rsidP="00D74E5E">
            <w:pPr>
              <w:rPr>
                <w:color w:val="000000" w:themeColor="text1"/>
                <w:sz w:val="26"/>
                <w:szCs w:val="26"/>
              </w:rPr>
            </w:pPr>
          </w:p>
        </w:tc>
      </w:tr>
      <w:tr w:rsidR="00AB5D9A" w:rsidRPr="00AB5D9A" w14:paraId="6A62DBA9" w14:textId="77777777" w:rsidTr="009413C4">
        <w:tc>
          <w:tcPr>
            <w:tcW w:w="5958" w:type="dxa"/>
            <w:gridSpan w:val="3"/>
          </w:tcPr>
          <w:p w14:paraId="7AB1C9DF" w14:textId="77777777" w:rsidR="00AB5D9A" w:rsidRPr="00AB5D9A" w:rsidRDefault="00AB5D9A" w:rsidP="008E1ECD">
            <w:pPr>
              <w:rPr>
                <w:color w:val="000000" w:themeColor="text1"/>
                <w:sz w:val="26"/>
                <w:szCs w:val="26"/>
              </w:rPr>
            </w:pPr>
            <w:r w:rsidRPr="00AB5D9A">
              <w:rPr>
                <w:rFonts w:cs="Times New (W1)"/>
                <w:color w:val="000000" w:themeColor="text1"/>
                <w:sz w:val="26"/>
                <w:szCs w:val="26"/>
              </w:rPr>
              <w:t>Implementation of the Federal Communications Commission’s Order of November 18, 2011 as Amended or Revised and Coordination with Certain Intrastate Matters</w:t>
            </w:r>
          </w:p>
        </w:tc>
        <w:tc>
          <w:tcPr>
            <w:tcW w:w="3600" w:type="dxa"/>
            <w:gridSpan w:val="3"/>
          </w:tcPr>
          <w:p w14:paraId="119A6008" w14:textId="77777777" w:rsidR="00AB5D9A" w:rsidRPr="00AB5D9A" w:rsidRDefault="00AB5D9A" w:rsidP="00643BAA">
            <w:pPr>
              <w:jc w:val="right"/>
              <w:rPr>
                <w:color w:val="000000" w:themeColor="text1"/>
                <w:sz w:val="26"/>
                <w:szCs w:val="26"/>
              </w:rPr>
            </w:pPr>
            <w:r w:rsidRPr="00AB5D9A">
              <w:rPr>
                <w:rFonts w:cs="Times New (W1)"/>
                <w:color w:val="000000" w:themeColor="text1"/>
                <w:sz w:val="26"/>
                <w:szCs w:val="26"/>
              </w:rPr>
              <w:t>M-2012-2291824</w:t>
            </w:r>
          </w:p>
        </w:tc>
      </w:tr>
    </w:tbl>
    <w:p w14:paraId="6D91CA8B" w14:textId="77777777" w:rsidR="008E1ECD" w:rsidRDefault="008E1ECD" w:rsidP="00205080">
      <w:pPr>
        <w:jc w:val="center"/>
        <w:rPr>
          <w:b/>
          <w:color w:val="000000" w:themeColor="text1"/>
          <w:sz w:val="26"/>
          <w:szCs w:val="26"/>
        </w:rPr>
      </w:pPr>
    </w:p>
    <w:p w14:paraId="0D1422C5" w14:textId="77777777" w:rsidR="00AB5D9A" w:rsidRDefault="00AB5D9A" w:rsidP="004A3D04">
      <w:pPr>
        <w:spacing w:before="240"/>
        <w:contextualSpacing/>
        <w:jc w:val="center"/>
        <w:rPr>
          <w:b/>
          <w:color w:val="000000" w:themeColor="text1"/>
          <w:sz w:val="26"/>
          <w:szCs w:val="26"/>
        </w:rPr>
      </w:pPr>
      <w:r w:rsidRPr="00AB5D9A">
        <w:rPr>
          <w:b/>
          <w:color w:val="000000" w:themeColor="text1"/>
          <w:sz w:val="26"/>
          <w:szCs w:val="26"/>
        </w:rPr>
        <w:t>ORDER</w:t>
      </w:r>
    </w:p>
    <w:p w14:paraId="5886A52C" w14:textId="77777777" w:rsidR="00643BAA" w:rsidRDefault="00AB5D9A" w:rsidP="004A3D04">
      <w:pPr>
        <w:spacing w:before="240"/>
        <w:rPr>
          <w:b/>
          <w:color w:val="000000" w:themeColor="text1"/>
          <w:sz w:val="26"/>
          <w:szCs w:val="26"/>
        </w:rPr>
      </w:pPr>
      <w:r w:rsidRPr="00AB5D9A">
        <w:rPr>
          <w:b/>
          <w:color w:val="000000" w:themeColor="text1"/>
          <w:sz w:val="26"/>
          <w:szCs w:val="26"/>
        </w:rPr>
        <w:t>BY THE COMMISSION:</w:t>
      </w:r>
    </w:p>
    <w:p w14:paraId="407B7F5F" w14:textId="77777777" w:rsidR="00342EF3" w:rsidRDefault="00D74E5E" w:rsidP="004A3D04">
      <w:pPr>
        <w:spacing w:before="240" w:line="360" w:lineRule="auto"/>
        <w:rPr>
          <w:color w:val="000000" w:themeColor="text1"/>
          <w:sz w:val="26"/>
          <w:szCs w:val="26"/>
        </w:rPr>
      </w:pPr>
      <w:r>
        <w:rPr>
          <w:b/>
          <w:color w:val="000000" w:themeColor="text1"/>
          <w:sz w:val="26"/>
          <w:szCs w:val="26"/>
        </w:rPr>
        <w:tab/>
      </w:r>
      <w:r w:rsidR="00AB5D9A" w:rsidRPr="00AB5D9A">
        <w:rPr>
          <w:color w:val="000000" w:themeColor="text1"/>
          <w:sz w:val="26"/>
          <w:szCs w:val="26"/>
        </w:rPr>
        <w:t>In accordance with our previous Orders</w:t>
      </w:r>
      <w:r w:rsidR="00AB5D9A" w:rsidRPr="00AB5D9A">
        <w:rPr>
          <w:rStyle w:val="FootnoteReference"/>
          <w:color w:val="000000" w:themeColor="text1"/>
          <w:sz w:val="26"/>
          <w:szCs w:val="26"/>
        </w:rPr>
        <w:footnoteReference w:id="1"/>
      </w:r>
      <w:r w:rsidR="00AB5D9A" w:rsidRPr="00AB5D9A">
        <w:rPr>
          <w:color w:val="000000" w:themeColor="text1"/>
          <w:sz w:val="26"/>
          <w:szCs w:val="26"/>
        </w:rPr>
        <w:t xml:space="preserve"> </w:t>
      </w:r>
      <w:r w:rsidR="00AB5D9A" w:rsidRPr="003477B5">
        <w:rPr>
          <w:color w:val="000000" w:themeColor="text1"/>
          <w:sz w:val="26"/>
          <w:szCs w:val="26"/>
        </w:rPr>
        <w:t>in this pro</w:t>
      </w:r>
      <w:r w:rsidR="00AB5D9A" w:rsidRPr="00AB5D9A">
        <w:rPr>
          <w:color w:val="000000" w:themeColor="text1"/>
          <w:sz w:val="26"/>
          <w:szCs w:val="26"/>
        </w:rPr>
        <w:t xml:space="preserve">ceeding, this Commission is continuing with the implementation of the substantial changes to the intercarrier compensation regime ordered by the Federal Communications Commission (FCC) in its decision, </w:t>
      </w:r>
      <w:r w:rsidR="00AB5D9A" w:rsidRPr="00AB5D9A">
        <w:rPr>
          <w:i/>
          <w:color w:val="000000" w:themeColor="text1"/>
          <w:sz w:val="26"/>
          <w:szCs w:val="26"/>
        </w:rPr>
        <w:t>In re: Connect America Fund,</w:t>
      </w:r>
      <w:r w:rsidR="00AB5D9A" w:rsidRPr="00AB5D9A">
        <w:rPr>
          <w:color w:val="000000" w:themeColor="text1"/>
          <w:sz w:val="26"/>
          <w:szCs w:val="26"/>
        </w:rPr>
        <w:t xml:space="preserve"> Docket No. 10-90, </w:t>
      </w:r>
      <w:r w:rsidR="00AB5D9A" w:rsidRPr="007A64DB">
        <w:rPr>
          <w:i/>
          <w:color w:val="000000" w:themeColor="text1"/>
          <w:sz w:val="26"/>
          <w:szCs w:val="26"/>
        </w:rPr>
        <w:t>et.al</w:t>
      </w:r>
      <w:r w:rsidR="00AB5D9A" w:rsidRPr="00AB5D9A">
        <w:rPr>
          <w:color w:val="000000" w:themeColor="text1"/>
          <w:sz w:val="26"/>
          <w:szCs w:val="26"/>
        </w:rPr>
        <w:t>.</w:t>
      </w:r>
      <w:r w:rsidR="00AB5D9A" w:rsidRPr="00AB5D9A">
        <w:rPr>
          <w:rStyle w:val="FootnoteReference"/>
          <w:color w:val="000000" w:themeColor="text1"/>
          <w:sz w:val="26"/>
          <w:szCs w:val="26"/>
        </w:rPr>
        <w:footnoteReference w:id="2"/>
      </w:r>
      <w:r w:rsidR="0046180D">
        <w:rPr>
          <w:color w:val="000000" w:themeColor="text1"/>
          <w:sz w:val="26"/>
          <w:szCs w:val="26"/>
        </w:rPr>
        <w:t xml:space="preserve">  T</w:t>
      </w:r>
      <w:r w:rsidR="00AB5D9A" w:rsidRPr="00AB5D9A">
        <w:rPr>
          <w:color w:val="000000" w:themeColor="text1"/>
          <w:sz w:val="26"/>
          <w:szCs w:val="26"/>
        </w:rPr>
        <w:t xml:space="preserve">he </w:t>
      </w:r>
      <w:r w:rsidR="00AB5D9A" w:rsidRPr="00AB5D9A">
        <w:rPr>
          <w:i/>
          <w:color w:val="000000" w:themeColor="text1"/>
          <w:sz w:val="26"/>
          <w:szCs w:val="26"/>
        </w:rPr>
        <w:t>FCC Order</w:t>
      </w:r>
      <w:r w:rsidR="00AB5D9A" w:rsidRPr="00AB5D9A">
        <w:rPr>
          <w:color w:val="000000" w:themeColor="text1"/>
          <w:sz w:val="26"/>
          <w:szCs w:val="26"/>
        </w:rPr>
        <w:t xml:space="preserve"> triggers a series of compliance obligations and associated deadlines that involve both regulated telecommunications carriers and state utility commissions. </w:t>
      </w:r>
    </w:p>
    <w:p w14:paraId="5CD2390D" w14:textId="77777777" w:rsidR="004A3D04" w:rsidRDefault="004A3D04" w:rsidP="001865C6">
      <w:pPr>
        <w:contextualSpacing/>
        <w:jc w:val="center"/>
        <w:rPr>
          <w:b/>
          <w:color w:val="000000" w:themeColor="text1"/>
          <w:sz w:val="26"/>
          <w:szCs w:val="26"/>
        </w:rPr>
      </w:pPr>
    </w:p>
    <w:p w14:paraId="07E383E3" w14:textId="77777777" w:rsidR="004A3D04" w:rsidRDefault="004A3D04" w:rsidP="001865C6">
      <w:pPr>
        <w:contextualSpacing/>
        <w:jc w:val="center"/>
        <w:rPr>
          <w:b/>
          <w:color w:val="000000" w:themeColor="text1"/>
          <w:sz w:val="26"/>
          <w:szCs w:val="26"/>
        </w:rPr>
      </w:pPr>
    </w:p>
    <w:p w14:paraId="3E475EFA" w14:textId="77777777" w:rsidR="004A3D04" w:rsidRDefault="004A3D04" w:rsidP="001865C6">
      <w:pPr>
        <w:contextualSpacing/>
        <w:jc w:val="center"/>
        <w:rPr>
          <w:b/>
          <w:color w:val="000000" w:themeColor="text1"/>
          <w:sz w:val="26"/>
          <w:szCs w:val="26"/>
        </w:rPr>
      </w:pPr>
    </w:p>
    <w:p w14:paraId="5313698C" w14:textId="77777777" w:rsidR="00D74E5E" w:rsidRDefault="00AB5D9A" w:rsidP="001865C6">
      <w:pPr>
        <w:contextualSpacing/>
        <w:jc w:val="center"/>
        <w:rPr>
          <w:b/>
          <w:color w:val="000000" w:themeColor="text1"/>
          <w:sz w:val="26"/>
          <w:szCs w:val="26"/>
        </w:rPr>
      </w:pPr>
      <w:r w:rsidRPr="00AB5D9A">
        <w:rPr>
          <w:b/>
          <w:color w:val="000000" w:themeColor="text1"/>
          <w:sz w:val="26"/>
          <w:szCs w:val="26"/>
        </w:rPr>
        <w:t>BACKGROUND</w:t>
      </w:r>
    </w:p>
    <w:p w14:paraId="2AC4F9B3" w14:textId="77777777" w:rsidR="00D74E5E" w:rsidRDefault="00D74E5E" w:rsidP="004A3D04">
      <w:pPr>
        <w:spacing w:before="240" w:line="360" w:lineRule="auto"/>
        <w:rPr>
          <w:color w:val="000000" w:themeColor="text1"/>
          <w:sz w:val="26"/>
          <w:szCs w:val="26"/>
        </w:rPr>
      </w:pPr>
      <w:r>
        <w:rPr>
          <w:b/>
          <w:color w:val="000000" w:themeColor="text1"/>
          <w:sz w:val="26"/>
          <w:szCs w:val="26"/>
        </w:rPr>
        <w:tab/>
      </w:r>
      <w:r w:rsidR="00AB5D9A" w:rsidRPr="00AB5D9A">
        <w:rPr>
          <w:color w:val="000000" w:themeColor="text1"/>
          <w:sz w:val="26"/>
          <w:szCs w:val="26"/>
        </w:rPr>
        <w:t xml:space="preserve">The </w:t>
      </w:r>
      <w:r w:rsidR="00AB5D9A" w:rsidRPr="00AB5D9A">
        <w:rPr>
          <w:i/>
          <w:color w:val="000000" w:themeColor="text1"/>
          <w:sz w:val="26"/>
          <w:szCs w:val="26"/>
        </w:rPr>
        <w:t>FCC Order, inter alia,</w:t>
      </w:r>
      <w:r w:rsidR="00AB5D9A" w:rsidRPr="00AB5D9A">
        <w:rPr>
          <w:color w:val="000000" w:themeColor="text1"/>
          <w:sz w:val="26"/>
          <w:szCs w:val="26"/>
        </w:rPr>
        <w:t xml:space="preserve"> directs a multiyear transition from current intrastate switched access rates to initial parity with federal interstate switched access rates</w:t>
      </w:r>
      <w:r w:rsidR="004512F9">
        <w:rPr>
          <w:color w:val="000000" w:themeColor="text1"/>
          <w:sz w:val="26"/>
          <w:szCs w:val="26"/>
        </w:rPr>
        <w:t xml:space="preserve"> for terminating traffic</w:t>
      </w:r>
      <w:r w:rsidR="00AB5D9A" w:rsidRPr="00AB5D9A">
        <w:rPr>
          <w:color w:val="000000" w:themeColor="text1"/>
          <w:sz w:val="26"/>
          <w:szCs w:val="26"/>
        </w:rPr>
        <w:t>, and a subsequent movement to bill-and-keep.  At the outset of this transition, the FCC required incumbent local exchange carriers (ILECs) classified as price cap carriers at the federal level</w:t>
      </w:r>
      <w:r w:rsidR="0041730D">
        <w:rPr>
          <w:color w:val="000000" w:themeColor="text1"/>
          <w:sz w:val="26"/>
          <w:szCs w:val="26"/>
        </w:rPr>
        <w:t xml:space="preserve"> (Price Cap ILECs)</w:t>
      </w:r>
      <w:r w:rsidR="00AB5D9A" w:rsidRPr="00AB5D9A">
        <w:rPr>
          <w:color w:val="000000" w:themeColor="text1"/>
          <w:sz w:val="26"/>
          <w:szCs w:val="26"/>
        </w:rPr>
        <w:t xml:space="preserve"> to cap the intrastate access rate elements referenced in 47 C.F.R § 51.907 at their levels in effect December 29, 2011.  Similarly, ILECs classified as rate-of-return (ROR) carriers at the federal level</w:t>
      </w:r>
      <w:r w:rsidR="0041730D">
        <w:rPr>
          <w:color w:val="000000" w:themeColor="text1"/>
          <w:sz w:val="26"/>
          <w:szCs w:val="26"/>
        </w:rPr>
        <w:t xml:space="preserve"> (ROR ILECs)</w:t>
      </w:r>
      <w:r w:rsidR="00AB5D9A" w:rsidRPr="00AB5D9A">
        <w:rPr>
          <w:color w:val="000000" w:themeColor="text1"/>
          <w:sz w:val="26"/>
          <w:szCs w:val="26"/>
        </w:rPr>
        <w:t xml:space="preserve"> were required to cap, at the levels in effect December 29, 2011, the intrastate access rate elements referenced in 47 C.F.R § 51.909.</w:t>
      </w:r>
      <w:r w:rsidR="00AB5D9A" w:rsidRPr="00AB5D9A">
        <w:rPr>
          <w:rStyle w:val="FootnoteReference"/>
          <w:color w:val="000000" w:themeColor="text1"/>
          <w:sz w:val="26"/>
          <w:szCs w:val="26"/>
        </w:rPr>
        <w:footnoteReference w:id="3"/>
      </w:r>
      <w:r w:rsidR="00AB5D9A" w:rsidRPr="00AB5D9A">
        <w:rPr>
          <w:color w:val="000000" w:themeColor="text1"/>
          <w:sz w:val="26"/>
          <w:szCs w:val="26"/>
        </w:rPr>
        <w:t xml:space="preserve">  </w:t>
      </w:r>
    </w:p>
    <w:p w14:paraId="61AC19B3" w14:textId="77777777" w:rsidR="00D74E5E" w:rsidRDefault="00D74E5E" w:rsidP="004A3D04">
      <w:pPr>
        <w:spacing w:before="240"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Subsequently, the </w:t>
      </w:r>
      <w:r w:rsidR="00AB5D9A" w:rsidRPr="00AB5D9A">
        <w:rPr>
          <w:i/>
          <w:color w:val="000000" w:themeColor="text1"/>
          <w:sz w:val="26"/>
          <w:szCs w:val="26"/>
        </w:rPr>
        <w:t>FCC Order</w:t>
      </w:r>
      <w:r w:rsidR="00AB5D9A" w:rsidRPr="00AB5D9A">
        <w:rPr>
          <w:color w:val="000000" w:themeColor="text1"/>
          <w:sz w:val="26"/>
          <w:szCs w:val="26"/>
        </w:rPr>
        <w:t xml:space="preserve"> directs a multiyear process under which ILECs are to make filings effective July 1 of each year to transition gradually certain interstate and intrastate access rates to bill-and-keep.  The intrastate access rate reductions apply to Transitional Intrastate Access Services (TIAS) as defined in 47 C.F.R. § 51.903(j).  A generally corresponding transition is also contemplated for the intrastate switched access rates of competitive local exchange carriers (CLECs) in accordance with the FCC’s benchmarking rule.</w:t>
      </w:r>
      <w:r w:rsidR="00AB5D9A" w:rsidRPr="00AB5D9A">
        <w:rPr>
          <w:rStyle w:val="FootnoteReference"/>
          <w:color w:val="000000" w:themeColor="text1"/>
          <w:sz w:val="26"/>
          <w:szCs w:val="26"/>
        </w:rPr>
        <w:footnoteReference w:id="4"/>
      </w:r>
      <w:r w:rsidR="00AB5D9A" w:rsidRPr="00AB5D9A">
        <w:rPr>
          <w:color w:val="000000" w:themeColor="text1"/>
          <w:sz w:val="26"/>
          <w:szCs w:val="26"/>
        </w:rPr>
        <w:t xml:space="preserve">    </w:t>
      </w:r>
    </w:p>
    <w:p w14:paraId="2262C16B" w14:textId="77777777" w:rsidR="00A8007A" w:rsidRDefault="00D74E5E" w:rsidP="004A3D04">
      <w:pPr>
        <w:spacing w:before="240"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Through our </w:t>
      </w:r>
      <w:r w:rsidR="00956EBA">
        <w:rPr>
          <w:color w:val="000000" w:themeColor="text1"/>
          <w:sz w:val="26"/>
          <w:szCs w:val="26"/>
        </w:rPr>
        <w:t xml:space="preserve">Order entered </w:t>
      </w:r>
      <w:r w:rsidR="00AB5D9A" w:rsidRPr="00AB5D9A">
        <w:rPr>
          <w:color w:val="000000" w:themeColor="text1"/>
          <w:sz w:val="26"/>
          <w:szCs w:val="26"/>
        </w:rPr>
        <w:t>March 22, 2012</w:t>
      </w:r>
      <w:r w:rsidR="00956EBA">
        <w:rPr>
          <w:color w:val="000000" w:themeColor="text1"/>
          <w:sz w:val="26"/>
          <w:szCs w:val="26"/>
        </w:rPr>
        <w:t>, in this proceeding</w:t>
      </w:r>
      <w:r w:rsidR="00AB5D9A" w:rsidRPr="00AB5D9A">
        <w:rPr>
          <w:color w:val="000000" w:themeColor="text1"/>
          <w:sz w:val="26"/>
          <w:szCs w:val="26"/>
        </w:rPr>
        <w:t xml:space="preserve">, the Commission initiated its FCC Order Implementation proceeding.  The Commission invited comments on the implementation of the </w:t>
      </w:r>
      <w:r w:rsidR="00AB5D9A" w:rsidRPr="00AB5D9A">
        <w:rPr>
          <w:i/>
          <w:color w:val="000000" w:themeColor="text1"/>
          <w:sz w:val="26"/>
          <w:szCs w:val="26"/>
        </w:rPr>
        <w:t>FCC Order</w:t>
      </w:r>
      <w:r w:rsidR="00AB5D9A" w:rsidRPr="00AB5D9A">
        <w:rPr>
          <w:color w:val="000000" w:themeColor="text1"/>
          <w:sz w:val="26"/>
          <w:szCs w:val="26"/>
        </w:rPr>
        <w:t xml:space="preserve"> and conducted an on-the-record technical collaborative session on April 20, 2012.  </w:t>
      </w:r>
    </w:p>
    <w:p w14:paraId="41A2F419" w14:textId="434F5C3E" w:rsidR="00AB5D9A" w:rsidRPr="00E77E7B" w:rsidRDefault="00E77E7B" w:rsidP="004A3D04">
      <w:pPr>
        <w:spacing w:before="240" w:line="360" w:lineRule="auto"/>
        <w:rPr>
          <w:b/>
          <w:color w:val="000000" w:themeColor="text1"/>
          <w:sz w:val="26"/>
          <w:szCs w:val="26"/>
        </w:rPr>
      </w:pPr>
      <w:r>
        <w:rPr>
          <w:color w:val="000000" w:themeColor="text1"/>
          <w:sz w:val="26"/>
          <w:szCs w:val="26"/>
        </w:rPr>
        <w:tab/>
      </w:r>
      <w:r w:rsidR="00AB5D9A" w:rsidRPr="00AB5D9A">
        <w:rPr>
          <w:color w:val="000000" w:themeColor="text1"/>
          <w:sz w:val="26"/>
          <w:szCs w:val="26"/>
        </w:rPr>
        <w:t>Subseque</w:t>
      </w:r>
      <w:r w:rsidR="007A64DB">
        <w:rPr>
          <w:color w:val="000000" w:themeColor="text1"/>
          <w:sz w:val="26"/>
          <w:szCs w:val="26"/>
        </w:rPr>
        <w:t xml:space="preserve">ntly, through our May 10, 2012 </w:t>
      </w:r>
      <w:r w:rsidR="00AB5D9A" w:rsidRPr="00AB5D9A">
        <w:rPr>
          <w:color w:val="000000" w:themeColor="text1"/>
          <w:sz w:val="26"/>
          <w:szCs w:val="26"/>
        </w:rPr>
        <w:t xml:space="preserve">Order, the Commission entered a Consolidated Short Form and Protective Order addressing, </w:t>
      </w:r>
      <w:r w:rsidR="00AB5D9A" w:rsidRPr="00AB5D9A">
        <w:rPr>
          <w:i/>
          <w:color w:val="000000" w:themeColor="text1"/>
          <w:sz w:val="26"/>
          <w:szCs w:val="26"/>
        </w:rPr>
        <w:t>inter alia</w:t>
      </w:r>
      <w:r w:rsidR="00AB5D9A" w:rsidRPr="00AB5D9A">
        <w:rPr>
          <w:color w:val="000000" w:themeColor="text1"/>
          <w:sz w:val="26"/>
          <w:szCs w:val="26"/>
        </w:rPr>
        <w:t>, implementation of Step 1</w:t>
      </w:r>
      <w:r w:rsidR="00AB5D9A" w:rsidRPr="00AB5D9A">
        <w:rPr>
          <w:rStyle w:val="FootnoteReference"/>
          <w:color w:val="000000" w:themeColor="text1"/>
          <w:sz w:val="26"/>
          <w:szCs w:val="26"/>
        </w:rPr>
        <w:footnoteReference w:id="5"/>
      </w:r>
      <w:r w:rsidR="00AB5D9A" w:rsidRPr="00AB5D9A">
        <w:rPr>
          <w:color w:val="000000" w:themeColor="text1"/>
          <w:sz w:val="26"/>
          <w:szCs w:val="26"/>
        </w:rPr>
        <w:t xml:space="preserve"> of the transition of the intrastate intercarrier compensation regime to bill-and-keep as contemplated by the </w:t>
      </w:r>
      <w:r w:rsidR="00AB5D9A" w:rsidRPr="00AB5D9A">
        <w:rPr>
          <w:i/>
          <w:color w:val="000000" w:themeColor="text1"/>
          <w:sz w:val="26"/>
          <w:szCs w:val="26"/>
        </w:rPr>
        <w:t>FCC Order</w:t>
      </w:r>
      <w:r w:rsidR="00956EBA">
        <w:rPr>
          <w:color w:val="000000" w:themeColor="text1"/>
          <w:sz w:val="26"/>
          <w:szCs w:val="26"/>
        </w:rPr>
        <w:t xml:space="preserve">.  Through subsequent annual Orders in this </w:t>
      </w:r>
      <w:r w:rsidR="00956EBA">
        <w:rPr>
          <w:color w:val="000000" w:themeColor="text1"/>
          <w:sz w:val="26"/>
          <w:szCs w:val="26"/>
        </w:rPr>
        <w:lastRenderedPageBreak/>
        <w:t xml:space="preserve">proceeding we addressed Steps </w:t>
      </w:r>
      <w:r w:rsidR="00AB5D9A" w:rsidRPr="00AB5D9A">
        <w:rPr>
          <w:color w:val="000000" w:themeColor="text1"/>
          <w:sz w:val="26"/>
          <w:szCs w:val="26"/>
        </w:rPr>
        <w:t>2</w:t>
      </w:r>
      <w:r w:rsidR="00956EBA">
        <w:rPr>
          <w:color w:val="000000" w:themeColor="text1"/>
          <w:sz w:val="26"/>
          <w:szCs w:val="26"/>
        </w:rPr>
        <w:t>,</w:t>
      </w:r>
      <w:r w:rsidR="00AB5D9A" w:rsidRPr="00AB5D9A">
        <w:rPr>
          <w:rStyle w:val="FootnoteReference"/>
          <w:color w:val="000000" w:themeColor="text1"/>
          <w:sz w:val="26"/>
          <w:szCs w:val="26"/>
        </w:rPr>
        <w:footnoteReference w:id="6"/>
      </w:r>
      <w:r w:rsidR="00956EBA">
        <w:rPr>
          <w:color w:val="000000" w:themeColor="text1"/>
          <w:sz w:val="26"/>
          <w:szCs w:val="26"/>
        </w:rPr>
        <w:t xml:space="preserve"> 3,</w:t>
      </w:r>
      <w:r w:rsidR="00AB5D9A" w:rsidRPr="00AB5D9A">
        <w:rPr>
          <w:rStyle w:val="FootnoteReference"/>
          <w:color w:val="000000" w:themeColor="text1"/>
          <w:sz w:val="26"/>
          <w:szCs w:val="26"/>
        </w:rPr>
        <w:footnoteReference w:id="7"/>
      </w:r>
      <w:r w:rsidR="007F23BF">
        <w:rPr>
          <w:color w:val="000000" w:themeColor="text1"/>
          <w:sz w:val="26"/>
          <w:szCs w:val="26"/>
        </w:rPr>
        <w:t xml:space="preserve"> </w:t>
      </w:r>
      <w:r w:rsidR="00956EBA">
        <w:rPr>
          <w:color w:val="000000" w:themeColor="text1"/>
          <w:sz w:val="26"/>
          <w:szCs w:val="26"/>
        </w:rPr>
        <w:t>4,</w:t>
      </w:r>
      <w:r w:rsidR="008E1ECD">
        <w:rPr>
          <w:rStyle w:val="FootnoteReference"/>
          <w:color w:val="000000" w:themeColor="text1"/>
          <w:sz w:val="26"/>
          <w:szCs w:val="26"/>
        </w:rPr>
        <w:footnoteReference w:id="8"/>
      </w:r>
      <w:r w:rsidR="00114444">
        <w:rPr>
          <w:color w:val="000000" w:themeColor="text1"/>
          <w:sz w:val="26"/>
          <w:szCs w:val="26"/>
        </w:rPr>
        <w:t xml:space="preserve"> </w:t>
      </w:r>
      <w:r w:rsidR="00956EBA">
        <w:rPr>
          <w:color w:val="000000" w:themeColor="text1"/>
          <w:sz w:val="26"/>
          <w:szCs w:val="26"/>
        </w:rPr>
        <w:t>5</w:t>
      </w:r>
      <w:r w:rsidR="00867E9C">
        <w:rPr>
          <w:color w:val="000000" w:themeColor="text1"/>
          <w:sz w:val="26"/>
          <w:szCs w:val="26"/>
        </w:rPr>
        <w:t>,</w:t>
      </w:r>
      <w:r w:rsidR="00AB5D9A" w:rsidRPr="00AB5D9A">
        <w:rPr>
          <w:rStyle w:val="FootnoteReference"/>
          <w:color w:val="000000" w:themeColor="text1"/>
          <w:sz w:val="26"/>
          <w:szCs w:val="26"/>
        </w:rPr>
        <w:footnoteReference w:id="9"/>
      </w:r>
      <w:r w:rsidR="00114444">
        <w:rPr>
          <w:color w:val="000000" w:themeColor="text1"/>
          <w:sz w:val="26"/>
          <w:szCs w:val="26"/>
        </w:rPr>
        <w:t xml:space="preserve"> 6</w:t>
      </w:r>
      <w:r w:rsidR="00867E9C">
        <w:rPr>
          <w:color w:val="000000" w:themeColor="text1"/>
          <w:sz w:val="26"/>
          <w:szCs w:val="26"/>
        </w:rPr>
        <w:t>,</w:t>
      </w:r>
      <w:r w:rsidR="00114444">
        <w:rPr>
          <w:rStyle w:val="FootnoteReference"/>
          <w:color w:val="000000" w:themeColor="text1"/>
          <w:sz w:val="26"/>
          <w:szCs w:val="26"/>
        </w:rPr>
        <w:footnoteReference w:id="10"/>
      </w:r>
      <w:r w:rsidR="00867E9C">
        <w:rPr>
          <w:color w:val="000000" w:themeColor="text1"/>
          <w:sz w:val="26"/>
          <w:szCs w:val="26"/>
        </w:rPr>
        <w:t xml:space="preserve"> and 7</w:t>
      </w:r>
      <w:r w:rsidR="00867E9C">
        <w:rPr>
          <w:rStyle w:val="FootnoteReference"/>
          <w:color w:val="000000" w:themeColor="text1"/>
          <w:sz w:val="26"/>
          <w:szCs w:val="26"/>
        </w:rPr>
        <w:footnoteReference w:id="11"/>
      </w:r>
      <w:r w:rsidR="00114444">
        <w:rPr>
          <w:color w:val="000000" w:themeColor="text1"/>
          <w:sz w:val="26"/>
          <w:szCs w:val="26"/>
        </w:rPr>
        <w:t xml:space="preserve"> </w:t>
      </w:r>
      <w:r w:rsidR="00956EBA">
        <w:rPr>
          <w:color w:val="000000" w:themeColor="text1"/>
          <w:sz w:val="26"/>
          <w:szCs w:val="26"/>
        </w:rPr>
        <w:t>of that transition.</w:t>
      </w:r>
      <w:r w:rsidR="00AB5D9A" w:rsidRPr="00AB5D9A">
        <w:rPr>
          <w:color w:val="000000" w:themeColor="text1"/>
          <w:sz w:val="26"/>
          <w:szCs w:val="26"/>
        </w:rPr>
        <w:t xml:space="preserve">  </w:t>
      </w:r>
      <w:r w:rsidR="00840A5A">
        <w:rPr>
          <w:color w:val="000000" w:themeColor="text1"/>
          <w:sz w:val="26"/>
          <w:szCs w:val="26"/>
        </w:rPr>
        <w:t xml:space="preserve">In this Order, we address the implementation </w:t>
      </w:r>
      <w:r w:rsidR="0033665F">
        <w:rPr>
          <w:color w:val="000000" w:themeColor="text1"/>
          <w:sz w:val="26"/>
          <w:szCs w:val="26"/>
        </w:rPr>
        <w:t xml:space="preserve">of </w:t>
      </w:r>
      <w:r w:rsidR="00840A5A">
        <w:rPr>
          <w:color w:val="000000" w:themeColor="text1"/>
          <w:sz w:val="26"/>
          <w:szCs w:val="26"/>
        </w:rPr>
        <w:t xml:space="preserve">Step </w:t>
      </w:r>
      <w:r w:rsidR="00867E9C">
        <w:rPr>
          <w:color w:val="000000" w:themeColor="text1"/>
          <w:sz w:val="26"/>
          <w:szCs w:val="26"/>
        </w:rPr>
        <w:t>8</w:t>
      </w:r>
      <w:r w:rsidR="0033665F">
        <w:rPr>
          <w:rStyle w:val="FootnoteReference"/>
          <w:color w:val="000000" w:themeColor="text1"/>
          <w:sz w:val="26"/>
          <w:szCs w:val="26"/>
        </w:rPr>
        <w:footnoteReference w:id="12"/>
      </w:r>
      <w:r w:rsidR="007B1F34">
        <w:rPr>
          <w:color w:val="000000" w:themeColor="text1"/>
          <w:sz w:val="26"/>
          <w:szCs w:val="26"/>
        </w:rPr>
        <w:t xml:space="preserve"> </w:t>
      </w:r>
      <w:r w:rsidR="0033665F">
        <w:rPr>
          <w:color w:val="000000" w:themeColor="text1"/>
          <w:sz w:val="26"/>
          <w:szCs w:val="26"/>
        </w:rPr>
        <w:t>of that transition.</w:t>
      </w:r>
    </w:p>
    <w:p w14:paraId="237B2ED6" w14:textId="77777777" w:rsidR="00E77E7B" w:rsidRDefault="00AB5D9A" w:rsidP="004A3D04">
      <w:pPr>
        <w:spacing w:before="240"/>
        <w:jc w:val="center"/>
        <w:rPr>
          <w:b/>
          <w:color w:val="000000" w:themeColor="text1"/>
          <w:sz w:val="26"/>
          <w:szCs w:val="26"/>
        </w:rPr>
      </w:pPr>
      <w:r w:rsidRPr="00AB5D9A">
        <w:rPr>
          <w:b/>
          <w:color w:val="000000" w:themeColor="text1"/>
          <w:sz w:val="26"/>
          <w:szCs w:val="26"/>
        </w:rPr>
        <w:t>DISCUSSION</w:t>
      </w:r>
    </w:p>
    <w:p w14:paraId="47C093B8" w14:textId="77777777" w:rsidR="00AB5D9A" w:rsidRPr="00E77E7B" w:rsidRDefault="00E77E7B" w:rsidP="004A3D04">
      <w:pPr>
        <w:spacing w:before="240" w:line="360" w:lineRule="auto"/>
        <w:rPr>
          <w:b/>
          <w:color w:val="000000" w:themeColor="text1"/>
          <w:sz w:val="26"/>
          <w:szCs w:val="26"/>
        </w:rPr>
      </w:pPr>
      <w:r>
        <w:rPr>
          <w:b/>
          <w:color w:val="000000" w:themeColor="text1"/>
          <w:sz w:val="26"/>
          <w:szCs w:val="26"/>
        </w:rPr>
        <w:tab/>
      </w:r>
      <w:r w:rsidR="00AB5D9A" w:rsidRPr="00AB5D9A">
        <w:rPr>
          <w:color w:val="000000" w:themeColor="text1"/>
          <w:sz w:val="26"/>
          <w:szCs w:val="26"/>
        </w:rPr>
        <w:t>The importance of state utility commission involvement and oversight in the intercarrier compensation reform process was specifically recognized by the FCC:</w:t>
      </w:r>
    </w:p>
    <w:p w14:paraId="41EFDABA" w14:textId="77777777" w:rsidR="007F23BF" w:rsidRPr="004A3D04" w:rsidRDefault="00AB5D9A" w:rsidP="004A3D04">
      <w:pPr>
        <w:pStyle w:val="ParaNum"/>
        <w:widowControl/>
        <w:numPr>
          <w:ilvl w:val="0"/>
          <w:numId w:val="0"/>
        </w:numPr>
        <w:spacing w:before="240" w:after="0"/>
        <w:ind w:left="1080" w:right="1080" w:firstLine="720"/>
        <w:rPr>
          <w:color w:val="000000" w:themeColor="text1"/>
          <w:sz w:val="26"/>
        </w:rPr>
      </w:pPr>
      <w:bookmarkStart w:id="0" w:name="_Ref309323553"/>
      <w:r w:rsidRPr="00AB5D9A">
        <w:rPr>
          <w:color w:val="000000" w:themeColor="text1"/>
          <w:sz w:val="26"/>
        </w:rPr>
        <w:t>Because carriers will be revising intrastate access tariffs to reduce rates for certain terminating switched access rate elements, and capping other intrastate rates, states will play a critical role implementing and enforcing intercarrier compensation reforms.  In particular, state oversight of the transition process is necessary to ensure that carriers comply with the transition timing and intrastate access charge reductions outlined above.  Under our framework, rates for intrastate access traffic will remain in intrastate tariffs.  As a result, to ensure compliance with the framework and to ensure carriers are not taking actions that could enable a windfall and/or double recovery, state commissions should monitor compliance with our rate transition; review how carriers reduce rates to ensure consistency with the uniform framework; and guard against attempts to raise capped intercarrier compensation rates, as well as unanticipated types of gamesmanship.  Consistent with states’ existing authority, therefore, states could require carriers to provide additional information and/or refile intrastate access tariffs that do not follow the framework or rules adopted in this Order.  Moreover, state commissions will continue to review and approve interconnection agreements and associated reciprocal compensation rates to ensure that they are consistent with the new federal framework and transition.  Thus, we will be working in partnership with states to monitor carriers’ compliance with our rules, thereby ensuring that consumers throughout the country will realize the tremendous benefits of ICC reform.</w:t>
      </w:r>
      <w:bookmarkEnd w:id="0"/>
      <w:r w:rsidRPr="00AB5D9A">
        <w:rPr>
          <w:rStyle w:val="FootnoteReference"/>
          <w:color w:val="000000" w:themeColor="text1"/>
          <w:sz w:val="26"/>
        </w:rPr>
        <w:footnoteReference w:id="13"/>
      </w:r>
      <w:r w:rsidRPr="00AB5D9A">
        <w:rPr>
          <w:color w:val="000000" w:themeColor="text1"/>
          <w:sz w:val="26"/>
        </w:rPr>
        <w:t xml:space="preserve"> </w:t>
      </w:r>
    </w:p>
    <w:p w14:paraId="29A6E617" w14:textId="77777777" w:rsidR="007F23BF" w:rsidRDefault="007F23BF" w:rsidP="004A3D04">
      <w:pPr>
        <w:pStyle w:val="p3"/>
        <w:widowControl/>
        <w:tabs>
          <w:tab w:val="clear" w:pos="204"/>
          <w:tab w:val="left" w:pos="720"/>
        </w:tabs>
        <w:rPr>
          <w:b/>
          <w:color w:val="000000" w:themeColor="text1"/>
          <w:szCs w:val="26"/>
        </w:rPr>
      </w:pPr>
    </w:p>
    <w:p w14:paraId="02D5D601" w14:textId="77777777" w:rsidR="004A3D04" w:rsidRDefault="004A3D04" w:rsidP="004A3D04">
      <w:pPr>
        <w:pStyle w:val="p3"/>
        <w:widowControl/>
        <w:tabs>
          <w:tab w:val="clear" w:pos="204"/>
          <w:tab w:val="left" w:pos="720"/>
        </w:tabs>
        <w:rPr>
          <w:b/>
          <w:color w:val="000000" w:themeColor="text1"/>
          <w:szCs w:val="26"/>
        </w:rPr>
      </w:pPr>
    </w:p>
    <w:p w14:paraId="607F8914" w14:textId="76C91C54" w:rsidR="00AB5D9A" w:rsidRPr="00AB5D9A" w:rsidRDefault="008E1ECD" w:rsidP="00892C3B">
      <w:pPr>
        <w:pStyle w:val="p3"/>
        <w:widowControl/>
        <w:tabs>
          <w:tab w:val="clear" w:pos="204"/>
          <w:tab w:val="left" w:pos="720"/>
        </w:tabs>
        <w:spacing w:line="240" w:lineRule="auto"/>
        <w:rPr>
          <w:b/>
          <w:color w:val="000000" w:themeColor="text1"/>
          <w:szCs w:val="26"/>
        </w:rPr>
      </w:pPr>
      <w:r>
        <w:rPr>
          <w:b/>
          <w:color w:val="000000" w:themeColor="text1"/>
          <w:szCs w:val="26"/>
        </w:rPr>
        <w:t xml:space="preserve">Step </w:t>
      </w:r>
      <w:r w:rsidR="00867E9C">
        <w:rPr>
          <w:b/>
          <w:color w:val="000000" w:themeColor="text1"/>
          <w:szCs w:val="26"/>
        </w:rPr>
        <w:t>8</w:t>
      </w:r>
      <w:r w:rsidR="00AB5D9A" w:rsidRPr="00AB5D9A">
        <w:rPr>
          <w:b/>
          <w:color w:val="000000" w:themeColor="text1"/>
          <w:szCs w:val="26"/>
        </w:rPr>
        <w:t xml:space="preserve"> Access Charge Revisions and Supporting Information</w:t>
      </w:r>
    </w:p>
    <w:p w14:paraId="1B38EB27" w14:textId="50400AA9" w:rsidR="00183385" w:rsidRPr="00886A8E" w:rsidRDefault="00A86519" w:rsidP="004A3D04">
      <w:pPr>
        <w:spacing w:before="240" w:line="360" w:lineRule="auto"/>
        <w:rPr>
          <w:color w:val="000000" w:themeColor="text1"/>
          <w:sz w:val="26"/>
          <w:szCs w:val="26"/>
        </w:rPr>
      </w:pPr>
      <w:r>
        <w:rPr>
          <w:color w:val="000000" w:themeColor="text1"/>
          <w:szCs w:val="26"/>
        </w:rPr>
        <w:tab/>
      </w:r>
      <w:r w:rsidRPr="00A86519">
        <w:rPr>
          <w:color w:val="000000" w:themeColor="text1"/>
          <w:sz w:val="26"/>
          <w:szCs w:val="26"/>
        </w:rPr>
        <w:t>Unlike prior years, the Step 8</w:t>
      </w:r>
      <w:r>
        <w:rPr>
          <w:color w:val="000000" w:themeColor="text1"/>
          <w:sz w:val="26"/>
          <w:szCs w:val="26"/>
        </w:rPr>
        <w:t xml:space="preserve"> access charge revisions apply only to ROR ILECs</w:t>
      </w:r>
      <w:r w:rsidR="002330C5">
        <w:rPr>
          <w:color w:val="000000" w:themeColor="text1"/>
          <w:sz w:val="26"/>
          <w:szCs w:val="26"/>
        </w:rPr>
        <w:t xml:space="preserve"> and</w:t>
      </w:r>
      <w:r w:rsidR="0031271F">
        <w:rPr>
          <w:color w:val="000000" w:themeColor="text1"/>
          <w:sz w:val="26"/>
          <w:szCs w:val="26"/>
        </w:rPr>
        <w:t xml:space="preserve"> CLECs that benchmark their access rates to </w:t>
      </w:r>
      <w:r w:rsidR="00FA2722">
        <w:rPr>
          <w:color w:val="000000" w:themeColor="text1"/>
          <w:sz w:val="26"/>
          <w:szCs w:val="26"/>
        </w:rPr>
        <w:t>a</w:t>
      </w:r>
      <w:r w:rsidR="0031271F">
        <w:rPr>
          <w:color w:val="000000" w:themeColor="text1"/>
          <w:sz w:val="26"/>
          <w:szCs w:val="26"/>
        </w:rPr>
        <w:t xml:space="preserve"> ROR ILEC.</w:t>
      </w:r>
      <w:r w:rsidR="00FA2722">
        <w:rPr>
          <w:color w:val="000000" w:themeColor="text1"/>
          <w:sz w:val="26"/>
          <w:szCs w:val="26"/>
        </w:rPr>
        <w:t xml:space="preserve">  </w:t>
      </w:r>
      <w:r w:rsidR="006321E3" w:rsidRPr="00A86519">
        <w:rPr>
          <w:color w:val="000000" w:themeColor="text1"/>
          <w:sz w:val="26"/>
          <w:szCs w:val="26"/>
        </w:rPr>
        <w:t xml:space="preserve">For Step </w:t>
      </w:r>
      <w:r w:rsidR="00867E9C" w:rsidRPr="00A86519">
        <w:rPr>
          <w:color w:val="000000" w:themeColor="text1"/>
          <w:sz w:val="26"/>
          <w:szCs w:val="26"/>
        </w:rPr>
        <w:t>8</w:t>
      </w:r>
      <w:r w:rsidR="006321E3" w:rsidRPr="00A86519">
        <w:rPr>
          <w:color w:val="000000" w:themeColor="text1"/>
          <w:sz w:val="26"/>
          <w:szCs w:val="26"/>
        </w:rPr>
        <w:t xml:space="preserve">, </w:t>
      </w:r>
      <w:r w:rsidR="00FA2722">
        <w:rPr>
          <w:color w:val="000000" w:themeColor="text1"/>
          <w:sz w:val="26"/>
          <w:szCs w:val="26"/>
        </w:rPr>
        <w:t xml:space="preserve">each ROR ILEC shall establish interstate and intrastate rates for terminating </w:t>
      </w:r>
      <w:r w:rsidR="006D6170">
        <w:rPr>
          <w:color w:val="000000" w:themeColor="text1"/>
          <w:sz w:val="26"/>
          <w:szCs w:val="26"/>
        </w:rPr>
        <w:t>e</w:t>
      </w:r>
      <w:r w:rsidR="00FA2722">
        <w:rPr>
          <w:color w:val="000000" w:themeColor="text1"/>
          <w:sz w:val="26"/>
          <w:szCs w:val="26"/>
        </w:rPr>
        <w:t xml:space="preserve">nd </w:t>
      </w:r>
      <w:r w:rsidR="006D6170">
        <w:rPr>
          <w:color w:val="000000" w:themeColor="text1"/>
          <w:sz w:val="26"/>
          <w:szCs w:val="26"/>
        </w:rPr>
        <w:t>o</w:t>
      </w:r>
      <w:r w:rsidR="00FA2722">
        <w:rPr>
          <w:color w:val="000000" w:themeColor="text1"/>
          <w:sz w:val="26"/>
          <w:szCs w:val="26"/>
        </w:rPr>
        <w:t xml:space="preserve">ffice </w:t>
      </w:r>
      <w:r w:rsidR="006D6170">
        <w:rPr>
          <w:color w:val="000000" w:themeColor="text1"/>
          <w:sz w:val="26"/>
          <w:szCs w:val="26"/>
        </w:rPr>
        <w:t>a</w:t>
      </w:r>
      <w:r w:rsidR="00FA2722">
        <w:rPr>
          <w:color w:val="000000" w:themeColor="text1"/>
          <w:sz w:val="26"/>
          <w:szCs w:val="26"/>
        </w:rPr>
        <w:t xml:space="preserve">ccess </w:t>
      </w:r>
      <w:r w:rsidR="006D6170">
        <w:rPr>
          <w:color w:val="000000" w:themeColor="text1"/>
          <w:sz w:val="26"/>
          <w:szCs w:val="26"/>
        </w:rPr>
        <w:t>s</w:t>
      </w:r>
      <w:r w:rsidR="00FA2722">
        <w:rPr>
          <w:color w:val="000000" w:themeColor="text1"/>
          <w:sz w:val="26"/>
          <w:szCs w:val="26"/>
        </w:rPr>
        <w:t>ervice that do not exceed $0.0007 per minute</w:t>
      </w:r>
      <w:r w:rsidR="00BE4BAD" w:rsidRPr="00886A8E">
        <w:rPr>
          <w:color w:val="000000" w:themeColor="text1"/>
          <w:sz w:val="26"/>
          <w:szCs w:val="26"/>
        </w:rPr>
        <w:t>.</w:t>
      </w:r>
    </w:p>
    <w:p w14:paraId="6FF7DC78" w14:textId="77777777" w:rsidR="00882EDE" w:rsidRDefault="00AB5D9A" w:rsidP="004A3D04">
      <w:pPr>
        <w:pStyle w:val="p3"/>
        <w:widowControl/>
        <w:tabs>
          <w:tab w:val="clear" w:pos="204"/>
          <w:tab w:val="left" w:pos="720"/>
        </w:tabs>
        <w:spacing w:before="240"/>
        <w:ind w:firstLine="720"/>
        <w:rPr>
          <w:color w:val="000000" w:themeColor="text1"/>
          <w:szCs w:val="26"/>
        </w:rPr>
      </w:pPr>
      <w:r w:rsidRPr="00353906">
        <w:rPr>
          <w:color w:val="000000" w:themeColor="text1"/>
          <w:szCs w:val="26"/>
        </w:rPr>
        <w:t xml:space="preserve">All ILEC tariff submissions must be accompanied by supporting information that demonstrates that the filed rates for </w:t>
      </w:r>
      <w:r w:rsidR="00353906" w:rsidRPr="00353906">
        <w:rPr>
          <w:color w:val="000000" w:themeColor="text1"/>
          <w:szCs w:val="26"/>
        </w:rPr>
        <w:t xml:space="preserve">all services are in compliance with FCC rules. </w:t>
      </w:r>
    </w:p>
    <w:p w14:paraId="12D1C808" w14:textId="77777777" w:rsidR="00AB5D9A" w:rsidRPr="00AB5D9A" w:rsidRDefault="00882EDE" w:rsidP="00BE4BAD">
      <w:pPr>
        <w:pStyle w:val="p3"/>
        <w:widowControl/>
        <w:tabs>
          <w:tab w:val="clear" w:pos="204"/>
          <w:tab w:val="left" w:pos="720"/>
        </w:tabs>
        <w:spacing w:line="240" w:lineRule="auto"/>
        <w:ind w:firstLine="720"/>
        <w:rPr>
          <w:color w:val="000000" w:themeColor="text1"/>
          <w:szCs w:val="26"/>
        </w:rPr>
      </w:pPr>
      <w:r>
        <w:rPr>
          <w:color w:val="000000" w:themeColor="text1"/>
          <w:szCs w:val="26"/>
        </w:rPr>
        <w:t xml:space="preserve">  </w:t>
      </w:r>
    </w:p>
    <w:p w14:paraId="14F385B1" w14:textId="449E62A4" w:rsidR="00AB5D9A" w:rsidRPr="00AB5D9A" w:rsidRDefault="00AB5D9A" w:rsidP="006F47F4">
      <w:pPr>
        <w:pStyle w:val="p3"/>
        <w:widowControl/>
        <w:tabs>
          <w:tab w:val="clear" w:pos="204"/>
          <w:tab w:val="left" w:pos="720"/>
        </w:tabs>
        <w:ind w:firstLine="720"/>
        <w:rPr>
          <w:color w:val="000000" w:themeColor="text1"/>
          <w:szCs w:val="26"/>
        </w:rPr>
      </w:pPr>
      <w:r w:rsidRPr="00AB5D9A">
        <w:rPr>
          <w:color w:val="000000" w:themeColor="text1"/>
          <w:szCs w:val="26"/>
        </w:rPr>
        <w:t xml:space="preserve">Pursuant to 47 C.F.R. § 51.911(c), all CLEC rates for access service shall be no higher than the rates charged by the competing ILEC, in accordance with the same procedures specified in 47 C.F.R. § 61.26.  Therefore, </w:t>
      </w:r>
      <w:r w:rsidR="006F47F4">
        <w:rPr>
          <w:color w:val="000000" w:themeColor="text1"/>
          <w:szCs w:val="26"/>
        </w:rPr>
        <w:t>those CLECs having</w:t>
      </w:r>
      <w:r w:rsidR="006D6170">
        <w:rPr>
          <w:color w:val="000000" w:themeColor="text1"/>
          <w:szCs w:val="26"/>
        </w:rPr>
        <w:t xml:space="preserve"> switched access tariffs</w:t>
      </w:r>
      <w:r w:rsidR="006F47F4">
        <w:rPr>
          <w:color w:val="000000" w:themeColor="text1"/>
          <w:szCs w:val="26"/>
        </w:rPr>
        <w:t xml:space="preserve"> that benchmark</w:t>
      </w:r>
      <w:r w:rsidR="006D6170">
        <w:rPr>
          <w:color w:val="000000" w:themeColor="text1"/>
          <w:szCs w:val="26"/>
        </w:rPr>
        <w:t xml:space="preserve"> </w:t>
      </w:r>
      <w:r w:rsidR="006F47F4">
        <w:rPr>
          <w:color w:val="000000" w:themeColor="text1"/>
          <w:szCs w:val="26"/>
        </w:rPr>
        <w:t xml:space="preserve">to a ROR ILEC </w:t>
      </w:r>
      <w:r w:rsidR="00882EDE">
        <w:rPr>
          <w:color w:val="000000" w:themeColor="text1"/>
          <w:szCs w:val="26"/>
        </w:rPr>
        <w:t xml:space="preserve">are also to file Step </w:t>
      </w:r>
      <w:r w:rsidR="006F47F4">
        <w:rPr>
          <w:color w:val="000000" w:themeColor="text1"/>
          <w:szCs w:val="26"/>
        </w:rPr>
        <w:t>8</w:t>
      </w:r>
      <w:r w:rsidR="00C66FBF">
        <w:rPr>
          <w:color w:val="000000" w:themeColor="text1"/>
          <w:szCs w:val="26"/>
        </w:rPr>
        <w:t xml:space="preserve"> </w:t>
      </w:r>
      <w:r w:rsidRPr="00AB5D9A">
        <w:rPr>
          <w:color w:val="000000" w:themeColor="text1"/>
          <w:szCs w:val="26"/>
        </w:rPr>
        <w:t>access charge revisions.</w:t>
      </w:r>
      <w:r w:rsidR="00882EDE">
        <w:rPr>
          <w:color w:val="000000" w:themeColor="text1"/>
          <w:szCs w:val="26"/>
        </w:rPr>
        <w:t xml:space="preserve"> </w:t>
      </w:r>
      <w:r w:rsidR="001979DC">
        <w:rPr>
          <w:color w:val="000000" w:themeColor="text1"/>
          <w:szCs w:val="26"/>
        </w:rPr>
        <w:t xml:space="preserve"> </w:t>
      </w:r>
      <w:r w:rsidR="00882EDE">
        <w:rPr>
          <w:color w:val="000000" w:themeColor="text1"/>
          <w:szCs w:val="26"/>
        </w:rPr>
        <w:t xml:space="preserve">CLECs may reference the Step </w:t>
      </w:r>
      <w:r w:rsidR="006F47F4">
        <w:rPr>
          <w:color w:val="000000" w:themeColor="text1"/>
          <w:szCs w:val="26"/>
        </w:rPr>
        <w:t>8</w:t>
      </w:r>
      <w:r w:rsidRPr="00AB5D9A">
        <w:rPr>
          <w:color w:val="000000" w:themeColor="text1"/>
          <w:szCs w:val="26"/>
        </w:rPr>
        <w:t xml:space="preserve"> access charge revision filing of the underlying ILEC(s) as supporting information for the rates included in their filings.  </w:t>
      </w:r>
      <w:r w:rsidRPr="00FC3D65">
        <w:rPr>
          <w:color w:val="000000" w:themeColor="text1"/>
          <w:szCs w:val="26"/>
        </w:rPr>
        <w:t xml:space="preserve">Any CLEC utilizing blended rates must include supporting documentation demonstrating that its blended rates are at or below </w:t>
      </w:r>
      <w:r w:rsidR="006F47F4" w:rsidRPr="00FC3D65">
        <w:rPr>
          <w:color w:val="000000" w:themeColor="text1"/>
          <w:szCs w:val="26"/>
        </w:rPr>
        <w:t>the</w:t>
      </w:r>
      <w:r w:rsidRPr="00FC3D65">
        <w:rPr>
          <w:color w:val="000000" w:themeColor="text1"/>
          <w:szCs w:val="26"/>
        </w:rPr>
        <w:t xml:space="preserve"> </w:t>
      </w:r>
      <w:r w:rsidR="00AE7C50" w:rsidRPr="00FC3D65">
        <w:rPr>
          <w:color w:val="000000" w:themeColor="text1"/>
          <w:szCs w:val="26"/>
        </w:rPr>
        <w:t>e</w:t>
      </w:r>
      <w:r w:rsidRPr="00FC3D65">
        <w:rPr>
          <w:color w:val="000000" w:themeColor="text1"/>
          <w:szCs w:val="26"/>
        </w:rPr>
        <w:t xml:space="preserve">nd </w:t>
      </w:r>
      <w:r w:rsidR="00AE7C50" w:rsidRPr="00FC3D65">
        <w:rPr>
          <w:color w:val="000000" w:themeColor="text1"/>
          <w:szCs w:val="26"/>
        </w:rPr>
        <w:t>o</w:t>
      </w:r>
      <w:r w:rsidRPr="00FC3D65">
        <w:rPr>
          <w:color w:val="000000" w:themeColor="text1"/>
          <w:szCs w:val="26"/>
        </w:rPr>
        <w:t xml:space="preserve">ffice </w:t>
      </w:r>
      <w:r w:rsidR="00AE7C50" w:rsidRPr="00FC3D65">
        <w:rPr>
          <w:color w:val="000000" w:themeColor="text1"/>
          <w:szCs w:val="26"/>
        </w:rPr>
        <w:t>a</w:t>
      </w:r>
      <w:r w:rsidRPr="00FC3D65">
        <w:rPr>
          <w:color w:val="000000" w:themeColor="text1"/>
          <w:szCs w:val="26"/>
        </w:rPr>
        <w:t xml:space="preserve">ccess </w:t>
      </w:r>
      <w:r w:rsidR="00AE7C50" w:rsidRPr="00FC3D65">
        <w:rPr>
          <w:color w:val="000000" w:themeColor="text1"/>
          <w:szCs w:val="26"/>
        </w:rPr>
        <w:t>s</w:t>
      </w:r>
      <w:r w:rsidR="006F47F4" w:rsidRPr="00FC3D65">
        <w:rPr>
          <w:color w:val="000000" w:themeColor="text1"/>
          <w:szCs w:val="26"/>
        </w:rPr>
        <w:t>ervice r</w:t>
      </w:r>
      <w:r w:rsidR="00ED160F" w:rsidRPr="00FC3D65">
        <w:rPr>
          <w:color w:val="000000" w:themeColor="text1"/>
          <w:szCs w:val="26"/>
        </w:rPr>
        <w:t>ate</w:t>
      </w:r>
      <w:r w:rsidR="006F47F4" w:rsidRPr="00FC3D65">
        <w:rPr>
          <w:color w:val="000000" w:themeColor="text1"/>
          <w:szCs w:val="26"/>
        </w:rPr>
        <w:t>s</w:t>
      </w:r>
      <w:r w:rsidR="00ED160F" w:rsidRPr="00FC3D65">
        <w:rPr>
          <w:color w:val="000000" w:themeColor="text1"/>
          <w:szCs w:val="26"/>
        </w:rPr>
        <w:t xml:space="preserve"> of the underlying ILEC(s).</w:t>
      </w:r>
    </w:p>
    <w:p w14:paraId="5D5CA646" w14:textId="77777777" w:rsidR="00AB5D9A" w:rsidRPr="00AB5D9A" w:rsidRDefault="00AB5D9A" w:rsidP="004A3D04">
      <w:pPr>
        <w:pStyle w:val="p3"/>
        <w:widowControl/>
        <w:tabs>
          <w:tab w:val="clear" w:pos="204"/>
          <w:tab w:val="left" w:pos="720"/>
        </w:tabs>
        <w:spacing w:before="240"/>
        <w:rPr>
          <w:b/>
          <w:color w:val="000000" w:themeColor="text1"/>
          <w:szCs w:val="26"/>
        </w:rPr>
      </w:pPr>
      <w:r w:rsidRPr="00AB5D9A">
        <w:rPr>
          <w:b/>
          <w:color w:val="000000" w:themeColor="text1"/>
          <w:szCs w:val="26"/>
        </w:rPr>
        <w:t>Timing and Process for Filing Tariffs</w:t>
      </w:r>
    </w:p>
    <w:p w14:paraId="4663B681" w14:textId="6ED38B92" w:rsidR="00AB5D9A" w:rsidRPr="00AB5D9A" w:rsidRDefault="00BE4BAD" w:rsidP="004A3D04">
      <w:pPr>
        <w:pStyle w:val="p3"/>
        <w:tabs>
          <w:tab w:val="clear" w:pos="204"/>
          <w:tab w:val="left" w:pos="720"/>
        </w:tabs>
        <w:spacing w:before="240"/>
        <w:ind w:firstLine="720"/>
        <w:rPr>
          <w:color w:val="000000" w:themeColor="text1"/>
          <w:szCs w:val="26"/>
        </w:rPr>
      </w:pPr>
      <w:r>
        <w:rPr>
          <w:color w:val="000000" w:themeColor="text1"/>
          <w:szCs w:val="26"/>
        </w:rPr>
        <w:t xml:space="preserve">On </w:t>
      </w:r>
      <w:r w:rsidR="00C66FBF">
        <w:rPr>
          <w:color w:val="000000" w:themeColor="text1"/>
          <w:szCs w:val="26"/>
        </w:rPr>
        <w:t>April</w:t>
      </w:r>
      <w:r>
        <w:rPr>
          <w:color w:val="000000" w:themeColor="text1"/>
          <w:szCs w:val="26"/>
        </w:rPr>
        <w:t xml:space="preserve"> </w:t>
      </w:r>
      <w:r w:rsidR="00FA2722">
        <w:rPr>
          <w:color w:val="000000" w:themeColor="text1"/>
          <w:szCs w:val="26"/>
        </w:rPr>
        <w:t>4</w:t>
      </w:r>
      <w:r>
        <w:rPr>
          <w:color w:val="000000" w:themeColor="text1"/>
          <w:szCs w:val="26"/>
        </w:rPr>
        <w:t>, 201</w:t>
      </w:r>
      <w:r w:rsidR="00FA2722">
        <w:rPr>
          <w:color w:val="000000" w:themeColor="text1"/>
          <w:szCs w:val="26"/>
        </w:rPr>
        <w:t>9</w:t>
      </w:r>
      <w:r w:rsidRPr="00AB5D9A">
        <w:rPr>
          <w:color w:val="000000" w:themeColor="text1"/>
          <w:szCs w:val="26"/>
        </w:rPr>
        <w:t xml:space="preserve">, the FCC released an order that, </w:t>
      </w:r>
      <w:r w:rsidRPr="00AB5D9A">
        <w:rPr>
          <w:i/>
          <w:color w:val="000000" w:themeColor="text1"/>
          <w:szCs w:val="26"/>
        </w:rPr>
        <w:t>inter alia,</w:t>
      </w:r>
      <w:r w:rsidRPr="00AB5D9A">
        <w:rPr>
          <w:color w:val="000000" w:themeColor="text1"/>
          <w:szCs w:val="26"/>
        </w:rPr>
        <w:t xml:space="preserve"> established proced</w:t>
      </w:r>
      <w:r>
        <w:rPr>
          <w:color w:val="000000" w:themeColor="text1"/>
          <w:szCs w:val="26"/>
        </w:rPr>
        <w:t>ures and dates for the 201</w:t>
      </w:r>
      <w:r w:rsidR="00FA2722">
        <w:rPr>
          <w:color w:val="000000" w:themeColor="text1"/>
          <w:szCs w:val="26"/>
        </w:rPr>
        <w:t>9</w:t>
      </w:r>
      <w:r w:rsidRPr="00AB5D9A">
        <w:rPr>
          <w:color w:val="000000" w:themeColor="text1"/>
          <w:szCs w:val="26"/>
        </w:rPr>
        <w:t xml:space="preserve"> filing of annual access charge tariffs.</w:t>
      </w:r>
      <w:r w:rsidRPr="00AB5D9A">
        <w:rPr>
          <w:rStyle w:val="FootnoteReference"/>
          <w:color w:val="000000" w:themeColor="text1"/>
          <w:szCs w:val="26"/>
        </w:rPr>
        <w:footnoteReference w:id="14"/>
      </w:r>
      <w:r w:rsidRPr="00AB5D9A">
        <w:rPr>
          <w:color w:val="000000" w:themeColor="text1"/>
          <w:szCs w:val="26"/>
        </w:rPr>
        <w:t xml:space="preserve"> </w:t>
      </w:r>
      <w:r w:rsidR="00AB5D9A" w:rsidRPr="00AB5D9A">
        <w:rPr>
          <w:color w:val="000000" w:themeColor="text1"/>
          <w:szCs w:val="26"/>
        </w:rPr>
        <w:t xml:space="preserve">Pursuant to the </w:t>
      </w:r>
      <w:r w:rsidR="00AB5D9A" w:rsidRPr="00AB5D9A">
        <w:rPr>
          <w:i/>
          <w:color w:val="000000" w:themeColor="text1"/>
          <w:szCs w:val="26"/>
        </w:rPr>
        <w:t>FCC Order</w:t>
      </w:r>
      <w:r w:rsidR="00353906">
        <w:rPr>
          <w:color w:val="000000" w:themeColor="text1"/>
          <w:szCs w:val="26"/>
        </w:rPr>
        <w:t xml:space="preserve"> and the </w:t>
      </w:r>
      <w:r w:rsidR="00C66FBF">
        <w:rPr>
          <w:i/>
          <w:color w:val="000000" w:themeColor="text1"/>
          <w:szCs w:val="26"/>
        </w:rPr>
        <w:t>April 201</w:t>
      </w:r>
      <w:r w:rsidR="00FA2722">
        <w:rPr>
          <w:i/>
          <w:color w:val="000000" w:themeColor="text1"/>
          <w:szCs w:val="26"/>
        </w:rPr>
        <w:t>9</w:t>
      </w:r>
      <w:r w:rsidR="00353906">
        <w:rPr>
          <w:i/>
          <w:color w:val="000000" w:themeColor="text1"/>
          <w:szCs w:val="26"/>
        </w:rPr>
        <w:t xml:space="preserve"> FCC Order</w:t>
      </w:r>
      <w:r w:rsidR="00AB5D9A" w:rsidRPr="00AB5D9A">
        <w:rPr>
          <w:color w:val="000000" w:themeColor="text1"/>
          <w:szCs w:val="26"/>
        </w:rPr>
        <w:t>, effective</w:t>
      </w:r>
      <w:r w:rsidR="00882EDE">
        <w:rPr>
          <w:color w:val="000000" w:themeColor="text1"/>
          <w:szCs w:val="26"/>
        </w:rPr>
        <w:t xml:space="preserve"> </w:t>
      </w:r>
      <w:r w:rsidR="00353906">
        <w:rPr>
          <w:color w:val="000000" w:themeColor="text1"/>
          <w:szCs w:val="26"/>
        </w:rPr>
        <w:t xml:space="preserve">July </w:t>
      </w:r>
      <w:r w:rsidR="00FA2722">
        <w:rPr>
          <w:color w:val="000000" w:themeColor="text1"/>
          <w:szCs w:val="26"/>
        </w:rPr>
        <w:t>2</w:t>
      </w:r>
      <w:r w:rsidR="00882EDE">
        <w:rPr>
          <w:color w:val="000000" w:themeColor="text1"/>
          <w:szCs w:val="26"/>
        </w:rPr>
        <w:t>, 201</w:t>
      </w:r>
      <w:r w:rsidR="00FA2722">
        <w:rPr>
          <w:color w:val="000000" w:themeColor="text1"/>
          <w:szCs w:val="26"/>
        </w:rPr>
        <w:t>9</w:t>
      </w:r>
      <w:r w:rsidR="003B0F41">
        <w:rPr>
          <w:color w:val="000000" w:themeColor="text1"/>
          <w:szCs w:val="26"/>
        </w:rPr>
        <w:t>,</w:t>
      </w:r>
      <w:r w:rsidR="00FA2722">
        <w:rPr>
          <w:color w:val="000000" w:themeColor="text1"/>
          <w:szCs w:val="26"/>
        </w:rPr>
        <w:t xml:space="preserve"> terminating</w:t>
      </w:r>
      <w:r w:rsidR="003B0F41">
        <w:rPr>
          <w:color w:val="000000" w:themeColor="text1"/>
          <w:szCs w:val="26"/>
        </w:rPr>
        <w:t xml:space="preserve"> </w:t>
      </w:r>
      <w:r w:rsidR="00FC3D65">
        <w:rPr>
          <w:color w:val="000000" w:themeColor="text1"/>
          <w:szCs w:val="26"/>
        </w:rPr>
        <w:t>e</w:t>
      </w:r>
      <w:r w:rsidR="00AB5D9A" w:rsidRPr="00AB5D9A">
        <w:rPr>
          <w:color w:val="000000" w:themeColor="text1"/>
          <w:szCs w:val="26"/>
        </w:rPr>
        <w:t xml:space="preserve">nd </w:t>
      </w:r>
      <w:r w:rsidR="00FC3D65">
        <w:rPr>
          <w:color w:val="000000" w:themeColor="text1"/>
          <w:szCs w:val="26"/>
        </w:rPr>
        <w:t>o</w:t>
      </w:r>
      <w:r w:rsidR="00AB5D9A" w:rsidRPr="00AB5D9A">
        <w:rPr>
          <w:color w:val="000000" w:themeColor="text1"/>
          <w:szCs w:val="26"/>
        </w:rPr>
        <w:t xml:space="preserve">ffice </w:t>
      </w:r>
      <w:r w:rsidR="00FC3D65">
        <w:rPr>
          <w:color w:val="000000" w:themeColor="text1"/>
          <w:szCs w:val="26"/>
        </w:rPr>
        <w:t>a</w:t>
      </w:r>
      <w:r w:rsidR="00AB5D9A" w:rsidRPr="00AB5D9A">
        <w:rPr>
          <w:color w:val="000000" w:themeColor="text1"/>
          <w:szCs w:val="26"/>
        </w:rPr>
        <w:t>ccess</w:t>
      </w:r>
      <w:r w:rsidR="003B0F41">
        <w:rPr>
          <w:color w:val="000000" w:themeColor="text1"/>
          <w:szCs w:val="26"/>
        </w:rPr>
        <w:t xml:space="preserve"> </w:t>
      </w:r>
      <w:r w:rsidR="00FC3D65">
        <w:rPr>
          <w:color w:val="000000" w:themeColor="text1"/>
          <w:szCs w:val="26"/>
        </w:rPr>
        <w:t>s</w:t>
      </w:r>
      <w:r w:rsidR="003B0F41">
        <w:rPr>
          <w:color w:val="000000" w:themeColor="text1"/>
          <w:szCs w:val="26"/>
        </w:rPr>
        <w:t>ervice r</w:t>
      </w:r>
      <w:r w:rsidR="00AB5D9A" w:rsidRPr="00AB5D9A">
        <w:rPr>
          <w:color w:val="000000" w:themeColor="text1"/>
          <w:szCs w:val="26"/>
        </w:rPr>
        <w:t>ate</w:t>
      </w:r>
      <w:r w:rsidR="003B0F41">
        <w:rPr>
          <w:color w:val="000000" w:themeColor="text1"/>
          <w:szCs w:val="26"/>
        </w:rPr>
        <w:t>s</w:t>
      </w:r>
      <w:r w:rsidR="00AB5D9A" w:rsidRPr="00AB5D9A">
        <w:rPr>
          <w:color w:val="000000" w:themeColor="text1"/>
          <w:szCs w:val="26"/>
        </w:rPr>
        <w:t xml:space="preserve"> shall conform to the requirements s</w:t>
      </w:r>
      <w:r w:rsidR="003B0F41">
        <w:rPr>
          <w:color w:val="000000" w:themeColor="text1"/>
          <w:szCs w:val="26"/>
        </w:rPr>
        <w:t>et forth in</w:t>
      </w:r>
      <w:r w:rsidR="00FA2722">
        <w:rPr>
          <w:color w:val="000000" w:themeColor="text1"/>
          <w:szCs w:val="26"/>
        </w:rPr>
        <w:t xml:space="preserve"> </w:t>
      </w:r>
      <w:r w:rsidR="003B0F41">
        <w:rPr>
          <w:color w:val="000000" w:themeColor="text1"/>
          <w:szCs w:val="26"/>
        </w:rPr>
        <w:t>47 C.F.R §</w:t>
      </w:r>
      <w:r w:rsidR="00FA2722">
        <w:rPr>
          <w:color w:val="000000" w:themeColor="text1"/>
          <w:szCs w:val="26"/>
        </w:rPr>
        <w:t> </w:t>
      </w:r>
      <w:r w:rsidR="003B0F41">
        <w:rPr>
          <w:color w:val="000000" w:themeColor="text1"/>
          <w:szCs w:val="26"/>
        </w:rPr>
        <w:t>51.909(</w:t>
      </w:r>
      <w:r w:rsidR="00FA2722">
        <w:rPr>
          <w:color w:val="000000" w:themeColor="text1"/>
          <w:szCs w:val="26"/>
        </w:rPr>
        <w:t>i</w:t>
      </w:r>
      <w:r w:rsidR="00AB5D9A" w:rsidRPr="00AB5D9A">
        <w:rPr>
          <w:color w:val="000000" w:themeColor="text1"/>
          <w:szCs w:val="26"/>
        </w:rPr>
        <w:t xml:space="preserve">) for ROR ILECs and § 51.911(c) for CLECs.  All </w:t>
      </w:r>
      <w:r w:rsidR="00FA2722">
        <w:rPr>
          <w:color w:val="000000" w:themeColor="text1"/>
          <w:szCs w:val="26"/>
        </w:rPr>
        <w:t xml:space="preserve">ROR </w:t>
      </w:r>
      <w:r w:rsidR="00AB5D9A" w:rsidRPr="00AB5D9A">
        <w:rPr>
          <w:color w:val="000000" w:themeColor="text1"/>
          <w:szCs w:val="26"/>
        </w:rPr>
        <w:t xml:space="preserve">ILECs and those CLECs having switched access tariffs </w:t>
      </w:r>
      <w:r w:rsidR="00FA2722">
        <w:rPr>
          <w:color w:val="000000" w:themeColor="text1"/>
          <w:szCs w:val="26"/>
        </w:rPr>
        <w:t xml:space="preserve">that benchmark to a ROR ILEC </w:t>
      </w:r>
      <w:r w:rsidR="00AB5D9A" w:rsidRPr="00AB5D9A">
        <w:rPr>
          <w:color w:val="000000" w:themeColor="text1"/>
          <w:szCs w:val="26"/>
        </w:rPr>
        <w:t>are required to file tariff supplements</w:t>
      </w:r>
      <w:r w:rsidR="00FA2722">
        <w:rPr>
          <w:color w:val="000000" w:themeColor="text1"/>
          <w:szCs w:val="26"/>
        </w:rPr>
        <w:t xml:space="preserve"> to</w:t>
      </w:r>
      <w:r w:rsidR="00AB5D9A" w:rsidRPr="00AB5D9A">
        <w:rPr>
          <w:color w:val="000000" w:themeColor="text1"/>
          <w:szCs w:val="26"/>
        </w:rPr>
        <w:t xml:space="preserve"> compl</w:t>
      </w:r>
      <w:r w:rsidR="00FA2722">
        <w:rPr>
          <w:color w:val="000000" w:themeColor="text1"/>
          <w:szCs w:val="26"/>
        </w:rPr>
        <w:t>y</w:t>
      </w:r>
      <w:r w:rsidR="00AB5D9A" w:rsidRPr="00AB5D9A">
        <w:rPr>
          <w:color w:val="000000" w:themeColor="text1"/>
          <w:szCs w:val="26"/>
        </w:rPr>
        <w:t xml:space="preserve"> with </w:t>
      </w:r>
      <w:r w:rsidR="00882EDE">
        <w:rPr>
          <w:color w:val="000000" w:themeColor="text1"/>
          <w:szCs w:val="26"/>
        </w:rPr>
        <w:t xml:space="preserve">the Step </w:t>
      </w:r>
      <w:r w:rsidR="00FA2722">
        <w:rPr>
          <w:color w:val="000000" w:themeColor="text1"/>
          <w:szCs w:val="26"/>
        </w:rPr>
        <w:t>8</w:t>
      </w:r>
      <w:r w:rsidR="00AB5D9A" w:rsidRPr="00AB5D9A">
        <w:rPr>
          <w:color w:val="000000" w:themeColor="text1"/>
          <w:szCs w:val="26"/>
        </w:rPr>
        <w:t xml:space="preserve"> access charge revisions.  In orde</w:t>
      </w:r>
      <w:r w:rsidR="00882EDE">
        <w:rPr>
          <w:color w:val="000000" w:themeColor="text1"/>
          <w:szCs w:val="26"/>
        </w:rPr>
        <w:t xml:space="preserve">r to meet the FCC’s </w:t>
      </w:r>
      <w:r w:rsidR="00353906">
        <w:rPr>
          <w:color w:val="000000" w:themeColor="text1"/>
          <w:szCs w:val="26"/>
        </w:rPr>
        <w:t xml:space="preserve">July </w:t>
      </w:r>
      <w:r w:rsidR="00FA2722">
        <w:rPr>
          <w:color w:val="000000" w:themeColor="text1"/>
          <w:szCs w:val="26"/>
        </w:rPr>
        <w:t>2</w:t>
      </w:r>
      <w:r w:rsidR="00882EDE">
        <w:rPr>
          <w:color w:val="000000" w:themeColor="text1"/>
          <w:szCs w:val="26"/>
        </w:rPr>
        <w:t>, 201</w:t>
      </w:r>
      <w:r w:rsidR="00FA2722">
        <w:rPr>
          <w:color w:val="000000" w:themeColor="text1"/>
          <w:szCs w:val="26"/>
        </w:rPr>
        <w:t>9</w:t>
      </w:r>
      <w:r w:rsidR="00AB5D9A" w:rsidRPr="00AB5D9A">
        <w:rPr>
          <w:color w:val="000000" w:themeColor="text1"/>
          <w:szCs w:val="26"/>
        </w:rPr>
        <w:t xml:space="preserve"> deadline</w:t>
      </w:r>
      <w:r>
        <w:rPr>
          <w:color w:val="000000" w:themeColor="text1"/>
          <w:szCs w:val="26"/>
        </w:rPr>
        <w:t xml:space="preserve"> and allow sufficient time for review</w:t>
      </w:r>
      <w:r w:rsidR="00AB5D9A" w:rsidRPr="00AB5D9A">
        <w:rPr>
          <w:color w:val="000000" w:themeColor="text1"/>
          <w:szCs w:val="26"/>
        </w:rPr>
        <w:t xml:space="preserve">, we shall require </w:t>
      </w:r>
      <w:r w:rsidR="00F42457">
        <w:rPr>
          <w:color w:val="000000" w:themeColor="text1"/>
          <w:szCs w:val="26"/>
        </w:rPr>
        <w:t xml:space="preserve">LECs </w:t>
      </w:r>
      <w:r w:rsidR="00AB5D9A" w:rsidRPr="00AB5D9A">
        <w:rPr>
          <w:color w:val="000000" w:themeColor="text1"/>
          <w:szCs w:val="26"/>
        </w:rPr>
        <w:lastRenderedPageBreak/>
        <w:t xml:space="preserve">to file their tariff supplements and supporting information according to the following schedule: </w:t>
      </w:r>
    </w:p>
    <w:p w14:paraId="7A5D3BFD" w14:textId="3C2ADCB2" w:rsidR="00AB5D9A" w:rsidRPr="00AB5D9A" w:rsidRDefault="00AB5D9A" w:rsidP="004A3D04">
      <w:pPr>
        <w:pStyle w:val="p3"/>
        <w:numPr>
          <w:ilvl w:val="0"/>
          <w:numId w:val="16"/>
        </w:numPr>
        <w:tabs>
          <w:tab w:val="clear" w:pos="204"/>
          <w:tab w:val="left" w:pos="720"/>
        </w:tabs>
        <w:spacing w:before="240"/>
        <w:ind w:left="1440"/>
        <w:rPr>
          <w:color w:val="000000" w:themeColor="text1"/>
          <w:szCs w:val="26"/>
        </w:rPr>
      </w:pPr>
      <w:r w:rsidRPr="00AB5D9A">
        <w:rPr>
          <w:color w:val="000000" w:themeColor="text1"/>
          <w:szCs w:val="26"/>
        </w:rPr>
        <w:t>All</w:t>
      </w:r>
      <w:r w:rsidR="00FC3D65">
        <w:rPr>
          <w:color w:val="000000" w:themeColor="text1"/>
          <w:szCs w:val="26"/>
        </w:rPr>
        <w:t xml:space="preserve"> ROR</w:t>
      </w:r>
      <w:r w:rsidRPr="00AB5D9A">
        <w:rPr>
          <w:color w:val="000000" w:themeColor="text1"/>
          <w:szCs w:val="26"/>
        </w:rPr>
        <w:t xml:space="preserve"> ILECs shall file with the Commission tariff supplements and supporting inf</w:t>
      </w:r>
      <w:r w:rsidR="00ED160F">
        <w:rPr>
          <w:color w:val="000000" w:themeColor="text1"/>
          <w:szCs w:val="26"/>
        </w:rPr>
        <w:t xml:space="preserve">ormation implementing the Step </w:t>
      </w:r>
      <w:r w:rsidR="006760C9">
        <w:rPr>
          <w:color w:val="000000" w:themeColor="text1"/>
          <w:szCs w:val="26"/>
        </w:rPr>
        <w:t>8</w:t>
      </w:r>
      <w:r w:rsidRPr="00AB5D9A">
        <w:rPr>
          <w:color w:val="000000" w:themeColor="text1"/>
          <w:szCs w:val="26"/>
        </w:rPr>
        <w:t xml:space="preserve"> access charge revisions as contemplated by the </w:t>
      </w:r>
      <w:r w:rsidRPr="00AB5D9A">
        <w:rPr>
          <w:i/>
          <w:color w:val="000000" w:themeColor="text1"/>
          <w:szCs w:val="26"/>
        </w:rPr>
        <w:t>FCC Order</w:t>
      </w:r>
      <w:r w:rsidR="00882EDE">
        <w:rPr>
          <w:color w:val="000000" w:themeColor="text1"/>
          <w:szCs w:val="26"/>
        </w:rPr>
        <w:t xml:space="preserve"> no later than </w:t>
      </w:r>
      <w:r w:rsidR="006760C9">
        <w:rPr>
          <w:color w:val="000000" w:themeColor="text1"/>
          <w:szCs w:val="26"/>
        </w:rPr>
        <w:t>June 3</w:t>
      </w:r>
      <w:r w:rsidR="00882EDE">
        <w:rPr>
          <w:color w:val="000000" w:themeColor="text1"/>
          <w:szCs w:val="26"/>
        </w:rPr>
        <w:t>, 201</w:t>
      </w:r>
      <w:r w:rsidR="006760C9">
        <w:rPr>
          <w:color w:val="000000" w:themeColor="text1"/>
          <w:szCs w:val="26"/>
        </w:rPr>
        <w:t>9</w:t>
      </w:r>
      <w:r w:rsidRPr="00AB5D9A">
        <w:rPr>
          <w:color w:val="000000" w:themeColor="text1"/>
          <w:szCs w:val="26"/>
        </w:rPr>
        <w:t xml:space="preserve">.  </w:t>
      </w:r>
    </w:p>
    <w:p w14:paraId="65D363E6" w14:textId="3CED188C" w:rsidR="00AB5D9A" w:rsidRPr="00AB5D9A" w:rsidRDefault="00AB5D9A" w:rsidP="004A3D04">
      <w:pPr>
        <w:pStyle w:val="p3"/>
        <w:numPr>
          <w:ilvl w:val="0"/>
          <w:numId w:val="16"/>
        </w:numPr>
        <w:tabs>
          <w:tab w:val="clear" w:pos="204"/>
          <w:tab w:val="left" w:pos="720"/>
        </w:tabs>
        <w:spacing w:before="240"/>
        <w:ind w:left="1440"/>
        <w:rPr>
          <w:color w:val="000000" w:themeColor="text1"/>
          <w:szCs w:val="26"/>
        </w:rPr>
      </w:pPr>
      <w:r w:rsidRPr="00AB5D9A">
        <w:rPr>
          <w:color w:val="000000" w:themeColor="text1"/>
          <w:szCs w:val="26"/>
        </w:rPr>
        <w:t xml:space="preserve">All CLECs </w:t>
      </w:r>
      <w:r w:rsidR="00FC3D65">
        <w:rPr>
          <w:color w:val="000000" w:themeColor="text1"/>
          <w:szCs w:val="26"/>
        </w:rPr>
        <w:t xml:space="preserve">having switched access tariffs that benchmark to a ROR ILEC </w:t>
      </w:r>
      <w:r w:rsidRPr="00AB5D9A">
        <w:rPr>
          <w:color w:val="000000" w:themeColor="text1"/>
          <w:szCs w:val="26"/>
        </w:rPr>
        <w:t>shall file with the Commission tariff supplements and supporting inf</w:t>
      </w:r>
      <w:r w:rsidR="00882EDE">
        <w:rPr>
          <w:color w:val="000000" w:themeColor="text1"/>
          <w:szCs w:val="26"/>
        </w:rPr>
        <w:t xml:space="preserve">ormation implementing the Step </w:t>
      </w:r>
      <w:r w:rsidR="006760C9">
        <w:rPr>
          <w:color w:val="000000" w:themeColor="text1"/>
          <w:szCs w:val="26"/>
        </w:rPr>
        <w:t>8</w:t>
      </w:r>
      <w:r w:rsidRPr="00AB5D9A">
        <w:rPr>
          <w:color w:val="000000" w:themeColor="text1"/>
          <w:szCs w:val="26"/>
        </w:rPr>
        <w:t xml:space="preserve"> access charge revisions as contemplated by the </w:t>
      </w:r>
      <w:r w:rsidRPr="00AB5D9A">
        <w:rPr>
          <w:i/>
          <w:color w:val="000000" w:themeColor="text1"/>
          <w:szCs w:val="26"/>
        </w:rPr>
        <w:t>FCC Order</w:t>
      </w:r>
      <w:r w:rsidR="00882EDE">
        <w:rPr>
          <w:color w:val="000000" w:themeColor="text1"/>
          <w:szCs w:val="26"/>
        </w:rPr>
        <w:t xml:space="preserve"> no later than June </w:t>
      </w:r>
      <w:r w:rsidR="006760C9">
        <w:rPr>
          <w:color w:val="000000" w:themeColor="text1"/>
          <w:szCs w:val="26"/>
        </w:rPr>
        <w:t>17</w:t>
      </w:r>
      <w:r w:rsidR="00C66FBF">
        <w:rPr>
          <w:color w:val="000000" w:themeColor="text1"/>
          <w:szCs w:val="26"/>
        </w:rPr>
        <w:t>, 201</w:t>
      </w:r>
      <w:r w:rsidR="006760C9">
        <w:rPr>
          <w:color w:val="000000" w:themeColor="text1"/>
          <w:szCs w:val="26"/>
        </w:rPr>
        <w:t>9</w:t>
      </w:r>
      <w:r w:rsidRPr="00AB5D9A">
        <w:rPr>
          <w:color w:val="000000" w:themeColor="text1"/>
          <w:szCs w:val="26"/>
        </w:rPr>
        <w:t>.</w:t>
      </w:r>
    </w:p>
    <w:p w14:paraId="66D15DC4" w14:textId="77777777" w:rsidR="00AB5D9A" w:rsidRPr="00AB5D9A" w:rsidRDefault="00AB5D9A" w:rsidP="004A3D04">
      <w:pPr>
        <w:spacing w:before="240" w:line="360" w:lineRule="auto"/>
        <w:ind w:firstLine="720"/>
        <w:rPr>
          <w:color w:val="000000" w:themeColor="text1"/>
          <w:sz w:val="26"/>
          <w:szCs w:val="26"/>
        </w:rPr>
      </w:pPr>
      <w:r w:rsidRPr="00AB5D9A">
        <w:rPr>
          <w:color w:val="000000" w:themeColor="text1"/>
          <w:sz w:val="26"/>
          <w:szCs w:val="26"/>
        </w:rPr>
        <w:t xml:space="preserve">LECs may opt to, in accordance with Commission rules, eFile their tariff supplements and supporting information.  Information regarding eFiling is available on the Commission’s website at </w:t>
      </w:r>
      <w:hyperlink r:id="rId8" w:history="1">
        <w:r w:rsidRPr="00AB5D9A">
          <w:rPr>
            <w:rStyle w:val="Hyperlink"/>
            <w:color w:val="000000" w:themeColor="text1"/>
            <w:sz w:val="26"/>
            <w:szCs w:val="26"/>
          </w:rPr>
          <w:t>http://www.puc.pa.gov/efiling/default.aspx</w:t>
        </w:r>
      </w:hyperlink>
      <w:r w:rsidRPr="00AB5D9A">
        <w:rPr>
          <w:color w:val="000000" w:themeColor="text1"/>
          <w:sz w:val="26"/>
          <w:szCs w:val="26"/>
        </w:rPr>
        <w:t>.</w:t>
      </w:r>
    </w:p>
    <w:p w14:paraId="09072869" w14:textId="77777777" w:rsidR="00AB5D9A" w:rsidRPr="00AB5D9A" w:rsidRDefault="00AB5D9A" w:rsidP="004A3D04">
      <w:pPr>
        <w:spacing w:before="240" w:line="360" w:lineRule="auto"/>
        <w:ind w:firstLine="720"/>
        <w:rPr>
          <w:color w:val="000000" w:themeColor="text1"/>
          <w:sz w:val="26"/>
          <w:szCs w:val="26"/>
        </w:rPr>
      </w:pPr>
      <w:r w:rsidRPr="00AB5D9A">
        <w:rPr>
          <w:color w:val="000000" w:themeColor="text1"/>
          <w:sz w:val="26"/>
          <w:szCs w:val="26"/>
        </w:rPr>
        <w:t xml:space="preserve">In addition to eFiling or submitting hard copies of their filings to the Commission’s Secretary’s Bureau, all LECs must send electronic copies of the supporting information to </w:t>
      </w:r>
      <w:hyperlink r:id="rId9" w:history="1">
        <w:r w:rsidRPr="00AB5D9A">
          <w:rPr>
            <w:color w:val="000000" w:themeColor="text1"/>
            <w:sz w:val="26"/>
            <w:szCs w:val="26"/>
            <w:u w:val="single"/>
          </w:rPr>
          <w:t>RA-PUCTelco@pa.gov</w:t>
        </w:r>
      </w:hyperlink>
      <w:r w:rsidRPr="00AB5D9A">
        <w:rPr>
          <w:color w:val="000000" w:themeColor="text1"/>
          <w:sz w:val="26"/>
          <w:szCs w:val="26"/>
        </w:rPr>
        <w:t>.</w:t>
      </w:r>
    </w:p>
    <w:p w14:paraId="72A5EF73" w14:textId="77777777" w:rsidR="00AB5D9A" w:rsidRDefault="00AB5D9A" w:rsidP="004A3D04">
      <w:pPr>
        <w:spacing w:before="240" w:line="360" w:lineRule="auto"/>
        <w:ind w:firstLine="720"/>
        <w:rPr>
          <w:color w:val="000000" w:themeColor="text1"/>
          <w:sz w:val="26"/>
          <w:szCs w:val="26"/>
        </w:rPr>
      </w:pPr>
      <w:r w:rsidRPr="00AB5D9A">
        <w:rPr>
          <w:color w:val="000000" w:themeColor="text1"/>
          <w:sz w:val="26"/>
          <w:szCs w:val="26"/>
        </w:rPr>
        <w:t xml:space="preserve">In addition, we encourage ILECs and CLECs that operate under this Commission’s jurisdiction and </w:t>
      </w:r>
      <w:r w:rsidR="007A64DB">
        <w:rPr>
          <w:color w:val="000000" w:themeColor="text1"/>
          <w:sz w:val="26"/>
          <w:szCs w:val="26"/>
        </w:rPr>
        <w:t xml:space="preserve">that </w:t>
      </w:r>
      <w:r w:rsidRPr="00AB5D9A">
        <w:rPr>
          <w:color w:val="000000" w:themeColor="text1"/>
          <w:sz w:val="26"/>
          <w:szCs w:val="26"/>
        </w:rPr>
        <w:t>directly or indirectly exchange switched access traffic with other telecommunications carriers or other communications entities, to engage in appropriate informal consultations, information exchange, and resolution regarding any issue that may arise following the submission of the required tariffs.  Such informal consultations and information exchange can be carried out under the appropriate confidentiality protections of proprietary data and can lead to the avoidance of costly formal complaint litigation before the Commission.</w:t>
      </w:r>
    </w:p>
    <w:p w14:paraId="62E00E87" w14:textId="77777777" w:rsidR="00AB5D9A" w:rsidRDefault="00AB5D9A" w:rsidP="004A3D04">
      <w:pPr>
        <w:spacing w:before="240"/>
        <w:jc w:val="center"/>
        <w:rPr>
          <w:b/>
          <w:color w:val="000000" w:themeColor="text1"/>
          <w:sz w:val="26"/>
          <w:szCs w:val="26"/>
        </w:rPr>
      </w:pPr>
      <w:r w:rsidRPr="00AB5D9A">
        <w:rPr>
          <w:b/>
          <w:color w:val="000000" w:themeColor="text1"/>
          <w:sz w:val="26"/>
          <w:szCs w:val="26"/>
        </w:rPr>
        <w:t>CONCLUSION</w:t>
      </w:r>
    </w:p>
    <w:p w14:paraId="489A45B5" w14:textId="203B8370" w:rsidR="00AB5D9A" w:rsidRDefault="00882EDE" w:rsidP="004A3D04">
      <w:pPr>
        <w:spacing w:before="240" w:line="360" w:lineRule="auto"/>
        <w:ind w:firstLine="720"/>
        <w:rPr>
          <w:b/>
          <w:color w:val="000000" w:themeColor="text1"/>
          <w:sz w:val="26"/>
          <w:szCs w:val="26"/>
        </w:rPr>
      </w:pPr>
      <w:r>
        <w:rPr>
          <w:color w:val="000000" w:themeColor="text1"/>
          <w:sz w:val="26"/>
          <w:szCs w:val="26"/>
        </w:rPr>
        <w:t xml:space="preserve">The Step </w:t>
      </w:r>
      <w:r w:rsidR="006760C9">
        <w:rPr>
          <w:color w:val="000000" w:themeColor="text1"/>
          <w:sz w:val="26"/>
          <w:szCs w:val="26"/>
        </w:rPr>
        <w:t>8</w:t>
      </w:r>
      <w:r w:rsidR="00AB5D9A" w:rsidRPr="00AB5D9A">
        <w:rPr>
          <w:color w:val="000000" w:themeColor="text1"/>
          <w:sz w:val="26"/>
          <w:szCs w:val="26"/>
        </w:rPr>
        <w:t xml:space="preserve"> access charge revisions are a mandated action outlined by the FCC.  All </w:t>
      </w:r>
      <w:r w:rsidR="006760C9">
        <w:rPr>
          <w:color w:val="000000" w:themeColor="text1"/>
          <w:sz w:val="26"/>
          <w:szCs w:val="26"/>
        </w:rPr>
        <w:t xml:space="preserve">ROR </w:t>
      </w:r>
      <w:r w:rsidR="00AB5D9A" w:rsidRPr="00AB5D9A">
        <w:rPr>
          <w:color w:val="000000" w:themeColor="text1"/>
          <w:sz w:val="26"/>
          <w:szCs w:val="26"/>
        </w:rPr>
        <w:t xml:space="preserve">ILECs and those CLECs </w:t>
      </w:r>
      <w:r w:rsidR="006760C9" w:rsidRPr="00AB5D9A">
        <w:rPr>
          <w:color w:val="000000" w:themeColor="text1"/>
          <w:szCs w:val="26"/>
        </w:rPr>
        <w:t xml:space="preserve">having switched access tariffs </w:t>
      </w:r>
      <w:r w:rsidR="006760C9">
        <w:rPr>
          <w:color w:val="000000" w:themeColor="text1"/>
          <w:szCs w:val="26"/>
        </w:rPr>
        <w:t xml:space="preserve">that benchmark their access rates to a ROR ILEC </w:t>
      </w:r>
      <w:r w:rsidR="00AB5D9A" w:rsidRPr="00AB5D9A">
        <w:rPr>
          <w:color w:val="000000" w:themeColor="text1"/>
          <w:sz w:val="26"/>
          <w:szCs w:val="26"/>
        </w:rPr>
        <w:t>are directed to file tariff sup</w:t>
      </w:r>
      <w:r w:rsidR="00ED160F">
        <w:rPr>
          <w:color w:val="000000" w:themeColor="text1"/>
          <w:sz w:val="26"/>
          <w:szCs w:val="26"/>
        </w:rPr>
        <w:t xml:space="preserve">plements implementing the Step </w:t>
      </w:r>
      <w:r w:rsidR="006760C9">
        <w:rPr>
          <w:color w:val="000000" w:themeColor="text1"/>
          <w:sz w:val="26"/>
          <w:szCs w:val="26"/>
        </w:rPr>
        <w:t>8</w:t>
      </w:r>
      <w:r w:rsidR="00AB5D9A" w:rsidRPr="00AB5D9A">
        <w:rPr>
          <w:color w:val="000000" w:themeColor="text1"/>
          <w:sz w:val="26"/>
          <w:szCs w:val="26"/>
        </w:rPr>
        <w:t xml:space="preserve"> access </w:t>
      </w:r>
      <w:r w:rsidR="00AB5D9A" w:rsidRPr="00AB5D9A">
        <w:rPr>
          <w:color w:val="000000" w:themeColor="text1"/>
          <w:sz w:val="26"/>
          <w:szCs w:val="26"/>
        </w:rPr>
        <w:lastRenderedPageBreak/>
        <w:t xml:space="preserve">charge revisions as contemplated by the </w:t>
      </w:r>
      <w:r w:rsidR="00AB5D9A" w:rsidRPr="00AB5D9A">
        <w:rPr>
          <w:i/>
          <w:color w:val="000000" w:themeColor="text1"/>
          <w:sz w:val="26"/>
          <w:szCs w:val="26"/>
        </w:rPr>
        <w:t xml:space="preserve">FCC Order </w:t>
      </w:r>
      <w:r w:rsidR="00AB5D9A" w:rsidRPr="00AB5D9A">
        <w:rPr>
          <w:color w:val="000000" w:themeColor="text1"/>
          <w:sz w:val="26"/>
          <w:szCs w:val="26"/>
        </w:rPr>
        <w:t xml:space="preserve">along with supporting information according to the procedures set forth in this Order, </w:t>
      </w:r>
      <w:r w:rsidR="00AB5D9A" w:rsidRPr="00AB5D9A">
        <w:rPr>
          <w:b/>
          <w:color w:val="000000" w:themeColor="text1"/>
          <w:sz w:val="26"/>
          <w:szCs w:val="26"/>
        </w:rPr>
        <w:t>THEREFORE;</w:t>
      </w:r>
    </w:p>
    <w:p w14:paraId="61710379" w14:textId="77777777" w:rsidR="00AB5D9A" w:rsidRPr="00AB5D9A" w:rsidRDefault="00AB5D9A" w:rsidP="004A3D04">
      <w:pPr>
        <w:spacing w:before="240" w:line="360" w:lineRule="auto"/>
        <w:ind w:firstLine="720"/>
        <w:rPr>
          <w:b/>
          <w:bCs/>
          <w:color w:val="000000" w:themeColor="text1"/>
          <w:sz w:val="26"/>
          <w:szCs w:val="26"/>
        </w:rPr>
      </w:pPr>
      <w:r w:rsidRPr="00AB5D9A">
        <w:rPr>
          <w:b/>
          <w:bCs/>
          <w:color w:val="000000" w:themeColor="text1"/>
          <w:sz w:val="26"/>
          <w:szCs w:val="26"/>
        </w:rPr>
        <w:t>IT IS ORDERED:</w:t>
      </w:r>
    </w:p>
    <w:p w14:paraId="479F272D" w14:textId="622D3BE2" w:rsidR="00AB5D9A" w:rsidRDefault="00E77E7B" w:rsidP="004A3D04">
      <w:pPr>
        <w:spacing w:before="240"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1.  </w:t>
      </w:r>
      <w:r w:rsidR="00B22F59">
        <w:rPr>
          <w:color w:val="000000" w:themeColor="text1"/>
          <w:sz w:val="26"/>
          <w:szCs w:val="26"/>
        </w:rPr>
        <w:tab/>
      </w:r>
      <w:r w:rsidR="00AB5D9A" w:rsidRPr="00AB5D9A">
        <w:rPr>
          <w:color w:val="000000" w:themeColor="text1"/>
          <w:sz w:val="26"/>
          <w:szCs w:val="26"/>
        </w:rPr>
        <w:t>That all</w:t>
      </w:r>
      <w:r w:rsidR="006760C9">
        <w:rPr>
          <w:color w:val="000000" w:themeColor="text1"/>
          <w:sz w:val="26"/>
          <w:szCs w:val="26"/>
        </w:rPr>
        <w:t xml:space="preserve"> Rate-of-Return</w:t>
      </w:r>
      <w:r w:rsidR="00AB5D9A" w:rsidRPr="00AB5D9A">
        <w:rPr>
          <w:color w:val="000000" w:themeColor="text1"/>
          <w:sz w:val="26"/>
          <w:szCs w:val="26"/>
        </w:rPr>
        <w:t xml:space="preserve"> Incumbent Local Exchange Carriers must file tariff supplements and supporting</w:t>
      </w:r>
      <w:r w:rsidR="00882EDE">
        <w:rPr>
          <w:color w:val="000000" w:themeColor="text1"/>
          <w:sz w:val="26"/>
          <w:szCs w:val="26"/>
        </w:rPr>
        <w:t xml:space="preserve"> information implementing Step </w:t>
      </w:r>
      <w:r w:rsidR="006760C9">
        <w:rPr>
          <w:color w:val="000000" w:themeColor="text1"/>
          <w:sz w:val="26"/>
          <w:szCs w:val="26"/>
        </w:rPr>
        <w:t>8</w:t>
      </w:r>
      <w:r w:rsidR="00AB5D9A" w:rsidRPr="00AB5D9A">
        <w:rPr>
          <w:color w:val="000000" w:themeColor="text1"/>
          <w:sz w:val="26"/>
          <w:szCs w:val="26"/>
        </w:rPr>
        <w:t xml:space="preserve"> of the intrastate access charge revisions as contemplated by the </w:t>
      </w:r>
      <w:r w:rsidR="00AB5D9A" w:rsidRPr="00AB5D9A">
        <w:rPr>
          <w:i/>
          <w:color w:val="000000" w:themeColor="text1"/>
          <w:sz w:val="26"/>
          <w:szCs w:val="26"/>
        </w:rPr>
        <w:t>FCC Order</w:t>
      </w:r>
      <w:r w:rsidR="00882EDE">
        <w:rPr>
          <w:color w:val="000000" w:themeColor="text1"/>
          <w:sz w:val="26"/>
          <w:szCs w:val="26"/>
        </w:rPr>
        <w:t xml:space="preserve"> by </w:t>
      </w:r>
      <w:r w:rsidR="006760C9">
        <w:rPr>
          <w:color w:val="000000" w:themeColor="text1"/>
          <w:sz w:val="26"/>
          <w:szCs w:val="26"/>
        </w:rPr>
        <w:t>June 3</w:t>
      </w:r>
      <w:r w:rsidR="00882EDE">
        <w:rPr>
          <w:color w:val="000000" w:themeColor="text1"/>
          <w:sz w:val="26"/>
          <w:szCs w:val="26"/>
        </w:rPr>
        <w:t>, 201</w:t>
      </w:r>
      <w:r w:rsidR="006760C9">
        <w:rPr>
          <w:color w:val="000000" w:themeColor="text1"/>
          <w:sz w:val="26"/>
          <w:szCs w:val="26"/>
        </w:rPr>
        <w:t>9</w:t>
      </w:r>
      <w:r w:rsidR="007A64DB">
        <w:rPr>
          <w:color w:val="000000" w:themeColor="text1"/>
          <w:sz w:val="26"/>
          <w:szCs w:val="26"/>
        </w:rPr>
        <w:t>, and the directives of this Order</w:t>
      </w:r>
      <w:r w:rsidR="00AB5D9A" w:rsidRPr="00AB5D9A">
        <w:rPr>
          <w:color w:val="000000" w:themeColor="text1"/>
          <w:sz w:val="26"/>
          <w:szCs w:val="26"/>
        </w:rPr>
        <w:t>.</w:t>
      </w:r>
    </w:p>
    <w:p w14:paraId="3FAECA9B" w14:textId="2E49A988" w:rsidR="00AB5D9A" w:rsidRDefault="00E77E7B" w:rsidP="004A3D04">
      <w:pPr>
        <w:spacing w:before="240"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2. </w:t>
      </w:r>
      <w:r w:rsidR="00B22F59">
        <w:rPr>
          <w:color w:val="000000" w:themeColor="text1"/>
          <w:sz w:val="26"/>
          <w:szCs w:val="26"/>
        </w:rPr>
        <w:tab/>
      </w:r>
      <w:r w:rsidR="00AB5D9A" w:rsidRPr="00AB5D9A">
        <w:rPr>
          <w:color w:val="000000" w:themeColor="text1"/>
          <w:sz w:val="26"/>
          <w:szCs w:val="26"/>
        </w:rPr>
        <w:t xml:space="preserve"> That all Competitive Local Exchange Carriers having switched access tariffs </w:t>
      </w:r>
      <w:r w:rsidR="006760C9">
        <w:rPr>
          <w:color w:val="000000" w:themeColor="text1"/>
          <w:sz w:val="26"/>
          <w:szCs w:val="26"/>
        </w:rPr>
        <w:t xml:space="preserve">that benchmark their access rates to a Rate-of-Return Incumbent Local Exchange Carrier </w:t>
      </w:r>
      <w:r w:rsidR="00AB5D9A" w:rsidRPr="00AB5D9A">
        <w:rPr>
          <w:color w:val="000000" w:themeColor="text1"/>
          <w:sz w:val="26"/>
          <w:szCs w:val="26"/>
        </w:rPr>
        <w:t>must file tariff supplements and supporting</w:t>
      </w:r>
      <w:r w:rsidR="00BE02FD">
        <w:rPr>
          <w:color w:val="000000" w:themeColor="text1"/>
          <w:sz w:val="26"/>
          <w:szCs w:val="26"/>
        </w:rPr>
        <w:t xml:space="preserve"> information implementing Step </w:t>
      </w:r>
      <w:r w:rsidR="006760C9">
        <w:rPr>
          <w:color w:val="000000" w:themeColor="text1"/>
          <w:sz w:val="26"/>
          <w:szCs w:val="26"/>
        </w:rPr>
        <w:t>8</w:t>
      </w:r>
      <w:r w:rsidR="00C66FBF">
        <w:rPr>
          <w:color w:val="000000" w:themeColor="text1"/>
          <w:sz w:val="26"/>
          <w:szCs w:val="26"/>
        </w:rPr>
        <w:t xml:space="preserve"> </w:t>
      </w:r>
      <w:r w:rsidR="00AB5D9A" w:rsidRPr="00AB5D9A">
        <w:rPr>
          <w:color w:val="000000" w:themeColor="text1"/>
          <w:sz w:val="26"/>
          <w:szCs w:val="26"/>
        </w:rPr>
        <w:t xml:space="preserve">of the intrastate access charge revisions as contemplated by the </w:t>
      </w:r>
      <w:r w:rsidR="00AB5D9A" w:rsidRPr="00AB5D9A">
        <w:rPr>
          <w:i/>
          <w:color w:val="000000" w:themeColor="text1"/>
          <w:sz w:val="26"/>
          <w:szCs w:val="26"/>
        </w:rPr>
        <w:t>FCC Order</w:t>
      </w:r>
      <w:r w:rsidR="00882EDE">
        <w:rPr>
          <w:color w:val="000000" w:themeColor="text1"/>
          <w:sz w:val="26"/>
          <w:szCs w:val="26"/>
        </w:rPr>
        <w:t xml:space="preserve"> by June </w:t>
      </w:r>
      <w:r w:rsidR="006760C9">
        <w:rPr>
          <w:color w:val="000000" w:themeColor="text1"/>
          <w:sz w:val="26"/>
          <w:szCs w:val="26"/>
        </w:rPr>
        <w:t>17</w:t>
      </w:r>
      <w:r w:rsidR="00882EDE">
        <w:rPr>
          <w:color w:val="000000" w:themeColor="text1"/>
          <w:sz w:val="26"/>
          <w:szCs w:val="26"/>
        </w:rPr>
        <w:t>, 201</w:t>
      </w:r>
      <w:r w:rsidR="006760C9">
        <w:rPr>
          <w:color w:val="000000" w:themeColor="text1"/>
          <w:sz w:val="26"/>
          <w:szCs w:val="26"/>
        </w:rPr>
        <w:t>9</w:t>
      </w:r>
      <w:r w:rsidR="00AB5D9A" w:rsidRPr="00AB5D9A">
        <w:rPr>
          <w:color w:val="000000" w:themeColor="text1"/>
          <w:sz w:val="26"/>
          <w:szCs w:val="26"/>
        </w:rPr>
        <w:t>, and the directives of this Order.</w:t>
      </w:r>
    </w:p>
    <w:p w14:paraId="2F9F6D4F" w14:textId="77777777" w:rsidR="002C7142" w:rsidRDefault="00E77E7B" w:rsidP="004A3D04">
      <w:pPr>
        <w:spacing w:before="240"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3. </w:t>
      </w:r>
      <w:r w:rsidR="00B22F59">
        <w:rPr>
          <w:color w:val="000000" w:themeColor="text1"/>
          <w:sz w:val="26"/>
          <w:szCs w:val="26"/>
        </w:rPr>
        <w:tab/>
      </w:r>
      <w:r w:rsidR="00AB5D9A" w:rsidRPr="00AB5D9A">
        <w:rPr>
          <w:color w:val="000000" w:themeColor="text1"/>
          <w:sz w:val="26"/>
          <w:szCs w:val="26"/>
        </w:rPr>
        <w:t xml:space="preserve"> That the failure to file the required tariff supplements and supporting information may result in the imposition of civil penalties of up to $1,000 per violation per day payable to the Commonwealth of Pennsylvania, in accordance with 66 Pa. C.S. § 3301(a) and (b).</w:t>
      </w:r>
    </w:p>
    <w:p w14:paraId="123130BD" w14:textId="2EA3790E" w:rsidR="00AB5D9A" w:rsidRDefault="00E77E7B" w:rsidP="004A3D04">
      <w:pPr>
        <w:spacing w:before="240"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4. </w:t>
      </w:r>
      <w:r w:rsidR="00B22F59">
        <w:rPr>
          <w:color w:val="000000" w:themeColor="text1"/>
          <w:sz w:val="26"/>
          <w:szCs w:val="26"/>
        </w:rPr>
        <w:tab/>
      </w:r>
      <w:r w:rsidR="00AB5D9A" w:rsidRPr="00AB5D9A">
        <w:rPr>
          <w:color w:val="000000" w:themeColor="text1"/>
          <w:sz w:val="26"/>
          <w:szCs w:val="26"/>
        </w:rPr>
        <w:t xml:space="preserve"> That this Order shall be posted on the Commission’s website.</w:t>
      </w:r>
    </w:p>
    <w:p w14:paraId="04278F9E" w14:textId="77777777" w:rsidR="00E77E7B" w:rsidRPr="00AB5D9A" w:rsidRDefault="00E77E7B" w:rsidP="00882EDE">
      <w:pPr>
        <w:rPr>
          <w:color w:val="000000" w:themeColor="text1"/>
          <w:sz w:val="26"/>
          <w:szCs w:val="26"/>
        </w:rPr>
      </w:pPr>
    </w:p>
    <w:p w14:paraId="7CBD426A" w14:textId="4723137D" w:rsidR="00AB5D9A" w:rsidRDefault="00C65E2E" w:rsidP="00D74E5E">
      <w:pPr>
        <w:ind w:firstLine="1440"/>
        <w:rPr>
          <w:b/>
          <w:bCs/>
          <w:color w:val="000000" w:themeColor="text1"/>
          <w:sz w:val="26"/>
          <w:szCs w:val="26"/>
        </w:rPr>
      </w:pPr>
      <w:r w:rsidRPr="009F01BA">
        <w:rPr>
          <w:b/>
          <w:noProof/>
          <w:sz w:val="20"/>
        </w:rPr>
        <w:drawing>
          <wp:anchor distT="0" distB="0" distL="114300" distR="114300" simplePos="0" relativeHeight="251658240" behindDoc="1" locked="0" layoutInCell="1" allowOverlap="1" wp14:anchorId="242A73D7" wp14:editId="1D19E3A5">
            <wp:simplePos x="0" y="0"/>
            <wp:positionH relativeFrom="column">
              <wp:posOffset>2000250</wp:posOffset>
            </wp:positionH>
            <wp:positionV relativeFrom="paragraph">
              <wp:posOffset>64770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B5D9A" w:rsidRPr="00AB5D9A">
        <w:rPr>
          <w:color w:val="000000" w:themeColor="text1"/>
          <w:sz w:val="26"/>
          <w:szCs w:val="26"/>
        </w:rPr>
        <w:tab/>
      </w:r>
      <w:r w:rsidR="00AB5D9A" w:rsidRPr="00AB5D9A">
        <w:rPr>
          <w:color w:val="000000" w:themeColor="text1"/>
          <w:sz w:val="26"/>
          <w:szCs w:val="26"/>
        </w:rPr>
        <w:tab/>
      </w:r>
      <w:r w:rsidR="00AB5D9A" w:rsidRPr="00AB5D9A">
        <w:rPr>
          <w:color w:val="000000" w:themeColor="text1"/>
          <w:sz w:val="26"/>
          <w:szCs w:val="26"/>
        </w:rPr>
        <w:tab/>
      </w:r>
      <w:r w:rsidR="00AB5D9A" w:rsidRPr="00AB5D9A">
        <w:rPr>
          <w:b/>
          <w:bCs/>
          <w:color w:val="000000" w:themeColor="text1"/>
          <w:sz w:val="26"/>
          <w:szCs w:val="26"/>
        </w:rPr>
        <w:t>BY THE COMMISSION</w:t>
      </w:r>
    </w:p>
    <w:p w14:paraId="03A9C82F" w14:textId="566A6123" w:rsidR="00E77E7B" w:rsidRDefault="00E77E7B" w:rsidP="00D74E5E">
      <w:pPr>
        <w:ind w:firstLine="1440"/>
        <w:rPr>
          <w:b/>
          <w:bCs/>
          <w:color w:val="000000" w:themeColor="text1"/>
          <w:sz w:val="26"/>
          <w:szCs w:val="26"/>
        </w:rPr>
      </w:pPr>
    </w:p>
    <w:p w14:paraId="2371674D" w14:textId="14E598C9" w:rsidR="00E77E7B" w:rsidRDefault="00C65E2E" w:rsidP="00C65E2E">
      <w:pPr>
        <w:tabs>
          <w:tab w:val="left" w:pos="4455"/>
        </w:tabs>
        <w:ind w:firstLine="1440"/>
        <w:rPr>
          <w:b/>
          <w:bCs/>
          <w:color w:val="000000" w:themeColor="text1"/>
          <w:sz w:val="26"/>
          <w:szCs w:val="26"/>
        </w:rPr>
      </w:pPr>
      <w:r>
        <w:rPr>
          <w:b/>
          <w:bCs/>
          <w:color w:val="000000" w:themeColor="text1"/>
          <w:sz w:val="26"/>
          <w:szCs w:val="26"/>
        </w:rPr>
        <w:tab/>
      </w:r>
    </w:p>
    <w:p w14:paraId="5094BF9A" w14:textId="77777777" w:rsidR="00AB5D9A" w:rsidRPr="00AB5D9A" w:rsidRDefault="00AB5D9A" w:rsidP="00D74E5E">
      <w:pPr>
        <w:ind w:firstLine="1440"/>
        <w:rPr>
          <w:b/>
          <w:bCs/>
          <w:color w:val="000000" w:themeColor="text1"/>
          <w:sz w:val="26"/>
          <w:szCs w:val="26"/>
        </w:rPr>
      </w:pPr>
    </w:p>
    <w:p w14:paraId="75874D7C" w14:textId="77777777" w:rsidR="00AB5D9A" w:rsidRPr="00AB5D9A" w:rsidRDefault="00AB5D9A" w:rsidP="00D74E5E">
      <w:pPr>
        <w:ind w:firstLine="1440"/>
        <w:rPr>
          <w:color w:val="000000" w:themeColor="text1"/>
          <w:sz w:val="26"/>
          <w:szCs w:val="26"/>
        </w:rPr>
      </w:pPr>
      <w:r w:rsidRPr="00AB5D9A">
        <w:rPr>
          <w:color w:val="000000" w:themeColor="text1"/>
          <w:sz w:val="26"/>
          <w:szCs w:val="26"/>
        </w:rPr>
        <w:tab/>
      </w:r>
      <w:r w:rsidRPr="00AB5D9A">
        <w:rPr>
          <w:color w:val="000000" w:themeColor="text1"/>
          <w:sz w:val="26"/>
          <w:szCs w:val="26"/>
        </w:rPr>
        <w:tab/>
      </w:r>
      <w:r w:rsidRPr="00AB5D9A">
        <w:rPr>
          <w:color w:val="000000" w:themeColor="text1"/>
          <w:sz w:val="26"/>
          <w:szCs w:val="26"/>
        </w:rPr>
        <w:tab/>
        <w:t>Rosemary Chiavetta</w:t>
      </w:r>
    </w:p>
    <w:p w14:paraId="62B48661" w14:textId="77777777" w:rsidR="00AB5D9A" w:rsidRPr="00AB5D9A" w:rsidRDefault="00AB5D9A" w:rsidP="00D74E5E">
      <w:pPr>
        <w:ind w:firstLine="1440"/>
        <w:rPr>
          <w:color w:val="000000" w:themeColor="text1"/>
          <w:sz w:val="26"/>
          <w:szCs w:val="26"/>
        </w:rPr>
      </w:pPr>
      <w:r w:rsidRPr="00AB5D9A">
        <w:rPr>
          <w:color w:val="000000" w:themeColor="text1"/>
          <w:sz w:val="26"/>
          <w:szCs w:val="26"/>
        </w:rPr>
        <w:tab/>
      </w:r>
      <w:r w:rsidRPr="00AB5D9A">
        <w:rPr>
          <w:color w:val="000000" w:themeColor="text1"/>
          <w:sz w:val="26"/>
          <w:szCs w:val="26"/>
        </w:rPr>
        <w:tab/>
      </w:r>
      <w:r w:rsidRPr="00AB5D9A">
        <w:rPr>
          <w:color w:val="000000" w:themeColor="text1"/>
          <w:sz w:val="26"/>
          <w:szCs w:val="26"/>
        </w:rPr>
        <w:tab/>
        <w:t>Secretary</w:t>
      </w:r>
    </w:p>
    <w:p w14:paraId="42942CA7" w14:textId="77777777" w:rsidR="00AB5D9A" w:rsidRPr="00AB5D9A" w:rsidRDefault="00AB5D9A" w:rsidP="00D74E5E">
      <w:pPr>
        <w:tabs>
          <w:tab w:val="left" w:pos="5062"/>
        </w:tabs>
        <w:rPr>
          <w:color w:val="000000" w:themeColor="text1"/>
          <w:sz w:val="26"/>
          <w:szCs w:val="26"/>
        </w:rPr>
      </w:pPr>
    </w:p>
    <w:p w14:paraId="4981CE58" w14:textId="77777777" w:rsidR="00AB5D9A" w:rsidRPr="00AB5D9A" w:rsidRDefault="00AB5D9A" w:rsidP="00D74E5E">
      <w:pPr>
        <w:pStyle w:val="p14"/>
        <w:rPr>
          <w:color w:val="000000" w:themeColor="text1"/>
          <w:szCs w:val="26"/>
        </w:rPr>
      </w:pPr>
      <w:r w:rsidRPr="00AB5D9A">
        <w:rPr>
          <w:color w:val="000000" w:themeColor="text1"/>
          <w:szCs w:val="26"/>
        </w:rPr>
        <w:t>(SEAL)</w:t>
      </w:r>
    </w:p>
    <w:p w14:paraId="13D5F158" w14:textId="77777777" w:rsidR="00AB5D9A" w:rsidRPr="00AB5D9A" w:rsidRDefault="00AB5D9A" w:rsidP="00882EDE">
      <w:pPr>
        <w:pStyle w:val="p14"/>
        <w:spacing w:line="240" w:lineRule="auto"/>
        <w:rPr>
          <w:color w:val="000000" w:themeColor="text1"/>
          <w:szCs w:val="26"/>
        </w:rPr>
      </w:pPr>
    </w:p>
    <w:p w14:paraId="11987B9D" w14:textId="7F7E39C8" w:rsidR="007C7784" w:rsidRDefault="00AB5D9A" w:rsidP="007C7784">
      <w:pPr>
        <w:pStyle w:val="p14"/>
        <w:rPr>
          <w:color w:val="000000" w:themeColor="text1"/>
          <w:szCs w:val="26"/>
        </w:rPr>
      </w:pPr>
      <w:r w:rsidRPr="00AB5D9A">
        <w:rPr>
          <w:color w:val="000000" w:themeColor="text1"/>
          <w:szCs w:val="26"/>
        </w:rPr>
        <w:t xml:space="preserve">ORDER ADOPTED:  </w:t>
      </w:r>
      <w:r w:rsidR="006760C9">
        <w:rPr>
          <w:color w:val="000000" w:themeColor="text1"/>
          <w:szCs w:val="26"/>
        </w:rPr>
        <w:t>May 23, 2019</w:t>
      </w:r>
    </w:p>
    <w:p w14:paraId="21CAE3D2" w14:textId="707B512E" w:rsidR="00DC4C83" w:rsidRDefault="00AB5D9A" w:rsidP="007C7784">
      <w:pPr>
        <w:pStyle w:val="p14"/>
        <w:rPr>
          <w:color w:val="000000" w:themeColor="text1"/>
          <w:szCs w:val="26"/>
        </w:rPr>
      </w:pPr>
      <w:r w:rsidRPr="00AB5D9A">
        <w:rPr>
          <w:color w:val="000000" w:themeColor="text1"/>
          <w:szCs w:val="26"/>
        </w:rPr>
        <w:t>ORDER ENTERED:</w:t>
      </w:r>
      <w:r w:rsidR="00211E80">
        <w:rPr>
          <w:color w:val="000000" w:themeColor="text1"/>
          <w:szCs w:val="26"/>
        </w:rPr>
        <w:t xml:space="preserve">  </w:t>
      </w:r>
      <w:r w:rsidR="00C65E2E">
        <w:rPr>
          <w:color w:val="000000" w:themeColor="text1"/>
          <w:szCs w:val="26"/>
        </w:rPr>
        <w:t>May 23, 2019</w:t>
      </w:r>
      <w:bookmarkStart w:id="1" w:name="_GoBack"/>
      <w:bookmarkEnd w:id="1"/>
    </w:p>
    <w:p w14:paraId="7F92A216" w14:textId="77777777" w:rsidR="00F700F6" w:rsidRPr="00AB5D9A" w:rsidRDefault="00F700F6" w:rsidP="007C7784">
      <w:pPr>
        <w:pStyle w:val="p14"/>
        <w:rPr>
          <w:color w:val="000000" w:themeColor="text1"/>
          <w:szCs w:val="26"/>
        </w:rPr>
      </w:pPr>
    </w:p>
    <w:sectPr w:rsidR="00F700F6" w:rsidRPr="00AB5D9A" w:rsidSect="00F1222F">
      <w:footerReference w:type="even" r:id="rId11"/>
      <w:footerReference w:type="default" r:id="rId12"/>
      <w:pgSz w:w="12240" w:h="15840" w:code="1"/>
      <w:pgMar w:top="1080" w:right="1440" w:bottom="108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86A36" w14:textId="77777777" w:rsidR="00D46A71" w:rsidRDefault="00D46A71">
      <w:r>
        <w:separator/>
      </w:r>
    </w:p>
  </w:endnote>
  <w:endnote w:type="continuationSeparator" w:id="0">
    <w:p w14:paraId="17068FF0" w14:textId="77777777" w:rsidR="00D46A71" w:rsidRDefault="00D46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DAB19" w14:textId="77777777" w:rsidR="004512F9" w:rsidRDefault="004512F9" w:rsidP="00536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39BDD7" w14:textId="77777777" w:rsidR="004512F9" w:rsidRDefault="00451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DDE89" w14:textId="77777777" w:rsidR="004512F9" w:rsidRPr="00A05F32" w:rsidRDefault="004512F9" w:rsidP="00536787">
    <w:pPr>
      <w:pStyle w:val="Footer"/>
      <w:framePr w:wrap="around" w:vAnchor="text" w:hAnchor="margin" w:xAlign="center" w:y="1"/>
      <w:rPr>
        <w:rStyle w:val="PageNumber"/>
        <w:color w:val="000000"/>
      </w:rPr>
    </w:pPr>
    <w:r w:rsidRPr="00A05F32">
      <w:rPr>
        <w:rStyle w:val="PageNumber"/>
        <w:color w:val="000000"/>
      </w:rPr>
      <w:fldChar w:fldCharType="begin"/>
    </w:r>
    <w:r w:rsidRPr="00A05F32">
      <w:rPr>
        <w:rStyle w:val="PageNumber"/>
        <w:color w:val="000000"/>
      </w:rPr>
      <w:instrText xml:space="preserve">PAGE  </w:instrText>
    </w:r>
    <w:r w:rsidRPr="00A05F32">
      <w:rPr>
        <w:rStyle w:val="PageNumber"/>
        <w:color w:val="000000"/>
      </w:rPr>
      <w:fldChar w:fldCharType="separate"/>
    </w:r>
    <w:r w:rsidR="00BE02FD">
      <w:rPr>
        <w:rStyle w:val="PageNumber"/>
        <w:noProof/>
        <w:color w:val="000000"/>
      </w:rPr>
      <w:t>7</w:t>
    </w:r>
    <w:r w:rsidRPr="00A05F32">
      <w:rPr>
        <w:rStyle w:val="PageNumber"/>
        <w:color w:val="000000"/>
      </w:rPr>
      <w:fldChar w:fldCharType="end"/>
    </w:r>
  </w:p>
  <w:p w14:paraId="530EF33A" w14:textId="77777777" w:rsidR="004512F9" w:rsidRPr="00A05F32" w:rsidRDefault="004512F9" w:rsidP="005754EE">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1D6F4" w14:textId="77777777" w:rsidR="00D46A71" w:rsidRPr="00014F2B" w:rsidRDefault="00D46A71">
      <w:pPr>
        <w:rPr>
          <w:color w:val="000000"/>
        </w:rPr>
      </w:pPr>
      <w:r w:rsidRPr="00014F2B">
        <w:rPr>
          <w:color w:val="000000"/>
        </w:rPr>
        <w:separator/>
      </w:r>
    </w:p>
  </w:footnote>
  <w:footnote w:type="continuationSeparator" w:id="0">
    <w:p w14:paraId="79141507" w14:textId="77777777" w:rsidR="00D46A71" w:rsidRPr="00D74E5E" w:rsidRDefault="00D46A71">
      <w:pPr>
        <w:rPr>
          <w:color w:val="000000" w:themeColor="text1"/>
        </w:rPr>
      </w:pPr>
      <w:r w:rsidRPr="00D74E5E">
        <w:rPr>
          <w:color w:val="000000" w:themeColor="text1"/>
        </w:rPr>
        <w:continuationSeparator/>
      </w:r>
    </w:p>
  </w:footnote>
  <w:footnote w:id="1">
    <w:p w14:paraId="47E90A92" w14:textId="42428E10" w:rsidR="004512F9" w:rsidRPr="00956EBA" w:rsidRDefault="004512F9" w:rsidP="00AC6B9A">
      <w:pPr>
        <w:pStyle w:val="FootnoteText"/>
        <w:rPr>
          <w:i/>
          <w:color w:val="000000" w:themeColor="text1"/>
        </w:rPr>
      </w:pPr>
      <w:r w:rsidRPr="00D74E5E">
        <w:rPr>
          <w:rStyle w:val="FootnoteReference"/>
          <w:color w:val="000000" w:themeColor="text1"/>
        </w:rPr>
        <w:footnoteRef/>
      </w:r>
      <w:r w:rsidRPr="00D74E5E">
        <w:rPr>
          <w:color w:val="000000" w:themeColor="text1"/>
        </w:rPr>
        <w:t xml:space="preserve"> </w:t>
      </w:r>
      <w:r w:rsidR="00956EBA" w:rsidRPr="00956EBA">
        <w:rPr>
          <w:i/>
          <w:color w:val="000000" w:themeColor="text1"/>
        </w:rPr>
        <w:t>See</w:t>
      </w:r>
      <w:r w:rsidR="00956EBA">
        <w:rPr>
          <w:color w:val="000000" w:themeColor="text1"/>
        </w:rPr>
        <w:t xml:space="preserve"> </w:t>
      </w:r>
      <w:r w:rsidRPr="00D74E5E">
        <w:rPr>
          <w:i/>
          <w:color w:val="000000" w:themeColor="text1"/>
        </w:rPr>
        <w:t>Implementation of the Federal Communications Commission’s Order of November 18, 2011 as Amended or Revised and Coordination with Certain Intrastate Matters</w:t>
      </w:r>
      <w:r w:rsidRPr="00D74E5E">
        <w:rPr>
          <w:color w:val="000000" w:themeColor="text1"/>
        </w:rPr>
        <w:t>, Docket No. M-2012-2291824 (Order</w:t>
      </w:r>
      <w:r w:rsidR="00956EBA">
        <w:rPr>
          <w:color w:val="000000" w:themeColor="text1"/>
        </w:rPr>
        <w:t>s</w:t>
      </w:r>
      <w:r w:rsidRPr="00D74E5E">
        <w:rPr>
          <w:color w:val="000000" w:themeColor="text1"/>
        </w:rPr>
        <w:t xml:space="preserve"> entered March 22, 2012</w:t>
      </w:r>
      <w:r w:rsidR="00956EBA">
        <w:rPr>
          <w:color w:val="000000" w:themeColor="text1"/>
        </w:rPr>
        <w:t>; April 18, 2013; April 23, 2014; April 23, 2015; April 21, 2016</w:t>
      </w:r>
      <w:r w:rsidR="00867E9C">
        <w:rPr>
          <w:color w:val="000000" w:themeColor="text1"/>
        </w:rPr>
        <w:t>; and May 3, 2018</w:t>
      </w:r>
      <w:r w:rsidR="00956EBA">
        <w:rPr>
          <w:color w:val="000000" w:themeColor="text1"/>
        </w:rPr>
        <w:t xml:space="preserve">).  </w:t>
      </w:r>
      <w:r w:rsidR="00956EBA" w:rsidRPr="00956EBA">
        <w:rPr>
          <w:i/>
          <w:color w:val="000000" w:themeColor="text1"/>
        </w:rPr>
        <w:t>See also</w:t>
      </w:r>
      <w:r w:rsidR="00956EBA">
        <w:rPr>
          <w:i/>
          <w:color w:val="000000" w:themeColor="text1"/>
        </w:rPr>
        <w:t xml:space="preserve"> </w:t>
      </w:r>
      <w:r w:rsidR="00956EBA" w:rsidRPr="00D74E5E">
        <w:rPr>
          <w:i/>
          <w:color w:val="000000" w:themeColor="text1"/>
        </w:rPr>
        <w:t>Investigation Regarding Intrastate Access Charges and IntraLATA Toll Rates of Rural Carriers and The Pennsylvania Universal Service Fund</w:t>
      </w:r>
      <w:r w:rsidR="00956EBA" w:rsidRPr="00D74E5E">
        <w:rPr>
          <w:color w:val="000000" w:themeColor="text1"/>
        </w:rPr>
        <w:t xml:space="preserve">, Docket No. I-00040105; </w:t>
      </w:r>
      <w:r w:rsidR="00956EBA" w:rsidRPr="00D74E5E">
        <w:rPr>
          <w:i/>
          <w:color w:val="000000" w:themeColor="text1"/>
        </w:rPr>
        <w:t>AT&amp;T Communications of Pennsylvania, et al. v. Armstrong Telephone Company-Pennsylvania, et al.</w:t>
      </w:r>
      <w:r w:rsidR="00956EBA" w:rsidRPr="00D74E5E">
        <w:rPr>
          <w:color w:val="000000" w:themeColor="text1"/>
        </w:rPr>
        <w:t xml:space="preserve">, Docket No. C-2009-2098380, </w:t>
      </w:r>
      <w:r w:rsidR="00956EBA" w:rsidRPr="00D74E5E">
        <w:rPr>
          <w:i/>
          <w:color w:val="000000" w:themeColor="text1"/>
        </w:rPr>
        <w:t>et al.</w:t>
      </w:r>
      <w:r w:rsidR="00956EBA" w:rsidRPr="00D74E5E">
        <w:rPr>
          <w:color w:val="000000" w:themeColor="text1"/>
        </w:rPr>
        <w:t xml:space="preserve">; </w:t>
      </w:r>
      <w:r w:rsidR="00956EBA" w:rsidRPr="00D74E5E">
        <w:rPr>
          <w:i/>
          <w:color w:val="000000" w:themeColor="text1"/>
        </w:rPr>
        <w:t>Implementation of the Federal Communications Commission’s Order of November 18, 2011 as Amended or Revised and Coordination with Certain Intrastate Matters</w:t>
      </w:r>
      <w:r w:rsidR="00956EBA" w:rsidRPr="00D74E5E">
        <w:rPr>
          <w:color w:val="000000" w:themeColor="text1"/>
        </w:rPr>
        <w:t>, Docket No. M-2012-229182</w:t>
      </w:r>
      <w:r w:rsidR="00956EBA">
        <w:rPr>
          <w:color w:val="000000" w:themeColor="text1"/>
        </w:rPr>
        <w:t>4 (Order entered May 10, 2012)</w:t>
      </w:r>
      <w:r w:rsidR="00956EBA" w:rsidRPr="00D74E5E">
        <w:rPr>
          <w:color w:val="000000" w:themeColor="text1"/>
        </w:rPr>
        <w:t>.</w:t>
      </w:r>
    </w:p>
  </w:footnote>
  <w:footnote w:id="2">
    <w:p w14:paraId="5247548F" w14:textId="77777777" w:rsidR="004512F9" w:rsidRPr="00D74E5E" w:rsidRDefault="004512F9" w:rsidP="007F23BF">
      <w:pPr>
        <w:pStyle w:val="FootnoteText"/>
        <w:spacing w:before="60"/>
        <w:rPr>
          <w:color w:val="000000" w:themeColor="text1"/>
        </w:rPr>
      </w:pPr>
      <w:r w:rsidRPr="00D74E5E">
        <w:rPr>
          <w:rStyle w:val="FootnoteReference"/>
          <w:color w:val="000000" w:themeColor="text1"/>
        </w:rPr>
        <w:footnoteRef/>
      </w:r>
      <w:r w:rsidRPr="00A17A59">
        <w:rPr>
          <w:i/>
          <w:color w:val="000000" w:themeColor="text1"/>
        </w:rPr>
        <w:t xml:space="preserve"> See</w:t>
      </w:r>
      <w:r w:rsidRPr="00D74E5E">
        <w:rPr>
          <w:color w:val="000000" w:themeColor="text1"/>
        </w:rPr>
        <w:t xml:space="preserve"> </w:t>
      </w:r>
      <w:r w:rsidRPr="00D74E5E">
        <w:rPr>
          <w:i/>
          <w:color w:val="000000" w:themeColor="text1"/>
        </w:rPr>
        <w:t>Connect America Fund</w:t>
      </w:r>
      <w:r>
        <w:rPr>
          <w:i/>
          <w:color w:val="000000" w:themeColor="text1"/>
        </w:rPr>
        <w:t xml:space="preserve"> et al.</w:t>
      </w:r>
      <w:r w:rsidRPr="00D74E5E">
        <w:rPr>
          <w:color w:val="000000" w:themeColor="text1"/>
        </w:rPr>
        <w:t>, WC Docket No. 10-90</w:t>
      </w:r>
      <w:r>
        <w:rPr>
          <w:color w:val="000000" w:themeColor="text1"/>
        </w:rPr>
        <w:t xml:space="preserve"> et al., </w:t>
      </w:r>
      <w:r w:rsidRPr="00D74E5E">
        <w:rPr>
          <w:color w:val="000000" w:themeColor="text1"/>
        </w:rPr>
        <w:t>Report and Order and Further Notice of Proposed Rulemaking, 26 FCC Rcd 17663</w:t>
      </w:r>
      <w:r>
        <w:rPr>
          <w:color w:val="000000" w:themeColor="text1"/>
        </w:rPr>
        <w:t>, 18149, para. 1404</w:t>
      </w:r>
      <w:r w:rsidRPr="00D74E5E">
        <w:rPr>
          <w:color w:val="000000" w:themeColor="text1"/>
        </w:rPr>
        <w:t xml:space="preserve"> (2011), </w:t>
      </w:r>
      <w:r w:rsidRPr="00A8007A">
        <w:rPr>
          <w:color w:val="000000" w:themeColor="text1"/>
        </w:rPr>
        <w:t>(</w:t>
      </w:r>
      <w:r>
        <w:rPr>
          <w:color w:val="000000" w:themeColor="text1"/>
        </w:rPr>
        <w:t>hereinafter “</w:t>
      </w:r>
      <w:r>
        <w:rPr>
          <w:i/>
          <w:color w:val="000000" w:themeColor="text1"/>
        </w:rPr>
        <w:t>FCC Order”</w:t>
      </w:r>
      <w:r w:rsidRPr="00A8007A">
        <w:rPr>
          <w:color w:val="000000" w:themeColor="text1"/>
        </w:rPr>
        <w:t>)</w:t>
      </w:r>
      <w:r>
        <w:rPr>
          <w:i/>
          <w:color w:val="000000" w:themeColor="text1"/>
        </w:rPr>
        <w:t xml:space="preserve">, pets. for review denied sub nom.  In re: FCC 11-161, </w:t>
      </w:r>
      <w:r>
        <w:rPr>
          <w:color w:val="000000" w:themeColor="text1"/>
        </w:rPr>
        <w:t>753 F.3d 1015 (10</w:t>
      </w:r>
      <w:r w:rsidRPr="00A8007A">
        <w:rPr>
          <w:color w:val="000000" w:themeColor="text1"/>
          <w:vertAlign w:val="superscript"/>
        </w:rPr>
        <w:t>th</w:t>
      </w:r>
      <w:r>
        <w:rPr>
          <w:color w:val="000000" w:themeColor="text1"/>
        </w:rPr>
        <w:t xml:space="preserve"> Cir. 2014), </w:t>
      </w:r>
      <w:r>
        <w:rPr>
          <w:i/>
          <w:color w:val="000000" w:themeColor="text1"/>
        </w:rPr>
        <w:t>cert. denied</w:t>
      </w:r>
      <w:r>
        <w:rPr>
          <w:color w:val="000000" w:themeColor="text1"/>
        </w:rPr>
        <w:t>, 83 U.S.L.W. 3835, May 4, 2015 (Nos. 14</w:t>
      </w:r>
      <w:r>
        <w:rPr>
          <w:color w:val="000000" w:themeColor="text1"/>
        </w:rPr>
        <w:noBreakHyphen/>
        <w:t xml:space="preserve">610 </w:t>
      </w:r>
      <w:r>
        <w:rPr>
          <w:i/>
          <w:color w:val="000000" w:themeColor="text1"/>
        </w:rPr>
        <w:t>et al.</w:t>
      </w:r>
      <w:r>
        <w:rPr>
          <w:color w:val="000000" w:themeColor="text1"/>
        </w:rPr>
        <w:t>).</w:t>
      </w:r>
    </w:p>
  </w:footnote>
  <w:footnote w:id="3">
    <w:p w14:paraId="1583E3C5" w14:textId="77777777" w:rsidR="004512F9" w:rsidRPr="00D74E5E" w:rsidRDefault="004512F9" w:rsidP="00AC6B9A">
      <w:pPr>
        <w:pStyle w:val="FootnoteText"/>
        <w:rPr>
          <w:color w:val="000000" w:themeColor="text1"/>
        </w:rPr>
      </w:pPr>
      <w:r w:rsidRPr="00D74E5E">
        <w:rPr>
          <w:rStyle w:val="FootnoteReference"/>
          <w:color w:val="000000" w:themeColor="text1"/>
        </w:rPr>
        <w:footnoteRef/>
      </w:r>
      <w:r w:rsidRPr="00D74E5E">
        <w:rPr>
          <w:color w:val="000000" w:themeColor="text1"/>
        </w:rPr>
        <w:t xml:space="preserve"> </w:t>
      </w:r>
      <w:r w:rsidRPr="00D74E5E">
        <w:rPr>
          <w:i/>
          <w:color w:val="000000" w:themeColor="text1"/>
        </w:rPr>
        <w:t>FCC Order</w:t>
      </w:r>
      <w:r w:rsidRPr="00D74E5E">
        <w:rPr>
          <w:color w:val="000000" w:themeColor="text1"/>
        </w:rPr>
        <w:t xml:space="preserve"> ¶ 801, 26 FCC Rcd 17934, </w:t>
      </w:r>
      <w:r w:rsidRPr="00D74E5E">
        <w:rPr>
          <w:i/>
          <w:color w:val="000000" w:themeColor="text1"/>
        </w:rPr>
        <w:t>slip op.</w:t>
      </w:r>
      <w:r w:rsidRPr="00D74E5E">
        <w:rPr>
          <w:color w:val="000000" w:themeColor="text1"/>
        </w:rPr>
        <w:t xml:space="preserve"> at 271.  47 C.F.R. § 51.907(a) and § 51.909(a).</w:t>
      </w:r>
    </w:p>
  </w:footnote>
  <w:footnote w:id="4">
    <w:p w14:paraId="7FC5ACAB" w14:textId="77777777" w:rsidR="004512F9" w:rsidRPr="00D74E5E" w:rsidRDefault="004512F9" w:rsidP="007F23BF">
      <w:pPr>
        <w:pStyle w:val="FootnoteText"/>
        <w:spacing w:before="60"/>
        <w:rPr>
          <w:color w:val="000000" w:themeColor="text1"/>
        </w:rPr>
      </w:pPr>
      <w:r w:rsidRPr="00D74E5E">
        <w:rPr>
          <w:rStyle w:val="FootnoteReference"/>
          <w:color w:val="000000" w:themeColor="text1"/>
        </w:rPr>
        <w:footnoteRef/>
      </w:r>
      <w:r w:rsidRPr="00D74E5E">
        <w:rPr>
          <w:color w:val="000000" w:themeColor="text1"/>
        </w:rPr>
        <w:t xml:space="preserve"> </w:t>
      </w:r>
      <w:r w:rsidRPr="00D74E5E">
        <w:rPr>
          <w:i/>
          <w:color w:val="000000" w:themeColor="text1"/>
        </w:rPr>
        <w:t>FCC Order</w:t>
      </w:r>
      <w:r w:rsidRPr="00D74E5E">
        <w:rPr>
          <w:color w:val="000000" w:themeColor="text1"/>
        </w:rPr>
        <w:t xml:space="preserve"> ¶¶ 801, 807, 26 FCC Rcd 17934, 17938, </w:t>
      </w:r>
      <w:r w:rsidRPr="00D74E5E">
        <w:rPr>
          <w:i/>
          <w:color w:val="000000" w:themeColor="text1"/>
        </w:rPr>
        <w:t>slip op.</w:t>
      </w:r>
      <w:r w:rsidRPr="00D74E5E">
        <w:rPr>
          <w:color w:val="000000" w:themeColor="text1"/>
        </w:rPr>
        <w:t xml:space="preserve"> at 271, 274. </w:t>
      </w:r>
      <w:r w:rsidRPr="00D74E5E">
        <w:rPr>
          <w:caps/>
          <w:color w:val="000000" w:themeColor="text1"/>
        </w:rPr>
        <w:t xml:space="preserve"> 47 C.F.R §</w:t>
      </w:r>
      <w:r w:rsidRPr="00D74E5E">
        <w:rPr>
          <w:color w:val="000000" w:themeColor="text1"/>
        </w:rPr>
        <w:t xml:space="preserve"> 51.911.</w:t>
      </w:r>
    </w:p>
  </w:footnote>
  <w:footnote w:id="5">
    <w:p w14:paraId="5D7E0D7C" w14:textId="77777777" w:rsidR="004512F9" w:rsidRPr="00D74E5E" w:rsidRDefault="004512F9" w:rsidP="007F23BF">
      <w:pPr>
        <w:pStyle w:val="FootnoteText"/>
        <w:spacing w:before="60"/>
        <w:rPr>
          <w:color w:val="000000" w:themeColor="text1"/>
        </w:rPr>
      </w:pPr>
      <w:r w:rsidRPr="00D74E5E">
        <w:rPr>
          <w:rStyle w:val="FootnoteReference"/>
          <w:color w:val="000000" w:themeColor="text1"/>
        </w:rPr>
        <w:footnoteRef/>
      </w:r>
      <w:r w:rsidRPr="00D74E5E">
        <w:rPr>
          <w:color w:val="000000" w:themeColor="text1"/>
        </w:rPr>
        <w:t xml:space="preserve"> 47 C.F.R. § 51.907(b), § 51.909(b) and § 51.911(b).</w:t>
      </w:r>
    </w:p>
  </w:footnote>
  <w:footnote w:id="6">
    <w:p w14:paraId="47D84781" w14:textId="77777777" w:rsidR="004512F9" w:rsidRPr="00D74E5E" w:rsidRDefault="004512F9" w:rsidP="004A3D04">
      <w:pPr>
        <w:pStyle w:val="FootnoteText"/>
        <w:rPr>
          <w:color w:val="000000" w:themeColor="text1"/>
        </w:rPr>
      </w:pPr>
      <w:r w:rsidRPr="00D74E5E">
        <w:rPr>
          <w:rStyle w:val="FootnoteReference"/>
          <w:color w:val="000000" w:themeColor="text1"/>
        </w:rPr>
        <w:footnoteRef/>
      </w:r>
      <w:r w:rsidRPr="00D74E5E">
        <w:rPr>
          <w:color w:val="000000" w:themeColor="text1"/>
        </w:rPr>
        <w:t xml:space="preserve"> 47 C.F.R. § 51.907(c), § 51.909(c) and § 51.911(c).</w:t>
      </w:r>
    </w:p>
  </w:footnote>
  <w:footnote w:id="7">
    <w:p w14:paraId="4F3C0A90" w14:textId="77777777" w:rsidR="004512F9" w:rsidRPr="00D74E5E" w:rsidRDefault="004512F9" w:rsidP="004A3D04">
      <w:pPr>
        <w:pStyle w:val="FootnoteText"/>
        <w:spacing w:before="60"/>
        <w:rPr>
          <w:color w:val="000000" w:themeColor="text1"/>
        </w:rPr>
      </w:pPr>
      <w:r w:rsidRPr="00D74E5E">
        <w:rPr>
          <w:rStyle w:val="FootnoteReference"/>
          <w:color w:val="000000" w:themeColor="text1"/>
        </w:rPr>
        <w:footnoteRef/>
      </w:r>
      <w:r w:rsidRPr="00D74E5E">
        <w:rPr>
          <w:color w:val="000000" w:themeColor="text1"/>
        </w:rPr>
        <w:t xml:space="preserve"> 47 C.F.R. § 51.907(d), § 51.909(d) and § 51.911(c).</w:t>
      </w:r>
    </w:p>
  </w:footnote>
  <w:footnote w:id="8">
    <w:p w14:paraId="4D6E02F7" w14:textId="77777777" w:rsidR="004512F9" w:rsidRPr="00114444" w:rsidRDefault="004512F9" w:rsidP="004A3D04">
      <w:pPr>
        <w:pStyle w:val="FootnoteText"/>
        <w:spacing w:before="60"/>
        <w:rPr>
          <w:color w:val="000000" w:themeColor="text1"/>
        </w:rPr>
      </w:pPr>
      <w:r w:rsidRPr="00114444">
        <w:rPr>
          <w:rStyle w:val="FootnoteReference"/>
          <w:color w:val="000000" w:themeColor="text1"/>
        </w:rPr>
        <w:footnoteRef/>
      </w:r>
      <w:r w:rsidRPr="00114444">
        <w:rPr>
          <w:color w:val="000000" w:themeColor="text1"/>
        </w:rPr>
        <w:t xml:space="preserve"> 47 C.F.R. § 51.907(e), § 51.909(e) and § 51.911(c).</w:t>
      </w:r>
    </w:p>
  </w:footnote>
  <w:footnote w:id="9">
    <w:p w14:paraId="1074909B" w14:textId="77777777" w:rsidR="004512F9" w:rsidRPr="00114444" w:rsidRDefault="004512F9" w:rsidP="004A3D04">
      <w:pPr>
        <w:pStyle w:val="FootnoteText"/>
        <w:spacing w:before="60"/>
        <w:rPr>
          <w:color w:val="000000" w:themeColor="text1"/>
        </w:rPr>
      </w:pPr>
      <w:r w:rsidRPr="00114444">
        <w:rPr>
          <w:rStyle w:val="FootnoteReference"/>
          <w:color w:val="000000" w:themeColor="text1"/>
        </w:rPr>
        <w:footnoteRef/>
      </w:r>
      <w:r w:rsidRPr="00114444">
        <w:rPr>
          <w:color w:val="000000" w:themeColor="text1"/>
        </w:rPr>
        <w:t xml:space="preserve"> 47 C.F.R. § 51.907(f), § 51.909(f) and § 51.911(c).</w:t>
      </w:r>
    </w:p>
  </w:footnote>
  <w:footnote w:id="10">
    <w:p w14:paraId="62DC39BD" w14:textId="77777777" w:rsidR="00114444" w:rsidRPr="00867E9C" w:rsidRDefault="00114444" w:rsidP="004A3D04">
      <w:pPr>
        <w:pStyle w:val="FootnoteText"/>
        <w:spacing w:before="60"/>
        <w:rPr>
          <w:color w:val="000000" w:themeColor="text1"/>
        </w:rPr>
      </w:pPr>
      <w:r w:rsidRPr="00867E9C">
        <w:rPr>
          <w:rStyle w:val="FootnoteReference"/>
          <w:color w:val="000000" w:themeColor="text1"/>
        </w:rPr>
        <w:footnoteRef/>
      </w:r>
      <w:r w:rsidRPr="00867E9C">
        <w:rPr>
          <w:color w:val="000000" w:themeColor="text1"/>
        </w:rPr>
        <w:t xml:space="preserve"> 47 C.F.R. § 51.907(g), § 51.909(g) and § 51.911(c).</w:t>
      </w:r>
    </w:p>
  </w:footnote>
  <w:footnote w:id="11">
    <w:p w14:paraId="5019DE59" w14:textId="781AD782" w:rsidR="00867E9C" w:rsidRPr="00867E9C" w:rsidRDefault="00867E9C" w:rsidP="00867E9C">
      <w:pPr>
        <w:pStyle w:val="FootnoteText"/>
        <w:spacing w:before="60"/>
        <w:rPr>
          <w:color w:val="000000" w:themeColor="text1"/>
        </w:rPr>
      </w:pPr>
      <w:r w:rsidRPr="00867E9C">
        <w:rPr>
          <w:rStyle w:val="FootnoteReference"/>
          <w:color w:val="000000" w:themeColor="text1"/>
        </w:rPr>
        <w:footnoteRef/>
      </w:r>
      <w:r w:rsidRPr="00867E9C">
        <w:rPr>
          <w:color w:val="000000" w:themeColor="text1"/>
        </w:rPr>
        <w:t xml:space="preserve"> 47 C.F.R. § 51.907(h), § 51.909(h) and § 51.911(c).</w:t>
      </w:r>
    </w:p>
  </w:footnote>
  <w:footnote w:id="12">
    <w:p w14:paraId="359FE0AD" w14:textId="0A65C418" w:rsidR="0033665F" w:rsidRDefault="0033665F" w:rsidP="004A3D04">
      <w:pPr>
        <w:pStyle w:val="FootnoteText"/>
        <w:spacing w:before="60"/>
      </w:pPr>
      <w:r w:rsidRPr="00867E9C">
        <w:rPr>
          <w:rStyle w:val="FootnoteReference"/>
          <w:color w:val="000000" w:themeColor="text1"/>
        </w:rPr>
        <w:footnoteRef/>
      </w:r>
      <w:r w:rsidRPr="00867E9C">
        <w:rPr>
          <w:color w:val="000000" w:themeColor="text1"/>
        </w:rPr>
        <w:t xml:space="preserve"> </w:t>
      </w:r>
      <w:r w:rsidR="00114444" w:rsidRPr="00867E9C">
        <w:rPr>
          <w:color w:val="000000" w:themeColor="text1"/>
        </w:rPr>
        <w:t>47 C.F.R. § 51.909(</w:t>
      </w:r>
      <w:r w:rsidR="00867E9C" w:rsidRPr="00867E9C">
        <w:rPr>
          <w:color w:val="000000" w:themeColor="text1"/>
        </w:rPr>
        <w:t>i</w:t>
      </w:r>
      <w:r w:rsidR="00114444" w:rsidRPr="00867E9C">
        <w:rPr>
          <w:color w:val="000000" w:themeColor="text1"/>
        </w:rPr>
        <w:t>) and § 51.911(c).</w:t>
      </w:r>
    </w:p>
  </w:footnote>
  <w:footnote w:id="13">
    <w:p w14:paraId="517B1E98" w14:textId="77777777" w:rsidR="004512F9" w:rsidRPr="00183385" w:rsidRDefault="004512F9" w:rsidP="004A3D04">
      <w:pPr>
        <w:pStyle w:val="FootnoteText"/>
        <w:spacing w:before="60"/>
        <w:rPr>
          <w:color w:val="auto"/>
        </w:rPr>
      </w:pPr>
      <w:r w:rsidRPr="00E77E7B">
        <w:rPr>
          <w:rStyle w:val="FootnoteReference"/>
          <w:color w:val="000000" w:themeColor="text1"/>
        </w:rPr>
        <w:footnoteRef/>
      </w:r>
      <w:r w:rsidRPr="00E77E7B">
        <w:rPr>
          <w:color w:val="000000" w:themeColor="text1"/>
        </w:rPr>
        <w:t xml:space="preserve"> </w:t>
      </w:r>
      <w:r w:rsidRPr="00E77E7B">
        <w:rPr>
          <w:i/>
          <w:color w:val="000000" w:themeColor="text1"/>
        </w:rPr>
        <w:t>FCC Order</w:t>
      </w:r>
      <w:r w:rsidRPr="00E77E7B">
        <w:rPr>
          <w:color w:val="000000" w:themeColor="text1"/>
        </w:rPr>
        <w:t xml:space="preserve"> ¶ 813, 26 FCC Rcd 17940, </w:t>
      </w:r>
      <w:r w:rsidRPr="00E77E7B">
        <w:rPr>
          <w:i/>
          <w:color w:val="000000" w:themeColor="text1"/>
        </w:rPr>
        <w:t>slip op.</w:t>
      </w:r>
      <w:r w:rsidRPr="00E77E7B">
        <w:rPr>
          <w:color w:val="000000" w:themeColor="text1"/>
        </w:rPr>
        <w:t xml:space="preserve"> at 277 (footnotes omitted).  </w:t>
      </w:r>
      <w:r w:rsidRPr="007A64DB">
        <w:rPr>
          <w:i/>
          <w:color w:val="000000" w:themeColor="text1"/>
        </w:rPr>
        <w:t>See also</w:t>
      </w:r>
      <w:r w:rsidRPr="00E77E7B">
        <w:rPr>
          <w:color w:val="000000" w:themeColor="text1"/>
        </w:rPr>
        <w:t xml:space="preserve"> ¶ 803 and ¶ 880, 26 FCC Rcd </w:t>
      </w:r>
      <w:r w:rsidRPr="00183385">
        <w:rPr>
          <w:color w:val="auto"/>
        </w:rPr>
        <w:t xml:space="preserve">17936, 17971, </w:t>
      </w:r>
      <w:r w:rsidRPr="00183385">
        <w:rPr>
          <w:i/>
          <w:color w:val="auto"/>
        </w:rPr>
        <w:t>slip op.</w:t>
      </w:r>
      <w:r w:rsidRPr="00183385">
        <w:rPr>
          <w:color w:val="auto"/>
        </w:rPr>
        <w:t xml:space="preserve"> at 273, 308. </w:t>
      </w:r>
    </w:p>
  </w:footnote>
  <w:footnote w:id="14">
    <w:p w14:paraId="1497B869" w14:textId="521F5B78" w:rsidR="00BE4BAD" w:rsidRPr="00F90BB7" w:rsidRDefault="00BE4BAD" w:rsidP="00A97B92">
      <w:pPr>
        <w:pStyle w:val="FootnoteText"/>
        <w:spacing w:before="60"/>
      </w:pPr>
      <w:r w:rsidRPr="00E77E7B">
        <w:rPr>
          <w:rStyle w:val="FootnoteReference"/>
          <w:color w:val="000000" w:themeColor="text1"/>
        </w:rPr>
        <w:footnoteRef/>
      </w:r>
      <w:r w:rsidRPr="00E77E7B">
        <w:rPr>
          <w:color w:val="000000" w:themeColor="text1"/>
        </w:rPr>
        <w:t xml:space="preserve"> </w:t>
      </w:r>
      <w:r w:rsidRPr="00A17A59">
        <w:rPr>
          <w:i/>
          <w:color w:val="000000" w:themeColor="text1"/>
        </w:rPr>
        <w:t xml:space="preserve">See </w:t>
      </w:r>
      <w:r w:rsidRPr="00E77E7B">
        <w:rPr>
          <w:i/>
          <w:color w:val="000000" w:themeColor="text1"/>
        </w:rPr>
        <w:t>FCC Order</w:t>
      </w:r>
      <w:r>
        <w:rPr>
          <w:color w:val="000000" w:themeColor="text1"/>
        </w:rPr>
        <w:t xml:space="preserve"> released </w:t>
      </w:r>
      <w:r w:rsidR="00C66FBF">
        <w:rPr>
          <w:color w:val="000000" w:themeColor="text1"/>
        </w:rPr>
        <w:t xml:space="preserve">April </w:t>
      </w:r>
      <w:r w:rsidR="00FA2722">
        <w:rPr>
          <w:color w:val="000000" w:themeColor="text1"/>
        </w:rPr>
        <w:t>4</w:t>
      </w:r>
      <w:r w:rsidR="00C66FBF">
        <w:rPr>
          <w:color w:val="000000" w:themeColor="text1"/>
        </w:rPr>
        <w:t>, 201</w:t>
      </w:r>
      <w:r w:rsidR="00FA2722">
        <w:rPr>
          <w:color w:val="000000" w:themeColor="text1"/>
        </w:rPr>
        <w:t>9</w:t>
      </w:r>
      <w:r w:rsidR="00FC3D65">
        <w:rPr>
          <w:color w:val="000000" w:themeColor="text1"/>
        </w:rPr>
        <w:t xml:space="preserve">, </w:t>
      </w:r>
      <w:r w:rsidRPr="00E77E7B">
        <w:rPr>
          <w:color w:val="000000" w:themeColor="text1"/>
        </w:rPr>
        <w:t xml:space="preserve"> </w:t>
      </w:r>
      <w:r>
        <w:rPr>
          <w:i/>
          <w:color w:val="000000" w:themeColor="text1"/>
        </w:rPr>
        <w:t>In the Matter of July 1, 201</w:t>
      </w:r>
      <w:r w:rsidR="00FA2722">
        <w:rPr>
          <w:i/>
          <w:color w:val="000000" w:themeColor="text1"/>
        </w:rPr>
        <w:t>9</w:t>
      </w:r>
      <w:r w:rsidRPr="00E77E7B">
        <w:rPr>
          <w:i/>
          <w:color w:val="000000" w:themeColor="text1"/>
        </w:rPr>
        <w:t xml:space="preserve"> Annual Access Charge Tariff Filings, </w:t>
      </w:r>
      <w:r>
        <w:rPr>
          <w:color w:val="000000" w:themeColor="text1"/>
        </w:rPr>
        <w:t>WC Docket No. 1</w:t>
      </w:r>
      <w:r w:rsidR="00FA2722">
        <w:rPr>
          <w:color w:val="000000" w:themeColor="text1"/>
        </w:rPr>
        <w:t>9</w:t>
      </w:r>
      <w:r>
        <w:rPr>
          <w:color w:val="000000" w:themeColor="text1"/>
        </w:rPr>
        <w:t>-</w:t>
      </w:r>
      <w:r w:rsidR="00FA2722">
        <w:rPr>
          <w:color w:val="000000" w:themeColor="text1"/>
        </w:rPr>
        <w:t xml:space="preserve">47 </w:t>
      </w:r>
      <w:r>
        <w:rPr>
          <w:color w:val="000000" w:themeColor="text1"/>
        </w:rPr>
        <w:t>(hereinafter “</w:t>
      </w:r>
      <w:r w:rsidR="00C66FBF">
        <w:rPr>
          <w:i/>
          <w:color w:val="000000" w:themeColor="text1"/>
        </w:rPr>
        <w:t>April</w:t>
      </w:r>
      <w:r w:rsidRPr="00353906">
        <w:rPr>
          <w:i/>
          <w:color w:val="000000" w:themeColor="text1"/>
        </w:rPr>
        <w:t xml:space="preserve"> 201</w:t>
      </w:r>
      <w:r w:rsidR="00FA2722">
        <w:rPr>
          <w:i/>
          <w:color w:val="000000" w:themeColor="text1"/>
        </w:rPr>
        <w:t>9</w:t>
      </w:r>
      <w:r w:rsidRPr="00353906">
        <w:rPr>
          <w:i/>
          <w:color w:val="000000" w:themeColor="text1"/>
        </w:rPr>
        <w:t xml:space="preserve"> FCC Order</w:t>
      </w:r>
      <w:r>
        <w:rPr>
          <w:i/>
          <w:color w:val="000000" w:themeColor="text1"/>
        </w:rPr>
        <w:t>”</w:t>
      </w:r>
      <w:r>
        <w:rPr>
          <w:color w:val="000000" w:themeColor="text1"/>
        </w:rPr>
        <w:t>)</w:t>
      </w:r>
      <w:r w:rsidRPr="00E77E7B">
        <w:rPr>
          <w:color w:val="000000" w:themeColor="text1"/>
        </w:rPr>
        <w:t>.</w:t>
      </w:r>
      <w:r>
        <w:rPr>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17609C6"/>
    <w:multiLevelType w:val="hybridMultilevel"/>
    <w:tmpl w:val="158CFD0C"/>
    <w:lvl w:ilvl="0" w:tplc="74649CE0">
      <w:start w:val="1"/>
      <w:numFmt w:val="decimal"/>
      <w:pStyle w:val="ParaNum"/>
      <w:lvlText w:val="%1."/>
      <w:lvlJc w:val="left"/>
      <w:pPr>
        <w:tabs>
          <w:tab w:val="num" w:pos="1482"/>
        </w:tabs>
        <w:ind w:firstLine="720"/>
      </w:pPr>
      <w:rPr>
        <w:rFonts w:ascii="Times New Roman" w:hAnsi="Times New Roman" w:cs="Times New Roman" w:hint="default"/>
        <w:b w:val="0"/>
        <w:i w:val="0"/>
        <w:dstrike w:val="0"/>
        <w:color w:val="000000"/>
      </w:rPr>
    </w:lvl>
    <w:lvl w:ilvl="1" w:tplc="35904AA4">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19F43A1"/>
    <w:multiLevelType w:val="hybridMultilevel"/>
    <w:tmpl w:val="13EA519A"/>
    <w:lvl w:ilvl="0" w:tplc="348075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954DCD"/>
    <w:multiLevelType w:val="hybridMultilevel"/>
    <w:tmpl w:val="A4025CD8"/>
    <w:lvl w:ilvl="0" w:tplc="2CC603FE">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7EF6150"/>
    <w:multiLevelType w:val="hybridMultilevel"/>
    <w:tmpl w:val="77D0DA02"/>
    <w:lvl w:ilvl="0" w:tplc="060C4538">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F20D24"/>
    <w:multiLevelType w:val="hybridMultilevel"/>
    <w:tmpl w:val="E2FA3AE6"/>
    <w:lvl w:ilvl="0" w:tplc="991E8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BE5EE6"/>
    <w:multiLevelType w:val="hybridMultilevel"/>
    <w:tmpl w:val="D7F45DD8"/>
    <w:lvl w:ilvl="0" w:tplc="80D85318">
      <w:numFmt w:val="bullet"/>
      <w:lvlText w:val=""/>
      <w:lvlJc w:val="left"/>
      <w:pPr>
        <w:tabs>
          <w:tab w:val="num" w:pos="1728"/>
        </w:tabs>
        <w:ind w:left="1728" w:hanging="288"/>
      </w:pPr>
      <w:rPr>
        <w:rFonts w:ascii="Symbol" w:hAnsi="Symbol" w:hint="default"/>
        <w:b w:val="0"/>
        <w:i w:val="0"/>
        <w:color w:val="000000"/>
        <w:sz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99E52B0"/>
    <w:multiLevelType w:val="hybridMultilevel"/>
    <w:tmpl w:val="7CE018CA"/>
    <w:lvl w:ilvl="0" w:tplc="C2909ACE">
      <w:start w:val="3"/>
      <w:numFmt w:val="lowerRoman"/>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8" w15:restartNumberingAfterBreak="0">
    <w:nsid w:val="305D2CE1"/>
    <w:multiLevelType w:val="hybridMultilevel"/>
    <w:tmpl w:val="C9066A10"/>
    <w:lvl w:ilvl="0" w:tplc="4CB676E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6E3A14"/>
    <w:multiLevelType w:val="hybridMultilevel"/>
    <w:tmpl w:val="7CC6431C"/>
    <w:lvl w:ilvl="0" w:tplc="A1BE893E">
      <w:start w:val="4"/>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475421"/>
    <w:multiLevelType w:val="hybridMultilevel"/>
    <w:tmpl w:val="05FC0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12" w15:restartNumberingAfterBreak="0">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5AF2345C"/>
    <w:multiLevelType w:val="hybridMultilevel"/>
    <w:tmpl w:val="4306B962"/>
    <w:lvl w:ilvl="0" w:tplc="1068B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673B53"/>
    <w:multiLevelType w:val="hybridMultilevel"/>
    <w:tmpl w:val="22C4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3E4C5E"/>
    <w:multiLevelType w:val="hybridMultilevel"/>
    <w:tmpl w:val="64AA291C"/>
    <w:lvl w:ilvl="0" w:tplc="569034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12"/>
  </w:num>
  <w:num w:numId="3">
    <w:abstractNumId w:val="11"/>
  </w:num>
  <w:num w:numId="4">
    <w:abstractNumId w:val="16"/>
  </w:num>
  <w:num w:numId="5">
    <w:abstractNumId w:val="4"/>
  </w:num>
  <w:num w:numId="6">
    <w:abstractNumId w:val="3"/>
  </w:num>
  <w:num w:numId="7">
    <w:abstractNumId w:val="7"/>
  </w:num>
  <w:num w:numId="8">
    <w:abstractNumId w:val="8"/>
  </w:num>
  <w:num w:numId="9">
    <w:abstractNumId w:val="9"/>
  </w:num>
  <w:num w:numId="10">
    <w:abstractNumId w:val="6"/>
  </w:num>
  <w:num w:numId="11">
    <w:abstractNumId w:val="13"/>
  </w:num>
  <w:num w:numId="12">
    <w:abstractNumId w:val="5"/>
  </w:num>
  <w:num w:numId="13">
    <w:abstractNumId w:val="2"/>
  </w:num>
  <w:num w:numId="14">
    <w:abstractNumId w:val="10"/>
  </w:num>
  <w:num w:numId="15">
    <w:abstractNumId w:val="15"/>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EBB"/>
    <w:rsid w:val="00014F2B"/>
    <w:rsid w:val="00020D91"/>
    <w:rsid w:val="00021254"/>
    <w:rsid w:val="00030873"/>
    <w:rsid w:val="00030AD5"/>
    <w:rsid w:val="000452EB"/>
    <w:rsid w:val="00047A5C"/>
    <w:rsid w:val="00051AE1"/>
    <w:rsid w:val="00052ADD"/>
    <w:rsid w:val="00055826"/>
    <w:rsid w:val="000602B3"/>
    <w:rsid w:val="00062DCD"/>
    <w:rsid w:val="00065987"/>
    <w:rsid w:val="000672A5"/>
    <w:rsid w:val="00073D48"/>
    <w:rsid w:val="00075388"/>
    <w:rsid w:val="00076C0F"/>
    <w:rsid w:val="00091554"/>
    <w:rsid w:val="000918CB"/>
    <w:rsid w:val="00095C62"/>
    <w:rsid w:val="00096E51"/>
    <w:rsid w:val="000A4F7F"/>
    <w:rsid w:val="000A6320"/>
    <w:rsid w:val="000B44AF"/>
    <w:rsid w:val="000B5D39"/>
    <w:rsid w:val="000B7E27"/>
    <w:rsid w:val="000C34B8"/>
    <w:rsid w:val="000C5354"/>
    <w:rsid w:val="000C7636"/>
    <w:rsid w:val="000D0850"/>
    <w:rsid w:val="000D1D57"/>
    <w:rsid w:val="000D1DB0"/>
    <w:rsid w:val="000D559B"/>
    <w:rsid w:val="000E019F"/>
    <w:rsid w:val="000E2577"/>
    <w:rsid w:val="000F3620"/>
    <w:rsid w:val="000F431D"/>
    <w:rsid w:val="000F5DBD"/>
    <w:rsid w:val="00100E26"/>
    <w:rsid w:val="00102317"/>
    <w:rsid w:val="001067E9"/>
    <w:rsid w:val="0011062C"/>
    <w:rsid w:val="00110E6C"/>
    <w:rsid w:val="00110FA6"/>
    <w:rsid w:val="00111839"/>
    <w:rsid w:val="00113C2D"/>
    <w:rsid w:val="00114444"/>
    <w:rsid w:val="0011635C"/>
    <w:rsid w:val="00117EB4"/>
    <w:rsid w:val="00117EFD"/>
    <w:rsid w:val="00120E17"/>
    <w:rsid w:val="001210B5"/>
    <w:rsid w:val="001225BD"/>
    <w:rsid w:val="0012375B"/>
    <w:rsid w:val="00123960"/>
    <w:rsid w:val="00124C56"/>
    <w:rsid w:val="00127AF1"/>
    <w:rsid w:val="0013087A"/>
    <w:rsid w:val="00133BE1"/>
    <w:rsid w:val="00134534"/>
    <w:rsid w:val="001408BB"/>
    <w:rsid w:val="001426AA"/>
    <w:rsid w:val="001434B8"/>
    <w:rsid w:val="00143556"/>
    <w:rsid w:val="001464E7"/>
    <w:rsid w:val="00146F08"/>
    <w:rsid w:val="00147AB2"/>
    <w:rsid w:val="00151366"/>
    <w:rsid w:val="00152B43"/>
    <w:rsid w:val="00153E30"/>
    <w:rsid w:val="0015408B"/>
    <w:rsid w:val="00162DF7"/>
    <w:rsid w:val="00166486"/>
    <w:rsid w:val="001674E8"/>
    <w:rsid w:val="00171851"/>
    <w:rsid w:val="00171EB9"/>
    <w:rsid w:val="00181290"/>
    <w:rsid w:val="00183385"/>
    <w:rsid w:val="00185651"/>
    <w:rsid w:val="001865C6"/>
    <w:rsid w:val="00186B99"/>
    <w:rsid w:val="00191287"/>
    <w:rsid w:val="0019489E"/>
    <w:rsid w:val="001979DC"/>
    <w:rsid w:val="001A0918"/>
    <w:rsid w:val="001A3ED9"/>
    <w:rsid w:val="001A5570"/>
    <w:rsid w:val="001A5B48"/>
    <w:rsid w:val="001B0333"/>
    <w:rsid w:val="001B1A60"/>
    <w:rsid w:val="001B2F01"/>
    <w:rsid w:val="001B35AF"/>
    <w:rsid w:val="001B6FB8"/>
    <w:rsid w:val="001C2804"/>
    <w:rsid w:val="001C45E4"/>
    <w:rsid w:val="001C4A52"/>
    <w:rsid w:val="001C6F3A"/>
    <w:rsid w:val="001D0FBE"/>
    <w:rsid w:val="001D193C"/>
    <w:rsid w:val="001D27C8"/>
    <w:rsid w:val="001D32C6"/>
    <w:rsid w:val="001D379B"/>
    <w:rsid w:val="001D3963"/>
    <w:rsid w:val="001D4548"/>
    <w:rsid w:val="001D6CDD"/>
    <w:rsid w:val="001D6FDB"/>
    <w:rsid w:val="001E1CFA"/>
    <w:rsid w:val="001E67DB"/>
    <w:rsid w:val="001F0F0B"/>
    <w:rsid w:val="001F286F"/>
    <w:rsid w:val="001F3805"/>
    <w:rsid w:val="001F4FD9"/>
    <w:rsid w:val="001F5943"/>
    <w:rsid w:val="00202459"/>
    <w:rsid w:val="002041EC"/>
    <w:rsid w:val="00204784"/>
    <w:rsid w:val="00205080"/>
    <w:rsid w:val="00211E80"/>
    <w:rsid w:val="00217678"/>
    <w:rsid w:val="00217D01"/>
    <w:rsid w:val="00223089"/>
    <w:rsid w:val="00224879"/>
    <w:rsid w:val="002330C5"/>
    <w:rsid w:val="002367E9"/>
    <w:rsid w:val="0023725F"/>
    <w:rsid w:val="002412C9"/>
    <w:rsid w:val="0024370B"/>
    <w:rsid w:val="00252603"/>
    <w:rsid w:val="002526D1"/>
    <w:rsid w:val="00255B65"/>
    <w:rsid w:val="00257D8D"/>
    <w:rsid w:val="002607FB"/>
    <w:rsid w:val="00264DD1"/>
    <w:rsid w:val="00265290"/>
    <w:rsid w:val="00273D16"/>
    <w:rsid w:val="002757B4"/>
    <w:rsid w:val="0027753D"/>
    <w:rsid w:val="00282418"/>
    <w:rsid w:val="00290614"/>
    <w:rsid w:val="00290D88"/>
    <w:rsid w:val="0029336F"/>
    <w:rsid w:val="002933BD"/>
    <w:rsid w:val="002951BC"/>
    <w:rsid w:val="002A3C17"/>
    <w:rsid w:val="002B0146"/>
    <w:rsid w:val="002B73EC"/>
    <w:rsid w:val="002C3CD9"/>
    <w:rsid w:val="002C48A5"/>
    <w:rsid w:val="002C672C"/>
    <w:rsid w:val="002C7142"/>
    <w:rsid w:val="002D4D34"/>
    <w:rsid w:val="002E4081"/>
    <w:rsid w:val="002E4366"/>
    <w:rsid w:val="002E4F4F"/>
    <w:rsid w:val="002E5720"/>
    <w:rsid w:val="002E7B80"/>
    <w:rsid w:val="002F1CB0"/>
    <w:rsid w:val="002F2A24"/>
    <w:rsid w:val="002F4031"/>
    <w:rsid w:val="002F5E67"/>
    <w:rsid w:val="002F7088"/>
    <w:rsid w:val="00302029"/>
    <w:rsid w:val="0030244B"/>
    <w:rsid w:val="003047C7"/>
    <w:rsid w:val="00310215"/>
    <w:rsid w:val="0031271F"/>
    <w:rsid w:val="00313E12"/>
    <w:rsid w:val="00314586"/>
    <w:rsid w:val="00314AC5"/>
    <w:rsid w:val="003228D7"/>
    <w:rsid w:val="0032299E"/>
    <w:rsid w:val="00325275"/>
    <w:rsid w:val="00327D24"/>
    <w:rsid w:val="00330E8B"/>
    <w:rsid w:val="00333D4F"/>
    <w:rsid w:val="00335318"/>
    <w:rsid w:val="0033665F"/>
    <w:rsid w:val="00336D22"/>
    <w:rsid w:val="00340750"/>
    <w:rsid w:val="00342EF3"/>
    <w:rsid w:val="00342FE2"/>
    <w:rsid w:val="003477B5"/>
    <w:rsid w:val="00347FA3"/>
    <w:rsid w:val="00350453"/>
    <w:rsid w:val="00353906"/>
    <w:rsid w:val="0035685F"/>
    <w:rsid w:val="00362B62"/>
    <w:rsid w:val="00366F1C"/>
    <w:rsid w:val="0036702E"/>
    <w:rsid w:val="00370EFA"/>
    <w:rsid w:val="0037453A"/>
    <w:rsid w:val="003757E6"/>
    <w:rsid w:val="003801D9"/>
    <w:rsid w:val="00382530"/>
    <w:rsid w:val="0038393E"/>
    <w:rsid w:val="00383B4E"/>
    <w:rsid w:val="00383B59"/>
    <w:rsid w:val="003909C8"/>
    <w:rsid w:val="0039736C"/>
    <w:rsid w:val="003A5456"/>
    <w:rsid w:val="003A7044"/>
    <w:rsid w:val="003A768F"/>
    <w:rsid w:val="003B05E8"/>
    <w:rsid w:val="003B0F41"/>
    <w:rsid w:val="003C09AC"/>
    <w:rsid w:val="003C23A5"/>
    <w:rsid w:val="003C2400"/>
    <w:rsid w:val="003C2EEF"/>
    <w:rsid w:val="003C35B8"/>
    <w:rsid w:val="003C5172"/>
    <w:rsid w:val="003C6F92"/>
    <w:rsid w:val="003D3DA4"/>
    <w:rsid w:val="003D3F17"/>
    <w:rsid w:val="003D5BA1"/>
    <w:rsid w:val="003E4555"/>
    <w:rsid w:val="003E7558"/>
    <w:rsid w:val="003F0018"/>
    <w:rsid w:val="004016C3"/>
    <w:rsid w:val="004018D5"/>
    <w:rsid w:val="004053D7"/>
    <w:rsid w:val="0040590D"/>
    <w:rsid w:val="00416881"/>
    <w:rsid w:val="0041730D"/>
    <w:rsid w:val="00421E0A"/>
    <w:rsid w:val="00422C20"/>
    <w:rsid w:val="00425010"/>
    <w:rsid w:val="0042748F"/>
    <w:rsid w:val="004335FD"/>
    <w:rsid w:val="00442C90"/>
    <w:rsid w:val="00442FB3"/>
    <w:rsid w:val="0044373D"/>
    <w:rsid w:val="004505C3"/>
    <w:rsid w:val="004512F9"/>
    <w:rsid w:val="00451C97"/>
    <w:rsid w:val="00454256"/>
    <w:rsid w:val="0045526C"/>
    <w:rsid w:val="00455EAD"/>
    <w:rsid w:val="0046101E"/>
    <w:rsid w:val="0046180D"/>
    <w:rsid w:val="00463DAB"/>
    <w:rsid w:val="00466E8F"/>
    <w:rsid w:val="00475F57"/>
    <w:rsid w:val="00486CAD"/>
    <w:rsid w:val="00495667"/>
    <w:rsid w:val="004A1CF8"/>
    <w:rsid w:val="004A3D04"/>
    <w:rsid w:val="004A51EB"/>
    <w:rsid w:val="004A6A15"/>
    <w:rsid w:val="004A6EFA"/>
    <w:rsid w:val="004B0F21"/>
    <w:rsid w:val="004B231F"/>
    <w:rsid w:val="004B357F"/>
    <w:rsid w:val="004B40B2"/>
    <w:rsid w:val="004B4E8C"/>
    <w:rsid w:val="004C3136"/>
    <w:rsid w:val="004C57D0"/>
    <w:rsid w:val="004C5D71"/>
    <w:rsid w:val="004D1E3D"/>
    <w:rsid w:val="004D288D"/>
    <w:rsid w:val="004D4BA4"/>
    <w:rsid w:val="004D7D30"/>
    <w:rsid w:val="004E0F1E"/>
    <w:rsid w:val="004E781A"/>
    <w:rsid w:val="004F1A01"/>
    <w:rsid w:val="004F301C"/>
    <w:rsid w:val="004F522F"/>
    <w:rsid w:val="004F61E5"/>
    <w:rsid w:val="00501F5B"/>
    <w:rsid w:val="0050239E"/>
    <w:rsid w:val="00502B29"/>
    <w:rsid w:val="0050502A"/>
    <w:rsid w:val="00511F0E"/>
    <w:rsid w:val="005202F7"/>
    <w:rsid w:val="0053089B"/>
    <w:rsid w:val="005324FD"/>
    <w:rsid w:val="00533FD3"/>
    <w:rsid w:val="00536787"/>
    <w:rsid w:val="00537F09"/>
    <w:rsid w:val="00541D4B"/>
    <w:rsid w:val="0055128D"/>
    <w:rsid w:val="005515DB"/>
    <w:rsid w:val="0055182B"/>
    <w:rsid w:val="00554FF8"/>
    <w:rsid w:val="0056204D"/>
    <w:rsid w:val="00562440"/>
    <w:rsid w:val="005643BF"/>
    <w:rsid w:val="00564729"/>
    <w:rsid w:val="00567FA7"/>
    <w:rsid w:val="00571A2E"/>
    <w:rsid w:val="005754EE"/>
    <w:rsid w:val="00577268"/>
    <w:rsid w:val="00584ED6"/>
    <w:rsid w:val="005857B9"/>
    <w:rsid w:val="00590306"/>
    <w:rsid w:val="00591D9C"/>
    <w:rsid w:val="0059512E"/>
    <w:rsid w:val="0059571A"/>
    <w:rsid w:val="00597193"/>
    <w:rsid w:val="00597E2A"/>
    <w:rsid w:val="005A2323"/>
    <w:rsid w:val="005A337F"/>
    <w:rsid w:val="005B005F"/>
    <w:rsid w:val="005B2E37"/>
    <w:rsid w:val="005B47E2"/>
    <w:rsid w:val="005B4838"/>
    <w:rsid w:val="005C2DD0"/>
    <w:rsid w:val="005D05CC"/>
    <w:rsid w:val="005D54D3"/>
    <w:rsid w:val="005D71B6"/>
    <w:rsid w:val="005E183C"/>
    <w:rsid w:val="005E1F34"/>
    <w:rsid w:val="005F28F5"/>
    <w:rsid w:val="005F4833"/>
    <w:rsid w:val="005F6B97"/>
    <w:rsid w:val="005F74CC"/>
    <w:rsid w:val="00601E78"/>
    <w:rsid w:val="00602457"/>
    <w:rsid w:val="00602F3C"/>
    <w:rsid w:val="00603053"/>
    <w:rsid w:val="0060496A"/>
    <w:rsid w:val="00604AED"/>
    <w:rsid w:val="00605460"/>
    <w:rsid w:val="00610145"/>
    <w:rsid w:val="00614BBC"/>
    <w:rsid w:val="00615EAC"/>
    <w:rsid w:val="00620479"/>
    <w:rsid w:val="006204D3"/>
    <w:rsid w:val="006207AB"/>
    <w:rsid w:val="006233DE"/>
    <w:rsid w:val="00625D45"/>
    <w:rsid w:val="00625FC8"/>
    <w:rsid w:val="006321E3"/>
    <w:rsid w:val="006341CB"/>
    <w:rsid w:val="00637E81"/>
    <w:rsid w:val="0064011F"/>
    <w:rsid w:val="00643BAA"/>
    <w:rsid w:val="006503C9"/>
    <w:rsid w:val="00650A6C"/>
    <w:rsid w:val="00653AB0"/>
    <w:rsid w:val="0065690E"/>
    <w:rsid w:val="00670A94"/>
    <w:rsid w:val="00675714"/>
    <w:rsid w:val="006760C9"/>
    <w:rsid w:val="00677ACA"/>
    <w:rsid w:val="00681E29"/>
    <w:rsid w:val="0068268D"/>
    <w:rsid w:val="00682F26"/>
    <w:rsid w:val="00686E9B"/>
    <w:rsid w:val="00687738"/>
    <w:rsid w:val="00694DE5"/>
    <w:rsid w:val="00695798"/>
    <w:rsid w:val="006A1478"/>
    <w:rsid w:val="006A333C"/>
    <w:rsid w:val="006A4E1B"/>
    <w:rsid w:val="006A572B"/>
    <w:rsid w:val="006A6514"/>
    <w:rsid w:val="006A6AFE"/>
    <w:rsid w:val="006B0F08"/>
    <w:rsid w:val="006C14E4"/>
    <w:rsid w:val="006C1714"/>
    <w:rsid w:val="006C3DD2"/>
    <w:rsid w:val="006D2520"/>
    <w:rsid w:val="006D3C20"/>
    <w:rsid w:val="006D5301"/>
    <w:rsid w:val="006D6170"/>
    <w:rsid w:val="006D6218"/>
    <w:rsid w:val="006E103E"/>
    <w:rsid w:val="006F001E"/>
    <w:rsid w:val="006F19A6"/>
    <w:rsid w:val="006F47F4"/>
    <w:rsid w:val="007001CA"/>
    <w:rsid w:val="007073A0"/>
    <w:rsid w:val="00707C54"/>
    <w:rsid w:val="00710228"/>
    <w:rsid w:val="00713484"/>
    <w:rsid w:val="007141D6"/>
    <w:rsid w:val="00717EB6"/>
    <w:rsid w:val="00722AEA"/>
    <w:rsid w:val="00733279"/>
    <w:rsid w:val="00734094"/>
    <w:rsid w:val="00734EE6"/>
    <w:rsid w:val="00740834"/>
    <w:rsid w:val="00740A4E"/>
    <w:rsid w:val="00741B49"/>
    <w:rsid w:val="00743576"/>
    <w:rsid w:val="00743672"/>
    <w:rsid w:val="00743682"/>
    <w:rsid w:val="007460ED"/>
    <w:rsid w:val="0074628B"/>
    <w:rsid w:val="00746490"/>
    <w:rsid w:val="007539F1"/>
    <w:rsid w:val="00754B06"/>
    <w:rsid w:val="007603A8"/>
    <w:rsid w:val="00760A26"/>
    <w:rsid w:val="00764A62"/>
    <w:rsid w:val="00765FEE"/>
    <w:rsid w:val="00766E2A"/>
    <w:rsid w:val="00767395"/>
    <w:rsid w:val="007728FE"/>
    <w:rsid w:val="007737B9"/>
    <w:rsid w:val="0077512A"/>
    <w:rsid w:val="00775973"/>
    <w:rsid w:val="00776E29"/>
    <w:rsid w:val="00777689"/>
    <w:rsid w:val="007842BB"/>
    <w:rsid w:val="00786833"/>
    <w:rsid w:val="0079117C"/>
    <w:rsid w:val="0079278F"/>
    <w:rsid w:val="00794263"/>
    <w:rsid w:val="00795433"/>
    <w:rsid w:val="007A05C1"/>
    <w:rsid w:val="007A1B0F"/>
    <w:rsid w:val="007A33E0"/>
    <w:rsid w:val="007A404C"/>
    <w:rsid w:val="007A64DB"/>
    <w:rsid w:val="007B1F34"/>
    <w:rsid w:val="007B3549"/>
    <w:rsid w:val="007B490C"/>
    <w:rsid w:val="007B5A8D"/>
    <w:rsid w:val="007C35AA"/>
    <w:rsid w:val="007C7784"/>
    <w:rsid w:val="007D09F1"/>
    <w:rsid w:val="007D396C"/>
    <w:rsid w:val="007E1113"/>
    <w:rsid w:val="007E5E21"/>
    <w:rsid w:val="007E7ECC"/>
    <w:rsid w:val="007F2066"/>
    <w:rsid w:val="007F23BF"/>
    <w:rsid w:val="007F3759"/>
    <w:rsid w:val="007F4BBC"/>
    <w:rsid w:val="007F6AD3"/>
    <w:rsid w:val="00803CA4"/>
    <w:rsid w:val="00804EBC"/>
    <w:rsid w:val="00805E46"/>
    <w:rsid w:val="0080704D"/>
    <w:rsid w:val="00807535"/>
    <w:rsid w:val="00813B02"/>
    <w:rsid w:val="00816D74"/>
    <w:rsid w:val="00817887"/>
    <w:rsid w:val="00817D76"/>
    <w:rsid w:val="00822FC7"/>
    <w:rsid w:val="00825255"/>
    <w:rsid w:val="00825A6A"/>
    <w:rsid w:val="00826A35"/>
    <w:rsid w:val="00826A63"/>
    <w:rsid w:val="0082766D"/>
    <w:rsid w:val="0083477E"/>
    <w:rsid w:val="00837962"/>
    <w:rsid w:val="00837A78"/>
    <w:rsid w:val="00840A5A"/>
    <w:rsid w:val="00842778"/>
    <w:rsid w:val="008453B2"/>
    <w:rsid w:val="0085027E"/>
    <w:rsid w:val="00854D8B"/>
    <w:rsid w:val="008557A9"/>
    <w:rsid w:val="00857C8F"/>
    <w:rsid w:val="00857FD1"/>
    <w:rsid w:val="00867E9C"/>
    <w:rsid w:val="0087183F"/>
    <w:rsid w:val="00871880"/>
    <w:rsid w:val="00871924"/>
    <w:rsid w:val="0087323C"/>
    <w:rsid w:val="00873F92"/>
    <w:rsid w:val="008776D9"/>
    <w:rsid w:val="00877E48"/>
    <w:rsid w:val="00880B30"/>
    <w:rsid w:val="00882EDE"/>
    <w:rsid w:val="00886A8E"/>
    <w:rsid w:val="00886BB2"/>
    <w:rsid w:val="0088796C"/>
    <w:rsid w:val="008913E4"/>
    <w:rsid w:val="00892936"/>
    <w:rsid w:val="00892C3B"/>
    <w:rsid w:val="008968D2"/>
    <w:rsid w:val="00897A60"/>
    <w:rsid w:val="008A22CD"/>
    <w:rsid w:val="008A3E3A"/>
    <w:rsid w:val="008A4FA9"/>
    <w:rsid w:val="008A5D03"/>
    <w:rsid w:val="008A79B7"/>
    <w:rsid w:val="008B0596"/>
    <w:rsid w:val="008B4138"/>
    <w:rsid w:val="008C15D9"/>
    <w:rsid w:val="008C3353"/>
    <w:rsid w:val="008D50D1"/>
    <w:rsid w:val="008E000F"/>
    <w:rsid w:val="008E1ECD"/>
    <w:rsid w:val="008E350E"/>
    <w:rsid w:val="008F1895"/>
    <w:rsid w:val="008F2CB8"/>
    <w:rsid w:val="00900BB5"/>
    <w:rsid w:val="00910F98"/>
    <w:rsid w:val="0091115B"/>
    <w:rsid w:val="00931059"/>
    <w:rsid w:val="009335E6"/>
    <w:rsid w:val="00933BDC"/>
    <w:rsid w:val="0093551D"/>
    <w:rsid w:val="00936709"/>
    <w:rsid w:val="00936D67"/>
    <w:rsid w:val="009379EA"/>
    <w:rsid w:val="009413C4"/>
    <w:rsid w:val="00943424"/>
    <w:rsid w:val="00943934"/>
    <w:rsid w:val="009503C3"/>
    <w:rsid w:val="00950A43"/>
    <w:rsid w:val="00953241"/>
    <w:rsid w:val="00953534"/>
    <w:rsid w:val="00956EBA"/>
    <w:rsid w:val="00961756"/>
    <w:rsid w:val="00961D1A"/>
    <w:rsid w:val="009630A2"/>
    <w:rsid w:val="009632C2"/>
    <w:rsid w:val="00965E57"/>
    <w:rsid w:val="00971EAC"/>
    <w:rsid w:val="00972840"/>
    <w:rsid w:val="00973C4D"/>
    <w:rsid w:val="00975DF1"/>
    <w:rsid w:val="00981A18"/>
    <w:rsid w:val="009875C5"/>
    <w:rsid w:val="009936BA"/>
    <w:rsid w:val="009950AA"/>
    <w:rsid w:val="0099735A"/>
    <w:rsid w:val="009A3FAD"/>
    <w:rsid w:val="009A5FF6"/>
    <w:rsid w:val="009A68D7"/>
    <w:rsid w:val="009A74D2"/>
    <w:rsid w:val="009B00B7"/>
    <w:rsid w:val="009B0693"/>
    <w:rsid w:val="009B1DBD"/>
    <w:rsid w:val="009B7317"/>
    <w:rsid w:val="009C0344"/>
    <w:rsid w:val="009C03ED"/>
    <w:rsid w:val="009C0431"/>
    <w:rsid w:val="009C0F81"/>
    <w:rsid w:val="009C572A"/>
    <w:rsid w:val="009D3AAC"/>
    <w:rsid w:val="009D5C69"/>
    <w:rsid w:val="009D7775"/>
    <w:rsid w:val="009E1711"/>
    <w:rsid w:val="009E1AB9"/>
    <w:rsid w:val="009E2A7A"/>
    <w:rsid w:val="009E2C53"/>
    <w:rsid w:val="009E30E8"/>
    <w:rsid w:val="009E6813"/>
    <w:rsid w:val="009E788D"/>
    <w:rsid w:val="00A03FD8"/>
    <w:rsid w:val="00A05F32"/>
    <w:rsid w:val="00A11D0E"/>
    <w:rsid w:val="00A123DE"/>
    <w:rsid w:val="00A17A59"/>
    <w:rsid w:val="00A2000C"/>
    <w:rsid w:val="00A23EA2"/>
    <w:rsid w:val="00A25A2C"/>
    <w:rsid w:val="00A3089C"/>
    <w:rsid w:val="00A30D04"/>
    <w:rsid w:val="00A3127B"/>
    <w:rsid w:val="00A31D1A"/>
    <w:rsid w:val="00A32159"/>
    <w:rsid w:val="00A32E5E"/>
    <w:rsid w:val="00A33253"/>
    <w:rsid w:val="00A37C47"/>
    <w:rsid w:val="00A40254"/>
    <w:rsid w:val="00A409FF"/>
    <w:rsid w:val="00A42C8D"/>
    <w:rsid w:val="00A563F6"/>
    <w:rsid w:val="00A57AF0"/>
    <w:rsid w:val="00A638D4"/>
    <w:rsid w:val="00A65FF1"/>
    <w:rsid w:val="00A6765C"/>
    <w:rsid w:val="00A70984"/>
    <w:rsid w:val="00A74D64"/>
    <w:rsid w:val="00A75768"/>
    <w:rsid w:val="00A75A82"/>
    <w:rsid w:val="00A75FE2"/>
    <w:rsid w:val="00A776BC"/>
    <w:rsid w:val="00A8007A"/>
    <w:rsid w:val="00A81108"/>
    <w:rsid w:val="00A847B7"/>
    <w:rsid w:val="00A85568"/>
    <w:rsid w:val="00A8565D"/>
    <w:rsid w:val="00A86519"/>
    <w:rsid w:val="00A86891"/>
    <w:rsid w:val="00A87EA3"/>
    <w:rsid w:val="00A967E0"/>
    <w:rsid w:val="00A97B92"/>
    <w:rsid w:val="00AA0CC3"/>
    <w:rsid w:val="00AA20DF"/>
    <w:rsid w:val="00AA2FFC"/>
    <w:rsid w:val="00AA450C"/>
    <w:rsid w:val="00AA6530"/>
    <w:rsid w:val="00AB1278"/>
    <w:rsid w:val="00AB3419"/>
    <w:rsid w:val="00AB3990"/>
    <w:rsid w:val="00AB5D9A"/>
    <w:rsid w:val="00AC4B9D"/>
    <w:rsid w:val="00AC6B9A"/>
    <w:rsid w:val="00AC7B3D"/>
    <w:rsid w:val="00AD2931"/>
    <w:rsid w:val="00AD4679"/>
    <w:rsid w:val="00AD6DF1"/>
    <w:rsid w:val="00AE0650"/>
    <w:rsid w:val="00AE26E9"/>
    <w:rsid w:val="00AE6871"/>
    <w:rsid w:val="00AE7C50"/>
    <w:rsid w:val="00AF7849"/>
    <w:rsid w:val="00B00482"/>
    <w:rsid w:val="00B04B95"/>
    <w:rsid w:val="00B04C82"/>
    <w:rsid w:val="00B05832"/>
    <w:rsid w:val="00B11443"/>
    <w:rsid w:val="00B116E6"/>
    <w:rsid w:val="00B12CC1"/>
    <w:rsid w:val="00B12D59"/>
    <w:rsid w:val="00B16C7A"/>
    <w:rsid w:val="00B21E50"/>
    <w:rsid w:val="00B22F59"/>
    <w:rsid w:val="00B24DD0"/>
    <w:rsid w:val="00B32D72"/>
    <w:rsid w:val="00B32E7D"/>
    <w:rsid w:val="00B345DB"/>
    <w:rsid w:val="00B347E8"/>
    <w:rsid w:val="00B34A66"/>
    <w:rsid w:val="00B4122C"/>
    <w:rsid w:val="00B44843"/>
    <w:rsid w:val="00B55C17"/>
    <w:rsid w:val="00B573C3"/>
    <w:rsid w:val="00B626D7"/>
    <w:rsid w:val="00B64452"/>
    <w:rsid w:val="00B807F2"/>
    <w:rsid w:val="00B83ECC"/>
    <w:rsid w:val="00B84B64"/>
    <w:rsid w:val="00B84F2E"/>
    <w:rsid w:val="00B900EF"/>
    <w:rsid w:val="00B919FF"/>
    <w:rsid w:val="00B932E2"/>
    <w:rsid w:val="00BA3750"/>
    <w:rsid w:val="00BA3DA0"/>
    <w:rsid w:val="00BA6A27"/>
    <w:rsid w:val="00BB1EEB"/>
    <w:rsid w:val="00BB63AB"/>
    <w:rsid w:val="00BC3A51"/>
    <w:rsid w:val="00BC3D29"/>
    <w:rsid w:val="00BC3D8C"/>
    <w:rsid w:val="00BC5AB7"/>
    <w:rsid w:val="00BC6367"/>
    <w:rsid w:val="00BD26E7"/>
    <w:rsid w:val="00BD2E0A"/>
    <w:rsid w:val="00BD4EFE"/>
    <w:rsid w:val="00BD68A8"/>
    <w:rsid w:val="00BE02FD"/>
    <w:rsid w:val="00BE42F8"/>
    <w:rsid w:val="00BE4BAD"/>
    <w:rsid w:val="00BE4EA8"/>
    <w:rsid w:val="00BE6135"/>
    <w:rsid w:val="00BF0C82"/>
    <w:rsid w:val="00BF0E3D"/>
    <w:rsid w:val="00BF0FAE"/>
    <w:rsid w:val="00BF15A0"/>
    <w:rsid w:val="00BF1F2F"/>
    <w:rsid w:val="00BF2DCA"/>
    <w:rsid w:val="00BF311B"/>
    <w:rsid w:val="00BF314E"/>
    <w:rsid w:val="00C0346E"/>
    <w:rsid w:val="00C035EA"/>
    <w:rsid w:val="00C04908"/>
    <w:rsid w:val="00C0527C"/>
    <w:rsid w:val="00C11FAC"/>
    <w:rsid w:val="00C13C62"/>
    <w:rsid w:val="00C14DCF"/>
    <w:rsid w:val="00C15D11"/>
    <w:rsid w:val="00C21B36"/>
    <w:rsid w:val="00C2337D"/>
    <w:rsid w:val="00C239FE"/>
    <w:rsid w:val="00C27E0E"/>
    <w:rsid w:val="00C30191"/>
    <w:rsid w:val="00C302BB"/>
    <w:rsid w:val="00C35105"/>
    <w:rsid w:val="00C36105"/>
    <w:rsid w:val="00C376D3"/>
    <w:rsid w:val="00C4137A"/>
    <w:rsid w:val="00C42775"/>
    <w:rsid w:val="00C448C8"/>
    <w:rsid w:val="00C462A7"/>
    <w:rsid w:val="00C50AB9"/>
    <w:rsid w:val="00C53746"/>
    <w:rsid w:val="00C5408D"/>
    <w:rsid w:val="00C60244"/>
    <w:rsid w:val="00C62DA6"/>
    <w:rsid w:val="00C6581A"/>
    <w:rsid w:val="00C65E2E"/>
    <w:rsid w:val="00C66FBF"/>
    <w:rsid w:val="00C728BE"/>
    <w:rsid w:val="00C847A1"/>
    <w:rsid w:val="00C86CFC"/>
    <w:rsid w:val="00C87555"/>
    <w:rsid w:val="00C92024"/>
    <w:rsid w:val="00C9585E"/>
    <w:rsid w:val="00C962EE"/>
    <w:rsid w:val="00CA29FD"/>
    <w:rsid w:val="00CA53ED"/>
    <w:rsid w:val="00CA58FB"/>
    <w:rsid w:val="00CA6A11"/>
    <w:rsid w:val="00CB33C6"/>
    <w:rsid w:val="00CC21C3"/>
    <w:rsid w:val="00CC2FF9"/>
    <w:rsid w:val="00CC4AE2"/>
    <w:rsid w:val="00CD3FEC"/>
    <w:rsid w:val="00CD4D39"/>
    <w:rsid w:val="00CD5F2A"/>
    <w:rsid w:val="00CD7E2D"/>
    <w:rsid w:val="00CE0156"/>
    <w:rsid w:val="00CE0822"/>
    <w:rsid w:val="00CE2F4F"/>
    <w:rsid w:val="00CF2DE2"/>
    <w:rsid w:val="00CF6890"/>
    <w:rsid w:val="00D00098"/>
    <w:rsid w:val="00D01421"/>
    <w:rsid w:val="00D0717C"/>
    <w:rsid w:val="00D075A2"/>
    <w:rsid w:val="00D24217"/>
    <w:rsid w:val="00D26315"/>
    <w:rsid w:val="00D27DBF"/>
    <w:rsid w:val="00D41582"/>
    <w:rsid w:val="00D41912"/>
    <w:rsid w:val="00D42312"/>
    <w:rsid w:val="00D44B84"/>
    <w:rsid w:val="00D464F6"/>
    <w:rsid w:val="00D46A71"/>
    <w:rsid w:val="00D51BB7"/>
    <w:rsid w:val="00D56715"/>
    <w:rsid w:val="00D63A62"/>
    <w:rsid w:val="00D66ED1"/>
    <w:rsid w:val="00D74E5E"/>
    <w:rsid w:val="00D8090A"/>
    <w:rsid w:val="00D86AAF"/>
    <w:rsid w:val="00D93396"/>
    <w:rsid w:val="00DA243B"/>
    <w:rsid w:val="00DA380B"/>
    <w:rsid w:val="00DA5B23"/>
    <w:rsid w:val="00DA7728"/>
    <w:rsid w:val="00DB17DD"/>
    <w:rsid w:val="00DB5E26"/>
    <w:rsid w:val="00DC3AA3"/>
    <w:rsid w:val="00DC3BAC"/>
    <w:rsid w:val="00DC4C83"/>
    <w:rsid w:val="00DC5DC7"/>
    <w:rsid w:val="00DC605F"/>
    <w:rsid w:val="00DC7265"/>
    <w:rsid w:val="00DD1C3A"/>
    <w:rsid w:val="00DD3489"/>
    <w:rsid w:val="00DE572B"/>
    <w:rsid w:val="00DF2A1C"/>
    <w:rsid w:val="00DF7EBB"/>
    <w:rsid w:val="00E00447"/>
    <w:rsid w:val="00E0077D"/>
    <w:rsid w:val="00E01ECD"/>
    <w:rsid w:val="00E028A7"/>
    <w:rsid w:val="00E02F1E"/>
    <w:rsid w:val="00E04F0D"/>
    <w:rsid w:val="00E068E7"/>
    <w:rsid w:val="00E11087"/>
    <w:rsid w:val="00E15D82"/>
    <w:rsid w:val="00E21A32"/>
    <w:rsid w:val="00E23264"/>
    <w:rsid w:val="00E24784"/>
    <w:rsid w:val="00E25825"/>
    <w:rsid w:val="00E300E3"/>
    <w:rsid w:val="00E373D1"/>
    <w:rsid w:val="00E409F4"/>
    <w:rsid w:val="00E40E02"/>
    <w:rsid w:val="00E419B1"/>
    <w:rsid w:val="00E45845"/>
    <w:rsid w:val="00E45D16"/>
    <w:rsid w:val="00E523C7"/>
    <w:rsid w:val="00E57CB6"/>
    <w:rsid w:val="00E62423"/>
    <w:rsid w:val="00E748A4"/>
    <w:rsid w:val="00E74B9B"/>
    <w:rsid w:val="00E7749D"/>
    <w:rsid w:val="00E774DE"/>
    <w:rsid w:val="00E77E7B"/>
    <w:rsid w:val="00E812B8"/>
    <w:rsid w:val="00E8410D"/>
    <w:rsid w:val="00E8534E"/>
    <w:rsid w:val="00E858AC"/>
    <w:rsid w:val="00E93489"/>
    <w:rsid w:val="00E961CF"/>
    <w:rsid w:val="00EA02ED"/>
    <w:rsid w:val="00EA0BF0"/>
    <w:rsid w:val="00EA299D"/>
    <w:rsid w:val="00EA3832"/>
    <w:rsid w:val="00EA4870"/>
    <w:rsid w:val="00EA4F46"/>
    <w:rsid w:val="00EA685B"/>
    <w:rsid w:val="00EA7086"/>
    <w:rsid w:val="00EA7564"/>
    <w:rsid w:val="00EB4881"/>
    <w:rsid w:val="00EB5B9B"/>
    <w:rsid w:val="00EB702F"/>
    <w:rsid w:val="00EB71D0"/>
    <w:rsid w:val="00EC2BB2"/>
    <w:rsid w:val="00ED160F"/>
    <w:rsid w:val="00ED3491"/>
    <w:rsid w:val="00EE1C12"/>
    <w:rsid w:val="00EE4C47"/>
    <w:rsid w:val="00EE5E02"/>
    <w:rsid w:val="00EF5D99"/>
    <w:rsid w:val="00EF6489"/>
    <w:rsid w:val="00EF74DA"/>
    <w:rsid w:val="00F01FC4"/>
    <w:rsid w:val="00F11AE4"/>
    <w:rsid w:val="00F1222F"/>
    <w:rsid w:val="00F127C8"/>
    <w:rsid w:val="00F20944"/>
    <w:rsid w:val="00F21C5D"/>
    <w:rsid w:val="00F21D4D"/>
    <w:rsid w:val="00F26AA0"/>
    <w:rsid w:val="00F271F5"/>
    <w:rsid w:val="00F331CB"/>
    <w:rsid w:val="00F37238"/>
    <w:rsid w:val="00F40BFF"/>
    <w:rsid w:val="00F41EAA"/>
    <w:rsid w:val="00F41F14"/>
    <w:rsid w:val="00F42457"/>
    <w:rsid w:val="00F4408D"/>
    <w:rsid w:val="00F448A6"/>
    <w:rsid w:val="00F4491F"/>
    <w:rsid w:val="00F5392A"/>
    <w:rsid w:val="00F54873"/>
    <w:rsid w:val="00F57D51"/>
    <w:rsid w:val="00F62BC6"/>
    <w:rsid w:val="00F66EB0"/>
    <w:rsid w:val="00F700F6"/>
    <w:rsid w:val="00F71E5E"/>
    <w:rsid w:val="00F8141B"/>
    <w:rsid w:val="00F87D8A"/>
    <w:rsid w:val="00F90BB7"/>
    <w:rsid w:val="00F9170A"/>
    <w:rsid w:val="00F95213"/>
    <w:rsid w:val="00F96027"/>
    <w:rsid w:val="00F97149"/>
    <w:rsid w:val="00FA04B2"/>
    <w:rsid w:val="00FA2722"/>
    <w:rsid w:val="00FA52CB"/>
    <w:rsid w:val="00FA64F8"/>
    <w:rsid w:val="00FA73E7"/>
    <w:rsid w:val="00FB0213"/>
    <w:rsid w:val="00FB0D32"/>
    <w:rsid w:val="00FB0FFE"/>
    <w:rsid w:val="00FB2D76"/>
    <w:rsid w:val="00FB56F4"/>
    <w:rsid w:val="00FC3D65"/>
    <w:rsid w:val="00FC5257"/>
    <w:rsid w:val="00FD49D0"/>
    <w:rsid w:val="00FD5F98"/>
    <w:rsid w:val="00FD69AE"/>
    <w:rsid w:val="00FE2C1C"/>
    <w:rsid w:val="00FE4D78"/>
    <w:rsid w:val="00FE5485"/>
    <w:rsid w:val="00FE5800"/>
    <w:rsid w:val="00FF2F98"/>
    <w:rsid w:val="00FF3EF7"/>
    <w:rsid w:val="00FF4AE3"/>
    <w:rsid w:val="00FF5AF0"/>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F89F4"/>
  <w15:docId w15:val="{F050F7B4-118C-4F05-9939-DC183AE6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B932E2"/>
    <w:rPr>
      <w:sz w:val="20"/>
    </w:rPr>
  </w:style>
  <w:style w:type="character" w:styleId="FootnoteReference">
    <w:name w:val="footnote reference"/>
    <w:aliases w:val="Style 12,(NECG) Footnote Reference,Style 13,Appel note de bas de p,Style 124,fr,o,Style 3,FR,Style 17,Footnote Reference/,Style 6,Style 20,Style 9,Style 15,Style 7"/>
    <w:uiPriority w:val="99"/>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 w:type="paragraph" w:styleId="ListParagraph">
    <w:name w:val="List Paragraph"/>
    <w:basedOn w:val="Normal"/>
    <w:uiPriority w:val="34"/>
    <w:qFormat/>
    <w:rsid w:val="00CD3FEC"/>
    <w:pPr>
      <w:ind w:left="720"/>
      <w:contextualSpacing/>
    </w:p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AB5D9A"/>
    <w:rPr>
      <w:color w:val="0000FF"/>
    </w:rPr>
  </w:style>
  <w:style w:type="paragraph" w:customStyle="1" w:styleId="p3">
    <w:name w:val="p3"/>
    <w:basedOn w:val="Normal"/>
    <w:rsid w:val="00AB5D9A"/>
    <w:pPr>
      <w:widowControl w:val="0"/>
      <w:tabs>
        <w:tab w:val="left" w:pos="204"/>
      </w:tabs>
      <w:spacing w:line="360" w:lineRule="auto"/>
    </w:pPr>
    <w:rPr>
      <w:rFonts w:eastAsiaTheme="minorHAnsi"/>
      <w:color w:val="auto"/>
      <w:kern w:val="28"/>
      <w:sz w:val="26"/>
      <w:szCs w:val="24"/>
    </w:rPr>
  </w:style>
  <w:style w:type="character" w:styleId="Hyperlink">
    <w:name w:val="Hyperlink"/>
    <w:basedOn w:val="DefaultParagraphFont"/>
    <w:uiPriority w:val="99"/>
    <w:unhideWhenUsed/>
    <w:rsid w:val="00AB5D9A"/>
    <w:rPr>
      <w:color w:val="0000FF" w:themeColor="hyperlink"/>
      <w:u w:val="single"/>
    </w:rPr>
  </w:style>
  <w:style w:type="paragraph" w:customStyle="1" w:styleId="p14">
    <w:name w:val="p14"/>
    <w:basedOn w:val="Normal"/>
    <w:rsid w:val="00AB5D9A"/>
    <w:pPr>
      <w:widowControl w:val="0"/>
      <w:tabs>
        <w:tab w:val="left" w:pos="204"/>
      </w:tabs>
      <w:spacing w:line="360" w:lineRule="auto"/>
    </w:pPr>
    <w:rPr>
      <w:rFonts w:eastAsiaTheme="minorHAnsi"/>
      <w:color w:val="auto"/>
      <w:kern w:val="28"/>
      <w:sz w:val="26"/>
      <w:szCs w:val="24"/>
    </w:rPr>
  </w:style>
  <w:style w:type="paragraph" w:customStyle="1" w:styleId="ParaNum">
    <w:name w:val="ParaNum"/>
    <w:basedOn w:val="Normal"/>
    <w:link w:val="ParaNumCharChar1"/>
    <w:rsid w:val="00AB5D9A"/>
    <w:pPr>
      <w:widowControl w:val="0"/>
      <w:numPr>
        <w:numId w:val="17"/>
      </w:numPr>
      <w:spacing w:after="120"/>
    </w:pPr>
    <w:rPr>
      <w:rFonts w:eastAsia="MS Mincho"/>
      <w:color w:val="auto"/>
      <w:kern w:val="28"/>
      <w:sz w:val="22"/>
      <w:szCs w:val="26"/>
    </w:rPr>
  </w:style>
  <w:style w:type="character" w:customStyle="1" w:styleId="ParaNumCharChar1">
    <w:name w:val="ParaNum Char Char1"/>
    <w:link w:val="ParaNum"/>
    <w:locked/>
    <w:rsid w:val="00AB5D9A"/>
    <w:rPr>
      <w:rFonts w:eastAsia="MS Mincho"/>
      <w:kern w:val="28"/>
      <w:sz w:val="22"/>
      <w:szCs w:val="26"/>
    </w:rPr>
  </w:style>
  <w:style w:type="paragraph" w:styleId="EndnoteText">
    <w:name w:val="endnote text"/>
    <w:basedOn w:val="Normal"/>
    <w:link w:val="EndnoteTextChar"/>
    <w:rsid w:val="009379EA"/>
    <w:rPr>
      <w:sz w:val="20"/>
    </w:rPr>
  </w:style>
  <w:style w:type="character" w:customStyle="1" w:styleId="EndnoteTextChar">
    <w:name w:val="Endnote Text Char"/>
    <w:basedOn w:val="DefaultParagraphFont"/>
    <w:link w:val="EndnoteText"/>
    <w:rsid w:val="009379EA"/>
    <w:rPr>
      <w:color w:val="0000FF"/>
    </w:rPr>
  </w:style>
  <w:style w:type="character" w:styleId="EndnoteReference">
    <w:name w:val="endnote reference"/>
    <w:basedOn w:val="DefaultParagraphFont"/>
    <w:rsid w:val="009379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3863">
      <w:bodyDiv w:val="1"/>
      <w:marLeft w:val="0"/>
      <w:marRight w:val="0"/>
      <w:marTop w:val="0"/>
      <w:marBottom w:val="0"/>
      <w:divBdr>
        <w:top w:val="none" w:sz="0" w:space="0" w:color="auto"/>
        <w:left w:val="none" w:sz="0" w:space="0" w:color="auto"/>
        <w:bottom w:val="none" w:sz="0" w:space="0" w:color="auto"/>
        <w:right w:val="none" w:sz="0" w:space="0" w:color="auto"/>
      </w:divBdr>
    </w:div>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194276076">
      <w:bodyDiv w:val="1"/>
      <w:marLeft w:val="0"/>
      <w:marRight w:val="0"/>
      <w:marTop w:val="0"/>
      <w:marBottom w:val="0"/>
      <w:divBdr>
        <w:top w:val="none" w:sz="0" w:space="0" w:color="auto"/>
        <w:left w:val="none" w:sz="0" w:space="0" w:color="auto"/>
        <w:bottom w:val="none" w:sz="0" w:space="0" w:color="auto"/>
        <w:right w:val="none" w:sz="0" w:space="0" w:color="auto"/>
      </w:divBdr>
    </w:div>
    <w:div w:id="275989466">
      <w:bodyDiv w:val="1"/>
      <w:marLeft w:val="0"/>
      <w:marRight w:val="0"/>
      <w:marTop w:val="0"/>
      <w:marBottom w:val="0"/>
      <w:divBdr>
        <w:top w:val="none" w:sz="0" w:space="0" w:color="auto"/>
        <w:left w:val="none" w:sz="0" w:space="0" w:color="auto"/>
        <w:bottom w:val="none" w:sz="0" w:space="0" w:color="auto"/>
        <w:right w:val="none" w:sz="0" w:space="0" w:color="auto"/>
      </w:divBdr>
    </w:div>
    <w:div w:id="298919556">
      <w:bodyDiv w:val="1"/>
      <w:marLeft w:val="0"/>
      <w:marRight w:val="0"/>
      <w:marTop w:val="0"/>
      <w:marBottom w:val="0"/>
      <w:divBdr>
        <w:top w:val="none" w:sz="0" w:space="0" w:color="auto"/>
        <w:left w:val="none" w:sz="0" w:space="0" w:color="auto"/>
        <w:bottom w:val="none" w:sz="0" w:space="0" w:color="auto"/>
        <w:right w:val="none" w:sz="0" w:space="0" w:color="auto"/>
      </w:divBdr>
    </w:div>
    <w:div w:id="332033075">
      <w:bodyDiv w:val="1"/>
      <w:marLeft w:val="0"/>
      <w:marRight w:val="0"/>
      <w:marTop w:val="0"/>
      <w:marBottom w:val="0"/>
      <w:divBdr>
        <w:top w:val="none" w:sz="0" w:space="0" w:color="auto"/>
        <w:left w:val="none" w:sz="0" w:space="0" w:color="auto"/>
        <w:bottom w:val="none" w:sz="0" w:space="0" w:color="auto"/>
        <w:right w:val="none" w:sz="0" w:space="0" w:color="auto"/>
      </w:divBdr>
    </w:div>
    <w:div w:id="523715617">
      <w:bodyDiv w:val="1"/>
      <w:marLeft w:val="0"/>
      <w:marRight w:val="0"/>
      <w:marTop w:val="0"/>
      <w:marBottom w:val="0"/>
      <w:divBdr>
        <w:top w:val="none" w:sz="0" w:space="0" w:color="auto"/>
        <w:left w:val="none" w:sz="0" w:space="0" w:color="auto"/>
        <w:bottom w:val="none" w:sz="0" w:space="0" w:color="auto"/>
        <w:right w:val="none" w:sz="0" w:space="0" w:color="auto"/>
      </w:divBdr>
    </w:div>
    <w:div w:id="541214351">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14639527">
      <w:bodyDiv w:val="1"/>
      <w:marLeft w:val="0"/>
      <w:marRight w:val="0"/>
      <w:marTop w:val="0"/>
      <w:marBottom w:val="0"/>
      <w:divBdr>
        <w:top w:val="none" w:sz="0" w:space="0" w:color="auto"/>
        <w:left w:val="none" w:sz="0" w:space="0" w:color="auto"/>
        <w:bottom w:val="none" w:sz="0" w:space="0" w:color="auto"/>
        <w:right w:val="none" w:sz="0" w:space="0" w:color="auto"/>
      </w:divBdr>
    </w:div>
    <w:div w:id="830872240">
      <w:bodyDiv w:val="1"/>
      <w:marLeft w:val="0"/>
      <w:marRight w:val="0"/>
      <w:marTop w:val="0"/>
      <w:marBottom w:val="0"/>
      <w:divBdr>
        <w:top w:val="none" w:sz="0" w:space="0" w:color="auto"/>
        <w:left w:val="none" w:sz="0" w:space="0" w:color="auto"/>
        <w:bottom w:val="none" w:sz="0" w:space="0" w:color="auto"/>
        <w:right w:val="none" w:sz="0" w:space="0" w:color="auto"/>
      </w:divBdr>
    </w:div>
    <w:div w:id="835849261">
      <w:bodyDiv w:val="1"/>
      <w:marLeft w:val="0"/>
      <w:marRight w:val="0"/>
      <w:marTop w:val="0"/>
      <w:marBottom w:val="0"/>
      <w:divBdr>
        <w:top w:val="none" w:sz="0" w:space="0" w:color="auto"/>
        <w:left w:val="none" w:sz="0" w:space="0" w:color="auto"/>
        <w:bottom w:val="none" w:sz="0" w:space="0" w:color="auto"/>
        <w:right w:val="none" w:sz="0" w:space="0" w:color="auto"/>
      </w:divBdr>
    </w:div>
    <w:div w:id="862474400">
      <w:bodyDiv w:val="1"/>
      <w:marLeft w:val="0"/>
      <w:marRight w:val="0"/>
      <w:marTop w:val="0"/>
      <w:marBottom w:val="0"/>
      <w:divBdr>
        <w:top w:val="none" w:sz="0" w:space="0" w:color="auto"/>
        <w:left w:val="none" w:sz="0" w:space="0" w:color="auto"/>
        <w:bottom w:val="none" w:sz="0" w:space="0" w:color="auto"/>
        <w:right w:val="none" w:sz="0" w:space="0" w:color="auto"/>
      </w:divBdr>
      <w:divsChild>
        <w:div w:id="1299385590">
          <w:marLeft w:val="0"/>
          <w:marRight w:val="0"/>
          <w:marTop w:val="0"/>
          <w:marBottom w:val="0"/>
          <w:divBdr>
            <w:top w:val="none" w:sz="0" w:space="0" w:color="auto"/>
            <w:left w:val="none" w:sz="0" w:space="0" w:color="auto"/>
            <w:bottom w:val="none" w:sz="0" w:space="0" w:color="auto"/>
            <w:right w:val="none" w:sz="0" w:space="0" w:color="auto"/>
          </w:divBdr>
          <w:divsChild>
            <w:div w:id="492837174">
              <w:marLeft w:val="0"/>
              <w:marRight w:val="0"/>
              <w:marTop w:val="0"/>
              <w:marBottom w:val="0"/>
              <w:divBdr>
                <w:top w:val="none" w:sz="0" w:space="0" w:color="auto"/>
                <w:left w:val="none" w:sz="0" w:space="0" w:color="auto"/>
                <w:bottom w:val="none" w:sz="0" w:space="0" w:color="auto"/>
                <w:right w:val="none" w:sz="0" w:space="0" w:color="auto"/>
              </w:divBdr>
              <w:divsChild>
                <w:div w:id="1725182089">
                  <w:marLeft w:val="0"/>
                  <w:marRight w:val="0"/>
                  <w:marTop w:val="0"/>
                  <w:marBottom w:val="0"/>
                  <w:divBdr>
                    <w:top w:val="none" w:sz="0" w:space="0" w:color="auto"/>
                    <w:left w:val="none" w:sz="0" w:space="0" w:color="auto"/>
                    <w:bottom w:val="none" w:sz="0" w:space="0" w:color="auto"/>
                    <w:right w:val="none" w:sz="0" w:space="0" w:color="auto"/>
                  </w:divBdr>
                  <w:divsChild>
                    <w:div w:id="1908419309">
                      <w:marLeft w:val="0"/>
                      <w:marRight w:val="0"/>
                      <w:marTop w:val="0"/>
                      <w:marBottom w:val="0"/>
                      <w:divBdr>
                        <w:top w:val="none" w:sz="0" w:space="0" w:color="auto"/>
                        <w:left w:val="none" w:sz="0" w:space="0" w:color="auto"/>
                        <w:bottom w:val="none" w:sz="0" w:space="0" w:color="auto"/>
                        <w:right w:val="none" w:sz="0" w:space="0" w:color="auto"/>
                      </w:divBdr>
                      <w:divsChild>
                        <w:div w:id="346297345">
                          <w:marLeft w:val="0"/>
                          <w:marRight w:val="0"/>
                          <w:marTop w:val="0"/>
                          <w:marBottom w:val="0"/>
                          <w:divBdr>
                            <w:top w:val="none" w:sz="0" w:space="0" w:color="auto"/>
                            <w:left w:val="none" w:sz="0" w:space="0" w:color="auto"/>
                            <w:bottom w:val="none" w:sz="0" w:space="0" w:color="auto"/>
                            <w:right w:val="none" w:sz="0" w:space="0" w:color="auto"/>
                          </w:divBdr>
                          <w:divsChild>
                            <w:div w:id="777918630">
                              <w:marLeft w:val="0"/>
                              <w:marRight w:val="0"/>
                              <w:marTop w:val="0"/>
                              <w:marBottom w:val="0"/>
                              <w:divBdr>
                                <w:top w:val="none" w:sz="0" w:space="0" w:color="auto"/>
                                <w:left w:val="none" w:sz="0" w:space="0" w:color="auto"/>
                                <w:bottom w:val="none" w:sz="0" w:space="0" w:color="auto"/>
                                <w:right w:val="none" w:sz="0" w:space="0" w:color="auto"/>
                              </w:divBdr>
                              <w:divsChild>
                                <w:div w:id="854882253">
                                  <w:marLeft w:val="0"/>
                                  <w:marRight w:val="0"/>
                                  <w:marTop w:val="0"/>
                                  <w:marBottom w:val="0"/>
                                  <w:divBdr>
                                    <w:top w:val="none" w:sz="0" w:space="0" w:color="auto"/>
                                    <w:left w:val="none" w:sz="0" w:space="0" w:color="auto"/>
                                    <w:bottom w:val="none" w:sz="0" w:space="0" w:color="auto"/>
                                    <w:right w:val="none" w:sz="0" w:space="0" w:color="auto"/>
                                  </w:divBdr>
                                  <w:divsChild>
                                    <w:div w:id="302194645">
                                      <w:marLeft w:val="0"/>
                                      <w:marRight w:val="0"/>
                                      <w:marTop w:val="0"/>
                                      <w:marBottom w:val="0"/>
                                      <w:divBdr>
                                        <w:top w:val="none" w:sz="0" w:space="0" w:color="auto"/>
                                        <w:left w:val="none" w:sz="0" w:space="0" w:color="auto"/>
                                        <w:bottom w:val="none" w:sz="0" w:space="0" w:color="auto"/>
                                        <w:right w:val="none" w:sz="0" w:space="0" w:color="auto"/>
                                      </w:divBdr>
                                      <w:divsChild>
                                        <w:div w:id="96369046">
                                          <w:marLeft w:val="0"/>
                                          <w:marRight w:val="0"/>
                                          <w:marTop w:val="0"/>
                                          <w:marBottom w:val="0"/>
                                          <w:divBdr>
                                            <w:top w:val="none" w:sz="0" w:space="0" w:color="auto"/>
                                            <w:left w:val="none" w:sz="0" w:space="0" w:color="auto"/>
                                            <w:bottom w:val="none" w:sz="0" w:space="0" w:color="auto"/>
                                            <w:right w:val="none" w:sz="0" w:space="0" w:color="auto"/>
                                          </w:divBdr>
                                          <w:divsChild>
                                            <w:div w:id="156579544">
                                              <w:marLeft w:val="0"/>
                                              <w:marRight w:val="0"/>
                                              <w:marTop w:val="0"/>
                                              <w:marBottom w:val="0"/>
                                              <w:divBdr>
                                                <w:top w:val="single" w:sz="12" w:space="2" w:color="FFFFCC"/>
                                                <w:left w:val="single" w:sz="12" w:space="2" w:color="FFFFCC"/>
                                                <w:bottom w:val="single" w:sz="12" w:space="2" w:color="FFFFCC"/>
                                                <w:right w:val="single" w:sz="12" w:space="0" w:color="FFFFCC"/>
                                              </w:divBdr>
                                              <w:divsChild>
                                                <w:div w:id="1962303999">
                                                  <w:marLeft w:val="0"/>
                                                  <w:marRight w:val="0"/>
                                                  <w:marTop w:val="0"/>
                                                  <w:marBottom w:val="0"/>
                                                  <w:divBdr>
                                                    <w:top w:val="none" w:sz="0" w:space="0" w:color="auto"/>
                                                    <w:left w:val="none" w:sz="0" w:space="0" w:color="auto"/>
                                                    <w:bottom w:val="none" w:sz="0" w:space="0" w:color="auto"/>
                                                    <w:right w:val="none" w:sz="0" w:space="0" w:color="auto"/>
                                                  </w:divBdr>
                                                  <w:divsChild>
                                                    <w:div w:id="262961303">
                                                      <w:marLeft w:val="0"/>
                                                      <w:marRight w:val="0"/>
                                                      <w:marTop w:val="0"/>
                                                      <w:marBottom w:val="0"/>
                                                      <w:divBdr>
                                                        <w:top w:val="none" w:sz="0" w:space="0" w:color="auto"/>
                                                        <w:left w:val="none" w:sz="0" w:space="0" w:color="auto"/>
                                                        <w:bottom w:val="none" w:sz="0" w:space="0" w:color="auto"/>
                                                        <w:right w:val="none" w:sz="0" w:space="0" w:color="auto"/>
                                                      </w:divBdr>
                                                      <w:divsChild>
                                                        <w:div w:id="1960336995">
                                                          <w:marLeft w:val="0"/>
                                                          <w:marRight w:val="0"/>
                                                          <w:marTop w:val="0"/>
                                                          <w:marBottom w:val="0"/>
                                                          <w:divBdr>
                                                            <w:top w:val="none" w:sz="0" w:space="0" w:color="auto"/>
                                                            <w:left w:val="none" w:sz="0" w:space="0" w:color="auto"/>
                                                            <w:bottom w:val="none" w:sz="0" w:space="0" w:color="auto"/>
                                                            <w:right w:val="none" w:sz="0" w:space="0" w:color="auto"/>
                                                          </w:divBdr>
                                                          <w:divsChild>
                                                            <w:div w:id="323824105">
                                                              <w:marLeft w:val="0"/>
                                                              <w:marRight w:val="0"/>
                                                              <w:marTop w:val="0"/>
                                                              <w:marBottom w:val="0"/>
                                                              <w:divBdr>
                                                                <w:top w:val="none" w:sz="0" w:space="0" w:color="auto"/>
                                                                <w:left w:val="none" w:sz="0" w:space="0" w:color="auto"/>
                                                                <w:bottom w:val="none" w:sz="0" w:space="0" w:color="auto"/>
                                                                <w:right w:val="none" w:sz="0" w:space="0" w:color="auto"/>
                                                              </w:divBdr>
                                                              <w:divsChild>
                                                                <w:div w:id="2073961512">
                                                                  <w:marLeft w:val="0"/>
                                                                  <w:marRight w:val="0"/>
                                                                  <w:marTop w:val="0"/>
                                                                  <w:marBottom w:val="0"/>
                                                                  <w:divBdr>
                                                                    <w:top w:val="none" w:sz="0" w:space="0" w:color="auto"/>
                                                                    <w:left w:val="none" w:sz="0" w:space="0" w:color="auto"/>
                                                                    <w:bottom w:val="none" w:sz="0" w:space="0" w:color="auto"/>
                                                                    <w:right w:val="none" w:sz="0" w:space="0" w:color="auto"/>
                                                                  </w:divBdr>
                                                                  <w:divsChild>
                                                                    <w:div w:id="841242849">
                                                                      <w:marLeft w:val="0"/>
                                                                      <w:marRight w:val="0"/>
                                                                      <w:marTop w:val="0"/>
                                                                      <w:marBottom w:val="0"/>
                                                                      <w:divBdr>
                                                                        <w:top w:val="none" w:sz="0" w:space="0" w:color="auto"/>
                                                                        <w:left w:val="none" w:sz="0" w:space="0" w:color="auto"/>
                                                                        <w:bottom w:val="none" w:sz="0" w:space="0" w:color="auto"/>
                                                                        <w:right w:val="none" w:sz="0" w:space="0" w:color="auto"/>
                                                                      </w:divBdr>
                                                                      <w:divsChild>
                                                                        <w:div w:id="1076434687">
                                                                          <w:marLeft w:val="0"/>
                                                                          <w:marRight w:val="0"/>
                                                                          <w:marTop w:val="0"/>
                                                                          <w:marBottom w:val="0"/>
                                                                          <w:divBdr>
                                                                            <w:top w:val="none" w:sz="0" w:space="0" w:color="auto"/>
                                                                            <w:left w:val="none" w:sz="0" w:space="0" w:color="auto"/>
                                                                            <w:bottom w:val="none" w:sz="0" w:space="0" w:color="auto"/>
                                                                            <w:right w:val="none" w:sz="0" w:space="0" w:color="auto"/>
                                                                          </w:divBdr>
                                                                          <w:divsChild>
                                                                            <w:div w:id="1458840080">
                                                                              <w:marLeft w:val="0"/>
                                                                              <w:marRight w:val="0"/>
                                                                              <w:marTop w:val="0"/>
                                                                              <w:marBottom w:val="0"/>
                                                                              <w:divBdr>
                                                                                <w:top w:val="none" w:sz="0" w:space="0" w:color="auto"/>
                                                                                <w:left w:val="none" w:sz="0" w:space="0" w:color="auto"/>
                                                                                <w:bottom w:val="none" w:sz="0" w:space="0" w:color="auto"/>
                                                                                <w:right w:val="none" w:sz="0" w:space="0" w:color="auto"/>
                                                                              </w:divBdr>
                                                                              <w:divsChild>
                                                                                <w:div w:id="398865617">
                                                                                  <w:marLeft w:val="0"/>
                                                                                  <w:marRight w:val="0"/>
                                                                                  <w:marTop w:val="0"/>
                                                                                  <w:marBottom w:val="0"/>
                                                                                  <w:divBdr>
                                                                                    <w:top w:val="none" w:sz="0" w:space="0" w:color="auto"/>
                                                                                    <w:left w:val="none" w:sz="0" w:space="0" w:color="auto"/>
                                                                                    <w:bottom w:val="none" w:sz="0" w:space="0" w:color="auto"/>
                                                                                    <w:right w:val="none" w:sz="0" w:space="0" w:color="auto"/>
                                                                                  </w:divBdr>
                                                                                  <w:divsChild>
                                                                                    <w:div w:id="1774783443">
                                                                                      <w:marLeft w:val="0"/>
                                                                                      <w:marRight w:val="0"/>
                                                                                      <w:marTop w:val="0"/>
                                                                                      <w:marBottom w:val="0"/>
                                                                                      <w:divBdr>
                                                                                        <w:top w:val="none" w:sz="0" w:space="0" w:color="auto"/>
                                                                                        <w:left w:val="none" w:sz="0" w:space="0" w:color="auto"/>
                                                                                        <w:bottom w:val="none" w:sz="0" w:space="0" w:color="auto"/>
                                                                                        <w:right w:val="none" w:sz="0" w:space="0" w:color="auto"/>
                                                                                      </w:divBdr>
                                                                                      <w:divsChild>
                                                                                        <w:div w:id="1969629883">
                                                                                          <w:marLeft w:val="0"/>
                                                                                          <w:marRight w:val="120"/>
                                                                                          <w:marTop w:val="0"/>
                                                                                          <w:marBottom w:val="150"/>
                                                                                          <w:divBdr>
                                                                                            <w:top w:val="single" w:sz="2" w:space="0" w:color="EFEFEF"/>
                                                                                            <w:left w:val="single" w:sz="6" w:space="0" w:color="EFEFEF"/>
                                                                                            <w:bottom w:val="single" w:sz="6" w:space="0" w:color="E2E2E2"/>
                                                                                            <w:right w:val="single" w:sz="6" w:space="0" w:color="EFEFEF"/>
                                                                                          </w:divBdr>
                                                                                          <w:divsChild>
                                                                                            <w:div w:id="968559450">
                                                                                              <w:marLeft w:val="0"/>
                                                                                              <w:marRight w:val="0"/>
                                                                                              <w:marTop w:val="0"/>
                                                                                              <w:marBottom w:val="0"/>
                                                                                              <w:divBdr>
                                                                                                <w:top w:val="none" w:sz="0" w:space="0" w:color="auto"/>
                                                                                                <w:left w:val="none" w:sz="0" w:space="0" w:color="auto"/>
                                                                                                <w:bottom w:val="none" w:sz="0" w:space="0" w:color="auto"/>
                                                                                                <w:right w:val="none" w:sz="0" w:space="0" w:color="auto"/>
                                                                                              </w:divBdr>
                                                                                              <w:divsChild>
                                                                                                <w:div w:id="1124808763">
                                                                                                  <w:marLeft w:val="0"/>
                                                                                                  <w:marRight w:val="0"/>
                                                                                                  <w:marTop w:val="0"/>
                                                                                                  <w:marBottom w:val="0"/>
                                                                                                  <w:divBdr>
                                                                                                    <w:top w:val="none" w:sz="0" w:space="0" w:color="auto"/>
                                                                                                    <w:left w:val="none" w:sz="0" w:space="0" w:color="auto"/>
                                                                                                    <w:bottom w:val="none" w:sz="0" w:space="0" w:color="auto"/>
                                                                                                    <w:right w:val="none" w:sz="0" w:space="0" w:color="auto"/>
                                                                                                  </w:divBdr>
                                                                                                  <w:divsChild>
                                                                                                    <w:div w:id="1254124440">
                                                                                                      <w:marLeft w:val="0"/>
                                                                                                      <w:marRight w:val="0"/>
                                                                                                      <w:marTop w:val="0"/>
                                                                                                      <w:marBottom w:val="0"/>
                                                                                                      <w:divBdr>
                                                                                                        <w:top w:val="none" w:sz="0" w:space="0" w:color="auto"/>
                                                                                                        <w:left w:val="none" w:sz="0" w:space="0" w:color="auto"/>
                                                                                                        <w:bottom w:val="none" w:sz="0" w:space="0" w:color="auto"/>
                                                                                                        <w:right w:val="none" w:sz="0" w:space="0" w:color="auto"/>
                                                                                                      </w:divBdr>
                                                                                                      <w:divsChild>
                                                                                                        <w:div w:id="1543974770">
                                                                                                          <w:marLeft w:val="0"/>
                                                                                                          <w:marRight w:val="0"/>
                                                                                                          <w:marTop w:val="0"/>
                                                                                                          <w:marBottom w:val="0"/>
                                                                                                          <w:divBdr>
                                                                                                            <w:top w:val="single" w:sz="6" w:space="0" w:color="E5E5E5"/>
                                                                                                            <w:left w:val="none" w:sz="0" w:space="0" w:color="auto"/>
                                                                                                            <w:bottom w:val="none" w:sz="0" w:space="0" w:color="auto"/>
                                                                                                            <w:right w:val="none" w:sz="0" w:space="0" w:color="auto"/>
                                                                                                          </w:divBdr>
                                                                                                          <w:divsChild>
                                                                                                            <w:div w:id="384305235">
                                                                                                              <w:marLeft w:val="0"/>
                                                                                                              <w:marRight w:val="0"/>
                                                                                                              <w:marTop w:val="0"/>
                                                                                                              <w:marBottom w:val="0"/>
                                                                                                              <w:divBdr>
                                                                                                                <w:top w:val="single" w:sz="6" w:space="9" w:color="D8D8D8"/>
                                                                                                                <w:left w:val="none" w:sz="0" w:space="0" w:color="auto"/>
                                                                                                                <w:bottom w:val="none" w:sz="0" w:space="0" w:color="auto"/>
                                                                                                                <w:right w:val="none" w:sz="0" w:space="0" w:color="auto"/>
                                                                                                              </w:divBdr>
                                                                                                              <w:divsChild>
                                                                                                                <w:div w:id="1915893054">
                                                                                                                  <w:marLeft w:val="0"/>
                                                                                                                  <w:marRight w:val="0"/>
                                                                                                                  <w:marTop w:val="0"/>
                                                                                                                  <w:marBottom w:val="0"/>
                                                                                                                  <w:divBdr>
                                                                                                                    <w:top w:val="none" w:sz="0" w:space="0" w:color="auto"/>
                                                                                                                    <w:left w:val="none" w:sz="0" w:space="0" w:color="auto"/>
                                                                                                                    <w:bottom w:val="none" w:sz="0" w:space="0" w:color="auto"/>
                                                                                                                    <w:right w:val="none" w:sz="0" w:space="0" w:color="auto"/>
                                                                                                                  </w:divBdr>
                                                                                                                  <w:divsChild>
                                                                                                                    <w:div w:id="1303731029">
                                                                                                                      <w:marLeft w:val="0"/>
                                                                                                                      <w:marRight w:val="0"/>
                                                                                                                      <w:marTop w:val="0"/>
                                                                                                                      <w:marBottom w:val="0"/>
                                                                                                                      <w:divBdr>
                                                                                                                        <w:top w:val="none" w:sz="0" w:space="0" w:color="auto"/>
                                                                                                                        <w:left w:val="none" w:sz="0" w:space="0" w:color="auto"/>
                                                                                                                        <w:bottom w:val="none" w:sz="0" w:space="0" w:color="auto"/>
                                                                                                                        <w:right w:val="none" w:sz="0" w:space="0" w:color="auto"/>
                                                                                                                      </w:divBdr>
                                                                                                                      <w:divsChild>
                                                                                                                        <w:div w:id="1607729477">
                                                                                                                          <w:marLeft w:val="0"/>
                                                                                                                          <w:marRight w:val="0"/>
                                                                                                                          <w:marTop w:val="0"/>
                                                                                                                          <w:marBottom w:val="0"/>
                                                                                                                          <w:divBdr>
                                                                                                                            <w:top w:val="none" w:sz="0" w:space="0" w:color="auto"/>
                                                                                                                            <w:left w:val="none" w:sz="0" w:space="0" w:color="auto"/>
                                                                                                                            <w:bottom w:val="none" w:sz="0" w:space="0" w:color="auto"/>
                                                                                                                            <w:right w:val="none" w:sz="0" w:space="0" w:color="auto"/>
                                                                                                                          </w:divBdr>
                                                                                                                          <w:divsChild>
                                                                                                                            <w:div w:id="446849593">
                                                                                                                              <w:marLeft w:val="-6000"/>
                                                                                                                              <w:marRight w:val="0"/>
                                                                                                                              <w:marTop w:val="0"/>
                                                                                                                              <w:marBottom w:val="135"/>
                                                                                                                              <w:divBdr>
                                                                                                                                <w:top w:val="none" w:sz="0" w:space="0" w:color="auto"/>
                                                                                                                                <w:left w:val="none" w:sz="0" w:space="0" w:color="auto"/>
                                                                                                                                <w:bottom w:val="single" w:sz="6" w:space="0" w:color="E5E5E5"/>
                                                                                                                                <w:right w:val="none" w:sz="0" w:space="0" w:color="auto"/>
                                                                                                                              </w:divBdr>
                                                                                                                              <w:divsChild>
                                                                                                                                <w:div w:id="1677074902">
                                                                                                                                  <w:marLeft w:val="0"/>
                                                                                                                                  <w:marRight w:val="0"/>
                                                                                                                                  <w:marTop w:val="0"/>
                                                                                                                                  <w:marBottom w:val="0"/>
                                                                                                                                  <w:divBdr>
                                                                                                                                    <w:top w:val="none" w:sz="0" w:space="0" w:color="auto"/>
                                                                                                                                    <w:left w:val="none" w:sz="0" w:space="0" w:color="auto"/>
                                                                                                                                    <w:bottom w:val="none" w:sz="0" w:space="0" w:color="auto"/>
                                                                                                                                    <w:right w:val="none" w:sz="0" w:space="0" w:color="auto"/>
                                                                                                                                  </w:divBdr>
                                                                                                                                  <w:divsChild>
                                                                                                                                    <w:div w:id="817502549">
                                                                                                                                      <w:marLeft w:val="0"/>
                                                                                                                                      <w:marRight w:val="0"/>
                                                                                                                                      <w:marTop w:val="0"/>
                                                                                                                                      <w:marBottom w:val="0"/>
                                                                                                                                      <w:divBdr>
                                                                                                                                        <w:top w:val="none" w:sz="0" w:space="0" w:color="auto"/>
                                                                                                                                        <w:left w:val="none" w:sz="0" w:space="0" w:color="auto"/>
                                                                                                                                        <w:bottom w:val="none" w:sz="0" w:space="0" w:color="auto"/>
                                                                                                                                        <w:right w:val="none" w:sz="0" w:space="0" w:color="auto"/>
                                                                                                                                      </w:divBdr>
                                                                                                                                      <w:divsChild>
                                                                                                                                        <w:div w:id="1110736396">
                                                                                                                                          <w:marLeft w:val="0"/>
                                                                                                                                          <w:marRight w:val="0"/>
                                                                                                                                          <w:marTop w:val="0"/>
                                                                                                                                          <w:marBottom w:val="0"/>
                                                                                                                                          <w:divBdr>
                                                                                                                                            <w:top w:val="none" w:sz="0" w:space="0" w:color="auto"/>
                                                                                                                                            <w:left w:val="none" w:sz="0" w:space="0" w:color="auto"/>
                                                                                                                                            <w:bottom w:val="none" w:sz="0" w:space="0" w:color="auto"/>
                                                                                                                                            <w:right w:val="none" w:sz="0" w:space="0" w:color="auto"/>
                                                                                                                                          </w:divBdr>
                                                                                                                                          <w:divsChild>
                                                                                                                                            <w:div w:id="1519848713">
                                                                                                                                              <w:marLeft w:val="0"/>
                                                                                                                                              <w:marRight w:val="0"/>
                                                                                                                                              <w:marTop w:val="0"/>
                                                                                                                                              <w:marBottom w:val="0"/>
                                                                                                                                              <w:divBdr>
                                                                                                                                                <w:top w:val="single" w:sz="6" w:space="0" w:color="666666"/>
                                                                                                                                                <w:left w:val="single" w:sz="6" w:space="0" w:color="CCCCCC"/>
                                                                                                                                                <w:bottom w:val="single" w:sz="6" w:space="0" w:color="CCCCCC"/>
                                                                                                                                                <w:right w:val="single" w:sz="6" w:space="0" w:color="CCCCCC"/>
                                                                                                                                              </w:divBdr>
                                                                                                                                              <w:divsChild>
                                                                                                                                                <w:div w:id="35660431">
                                                                                                                                                  <w:marLeft w:val="30"/>
                                                                                                                                                  <w:marRight w:val="0"/>
                                                                                                                                                  <w:marTop w:val="0"/>
                                                                                                                                                  <w:marBottom w:val="0"/>
                                                                                                                                                  <w:divBdr>
                                                                                                                                                    <w:top w:val="none" w:sz="0" w:space="0" w:color="auto"/>
                                                                                                                                                    <w:left w:val="none" w:sz="0" w:space="0" w:color="auto"/>
                                                                                                                                                    <w:bottom w:val="none" w:sz="0" w:space="0" w:color="auto"/>
                                                                                                                                                    <w:right w:val="none" w:sz="0" w:space="0" w:color="auto"/>
                                                                                                                                                  </w:divBdr>
                                                                                                                                                  <w:divsChild>
                                                                                                                                                    <w:div w:id="1107852937">
                                                                                                                                                      <w:marLeft w:val="0"/>
                                                                                                                                                      <w:marRight w:val="0"/>
                                                                                                                                                      <w:marTop w:val="0"/>
                                                                                                                                                      <w:marBottom w:val="0"/>
                                                                                                                                                      <w:divBdr>
                                                                                                                                                        <w:top w:val="none" w:sz="0" w:space="0" w:color="auto"/>
                                                                                                                                                        <w:left w:val="none" w:sz="0" w:space="0" w:color="auto"/>
                                                                                                                                                        <w:bottom w:val="none" w:sz="0" w:space="0" w:color="auto"/>
                                                                                                                                                        <w:right w:val="none" w:sz="0" w:space="0" w:color="auto"/>
                                                                                                                                                      </w:divBdr>
                                                                                                                                                      <w:divsChild>
                                                                                                                                                        <w:div w:id="408813636">
                                                                                                                                                          <w:marLeft w:val="0"/>
                                                                                                                                                          <w:marRight w:val="0"/>
                                                                                                                                                          <w:marTop w:val="0"/>
                                                                                                                                                          <w:marBottom w:val="0"/>
                                                                                                                                                          <w:divBdr>
                                                                                                                                                            <w:top w:val="none" w:sz="0" w:space="0" w:color="auto"/>
                                                                                                                                                            <w:left w:val="none" w:sz="0" w:space="0" w:color="auto"/>
                                                                                                                                                            <w:bottom w:val="none" w:sz="0" w:space="0" w:color="auto"/>
                                                                                                                                                            <w:right w:val="none" w:sz="0" w:space="0" w:color="auto"/>
                                                                                                                                                          </w:divBdr>
                                                                                                                                                          <w:divsChild>
                                                                                                                                                            <w:div w:id="1634870769">
                                                                                                                                                              <w:marLeft w:val="0"/>
                                                                                                                                                              <w:marRight w:val="0"/>
                                                                                                                                                              <w:marTop w:val="0"/>
                                                                                                                                                              <w:marBottom w:val="0"/>
                                                                                                                                                              <w:divBdr>
                                                                                                                                                                <w:top w:val="none" w:sz="0" w:space="0" w:color="auto"/>
                                                                                                                                                                <w:left w:val="none" w:sz="0" w:space="0" w:color="auto"/>
                                                                                                                                                                <w:bottom w:val="none" w:sz="0" w:space="0" w:color="auto"/>
                                                                                                                                                                <w:right w:val="none" w:sz="0" w:space="0" w:color="auto"/>
                                                                                                                                                              </w:divBdr>
                                                                                                                                                            </w:div>
                                                                                                                                                            <w:div w:id="3550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049107071">
      <w:bodyDiv w:val="1"/>
      <w:marLeft w:val="0"/>
      <w:marRight w:val="0"/>
      <w:marTop w:val="0"/>
      <w:marBottom w:val="0"/>
      <w:divBdr>
        <w:top w:val="none" w:sz="0" w:space="0" w:color="auto"/>
        <w:left w:val="none" w:sz="0" w:space="0" w:color="auto"/>
        <w:bottom w:val="none" w:sz="0" w:space="0" w:color="auto"/>
        <w:right w:val="none" w:sz="0" w:space="0" w:color="auto"/>
      </w:divBdr>
    </w:div>
    <w:div w:id="1137720837">
      <w:bodyDiv w:val="1"/>
      <w:marLeft w:val="0"/>
      <w:marRight w:val="0"/>
      <w:marTop w:val="0"/>
      <w:marBottom w:val="0"/>
      <w:divBdr>
        <w:top w:val="none" w:sz="0" w:space="0" w:color="auto"/>
        <w:left w:val="none" w:sz="0" w:space="0" w:color="auto"/>
        <w:bottom w:val="none" w:sz="0" w:space="0" w:color="auto"/>
        <w:right w:val="none" w:sz="0" w:space="0" w:color="auto"/>
      </w:divBdr>
    </w:div>
    <w:div w:id="1285232351">
      <w:bodyDiv w:val="1"/>
      <w:marLeft w:val="0"/>
      <w:marRight w:val="0"/>
      <w:marTop w:val="0"/>
      <w:marBottom w:val="0"/>
      <w:divBdr>
        <w:top w:val="none" w:sz="0" w:space="0" w:color="auto"/>
        <w:left w:val="none" w:sz="0" w:space="0" w:color="auto"/>
        <w:bottom w:val="none" w:sz="0" w:space="0" w:color="auto"/>
        <w:right w:val="none" w:sz="0" w:space="0" w:color="auto"/>
      </w:divBdr>
    </w:div>
    <w:div w:id="1400438905">
      <w:bodyDiv w:val="1"/>
      <w:marLeft w:val="0"/>
      <w:marRight w:val="0"/>
      <w:marTop w:val="0"/>
      <w:marBottom w:val="0"/>
      <w:divBdr>
        <w:top w:val="none" w:sz="0" w:space="0" w:color="auto"/>
        <w:left w:val="none" w:sz="0" w:space="0" w:color="auto"/>
        <w:bottom w:val="none" w:sz="0" w:space="0" w:color="auto"/>
        <w:right w:val="none" w:sz="0" w:space="0" w:color="auto"/>
      </w:divBdr>
    </w:div>
    <w:div w:id="1569804164">
      <w:bodyDiv w:val="1"/>
      <w:marLeft w:val="0"/>
      <w:marRight w:val="0"/>
      <w:marTop w:val="0"/>
      <w:marBottom w:val="0"/>
      <w:divBdr>
        <w:top w:val="none" w:sz="0" w:space="0" w:color="auto"/>
        <w:left w:val="none" w:sz="0" w:space="0" w:color="auto"/>
        <w:bottom w:val="none" w:sz="0" w:space="0" w:color="auto"/>
        <w:right w:val="none" w:sz="0" w:space="0" w:color="auto"/>
      </w:divBdr>
    </w:div>
    <w:div w:id="1578443142">
      <w:bodyDiv w:val="1"/>
      <w:marLeft w:val="0"/>
      <w:marRight w:val="0"/>
      <w:marTop w:val="0"/>
      <w:marBottom w:val="0"/>
      <w:divBdr>
        <w:top w:val="none" w:sz="0" w:space="0" w:color="auto"/>
        <w:left w:val="none" w:sz="0" w:space="0" w:color="auto"/>
        <w:bottom w:val="none" w:sz="0" w:space="0" w:color="auto"/>
        <w:right w:val="none" w:sz="0" w:space="0" w:color="auto"/>
      </w:divBdr>
    </w:div>
    <w:div w:id="1614287973">
      <w:bodyDiv w:val="1"/>
      <w:marLeft w:val="0"/>
      <w:marRight w:val="0"/>
      <w:marTop w:val="0"/>
      <w:marBottom w:val="0"/>
      <w:divBdr>
        <w:top w:val="none" w:sz="0" w:space="0" w:color="auto"/>
        <w:left w:val="none" w:sz="0" w:space="0" w:color="auto"/>
        <w:bottom w:val="none" w:sz="0" w:space="0" w:color="auto"/>
        <w:right w:val="none" w:sz="0" w:space="0" w:color="auto"/>
      </w:divBdr>
    </w:div>
    <w:div w:id="1775707091">
      <w:bodyDiv w:val="1"/>
      <w:marLeft w:val="0"/>
      <w:marRight w:val="0"/>
      <w:marTop w:val="0"/>
      <w:marBottom w:val="0"/>
      <w:divBdr>
        <w:top w:val="none" w:sz="0" w:space="0" w:color="auto"/>
        <w:left w:val="none" w:sz="0" w:space="0" w:color="auto"/>
        <w:bottom w:val="none" w:sz="0" w:space="0" w:color="auto"/>
        <w:right w:val="none" w:sz="0" w:space="0" w:color="auto"/>
      </w:divBdr>
    </w:div>
    <w:div w:id="1802265661">
      <w:bodyDiv w:val="1"/>
      <w:marLeft w:val="0"/>
      <w:marRight w:val="0"/>
      <w:marTop w:val="0"/>
      <w:marBottom w:val="0"/>
      <w:divBdr>
        <w:top w:val="none" w:sz="0" w:space="0" w:color="auto"/>
        <w:left w:val="none" w:sz="0" w:space="0" w:color="auto"/>
        <w:bottom w:val="none" w:sz="0" w:space="0" w:color="auto"/>
        <w:right w:val="none" w:sz="0" w:space="0" w:color="auto"/>
      </w:divBdr>
    </w:div>
    <w:div w:id="1823228852">
      <w:bodyDiv w:val="1"/>
      <w:marLeft w:val="0"/>
      <w:marRight w:val="0"/>
      <w:marTop w:val="0"/>
      <w:marBottom w:val="0"/>
      <w:divBdr>
        <w:top w:val="none" w:sz="0" w:space="0" w:color="auto"/>
        <w:left w:val="none" w:sz="0" w:space="0" w:color="auto"/>
        <w:bottom w:val="none" w:sz="0" w:space="0" w:color="auto"/>
        <w:right w:val="none" w:sz="0" w:space="0" w:color="auto"/>
      </w:divBdr>
    </w:div>
    <w:div w:id="1828201410">
      <w:bodyDiv w:val="1"/>
      <w:marLeft w:val="0"/>
      <w:marRight w:val="0"/>
      <w:marTop w:val="0"/>
      <w:marBottom w:val="0"/>
      <w:divBdr>
        <w:top w:val="none" w:sz="0" w:space="0" w:color="auto"/>
        <w:left w:val="none" w:sz="0" w:space="0" w:color="auto"/>
        <w:bottom w:val="none" w:sz="0" w:space="0" w:color="auto"/>
        <w:right w:val="none" w:sz="0" w:space="0" w:color="auto"/>
      </w:divBdr>
    </w:div>
    <w:div w:id="1899197890">
      <w:bodyDiv w:val="1"/>
      <w:marLeft w:val="0"/>
      <w:marRight w:val="0"/>
      <w:marTop w:val="0"/>
      <w:marBottom w:val="0"/>
      <w:divBdr>
        <w:top w:val="none" w:sz="0" w:space="0" w:color="auto"/>
        <w:left w:val="none" w:sz="0" w:space="0" w:color="auto"/>
        <w:bottom w:val="none" w:sz="0" w:space="0" w:color="auto"/>
        <w:right w:val="none" w:sz="0" w:space="0" w:color="auto"/>
      </w:divBdr>
    </w:div>
    <w:div w:id="1902671626">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85349324">
      <w:bodyDiv w:val="1"/>
      <w:marLeft w:val="0"/>
      <w:marRight w:val="0"/>
      <w:marTop w:val="0"/>
      <w:marBottom w:val="0"/>
      <w:divBdr>
        <w:top w:val="none" w:sz="0" w:space="0" w:color="auto"/>
        <w:left w:val="none" w:sz="0" w:space="0" w:color="auto"/>
        <w:bottom w:val="none" w:sz="0" w:space="0" w:color="auto"/>
        <w:right w:val="none" w:sz="0" w:space="0" w:color="auto"/>
      </w:divBdr>
    </w:div>
    <w:div w:id="2039625626">
      <w:bodyDiv w:val="1"/>
      <w:marLeft w:val="0"/>
      <w:marRight w:val="0"/>
      <w:marTop w:val="0"/>
      <w:marBottom w:val="0"/>
      <w:divBdr>
        <w:top w:val="none" w:sz="0" w:space="0" w:color="auto"/>
        <w:left w:val="none" w:sz="0" w:space="0" w:color="auto"/>
        <w:bottom w:val="none" w:sz="0" w:space="0" w:color="auto"/>
        <w:right w:val="none" w:sz="0" w:space="0" w:color="auto"/>
      </w:divBdr>
    </w:div>
    <w:div w:id="207227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A-PUCTelco@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699AC-F38E-4547-AD3A-10F76D295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6</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2015 PSI Frontier Commonwealth</vt:lpstr>
    </vt:vector>
  </TitlesOfParts>
  <Company>PA PUC</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PSI Frontier Commonwealth</dc:title>
  <dc:creator>Derek Vogelsong</dc:creator>
  <cp:lastModifiedBy>Sheffer, Ryan</cp:lastModifiedBy>
  <cp:revision>21</cp:revision>
  <cp:lastPrinted>2019-05-01T13:58:00Z</cp:lastPrinted>
  <dcterms:created xsi:type="dcterms:W3CDTF">2017-04-10T15:43:00Z</dcterms:created>
  <dcterms:modified xsi:type="dcterms:W3CDTF">2019-05-23T12:35:00Z</dcterms:modified>
</cp:coreProperties>
</file>