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B21BE" w14:textId="498A44A0" w:rsidR="003E0B27" w:rsidRPr="00797D5D" w:rsidRDefault="003E0B27" w:rsidP="003E0B27">
      <w:pPr>
        <w:pStyle w:val="NoSpacing"/>
        <w:rPr>
          <w:rFonts w:ascii="Times New Roman" w:hAnsi="Times New Roman" w:cs="Times New Roman"/>
          <w:b/>
          <w:sz w:val="26"/>
          <w:szCs w:val="26"/>
        </w:rPr>
      </w:pPr>
      <w:bookmarkStart w:id="0" w:name="_Hlk516753866"/>
      <w:r w:rsidRPr="00797D5D">
        <w:rPr>
          <w:rFonts w:ascii="Times New Roman" w:hAnsi="Times New Roman" w:cs="Times New Roman"/>
          <w:b/>
          <w:sz w:val="26"/>
          <w:szCs w:val="26"/>
        </w:rPr>
        <w:t>General</w:t>
      </w:r>
    </w:p>
    <w:p w14:paraId="116A4440" w14:textId="77777777" w:rsidR="00153F51" w:rsidRPr="00797D5D" w:rsidRDefault="00153F51" w:rsidP="003E0B27">
      <w:pPr>
        <w:pStyle w:val="NoSpacing"/>
        <w:rPr>
          <w:rFonts w:ascii="Times New Roman" w:hAnsi="Times New Roman" w:cs="Times New Roman"/>
          <w:b/>
          <w:sz w:val="26"/>
          <w:szCs w:val="26"/>
        </w:rPr>
      </w:pPr>
    </w:p>
    <w:p w14:paraId="7CFE4D79" w14:textId="144072A3" w:rsidR="00F67E23" w:rsidRDefault="00F67E23" w:rsidP="00F67E23">
      <w:pPr>
        <w:pStyle w:val="NoSpacing"/>
        <w:ind w:left="360" w:hanging="360"/>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 xml:space="preserve">66 Pa. C.S. </w:t>
      </w:r>
      <w:r w:rsidR="0028387A">
        <w:rPr>
          <w:rFonts w:ascii="Times New Roman" w:hAnsi="Times New Roman" w:cs="Times New Roman"/>
          <w:sz w:val="26"/>
          <w:szCs w:val="26"/>
        </w:rPr>
        <w:t>§</w:t>
      </w:r>
      <w:r w:rsidR="0028387A" w:rsidRPr="00797D5D">
        <w:rPr>
          <w:rFonts w:ascii="Times New Roman" w:hAnsi="Times New Roman" w:cs="Times New Roman"/>
          <w:sz w:val="26"/>
          <w:szCs w:val="26"/>
        </w:rPr>
        <w:t xml:space="preserve"> </w:t>
      </w:r>
      <w:r w:rsidR="000B5A86" w:rsidRPr="00797D5D">
        <w:rPr>
          <w:rFonts w:ascii="Times New Roman" w:hAnsi="Times New Roman" w:cs="Times New Roman"/>
          <w:sz w:val="26"/>
          <w:szCs w:val="26"/>
        </w:rPr>
        <w:t xml:space="preserve">1329(a) requires </w:t>
      </w:r>
      <w:r>
        <w:rPr>
          <w:rFonts w:ascii="Times New Roman" w:hAnsi="Times New Roman" w:cs="Times New Roman"/>
          <w:sz w:val="26"/>
          <w:szCs w:val="26"/>
        </w:rPr>
        <w:t xml:space="preserve">the use of the current biennial edition of the Uniform Standards for Processional Appraisal Practice (USPAP) to develop cost, market, and income </w:t>
      </w:r>
      <w:r w:rsidR="00F314A9" w:rsidRPr="00797D5D">
        <w:rPr>
          <w:rFonts w:ascii="Times New Roman" w:hAnsi="Times New Roman" w:cs="Times New Roman"/>
          <w:sz w:val="26"/>
          <w:szCs w:val="26"/>
        </w:rPr>
        <w:t xml:space="preserve">valuations </w:t>
      </w:r>
      <w:r>
        <w:rPr>
          <w:rFonts w:ascii="Times New Roman" w:hAnsi="Times New Roman" w:cs="Times New Roman"/>
          <w:sz w:val="26"/>
          <w:szCs w:val="26"/>
        </w:rPr>
        <w:t xml:space="preserve">of the Selling Utility.  Valuations developed from outdated or expired editions of the USPAP </w:t>
      </w:r>
      <w:r w:rsidR="0036110D">
        <w:rPr>
          <w:rFonts w:ascii="Times New Roman" w:hAnsi="Times New Roman" w:cs="Times New Roman"/>
          <w:sz w:val="26"/>
          <w:szCs w:val="26"/>
        </w:rPr>
        <w:t xml:space="preserve">do not </w:t>
      </w:r>
      <w:r w:rsidR="0028387A">
        <w:rPr>
          <w:rFonts w:ascii="Times New Roman" w:hAnsi="Times New Roman" w:cs="Times New Roman"/>
          <w:sz w:val="26"/>
          <w:szCs w:val="26"/>
        </w:rPr>
        <w:t xml:space="preserve">constitute </w:t>
      </w:r>
      <w:r w:rsidR="0036110D">
        <w:rPr>
          <w:rFonts w:ascii="Times New Roman" w:hAnsi="Times New Roman" w:cs="Times New Roman"/>
          <w:sz w:val="26"/>
          <w:szCs w:val="26"/>
        </w:rPr>
        <w:t xml:space="preserve">competent evidence and </w:t>
      </w:r>
      <w:r>
        <w:rPr>
          <w:rFonts w:ascii="Times New Roman" w:hAnsi="Times New Roman" w:cs="Times New Roman"/>
          <w:sz w:val="26"/>
          <w:szCs w:val="26"/>
        </w:rPr>
        <w:t xml:space="preserve">will not be accepted by the Commission as </w:t>
      </w:r>
      <w:r w:rsidR="00F314DD">
        <w:rPr>
          <w:rFonts w:ascii="Times New Roman" w:hAnsi="Times New Roman" w:cs="Times New Roman"/>
          <w:sz w:val="26"/>
          <w:szCs w:val="26"/>
        </w:rPr>
        <w:t>satisfying the Application Checklist.</w:t>
      </w:r>
      <w:r>
        <w:rPr>
          <w:rFonts w:ascii="Times New Roman" w:hAnsi="Times New Roman" w:cs="Times New Roman"/>
          <w:sz w:val="26"/>
          <w:szCs w:val="26"/>
        </w:rPr>
        <w:t xml:space="preserve">  </w:t>
      </w:r>
    </w:p>
    <w:p w14:paraId="6903304C" w14:textId="77777777" w:rsidR="00F67E23" w:rsidRDefault="00F67E23" w:rsidP="00F67E23">
      <w:pPr>
        <w:pStyle w:val="NoSpacing"/>
        <w:ind w:left="360" w:hanging="360"/>
        <w:rPr>
          <w:rFonts w:ascii="Times New Roman" w:hAnsi="Times New Roman" w:cs="Times New Roman"/>
          <w:sz w:val="26"/>
          <w:szCs w:val="26"/>
        </w:rPr>
      </w:pPr>
    </w:p>
    <w:p w14:paraId="30EFA4E1" w14:textId="1092A50B" w:rsidR="00104509" w:rsidRDefault="00F67E23" w:rsidP="00156F6E">
      <w:pPr>
        <w:pStyle w:val="NoSpacing"/>
        <w:ind w:left="360" w:hanging="360"/>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r w:rsidR="00707F32">
        <w:rPr>
          <w:rFonts w:ascii="Times New Roman" w:hAnsi="Times New Roman" w:cs="Times New Roman"/>
          <w:sz w:val="26"/>
          <w:szCs w:val="26"/>
        </w:rPr>
        <w:t>By Order, t</w:t>
      </w:r>
      <w:r>
        <w:rPr>
          <w:rFonts w:ascii="Times New Roman" w:hAnsi="Times New Roman" w:cs="Times New Roman"/>
          <w:sz w:val="26"/>
          <w:szCs w:val="26"/>
        </w:rPr>
        <w:t xml:space="preserve">he Commission recognizes the use of the </w:t>
      </w:r>
      <w:r w:rsidR="003E0B27" w:rsidRPr="00F67E23">
        <w:rPr>
          <w:rFonts w:ascii="Times New Roman" w:hAnsi="Times New Roman" w:cs="Times New Roman"/>
          <w:sz w:val="26"/>
          <w:szCs w:val="26"/>
        </w:rPr>
        <w:t>Jurisdictional Exception Rule</w:t>
      </w:r>
      <w:r>
        <w:rPr>
          <w:rFonts w:ascii="Times New Roman" w:hAnsi="Times New Roman" w:cs="Times New Roman"/>
          <w:sz w:val="26"/>
          <w:szCs w:val="26"/>
        </w:rPr>
        <w:t xml:space="preserve"> of the USPAP</w:t>
      </w:r>
      <w:r w:rsidR="00156F6E">
        <w:rPr>
          <w:rFonts w:ascii="Times New Roman" w:hAnsi="Times New Roman" w:cs="Times New Roman"/>
          <w:sz w:val="26"/>
          <w:szCs w:val="26"/>
        </w:rPr>
        <w:t>.</w:t>
      </w:r>
      <w:r>
        <w:rPr>
          <w:rFonts w:ascii="Times New Roman" w:hAnsi="Times New Roman" w:cs="Times New Roman"/>
          <w:sz w:val="26"/>
          <w:szCs w:val="26"/>
        </w:rPr>
        <w:t xml:space="preserve"> </w:t>
      </w:r>
      <w:r w:rsidR="00156F6E">
        <w:rPr>
          <w:rFonts w:ascii="Times New Roman" w:hAnsi="Times New Roman" w:cs="Times New Roman"/>
          <w:sz w:val="26"/>
          <w:szCs w:val="26"/>
        </w:rPr>
        <w:t xml:space="preserve"> Materials </w:t>
      </w:r>
      <w:r w:rsidR="00707F32">
        <w:rPr>
          <w:rFonts w:ascii="Times New Roman" w:hAnsi="Times New Roman" w:cs="Times New Roman"/>
          <w:sz w:val="26"/>
          <w:szCs w:val="26"/>
        </w:rPr>
        <w:t>submitted in support of a request for Section 1329 fair market valuation</w:t>
      </w:r>
      <w:r w:rsidR="00156F6E">
        <w:rPr>
          <w:rFonts w:ascii="Times New Roman" w:hAnsi="Times New Roman" w:cs="Times New Roman"/>
          <w:sz w:val="26"/>
          <w:szCs w:val="26"/>
        </w:rPr>
        <w:t xml:space="preserve"> pursuant to the USPAP</w:t>
      </w:r>
      <w:r w:rsidR="00707F32">
        <w:rPr>
          <w:rFonts w:ascii="Times New Roman" w:hAnsi="Times New Roman" w:cs="Times New Roman"/>
          <w:sz w:val="26"/>
          <w:szCs w:val="26"/>
        </w:rPr>
        <w:t xml:space="preserve"> </w:t>
      </w:r>
      <w:r w:rsidR="001B571F" w:rsidRPr="00797D5D">
        <w:rPr>
          <w:rFonts w:ascii="Times New Roman" w:hAnsi="Times New Roman" w:cs="Times New Roman"/>
          <w:sz w:val="26"/>
          <w:szCs w:val="26"/>
        </w:rPr>
        <w:t>must conform</w:t>
      </w:r>
      <w:r w:rsidR="00156F6E">
        <w:rPr>
          <w:rFonts w:ascii="Times New Roman" w:hAnsi="Times New Roman" w:cs="Times New Roman"/>
          <w:sz w:val="26"/>
          <w:szCs w:val="26"/>
        </w:rPr>
        <w:t xml:space="preserve"> to </w:t>
      </w:r>
      <w:r w:rsidR="001B571F" w:rsidRPr="00797D5D">
        <w:rPr>
          <w:rFonts w:ascii="Times New Roman" w:hAnsi="Times New Roman" w:cs="Times New Roman"/>
          <w:sz w:val="26"/>
          <w:szCs w:val="26"/>
        </w:rPr>
        <w:t xml:space="preserve">applicable </w:t>
      </w:r>
      <w:r w:rsidR="00156F6E">
        <w:rPr>
          <w:rFonts w:ascii="Times New Roman" w:hAnsi="Times New Roman" w:cs="Times New Roman"/>
          <w:sz w:val="26"/>
          <w:szCs w:val="26"/>
        </w:rPr>
        <w:t xml:space="preserve">Pennsylvania </w:t>
      </w:r>
      <w:r w:rsidR="001B571F" w:rsidRPr="00797D5D">
        <w:rPr>
          <w:rFonts w:ascii="Times New Roman" w:hAnsi="Times New Roman" w:cs="Times New Roman"/>
          <w:sz w:val="26"/>
          <w:szCs w:val="26"/>
        </w:rPr>
        <w:t>law</w:t>
      </w:r>
      <w:r w:rsidR="00A11E5F">
        <w:rPr>
          <w:rFonts w:ascii="Times New Roman" w:hAnsi="Times New Roman" w:cs="Times New Roman"/>
          <w:sz w:val="26"/>
          <w:szCs w:val="26"/>
        </w:rPr>
        <w:t xml:space="preserve"> </w:t>
      </w:r>
      <w:r w:rsidR="001B571F" w:rsidRPr="00797D5D">
        <w:rPr>
          <w:rFonts w:ascii="Times New Roman" w:hAnsi="Times New Roman" w:cs="Times New Roman"/>
          <w:sz w:val="26"/>
          <w:szCs w:val="26"/>
        </w:rPr>
        <w:t>even if in conflict with USPAP</w:t>
      </w:r>
      <w:r w:rsidR="00156F6E">
        <w:rPr>
          <w:rFonts w:ascii="Times New Roman" w:hAnsi="Times New Roman" w:cs="Times New Roman"/>
          <w:sz w:val="26"/>
          <w:szCs w:val="26"/>
        </w:rPr>
        <w:t xml:space="preserve">.   </w:t>
      </w:r>
      <w:bookmarkStart w:id="1" w:name="_Hlk523298639"/>
      <w:r w:rsidR="00156F6E">
        <w:rPr>
          <w:rFonts w:ascii="Times New Roman" w:hAnsi="Times New Roman" w:cs="Times New Roman"/>
          <w:sz w:val="26"/>
          <w:szCs w:val="26"/>
        </w:rPr>
        <w:t>For purposes of Section 1329</w:t>
      </w:r>
      <w:r w:rsidR="00A11E5F">
        <w:rPr>
          <w:rFonts w:ascii="Times New Roman" w:hAnsi="Times New Roman" w:cs="Times New Roman"/>
          <w:sz w:val="26"/>
          <w:szCs w:val="26"/>
        </w:rPr>
        <w:t>,</w:t>
      </w:r>
      <w:r w:rsidR="00156F6E">
        <w:rPr>
          <w:rFonts w:ascii="Times New Roman" w:hAnsi="Times New Roman" w:cs="Times New Roman"/>
          <w:sz w:val="26"/>
          <w:szCs w:val="26"/>
        </w:rPr>
        <w:t xml:space="preserve"> Pennsylvania </w:t>
      </w:r>
      <w:r w:rsidR="0036110D">
        <w:rPr>
          <w:rFonts w:ascii="Times New Roman" w:hAnsi="Times New Roman" w:cs="Times New Roman"/>
          <w:sz w:val="26"/>
          <w:szCs w:val="26"/>
        </w:rPr>
        <w:t>l</w:t>
      </w:r>
      <w:r w:rsidR="00156F6E">
        <w:rPr>
          <w:rFonts w:ascii="Times New Roman" w:hAnsi="Times New Roman" w:cs="Times New Roman"/>
          <w:sz w:val="26"/>
          <w:szCs w:val="26"/>
        </w:rPr>
        <w:t>aw includes the Pennsylvania C</w:t>
      </w:r>
      <w:r w:rsidR="00156F6E" w:rsidRPr="00156F6E">
        <w:rPr>
          <w:rFonts w:ascii="Times New Roman" w:hAnsi="Times New Roman" w:cs="Times New Roman"/>
          <w:sz w:val="26"/>
          <w:szCs w:val="26"/>
        </w:rPr>
        <w:t xml:space="preserve">onstitution, </w:t>
      </w:r>
      <w:r w:rsidR="00156F6E">
        <w:rPr>
          <w:rFonts w:ascii="Times New Roman" w:hAnsi="Times New Roman" w:cs="Times New Roman"/>
          <w:sz w:val="26"/>
          <w:szCs w:val="26"/>
        </w:rPr>
        <w:t>statutes, regulations, court precedent</w:t>
      </w:r>
      <w:r w:rsidR="00156F6E" w:rsidRPr="00156F6E">
        <w:rPr>
          <w:rFonts w:ascii="Times New Roman" w:hAnsi="Times New Roman" w:cs="Times New Roman"/>
          <w:sz w:val="26"/>
          <w:szCs w:val="26"/>
        </w:rPr>
        <w:t xml:space="preserve">, </w:t>
      </w:r>
      <w:r w:rsidR="00156F6E">
        <w:rPr>
          <w:rFonts w:ascii="Times New Roman" w:hAnsi="Times New Roman" w:cs="Times New Roman"/>
          <w:sz w:val="26"/>
          <w:szCs w:val="26"/>
        </w:rPr>
        <w:t xml:space="preserve">and </w:t>
      </w:r>
      <w:r w:rsidR="00156F6E" w:rsidRPr="00156F6E">
        <w:rPr>
          <w:rFonts w:ascii="Times New Roman" w:hAnsi="Times New Roman" w:cs="Times New Roman"/>
          <w:sz w:val="26"/>
          <w:szCs w:val="26"/>
        </w:rPr>
        <w:t>administrative rules and</w:t>
      </w:r>
      <w:r w:rsidR="00156F6E">
        <w:rPr>
          <w:rFonts w:ascii="Times New Roman" w:hAnsi="Times New Roman" w:cs="Times New Roman"/>
          <w:sz w:val="26"/>
          <w:szCs w:val="26"/>
        </w:rPr>
        <w:t xml:space="preserve"> orders issued by administrative agencies.</w:t>
      </w:r>
      <w:bookmarkEnd w:id="1"/>
    </w:p>
    <w:p w14:paraId="141B06A1" w14:textId="77777777" w:rsidR="00104509" w:rsidRDefault="00104509" w:rsidP="00156F6E">
      <w:pPr>
        <w:pStyle w:val="NoSpacing"/>
        <w:ind w:left="360" w:hanging="360"/>
        <w:rPr>
          <w:rFonts w:ascii="Times New Roman" w:hAnsi="Times New Roman" w:cs="Times New Roman"/>
          <w:sz w:val="26"/>
          <w:szCs w:val="26"/>
        </w:rPr>
      </w:pPr>
    </w:p>
    <w:p w14:paraId="5B7EEB32" w14:textId="0682F72D" w:rsidR="00104509" w:rsidRDefault="00104509" w:rsidP="00104509">
      <w:pPr>
        <w:pStyle w:val="NoSpacing"/>
        <w:ind w:left="360" w:hanging="360"/>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r>
      <w:r w:rsidR="00156F6E">
        <w:rPr>
          <w:rFonts w:ascii="Times New Roman" w:hAnsi="Times New Roman" w:cs="Times New Roman"/>
          <w:sz w:val="26"/>
          <w:szCs w:val="26"/>
        </w:rPr>
        <w:t xml:space="preserve"> </w:t>
      </w:r>
      <w:r w:rsidR="001C2B99">
        <w:rPr>
          <w:rFonts w:ascii="Times New Roman" w:hAnsi="Times New Roman" w:cs="Times New Roman"/>
          <w:sz w:val="26"/>
          <w:szCs w:val="26"/>
        </w:rPr>
        <w:t xml:space="preserve">UVEs, along with </w:t>
      </w:r>
      <w:r>
        <w:rPr>
          <w:rFonts w:ascii="Times New Roman" w:hAnsi="Times New Roman" w:cs="Times New Roman"/>
          <w:sz w:val="26"/>
          <w:szCs w:val="26"/>
        </w:rPr>
        <w:t>Seller and Buyer</w:t>
      </w:r>
      <w:r w:rsidR="001C2B99">
        <w:rPr>
          <w:rFonts w:ascii="Times New Roman" w:hAnsi="Times New Roman" w:cs="Times New Roman"/>
          <w:sz w:val="26"/>
          <w:szCs w:val="26"/>
        </w:rPr>
        <w:t>,</w:t>
      </w:r>
      <w:r w:rsidRPr="00104509">
        <w:rPr>
          <w:rFonts w:ascii="Times New Roman" w:hAnsi="Times New Roman" w:cs="Times New Roman"/>
          <w:sz w:val="26"/>
          <w:szCs w:val="26"/>
        </w:rPr>
        <w:t xml:space="preserve"> </w:t>
      </w:r>
      <w:r>
        <w:rPr>
          <w:rFonts w:ascii="Times New Roman" w:hAnsi="Times New Roman" w:cs="Times New Roman"/>
          <w:sz w:val="26"/>
          <w:szCs w:val="26"/>
        </w:rPr>
        <w:t>m</w:t>
      </w:r>
      <w:r w:rsidRPr="00104509">
        <w:rPr>
          <w:rFonts w:ascii="Times New Roman" w:hAnsi="Times New Roman" w:cs="Times New Roman"/>
          <w:sz w:val="26"/>
          <w:szCs w:val="26"/>
        </w:rPr>
        <w:t>ust establish th</w:t>
      </w:r>
      <w:r>
        <w:rPr>
          <w:rFonts w:ascii="Times New Roman" w:hAnsi="Times New Roman" w:cs="Times New Roman"/>
          <w:sz w:val="26"/>
          <w:szCs w:val="26"/>
        </w:rPr>
        <w:t xml:space="preserve">at </w:t>
      </w:r>
      <w:r w:rsidR="001C2B99">
        <w:rPr>
          <w:rFonts w:ascii="Times New Roman" w:hAnsi="Times New Roman" w:cs="Times New Roman"/>
          <w:sz w:val="26"/>
          <w:szCs w:val="26"/>
        </w:rPr>
        <w:t xml:space="preserve">a </w:t>
      </w:r>
      <w:r>
        <w:rPr>
          <w:rFonts w:ascii="Times New Roman" w:hAnsi="Times New Roman" w:cs="Times New Roman"/>
          <w:sz w:val="26"/>
          <w:szCs w:val="26"/>
        </w:rPr>
        <w:t>UVE</w:t>
      </w:r>
      <w:r w:rsidRPr="00104509">
        <w:rPr>
          <w:rFonts w:ascii="Times New Roman" w:hAnsi="Times New Roman" w:cs="Times New Roman"/>
          <w:sz w:val="26"/>
          <w:szCs w:val="26"/>
        </w:rPr>
        <w:t>:</w:t>
      </w:r>
    </w:p>
    <w:p w14:paraId="0A4F6ADF" w14:textId="77777777" w:rsidR="00104509" w:rsidRPr="00104509" w:rsidRDefault="00104509" w:rsidP="00104509">
      <w:pPr>
        <w:pStyle w:val="NoSpacing"/>
        <w:ind w:left="360" w:hanging="360"/>
        <w:rPr>
          <w:rFonts w:ascii="Times New Roman" w:hAnsi="Times New Roman" w:cs="Times New Roman"/>
          <w:sz w:val="26"/>
          <w:szCs w:val="26"/>
        </w:rPr>
      </w:pPr>
    </w:p>
    <w:p w14:paraId="1462C8D1" w14:textId="7528858B" w:rsidR="00104509" w:rsidRDefault="00104509" w:rsidP="00104509">
      <w:pPr>
        <w:pStyle w:val="NoSpacing"/>
        <w:ind w:left="810" w:hanging="360"/>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t xml:space="preserve">is a Commission </w:t>
      </w:r>
      <w:r w:rsidRPr="00104509">
        <w:rPr>
          <w:rFonts w:ascii="Times New Roman" w:hAnsi="Times New Roman" w:cs="Times New Roman"/>
          <w:sz w:val="26"/>
          <w:szCs w:val="26"/>
        </w:rPr>
        <w:t xml:space="preserve">registered </w:t>
      </w:r>
      <w:r>
        <w:rPr>
          <w:rFonts w:ascii="Times New Roman" w:hAnsi="Times New Roman" w:cs="Times New Roman"/>
          <w:sz w:val="26"/>
          <w:szCs w:val="26"/>
        </w:rPr>
        <w:t>UVE</w:t>
      </w:r>
    </w:p>
    <w:p w14:paraId="6146C48D" w14:textId="77777777" w:rsidR="00D22405" w:rsidRDefault="00104509" w:rsidP="00D22405">
      <w:pPr>
        <w:pStyle w:val="NoSpacing"/>
        <w:ind w:left="810" w:hanging="360"/>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r>
      <w:r w:rsidRPr="00104509">
        <w:rPr>
          <w:rFonts w:ascii="Times New Roman" w:hAnsi="Times New Roman" w:cs="Times New Roman"/>
          <w:sz w:val="26"/>
          <w:szCs w:val="26"/>
        </w:rPr>
        <w:t>has no conflict of interest</w:t>
      </w:r>
      <w:r>
        <w:rPr>
          <w:rFonts w:ascii="Times New Roman" w:hAnsi="Times New Roman" w:cs="Times New Roman"/>
          <w:sz w:val="26"/>
          <w:szCs w:val="26"/>
        </w:rPr>
        <w:t xml:space="preserve"> pursuant to the USPAP</w:t>
      </w:r>
    </w:p>
    <w:p w14:paraId="63CE77B4" w14:textId="77777777" w:rsidR="00D22405" w:rsidRDefault="00D22405" w:rsidP="00D22405">
      <w:pPr>
        <w:pStyle w:val="NoSpacing"/>
        <w:ind w:left="810" w:hanging="360"/>
        <w:rPr>
          <w:rFonts w:ascii="Times New Roman" w:hAnsi="Times New Roman" w:cs="Times New Roman"/>
          <w:sz w:val="26"/>
          <w:szCs w:val="26"/>
        </w:rPr>
      </w:pPr>
      <w:r>
        <w:rPr>
          <w:rFonts w:ascii="Times New Roman" w:hAnsi="Times New Roman" w:cs="Times New Roman"/>
          <w:sz w:val="26"/>
          <w:szCs w:val="26"/>
        </w:rPr>
        <w:t>c.</w:t>
      </w:r>
      <w:r>
        <w:rPr>
          <w:rFonts w:ascii="Times New Roman" w:hAnsi="Times New Roman" w:cs="Times New Roman"/>
          <w:sz w:val="26"/>
          <w:szCs w:val="26"/>
        </w:rPr>
        <w:tab/>
      </w:r>
      <w:r w:rsidR="00104509" w:rsidRPr="00104509">
        <w:rPr>
          <w:rFonts w:ascii="Times New Roman" w:hAnsi="Times New Roman" w:cs="Times New Roman"/>
          <w:sz w:val="26"/>
          <w:szCs w:val="26"/>
        </w:rPr>
        <w:t xml:space="preserve">fee is limited to </w:t>
      </w:r>
      <w:r>
        <w:rPr>
          <w:rFonts w:ascii="Times New Roman" w:hAnsi="Times New Roman" w:cs="Times New Roman"/>
          <w:sz w:val="26"/>
          <w:szCs w:val="26"/>
        </w:rPr>
        <w:t>2.5</w:t>
      </w:r>
      <w:r w:rsidR="00104509" w:rsidRPr="00104509">
        <w:rPr>
          <w:rFonts w:ascii="Times New Roman" w:hAnsi="Times New Roman" w:cs="Times New Roman"/>
          <w:sz w:val="26"/>
          <w:szCs w:val="26"/>
        </w:rPr>
        <w:t>% of fair market value</w:t>
      </w:r>
    </w:p>
    <w:p w14:paraId="690E6C79" w14:textId="0214E903" w:rsidR="00D22405" w:rsidRDefault="00D22405" w:rsidP="00D22405">
      <w:pPr>
        <w:pStyle w:val="NoSpacing"/>
        <w:ind w:left="810" w:hanging="360"/>
        <w:rPr>
          <w:rFonts w:ascii="Times New Roman" w:hAnsi="Times New Roman" w:cs="Times New Roman"/>
          <w:sz w:val="26"/>
          <w:szCs w:val="26"/>
        </w:rPr>
      </w:pPr>
      <w:r>
        <w:rPr>
          <w:rFonts w:ascii="Times New Roman" w:hAnsi="Times New Roman" w:cs="Times New Roman"/>
          <w:sz w:val="26"/>
          <w:szCs w:val="26"/>
        </w:rPr>
        <w:t>d.</w:t>
      </w:r>
      <w:r>
        <w:rPr>
          <w:rFonts w:ascii="Times New Roman" w:hAnsi="Times New Roman" w:cs="Times New Roman"/>
          <w:sz w:val="26"/>
          <w:szCs w:val="26"/>
        </w:rPr>
        <w:tab/>
      </w:r>
      <w:r w:rsidR="00B7799B">
        <w:rPr>
          <w:rFonts w:ascii="Times New Roman" w:hAnsi="Times New Roman" w:cs="Times New Roman"/>
          <w:sz w:val="26"/>
          <w:szCs w:val="26"/>
        </w:rPr>
        <w:t xml:space="preserve">incorporated the </w:t>
      </w:r>
      <w:r w:rsidR="006B7457">
        <w:rPr>
          <w:rFonts w:ascii="Times New Roman" w:hAnsi="Times New Roman" w:cs="Times New Roman"/>
          <w:sz w:val="26"/>
          <w:szCs w:val="26"/>
        </w:rPr>
        <w:t xml:space="preserve">licensed engineer’s </w:t>
      </w:r>
      <w:r w:rsidR="00B7799B">
        <w:rPr>
          <w:rFonts w:ascii="Times New Roman" w:hAnsi="Times New Roman" w:cs="Times New Roman"/>
          <w:sz w:val="26"/>
          <w:szCs w:val="26"/>
        </w:rPr>
        <w:t>assessment of the tangible assets of the Selling Utility into the UVE appraisal as required by Section 1329(a)(4)</w:t>
      </w:r>
    </w:p>
    <w:p w14:paraId="48640133" w14:textId="48BA0EB9" w:rsidR="00156F6E" w:rsidRDefault="00D22405" w:rsidP="00D22405">
      <w:pPr>
        <w:pStyle w:val="NoSpacing"/>
        <w:ind w:left="810" w:hanging="360"/>
        <w:rPr>
          <w:rFonts w:ascii="Times New Roman" w:hAnsi="Times New Roman" w:cs="Times New Roman"/>
          <w:sz w:val="26"/>
          <w:szCs w:val="26"/>
        </w:rPr>
      </w:pPr>
      <w:r>
        <w:rPr>
          <w:rFonts w:ascii="Times New Roman" w:hAnsi="Times New Roman" w:cs="Times New Roman"/>
          <w:sz w:val="26"/>
          <w:szCs w:val="26"/>
        </w:rPr>
        <w:t>e.</w:t>
      </w:r>
      <w:r>
        <w:rPr>
          <w:rFonts w:ascii="Times New Roman" w:hAnsi="Times New Roman" w:cs="Times New Roman"/>
          <w:sz w:val="26"/>
          <w:szCs w:val="26"/>
        </w:rPr>
        <w:tab/>
      </w:r>
      <w:r w:rsidR="006B7457">
        <w:rPr>
          <w:rFonts w:ascii="Times New Roman" w:hAnsi="Times New Roman" w:cs="Times New Roman"/>
          <w:sz w:val="26"/>
          <w:szCs w:val="26"/>
        </w:rPr>
        <w:t xml:space="preserve">has </w:t>
      </w:r>
      <w:r w:rsidR="00104509" w:rsidRPr="00104509">
        <w:rPr>
          <w:rFonts w:ascii="Times New Roman" w:hAnsi="Times New Roman" w:cs="Times New Roman"/>
          <w:sz w:val="26"/>
          <w:szCs w:val="26"/>
        </w:rPr>
        <w:t>verifie</w:t>
      </w:r>
      <w:r w:rsidR="006B7457">
        <w:rPr>
          <w:rFonts w:ascii="Times New Roman" w:hAnsi="Times New Roman" w:cs="Times New Roman"/>
          <w:sz w:val="26"/>
          <w:szCs w:val="26"/>
        </w:rPr>
        <w:t>d</w:t>
      </w:r>
      <w:r w:rsidR="00104509" w:rsidRPr="00104509">
        <w:rPr>
          <w:rFonts w:ascii="Times New Roman" w:hAnsi="Times New Roman" w:cs="Times New Roman"/>
          <w:sz w:val="26"/>
          <w:szCs w:val="26"/>
        </w:rPr>
        <w:t xml:space="preserve"> that valuation methods</w:t>
      </w:r>
      <w:r w:rsidR="006B7457">
        <w:rPr>
          <w:rFonts w:ascii="Times New Roman" w:hAnsi="Times New Roman" w:cs="Times New Roman"/>
          <w:sz w:val="26"/>
          <w:szCs w:val="26"/>
        </w:rPr>
        <w:t xml:space="preserve"> used</w:t>
      </w:r>
      <w:r w:rsidR="00104509" w:rsidRPr="00104509">
        <w:rPr>
          <w:rFonts w:ascii="Times New Roman" w:hAnsi="Times New Roman" w:cs="Times New Roman"/>
          <w:sz w:val="26"/>
          <w:szCs w:val="26"/>
        </w:rPr>
        <w:t xml:space="preserve"> (cost, income and market) comply w</w:t>
      </w:r>
      <w:r w:rsidR="006B7457">
        <w:rPr>
          <w:rFonts w:ascii="Times New Roman" w:hAnsi="Times New Roman" w:cs="Times New Roman"/>
          <w:sz w:val="26"/>
          <w:szCs w:val="26"/>
        </w:rPr>
        <w:t xml:space="preserve">ith </w:t>
      </w:r>
      <w:r w:rsidR="00104509" w:rsidRPr="00104509">
        <w:rPr>
          <w:rFonts w:ascii="Times New Roman" w:hAnsi="Times New Roman" w:cs="Times New Roman"/>
          <w:sz w:val="26"/>
          <w:szCs w:val="26"/>
        </w:rPr>
        <w:t>the</w:t>
      </w:r>
      <w:r>
        <w:rPr>
          <w:rFonts w:ascii="Times New Roman" w:hAnsi="Times New Roman" w:cs="Times New Roman"/>
          <w:sz w:val="26"/>
          <w:szCs w:val="26"/>
        </w:rPr>
        <w:t xml:space="preserve"> current edition </w:t>
      </w:r>
      <w:r w:rsidR="00104509" w:rsidRPr="00104509">
        <w:rPr>
          <w:rFonts w:ascii="Times New Roman" w:hAnsi="Times New Roman" w:cs="Times New Roman"/>
          <w:sz w:val="26"/>
          <w:szCs w:val="26"/>
        </w:rPr>
        <w:t>of the USPAP</w:t>
      </w:r>
    </w:p>
    <w:p w14:paraId="4A506507" w14:textId="09409E47" w:rsidR="00A11E5F" w:rsidRDefault="00A11E5F" w:rsidP="00156F6E">
      <w:pPr>
        <w:pStyle w:val="NoSpacing"/>
        <w:ind w:left="360" w:hanging="360"/>
        <w:rPr>
          <w:rFonts w:ascii="Times New Roman" w:hAnsi="Times New Roman" w:cs="Times New Roman"/>
          <w:sz w:val="26"/>
          <w:szCs w:val="26"/>
        </w:rPr>
      </w:pPr>
    </w:p>
    <w:p w14:paraId="6DE93162" w14:textId="040A66FB" w:rsidR="00A11E5F" w:rsidRDefault="00D22405" w:rsidP="00A11E5F">
      <w:pPr>
        <w:pStyle w:val="NoSpacing"/>
        <w:ind w:left="360" w:hanging="360"/>
        <w:rPr>
          <w:rFonts w:ascii="Times New Roman" w:hAnsi="Times New Roman" w:cs="Times New Roman"/>
          <w:sz w:val="26"/>
          <w:szCs w:val="26"/>
        </w:rPr>
      </w:pPr>
      <w:r>
        <w:rPr>
          <w:rFonts w:ascii="Times New Roman" w:hAnsi="Times New Roman" w:cs="Times New Roman"/>
          <w:sz w:val="26"/>
          <w:szCs w:val="26"/>
        </w:rPr>
        <w:t>4</w:t>
      </w:r>
      <w:r w:rsidR="00A11E5F">
        <w:rPr>
          <w:rFonts w:ascii="Times New Roman" w:hAnsi="Times New Roman" w:cs="Times New Roman"/>
          <w:sz w:val="26"/>
          <w:szCs w:val="26"/>
        </w:rPr>
        <w:t>.</w:t>
      </w:r>
      <w:r w:rsidR="00A11E5F">
        <w:rPr>
          <w:rFonts w:ascii="Times New Roman" w:hAnsi="Times New Roman" w:cs="Times New Roman"/>
          <w:sz w:val="26"/>
          <w:szCs w:val="26"/>
        </w:rPr>
        <w:tab/>
        <w:t>UVE materials submitted in support of a request for Section 1329 fair market valuation must</w:t>
      </w:r>
      <w:r w:rsidR="003E0B27" w:rsidRPr="00797D5D">
        <w:rPr>
          <w:rFonts w:ascii="Times New Roman" w:hAnsi="Times New Roman" w:cs="Times New Roman"/>
          <w:sz w:val="26"/>
          <w:szCs w:val="26"/>
        </w:rPr>
        <w:t>:</w:t>
      </w:r>
    </w:p>
    <w:p w14:paraId="10FAC4BB" w14:textId="77777777" w:rsidR="00A11E5F" w:rsidRDefault="00A11E5F" w:rsidP="00A11E5F">
      <w:pPr>
        <w:pStyle w:val="NoSpacing"/>
        <w:ind w:left="360" w:hanging="360"/>
        <w:rPr>
          <w:rFonts w:ascii="Times New Roman" w:hAnsi="Times New Roman" w:cs="Times New Roman"/>
          <w:sz w:val="26"/>
          <w:szCs w:val="26"/>
        </w:rPr>
      </w:pPr>
    </w:p>
    <w:p w14:paraId="6F144F32" w14:textId="6AEFE17E" w:rsidR="00A11E5F" w:rsidRDefault="00A11E5F" w:rsidP="00A11E5F">
      <w:pPr>
        <w:pStyle w:val="NoSpacing"/>
        <w:ind w:left="810" w:hanging="360"/>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r>
      <w:proofErr w:type="gramStart"/>
      <w:r w:rsidR="00F314DD">
        <w:rPr>
          <w:rFonts w:ascii="Times New Roman" w:hAnsi="Times New Roman" w:cs="Times New Roman"/>
          <w:sz w:val="26"/>
          <w:szCs w:val="26"/>
        </w:rPr>
        <w:t>e</w:t>
      </w:r>
      <w:r w:rsidR="003E0B27" w:rsidRPr="00797D5D">
        <w:rPr>
          <w:rFonts w:ascii="Times New Roman" w:hAnsi="Times New Roman" w:cs="Times New Roman"/>
          <w:sz w:val="26"/>
          <w:szCs w:val="26"/>
        </w:rPr>
        <w:t>xplain</w:t>
      </w:r>
      <w:proofErr w:type="gramEnd"/>
      <w:r w:rsidR="003E0B27" w:rsidRPr="00797D5D">
        <w:rPr>
          <w:rFonts w:ascii="Times New Roman" w:hAnsi="Times New Roman" w:cs="Times New Roman"/>
          <w:sz w:val="26"/>
          <w:szCs w:val="26"/>
        </w:rPr>
        <w:t xml:space="preserve"> </w:t>
      </w:r>
      <w:r>
        <w:rPr>
          <w:rFonts w:ascii="Times New Roman" w:hAnsi="Times New Roman" w:cs="Times New Roman"/>
          <w:sz w:val="26"/>
          <w:szCs w:val="26"/>
        </w:rPr>
        <w:t xml:space="preserve">the </w:t>
      </w:r>
      <w:r w:rsidR="003E0B27" w:rsidRPr="00797D5D">
        <w:rPr>
          <w:rFonts w:ascii="Times New Roman" w:hAnsi="Times New Roman" w:cs="Times New Roman"/>
          <w:sz w:val="26"/>
          <w:szCs w:val="26"/>
        </w:rPr>
        <w:t xml:space="preserve">basis of </w:t>
      </w:r>
      <w:r>
        <w:rPr>
          <w:rFonts w:ascii="Times New Roman" w:hAnsi="Times New Roman" w:cs="Times New Roman"/>
          <w:sz w:val="26"/>
          <w:szCs w:val="26"/>
        </w:rPr>
        <w:t xml:space="preserve">the individual </w:t>
      </w:r>
      <w:r w:rsidR="003E0B27" w:rsidRPr="00797D5D">
        <w:rPr>
          <w:rFonts w:ascii="Times New Roman" w:hAnsi="Times New Roman" w:cs="Times New Roman"/>
          <w:sz w:val="26"/>
          <w:szCs w:val="26"/>
        </w:rPr>
        <w:t xml:space="preserve">weight </w:t>
      </w:r>
      <w:r>
        <w:rPr>
          <w:rFonts w:ascii="Times New Roman" w:hAnsi="Times New Roman" w:cs="Times New Roman"/>
          <w:sz w:val="26"/>
          <w:szCs w:val="26"/>
        </w:rPr>
        <w:t>given to the cost, market, and income approach</w:t>
      </w:r>
    </w:p>
    <w:p w14:paraId="77503A73" w14:textId="6FAD00BB" w:rsidR="003E0B27" w:rsidRDefault="00A11E5F" w:rsidP="00A11E5F">
      <w:pPr>
        <w:pStyle w:val="NoSpacing"/>
        <w:ind w:left="810" w:hanging="360"/>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r>
      <w:proofErr w:type="gramStart"/>
      <w:r w:rsidR="00F314DD">
        <w:rPr>
          <w:rFonts w:ascii="Times New Roman" w:hAnsi="Times New Roman" w:cs="Times New Roman"/>
          <w:sz w:val="26"/>
          <w:szCs w:val="26"/>
        </w:rPr>
        <w:t>u</w:t>
      </w:r>
      <w:r w:rsidR="003E0B27" w:rsidRPr="00797D5D">
        <w:rPr>
          <w:rFonts w:ascii="Times New Roman" w:hAnsi="Times New Roman" w:cs="Times New Roman"/>
          <w:sz w:val="26"/>
          <w:szCs w:val="26"/>
        </w:rPr>
        <w:t>se</w:t>
      </w:r>
      <w:proofErr w:type="gramEnd"/>
      <w:r w:rsidR="003E0B27" w:rsidRPr="00797D5D">
        <w:rPr>
          <w:rFonts w:ascii="Times New Roman" w:hAnsi="Times New Roman" w:cs="Times New Roman"/>
          <w:sz w:val="26"/>
          <w:szCs w:val="26"/>
        </w:rPr>
        <w:t xml:space="preserve"> </w:t>
      </w:r>
      <w:r>
        <w:rPr>
          <w:rFonts w:ascii="Times New Roman" w:hAnsi="Times New Roman" w:cs="Times New Roman"/>
          <w:sz w:val="26"/>
          <w:szCs w:val="26"/>
        </w:rPr>
        <w:t>the Commission’s</w:t>
      </w:r>
      <w:r w:rsidR="003E0B27" w:rsidRPr="00797D5D">
        <w:rPr>
          <w:rFonts w:ascii="Times New Roman" w:hAnsi="Times New Roman" w:cs="Times New Roman"/>
          <w:sz w:val="26"/>
          <w:szCs w:val="26"/>
        </w:rPr>
        <w:t xml:space="preserve"> quarterly </w:t>
      </w:r>
      <w:r w:rsidR="009D189C" w:rsidRPr="00797D5D">
        <w:rPr>
          <w:rFonts w:ascii="Times New Roman" w:hAnsi="Times New Roman" w:cs="Times New Roman"/>
          <w:sz w:val="26"/>
          <w:szCs w:val="26"/>
        </w:rPr>
        <w:t xml:space="preserve">earnings </w:t>
      </w:r>
      <w:r w:rsidR="003E0B27" w:rsidRPr="00797D5D">
        <w:rPr>
          <w:rFonts w:ascii="Times New Roman" w:hAnsi="Times New Roman" w:cs="Times New Roman"/>
          <w:sz w:val="26"/>
          <w:szCs w:val="26"/>
        </w:rPr>
        <w:t>report for capital structure, cost of debt</w:t>
      </w:r>
      <w:r w:rsidR="009D189C" w:rsidRPr="00797D5D">
        <w:rPr>
          <w:rFonts w:ascii="Times New Roman" w:hAnsi="Times New Roman" w:cs="Times New Roman"/>
          <w:sz w:val="26"/>
          <w:szCs w:val="26"/>
        </w:rPr>
        <w:t>,</w:t>
      </w:r>
      <w:r w:rsidR="003E0B27" w:rsidRPr="00797D5D">
        <w:rPr>
          <w:rFonts w:ascii="Times New Roman" w:hAnsi="Times New Roman" w:cs="Times New Roman"/>
          <w:sz w:val="26"/>
          <w:szCs w:val="26"/>
        </w:rPr>
        <w:t xml:space="preserve"> cost of </w:t>
      </w:r>
      <w:r w:rsidR="00F314A9" w:rsidRPr="00797D5D">
        <w:rPr>
          <w:rFonts w:ascii="Times New Roman" w:hAnsi="Times New Roman" w:cs="Times New Roman"/>
          <w:sz w:val="26"/>
          <w:szCs w:val="26"/>
        </w:rPr>
        <w:t>equity and</w:t>
      </w:r>
      <w:r w:rsidR="009D189C" w:rsidRPr="00797D5D">
        <w:rPr>
          <w:rFonts w:ascii="Times New Roman" w:hAnsi="Times New Roman" w:cs="Times New Roman"/>
          <w:sz w:val="26"/>
          <w:szCs w:val="26"/>
        </w:rPr>
        <w:t xml:space="preserve"> weighted average cost of capital</w:t>
      </w:r>
      <w:r w:rsidR="00C374D1">
        <w:rPr>
          <w:rFonts w:ascii="Times New Roman" w:hAnsi="Times New Roman" w:cs="Times New Roman"/>
          <w:sz w:val="26"/>
          <w:szCs w:val="26"/>
        </w:rPr>
        <w:t xml:space="preserve">.  The quarterly earnings report used </w:t>
      </w:r>
      <w:r w:rsidR="00A944D9">
        <w:rPr>
          <w:rFonts w:ascii="Times New Roman" w:hAnsi="Times New Roman" w:cs="Times New Roman"/>
          <w:sz w:val="26"/>
          <w:szCs w:val="26"/>
        </w:rPr>
        <w:t>must</w:t>
      </w:r>
      <w:r w:rsidR="00C374D1">
        <w:rPr>
          <w:rFonts w:ascii="Times New Roman" w:hAnsi="Times New Roman" w:cs="Times New Roman"/>
          <w:sz w:val="26"/>
          <w:szCs w:val="26"/>
        </w:rPr>
        <w:t xml:space="preserve"> be contemporaneous with the production of the valuation.</w:t>
      </w:r>
    </w:p>
    <w:p w14:paraId="7F341FC0" w14:textId="0DB2F3FA" w:rsidR="00475157" w:rsidRDefault="00475157" w:rsidP="00A11E5F">
      <w:pPr>
        <w:pStyle w:val="NoSpacing"/>
        <w:ind w:left="810" w:hanging="360"/>
        <w:rPr>
          <w:rFonts w:ascii="Times New Roman" w:hAnsi="Times New Roman" w:cs="Times New Roman"/>
          <w:sz w:val="26"/>
          <w:szCs w:val="26"/>
        </w:rPr>
      </w:pPr>
    </w:p>
    <w:p w14:paraId="25466E9A" w14:textId="3496E187" w:rsidR="00475157" w:rsidRPr="00797D5D" w:rsidRDefault="00475157" w:rsidP="00475157">
      <w:pPr>
        <w:pStyle w:val="NoSpacing"/>
        <w:ind w:left="360" w:hanging="360"/>
        <w:rPr>
          <w:rFonts w:ascii="Times New Roman" w:hAnsi="Times New Roman" w:cs="Times New Roman"/>
          <w:sz w:val="26"/>
          <w:szCs w:val="26"/>
        </w:rPr>
      </w:pPr>
      <w:r>
        <w:rPr>
          <w:rFonts w:ascii="Times New Roman" w:hAnsi="Times New Roman" w:cs="Times New Roman"/>
          <w:sz w:val="26"/>
          <w:szCs w:val="26"/>
        </w:rPr>
        <w:t>5.</w:t>
      </w:r>
      <w:r>
        <w:rPr>
          <w:rFonts w:ascii="Times New Roman" w:hAnsi="Times New Roman" w:cs="Times New Roman"/>
          <w:sz w:val="26"/>
          <w:szCs w:val="26"/>
        </w:rPr>
        <w:tab/>
        <w:t xml:space="preserve">Both the Seller and Buyer </w:t>
      </w:r>
      <w:r w:rsidRPr="00475157">
        <w:rPr>
          <w:rFonts w:ascii="Times New Roman" w:hAnsi="Times New Roman" w:cs="Times New Roman"/>
          <w:sz w:val="26"/>
          <w:szCs w:val="26"/>
        </w:rPr>
        <w:t xml:space="preserve">UVE will support their </w:t>
      </w:r>
      <w:r>
        <w:rPr>
          <w:rFonts w:ascii="Times New Roman" w:hAnsi="Times New Roman" w:cs="Times New Roman"/>
          <w:sz w:val="26"/>
          <w:szCs w:val="26"/>
        </w:rPr>
        <w:t xml:space="preserve">respective </w:t>
      </w:r>
      <w:r w:rsidRPr="00475157">
        <w:rPr>
          <w:rFonts w:ascii="Times New Roman" w:hAnsi="Times New Roman" w:cs="Times New Roman"/>
          <w:sz w:val="26"/>
          <w:szCs w:val="26"/>
        </w:rPr>
        <w:t xml:space="preserve">appraisals </w:t>
      </w:r>
      <w:r>
        <w:rPr>
          <w:rFonts w:ascii="Times New Roman" w:hAnsi="Times New Roman" w:cs="Times New Roman"/>
          <w:sz w:val="26"/>
          <w:szCs w:val="26"/>
        </w:rPr>
        <w:t xml:space="preserve">with data and written </w:t>
      </w:r>
      <w:r w:rsidR="007414E4">
        <w:rPr>
          <w:rFonts w:ascii="Times New Roman" w:hAnsi="Times New Roman" w:cs="Times New Roman"/>
          <w:sz w:val="26"/>
          <w:szCs w:val="26"/>
        </w:rPr>
        <w:t xml:space="preserve">direct </w:t>
      </w:r>
      <w:r>
        <w:rPr>
          <w:rFonts w:ascii="Times New Roman" w:hAnsi="Times New Roman" w:cs="Times New Roman"/>
          <w:sz w:val="26"/>
          <w:szCs w:val="26"/>
        </w:rPr>
        <w:t xml:space="preserve">testimony at </w:t>
      </w:r>
      <w:r w:rsidRPr="00475157">
        <w:rPr>
          <w:rFonts w:ascii="Times New Roman" w:hAnsi="Times New Roman" w:cs="Times New Roman"/>
          <w:sz w:val="26"/>
          <w:szCs w:val="26"/>
        </w:rPr>
        <w:t xml:space="preserve">the </w:t>
      </w:r>
      <w:r>
        <w:rPr>
          <w:rFonts w:ascii="Times New Roman" w:hAnsi="Times New Roman" w:cs="Times New Roman"/>
          <w:sz w:val="26"/>
          <w:szCs w:val="26"/>
        </w:rPr>
        <w:t xml:space="preserve">time a request for Section 1329 valuation is </w:t>
      </w:r>
      <w:r w:rsidRPr="00475157">
        <w:rPr>
          <w:rFonts w:ascii="Times New Roman" w:hAnsi="Times New Roman" w:cs="Times New Roman"/>
          <w:sz w:val="26"/>
          <w:szCs w:val="26"/>
        </w:rPr>
        <w:t>fil</w:t>
      </w:r>
      <w:r>
        <w:rPr>
          <w:rFonts w:ascii="Times New Roman" w:hAnsi="Times New Roman" w:cs="Times New Roman"/>
          <w:sz w:val="26"/>
          <w:szCs w:val="26"/>
        </w:rPr>
        <w:t xml:space="preserve">ed with the Commission.  The Commission will not accept </w:t>
      </w:r>
      <w:r w:rsidR="0053149E">
        <w:rPr>
          <w:rFonts w:ascii="Times New Roman" w:hAnsi="Times New Roman" w:cs="Times New Roman"/>
          <w:sz w:val="26"/>
          <w:szCs w:val="26"/>
        </w:rPr>
        <w:t>untimely</w:t>
      </w:r>
      <w:r>
        <w:rPr>
          <w:rFonts w:ascii="Times New Roman" w:hAnsi="Times New Roman" w:cs="Times New Roman"/>
          <w:sz w:val="26"/>
          <w:szCs w:val="26"/>
        </w:rPr>
        <w:t xml:space="preserve"> </w:t>
      </w:r>
      <w:r w:rsidR="0053149E">
        <w:rPr>
          <w:rFonts w:ascii="Times New Roman" w:hAnsi="Times New Roman" w:cs="Times New Roman"/>
          <w:sz w:val="26"/>
          <w:szCs w:val="26"/>
        </w:rPr>
        <w:t xml:space="preserve">direct </w:t>
      </w:r>
      <w:r>
        <w:rPr>
          <w:rFonts w:ascii="Times New Roman" w:hAnsi="Times New Roman" w:cs="Times New Roman"/>
          <w:sz w:val="26"/>
          <w:szCs w:val="26"/>
        </w:rPr>
        <w:t>testimony</w:t>
      </w:r>
      <w:r w:rsidR="0053149E">
        <w:rPr>
          <w:rFonts w:ascii="Times New Roman" w:hAnsi="Times New Roman" w:cs="Times New Roman"/>
          <w:sz w:val="26"/>
          <w:szCs w:val="26"/>
        </w:rPr>
        <w:t xml:space="preserve">, or </w:t>
      </w:r>
      <w:r w:rsidR="00A944D9">
        <w:rPr>
          <w:rFonts w:ascii="Times New Roman" w:hAnsi="Times New Roman" w:cs="Times New Roman"/>
          <w:sz w:val="26"/>
          <w:szCs w:val="26"/>
        </w:rPr>
        <w:t>untimely testimony</w:t>
      </w:r>
      <w:r>
        <w:rPr>
          <w:rFonts w:ascii="Times New Roman" w:hAnsi="Times New Roman" w:cs="Times New Roman"/>
          <w:sz w:val="26"/>
          <w:szCs w:val="26"/>
        </w:rPr>
        <w:t xml:space="preserve"> </w:t>
      </w:r>
      <w:r w:rsidR="0053149E">
        <w:rPr>
          <w:rFonts w:ascii="Times New Roman" w:hAnsi="Times New Roman" w:cs="Times New Roman"/>
          <w:sz w:val="26"/>
          <w:szCs w:val="26"/>
        </w:rPr>
        <w:t>in the nature of direct</w:t>
      </w:r>
      <w:r w:rsidR="00A944D9">
        <w:rPr>
          <w:rFonts w:ascii="Times New Roman" w:hAnsi="Times New Roman" w:cs="Times New Roman"/>
          <w:sz w:val="26"/>
          <w:szCs w:val="26"/>
        </w:rPr>
        <w:t>,</w:t>
      </w:r>
      <w:r w:rsidR="0053149E">
        <w:rPr>
          <w:rFonts w:ascii="Times New Roman" w:hAnsi="Times New Roman" w:cs="Times New Roman"/>
          <w:sz w:val="26"/>
          <w:szCs w:val="26"/>
        </w:rPr>
        <w:t xml:space="preserve"> regarding</w:t>
      </w:r>
      <w:r>
        <w:rPr>
          <w:rFonts w:ascii="Times New Roman" w:hAnsi="Times New Roman" w:cs="Times New Roman"/>
          <w:sz w:val="26"/>
          <w:szCs w:val="26"/>
        </w:rPr>
        <w:t xml:space="preserve"> </w:t>
      </w:r>
      <w:r w:rsidR="0053149E">
        <w:rPr>
          <w:rFonts w:ascii="Times New Roman" w:hAnsi="Times New Roman" w:cs="Times New Roman"/>
          <w:sz w:val="26"/>
          <w:szCs w:val="26"/>
        </w:rPr>
        <w:t>a UVE appraisal.</w:t>
      </w:r>
    </w:p>
    <w:p w14:paraId="5BDF53BF" w14:textId="25370B6C" w:rsidR="003E0B27" w:rsidRDefault="003E0B27" w:rsidP="00475157">
      <w:pPr>
        <w:pStyle w:val="NoSpacing"/>
        <w:ind w:left="360" w:hanging="360"/>
        <w:rPr>
          <w:rFonts w:ascii="Times New Roman" w:hAnsi="Times New Roman" w:cs="Times New Roman"/>
          <w:sz w:val="26"/>
          <w:szCs w:val="26"/>
        </w:rPr>
      </w:pPr>
    </w:p>
    <w:p w14:paraId="4BBDE2C2" w14:textId="77777777" w:rsidR="005B63F5" w:rsidRDefault="005B63F5" w:rsidP="00475157">
      <w:pPr>
        <w:pStyle w:val="NoSpacing"/>
        <w:ind w:left="360" w:hanging="360"/>
        <w:rPr>
          <w:rFonts w:ascii="Times New Roman" w:hAnsi="Times New Roman" w:cs="Times New Roman"/>
          <w:sz w:val="26"/>
          <w:szCs w:val="26"/>
        </w:rPr>
      </w:pPr>
    </w:p>
    <w:p w14:paraId="1692741E" w14:textId="758F3056" w:rsidR="00475157" w:rsidRDefault="00475157" w:rsidP="00475157">
      <w:pPr>
        <w:pStyle w:val="NoSpacing"/>
        <w:ind w:left="360" w:hanging="360"/>
        <w:rPr>
          <w:rFonts w:ascii="Times New Roman" w:hAnsi="Times New Roman" w:cs="Times New Roman"/>
          <w:sz w:val="26"/>
          <w:szCs w:val="26"/>
        </w:rPr>
      </w:pPr>
    </w:p>
    <w:p w14:paraId="501B2A1C" w14:textId="0A244030" w:rsidR="001971A2" w:rsidRDefault="001971A2" w:rsidP="003E0B27">
      <w:pPr>
        <w:pStyle w:val="NoSpacing"/>
        <w:rPr>
          <w:rFonts w:ascii="Times New Roman" w:hAnsi="Times New Roman" w:cs="Times New Roman"/>
          <w:b/>
          <w:sz w:val="26"/>
          <w:szCs w:val="26"/>
        </w:rPr>
      </w:pPr>
      <w:r>
        <w:rPr>
          <w:rFonts w:ascii="Times New Roman" w:hAnsi="Times New Roman" w:cs="Times New Roman"/>
          <w:b/>
          <w:sz w:val="26"/>
          <w:szCs w:val="26"/>
        </w:rPr>
        <w:lastRenderedPageBreak/>
        <w:t>Jurisdictional Exceptions</w:t>
      </w:r>
    </w:p>
    <w:p w14:paraId="02DB4362" w14:textId="77777777" w:rsidR="007C6E8D" w:rsidRDefault="007C6E8D" w:rsidP="007C6E8D">
      <w:pPr>
        <w:pStyle w:val="NoSpacing"/>
        <w:rPr>
          <w:rFonts w:ascii="Times New Roman" w:hAnsi="Times New Roman" w:cs="Times New Roman"/>
          <w:sz w:val="26"/>
          <w:szCs w:val="26"/>
        </w:rPr>
      </w:pPr>
    </w:p>
    <w:p w14:paraId="5809C06E" w14:textId="290A152E" w:rsidR="007C6E8D" w:rsidRPr="007C6E8D" w:rsidRDefault="007C6E8D" w:rsidP="007C6E8D">
      <w:pPr>
        <w:pStyle w:val="NoSpacing"/>
        <w:rPr>
          <w:rFonts w:ascii="Times New Roman" w:hAnsi="Times New Roman" w:cs="Times New Roman"/>
          <w:sz w:val="26"/>
          <w:szCs w:val="26"/>
        </w:rPr>
      </w:pPr>
      <w:r w:rsidRPr="007C6E8D">
        <w:rPr>
          <w:rFonts w:ascii="Times New Roman" w:hAnsi="Times New Roman" w:cs="Times New Roman"/>
          <w:sz w:val="26"/>
          <w:szCs w:val="26"/>
        </w:rPr>
        <w:t xml:space="preserve">As a general matter, going concern, overhead, and erosion of cash flow or return add-ons shall not be included in appraisals under the cost, income, or market approaches. </w:t>
      </w:r>
    </w:p>
    <w:p w14:paraId="6F54D9AF" w14:textId="77777777" w:rsidR="001971A2" w:rsidRDefault="001971A2" w:rsidP="003E0B27">
      <w:pPr>
        <w:pStyle w:val="NoSpacing"/>
        <w:rPr>
          <w:rFonts w:ascii="Times New Roman" w:hAnsi="Times New Roman" w:cs="Times New Roman"/>
          <w:b/>
          <w:sz w:val="26"/>
          <w:szCs w:val="26"/>
        </w:rPr>
      </w:pPr>
    </w:p>
    <w:p w14:paraId="219CBDE6" w14:textId="37DA632B" w:rsidR="003E0B27" w:rsidRPr="00797D5D" w:rsidRDefault="003E0B27" w:rsidP="003E0B27">
      <w:pPr>
        <w:pStyle w:val="NoSpacing"/>
        <w:rPr>
          <w:rFonts w:ascii="Times New Roman" w:hAnsi="Times New Roman" w:cs="Times New Roman"/>
          <w:b/>
          <w:sz w:val="26"/>
          <w:szCs w:val="26"/>
        </w:rPr>
      </w:pPr>
      <w:r w:rsidRPr="00797D5D">
        <w:rPr>
          <w:rFonts w:ascii="Times New Roman" w:hAnsi="Times New Roman" w:cs="Times New Roman"/>
          <w:b/>
          <w:sz w:val="26"/>
          <w:szCs w:val="26"/>
        </w:rPr>
        <w:t>Cost Approach</w:t>
      </w:r>
      <w:r w:rsidR="004F12F4" w:rsidRPr="00797D5D">
        <w:rPr>
          <w:rFonts w:ascii="Times New Roman" w:hAnsi="Times New Roman" w:cs="Times New Roman"/>
          <w:b/>
          <w:sz w:val="26"/>
          <w:szCs w:val="26"/>
        </w:rPr>
        <w:t xml:space="preserve"> </w:t>
      </w:r>
    </w:p>
    <w:p w14:paraId="152DEF88" w14:textId="77777777" w:rsidR="00153F51" w:rsidRPr="00797D5D" w:rsidRDefault="00153F51" w:rsidP="003E0B27">
      <w:pPr>
        <w:pStyle w:val="NoSpacing"/>
        <w:rPr>
          <w:rFonts w:ascii="Times New Roman" w:hAnsi="Times New Roman" w:cs="Times New Roman"/>
          <w:b/>
          <w:sz w:val="26"/>
          <w:szCs w:val="26"/>
        </w:rPr>
      </w:pPr>
    </w:p>
    <w:p w14:paraId="58CC0E43" w14:textId="77777777" w:rsidR="00F314DD" w:rsidRDefault="00F314DD" w:rsidP="00F314DD">
      <w:pPr>
        <w:pStyle w:val="NoSpacing"/>
        <w:ind w:left="360" w:hanging="360"/>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r>
      <w:bookmarkStart w:id="2" w:name="_Hlk523305154"/>
      <w:r w:rsidR="00461145" w:rsidRPr="00797D5D">
        <w:rPr>
          <w:rFonts w:ascii="Times New Roman" w:hAnsi="Times New Roman" w:cs="Times New Roman"/>
          <w:sz w:val="26"/>
          <w:szCs w:val="26"/>
        </w:rPr>
        <w:t>Cost approach</w:t>
      </w:r>
      <w:r w:rsidR="004F12F4" w:rsidRPr="00797D5D">
        <w:rPr>
          <w:rFonts w:ascii="Times New Roman" w:hAnsi="Times New Roman" w:cs="Times New Roman"/>
          <w:sz w:val="26"/>
          <w:szCs w:val="26"/>
        </w:rPr>
        <w:t xml:space="preserve"> may</w:t>
      </w:r>
      <w:r w:rsidR="00461145" w:rsidRPr="00797D5D">
        <w:rPr>
          <w:rFonts w:ascii="Times New Roman" w:hAnsi="Times New Roman" w:cs="Times New Roman"/>
          <w:sz w:val="26"/>
          <w:szCs w:val="26"/>
        </w:rPr>
        <w:t xml:space="preserve"> measure value </w:t>
      </w:r>
      <w:r w:rsidR="004B3901" w:rsidRPr="00797D5D">
        <w:rPr>
          <w:rFonts w:ascii="Times New Roman" w:hAnsi="Times New Roman" w:cs="Times New Roman"/>
          <w:sz w:val="26"/>
          <w:szCs w:val="26"/>
        </w:rPr>
        <w:t>by</w:t>
      </w:r>
      <w:r>
        <w:rPr>
          <w:rFonts w:ascii="Times New Roman" w:hAnsi="Times New Roman" w:cs="Times New Roman"/>
          <w:sz w:val="26"/>
          <w:szCs w:val="26"/>
        </w:rPr>
        <w:t>:</w:t>
      </w:r>
    </w:p>
    <w:p w14:paraId="2A2DF859" w14:textId="77777777" w:rsidR="00F314DD" w:rsidRDefault="00F314DD" w:rsidP="00F314DD">
      <w:pPr>
        <w:pStyle w:val="NoSpacing"/>
        <w:ind w:left="360" w:hanging="360"/>
        <w:rPr>
          <w:rFonts w:ascii="Times New Roman" w:hAnsi="Times New Roman" w:cs="Times New Roman"/>
          <w:sz w:val="26"/>
          <w:szCs w:val="26"/>
        </w:rPr>
      </w:pPr>
    </w:p>
    <w:p w14:paraId="5A39D4AD" w14:textId="77A0DCD1" w:rsidR="00F314DD" w:rsidRDefault="00F314DD" w:rsidP="00F314DD">
      <w:pPr>
        <w:pStyle w:val="NoSpacing"/>
        <w:ind w:left="810" w:hanging="360"/>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r>
      <w:r w:rsidR="00461145" w:rsidRPr="00797D5D">
        <w:rPr>
          <w:rFonts w:ascii="Times New Roman" w:hAnsi="Times New Roman" w:cs="Times New Roman"/>
          <w:sz w:val="26"/>
          <w:szCs w:val="26"/>
        </w:rPr>
        <w:t xml:space="preserve">determining </w:t>
      </w:r>
      <w:r>
        <w:rPr>
          <w:rFonts w:ascii="Times New Roman" w:hAnsi="Times New Roman" w:cs="Times New Roman"/>
          <w:sz w:val="26"/>
          <w:szCs w:val="26"/>
        </w:rPr>
        <w:t xml:space="preserve">investment </w:t>
      </w:r>
      <w:r w:rsidR="00461145" w:rsidRPr="00797D5D">
        <w:rPr>
          <w:rFonts w:ascii="Times New Roman" w:hAnsi="Times New Roman" w:cs="Times New Roman"/>
          <w:sz w:val="26"/>
          <w:szCs w:val="26"/>
        </w:rPr>
        <w:t>required to replace or reproduce future service capability</w:t>
      </w:r>
    </w:p>
    <w:p w14:paraId="51E9077B" w14:textId="77777777" w:rsidR="00F314DD" w:rsidRDefault="00F314DD" w:rsidP="00F314DD">
      <w:pPr>
        <w:pStyle w:val="NoSpacing"/>
        <w:ind w:left="810" w:hanging="360"/>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r>
      <w:r w:rsidR="00461145" w:rsidRPr="00797D5D">
        <w:rPr>
          <w:rFonts w:ascii="Times New Roman" w:hAnsi="Times New Roman" w:cs="Times New Roman"/>
          <w:sz w:val="26"/>
          <w:szCs w:val="26"/>
        </w:rPr>
        <w:t>develop</w:t>
      </w:r>
      <w:r>
        <w:rPr>
          <w:rFonts w:ascii="Times New Roman" w:hAnsi="Times New Roman" w:cs="Times New Roman"/>
          <w:sz w:val="26"/>
          <w:szCs w:val="26"/>
        </w:rPr>
        <w:t>ing</w:t>
      </w:r>
      <w:r w:rsidR="00461145" w:rsidRPr="00797D5D">
        <w:rPr>
          <w:rFonts w:ascii="Times New Roman" w:hAnsi="Times New Roman" w:cs="Times New Roman"/>
          <w:sz w:val="26"/>
          <w:szCs w:val="26"/>
        </w:rPr>
        <w:t xml:space="preserve"> total cost less accrued depreciation</w:t>
      </w:r>
      <w:r w:rsidR="004F12F4" w:rsidRPr="00797D5D">
        <w:rPr>
          <w:rFonts w:ascii="Times New Roman" w:hAnsi="Times New Roman" w:cs="Times New Roman"/>
          <w:sz w:val="26"/>
          <w:szCs w:val="26"/>
        </w:rPr>
        <w:t xml:space="preserve"> </w:t>
      </w:r>
      <w:r>
        <w:rPr>
          <w:rFonts w:ascii="Times New Roman" w:hAnsi="Times New Roman" w:cs="Times New Roman"/>
          <w:sz w:val="26"/>
          <w:szCs w:val="26"/>
        </w:rPr>
        <w:t>for Selling Utility assets</w:t>
      </w:r>
    </w:p>
    <w:p w14:paraId="1E4AF91E" w14:textId="12B4BC85" w:rsidR="00461145" w:rsidRPr="00797D5D" w:rsidRDefault="00F314DD" w:rsidP="00F314DD">
      <w:pPr>
        <w:pStyle w:val="NoSpacing"/>
        <w:ind w:left="810" w:hanging="360"/>
        <w:rPr>
          <w:rFonts w:ascii="Times New Roman" w:hAnsi="Times New Roman" w:cs="Times New Roman"/>
          <w:sz w:val="26"/>
          <w:szCs w:val="26"/>
        </w:rPr>
      </w:pPr>
      <w:r>
        <w:rPr>
          <w:rFonts w:ascii="Times New Roman" w:hAnsi="Times New Roman" w:cs="Times New Roman"/>
          <w:sz w:val="26"/>
          <w:szCs w:val="26"/>
        </w:rPr>
        <w:t>c.</w:t>
      </w:r>
      <w:r>
        <w:rPr>
          <w:rFonts w:ascii="Times New Roman" w:hAnsi="Times New Roman" w:cs="Times New Roman"/>
          <w:sz w:val="26"/>
          <w:szCs w:val="26"/>
        </w:rPr>
        <w:tab/>
      </w:r>
      <w:r w:rsidR="004F12F4" w:rsidRPr="00797D5D">
        <w:rPr>
          <w:rFonts w:ascii="Times New Roman" w:hAnsi="Times New Roman" w:cs="Times New Roman"/>
          <w:sz w:val="26"/>
          <w:szCs w:val="26"/>
        </w:rPr>
        <w:t>determining the original cost of the system</w:t>
      </w:r>
    </w:p>
    <w:p w14:paraId="6A602D0F" w14:textId="77777777" w:rsidR="00D22405" w:rsidRPr="00797D5D" w:rsidRDefault="00D22405" w:rsidP="003E0B27">
      <w:pPr>
        <w:pStyle w:val="NoSpacing"/>
        <w:rPr>
          <w:rFonts w:ascii="Times New Roman" w:hAnsi="Times New Roman" w:cs="Times New Roman"/>
          <w:sz w:val="26"/>
          <w:szCs w:val="26"/>
        </w:rPr>
      </w:pPr>
    </w:p>
    <w:p w14:paraId="6AB79A2B" w14:textId="756894B7" w:rsidR="000B5A86" w:rsidRPr="00797D5D" w:rsidRDefault="00F314DD" w:rsidP="00F314DD">
      <w:pPr>
        <w:pStyle w:val="NoSpacing"/>
        <w:ind w:left="360" w:hanging="360"/>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t>Cost approach materials</w:t>
      </w:r>
      <w:r w:rsidR="00104509">
        <w:rPr>
          <w:rFonts w:ascii="Times New Roman" w:hAnsi="Times New Roman" w:cs="Times New Roman"/>
          <w:sz w:val="26"/>
          <w:szCs w:val="26"/>
        </w:rPr>
        <w:t xml:space="preserve"> s</w:t>
      </w:r>
      <w:r w:rsidR="00461145" w:rsidRPr="00797D5D">
        <w:rPr>
          <w:rFonts w:ascii="Times New Roman" w:hAnsi="Times New Roman" w:cs="Times New Roman"/>
          <w:sz w:val="26"/>
          <w:szCs w:val="26"/>
        </w:rPr>
        <w:t>hall:</w:t>
      </w:r>
    </w:p>
    <w:p w14:paraId="6EBB9C3F" w14:textId="77777777" w:rsidR="00104509" w:rsidRDefault="00104509" w:rsidP="00104509">
      <w:pPr>
        <w:pStyle w:val="NoSpacing"/>
        <w:ind w:left="810"/>
        <w:rPr>
          <w:rFonts w:ascii="Times New Roman" w:hAnsi="Times New Roman" w:cs="Times New Roman"/>
          <w:sz w:val="26"/>
          <w:szCs w:val="26"/>
        </w:rPr>
      </w:pPr>
    </w:p>
    <w:p w14:paraId="05948514" w14:textId="7035315D" w:rsidR="00104509" w:rsidRDefault="00104509" w:rsidP="007C6E8D">
      <w:pPr>
        <w:pStyle w:val="NoSpacing"/>
        <w:numPr>
          <w:ilvl w:val="0"/>
          <w:numId w:val="13"/>
        </w:numPr>
        <w:rPr>
          <w:rFonts w:ascii="Times New Roman" w:hAnsi="Times New Roman" w:cs="Times New Roman"/>
          <w:sz w:val="26"/>
          <w:szCs w:val="26"/>
        </w:rPr>
      </w:pPr>
      <w:r>
        <w:rPr>
          <w:rFonts w:ascii="Times New Roman" w:hAnsi="Times New Roman" w:cs="Times New Roman"/>
          <w:sz w:val="26"/>
          <w:szCs w:val="26"/>
        </w:rPr>
        <w:t>e</w:t>
      </w:r>
      <w:r w:rsidR="003E0B27" w:rsidRPr="00797D5D">
        <w:rPr>
          <w:rFonts w:ascii="Times New Roman" w:hAnsi="Times New Roman" w:cs="Times New Roman"/>
          <w:sz w:val="26"/>
          <w:szCs w:val="26"/>
        </w:rPr>
        <w:t>xplain choice of reproduction cost vs. replacement cost</w:t>
      </w:r>
    </w:p>
    <w:p w14:paraId="36CC8DDA" w14:textId="77777777" w:rsidR="007C6E8D" w:rsidRPr="00C67203" w:rsidRDefault="007C6E8D" w:rsidP="007C6E8D">
      <w:pPr>
        <w:pStyle w:val="ListParagraph"/>
        <w:ind w:left="1170" w:hanging="360"/>
      </w:pPr>
      <w:proofErr w:type="spellStart"/>
      <w:r>
        <w:t>i</w:t>
      </w:r>
      <w:proofErr w:type="spellEnd"/>
      <w:r>
        <w:t>.</w:t>
      </w:r>
      <w:r>
        <w:tab/>
      </w:r>
      <w:r w:rsidRPr="007C6E8D">
        <w:t>If the reproduction cost methodology is used, valuation of the collection mains will not be treated differently or as special circumstance, unless reasonably justified.</w:t>
      </w:r>
    </w:p>
    <w:p w14:paraId="19E60916" w14:textId="1A62020D" w:rsidR="00104509" w:rsidRDefault="00104509" w:rsidP="00104509">
      <w:pPr>
        <w:pStyle w:val="NoSpacing"/>
        <w:ind w:left="810" w:hanging="360"/>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r>
      <w:r w:rsidR="00EC125D">
        <w:rPr>
          <w:rFonts w:ascii="Times New Roman" w:hAnsi="Times New Roman" w:cs="Times New Roman"/>
          <w:sz w:val="26"/>
          <w:szCs w:val="26"/>
        </w:rPr>
        <w:t>not adjust the cost of land by the ENR index</w:t>
      </w:r>
      <w:bookmarkStart w:id="3" w:name="_GoBack"/>
      <w:bookmarkEnd w:id="3"/>
      <w:r w:rsidR="009D189C" w:rsidRPr="00797D5D">
        <w:rPr>
          <w:rFonts w:ascii="Times New Roman" w:hAnsi="Times New Roman" w:cs="Times New Roman"/>
          <w:sz w:val="26"/>
          <w:szCs w:val="26"/>
        </w:rPr>
        <w:t xml:space="preserve"> </w:t>
      </w:r>
    </w:p>
    <w:p w14:paraId="706F50D7" w14:textId="2DB03F18" w:rsidR="00104509" w:rsidRDefault="00104509" w:rsidP="00104509">
      <w:pPr>
        <w:pStyle w:val="NoSpacing"/>
        <w:ind w:left="810" w:hanging="360"/>
        <w:rPr>
          <w:rFonts w:ascii="Times New Roman" w:hAnsi="Times New Roman" w:cs="Times New Roman"/>
          <w:sz w:val="26"/>
          <w:szCs w:val="26"/>
        </w:rPr>
      </w:pPr>
      <w:r>
        <w:rPr>
          <w:rFonts w:ascii="Times New Roman" w:hAnsi="Times New Roman" w:cs="Times New Roman"/>
          <w:sz w:val="26"/>
          <w:szCs w:val="26"/>
        </w:rPr>
        <w:t>c.</w:t>
      </w:r>
      <w:r>
        <w:rPr>
          <w:rFonts w:ascii="Times New Roman" w:hAnsi="Times New Roman" w:cs="Times New Roman"/>
          <w:sz w:val="26"/>
          <w:szCs w:val="26"/>
        </w:rPr>
        <w:tab/>
      </w:r>
      <w:proofErr w:type="gramStart"/>
      <w:r>
        <w:rPr>
          <w:rFonts w:ascii="Times New Roman" w:hAnsi="Times New Roman" w:cs="Times New Roman"/>
          <w:sz w:val="26"/>
          <w:szCs w:val="26"/>
        </w:rPr>
        <w:t>e</w:t>
      </w:r>
      <w:r w:rsidR="003E0B27" w:rsidRPr="00797D5D">
        <w:rPr>
          <w:rFonts w:ascii="Times New Roman" w:hAnsi="Times New Roman" w:cs="Times New Roman"/>
          <w:sz w:val="26"/>
          <w:szCs w:val="26"/>
        </w:rPr>
        <w:t>xclude</w:t>
      </w:r>
      <w:proofErr w:type="gramEnd"/>
      <w:r w:rsidR="003E0B27" w:rsidRPr="00797D5D">
        <w:rPr>
          <w:rFonts w:ascii="Times New Roman" w:hAnsi="Times New Roman" w:cs="Times New Roman"/>
          <w:sz w:val="26"/>
          <w:szCs w:val="26"/>
        </w:rPr>
        <w:t xml:space="preserve"> overhead costs</w:t>
      </w:r>
      <w:r>
        <w:rPr>
          <w:rFonts w:ascii="Times New Roman" w:hAnsi="Times New Roman" w:cs="Times New Roman"/>
          <w:sz w:val="26"/>
          <w:szCs w:val="26"/>
        </w:rPr>
        <w:t xml:space="preserve">, </w:t>
      </w:r>
      <w:r w:rsidR="003E0B27" w:rsidRPr="00797D5D">
        <w:rPr>
          <w:rFonts w:ascii="Times New Roman" w:hAnsi="Times New Roman" w:cs="Times New Roman"/>
          <w:sz w:val="26"/>
          <w:szCs w:val="26"/>
        </w:rPr>
        <w:t xml:space="preserve">future capital </w:t>
      </w:r>
      <w:r w:rsidR="00322E2C" w:rsidRPr="00797D5D">
        <w:rPr>
          <w:rFonts w:ascii="Times New Roman" w:hAnsi="Times New Roman" w:cs="Times New Roman"/>
          <w:sz w:val="26"/>
          <w:szCs w:val="26"/>
        </w:rPr>
        <w:t>improvements</w:t>
      </w:r>
      <w:r>
        <w:rPr>
          <w:rFonts w:ascii="Times New Roman" w:hAnsi="Times New Roman" w:cs="Times New Roman"/>
          <w:sz w:val="26"/>
          <w:szCs w:val="26"/>
        </w:rPr>
        <w:t xml:space="preserve">, and </w:t>
      </w:r>
      <w:r w:rsidR="00322E2C" w:rsidRPr="00797D5D">
        <w:rPr>
          <w:rFonts w:ascii="Times New Roman" w:hAnsi="Times New Roman" w:cs="Times New Roman"/>
          <w:sz w:val="26"/>
          <w:szCs w:val="26"/>
        </w:rPr>
        <w:t>going</w:t>
      </w:r>
      <w:r w:rsidR="003E0B27" w:rsidRPr="00797D5D">
        <w:rPr>
          <w:rFonts w:ascii="Times New Roman" w:hAnsi="Times New Roman" w:cs="Times New Roman"/>
          <w:sz w:val="26"/>
          <w:szCs w:val="26"/>
        </w:rPr>
        <w:t xml:space="preserve"> concern value</w:t>
      </w:r>
    </w:p>
    <w:p w14:paraId="4A55DD43" w14:textId="7DB6170B" w:rsidR="009D189C" w:rsidRPr="00797D5D" w:rsidRDefault="007865CE" w:rsidP="00104509">
      <w:pPr>
        <w:pStyle w:val="NoSpacing"/>
        <w:ind w:left="810" w:hanging="360"/>
        <w:rPr>
          <w:rFonts w:ascii="Times New Roman" w:hAnsi="Times New Roman" w:cs="Times New Roman"/>
          <w:sz w:val="26"/>
          <w:szCs w:val="26"/>
        </w:rPr>
      </w:pPr>
      <w:r>
        <w:rPr>
          <w:rFonts w:ascii="Times New Roman" w:hAnsi="Times New Roman" w:cs="Times New Roman"/>
          <w:sz w:val="26"/>
          <w:szCs w:val="26"/>
        </w:rPr>
        <w:t>d</w:t>
      </w:r>
      <w:r w:rsidR="00104509">
        <w:rPr>
          <w:rFonts w:ascii="Times New Roman" w:hAnsi="Times New Roman" w:cs="Times New Roman"/>
          <w:sz w:val="26"/>
          <w:szCs w:val="26"/>
        </w:rPr>
        <w:t>.</w:t>
      </w:r>
      <w:r w:rsidR="00104509">
        <w:rPr>
          <w:rFonts w:ascii="Times New Roman" w:hAnsi="Times New Roman" w:cs="Times New Roman"/>
          <w:sz w:val="26"/>
          <w:szCs w:val="26"/>
        </w:rPr>
        <w:tab/>
      </w:r>
      <w:proofErr w:type="gramStart"/>
      <w:r w:rsidR="00104509">
        <w:rPr>
          <w:rFonts w:ascii="Times New Roman" w:hAnsi="Times New Roman" w:cs="Times New Roman"/>
          <w:sz w:val="26"/>
          <w:szCs w:val="26"/>
        </w:rPr>
        <w:t>u</w:t>
      </w:r>
      <w:r w:rsidR="003E0B27" w:rsidRPr="00797D5D">
        <w:rPr>
          <w:rFonts w:ascii="Times New Roman" w:hAnsi="Times New Roman" w:cs="Times New Roman"/>
          <w:sz w:val="26"/>
          <w:szCs w:val="26"/>
        </w:rPr>
        <w:t>se</w:t>
      </w:r>
      <w:proofErr w:type="gramEnd"/>
      <w:r w:rsidR="003E0B27" w:rsidRPr="00797D5D">
        <w:rPr>
          <w:rFonts w:ascii="Times New Roman" w:hAnsi="Times New Roman" w:cs="Times New Roman"/>
          <w:sz w:val="26"/>
          <w:szCs w:val="26"/>
        </w:rPr>
        <w:t xml:space="preserve"> </w:t>
      </w:r>
      <w:r w:rsidR="00322E2C" w:rsidRPr="00797D5D">
        <w:rPr>
          <w:rFonts w:ascii="Times New Roman" w:hAnsi="Times New Roman" w:cs="Times New Roman"/>
          <w:sz w:val="26"/>
          <w:szCs w:val="26"/>
        </w:rPr>
        <w:t xml:space="preserve">consistent </w:t>
      </w:r>
      <w:r w:rsidR="003E0B27" w:rsidRPr="00797D5D">
        <w:rPr>
          <w:rFonts w:ascii="Times New Roman" w:hAnsi="Times New Roman" w:cs="Times New Roman"/>
          <w:sz w:val="26"/>
          <w:szCs w:val="26"/>
        </w:rPr>
        <w:t>rate of inflation</w:t>
      </w:r>
      <w:r w:rsidR="009D189C" w:rsidRPr="00797D5D">
        <w:rPr>
          <w:rFonts w:ascii="Times New Roman" w:hAnsi="Times New Roman" w:cs="Times New Roman"/>
          <w:sz w:val="26"/>
          <w:szCs w:val="26"/>
        </w:rPr>
        <w:t xml:space="preserve"> for all classes of assets, unless reasonably justified</w:t>
      </w:r>
      <w:bookmarkEnd w:id="2"/>
      <w:r w:rsidR="009D189C" w:rsidRPr="00797D5D">
        <w:rPr>
          <w:rFonts w:ascii="Times New Roman" w:hAnsi="Times New Roman" w:cs="Times New Roman"/>
          <w:sz w:val="26"/>
          <w:szCs w:val="26"/>
        </w:rPr>
        <w:t xml:space="preserve"> </w:t>
      </w:r>
    </w:p>
    <w:p w14:paraId="5B163425" w14:textId="77777777" w:rsidR="003E0B27" w:rsidRPr="00797D5D" w:rsidRDefault="003E0B27" w:rsidP="003E0B27">
      <w:pPr>
        <w:pStyle w:val="NoSpacing"/>
        <w:rPr>
          <w:rFonts w:ascii="Times New Roman" w:hAnsi="Times New Roman" w:cs="Times New Roman"/>
          <w:sz w:val="26"/>
          <w:szCs w:val="26"/>
        </w:rPr>
      </w:pPr>
    </w:p>
    <w:p w14:paraId="7DDB635A" w14:textId="2FBE25C9" w:rsidR="003E0B27" w:rsidRPr="00797D5D" w:rsidRDefault="003E0B27" w:rsidP="003E0B27">
      <w:pPr>
        <w:pStyle w:val="NoSpacing"/>
        <w:rPr>
          <w:rFonts w:ascii="Times New Roman" w:hAnsi="Times New Roman" w:cs="Times New Roman"/>
          <w:b/>
          <w:sz w:val="26"/>
          <w:szCs w:val="26"/>
        </w:rPr>
      </w:pPr>
      <w:r w:rsidRPr="00797D5D">
        <w:rPr>
          <w:rFonts w:ascii="Times New Roman" w:hAnsi="Times New Roman" w:cs="Times New Roman"/>
          <w:b/>
          <w:sz w:val="26"/>
          <w:szCs w:val="26"/>
        </w:rPr>
        <w:t>Income Approach</w:t>
      </w:r>
      <w:r w:rsidR="004F12F4" w:rsidRPr="00797D5D">
        <w:rPr>
          <w:rFonts w:ascii="Times New Roman" w:hAnsi="Times New Roman" w:cs="Times New Roman"/>
          <w:b/>
          <w:sz w:val="26"/>
          <w:szCs w:val="26"/>
        </w:rPr>
        <w:t xml:space="preserve"> </w:t>
      </w:r>
    </w:p>
    <w:p w14:paraId="647F73D2" w14:textId="77777777" w:rsidR="00153F51" w:rsidRPr="00797D5D" w:rsidRDefault="00153F51" w:rsidP="003E0B27">
      <w:pPr>
        <w:pStyle w:val="NoSpacing"/>
        <w:rPr>
          <w:rFonts w:ascii="Times New Roman" w:hAnsi="Times New Roman" w:cs="Times New Roman"/>
          <w:b/>
          <w:sz w:val="26"/>
          <w:szCs w:val="26"/>
        </w:rPr>
      </w:pPr>
    </w:p>
    <w:p w14:paraId="05FED85F" w14:textId="0A17D3F2" w:rsidR="00D22405" w:rsidRDefault="00D22405" w:rsidP="00D22405">
      <w:pPr>
        <w:pStyle w:val="NoSpacing"/>
        <w:ind w:left="360" w:hanging="360"/>
        <w:rPr>
          <w:rFonts w:ascii="Times New Roman" w:hAnsi="Times New Roman" w:cs="Times New Roman"/>
          <w:sz w:val="26"/>
          <w:szCs w:val="26"/>
        </w:rPr>
      </w:pPr>
      <w:bookmarkStart w:id="4" w:name="_Hlk523292459"/>
      <w:r>
        <w:rPr>
          <w:rFonts w:ascii="Times New Roman" w:hAnsi="Times New Roman" w:cs="Times New Roman"/>
          <w:sz w:val="26"/>
          <w:szCs w:val="26"/>
        </w:rPr>
        <w:t>1.</w:t>
      </w:r>
      <w:r>
        <w:rPr>
          <w:rFonts w:ascii="Times New Roman" w:hAnsi="Times New Roman" w:cs="Times New Roman"/>
          <w:sz w:val="26"/>
          <w:szCs w:val="26"/>
        </w:rPr>
        <w:tab/>
      </w:r>
      <w:r w:rsidR="00461145" w:rsidRPr="00797D5D">
        <w:rPr>
          <w:rFonts w:ascii="Times New Roman" w:hAnsi="Times New Roman" w:cs="Times New Roman"/>
          <w:sz w:val="26"/>
          <w:szCs w:val="26"/>
        </w:rPr>
        <w:t xml:space="preserve">Income approach </w:t>
      </w:r>
      <w:r>
        <w:rPr>
          <w:rFonts w:ascii="Times New Roman" w:hAnsi="Times New Roman" w:cs="Times New Roman"/>
          <w:sz w:val="26"/>
          <w:szCs w:val="26"/>
        </w:rPr>
        <w:t>may measure value by:</w:t>
      </w:r>
    </w:p>
    <w:p w14:paraId="4F2AAECC" w14:textId="77777777" w:rsidR="00D22405" w:rsidRDefault="00D22405" w:rsidP="00D22405">
      <w:pPr>
        <w:pStyle w:val="NoSpacing"/>
        <w:ind w:left="360" w:hanging="360"/>
        <w:rPr>
          <w:rFonts w:ascii="Times New Roman" w:hAnsi="Times New Roman" w:cs="Times New Roman"/>
          <w:sz w:val="26"/>
          <w:szCs w:val="26"/>
        </w:rPr>
      </w:pPr>
    </w:p>
    <w:p w14:paraId="34EEFA8A" w14:textId="690F8004" w:rsidR="00D22405" w:rsidRDefault="00D22405" w:rsidP="00D22405">
      <w:pPr>
        <w:pStyle w:val="NoSpacing"/>
        <w:ind w:left="900" w:hanging="360"/>
        <w:rPr>
          <w:rFonts w:ascii="Times New Roman" w:hAnsi="Times New Roman" w:cs="Times New Roman"/>
          <w:sz w:val="26"/>
          <w:szCs w:val="26"/>
        </w:rPr>
      </w:pPr>
      <w:bookmarkStart w:id="5" w:name="_Hlk523292567"/>
      <w:r>
        <w:rPr>
          <w:rFonts w:ascii="Times New Roman" w:hAnsi="Times New Roman" w:cs="Times New Roman"/>
          <w:sz w:val="26"/>
          <w:szCs w:val="26"/>
        </w:rPr>
        <w:t xml:space="preserve">a. </w:t>
      </w:r>
      <w:r>
        <w:rPr>
          <w:rFonts w:ascii="Times New Roman" w:hAnsi="Times New Roman" w:cs="Times New Roman"/>
          <w:sz w:val="26"/>
          <w:szCs w:val="26"/>
        </w:rPr>
        <w:tab/>
      </w:r>
      <w:r w:rsidR="006D16E6">
        <w:rPr>
          <w:rFonts w:ascii="Times New Roman" w:hAnsi="Times New Roman" w:cs="Times New Roman"/>
          <w:sz w:val="26"/>
          <w:szCs w:val="26"/>
        </w:rPr>
        <w:t>C</w:t>
      </w:r>
      <w:r w:rsidR="009E51FE" w:rsidRPr="00797D5D">
        <w:rPr>
          <w:rFonts w:ascii="Times New Roman" w:hAnsi="Times New Roman" w:cs="Times New Roman"/>
          <w:sz w:val="26"/>
          <w:szCs w:val="26"/>
        </w:rPr>
        <w:t xml:space="preserve">apitalization of earnings or cash flow </w:t>
      </w:r>
      <w:bookmarkEnd w:id="5"/>
    </w:p>
    <w:p w14:paraId="088B3082" w14:textId="6A6FB3AD" w:rsidR="00461145" w:rsidRPr="00797D5D" w:rsidRDefault="00D22405" w:rsidP="00D22405">
      <w:pPr>
        <w:pStyle w:val="NoSpacing"/>
        <w:ind w:left="900" w:hanging="360"/>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r>
      <w:r w:rsidR="006D16E6">
        <w:rPr>
          <w:rFonts w:ascii="Times New Roman" w:hAnsi="Times New Roman" w:cs="Times New Roman"/>
          <w:sz w:val="26"/>
          <w:szCs w:val="26"/>
        </w:rPr>
        <w:t>D</w:t>
      </w:r>
      <w:r w:rsidR="009E51FE" w:rsidRPr="00797D5D">
        <w:rPr>
          <w:rFonts w:ascii="Times New Roman" w:hAnsi="Times New Roman" w:cs="Times New Roman"/>
          <w:sz w:val="26"/>
          <w:szCs w:val="26"/>
        </w:rPr>
        <w:t>iscounted cash flow (DCF) method</w:t>
      </w:r>
    </w:p>
    <w:p w14:paraId="5ED0B04F" w14:textId="77777777" w:rsidR="00153F51" w:rsidRPr="00797D5D" w:rsidRDefault="00153F51" w:rsidP="009E51FE">
      <w:pPr>
        <w:pStyle w:val="NoSpacing"/>
        <w:rPr>
          <w:rFonts w:ascii="Times New Roman" w:hAnsi="Times New Roman" w:cs="Times New Roman"/>
          <w:sz w:val="26"/>
          <w:szCs w:val="26"/>
        </w:rPr>
      </w:pPr>
    </w:p>
    <w:p w14:paraId="0708B2AD" w14:textId="3F90CF2A" w:rsidR="009E51FE" w:rsidRDefault="00D22405" w:rsidP="00D22405">
      <w:pPr>
        <w:pStyle w:val="NoSpacing"/>
        <w:ind w:left="360" w:hanging="360"/>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t xml:space="preserve">Income approach materials </w:t>
      </w:r>
      <w:r w:rsidR="009E51FE" w:rsidRPr="00797D5D">
        <w:rPr>
          <w:rFonts w:ascii="Times New Roman" w:hAnsi="Times New Roman" w:cs="Times New Roman"/>
          <w:sz w:val="26"/>
          <w:szCs w:val="26"/>
        </w:rPr>
        <w:t>shall</w:t>
      </w:r>
      <w:r w:rsidR="00023966">
        <w:rPr>
          <w:rFonts w:ascii="Times New Roman" w:hAnsi="Times New Roman" w:cs="Times New Roman"/>
          <w:sz w:val="26"/>
          <w:szCs w:val="26"/>
        </w:rPr>
        <w:t xml:space="preserve"> exclude</w:t>
      </w:r>
      <w:r w:rsidR="009E51FE" w:rsidRPr="00797D5D">
        <w:rPr>
          <w:rFonts w:ascii="Times New Roman" w:hAnsi="Times New Roman" w:cs="Times New Roman"/>
          <w:sz w:val="26"/>
          <w:szCs w:val="26"/>
        </w:rPr>
        <w:t>:</w:t>
      </w:r>
    </w:p>
    <w:p w14:paraId="7147BC5E" w14:textId="77777777" w:rsidR="00D22405" w:rsidRPr="00797D5D" w:rsidRDefault="00D22405" w:rsidP="00D22405">
      <w:pPr>
        <w:pStyle w:val="NoSpacing"/>
        <w:ind w:left="360" w:hanging="360"/>
        <w:rPr>
          <w:rFonts w:ascii="Times New Roman" w:hAnsi="Times New Roman" w:cs="Times New Roman"/>
          <w:sz w:val="26"/>
          <w:szCs w:val="26"/>
        </w:rPr>
      </w:pPr>
    </w:p>
    <w:p w14:paraId="30601222" w14:textId="77777777" w:rsidR="00023966" w:rsidRDefault="00023966" w:rsidP="00023966">
      <w:pPr>
        <w:pStyle w:val="NoSpacing"/>
        <w:ind w:left="900" w:hanging="360"/>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t>G</w:t>
      </w:r>
      <w:r w:rsidR="00322E2C" w:rsidRPr="00023966">
        <w:rPr>
          <w:rFonts w:ascii="Times New Roman" w:hAnsi="Times New Roman" w:cs="Times New Roman"/>
          <w:sz w:val="26"/>
          <w:szCs w:val="26"/>
        </w:rPr>
        <w:t>oing</w:t>
      </w:r>
      <w:r w:rsidR="003E0B27" w:rsidRPr="00023966">
        <w:rPr>
          <w:rFonts w:ascii="Times New Roman" w:hAnsi="Times New Roman" w:cs="Times New Roman"/>
          <w:sz w:val="26"/>
          <w:szCs w:val="26"/>
        </w:rPr>
        <w:t xml:space="preserve"> concern value</w:t>
      </w:r>
    </w:p>
    <w:bookmarkEnd w:id="4"/>
    <w:p w14:paraId="0FAFFFD0" w14:textId="77777777" w:rsidR="00023966" w:rsidRDefault="00023966" w:rsidP="00023966">
      <w:pPr>
        <w:pStyle w:val="NoSpacing"/>
        <w:ind w:left="900" w:hanging="360"/>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t>F</w:t>
      </w:r>
      <w:r w:rsidRPr="00023966">
        <w:rPr>
          <w:rFonts w:ascii="Times New Roman" w:hAnsi="Times New Roman" w:cs="Times New Roman"/>
          <w:sz w:val="26"/>
          <w:szCs w:val="26"/>
        </w:rPr>
        <w:t>uture capital improvements</w:t>
      </w:r>
    </w:p>
    <w:p w14:paraId="41866ECD" w14:textId="157B5BD6" w:rsidR="00023966" w:rsidRDefault="00023966" w:rsidP="00023966">
      <w:pPr>
        <w:pStyle w:val="NoSpacing"/>
        <w:ind w:left="900" w:hanging="360"/>
        <w:rPr>
          <w:rFonts w:ascii="Times New Roman" w:hAnsi="Times New Roman" w:cs="Times New Roman"/>
          <w:sz w:val="26"/>
          <w:szCs w:val="26"/>
        </w:rPr>
      </w:pPr>
      <w:r>
        <w:rPr>
          <w:rFonts w:ascii="Times New Roman" w:hAnsi="Times New Roman" w:cs="Times New Roman"/>
          <w:sz w:val="26"/>
          <w:szCs w:val="26"/>
        </w:rPr>
        <w:t>c.</w:t>
      </w:r>
      <w:r>
        <w:rPr>
          <w:rFonts w:ascii="Times New Roman" w:hAnsi="Times New Roman" w:cs="Times New Roman"/>
          <w:sz w:val="26"/>
          <w:szCs w:val="26"/>
        </w:rPr>
        <w:tab/>
        <w:t>E</w:t>
      </w:r>
      <w:r w:rsidR="00322E2C" w:rsidRPr="00023966">
        <w:rPr>
          <w:rFonts w:ascii="Times New Roman" w:hAnsi="Times New Roman" w:cs="Times New Roman"/>
          <w:sz w:val="26"/>
          <w:szCs w:val="26"/>
        </w:rPr>
        <w:t>rosion of cash flow</w:t>
      </w:r>
      <w:r w:rsidR="007C6E8D">
        <w:rPr>
          <w:rFonts w:ascii="Times New Roman" w:hAnsi="Times New Roman" w:cs="Times New Roman"/>
          <w:sz w:val="26"/>
          <w:szCs w:val="26"/>
        </w:rPr>
        <w:t xml:space="preserve"> or erosion on return</w:t>
      </w:r>
    </w:p>
    <w:p w14:paraId="61455C9A" w14:textId="67668493" w:rsidR="00322E2C" w:rsidRPr="00023966" w:rsidRDefault="00023966" w:rsidP="00023966">
      <w:pPr>
        <w:pStyle w:val="NoSpacing"/>
        <w:ind w:left="900" w:hanging="360"/>
        <w:rPr>
          <w:rFonts w:ascii="Times New Roman" w:hAnsi="Times New Roman" w:cs="Times New Roman"/>
          <w:sz w:val="26"/>
          <w:szCs w:val="26"/>
        </w:rPr>
      </w:pPr>
      <w:r>
        <w:rPr>
          <w:rFonts w:ascii="Times New Roman" w:hAnsi="Times New Roman" w:cs="Times New Roman"/>
          <w:sz w:val="26"/>
          <w:szCs w:val="26"/>
        </w:rPr>
        <w:t>d.</w:t>
      </w:r>
      <w:r>
        <w:rPr>
          <w:rFonts w:ascii="Times New Roman" w:hAnsi="Times New Roman" w:cs="Times New Roman"/>
          <w:sz w:val="26"/>
          <w:szCs w:val="26"/>
        </w:rPr>
        <w:tab/>
        <w:t>R</w:t>
      </w:r>
      <w:r w:rsidR="00322E2C" w:rsidRPr="00023966">
        <w:rPr>
          <w:rFonts w:ascii="Times New Roman" w:hAnsi="Times New Roman" w:cs="Times New Roman"/>
          <w:sz w:val="26"/>
          <w:szCs w:val="26"/>
        </w:rPr>
        <w:t xml:space="preserve">ate base/rate of return </w:t>
      </w:r>
      <w:r w:rsidR="007C6E8D">
        <w:rPr>
          <w:rFonts w:ascii="Times New Roman" w:hAnsi="Times New Roman" w:cs="Times New Roman"/>
          <w:sz w:val="26"/>
          <w:szCs w:val="26"/>
        </w:rPr>
        <w:t>methodology</w:t>
      </w:r>
    </w:p>
    <w:p w14:paraId="3CFE75E2" w14:textId="20A769CC" w:rsidR="00322E2C" w:rsidRDefault="00322E2C" w:rsidP="007C6E8D">
      <w:pPr>
        <w:pStyle w:val="NoSpacing"/>
        <w:ind w:left="1440" w:right="1440"/>
        <w:rPr>
          <w:rFonts w:ascii="Times New Roman" w:hAnsi="Times New Roman" w:cs="Times New Roman"/>
          <w:sz w:val="26"/>
          <w:szCs w:val="26"/>
        </w:rPr>
      </w:pPr>
    </w:p>
    <w:p w14:paraId="0E1B4F17" w14:textId="4165B5CF" w:rsidR="007C6E8D" w:rsidRPr="007C6E8D" w:rsidRDefault="007C6E8D" w:rsidP="009E49D1">
      <w:pPr>
        <w:pStyle w:val="ListParagraph"/>
        <w:numPr>
          <w:ilvl w:val="0"/>
          <w:numId w:val="15"/>
        </w:numPr>
      </w:pPr>
      <w:r w:rsidRPr="007C6E8D">
        <w:t xml:space="preserve">Calculations done under the income approach will clearly describe the basis for discount rate(s) in the report rather than only in the exhibits.  The following information should be provided about the discount rate(s) used: </w:t>
      </w:r>
    </w:p>
    <w:p w14:paraId="40F495C9" w14:textId="61DBC4AE" w:rsidR="007C6E8D" w:rsidRDefault="007C6E8D" w:rsidP="007C6E8D">
      <w:pPr>
        <w:numPr>
          <w:ilvl w:val="0"/>
          <w:numId w:val="14"/>
        </w:numPr>
        <w:ind w:left="907"/>
        <w:rPr>
          <w:rFonts w:eastAsia="Calibri"/>
        </w:rPr>
      </w:pPr>
      <w:r w:rsidRPr="007C6E8D">
        <w:rPr>
          <w:rFonts w:eastAsia="Calibri"/>
        </w:rPr>
        <w:lastRenderedPageBreak/>
        <w:t xml:space="preserve">the capital structure used in the analysis with an explanation as to why the capital structure was selected </w:t>
      </w:r>
    </w:p>
    <w:p w14:paraId="3AD4AB1A" w14:textId="35AB3336" w:rsidR="007C6E8D" w:rsidRPr="007C6E8D" w:rsidRDefault="007C6E8D" w:rsidP="007C6E8D">
      <w:pPr>
        <w:pStyle w:val="ListParagraph"/>
        <w:numPr>
          <w:ilvl w:val="0"/>
          <w:numId w:val="17"/>
        </w:numPr>
        <w:rPr>
          <w:rFonts w:eastAsia="Calibri"/>
        </w:rPr>
      </w:pPr>
      <w:r w:rsidRPr="007C6E8D">
        <w:rPr>
          <w:rFonts w:eastAsia="Calibri"/>
        </w:rPr>
        <w:t>If Company’s actual capital structure was not used, explain why.</w:t>
      </w:r>
    </w:p>
    <w:p w14:paraId="1FBD75BA" w14:textId="23FDD152" w:rsidR="007C6E8D" w:rsidRDefault="007C6E8D" w:rsidP="007C6E8D">
      <w:pPr>
        <w:numPr>
          <w:ilvl w:val="0"/>
          <w:numId w:val="18"/>
        </w:numPr>
        <w:rPr>
          <w:rFonts w:eastAsia="Calibri"/>
        </w:rPr>
      </w:pPr>
      <w:r w:rsidRPr="007C6E8D">
        <w:rPr>
          <w:rFonts w:eastAsia="Calibri"/>
        </w:rPr>
        <w:t>the cost of equity used in the analysis, and the basis for the cost of equity</w:t>
      </w:r>
    </w:p>
    <w:p w14:paraId="015214DC" w14:textId="10F7FD85" w:rsidR="007C6E8D" w:rsidRDefault="007C6E8D" w:rsidP="007C6E8D">
      <w:pPr>
        <w:numPr>
          <w:ilvl w:val="0"/>
          <w:numId w:val="18"/>
        </w:numPr>
        <w:rPr>
          <w:rFonts w:eastAsia="Calibri"/>
        </w:rPr>
      </w:pPr>
      <w:r w:rsidRPr="007C6E8D">
        <w:rPr>
          <w:rFonts w:eastAsia="Calibri"/>
        </w:rPr>
        <w:t>the cost of debt used in the analysis</w:t>
      </w:r>
    </w:p>
    <w:p w14:paraId="1F718A06" w14:textId="6611C5D1" w:rsidR="007C6E8D" w:rsidRPr="007C6E8D" w:rsidRDefault="007C6E8D" w:rsidP="007C6E8D">
      <w:pPr>
        <w:pStyle w:val="ListParagraph"/>
        <w:numPr>
          <w:ilvl w:val="0"/>
          <w:numId w:val="21"/>
        </w:numPr>
        <w:rPr>
          <w:rFonts w:eastAsia="Calibri"/>
        </w:rPr>
      </w:pPr>
      <w:r w:rsidRPr="007C6E8D">
        <w:rPr>
          <w:rFonts w:eastAsia="Calibri"/>
        </w:rPr>
        <w:t xml:space="preserve">If the Company’s actual cost of debt was not used, explain why not. </w:t>
      </w:r>
    </w:p>
    <w:p w14:paraId="61C8D97A" w14:textId="77777777" w:rsidR="007C6E8D" w:rsidRPr="007C6E8D" w:rsidRDefault="007C6E8D" w:rsidP="007C6E8D">
      <w:pPr>
        <w:ind w:left="1440" w:right="1440"/>
      </w:pPr>
    </w:p>
    <w:p w14:paraId="714BFA3B" w14:textId="6CFEF8B2" w:rsidR="007C6E8D" w:rsidRPr="007C6E8D" w:rsidRDefault="007C6E8D" w:rsidP="007C6E8D">
      <w:pPr>
        <w:pStyle w:val="ListParagraph"/>
        <w:numPr>
          <w:ilvl w:val="0"/>
          <w:numId w:val="15"/>
        </w:numPr>
        <w:ind w:right="1440"/>
      </w:pPr>
      <w:r w:rsidRPr="007C6E8D">
        <w:t>If a capitalization rate is used, the calculation of the capitalization rate and the basis for the growth rate will be disclosed and fully explained.</w:t>
      </w:r>
    </w:p>
    <w:p w14:paraId="0ACB8C45" w14:textId="77777777" w:rsidR="007C6E8D" w:rsidRPr="007C6E8D" w:rsidRDefault="007C6E8D" w:rsidP="007C6E8D">
      <w:pPr>
        <w:ind w:left="1440" w:right="1440"/>
        <w:rPr>
          <w:b/>
          <w:u w:val="single"/>
        </w:rPr>
      </w:pPr>
    </w:p>
    <w:p w14:paraId="08FD3533" w14:textId="336ACB9C" w:rsidR="00322E2C" w:rsidRPr="00797D5D" w:rsidRDefault="00322E2C" w:rsidP="003E0B27">
      <w:pPr>
        <w:pStyle w:val="NoSpacing"/>
        <w:rPr>
          <w:rFonts w:ascii="Times New Roman" w:hAnsi="Times New Roman" w:cs="Times New Roman"/>
          <w:b/>
          <w:sz w:val="26"/>
          <w:szCs w:val="26"/>
        </w:rPr>
      </w:pPr>
      <w:r w:rsidRPr="00797D5D">
        <w:rPr>
          <w:rFonts w:ascii="Times New Roman" w:hAnsi="Times New Roman" w:cs="Times New Roman"/>
          <w:b/>
          <w:sz w:val="26"/>
          <w:szCs w:val="26"/>
        </w:rPr>
        <w:t>Market Approach</w:t>
      </w:r>
    </w:p>
    <w:p w14:paraId="6D56F63E" w14:textId="77777777" w:rsidR="00153F51" w:rsidRPr="00797D5D" w:rsidRDefault="00153F51" w:rsidP="003E0B27">
      <w:pPr>
        <w:pStyle w:val="NoSpacing"/>
        <w:rPr>
          <w:rFonts w:ascii="Times New Roman" w:hAnsi="Times New Roman" w:cs="Times New Roman"/>
          <w:sz w:val="26"/>
          <w:szCs w:val="26"/>
        </w:rPr>
      </w:pPr>
    </w:p>
    <w:p w14:paraId="7D881CF6" w14:textId="063DEF93" w:rsidR="00023966" w:rsidRDefault="00023966" w:rsidP="00023966">
      <w:pPr>
        <w:pStyle w:val="NoSpacing"/>
        <w:ind w:left="360" w:hanging="360"/>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 xml:space="preserve">Market </w:t>
      </w:r>
      <w:r w:rsidRPr="00797D5D">
        <w:rPr>
          <w:rFonts w:ascii="Times New Roman" w:hAnsi="Times New Roman" w:cs="Times New Roman"/>
          <w:sz w:val="26"/>
          <w:szCs w:val="26"/>
        </w:rPr>
        <w:t xml:space="preserve">approach </w:t>
      </w:r>
      <w:r>
        <w:rPr>
          <w:rFonts w:ascii="Times New Roman" w:hAnsi="Times New Roman" w:cs="Times New Roman"/>
          <w:sz w:val="26"/>
          <w:szCs w:val="26"/>
        </w:rPr>
        <w:t>shall use the current customer count of the Selling Utility</w:t>
      </w:r>
    </w:p>
    <w:p w14:paraId="69CC03DF" w14:textId="77777777" w:rsidR="00023966" w:rsidRDefault="00023966" w:rsidP="00023966">
      <w:pPr>
        <w:pStyle w:val="NoSpacing"/>
        <w:ind w:left="360" w:hanging="360"/>
        <w:rPr>
          <w:rFonts w:ascii="Times New Roman" w:hAnsi="Times New Roman" w:cs="Times New Roman"/>
          <w:sz w:val="26"/>
          <w:szCs w:val="26"/>
        </w:rPr>
      </w:pPr>
    </w:p>
    <w:p w14:paraId="3C3191F3" w14:textId="2ACECD21" w:rsidR="004F12F4" w:rsidRPr="00797D5D" w:rsidRDefault="00023966" w:rsidP="00023966">
      <w:pPr>
        <w:pStyle w:val="NoSpacing"/>
        <w:ind w:left="360" w:hanging="360"/>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t>Market approach shall exclude</w:t>
      </w:r>
      <w:r w:rsidR="009E51FE" w:rsidRPr="00797D5D">
        <w:rPr>
          <w:rFonts w:ascii="Times New Roman" w:hAnsi="Times New Roman" w:cs="Times New Roman"/>
          <w:sz w:val="26"/>
          <w:szCs w:val="26"/>
        </w:rPr>
        <w:t>:</w:t>
      </w:r>
    </w:p>
    <w:p w14:paraId="54B8E0A2" w14:textId="542ED47C" w:rsidR="004F12F4" w:rsidRDefault="00547554" w:rsidP="00547554">
      <w:pPr>
        <w:pStyle w:val="NoSpacing"/>
        <w:tabs>
          <w:tab w:val="left" w:pos="5295"/>
        </w:tabs>
        <w:rPr>
          <w:rFonts w:ascii="Times New Roman" w:hAnsi="Times New Roman" w:cs="Times New Roman"/>
          <w:sz w:val="26"/>
          <w:szCs w:val="26"/>
        </w:rPr>
      </w:pPr>
      <w:r>
        <w:rPr>
          <w:rFonts w:ascii="Times New Roman" w:hAnsi="Times New Roman" w:cs="Times New Roman"/>
          <w:sz w:val="26"/>
          <w:szCs w:val="26"/>
        </w:rPr>
        <w:tab/>
      </w:r>
    </w:p>
    <w:p w14:paraId="4B08B421" w14:textId="77777777" w:rsidR="00023966" w:rsidRDefault="00023966" w:rsidP="00023966">
      <w:pPr>
        <w:pStyle w:val="NoSpacing"/>
        <w:ind w:left="900" w:hanging="360"/>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t>F</w:t>
      </w:r>
      <w:r w:rsidR="00322E2C" w:rsidRPr="00797D5D">
        <w:rPr>
          <w:rFonts w:ascii="Times New Roman" w:hAnsi="Times New Roman" w:cs="Times New Roman"/>
          <w:sz w:val="26"/>
          <w:szCs w:val="26"/>
        </w:rPr>
        <w:t>uture capital improvements</w:t>
      </w:r>
    </w:p>
    <w:p w14:paraId="6B9E8753" w14:textId="43528860" w:rsidR="002A3840" w:rsidRDefault="00023966" w:rsidP="00475157">
      <w:pPr>
        <w:pStyle w:val="NoSpacing"/>
        <w:ind w:left="900" w:hanging="360"/>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t xml:space="preserve">Any type of </w:t>
      </w:r>
      <w:r w:rsidR="00D2696D">
        <w:rPr>
          <w:rFonts w:ascii="Times New Roman" w:hAnsi="Times New Roman" w:cs="Times New Roman"/>
          <w:sz w:val="26"/>
          <w:szCs w:val="26"/>
        </w:rPr>
        <w:t xml:space="preserve">adjustment or adder </w:t>
      </w:r>
      <w:proofErr w:type="gramStart"/>
      <w:r w:rsidR="00D2696D">
        <w:rPr>
          <w:rFonts w:ascii="Times New Roman" w:hAnsi="Times New Roman" w:cs="Times New Roman"/>
          <w:sz w:val="26"/>
          <w:szCs w:val="26"/>
        </w:rPr>
        <w:t xml:space="preserve">in the nature of </w:t>
      </w:r>
      <w:r>
        <w:rPr>
          <w:rFonts w:ascii="Times New Roman" w:hAnsi="Times New Roman" w:cs="Times New Roman"/>
          <w:sz w:val="26"/>
          <w:szCs w:val="26"/>
        </w:rPr>
        <w:t>goodwill</w:t>
      </w:r>
      <w:proofErr w:type="gramEnd"/>
      <w:r w:rsidR="00D2696D">
        <w:rPr>
          <w:rFonts w:ascii="Times New Roman" w:hAnsi="Times New Roman" w:cs="Times New Roman"/>
          <w:sz w:val="26"/>
          <w:szCs w:val="26"/>
        </w:rPr>
        <w:t xml:space="preserve"> </w:t>
      </w:r>
    </w:p>
    <w:p w14:paraId="5046B606" w14:textId="77777777" w:rsidR="00547554" w:rsidRPr="00475157" w:rsidRDefault="00547554" w:rsidP="00475157">
      <w:pPr>
        <w:pStyle w:val="NoSpacing"/>
        <w:ind w:left="900" w:hanging="360"/>
        <w:rPr>
          <w:rFonts w:ascii="Times New Roman" w:hAnsi="Times New Roman" w:cs="Times New Roman"/>
          <w:sz w:val="26"/>
          <w:szCs w:val="26"/>
        </w:rPr>
      </w:pPr>
    </w:p>
    <w:bookmarkEnd w:id="0"/>
    <w:p w14:paraId="558AA833" w14:textId="576DAA50" w:rsidR="00547554" w:rsidRPr="00547554" w:rsidRDefault="00547554" w:rsidP="009E49D1">
      <w:pPr>
        <w:pStyle w:val="ListParagraph"/>
        <w:numPr>
          <w:ilvl w:val="0"/>
          <w:numId w:val="22"/>
        </w:numPr>
      </w:pPr>
      <w:r w:rsidRPr="00547554">
        <w:t>Speculative growth adjustments will not be used. U.S. Census Data and relevant and applicable regional planning commission reports may be used as a basis to determine growth in a subject area.</w:t>
      </w:r>
    </w:p>
    <w:p w14:paraId="43639547" w14:textId="77777777" w:rsidR="00547554" w:rsidRPr="00547554" w:rsidRDefault="00547554" w:rsidP="00547554">
      <w:pPr>
        <w:ind w:hanging="720"/>
      </w:pPr>
    </w:p>
    <w:p w14:paraId="5E629C15" w14:textId="69E4DC53" w:rsidR="00547554" w:rsidRPr="00547554" w:rsidRDefault="00547554" w:rsidP="009E49D1">
      <w:pPr>
        <w:pStyle w:val="ListParagraph"/>
        <w:numPr>
          <w:ilvl w:val="0"/>
          <w:numId w:val="22"/>
        </w:numPr>
      </w:pPr>
      <w:r w:rsidRPr="00547554">
        <w:t xml:space="preserve">The proxy group used for calculating market value should not be limited to only companies which engage in Pennsylvania fair market value acquisitions. </w:t>
      </w:r>
    </w:p>
    <w:p w14:paraId="080AC2ED" w14:textId="77777777" w:rsidR="00547554" w:rsidRPr="00547554" w:rsidRDefault="00547554" w:rsidP="00547554">
      <w:pPr>
        <w:ind w:hanging="720"/>
      </w:pPr>
    </w:p>
    <w:p w14:paraId="1FE4A3CA" w14:textId="18B1FFFF" w:rsidR="00547554" w:rsidRPr="00547554" w:rsidRDefault="00547554" w:rsidP="009E49D1">
      <w:pPr>
        <w:pStyle w:val="ListParagraph"/>
        <w:numPr>
          <w:ilvl w:val="0"/>
          <w:numId w:val="22"/>
        </w:numPr>
      </w:pPr>
      <w:r w:rsidRPr="00547554">
        <w:t>Net book financials multiplier shall not be used.</w:t>
      </w:r>
    </w:p>
    <w:p w14:paraId="216C3DDF" w14:textId="77777777" w:rsidR="00547554" w:rsidRPr="00547554" w:rsidRDefault="00547554" w:rsidP="00547554">
      <w:pPr>
        <w:ind w:hanging="720"/>
      </w:pPr>
    </w:p>
    <w:p w14:paraId="508E6469" w14:textId="583F7845" w:rsidR="00547554" w:rsidRPr="00547554" w:rsidRDefault="00547554" w:rsidP="009E49D1">
      <w:pPr>
        <w:pStyle w:val="ListParagraph"/>
        <w:numPr>
          <w:ilvl w:val="0"/>
          <w:numId w:val="22"/>
        </w:numPr>
      </w:pPr>
      <w:r w:rsidRPr="00547554">
        <w:t xml:space="preserve">Comparable sales used to establish the valuation should not be limited to those that the UVE previously appraised. </w:t>
      </w:r>
    </w:p>
    <w:p w14:paraId="01AEE62B" w14:textId="77777777" w:rsidR="00547554" w:rsidRPr="00547554" w:rsidRDefault="00547554" w:rsidP="00547554">
      <w:pPr>
        <w:ind w:hanging="720"/>
      </w:pPr>
    </w:p>
    <w:p w14:paraId="2DC0A0D1" w14:textId="1CBEBC4B" w:rsidR="00547554" w:rsidRPr="00547554" w:rsidRDefault="00547554" w:rsidP="009E49D1">
      <w:pPr>
        <w:pStyle w:val="ListParagraph"/>
        <w:numPr>
          <w:ilvl w:val="0"/>
          <w:numId w:val="22"/>
        </w:numPr>
      </w:pPr>
      <w:r w:rsidRPr="00547554">
        <w:t>Comparable sales used to establish the valuation should use the current customers.</w:t>
      </w:r>
    </w:p>
    <w:p w14:paraId="51E63750" w14:textId="77777777" w:rsidR="00547554" w:rsidRPr="00547554" w:rsidRDefault="00547554" w:rsidP="00547554">
      <w:pPr>
        <w:ind w:hanging="720"/>
      </w:pPr>
    </w:p>
    <w:p w14:paraId="07E4CA30" w14:textId="54008132" w:rsidR="00547554" w:rsidRPr="00547554" w:rsidRDefault="00547554" w:rsidP="009E49D1">
      <w:pPr>
        <w:pStyle w:val="ListParagraph"/>
        <w:numPr>
          <w:ilvl w:val="0"/>
          <w:numId w:val="22"/>
        </w:numPr>
      </w:pPr>
      <w:r w:rsidRPr="00547554">
        <w:t xml:space="preserve">Comparable sales used to establish the valuation should not include the value of future capital improvement projects. </w:t>
      </w:r>
    </w:p>
    <w:p w14:paraId="659A97DA" w14:textId="77777777" w:rsidR="00C42ACF" w:rsidRPr="00797D5D" w:rsidRDefault="00C42ACF" w:rsidP="00547554">
      <w:pPr>
        <w:pStyle w:val="NoSpacing"/>
        <w:rPr>
          <w:rFonts w:ascii="Times New Roman" w:hAnsi="Times New Roman" w:cs="Times New Roman"/>
          <w:sz w:val="26"/>
          <w:szCs w:val="26"/>
        </w:rPr>
      </w:pPr>
    </w:p>
    <w:sectPr w:rsidR="00C42ACF" w:rsidRPr="00797D5D" w:rsidSect="00322E2C">
      <w:headerReference w:type="default" r:id="rId7"/>
      <w:footerReference w:type="default" r:id="rId8"/>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2BC49" w14:textId="77777777" w:rsidR="00554BE4" w:rsidRDefault="00554BE4" w:rsidP="00D55E98">
      <w:r>
        <w:separator/>
      </w:r>
    </w:p>
  </w:endnote>
  <w:endnote w:type="continuationSeparator" w:id="0">
    <w:p w14:paraId="1E8C01C3" w14:textId="77777777" w:rsidR="00554BE4" w:rsidRDefault="00554BE4" w:rsidP="00D55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6469225"/>
      <w:docPartObj>
        <w:docPartGallery w:val="Page Numbers (Bottom of Page)"/>
        <w:docPartUnique/>
      </w:docPartObj>
    </w:sdtPr>
    <w:sdtEndPr>
      <w:rPr>
        <w:noProof/>
      </w:rPr>
    </w:sdtEndPr>
    <w:sdtContent>
      <w:p w14:paraId="5C6124DE" w14:textId="77777777" w:rsidR="00D55E98" w:rsidRDefault="00D55E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D04E5D" w14:textId="77777777" w:rsidR="00D55E98" w:rsidRDefault="00D55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B8514" w14:textId="77777777" w:rsidR="00554BE4" w:rsidRDefault="00554BE4" w:rsidP="00D55E98">
      <w:r>
        <w:separator/>
      </w:r>
    </w:p>
  </w:footnote>
  <w:footnote w:type="continuationSeparator" w:id="0">
    <w:p w14:paraId="79E1E456" w14:textId="77777777" w:rsidR="00554BE4" w:rsidRDefault="00554BE4" w:rsidP="00D55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8B069" w14:textId="6ACAA6C8" w:rsidR="007F1B62" w:rsidRPr="00563303" w:rsidRDefault="007F1B62" w:rsidP="007F1B62">
    <w:pPr>
      <w:pStyle w:val="NoSpacing"/>
      <w:jc w:val="right"/>
      <w:rPr>
        <w:rFonts w:ascii="Times New Roman" w:hAnsi="Times New Roman" w:cs="Times New Roman"/>
        <w:b/>
        <w:sz w:val="26"/>
        <w:szCs w:val="26"/>
        <w:u w:val="single"/>
      </w:rPr>
    </w:pPr>
    <w:r w:rsidRPr="00563303">
      <w:rPr>
        <w:rFonts w:ascii="Times New Roman" w:hAnsi="Times New Roman" w:cs="Times New Roman"/>
        <w:b/>
        <w:sz w:val="26"/>
        <w:szCs w:val="26"/>
        <w:u w:val="single"/>
      </w:rPr>
      <w:t>APPENDIX C</w:t>
    </w:r>
  </w:p>
  <w:p w14:paraId="054C6426" w14:textId="2945505C" w:rsidR="00F67E23" w:rsidRPr="00563303" w:rsidRDefault="00F67E23" w:rsidP="00F67E23">
    <w:pPr>
      <w:pStyle w:val="NoSpacing"/>
      <w:jc w:val="center"/>
      <w:rPr>
        <w:rFonts w:ascii="Times New Roman" w:hAnsi="Times New Roman" w:cs="Times New Roman"/>
        <w:b/>
        <w:sz w:val="26"/>
        <w:szCs w:val="26"/>
      </w:rPr>
    </w:pPr>
    <w:r w:rsidRPr="00563303">
      <w:rPr>
        <w:rFonts w:ascii="Times New Roman" w:hAnsi="Times New Roman" w:cs="Times New Roman"/>
        <w:b/>
        <w:sz w:val="26"/>
        <w:szCs w:val="26"/>
      </w:rPr>
      <w:t>Pennsylvania Public Utility Commission</w:t>
    </w:r>
  </w:p>
  <w:p w14:paraId="2CF573F9" w14:textId="39CD7B98" w:rsidR="00F67E23" w:rsidRPr="00563303" w:rsidRDefault="00A11E5F" w:rsidP="00F67E23">
    <w:pPr>
      <w:pStyle w:val="NoSpacing"/>
      <w:jc w:val="center"/>
      <w:rPr>
        <w:rFonts w:ascii="Times New Roman" w:hAnsi="Times New Roman" w:cs="Times New Roman"/>
        <w:b/>
        <w:sz w:val="26"/>
        <w:szCs w:val="26"/>
      </w:rPr>
    </w:pPr>
    <w:r w:rsidRPr="00563303">
      <w:rPr>
        <w:rFonts w:ascii="Times New Roman" w:hAnsi="Times New Roman" w:cs="Times New Roman"/>
        <w:b/>
        <w:sz w:val="26"/>
        <w:szCs w:val="26"/>
      </w:rPr>
      <w:t xml:space="preserve">Additional </w:t>
    </w:r>
    <w:r w:rsidR="00F67E23" w:rsidRPr="00563303">
      <w:rPr>
        <w:rFonts w:ascii="Times New Roman" w:hAnsi="Times New Roman" w:cs="Times New Roman"/>
        <w:b/>
        <w:sz w:val="26"/>
        <w:szCs w:val="26"/>
      </w:rPr>
      <w:t>Guidelines for Utility Valuation Experts</w:t>
    </w:r>
  </w:p>
  <w:p w14:paraId="4C5172C0" w14:textId="77777777" w:rsidR="00F67E23" w:rsidRDefault="00F67E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822BF"/>
    <w:multiLevelType w:val="hybridMultilevel"/>
    <w:tmpl w:val="DFD44422"/>
    <w:lvl w:ilvl="0" w:tplc="0F660046">
      <w:start w:val="9"/>
      <w:numFmt w:val="lowerLetter"/>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 w15:restartNumberingAfterBreak="0">
    <w:nsid w:val="051C2E5E"/>
    <w:multiLevelType w:val="hybridMultilevel"/>
    <w:tmpl w:val="F3687BB8"/>
    <w:lvl w:ilvl="0" w:tplc="E65E2392">
      <w:start w:val="2"/>
      <w:numFmt w:val="lowerLetter"/>
      <w:lvlText w:val="%1."/>
      <w:lvlJc w:val="left"/>
      <w:pPr>
        <w:ind w:left="907"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8D52B8"/>
    <w:multiLevelType w:val="hybridMultilevel"/>
    <w:tmpl w:val="2D429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332FF"/>
    <w:multiLevelType w:val="hybridMultilevel"/>
    <w:tmpl w:val="CE5897E8"/>
    <w:lvl w:ilvl="0" w:tplc="99EC6D5C">
      <w:start w:val="1"/>
      <w:numFmt w:val="lowerRoman"/>
      <w:lvlText w:val="%1."/>
      <w:lvlJc w:val="left"/>
      <w:pPr>
        <w:ind w:left="1627" w:hanging="72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 w15:restartNumberingAfterBreak="0">
    <w:nsid w:val="20F872BE"/>
    <w:multiLevelType w:val="hybridMultilevel"/>
    <w:tmpl w:val="0310E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7B201B"/>
    <w:multiLevelType w:val="hybridMultilevel"/>
    <w:tmpl w:val="CDFE0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8759D3"/>
    <w:multiLevelType w:val="hybridMultilevel"/>
    <w:tmpl w:val="7A324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E54130"/>
    <w:multiLevelType w:val="hybridMultilevel"/>
    <w:tmpl w:val="C2EC8B52"/>
    <w:lvl w:ilvl="0" w:tplc="64A2144A">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2D40BD7"/>
    <w:multiLevelType w:val="hybridMultilevel"/>
    <w:tmpl w:val="CF2C7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B35F2C"/>
    <w:multiLevelType w:val="hybridMultilevel"/>
    <w:tmpl w:val="4634A9BC"/>
    <w:lvl w:ilvl="0" w:tplc="E040841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B2F0F9D"/>
    <w:multiLevelType w:val="hybridMultilevel"/>
    <w:tmpl w:val="4B42A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4902A7"/>
    <w:multiLevelType w:val="hybridMultilevel"/>
    <w:tmpl w:val="CA7C7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DE473B"/>
    <w:multiLevelType w:val="hybridMultilevel"/>
    <w:tmpl w:val="A5CABD5E"/>
    <w:lvl w:ilvl="0" w:tplc="0409000F">
      <w:start w:val="1"/>
      <w:numFmt w:val="decimal"/>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3" w15:restartNumberingAfterBreak="0">
    <w:nsid w:val="561656FB"/>
    <w:multiLevelType w:val="hybridMultilevel"/>
    <w:tmpl w:val="D01A09E4"/>
    <w:lvl w:ilvl="0" w:tplc="E0408414">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CED3EDC"/>
    <w:multiLevelType w:val="hybridMultilevel"/>
    <w:tmpl w:val="9196B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0462EB"/>
    <w:multiLevelType w:val="hybridMultilevel"/>
    <w:tmpl w:val="BF7ED096"/>
    <w:lvl w:ilvl="0" w:tplc="9696A566">
      <w:start w:val="1"/>
      <w:numFmt w:val="lowerRoman"/>
      <w:lvlText w:val="%1."/>
      <w:lvlJc w:val="left"/>
      <w:pPr>
        <w:ind w:left="1627" w:hanging="72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6" w15:restartNumberingAfterBreak="0">
    <w:nsid w:val="60FF614A"/>
    <w:multiLevelType w:val="hybridMultilevel"/>
    <w:tmpl w:val="5862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4301C6"/>
    <w:multiLevelType w:val="hybridMultilevel"/>
    <w:tmpl w:val="6A08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B06F91"/>
    <w:multiLevelType w:val="hybridMultilevel"/>
    <w:tmpl w:val="AAA2B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116631"/>
    <w:multiLevelType w:val="hybridMultilevel"/>
    <w:tmpl w:val="B852A3AE"/>
    <w:lvl w:ilvl="0" w:tplc="5882E45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5FB749C"/>
    <w:multiLevelType w:val="hybridMultilevel"/>
    <w:tmpl w:val="B852A3AE"/>
    <w:lvl w:ilvl="0" w:tplc="5882E45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2A378E"/>
    <w:multiLevelType w:val="hybridMultilevel"/>
    <w:tmpl w:val="EB8E2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11"/>
  </w:num>
  <w:num w:numId="5">
    <w:abstractNumId w:val="21"/>
  </w:num>
  <w:num w:numId="6">
    <w:abstractNumId w:val="10"/>
  </w:num>
  <w:num w:numId="7">
    <w:abstractNumId w:val="14"/>
  </w:num>
  <w:num w:numId="8">
    <w:abstractNumId w:val="18"/>
  </w:num>
  <w:num w:numId="9">
    <w:abstractNumId w:val="17"/>
  </w:num>
  <w:num w:numId="10">
    <w:abstractNumId w:val="16"/>
  </w:num>
  <w:num w:numId="11">
    <w:abstractNumId w:val="8"/>
  </w:num>
  <w:num w:numId="12">
    <w:abstractNumId w:val="6"/>
  </w:num>
  <w:num w:numId="13">
    <w:abstractNumId w:val="9"/>
  </w:num>
  <w:num w:numId="14">
    <w:abstractNumId w:val="13"/>
  </w:num>
  <w:num w:numId="15">
    <w:abstractNumId w:val="20"/>
  </w:num>
  <w:num w:numId="16">
    <w:abstractNumId w:val="7"/>
  </w:num>
  <w:num w:numId="17">
    <w:abstractNumId w:val="0"/>
  </w:num>
  <w:num w:numId="18">
    <w:abstractNumId w:val="1"/>
  </w:num>
  <w:num w:numId="19">
    <w:abstractNumId w:val="3"/>
  </w:num>
  <w:num w:numId="20">
    <w:abstractNumId w:val="15"/>
  </w:num>
  <w:num w:numId="21">
    <w:abstractNumId w:val="12"/>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ACF"/>
    <w:rsid w:val="00023966"/>
    <w:rsid w:val="000431F0"/>
    <w:rsid w:val="000B5A86"/>
    <w:rsid w:val="000F645B"/>
    <w:rsid w:val="00104509"/>
    <w:rsid w:val="001160E7"/>
    <w:rsid w:val="001456D5"/>
    <w:rsid w:val="00151A62"/>
    <w:rsid w:val="00153901"/>
    <w:rsid w:val="00153F51"/>
    <w:rsid w:val="00156F6E"/>
    <w:rsid w:val="00164F70"/>
    <w:rsid w:val="00182BED"/>
    <w:rsid w:val="001971A2"/>
    <w:rsid w:val="001B571F"/>
    <w:rsid w:val="001C2B99"/>
    <w:rsid w:val="00224F25"/>
    <w:rsid w:val="0028387A"/>
    <w:rsid w:val="002A3840"/>
    <w:rsid w:val="002E2C0F"/>
    <w:rsid w:val="0031775C"/>
    <w:rsid w:val="00322E2C"/>
    <w:rsid w:val="00347728"/>
    <w:rsid w:val="0036110D"/>
    <w:rsid w:val="00383BFE"/>
    <w:rsid w:val="003B33F6"/>
    <w:rsid w:val="003E0B27"/>
    <w:rsid w:val="003F1030"/>
    <w:rsid w:val="003F52B8"/>
    <w:rsid w:val="00417C5E"/>
    <w:rsid w:val="00430506"/>
    <w:rsid w:val="004321FA"/>
    <w:rsid w:val="00461145"/>
    <w:rsid w:val="00467E90"/>
    <w:rsid w:val="00475157"/>
    <w:rsid w:val="004925B1"/>
    <w:rsid w:val="004A4377"/>
    <w:rsid w:val="004B3901"/>
    <w:rsid w:val="004F12F4"/>
    <w:rsid w:val="005060FF"/>
    <w:rsid w:val="0053149E"/>
    <w:rsid w:val="00536FC3"/>
    <w:rsid w:val="00547554"/>
    <w:rsid w:val="00554BE4"/>
    <w:rsid w:val="00563303"/>
    <w:rsid w:val="005B63F5"/>
    <w:rsid w:val="005D117F"/>
    <w:rsid w:val="0063631A"/>
    <w:rsid w:val="0064172C"/>
    <w:rsid w:val="006B7457"/>
    <w:rsid w:val="006D16E6"/>
    <w:rsid w:val="00707F32"/>
    <w:rsid w:val="0073416E"/>
    <w:rsid w:val="007414E4"/>
    <w:rsid w:val="00764A35"/>
    <w:rsid w:val="00777940"/>
    <w:rsid w:val="00777B7D"/>
    <w:rsid w:val="007865CE"/>
    <w:rsid w:val="00797D5D"/>
    <w:rsid w:val="007C641D"/>
    <w:rsid w:val="007C6E8D"/>
    <w:rsid w:val="007F1B62"/>
    <w:rsid w:val="0080306C"/>
    <w:rsid w:val="00805C19"/>
    <w:rsid w:val="0093776A"/>
    <w:rsid w:val="00953F80"/>
    <w:rsid w:val="00992B7B"/>
    <w:rsid w:val="009A132A"/>
    <w:rsid w:val="009C19CA"/>
    <w:rsid w:val="009C669E"/>
    <w:rsid w:val="009D189C"/>
    <w:rsid w:val="009D3E6B"/>
    <w:rsid w:val="009E49D1"/>
    <w:rsid w:val="009E51FE"/>
    <w:rsid w:val="00A11E5F"/>
    <w:rsid w:val="00A9008C"/>
    <w:rsid w:val="00A944D9"/>
    <w:rsid w:val="00B7799B"/>
    <w:rsid w:val="00C27685"/>
    <w:rsid w:val="00C374D1"/>
    <w:rsid w:val="00C42ACF"/>
    <w:rsid w:val="00C94FF6"/>
    <w:rsid w:val="00CD3264"/>
    <w:rsid w:val="00D22405"/>
    <w:rsid w:val="00D258DA"/>
    <w:rsid w:val="00D2696D"/>
    <w:rsid w:val="00D55E98"/>
    <w:rsid w:val="00D66403"/>
    <w:rsid w:val="00DC5E47"/>
    <w:rsid w:val="00DE44E5"/>
    <w:rsid w:val="00DF17F3"/>
    <w:rsid w:val="00EA0B1E"/>
    <w:rsid w:val="00EC125D"/>
    <w:rsid w:val="00F314A9"/>
    <w:rsid w:val="00F314DD"/>
    <w:rsid w:val="00F55C6C"/>
    <w:rsid w:val="00F57823"/>
    <w:rsid w:val="00F67E23"/>
    <w:rsid w:val="00F91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9A6E3"/>
  <w15:chartTrackingRefBased/>
  <w15:docId w15:val="{3913E31A-32A5-40CA-9B28-99173C60C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58DA"/>
    <w:pPr>
      <w:overflowPunct w:val="0"/>
      <w:autoSpaceDE w:val="0"/>
      <w:autoSpaceDN w:val="0"/>
      <w:adjustRightInd w:val="0"/>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2ACF"/>
    <w:pPr>
      <w:spacing w:after="0" w:line="240" w:lineRule="auto"/>
    </w:pPr>
  </w:style>
  <w:style w:type="character" w:styleId="CommentReference">
    <w:name w:val="annotation reference"/>
    <w:basedOn w:val="DefaultParagraphFont"/>
    <w:uiPriority w:val="99"/>
    <w:semiHidden/>
    <w:unhideWhenUsed/>
    <w:rsid w:val="004925B1"/>
    <w:rPr>
      <w:sz w:val="16"/>
      <w:szCs w:val="16"/>
    </w:rPr>
  </w:style>
  <w:style w:type="paragraph" w:styleId="CommentText">
    <w:name w:val="annotation text"/>
    <w:basedOn w:val="Normal"/>
    <w:link w:val="CommentTextChar"/>
    <w:uiPriority w:val="99"/>
    <w:unhideWhenUsed/>
    <w:rsid w:val="004925B1"/>
    <w:rPr>
      <w:sz w:val="20"/>
      <w:szCs w:val="20"/>
    </w:rPr>
  </w:style>
  <w:style w:type="character" w:customStyle="1" w:styleId="CommentTextChar">
    <w:name w:val="Comment Text Char"/>
    <w:basedOn w:val="DefaultParagraphFont"/>
    <w:link w:val="CommentText"/>
    <w:uiPriority w:val="99"/>
    <w:rsid w:val="004925B1"/>
    <w:rPr>
      <w:sz w:val="20"/>
      <w:szCs w:val="20"/>
    </w:rPr>
  </w:style>
  <w:style w:type="paragraph" w:styleId="CommentSubject">
    <w:name w:val="annotation subject"/>
    <w:basedOn w:val="CommentText"/>
    <w:next w:val="CommentText"/>
    <w:link w:val="CommentSubjectChar"/>
    <w:uiPriority w:val="99"/>
    <w:semiHidden/>
    <w:unhideWhenUsed/>
    <w:rsid w:val="004925B1"/>
    <w:rPr>
      <w:b/>
      <w:bCs/>
    </w:rPr>
  </w:style>
  <w:style w:type="character" w:customStyle="1" w:styleId="CommentSubjectChar">
    <w:name w:val="Comment Subject Char"/>
    <w:basedOn w:val="CommentTextChar"/>
    <w:link w:val="CommentSubject"/>
    <w:uiPriority w:val="99"/>
    <w:semiHidden/>
    <w:rsid w:val="004925B1"/>
    <w:rPr>
      <w:b/>
      <w:bCs/>
      <w:sz w:val="20"/>
      <w:szCs w:val="20"/>
    </w:rPr>
  </w:style>
  <w:style w:type="paragraph" w:styleId="BalloonText">
    <w:name w:val="Balloon Text"/>
    <w:basedOn w:val="Normal"/>
    <w:link w:val="BalloonTextChar"/>
    <w:uiPriority w:val="99"/>
    <w:semiHidden/>
    <w:unhideWhenUsed/>
    <w:rsid w:val="004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5B1"/>
    <w:rPr>
      <w:rFonts w:ascii="Segoe UI" w:hAnsi="Segoe UI" w:cs="Segoe UI"/>
      <w:sz w:val="18"/>
      <w:szCs w:val="18"/>
    </w:rPr>
  </w:style>
  <w:style w:type="paragraph" w:styleId="ListParagraph">
    <w:name w:val="List Paragraph"/>
    <w:basedOn w:val="Normal"/>
    <w:uiPriority w:val="34"/>
    <w:qFormat/>
    <w:rsid w:val="00D258DA"/>
    <w:pPr>
      <w:ind w:left="720"/>
      <w:contextualSpacing/>
    </w:pPr>
  </w:style>
  <w:style w:type="paragraph" w:styleId="Header">
    <w:name w:val="header"/>
    <w:basedOn w:val="Normal"/>
    <w:link w:val="HeaderChar"/>
    <w:uiPriority w:val="99"/>
    <w:unhideWhenUsed/>
    <w:rsid w:val="00D55E98"/>
    <w:pPr>
      <w:tabs>
        <w:tab w:val="center" w:pos="4680"/>
        <w:tab w:val="right" w:pos="9360"/>
      </w:tabs>
    </w:pPr>
  </w:style>
  <w:style w:type="character" w:customStyle="1" w:styleId="HeaderChar">
    <w:name w:val="Header Char"/>
    <w:basedOn w:val="DefaultParagraphFont"/>
    <w:link w:val="Header"/>
    <w:uiPriority w:val="99"/>
    <w:rsid w:val="00D55E98"/>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D55E98"/>
    <w:pPr>
      <w:tabs>
        <w:tab w:val="center" w:pos="4680"/>
        <w:tab w:val="right" w:pos="9360"/>
      </w:tabs>
    </w:pPr>
  </w:style>
  <w:style w:type="character" w:customStyle="1" w:styleId="FooterChar">
    <w:name w:val="Footer Char"/>
    <w:basedOn w:val="DefaultParagraphFont"/>
    <w:link w:val="Footer"/>
    <w:uiPriority w:val="99"/>
    <w:rsid w:val="00D55E98"/>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Pankiw, Bohdan</dc:creator>
  <cp:keywords/>
  <dc:description/>
  <cp:lastModifiedBy>Dunn, Hayley</cp:lastModifiedBy>
  <cp:revision>2</cp:revision>
  <cp:lastPrinted>2018-08-30T15:40:00Z</cp:lastPrinted>
  <dcterms:created xsi:type="dcterms:W3CDTF">2019-02-25T21:04:00Z</dcterms:created>
  <dcterms:modified xsi:type="dcterms:W3CDTF">2019-02-25T21:04:00Z</dcterms:modified>
</cp:coreProperties>
</file>