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437A4C" w:rsidRPr="008239FE" w:rsidTr="009159DB">
        <w:tc>
          <w:tcPr>
            <w:tcW w:w="2448" w:type="dxa"/>
          </w:tcPr>
          <w:p w:rsidR="00437A4C" w:rsidRPr="008239FE" w:rsidRDefault="00437A4C" w:rsidP="00C04157">
            <w:pPr>
              <w:keepNext/>
              <w:overflowPunct w:val="0"/>
              <w:autoSpaceDE w:val="0"/>
              <w:autoSpaceDN w:val="0"/>
              <w:adjustRightInd w:val="0"/>
              <w:spacing w:before="240" w:after="60" w:line="240" w:lineRule="auto"/>
              <w:textAlignment w:val="baseline"/>
              <w:outlineLvl w:val="2"/>
              <w:rPr>
                <w:rFonts w:ascii="Times New Roman" w:eastAsia="Times New Roman" w:hAnsi="Times New Roman" w:cs="Times New Roman"/>
                <w:b/>
                <w:bCs/>
                <w:sz w:val="26"/>
                <w:szCs w:val="26"/>
              </w:rPr>
            </w:pPr>
          </w:p>
        </w:tc>
        <w:tc>
          <w:tcPr>
            <w:tcW w:w="5130" w:type="dxa"/>
          </w:tcPr>
          <w:p w:rsidR="00437A4C" w:rsidRPr="008239FE" w:rsidRDefault="00437A4C" w:rsidP="00C0415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PENNSYLVANIA</w:t>
            </w:r>
          </w:p>
          <w:p w:rsidR="00437A4C" w:rsidRPr="008239FE" w:rsidRDefault="00437A4C" w:rsidP="00C0415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PUBLIC UTILITY COMMISSION</w:t>
            </w:r>
          </w:p>
          <w:p w:rsidR="00437A4C" w:rsidRPr="008239FE" w:rsidRDefault="00437A4C" w:rsidP="00C0415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Harrisburg, PA  17105-3265</w:t>
            </w:r>
          </w:p>
        </w:tc>
        <w:tc>
          <w:tcPr>
            <w:tcW w:w="2700" w:type="dxa"/>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5148"/>
      </w:tblGrid>
      <w:tr w:rsidR="00437A4C" w:rsidRPr="008239FE" w:rsidTr="009159DB">
        <w:tc>
          <w:tcPr>
            <w:tcW w:w="5148" w:type="dxa"/>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5148" w:type="dxa"/>
          </w:tcPr>
          <w:p w:rsidR="00437A4C" w:rsidRPr="008239FE" w:rsidRDefault="00437A4C" w:rsidP="00C04157">
            <w:pPr>
              <w:overflowPunct w:val="0"/>
              <w:autoSpaceDE w:val="0"/>
              <w:autoSpaceDN w:val="0"/>
              <w:adjustRightInd w:val="0"/>
              <w:spacing w:after="0" w:line="240" w:lineRule="auto"/>
              <w:ind w:firstLine="612"/>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Public Meeting held </w:t>
            </w:r>
            <w:r w:rsidR="00A91BE7">
              <w:rPr>
                <w:rFonts w:ascii="Times New Roman" w:eastAsia="Times New Roman" w:hAnsi="Times New Roman" w:cs="Times New Roman"/>
                <w:sz w:val="26"/>
                <w:szCs w:val="26"/>
              </w:rPr>
              <w:t xml:space="preserve">February </w:t>
            </w:r>
            <w:r w:rsidR="002E440A">
              <w:rPr>
                <w:rFonts w:ascii="Times New Roman" w:eastAsia="Times New Roman" w:hAnsi="Times New Roman" w:cs="Times New Roman"/>
                <w:sz w:val="26"/>
                <w:szCs w:val="26"/>
              </w:rPr>
              <w:t>28</w:t>
            </w:r>
            <w:r w:rsidRPr="008239FE">
              <w:rPr>
                <w:rFonts w:ascii="Times New Roman" w:eastAsia="Times New Roman" w:hAnsi="Times New Roman" w:cs="Times New Roman"/>
                <w:sz w:val="26"/>
                <w:szCs w:val="26"/>
              </w:rPr>
              <w:t>, 201</w:t>
            </w:r>
            <w:r w:rsidR="001159B2">
              <w:rPr>
                <w:rFonts w:ascii="Times New Roman" w:eastAsia="Times New Roman" w:hAnsi="Times New Roman" w:cs="Times New Roman"/>
                <w:sz w:val="26"/>
                <w:szCs w:val="26"/>
              </w:rPr>
              <w:t>9</w:t>
            </w:r>
            <w:r w:rsidR="003A270E">
              <w:rPr>
                <w:rFonts w:ascii="Times New Roman" w:eastAsia="Times New Roman" w:hAnsi="Times New Roman" w:cs="Times New Roman"/>
                <w:sz w:val="26"/>
                <w:szCs w:val="26"/>
              </w:rPr>
              <w:t xml:space="preserve"> </w:t>
            </w:r>
          </w:p>
        </w:tc>
      </w:tr>
      <w:tr w:rsidR="00437A4C" w:rsidRPr="008239FE" w:rsidTr="009159DB">
        <w:tc>
          <w:tcPr>
            <w:tcW w:w="5148" w:type="dxa"/>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Commissioners Present:</w:t>
            </w:r>
          </w:p>
        </w:tc>
        <w:tc>
          <w:tcPr>
            <w:tcW w:w="5148" w:type="dxa"/>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10296" w:type="dxa"/>
        <w:tblLayout w:type="fixed"/>
        <w:tblLook w:val="0000" w:firstRow="0" w:lastRow="0" w:firstColumn="0" w:lastColumn="0" w:noHBand="0" w:noVBand="0"/>
      </w:tblPr>
      <w:tblGrid>
        <w:gridCol w:w="5958"/>
        <w:gridCol w:w="3420"/>
        <w:gridCol w:w="90"/>
        <w:gridCol w:w="828"/>
      </w:tblGrid>
      <w:tr w:rsidR="00437A4C" w:rsidRPr="008239FE" w:rsidTr="009159DB">
        <w:tc>
          <w:tcPr>
            <w:tcW w:w="9378" w:type="dxa"/>
            <w:gridSpan w:val="2"/>
          </w:tcPr>
          <w:p w:rsidR="00437A4C" w:rsidRPr="008239FE" w:rsidRDefault="00437A4C" w:rsidP="00C04157">
            <w:pPr>
              <w:autoSpaceDE w:val="0"/>
              <w:autoSpaceDN w:val="0"/>
              <w:adjustRightInd w:val="0"/>
              <w:spacing w:after="0" w:line="240" w:lineRule="auto"/>
              <w:ind w:left="720"/>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Gladys M. Brown, Chairman</w:t>
            </w:r>
          </w:p>
        </w:tc>
        <w:tc>
          <w:tcPr>
            <w:tcW w:w="918" w:type="dxa"/>
            <w:gridSpan w:val="2"/>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9159DB">
        <w:tc>
          <w:tcPr>
            <w:tcW w:w="9378" w:type="dxa"/>
            <w:gridSpan w:val="2"/>
          </w:tcPr>
          <w:p w:rsidR="00437A4C" w:rsidRPr="008239FE" w:rsidRDefault="00B36A1A" w:rsidP="00C04157">
            <w:pPr>
              <w:autoSpaceDE w:val="0"/>
              <w:autoSpaceDN w:val="0"/>
              <w:adjustRightInd w:val="0"/>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David W. Sweet</w:t>
            </w:r>
            <w:r w:rsidR="00437A4C" w:rsidRPr="008239FE">
              <w:rPr>
                <w:rFonts w:ascii="Times New Roman" w:eastAsia="Times New Roman" w:hAnsi="Times New Roman" w:cs="Times New Roman"/>
                <w:sz w:val="26"/>
                <w:szCs w:val="26"/>
              </w:rPr>
              <w:t>, Vice Chairman</w:t>
            </w:r>
          </w:p>
        </w:tc>
        <w:tc>
          <w:tcPr>
            <w:tcW w:w="918" w:type="dxa"/>
            <w:gridSpan w:val="2"/>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9159DB">
        <w:tc>
          <w:tcPr>
            <w:tcW w:w="9378" w:type="dxa"/>
            <w:gridSpan w:val="2"/>
          </w:tcPr>
          <w:p w:rsidR="00437A4C" w:rsidRPr="008239FE" w:rsidRDefault="00B95CB5" w:rsidP="00C04157">
            <w:pPr>
              <w:tabs>
                <w:tab w:val="left" w:pos="705"/>
              </w:tabs>
              <w:spacing w:after="0" w:line="240" w:lineRule="auto"/>
              <w:ind w:firstLine="720"/>
              <w:rPr>
                <w:rFonts w:ascii="Times New Roman" w:eastAsia="Times New Roman" w:hAnsi="Times New Roman" w:cs="Times New Roman"/>
                <w:sz w:val="26"/>
                <w:szCs w:val="26"/>
              </w:rPr>
            </w:pPr>
            <w:r w:rsidRPr="004138D7">
              <w:rPr>
                <w:rFonts w:ascii="Times New Roman" w:eastAsia="Times New Roman" w:hAnsi="Times New Roman" w:cs="Times New Roman"/>
                <w:sz w:val="26"/>
                <w:szCs w:val="26"/>
              </w:rPr>
              <w:t>Norman J. Kennard</w:t>
            </w:r>
          </w:p>
        </w:tc>
        <w:tc>
          <w:tcPr>
            <w:tcW w:w="918" w:type="dxa"/>
            <w:gridSpan w:val="2"/>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9159DB">
        <w:trPr>
          <w:gridAfter w:val="1"/>
          <w:wAfter w:w="828" w:type="dxa"/>
        </w:trPr>
        <w:tc>
          <w:tcPr>
            <w:tcW w:w="5958" w:type="dxa"/>
          </w:tcPr>
          <w:p w:rsidR="00437A4C" w:rsidRDefault="00B36A1A" w:rsidP="00C04157">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Pr>
                <w:rFonts w:ascii="Times New Roman" w:hAnsi="Times New Roman" w:cs="Times New Roman"/>
                <w:sz w:val="26"/>
                <w:szCs w:val="26"/>
              </w:rPr>
              <w:t>Andrew G. Place</w:t>
            </w:r>
            <w:r w:rsidR="00B451AA">
              <w:rPr>
                <w:rFonts w:ascii="Times New Roman" w:eastAsia="Times New Roman" w:hAnsi="Times New Roman" w:cs="Times New Roman"/>
                <w:sz w:val="26"/>
                <w:szCs w:val="26"/>
              </w:rPr>
              <w:t>, Statement</w:t>
            </w:r>
          </w:p>
          <w:p w:rsidR="00437A4C" w:rsidRPr="002230ED" w:rsidRDefault="00B95CB5" w:rsidP="00C04157">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John F. Coleman, Jr.</w:t>
            </w:r>
          </w:p>
        </w:tc>
        <w:tc>
          <w:tcPr>
            <w:tcW w:w="3510" w:type="dxa"/>
            <w:gridSpan w:val="2"/>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9159DB">
        <w:trPr>
          <w:gridAfter w:val="1"/>
          <w:wAfter w:w="828" w:type="dxa"/>
          <w:trHeight w:val="315"/>
        </w:trPr>
        <w:tc>
          <w:tcPr>
            <w:tcW w:w="5958" w:type="dxa"/>
          </w:tcPr>
          <w:p w:rsidR="00437A4C" w:rsidRPr="008239FE" w:rsidRDefault="00437A4C" w:rsidP="00C04157">
            <w:pPr>
              <w:overflowPunct w:val="0"/>
              <w:autoSpaceDE w:val="0"/>
              <w:autoSpaceDN w:val="0"/>
              <w:adjustRightInd w:val="0"/>
              <w:spacing w:after="0" w:line="240" w:lineRule="auto"/>
              <w:ind w:left="720"/>
              <w:textAlignment w:val="baseline"/>
              <w:rPr>
                <w:rFonts w:ascii="Times New Roman" w:eastAsia="Times New Roman" w:hAnsi="Times New Roman" w:cs="Times New Roman"/>
                <w:sz w:val="26"/>
                <w:szCs w:val="26"/>
              </w:rPr>
            </w:pPr>
          </w:p>
        </w:tc>
        <w:tc>
          <w:tcPr>
            <w:tcW w:w="3510" w:type="dxa"/>
            <w:gridSpan w:val="2"/>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r w:rsidR="00437A4C" w:rsidRPr="008239FE" w:rsidTr="009159DB">
        <w:trPr>
          <w:gridAfter w:val="1"/>
          <w:wAfter w:w="828" w:type="dxa"/>
        </w:trPr>
        <w:tc>
          <w:tcPr>
            <w:tcW w:w="5958" w:type="dxa"/>
          </w:tcPr>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Rulemaking to Amend the Provisions of</w:t>
            </w:r>
          </w:p>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52 Pa. Code, Chapter 56 to Comply with the</w:t>
            </w:r>
          </w:p>
          <w:p w:rsidR="00437A4C" w:rsidRPr="008239FE" w:rsidRDefault="00437A4C" w:rsidP="00C0415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Amended Provisions of 66 Pa. C.S. Chapter 14  </w:t>
            </w:r>
          </w:p>
        </w:tc>
        <w:tc>
          <w:tcPr>
            <w:tcW w:w="3510" w:type="dxa"/>
            <w:gridSpan w:val="2"/>
          </w:tcPr>
          <w:p w:rsidR="00437A4C" w:rsidRPr="008239FE" w:rsidRDefault="00437A4C" w:rsidP="002E440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L-2015-2508421</w:t>
            </w:r>
            <w:r>
              <w:rPr>
                <w:rFonts w:ascii="Times New Roman" w:eastAsia="Times New Roman" w:hAnsi="Times New Roman" w:cs="Times New Roman"/>
                <w:sz w:val="26"/>
                <w:szCs w:val="26"/>
              </w:rPr>
              <w:t xml:space="preserve"> </w:t>
            </w:r>
          </w:p>
        </w:tc>
      </w:tr>
    </w:tbl>
    <w:p w:rsidR="00437A4C" w:rsidRPr="008239FE" w:rsidRDefault="00437A4C" w:rsidP="00C0415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437A4C" w:rsidP="00C0415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6C239F" w:rsidP="00C0415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FINAL</w:t>
      </w:r>
      <w:r w:rsidR="00437A4C" w:rsidRPr="008239FE">
        <w:rPr>
          <w:rFonts w:ascii="Times New Roman" w:eastAsia="Times New Roman" w:hAnsi="Times New Roman" w:cs="Times New Roman"/>
          <w:b/>
          <w:sz w:val="26"/>
          <w:szCs w:val="26"/>
        </w:rPr>
        <w:t xml:space="preserve"> RULEMAKING ORDER</w:t>
      </w:r>
    </w:p>
    <w:p w:rsidR="00437A4C" w:rsidRPr="008239FE" w:rsidRDefault="00437A4C" w:rsidP="00C0415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437A4C" w:rsidRPr="008239FE" w:rsidRDefault="00437A4C" w:rsidP="00C04157">
      <w:pPr>
        <w:tabs>
          <w:tab w:val="left" w:pos="204"/>
        </w:tabs>
        <w:autoSpaceDE w:val="0"/>
        <w:autoSpaceDN w:val="0"/>
        <w:adjustRightInd w:val="0"/>
        <w:spacing w:after="0" w:line="360" w:lineRule="auto"/>
        <w:rPr>
          <w:rFonts w:ascii="Times New Roman" w:eastAsia="Times New Roman" w:hAnsi="Times New Roman" w:cs="Times New Roman"/>
          <w:b/>
          <w:sz w:val="26"/>
          <w:szCs w:val="26"/>
        </w:rPr>
      </w:pPr>
      <w:r w:rsidRPr="008239FE">
        <w:rPr>
          <w:rFonts w:ascii="Times New Roman" w:eastAsia="Times New Roman" w:hAnsi="Times New Roman" w:cs="Times New Roman"/>
          <w:b/>
          <w:sz w:val="26"/>
          <w:szCs w:val="26"/>
        </w:rPr>
        <w:t>BY THE COMMISSION:</w:t>
      </w:r>
    </w:p>
    <w:p w:rsidR="00437A4C" w:rsidRPr="008239FE" w:rsidRDefault="00437A4C" w:rsidP="00C04157">
      <w:pPr>
        <w:tabs>
          <w:tab w:val="left" w:pos="204"/>
        </w:tabs>
        <w:autoSpaceDE w:val="0"/>
        <w:autoSpaceDN w:val="0"/>
        <w:adjustRightInd w:val="0"/>
        <w:spacing w:after="0" w:line="360" w:lineRule="auto"/>
        <w:rPr>
          <w:rFonts w:ascii="Times New Roman" w:eastAsia="Times New Roman" w:hAnsi="Times New Roman" w:cs="Times New Roman"/>
          <w:b/>
          <w:sz w:val="26"/>
          <w:szCs w:val="26"/>
        </w:rPr>
      </w:pPr>
    </w:p>
    <w:p w:rsidR="00437A4C" w:rsidRPr="008239FE" w:rsidRDefault="00437A4C" w:rsidP="00C04157">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 xml:space="preserve">On October 22, 2014, Governor Corbett signed into law HB 939, or Act 155 of 2014.  This law became effective on December 22, 2014.  The Act reauthorized and amended Chapter 14 of the Public Utility Code (66 Pa. C.S. §§ 1401-1419) (Responsible Utility Customer Protection).  The Act is intended to protect responsible bill paying customers from rate increases attributable to </w:t>
      </w:r>
      <w:r w:rsidR="00CB4DCB">
        <w:rPr>
          <w:rFonts w:ascii="Times New Roman" w:eastAsia="Times New Roman" w:hAnsi="Times New Roman" w:cs="Times New Roman"/>
          <w:sz w:val="26"/>
          <w:szCs w:val="26"/>
        </w:rPr>
        <w:t>other</w:t>
      </w:r>
      <w:r w:rsidR="00C10BC1">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customers</w:t>
      </w:r>
      <w:r w:rsidR="00F03E84">
        <w:rPr>
          <w:rFonts w:ascii="Times New Roman" w:eastAsia="Times New Roman" w:hAnsi="Times New Roman" w:cs="Times New Roman"/>
          <w:sz w:val="26"/>
          <w:szCs w:val="26"/>
        </w:rPr>
        <w:t>’ delinquencies in payment</w:t>
      </w:r>
      <w:r w:rsidR="007138F6">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 xml:space="preserve"> </w:t>
      </w:r>
      <w:r w:rsidR="00C1584E">
        <w:rPr>
          <w:rFonts w:ascii="Times New Roman" w:eastAsia="Times New Roman" w:hAnsi="Times New Roman" w:cs="Times New Roman"/>
          <w:sz w:val="26"/>
          <w:szCs w:val="26"/>
        </w:rPr>
        <w:t xml:space="preserve"> </w:t>
      </w:r>
      <w:r w:rsidR="00C11AAB">
        <w:rPr>
          <w:rFonts w:ascii="Times New Roman" w:eastAsia="Times New Roman" w:hAnsi="Times New Roman" w:cs="Times New Roman"/>
          <w:sz w:val="26"/>
          <w:szCs w:val="26"/>
        </w:rPr>
        <w:t xml:space="preserve">The Act </w:t>
      </w:r>
      <w:r w:rsidRPr="008239FE">
        <w:rPr>
          <w:rFonts w:ascii="Times New Roman" w:eastAsia="Times New Roman" w:hAnsi="Times New Roman" w:cs="Times New Roman"/>
          <w:sz w:val="26"/>
          <w:szCs w:val="26"/>
        </w:rPr>
        <w:t>provid</w:t>
      </w:r>
      <w:r w:rsidR="00C11AAB">
        <w:rPr>
          <w:rFonts w:ascii="Times New Roman" w:eastAsia="Times New Roman" w:hAnsi="Times New Roman" w:cs="Times New Roman"/>
          <w:sz w:val="26"/>
          <w:szCs w:val="26"/>
        </w:rPr>
        <w:t>es</w:t>
      </w:r>
      <w:r w:rsidRPr="008239FE">
        <w:rPr>
          <w:rFonts w:ascii="Times New Roman" w:eastAsia="Times New Roman" w:hAnsi="Times New Roman" w:cs="Times New Roman"/>
          <w:sz w:val="26"/>
          <w:szCs w:val="26"/>
        </w:rPr>
        <w:t xml:space="preserve"> public utilities with collection mechanisms and procedures </w:t>
      </w:r>
      <w:r w:rsidR="00C10BC1">
        <w:rPr>
          <w:rFonts w:ascii="Times New Roman" w:eastAsia="Times New Roman" w:hAnsi="Times New Roman" w:cs="Times New Roman"/>
          <w:sz w:val="26"/>
          <w:szCs w:val="26"/>
        </w:rPr>
        <w:t xml:space="preserve">that </w:t>
      </w:r>
      <w:r w:rsidRPr="008239FE">
        <w:rPr>
          <w:rFonts w:ascii="Times New Roman" w:eastAsia="Times New Roman" w:hAnsi="Times New Roman" w:cs="Times New Roman"/>
          <w:sz w:val="26"/>
          <w:szCs w:val="26"/>
        </w:rPr>
        <w:t>promote timelier collections, while protecting vulnerable customers by ensuring that utility service remains available to all customers on reasonable terms and conditions.  The legislation is applicable to electric distribution utilities, water distribution utilities, natural gas distribution utilities, steam heat</w:t>
      </w:r>
      <w:r>
        <w:rPr>
          <w:rFonts w:ascii="Times New Roman" w:eastAsia="Times New Roman" w:hAnsi="Times New Roman" w:cs="Times New Roman"/>
          <w:sz w:val="26"/>
          <w:szCs w:val="26"/>
        </w:rPr>
        <w:t xml:space="preserve"> utilities</w:t>
      </w:r>
      <w:r w:rsidRPr="008239FE">
        <w:rPr>
          <w:rFonts w:ascii="Times New Roman" w:eastAsia="Times New Roman" w:hAnsi="Times New Roman" w:cs="Times New Roman"/>
          <w:sz w:val="26"/>
          <w:szCs w:val="26"/>
        </w:rPr>
        <w:t xml:space="preserve">, and wastewater utilities.  </w:t>
      </w:r>
      <w:r w:rsidR="007B6D89" w:rsidRPr="007B6D89">
        <w:rPr>
          <w:rFonts w:ascii="Times New Roman" w:eastAsia="Times New Roman" w:hAnsi="Times New Roman" w:cs="Times New Roman"/>
          <w:sz w:val="26"/>
          <w:szCs w:val="26"/>
          <w:lang w:bidi="en-US"/>
        </w:rPr>
        <w:t xml:space="preserve">In this Rulemaking Order, the Pennsylvania Public Utility Commission (Commission) finalizes its amended </w:t>
      </w:r>
      <w:r w:rsidR="007B6D89">
        <w:rPr>
          <w:rFonts w:ascii="Times New Roman" w:eastAsia="Times New Roman" w:hAnsi="Times New Roman" w:cs="Times New Roman"/>
          <w:sz w:val="26"/>
          <w:szCs w:val="26"/>
          <w:lang w:bidi="en-US"/>
        </w:rPr>
        <w:t>Standards and Billing Practices for Residential Utility Service</w:t>
      </w:r>
      <w:r w:rsidR="007B6D89" w:rsidRPr="007B6D89">
        <w:rPr>
          <w:rFonts w:ascii="Times New Roman" w:eastAsia="Times New Roman" w:hAnsi="Times New Roman" w:cs="Times New Roman"/>
          <w:sz w:val="26"/>
          <w:szCs w:val="26"/>
          <w:lang w:bidi="en-US"/>
        </w:rPr>
        <w:t xml:space="preserve"> regulations at 52 Pa. Code </w:t>
      </w:r>
      <w:r w:rsidR="007B6D89">
        <w:rPr>
          <w:rFonts w:ascii="Times New Roman" w:eastAsia="Times New Roman" w:hAnsi="Times New Roman" w:cs="Times New Roman"/>
          <w:sz w:val="26"/>
          <w:szCs w:val="26"/>
          <w:lang w:bidi="en-US"/>
        </w:rPr>
        <w:t>Chapter 56</w:t>
      </w:r>
      <w:r w:rsidR="007B6D89" w:rsidRPr="007B6D89">
        <w:rPr>
          <w:rFonts w:ascii="Times New Roman" w:eastAsia="Times New Roman" w:hAnsi="Times New Roman" w:cs="Times New Roman"/>
          <w:sz w:val="26"/>
          <w:szCs w:val="26"/>
          <w:lang w:bidi="en-US"/>
        </w:rPr>
        <w:t xml:space="preserve">.  </w:t>
      </w:r>
    </w:p>
    <w:p w:rsidR="00437A4C" w:rsidRPr="007B6D89" w:rsidRDefault="007B6D89" w:rsidP="00C04157">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r w:rsidRPr="007B6D89">
        <w:rPr>
          <w:rFonts w:ascii="Times New Roman" w:eastAsia="Times New Roman" w:hAnsi="Times New Roman" w:cs="Times New Roman"/>
          <w:b/>
          <w:sz w:val="26"/>
          <w:szCs w:val="26"/>
        </w:rPr>
        <w:lastRenderedPageBreak/>
        <w:t>Background</w:t>
      </w:r>
    </w:p>
    <w:p w:rsidR="00437A4C" w:rsidRPr="008239FE" w:rsidRDefault="00437A4C" w:rsidP="00C04157">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 xml:space="preserve">Chapter 56 of the Pennsylvania Code </w:t>
      </w:r>
      <w:r w:rsidR="00836B8F">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52 Pa. Code §§ 56.1</w:t>
      </w:r>
      <w:r>
        <w:rPr>
          <w:rFonts w:ascii="Times New Roman" w:eastAsia="Times New Roman" w:hAnsi="Times New Roman" w:cs="Times New Roman"/>
          <w:sz w:val="26"/>
          <w:szCs w:val="26"/>
        </w:rPr>
        <w:t>-56.461</w:t>
      </w:r>
      <w:r w:rsidR="002A41CE">
        <w:rPr>
          <w:rFonts w:ascii="Times New Roman" w:eastAsia="Times New Roman" w:hAnsi="Times New Roman" w:cs="Times New Roman"/>
          <w:sz w:val="26"/>
          <w:szCs w:val="26"/>
        </w:rPr>
        <w:t>,</w:t>
      </w:r>
      <w:r w:rsidR="00C1584E">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relating to the standards and billing practices for residential utility service</w:t>
      </w:r>
      <w:r w:rsidR="00C1584E">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 xml:space="preserve"> must be revised because the amended Chapter 14 supersedes </w:t>
      </w:r>
      <w:proofErr w:type="gramStart"/>
      <w:r w:rsidRPr="008239FE">
        <w:rPr>
          <w:rFonts w:ascii="Times New Roman" w:eastAsia="Times New Roman" w:hAnsi="Times New Roman" w:cs="Times New Roman"/>
          <w:sz w:val="26"/>
          <w:szCs w:val="26"/>
        </w:rPr>
        <w:t>a number of</w:t>
      </w:r>
      <w:proofErr w:type="gramEnd"/>
      <w:r w:rsidRPr="008239FE">
        <w:rPr>
          <w:rFonts w:ascii="Times New Roman" w:eastAsia="Times New Roman" w:hAnsi="Times New Roman" w:cs="Times New Roman"/>
          <w:sz w:val="26"/>
          <w:szCs w:val="26"/>
        </w:rPr>
        <w:t xml:space="preserve"> Chapter 56 regulations, and the Commission is directed to revise Chapter 56 and promulgate regulations to administer and enforce Chapter 14.  Five years after the effective date and every five years thereafter, the Commission also must report to the General Assembly regarding the implementation and effectiveness of the amended Act.  Chapter 14 expires on December</w:t>
      </w:r>
      <w:r>
        <w:rPr>
          <w:rFonts w:ascii="Times New Roman" w:eastAsia="Times New Roman" w:hAnsi="Times New Roman" w:cs="Times New Roman"/>
          <w:sz w:val="26"/>
          <w:szCs w:val="26"/>
        </w:rPr>
        <w:t> </w:t>
      </w:r>
      <w:r w:rsidRPr="008239FE">
        <w:rPr>
          <w:rFonts w:ascii="Times New Roman" w:eastAsia="Times New Roman" w:hAnsi="Times New Roman" w:cs="Times New Roman"/>
          <w:sz w:val="26"/>
          <w:szCs w:val="26"/>
        </w:rPr>
        <w:t xml:space="preserve">31, 2024, unless reenacted.  </w:t>
      </w:r>
    </w:p>
    <w:p w:rsidR="00437A4C" w:rsidRPr="008239FE" w:rsidRDefault="00437A4C" w:rsidP="00C04157">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8239FE" w:rsidRDefault="00437A4C" w:rsidP="00C04157">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As the initial step of the implementation process, on December 10, 2014, the Commission issued a Secretarial Letter alerting all affected utilities to some of the more significant provisions of Chapter 56 that have been superseded by Act 155.</w:t>
      </w:r>
      <w:r w:rsidRPr="008239FE">
        <w:rPr>
          <w:rFonts w:ascii="Times New Roman" w:eastAsia="Times New Roman" w:hAnsi="Times New Roman" w:cs="Times New Roman"/>
          <w:sz w:val="26"/>
          <w:szCs w:val="26"/>
          <w:vertAlign w:val="superscript"/>
        </w:rPr>
        <w:footnoteReference w:id="1"/>
      </w:r>
      <w:r w:rsidRPr="008239FE">
        <w:rPr>
          <w:rFonts w:ascii="Times New Roman" w:eastAsia="Times New Roman" w:hAnsi="Times New Roman" w:cs="Times New Roman"/>
          <w:sz w:val="26"/>
          <w:szCs w:val="26"/>
        </w:rPr>
        <w:t xml:space="preserve">  On that same day, the Commission issued another Secretarial Letter directed to steam heat, wastewater, and natural gas distribution utilities reminding them that Act 155 now makes Chapter 14 applicable to all of these entities.</w:t>
      </w:r>
      <w:r w:rsidRPr="008239FE">
        <w:rPr>
          <w:rFonts w:ascii="Times New Roman" w:eastAsia="Times New Roman" w:hAnsi="Times New Roman" w:cs="Times New Roman"/>
          <w:sz w:val="26"/>
          <w:szCs w:val="26"/>
          <w:vertAlign w:val="superscript"/>
        </w:rPr>
        <w:footnoteReference w:id="2"/>
      </w:r>
      <w:r w:rsidRPr="008239FE">
        <w:rPr>
          <w:rFonts w:ascii="Times New Roman" w:eastAsia="Times New Roman" w:hAnsi="Times New Roman" w:cs="Times New Roman"/>
          <w:sz w:val="26"/>
          <w:szCs w:val="26"/>
        </w:rPr>
        <w:t xml:space="preserve">  </w:t>
      </w:r>
    </w:p>
    <w:p w:rsidR="00437A4C" w:rsidRPr="008239FE" w:rsidRDefault="00437A4C" w:rsidP="00C04157">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Pr="009E1703" w:rsidRDefault="00437A4C" w:rsidP="00C04157">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r>
      <w:r w:rsidR="00B45684">
        <w:rPr>
          <w:rFonts w:ascii="Times New Roman" w:eastAsia="Times New Roman" w:hAnsi="Times New Roman" w:cs="Times New Roman"/>
          <w:sz w:val="26"/>
          <w:szCs w:val="26"/>
        </w:rPr>
        <w:t>Thereafter</w:t>
      </w:r>
      <w:r w:rsidRPr="008239FE">
        <w:rPr>
          <w:rFonts w:ascii="Times New Roman" w:eastAsia="Times New Roman" w:hAnsi="Times New Roman" w:cs="Times New Roman"/>
          <w:sz w:val="26"/>
          <w:szCs w:val="26"/>
        </w:rPr>
        <w:t>, in a January 15, 2015</w:t>
      </w:r>
      <w:r w:rsidR="00F731F0">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 xml:space="preserve"> Tentative Order, </w:t>
      </w:r>
      <w:r w:rsidR="004C6B14">
        <w:rPr>
          <w:rFonts w:ascii="Times New Roman" w:eastAsia="Times New Roman" w:hAnsi="Times New Roman" w:cs="Times New Roman"/>
          <w:sz w:val="26"/>
          <w:szCs w:val="26"/>
        </w:rPr>
        <w:t xml:space="preserve">the Commission </w:t>
      </w:r>
      <w:r w:rsidRPr="008239FE">
        <w:rPr>
          <w:rFonts w:ascii="Times New Roman" w:eastAsia="Times New Roman" w:hAnsi="Times New Roman" w:cs="Times New Roman"/>
          <w:sz w:val="26"/>
          <w:szCs w:val="26"/>
        </w:rPr>
        <w:t>proposed to start addressing the more urgent implementation matters</w:t>
      </w:r>
      <w:r w:rsidR="00B45684">
        <w:rPr>
          <w:rFonts w:ascii="Times New Roman" w:eastAsia="Times New Roman" w:hAnsi="Times New Roman" w:cs="Times New Roman"/>
          <w:sz w:val="26"/>
          <w:szCs w:val="26"/>
        </w:rPr>
        <w:t xml:space="preserve"> of the Act</w:t>
      </w:r>
      <w:r w:rsidRPr="008239FE">
        <w:rPr>
          <w:rFonts w:ascii="Times New Roman" w:eastAsia="Times New Roman" w:hAnsi="Times New Roman" w:cs="Times New Roman"/>
          <w:sz w:val="26"/>
          <w:szCs w:val="26"/>
        </w:rPr>
        <w:t xml:space="preserve">.  See </w:t>
      </w:r>
      <w:r w:rsidRPr="008239FE">
        <w:rPr>
          <w:rFonts w:ascii="Times New Roman" w:eastAsia="Times New Roman" w:hAnsi="Times New Roman" w:cs="Times New Roman"/>
          <w:i/>
          <w:sz w:val="26"/>
          <w:szCs w:val="26"/>
        </w:rPr>
        <w:t>Tentative Order, Chapter 14 Implementation,</w:t>
      </w:r>
      <w:r w:rsidRPr="008239FE">
        <w:rPr>
          <w:rFonts w:ascii="Times New Roman" w:eastAsia="Times New Roman" w:hAnsi="Times New Roman" w:cs="Times New Roman"/>
          <w:sz w:val="26"/>
          <w:szCs w:val="26"/>
        </w:rPr>
        <w:t xml:space="preserve"> Docket Number M-2014-2448824 (Order entered January 15, 2015) (</w:t>
      </w:r>
      <w:r w:rsidRPr="008239FE">
        <w:rPr>
          <w:rFonts w:ascii="Times New Roman" w:eastAsia="Times New Roman" w:hAnsi="Times New Roman" w:cs="Times New Roman"/>
          <w:i/>
          <w:sz w:val="26"/>
          <w:szCs w:val="26"/>
        </w:rPr>
        <w:t xml:space="preserve">Tentative </w:t>
      </w:r>
      <w:r w:rsidR="000C0506">
        <w:rPr>
          <w:rFonts w:ascii="Times New Roman" w:eastAsia="Times New Roman" w:hAnsi="Times New Roman" w:cs="Times New Roman"/>
          <w:i/>
          <w:sz w:val="26"/>
          <w:szCs w:val="26"/>
        </w:rPr>
        <w:t xml:space="preserve">Implementation </w:t>
      </w:r>
      <w:r w:rsidRPr="008239FE">
        <w:rPr>
          <w:rFonts w:ascii="Times New Roman" w:eastAsia="Times New Roman" w:hAnsi="Times New Roman" w:cs="Times New Roman"/>
          <w:i/>
          <w:sz w:val="26"/>
          <w:szCs w:val="26"/>
        </w:rPr>
        <w:t>Order</w:t>
      </w:r>
      <w:r w:rsidRPr="008239F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 comments from this </w:t>
      </w:r>
      <w:r>
        <w:rPr>
          <w:rFonts w:ascii="Times New Roman" w:eastAsia="Times New Roman" w:hAnsi="Times New Roman" w:cs="Times New Roman"/>
          <w:i/>
          <w:sz w:val="26"/>
          <w:szCs w:val="26"/>
        </w:rPr>
        <w:t xml:space="preserve">Tentative </w:t>
      </w:r>
      <w:r w:rsidR="000C0506">
        <w:rPr>
          <w:rFonts w:ascii="Times New Roman" w:eastAsia="Times New Roman" w:hAnsi="Times New Roman" w:cs="Times New Roman"/>
          <w:i/>
          <w:sz w:val="26"/>
          <w:szCs w:val="26"/>
        </w:rPr>
        <w:t xml:space="preserve">Implementation </w:t>
      </w:r>
      <w:r>
        <w:rPr>
          <w:rFonts w:ascii="Times New Roman" w:eastAsia="Times New Roman" w:hAnsi="Times New Roman" w:cs="Times New Roman"/>
          <w:i/>
          <w:sz w:val="26"/>
          <w:szCs w:val="26"/>
        </w:rPr>
        <w:t>Order</w:t>
      </w:r>
      <w:r>
        <w:rPr>
          <w:rFonts w:ascii="Times New Roman" w:eastAsia="Times New Roman" w:hAnsi="Times New Roman" w:cs="Times New Roman"/>
          <w:sz w:val="26"/>
          <w:szCs w:val="26"/>
        </w:rPr>
        <w:t xml:space="preserve"> assisted with drafting these regulations.  </w:t>
      </w:r>
    </w:p>
    <w:p w:rsidR="00437A4C" w:rsidRPr="008239FE" w:rsidRDefault="00437A4C" w:rsidP="00C04157">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437A4C" w:rsidRDefault="00437A4C" w:rsidP="00C04157">
      <w:pPr>
        <w:keepNext/>
        <w:keepLine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lastRenderedPageBreak/>
        <w:t xml:space="preserve">In reviewing Act 155, the Commission identified in the </w:t>
      </w:r>
      <w:r w:rsidRPr="008239FE">
        <w:rPr>
          <w:rFonts w:ascii="Times New Roman" w:eastAsia="Times New Roman" w:hAnsi="Times New Roman" w:cs="Times New Roman"/>
          <w:i/>
          <w:sz w:val="26"/>
          <w:szCs w:val="26"/>
        </w:rPr>
        <w:t xml:space="preserve">Tentative </w:t>
      </w:r>
      <w:r w:rsidR="000C0506">
        <w:rPr>
          <w:rFonts w:ascii="Times New Roman" w:eastAsia="Times New Roman" w:hAnsi="Times New Roman" w:cs="Times New Roman"/>
          <w:i/>
          <w:sz w:val="26"/>
          <w:szCs w:val="26"/>
        </w:rPr>
        <w:t xml:space="preserve">Implementation </w:t>
      </w:r>
      <w:r w:rsidRPr="008239FE">
        <w:rPr>
          <w:rFonts w:ascii="Times New Roman" w:eastAsia="Times New Roman" w:hAnsi="Times New Roman" w:cs="Times New Roman"/>
          <w:i/>
          <w:sz w:val="26"/>
          <w:szCs w:val="26"/>
        </w:rPr>
        <w:t>Order</w:t>
      </w:r>
      <w:r w:rsidRPr="008239FE">
        <w:rPr>
          <w:rFonts w:ascii="Times New Roman" w:eastAsia="Times New Roman" w:hAnsi="Times New Roman" w:cs="Times New Roman"/>
          <w:sz w:val="26"/>
          <w:szCs w:val="26"/>
        </w:rPr>
        <w:t xml:space="preserve"> two issues as </w:t>
      </w:r>
      <w:proofErr w:type="gramStart"/>
      <w:r w:rsidRPr="008239FE">
        <w:rPr>
          <w:rFonts w:ascii="Times New Roman" w:eastAsia="Times New Roman" w:hAnsi="Times New Roman" w:cs="Times New Roman"/>
          <w:sz w:val="26"/>
          <w:szCs w:val="26"/>
        </w:rPr>
        <w:t xml:space="preserve">being </w:t>
      </w:r>
      <w:r w:rsidR="00D90347">
        <w:rPr>
          <w:rFonts w:ascii="Times New Roman" w:eastAsia="Times New Roman" w:hAnsi="Times New Roman" w:cs="Times New Roman"/>
          <w:sz w:val="26"/>
          <w:szCs w:val="26"/>
        </w:rPr>
        <w:t xml:space="preserve">in </w:t>
      </w:r>
      <w:r w:rsidRPr="008239FE">
        <w:rPr>
          <w:rFonts w:ascii="Times New Roman" w:eastAsia="Times New Roman" w:hAnsi="Times New Roman" w:cs="Times New Roman"/>
          <w:sz w:val="26"/>
          <w:szCs w:val="26"/>
        </w:rPr>
        <w:t>need of</w:t>
      </w:r>
      <w:proofErr w:type="gramEnd"/>
      <w:r w:rsidRPr="008239FE">
        <w:rPr>
          <w:rFonts w:ascii="Times New Roman" w:eastAsia="Times New Roman" w:hAnsi="Times New Roman" w:cs="Times New Roman"/>
          <w:sz w:val="26"/>
          <w:szCs w:val="26"/>
        </w:rPr>
        <w:t xml:space="preserve"> immediate attention:  </w:t>
      </w:r>
    </w:p>
    <w:p w:rsidR="00437A4C" w:rsidRPr="008239FE" w:rsidRDefault="00437A4C" w:rsidP="00C04157">
      <w:pPr>
        <w:keepNext/>
        <w:keepLines/>
        <w:numPr>
          <w:ilvl w:val="0"/>
          <w:numId w:val="2"/>
        </w:numPr>
        <w:overflowPunct w:val="0"/>
        <w:autoSpaceDE w:val="0"/>
        <w:autoSpaceDN w:val="0"/>
        <w:adjustRightInd w:val="0"/>
        <w:spacing w:after="0" w:line="240" w:lineRule="auto"/>
        <w:ind w:left="1440" w:hanging="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Section 1403, Definition of </w:t>
      </w:r>
      <w:r w:rsidRPr="008239FE">
        <w:rPr>
          <w:rFonts w:ascii="Times New Roman" w:eastAsia="Times New Roman" w:hAnsi="Times New Roman" w:cs="Times New Roman"/>
          <w:i/>
          <w:sz w:val="26"/>
          <w:szCs w:val="26"/>
        </w:rPr>
        <w:t>Medical Certificate</w:t>
      </w:r>
      <w:r w:rsidRPr="008239FE">
        <w:rPr>
          <w:rFonts w:ascii="Times New Roman" w:eastAsia="Times New Roman" w:hAnsi="Times New Roman" w:cs="Times New Roman"/>
          <w:sz w:val="26"/>
          <w:szCs w:val="26"/>
        </w:rPr>
        <w:t xml:space="preserve">: The Commission is approving the “form” that a medical certificate must take.  </w:t>
      </w:r>
    </w:p>
    <w:p w:rsidR="00437A4C" w:rsidRPr="008239FE" w:rsidRDefault="00437A4C" w:rsidP="00C04157">
      <w:pPr>
        <w:overflowPunct w:val="0"/>
        <w:autoSpaceDE w:val="0"/>
        <w:autoSpaceDN w:val="0"/>
        <w:adjustRightInd w:val="0"/>
        <w:spacing w:after="0" w:line="240" w:lineRule="auto"/>
        <w:ind w:left="1080"/>
        <w:textAlignment w:val="baseline"/>
        <w:rPr>
          <w:rFonts w:ascii="Times New Roman" w:eastAsia="Times New Roman" w:hAnsi="Times New Roman" w:cs="Times New Roman"/>
          <w:sz w:val="26"/>
          <w:szCs w:val="26"/>
        </w:rPr>
      </w:pPr>
    </w:p>
    <w:p w:rsidR="00437A4C" w:rsidRPr="008239FE" w:rsidRDefault="00437A4C" w:rsidP="00C04157">
      <w:pPr>
        <w:numPr>
          <w:ilvl w:val="0"/>
          <w:numId w:val="1"/>
        </w:numPr>
        <w:overflowPunct w:val="0"/>
        <w:autoSpaceDE w:val="0"/>
        <w:autoSpaceDN w:val="0"/>
        <w:adjustRightInd w:val="0"/>
        <w:spacing w:after="0" w:line="240" w:lineRule="auto"/>
        <w:ind w:left="1440" w:hanging="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Section 1410.1(3) and (4):  Utility reporting requirements concerning accounts with arrearages in excess of $10,000.00 and annual reporting of medical certificate usage.  </w:t>
      </w:r>
    </w:p>
    <w:p w:rsidR="00437A4C" w:rsidRPr="008239FE" w:rsidRDefault="00437A4C" w:rsidP="00C04157">
      <w:pPr>
        <w:overflowPunct w:val="0"/>
        <w:autoSpaceDE w:val="0"/>
        <w:autoSpaceDN w:val="0"/>
        <w:adjustRightInd w:val="0"/>
        <w:spacing w:after="0" w:line="240" w:lineRule="auto"/>
        <w:ind w:left="360"/>
        <w:textAlignment w:val="baseline"/>
        <w:rPr>
          <w:rFonts w:ascii="Times New Roman" w:eastAsia="Times New Roman" w:hAnsi="Times New Roman" w:cs="Times New Roman"/>
          <w:sz w:val="26"/>
          <w:szCs w:val="26"/>
        </w:rPr>
      </w:pPr>
    </w:p>
    <w:p w:rsidR="00437A4C" w:rsidRDefault="00437A4C"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Sixteen parties</w:t>
      </w:r>
      <w:r w:rsidR="002108D2">
        <w:rPr>
          <w:rStyle w:val="FootnoteReference"/>
          <w:rFonts w:ascii="Times New Roman" w:eastAsia="Times New Roman" w:hAnsi="Times New Roman" w:cs="Times New Roman"/>
          <w:sz w:val="26"/>
          <w:szCs w:val="26"/>
        </w:rPr>
        <w:footnoteReference w:id="3"/>
      </w:r>
      <w:r w:rsidRPr="008239FE">
        <w:rPr>
          <w:rFonts w:ascii="Times New Roman" w:eastAsia="Times New Roman" w:hAnsi="Times New Roman" w:cs="Times New Roman"/>
          <w:sz w:val="26"/>
          <w:szCs w:val="26"/>
        </w:rPr>
        <w:t xml:space="preserve"> submitted comments in response to the </w:t>
      </w:r>
      <w:r w:rsidRPr="008239FE">
        <w:rPr>
          <w:rFonts w:ascii="Times New Roman" w:eastAsia="Times New Roman" w:hAnsi="Times New Roman" w:cs="Times New Roman"/>
          <w:i/>
          <w:sz w:val="26"/>
          <w:szCs w:val="26"/>
        </w:rPr>
        <w:t xml:space="preserve">Tentative </w:t>
      </w:r>
      <w:r w:rsidR="000C0506">
        <w:rPr>
          <w:rFonts w:ascii="Times New Roman" w:eastAsia="Times New Roman" w:hAnsi="Times New Roman" w:cs="Times New Roman"/>
          <w:i/>
          <w:sz w:val="26"/>
          <w:szCs w:val="26"/>
        </w:rPr>
        <w:t xml:space="preserve">Implementation </w:t>
      </w:r>
      <w:r w:rsidRPr="008239FE">
        <w:rPr>
          <w:rFonts w:ascii="Times New Roman" w:eastAsia="Times New Roman" w:hAnsi="Times New Roman" w:cs="Times New Roman"/>
          <w:i/>
          <w:sz w:val="26"/>
          <w:szCs w:val="26"/>
        </w:rPr>
        <w:t>Order</w:t>
      </w:r>
      <w:r w:rsidR="006254E4">
        <w:rPr>
          <w:rFonts w:ascii="Times New Roman" w:eastAsia="Times New Roman" w:hAnsi="Times New Roman" w:cs="Times New Roman"/>
          <w:i/>
          <w:sz w:val="26"/>
          <w:szCs w:val="26"/>
        </w:rPr>
        <w:t xml:space="preserve">. </w:t>
      </w:r>
      <w:r w:rsidR="006C239F">
        <w:rPr>
          <w:rFonts w:ascii="Times New Roman" w:eastAsia="Times New Roman" w:hAnsi="Times New Roman" w:cs="Times New Roman"/>
          <w:i/>
          <w:sz w:val="26"/>
          <w:szCs w:val="26"/>
        </w:rPr>
        <w:t xml:space="preserve"> </w:t>
      </w:r>
      <w:r w:rsidR="006254E4">
        <w:rPr>
          <w:rFonts w:ascii="Times New Roman" w:eastAsia="Times New Roman" w:hAnsi="Times New Roman" w:cs="Times New Roman"/>
          <w:sz w:val="26"/>
          <w:szCs w:val="26"/>
        </w:rPr>
        <w:t>O</w:t>
      </w:r>
      <w:r w:rsidR="006C239F" w:rsidRPr="006C239F">
        <w:rPr>
          <w:rFonts w:ascii="Times New Roman" w:eastAsia="Times New Roman" w:hAnsi="Times New Roman" w:cs="Times New Roman"/>
          <w:sz w:val="26"/>
          <w:szCs w:val="26"/>
        </w:rPr>
        <w:t>n</w:t>
      </w:r>
      <w:r w:rsidR="006C239F">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July 9, 2015, the Commission issued</w:t>
      </w:r>
      <w:r w:rsidR="006254E4">
        <w:rPr>
          <w:rFonts w:ascii="Times New Roman" w:eastAsia="Times New Roman" w:hAnsi="Times New Roman" w:cs="Times New Roman"/>
          <w:sz w:val="26"/>
          <w:szCs w:val="26"/>
        </w:rPr>
        <w:t xml:space="preserve"> a</w:t>
      </w:r>
      <w:r w:rsidRPr="008239FE">
        <w:rPr>
          <w:rFonts w:ascii="Times New Roman" w:eastAsia="Times New Roman" w:hAnsi="Times New Roman" w:cs="Times New Roman"/>
          <w:sz w:val="26"/>
          <w:szCs w:val="26"/>
        </w:rPr>
        <w:t xml:space="preserve"> </w:t>
      </w:r>
      <w:r w:rsidRPr="00C1584E">
        <w:rPr>
          <w:rFonts w:ascii="Times New Roman" w:eastAsia="Times New Roman" w:hAnsi="Times New Roman" w:cs="Times New Roman"/>
          <w:sz w:val="26"/>
          <w:szCs w:val="26"/>
        </w:rPr>
        <w:t>Final Order</w:t>
      </w:r>
      <w:r>
        <w:rPr>
          <w:rFonts w:ascii="Times New Roman" w:eastAsia="Times New Roman" w:hAnsi="Times New Roman" w:cs="Times New Roman"/>
          <w:i/>
          <w:sz w:val="26"/>
          <w:szCs w:val="26"/>
        </w:rPr>
        <w:t>,</w:t>
      </w:r>
      <w:r w:rsidRPr="008239FE">
        <w:rPr>
          <w:rFonts w:ascii="Times New Roman" w:eastAsia="Times New Roman" w:hAnsi="Times New Roman" w:cs="Times New Roman"/>
          <w:i/>
          <w:sz w:val="26"/>
          <w:szCs w:val="26"/>
        </w:rPr>
        <w:t xml:space="preserve"> Chapter 14 Implementation</w:t>
      </w:r>
      <w:r w:rsidRPr="008239FE">
        <w:rPr>
          <w:rFonts w:ascii="Times New Roman" w:eastAsia="Times New Roman" w:hAnsi="Times New Roman" w:cs="Times New Roman"/>
          <w:sz w:val="26"/>
          <w:szCs w:val="26"/>
        </w:rPr>
        <w:t>, Docket No. M-2014-2448824 (Order entered July 9, 2015) (</w:t>
      </w:r>
      <w:r w:rsidR="000C0506" w:rsidRPr="000C0506">
        <w:rPr>
          <w:rFonts w:ascii="Times New Roman" w:eastAsia="Times New Roman" w:hAnsi="Times New Roman" w:cs="Times New Roman"/>
          <w:i/>
          <w:sz w:val="26"/>
          <w:szCs w:val="26"/>
        </w:rPr>
        <w:t>Final</w:t>
      </w:r>
      <w:r w:rsidR="000C0506">
        <w:rPr>
          <w:rFonts w:ascii="Times New Roman" w:eastAsia="Times New Roman" w:hAnsi="Times New Roman" w:cs="Times New Roman"/>
          <w:sz w:val="26"/>
          <w:szCs w:val="26"/>
        </w:rPr>
        <w:t xml:space="preserve"> </w:t>
      </w:r>
      <w:r w:rsidRPr="008239FE">
        <w:rPr>
          <w:rFonts w:ascii="Times New Roman" w:eastAsia="Times New Roman" w:hAnsi="Times New Roman" w:cs="Times New Roman"/>
          <w:i/>
          <w:sz w:val="26"/>
          <w:szCs w:val="26"/>
        </w:rPr>
        <w:t>Implementation Order)</w:t>
      </w:r>
      <w:r w:rsidRPr="008239FE">
        <w:rPr>
          <w:rFonts w:ascii="Times New Roman" w:eastAsia="Times New Roman" w:hAnsi="Times New Roman" w:cs="Times New Roman"/>
          <w:sz w:val="26"/>
          <w:szCs w:val="26"/>
        </w:rPr>
        <w:t xml:space="preserve">.  In the </w:t>
      </w:r>
      <w:r w:rsidR="000C0506" w:rsidRPr="000C0506">
        <w:rPr>
          <w:rFonts w:ascii="Times New Roman" w:eastAsia="Times New Roman" w:hAnsi="Times New Roman" w:cs="Times New Roman"/>
          <w:i/>
          <w:sz w:val="26"/>
          <w:szCs w:val="26"/>
        </w:rPr>
        <w:t>Final</w:t>
      </w:r>
      <w:r w:rsidR="000C0506">
        <w:rPr>
          <w:rFonts w:ascii="Times New Roman" w:eastAsia="Times New Roman" w:hAnsi="Times New Roman" w:cs="Times New Roman"/>
          <w:sz w:val="26"/>
          <w:szCs w:val="26"/>
        </w:rPr>
        <w:t xml:space="preserve"> </w:t>
      </w:r>
      <w:r w:rsidRPr="008239FE">
        <w:rPr>
          <w:rFonts w:ascii="Times New Roman" w:eastAsia="Times New Roman" w:hAnsi="Times New Roman" w:cs="Times New Roman"/>
          <w:i/>
          <w:sz w:val="26"/>
          <w:szCs w:val="26"/>
        </w:rPr>
        <w:t>Implementation Order</w:t>
      </w:r>
      <w:r w:rsidRPr="008239FE">
        <w:rPr>
          <w:rFonts w:ascii="Times New Roman" w:eastAsia="Times New Roman" w:hAnsi="Times New Roman" w:cs="Times New Roman"/>
          <w:sz w:val="26"/>
          <w:szCs w:val="26"/>
        </w:rPr>
        <w:t>, the Commission issued guidance as to the form and content of a medical certificate.  Additionally, we summarized guidelines for 66 Pa. C.S. §</w:t>
      </w:r>
      <w:r>
        <w:rPr>
          <w:rFonts w:ascii="Times New Roman" w:eastAsia="Times New Roman" w:hAnsi="Times New Roman" w:cs="Times New Roman"/>
          <w:sz w:val="26"/>
          <w:szCs w:val="26"/>
        </w:rPr>
        <w:t> </w:t>
      </w:r>
      <w:r w:rsidRPr="008239FE">
        <w:rPr>
          <w:rFonts w:ascii="Times New Roman" w:eastAsia="Times New Roman" w:hAnsi="Times New Roman" w:cs="Times New Roman"/>
          <w:sz w:val="26"/>
          <w:szCs w:val="26"/>
        </w:rPr>
        <w:t xml:space="preserve">1410.1(3) (relating to </w:t>
      </w:r>
      <w:r>
        <w:rPr>
          <w:rFonts w:ascii="Times New Roman" w:eastAsia="Times New Roman" w:hAnsi="Times New Roman" w:cs="Times New Roman"/>
          <w:sz w:val="26"/>
          <w:szCs w:val="26"/>
        </w:rPr>
        <w:t>p</w:t>
      </w:r>
      <w:r w:rsidRPr="008239FE">
        <w:rPr>
          <w:rFonts w:ascii="Times New Roman" w:eastAsia="Times New Roman" w:hAnsi="Times New Roman" w:cs="Times New Roman"/>
          <w:sz w:val="26"/>
          <w:szCs w:val="26"/>
        </w:rPr>
        <w:t xml:space="preserve">ublic utility duties) </w:t>
      </w:r>
      <w:r>
        <w:rPr>
          <w:rFonts w:ascii="Times New Roman" w:eastAsia="Times New Roman" w:hAnsi="Times New Roman" w:cs="Times New Roman"/>
          <w:sz w:val="26"/>
          <w:szCs w:val="26"/>
        </w:rPr>
        <w:t>regarding re</w:t>
      </w:r>
      <w:r w:rsidRPr="008239FE">
        <w:rPr>
          <w:rFonts w:ascii="Times New Roman" w:eastAsia="Times New Roman" w:hAnsi="Times New Roman" w:cs="Times New Roman"/>
          <w:sz w:val="26"/>
          <w:szCs w:val="26"/>
        </w:rPr>
        <w:t xml:space="preserve">porting </w:t>
      </w:r>
      <w:r>
        <w:rPr>
          <w:rFonts w:ascii="Times New Roman" w:eastAsia="Times New Roman" w:hAnsi="Times New Roman" w:cs="Times New Roman"/>
          <w:sz w:val="26"/>
          <w:szCs w:val="26"/>
        </w:rPr>
        <w:t>r</w:t>
      </w:r>
      <w:r w:rsidRPr="008239FE">
        <w:rPr>
          <w:rFonts w:ascii="Times New Roman" w:eastAsia="Times New Roman" w:hAnsi="Times New Roman" w:cs="Times New Roman"/>
          <w:sz w:val="26"/>
          <w:szCs w:val="26"/>
        </w:rPr>
        <w:t xml:space="preserve">equirements </w:t>
      </w:r>
      <w:r>
        <w:rPr>
          <w:rFonts w:ascii="Times New Roman" w:eastAsia="Times New Roman" w:hAnsi="Times New Roman" w:cs="Times New Roman"/>
          <w:sz w:val="26"/>
          <w:szCs w:val="26"/>
        </w:rPr>
        <w:t>for</w:t>
      </w:r>
      <w:r w:rsidRPr="008239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w:t>
      </w:r>
      <w:r w:rsidRPr="008239FE">
        <w:rPr>
          <w:rFonts w:ascii="Times New Roman" w:eastAsia="Times New Roman" w:hAnsi="Times New Roman" w:cs="Times New Roman"/>
          <w:sz w:val="26"/>
          <w:szCs w:val="26"/>
        </w:rPr>
        <w:t xml:space="preserve">ccounts </w:t>
      </w:r>
      <w:r>
        <w:rPr>
          <w:rFonts w:ascii="Times New Roman" w:eastAsia="Times New Roman" w:hAnsi="Times New Roman" w:cs="Times New Roman"/>
          <w:sz w:val="26"/>
          <w:szCs w:val="26"/>
        </w:rPr>
        <w:t>e</w:t>
      </w:r>
      <w:r w:rsidRPr="008239FE">
        <w:rPr>
          <w:rFonts w:ascii="Times New Roman" w:eastAsia="Times New Roman" w:hAnsi="Times New Roman" w:cs="Times New Roman"/>
          <w:sz w:val="26"/>
          <w:szCs w:val="26"/>
        </w:rPr>
        <w:t xml:space="preserve">xceeding $10,000 in </w:t>
      </w:r>
      <w:r>
        <w:rPr>
          <w:rFonts w:ascii="Times New Roman" w:eastAsia="Times New Roman" w:hAnsi="Times New Roman" w:cs="Times New Roman"/>
          <w:sz w:val="26"/>
          <w:szCs w:val="26"/>
        </w:rPr>
        <w:t>a</w:t>
      </w:r>
      <w:r w:rsidRPr="008239FE">
        <w:rPr>
          <w:rFonts w:ascii="Times New Roman" w:eastAsia="Times New Roman" w:hAnsi="Times New Roman" w:cs="Times New Roman"/>
          <w:sz w:val="26"/>
          <w:szCs w:val="26"/>
        </w:rPr>
        <w:t xml:space="preserve">rrearages.  We further summarized our guidelines for Section 1410.1(4) (relating to </w:t>
      </w:r>
      <w:r>
        <w:rPr>
          <w:rFonts w:ascii="Times New Roman" w:eastAsia="Times New Roman" w:hAnsi="Times New Roman" w:cs="Times New Roman"/>
          <w:sz w:val="26"/>
          <w:szCs w:val="26"/>
        </w:rPr>
        <w:t>p</w:t>
      </w:r>
      <w:r w:rsidRPr="008239FE">
        <w:rPr>
          <w:rFonts w:ascii="Times New Roman" w:eastAsia="Times New Roman" w:hAnsi="Times New Roman" w:cs="Times New Roman"/>
          <w:sz w:val="26"/>
          <w:szCs w:val="26"/>
        </w:rPr>
        <w:t xml:space="preserve">ublic utility duties) </w:t>
      </w:r>
      <w:r>
        <w:rPr>
          <w:rFonts w:ascii="Times New Roman" w:eastAsia="Times New Roman" w:hAnsi="Times New Roman" w:cs="Times New Roman"/>
          <w:sz w:val="26"/>
          <w:szCs w:val="26"/>
        </w:rPr>
        <w:t>regarding r</w:t>
      </w:r>
      <w:r w:rsidRPr="008239FE">
        <w:rPr>
          <w:rFonts w:ascii="Times New Roman" w:eastAsia="Times New Roman" w:hAnsi="Times New Roman" w:cs="Times New Roman"/>
          <w:sz w:val="26"/>
          <w:szCs w:val="26"/>
        </w:rPr>
        <w:t xml:space="preserve">eporting </w:t>
      </w:r>
      <w:r>
        <w:rPr>
          <w:rFonts w:ascii="Times New Roman" w:eastAsia="Times New Roman" w:hAnsi="Times New Roman" w:cs="Times New Roman"/>
          <w:sz w:val="26"/>
          <w:szCs w:val="26"/>
        </w:rPr>
        <w:t>r</w:t>
      </w:r>
      <w:r w:rsidRPr="008239FE">
        <w:rPr>
          <w:rFonts w:ascii="Times New Roman" w:eastAsia="Times New Roman" w:hAnsi="Times New Roman" w:cs="Times New Roman"/>
          <w:sz w:val="26"/>
          <w:szCs w:val="26"/>
        </w:rPr>
        <w:t xml:space="preserve">equirements </w:t>
      </w:r>
      <w:r>
        <w:rPr>
          <w:rFonts w:ascii="Times New Roman" w:eastAsia="Times New Roman" w:hAnsi="Times New Roman" w:cs="Times New Roman"/>
          <w:sz w:val="26"/>
          <w:szCs w:val="26"/>
        </w:rPr>
        <w:t>for</w:t>
      </w:r>
      <w:r w:rsidRPr="008239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w:t>
      </w:r>
      <w:r w:rsidRPr="008239FE">
        <w:rPr>
          <w:rFonts w:ascii="Times New Roman" w:eastAsia="Times New Roman" w:hAnsi="Times New Roman" w:cs="Times New Roman"/>
          <w:sz w:val="26"/>
          <w:szCs w:val="26"/>
        </w:rPr>
        <w:t xml:space="preserve">edical </w:t>
      </w:r>
      <w:r>
        <w:rPr>
          <w:rFonts w:ascii="Times New Roman" w:eastAsia="Times New Roman" w:hAnsi="Times New Roman" w:cs="Times New Roman"/>
          <w:sz w:val="26"/>
          <w:szCs w:val="26"/>
        </w:rPr>
        <w:t>c</w:t>
      </w:r>
      <w:r w:rsidRPr="008239FE">
        <w:rPr>
          <w:rFonts w:ascii="Times New Roman" w:eastAsia="Times New Roman" w:hAnsi="Times New Roman" w:cs="Times New Roman"/>
          <w:sz w:val="26"/>
          <w:szCs w:val="26"/>
        </w:rPr>
        <w:t xml:space="preserve">ertificates.  </w:t>
      </w:r>
    </w:p>
    <w:p w:rsidR="006C239F" w:rsidRDefault="006C239F"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6"/>
          <w:szCs w:val="26"/>
        </w:rPr>
      </w:pPr>
    </w:p>
    <w:p w:rsidR="004B2AFA" w:rsidRDefault="006254E4"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w:t>
      </w:r>
      <w:r w:rsidR="006C239F" w:rsidRPr="006C239F">
        <w:rPr>
          <w:rFonts w:ascii="Times New Roman" w:eastAsia="Times New Roman" w:hAnsi="Times New Roman" w:cs="Times New Roman"/>
          <w:sz w:val="26"/>
          <w:szCs w:val="26"/>
        </w:rPr>
        <w:t>n July 21, 2016</w:t>
      </w:r>
      <w:r>
        <w:rPr>
          <w:rFonts w:ascii="Times New Roman" w:eastAsia="Times New Roman" w:hAnsi="Times New Roman" w:cs="Times New Roman"/>
          <w:sz w:val="26"/>
          <w:szCs w:val="26"/>
        </w:rPr>
        <w:t>,</w:t>
      </w:r>
      <w:r w:rsidR="004B2AFA">
        <w:rPr>
          <w:rFonts w:ascii="Times New Roman" w:eastAsia="Times New Roman" w:hAnsi="Times New Roman" w:cs="Times New Roman"/>
          <w:sz w:val="26"/>
          <w:szCs w:val="26"/>
        </w:rPr>
        <w:t xml:space="preserve"> a</w:t>
      </w:r>
      <w:r w:rsidR="004B2AFA" w:rsidRPr="008239FE">
        <w:rPr>
          <w:rFonts w:ascii="Times New Roman" w:eastAsia="Times New Roman" w:hAnsi="Times New Roman" w:cs="Times New Roman"/>
          <w:sz w:val="26"/>
          <w:szCs w:val="26"/>
        </w:rPr>
        <w:t>s provided for under law</w:t>
      </w:r>
      <w:r w:rsidR="004B2AFA">
        <w:rPr>
          <w:rFonts w:ascii="Times New Roman" w:eastAsia="Times New Roman" w:hAnsi="Times New Roman" w:cs="Times New Roman"/>
          <w:sz w:val="26"/>
          <w:szCs w:val="26"/>
        </w:rPr>
        <w:t xml:space="preserve"> at </w:t>
      </w:r>
      <w:r w:rsidR="004B2AFA" w:rsidRPr="008239FE">
        <w:rPr>
          <w:rFonts w:ascii="Times New Roman" w:eastAsia="Times New Roman" w:hAnsi="Times New Roman" w:cs="Times New Roman"/>
          <w:sz w:val="26"/>
          <w:szCs w:val="26"/>
        </w:rPr>
        <w:t>71 P.S. § 745.5</w:t>
      </w:r>
      <w:r w:rsidR="004B2AFA">
        <w:rPr>
          <w:rFonts w:ascii="Times New Roman" w:eastAsia="Times New Roman" w:hAnsi="Times New Roman" w:cs="Times New Roman"/>
          <w:sz w:val="26"/>
          <w:szCs w:val="26"/>
        </w:rPr>
        <w:t>,</w:t>
      </w:r>
      <w:r w:rsidR="006C239F" w:rsidRPr="006C239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Commission </w:t>
      </w:r>
      <w:r w:rsidR="006C239F" w:rsidRPr="006C239F">
        <w:rPr>
          <w:rFonts w:ascii="Times New Roman" w:eastAsia="Times New Roman" w:hAnsi="Times New Roman" w:cs="Times New Roman"/>
          <w:sz w:val="26"/>
          <w:szCs w:val="26"/>
        </w:rPr>
        <w:t xml:space="preserve">adopted a </w:t>
      </w:r>
      <w:r w:rsidR="006C239F">
        <w:rPr>
          <w:rFonts w:ascii="Times New Roman" w:eastAsia="Times New Roman" w:hAnsi="Times New Roman" w:cs="Times New Roman"/>
          <w:sz w:val="26"/>
          <w:szCs w:val="26"/>
        </w:rPr>
        <w:t>Notice of Proposed Rulemaking (</w:t>
      </w:r>
      <w:r w:rsidR="006C239F" w:rsidRPr="006C239F">
        <w:rPr>
          <w:rFonts w:ascii="Times New Roman" w:eastAsia="Times New Roman" w:hAnsi="Times New Roman" w:cs="Times New Roman"/>
          <w:sz w:val="26"/>
          <w:szCs w:val="26"/>
        </w:rPr>
        <w:t>NOPR</w:t>
      </w:r>
      <w:r w:rsidR="006C239F">
        <w:rPr>
          <w:rFonts w:ascii="Times New Roman" w:eastAsia="Times New Roman" w:hAnsi="Times New Roman" w:cs="Times New Roman"/>
          <w:sz w:val="26"/>
          <w:szCs w:val="26"/>
        </w:rPr>
        <w:t>) Order</w:t>
      </w:r>
      <w:r w:rsidR="006C239F" w:rsidRPr="006C239F">
        <w:rPr>
          <w:rFonts w:ascii="Times New Roman" w:eastAsia="Times New Roman" w:hAnsi="Times New Roman" w:cs="Times New Roman"/>
          <w:sz w:val="26"/>
          <w:szCs w:val="26"/>
        </w:rPr>
        <w:t xml:space="preserve"> to solicit comments about amending and adding to the provisions of 52 Pa. Code Chapter 56, as proposed in Annex A of the NOPR.</w:t>
      </w:r>
      <w:r w:rsidR="006C239F" w:rsidRPr="006C239F">
        <w:rPr>
          <w:rFonts w:ascii="Times New Roman" w:eastAsia="Times New Roman" w:hAnsi="Times New Roman" w:cs="Times New Roman"/>
          <w:sz w:val="26"/>
          <w:szCs w:val="26"/>
          <w:vertAlign w:val="superscript"/>
        </w:rPr>
        <w:footnoteReference w:id="4"/>
      </w:r>
      <w:r w:rsidR="006C239F" w:rsidRPr="006C239F">
        <w:rPr>
          <w:rFonts w:ascii="Times New Roman" w:eastAsia="Times New Roman" w:hAnsi="Times New Roman" w:cs="Times New Roman"/>
          <w:sz w:val="26"/>
          <w:szCs w:val="26"/>
        </w:rPr>
        <w:t xml:space="preserve">  </w:t>
      </w:r>
    </w:p>
    <w:p w:rsidR="004B2AFA" w:rsidRDefault="004B2AFA"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NOPR </w:t>
      </w:r>
      <w:r w:rsidRPr="008239FE">
        <w:rPr>
          <w:rFonts w:ascii="Times New Roman" w:eastAsia="Times New Roman" w:hAnsi="Times New Roman" w:cs="Times New Roman"/>
          <w:sz w:val="26"/>
          <w:szCs w:val="26"/>
        </w:rPr>
        <w:t>addressed numerous issues involving the application of the amended Chapter 14 provisions</w:t>
      </w:r>
      <w:r>
        <w:rPr>
          <w:rFonts w:ascii="Times New Roman" w:eastAsia="Times New Roman" w:hAnsi="Times New Roman" w:cs="Times New Roman"/>
          <w:sz w:val="26"/>
          <w:szCs w:val="26"/>
        </w:rPr>
        <w:t xml:space="preserve"> </w:t>
      </w:r>
      <w:r w:rsidRPr="008239FE">
        <w:rPr>
          <w:rFonts w:ascii="Times New Roman" w:eastAsia="Times New Roman" w:hAnsi="Times New Roman" w:cs="Times New Roman"/>
          <w:sz w:val="26"/>
          <w:szCs w:val="26"/>
        </w:rPr>
        <w:t>including amend</w:t>
      </w:r>
      <w:r>
        <w:rPr>
          <w:rFonts w:ascii="Times New Roman" w:eastAsia="Times New Roman" w:hAnsi="Times New Roman" w:cs="Times New Roman"/>
          <w:sz w:val="26"/>
          <w:szCs w:val="26"/>
        </w:rPr>
        <w:t>ing the</w:t>
      </w:r>
      <w:r w:rsidRPr="008239FE">
        <w:rPr>
          <w:rFonts w:ascii="Times New Roman" w:eastAsia="Times New Roman" w:hAnsi="Times New Roman" w:cs="Times New Roman"/>
          <w:sz w:val="26"/>
          <w:szCs w:val="26"/>
        </w:rPr>
        <w:t xml:space="preserve"> definitions of </w:t>
      </w:r>
      <w:r w:rsidRPr="00B66D95">
        <w:rPr>
          <w:rFonts w:ascii="Times New Roman" w:eastAsia="Times New Roman" w:hAnsi="Times New Roman" w:cs="Times New Roman"/>
          <w:i/>
          <w:sz w:val="26"/>
          <w:szCs w:val="26"/>
        </w:rPr>
        <w:t>applicant</w:t>
      </w:r>
      <w:r w:rsidRPr="008239FE">
        <w:rPr>
          <w:rFonts w:ascii="Times New Roman" w:eastAsia="Times New Roman" w:hAnsi="Times New Roman" w:cs="Times New Roman"/>
          <w:sz w:val="26"/>
          <w:szCs w:val="26"/>
        </w:rPr>
        <w:t xml:space="preserve">, </w:t>
      </w:r>
      <w:r w:rsidRPr="004B2AFA">
        <w:rPr>
          <w:rFonts w:ascii="Times New Roman" w:eastAsia="Times New Roman" w:hAnsi="Times New Roman" w:cs="Times New Roman"/>
          <w:i/>
          <w:sz w:val="26"/>
          <w:szCs w:val="26"/>
        </w:rPr>
        <w:t>customer</w:t>
      </w:r>
      <w:r w:rsidRPr="008239FE">
        <w:rPr>
          <w:rFonts w:ascii="Times New Roman" w:eastAsia="Times New Roman" w:hAnsi="Times New Roman" w:cs="Times New Roman"/>
          <w:sz w:val="26"/>
          <w:szCs w:val="26"/>
        </w:rPr>
        <w:t xml:space="preserve">, and </w:t>
      </w:r>
      <w:r w:rsidRPr="00B66D95">
        <w:rPr>
          <w:rFonts w:ascii="Times New Roman" w:eastAsia="Times New Roman" w:hAnsi="Times New Roman" w:cs="Times New Roman"/>
          <w:i/>
          <w:sz w:val="26"/>
          <w:szCs w:val="26"/>
        </w:rPr>
        <w:t>public utility</w:t>
      </w:r>
      <w:r w:rsidRPr="008239F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and clarifying </w:t>
      </w:r>
      <w:r w:rsidR="006254E4">
        <w:rPr>
          <w:rFonts w:ascii="Times New Roman" w:eastAsia="Times New Roman" w:hAnsi="Times New Roman" w:cs="Times New Roman"/>
          <w:sz w:val="26"/>
          <w:szCs w:val="26"/>
        </w:rPr>
        <w:t xml:space="preserve">the </w:t>
      </w:r>
      <w:r w:rsidRPr="008239FE">
        <w:rPr>
          <w:rFonts w:ascii="Times New Roman" w:eastAsia="Times New Roman" w:hAnsi="Times New Roman" w:cs="Times New Roman"/>
          <w:sz w:val="26"/>
          <w:szCs w:val="26"/>
        </w:rPr>
        <w:t xml:space="preserve">90-day deposit payment period and the expanded </w:t>
      </w:r>
      <w:r>
        <w:rPr>
          <w:rFonts w:ascii="Times New Roman" w:eastAsia="Times New Roman" w:hAnsi="Times New Roman" w:cs="Times New Roman"/>
          <w:sz w:val="26"/>
          <w:szCs w:val="26"/>
        </w:rPr>
        <w:t xml:space="preserve">protection from abuse orders </w:t>
      </w:r>
      <w:r w:rsidRPr="004B2AFA">
        <w:rPr>
          <w:rFonts w:ascii="Times New Roman" w:eastAsia="Times New Roman" w:hAnsi="Times New Roman" w:cs="Times New Roman"/>
          <w:sz w:val="26"/>
          <w:szCs w:val="26"/>
        </w:rPr>
        <w:t>in the amended 66 Pa. C.S. § 1417</w:t>
      </w:r>
      <w:r>
        <w:rPr>
          <w:rFonts w:ascii="Times New Roman" w:eastAsia="Times New Roman" w:hAnsi="Times New Roman" w:cs="Times New Roman"/>
          <w:sz w:val="26"/>
          <w:szCs w:val="26"/>
        </w:rPr>
        <w:t xml:space="preserve"> to include</w:t>
      </w:r>
      <w:r w:rsidRPr="004B2AFA">
        <w:rPr>
          <w:rFonts w:ascii="Times New Roman" w:eastAsia="Times New Roman" w:hAnsi="Times New Roman" w:cs="Times New Roman"/>
          <w:sz w:val="26"/>
          <w:szCs w:val="26"/>
        </w:rPr>
        <w:t xml:space="preserve"> “a court order issued by a court of competent jurisdiction in this Commonwealth, which provides clear evidence of domestic violence against the applicant or customer.”  </w:t>
      </w:r>
      <w:r>
        <w:rPr>
          <w:rFonts w:ascii="Times New Roman" w:eastAsia="Times New Roman" w:hAnsi="Times New Roman" w:cs="Times New Roman"/>
          <w:sz w:val="26"/>
          <w:szCs w:val="26"/>
        </w:rPr>
        <w:t>We asked parties to</w:t>
      </w:r>
      <w:r w:rsidRPr="004B2AFA">
        <w:rPr>
          <w:rFonts w:ascii="Times New Roman" w:eastAsia="Times New Roman" w:hAnsi="Times New Roman" w:cs="Times New Roman"/>
          <w:sz w:val="26"/>
          <w:szCs w:val="26"/>
        </w:rPr>
        <w:t xml:space="preserve"> include suggested language relating to these other court orders. </w:t>
      </w:r>
      <w:r>
        <w:rPr>
          <w:rFonts w:ascii="Times New Roman" w:eastAsia="Times New Roman" w:hAnsi="Times New Roman" w:cs="Times New Roman"/>
          <w:sz w:val="26"/>
          <w:szCs w:val="26"/>
        </w:rPr>
        <w:t xml:space="preserve"> </w:t>
      </w:r>
      <w:r w:rsidRPr="004B2AFA">
        <w:rPr>
          <w:rFonts w:ascii="Times New Roman" w:eastAsia="Times New Roman" w:hAnsi="Times New Roman" w:cs="Times New Roman"/>
          <w:sz w:val="26"/>
          <w:szCs w:val="26"/>
        </w:rPr>
        <w:t>We also s</w:t>
      </w:r>
      <w:r>
        <w:rPr>
          <w:rFonts w:ascii="Times New Roman" w:eastAsia="Times New Roman" w:hAnsi="Times New Roman" w:cs="Times New Roman"/>
          <w:sz w:val="26"/>
          <w:szCs w:val="26"/>
        </w:rPr>
        <w:t>ought</w:t>
      </w:r>
      <w:r w:rsidRPr="004B2AFA">
        <w:rPr>
          <w:rFonts w:ascii="Times New Roman" w:eastAsia="Times New Roman" w:hAnsi="Times New Roman" w:cs="Times New Roman"/>
          <w:sz w:val="26"/>
          <w:szCs w:val="26"/>
        </w:rPr>
        <w:t xml:space="preserve"> comments from parties on material that should be included in the Commission’s privacy guidelines</w:t>
      </w:r>
      <w:r>
        <w:rPr>
          <w:rFonts w:ascii="Times New Roman" w:eastAsia="Times New Roman" w:hAnsi="Times New Roman" w:cs="Times New Roman"/>
          <w:sz w:val="26"/>
          <w:szCs w:val="26"/>
        </w:rPr>
        <w:t xml:space="preserve"> as referenced in the a</w:t>
      </w:r>
      <w:r w:rsidRPr="004B2AFA">
        <w:rPr>
          <w:rFonts w:ascii="Times New Roman" w:eastAsia="Times New Roman" w:hAnsi="Times New Roman" w:cs="Times New Roman"/>
          <w:sz w:val="26"/>
          <w:szCs w:val="26"/>
        </w:rPr>
        <w:t>mended 66 Pa. C.S. § 1406(b)(1)(ii)(D) (relating to notice of termination of service)</w:t>
      </w:r>
      <w:r>
        <w:rPr>
          <w:rFonts w:ascii="Times New Roman" w:eastAsia="Times New Roman" w:hAnsi="Times New Roman" w:cs="Times New Roman"/>
          <w:sz w:val="26"/>
          <w:szCs w:val="26"/>
        </w:rPr>
        <w:t xml:space="preserve">.  </w:t>
      </w:r>
      <w:r w:rsidRPr="004B2AFA">
        <w:rPr>
          <w:rFonts w:ascii="Times New Roman" w:eastAsia="Times New Roman" w:hAnsi="Times New Roman" w:cs="Times New Roman"/>
          <w:sz w:val="26"/>
          <w:szCs w:val="26"/>
        </w:rPr>
        <w:t xml:space="preserve">  </w:t>
      </w:r>
    </w:p>
    <w:p w:rsidR="004B2AFA" w:rsidRDefault="004B2AFA"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4B2AFA" w:rsidRPr="004B2AFA" w:rsidRDefault="004B2AFA"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4B2AFA">
        <w:rPr>
          <w:rFonts w:ascii="Times New Roman" w:eastAsia="Times New Roman" w:hAnsi="Times New Roman" w:cs="Times New Roman"/>
          <w:sz w:val="26"/>
          <w:szCs w:val="26"/>
        </w:rPr>
        <w:t>In addition to the changes to make Chapter 56 consistent with the amended Chapter 14, we also propos</w:t>
      </w:r>
      <w:r>
        <w:rPr>
          <w:rFonts w:ascii="Times New Roman" w:eastAsia="Times New Roman" w:hAnsi="Times New Roman" w:cs="Times New Roman"/>
          <w:sz w:val="26"/>
          <w:szCs w:val="26"/>
        </w:rPr>
        <w:t>ed</w:t>
      </w:r>
      <w:r w:rsidRPr="004B2AFA">
        <w:rPr>
          <w:rFonts w:ascii="Times New Roman" w:eastAsia="Times New Roman" w:hAnsi="Times New Roman" w:cs="Times New Roman"/>
          <w:sz w:val="26"/>
          <w:szCs w:val="26"/>
        </w:rPr>
        <w:t xml:space="preserve"> changes to align with other recent regulatory changes such as those in Chapter 57 (relating to electric service) intended to accelerate the switching of electric generation service (52 Pa. Code §§ 57.1 – 57.259).  We also propose</w:t>
      </w:r>
      <w:r>
        <w:rPr>
          <w:rFonts w:ascii="Times New Roman" w:eastAsia="Times New Roman" w:hAnsi="Times New Roman" w:cs="Times New Roman"/>
          <w:sz w:val="26"/>
          <w:szCs w:val="26"/>
        </w:rPr>
        <w:t>d</w:t>
      </w:r>
      <w:r w:rsidRPr="004B2AFA">
        <w:rPr>
          <w:rFonts w:ascii="Times New Roman" w:eastAsia="Times New Roman" w:hAnsi="Times New Roman" w:cs="Times New Roman"/>
          <w:sz w:val="26"/>
          <w:szCs w:val="26"/>
        </w:rPr>
        <w:t xml:space="preserve"> some minor revisions to </w:t>
      </w:r>
      <w:r w:rsidR="000742E7">
        <w:rPr>
          <w:rFonts w:ascii="Times New Roman" w:eastAsia="Times New Roman" w:hAnsi="Times New Roman" w:cs="Times New Roman"/>
          <w:sz w:val="26"/>
          <w:szCs w:val="26"/>
        </w:rPr>
        <w:t>§</w:t>
      </w:r>
      <w:r w:rsidRPr="004B2AFA">
        <w:rPr>
          <w:rFonts w:ascii="Times New Roman" w:eastAsia="Times New Roman" w:hAnsi="Times New Roman" w:cs="Times New Roman"/>
          <w:sz w:val="26"/>
          <w:szCs w:val="26"/>
        </w:rPr>
        <w:t xml:space="preserve"> 56.100(i) to clarify what is expected of the February winter survey update.  Additionally, we propos</w:t>
      </w:r>
      <w:r>
        <w:rPr>
          <w:rFonts w:ascii="Times New Roman" w:eastAsia="Times New Roman" w:hAnsi="Times New Roman" w:cs="Times New Roman"/>
          <w:sz w:val="26"/>
          <w:szCs w:val="26"/>
        </w:rPr>
        <w:t>ed</w:t>
      </w:r>
      <w:r w:rsidRPr="004B2AFA">
        <w:rPr>
          <w:rFonts w:ascii="Times New Roman" w:eastAsia="Times New Roman" w:hAnsi="Times New Roman" w:cs="Times New Roman"/>
          <w:sz w:val="26"/>
          <w:szCs w:val="26"/>
        </w:rPr>
        <w:t xml:space="preserve"> a change to clarify that the burden of proof remains with part</w:t>
      </w:r>
      <w:r w:rsidR="009475D0">
        <w:rPr>
          <w:rFonts w:ascii="Times New Roman" w:eastAsia="Times New Roman" w:hAnsi="Times New Roman" w:cs="Times New Roman"/>
          <w:sz w:val="26"/>
          <w:szCs w:val="26"/>
        </w:rPr>
        <w:t>ies</w:t>
      </w:r>
      <w:r w:rsidRPr="004B2AFA">
        <w:rPr>
          <w:rFonts w:ascii="Times New Roman" w:eastAsia="Times New Roman" w:hAnsi="Times New Roman" w:cs="Times New Roman"/>
          <w:sz w:val="26"/>
          <w:szCs w:val="26"/>
        </w:rPr>
        <w:t xml:space="preserve"> who </w:t>
      </w:r>
      <w:r w:rsidR="00C1584E">
        <w:rPr>
          <w:rFonts w:ascii="Times New Roman" w:eastAsia="Times New Roman" w:hAnsi="Times New Roman" w:cs="Times New Roman"/>
          <w:sz w:val="26"/>
          <w:szCs w:val="26"/>
        </w:rPr>
        <w:t xml:space="preserve">file </w:t>
      </w:r>
      <w:r w:rsidRPr="004B2AFA">
        <w:rPr>
          <w:rFonts w:ascii="Times New Roman" w:eastAsia="Times New Roman" w:hAnsi="Times New Roman" w:cs="Times New Roman"/>
          <w:sz w:val="26"/>
          <w:szCs w:val="26"/>
        </w:rPr>
        <w:t>the informal complaint</w:t>
      </w:r>
      <w:r w:rsidR="009475D0">
        <w:rPr>
          <w:rFonts w:ascii="Times New Roman" w:eastAsia="Times New Roman" w:hAnsi="Times New Roman" w:cs="Times New Roman"/>
          <w:sz w:val="26"/>
          <w:szCs w:val="26"/>
        </w:rPr>
        <w:t>s</w:t>
      </w:r>
      <w:r w:rsidRPr="004B2AFA">
        <w:rPr>
          <w:rFonts w:ascii="Times New Roman" w:eastAsia="Times New Roman" w:hAnsi="Times New Roman" w:cs="Times New Roman"/>
          <w:sz w:val="26"/>
          <w:szCs w:val="26"/>
        </w:rPr>
        <w:t xml:space="preserve"> at </w:t>
      </w:r>
      <w:r w:rsidR="000742E7">
        <w:rPr>
          <w:rFonts w:ascii="Times New Roman" w:eastAsia="Times New Roman" w:hAnsi="Times New Roman" w:cs="Times New Roman"/>
          <w:sz w:val="26"/>
          <w:szCs w:val="26"/>
        </w:rPr>
        <w:t>§§</w:t>
      </w:r>
      <w:r w:rsidRPr="004B2AFA">
        <w:rPr>
          <w:rFonts w:ascii="Times New Roman" w:eastAsia="Times New Roman" w:hAnsi="Times New Roman" w:cs="Times New Roman"/>
          <w:sz w:val="26"/>
          <w:szCs w:val="26"/>
        </w:rPr>
        <w:t xml:space="preserve"> 56.173 and 56.403</w:t>
      </w:r>
      <w:r w:rsidR="006254E4">
        <w:rPr>
          <w:rFonts w:ascii="Times New Roman" w:eastAsia="Times New Roman" w:hAnsi="Times New Roman" w:cs="Times New Roman"/>
          <w:sz w:val="26"/>
          <w:szCs w:val="26"/>
        </w:rPr>
        <w:t>.  We</w:t>
      </w:r>
      <w:r w:rsidRPr="004B2AFA">
        <w:rPr>
          <w:rFonts w:ascii="Times New Roman" w:eastAsia="Times New Roman" w:hAnsi="Times New Roman" w:cs="Times New Roman"/>
          <w:sz w:val="26"/>
          <w:szCs w:val="26"/>
        </w:rPr>
        <w:t xml:space="preserve"> propose</w:t>
      </w:r>
      <w:r>
        <w:rPr>
          <w:rFonts w:ascii="Times New Roman" w:eastAsia="Times New Roman" w:hAnsi="Times New Roman" w:cs="Times New Roman"/>
          <w:sz w:val="26"/>
          <w:szCs w:val="26"/>
        </w:rPr>
        <w:t>d</w:t>
      </w:r>
      <w:r w:rsidRPr="004B2AFA">
        <w:rPr>
          <w:rFonts w:ascii="Times New Roman" w:eastAsia="Times New Roman" w:hAnsi="Times New Roman" w:cs="Times New Roman"/>
          <w:sz w:val="26"/>
          <w:szCs w:val="26"/>
        </w:rPr>
        <w:t xml:space="preserve"> some minor revisions to the collections reporting data dictionary in the Appendix C to Chapter 56 to help alleviate confusion</w:t>
      </w:r>
      <w:r w:rsidR="006254E4">
        <w:rPr>
          <w:rFonts w:ascii="Times New Roman" w:eastAsia="Times New Roman" w:hAnsi="Times New Roman" w:cs="Times New Roman"/>
          <w:sz w:val="26"/>
          <w:szCs w:val="26"/>
        </w:rPr>
        <w:t>,</w:t>
      </w:r>
      <w:r w:rsidRPr="004B2AFA">
        <w:rPr>
          <w:rFonts w:ascii="Times New Roman" w:eastAsia="Times New Roman" w:hAnsi="Times New Roman" w:cs="Times New Roman"/>
          <w:sz w:val="26"/>
          <w:szCs w:val="26"/>
        </w:rPr>
        <w:t xml:space="preserve"> and to make Chapter 56 reporting requirements more consistent with those found in Chapters 54 and 62 (relating to electricity generation customer choice and natural gas supply customer choice) (52 Pa. Code §§ 54.75 and 62.5).</w:t>
      </w:r>
      <w:r w:rsidR="001159B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Finally, we asked c</w:t>
      </w:r>
      <w:r w:rsidRPr="004B2AFA">
        <w:rPr>
          <w:rFonts w:ascii="Times New Roman" w:eastAsia="Times New Roman" w:hAnsi="Times New Roman" w:cs="Times New Roman"/>
          <w:sz w:val="26"/>
          <w:szCs w:val="26"/>
        </w:rPr>
        <w:t xml:space="preserve">ommentators </w:t>
      </w:r>
      <w:r>
        <w:rPr>
          <w:rFonts w:ascii="Times New Roman" w:eastAsia="Times New Roman" w:hAnsi="Times New Roman" w:cs="Times New Roman"/>
          <w:sz w:val="26"/>
          <w:szCs w:val="26"/>
        </w:rPr>
        <w:t>to</w:t>
      </w:r>
      <w:r w:rsidRPr="004B2AFA">
        <w:rPr>
          <w:rFonts w:ascii="Times New Roman" w:eastAsia="Times New Roman" w:hAnsi="Times New Roman" w:cs="Times New Roman"/>
          <w:sz w:val="26"/>
          <w:szCs w:val="26"/>
        </w:rPr>
        <w:t xml:space="preserve"> include in their comments a specific estimate of the costs and/or savings associated with compliance with these proposed changes, including any legal, accounting, or consulting procedures which may be required and </w:t>
      </w:r>
      <w:r w:rsidR="006254E4">
        <w:rPr>
          <w:rFonts w:ascii="Times New Roman" w:eastAsia="Times New Roman" w:hAnsi="Times New Roman" w:cs="Times New Roman"/>
          <w:sz w:val="26"/>
          <w:szCs w:val="26"/>
        </w:rPr>
        <w:t xml:space="preserve">to </w:t>
      </w:r>
      <w:r w:rsidRPr="004B2AFA">
        <w:rPr>
          <w:rFonts w:ascii="Times New Roman" w:eastAsia="Times New Roman" w:hAnsi="Times New Roman" w:cs="Times New Roman"/>
          <w:sz w:val="26"/>
          <w:szCs w:val="26"/>
        </w:rPr>
        <w:t xml:space="preserve">explain how the </w:t>
      </w:r>
      <w:r w:rsidR="00664D86">
        <w:rPr>
          <w:rFonts w:ascii="Times New Roman" w:eastAsia="Times New Roman" w:hAnsi="Times New Roman" w:cs="Times New Roman"/>
          <w:sz w:val="26"/>
          <w:szCs w:val="26"/>
        </w:rPr>
        <w:t xml:space="preserve">compliance costs </w:t>
      </w:r>
      <w:r w:rsidRPr="004B2AFA">
        <w:rPr>
          <w:rFonts w:ascii="Times New Roman" w:eastAsia="Times New Roman" w:hAnsi="Times New Roman" w:cs="Times New Roman"/>
          <w:sz w:val="26"/>
          <w:szCs w:val="26"/>
        </w:rPr>
        <w:t>were derived.</w:t>
      </w:r>
    </w:p>
    <w:p w:rsidR="004B2AFA" w:rsidRDefault="004B2AFA"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6C239F" w:rsidRPr="00A91BE7" w:rsidRDefault="006C239F"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6C239F">
        <w:rPr>
          <w:rFonts w:ascii="Times New Roman" w:eastAsia="Times New Roman" w:hAnsi="Times New Roman" w:cs="Times New Roman"/>
          <w:sz w:val="26"/>
          <w:szCs w:val="26"/>
        </w:rPr>
        <w:t xml:space="preserve">Fourteen parties filed comments on April 18, 2017, including: Aqua Pennsylvania (Aqua); Columbia Gas of Pennsylvania (Columbia); Consumer Advisory Council (CAC); </w:t>
      </w:r>
      <w:r w:rsidRPr="006C239F">
        <w:rPr>
          <w:rFonts w:ascii="Times New Roman" w:eastAsia="Times New Roman" w:hAnsi="Times New Roman" w:cs="Times New Roman"/>
          <w:sz w:val="26"/>
          <w:szCs w:val="26"/>
        </w:rPr>
        <w:lastRenderedPageBreak/>
        <w:t xml:space="preserve">Duquesne Light Company (Duquesne); Energy Association of Pennsylvania (EAP); Joint Comments of Tenant Union Representative Network, Action Alliance of Senior Citizens of Greater Philadelphia, and </w:t>
      </w:r>
      <w:r w:rsidR="00664D86">
        <w:rPr>
          <w:rFonts w:ascii="Times New Roman" w:eastAsia="Times New Roman" w:hAnsi="Times New Roman" w:cs="Times New Roman"/>
          <w:sz w:val="26"/>
          <w:szCs w:val="26"/>
        </w:rPr>
        <w:t>the</w:t>
      </w:r>
      <w:r w:rsidR="003F1D1D">
        <w:rPr>
          <w:rFonts w:ascii="Times New Roman" w:eastAsia="Times New Roman" w:hAnsi="Times New Roman" w:cs="Times New Roman"/>
          <w:sz w:val="26"/>
          <w:szCs w:val="26"/>
        </w:rPr>
        <w:t xml:space="preserve"> </w:t>
      </w:r>
      <w:r w:rsidRPr="006C239F">
        <w:rPr>
          <w:rFonts w:ascii="Times New Roman" w:eastAsia="Times New Roman" w:hAnsi="Times New Roman" w:cs="Times New Roman"/>
          <w:sz w:val="26"/>
          <w:szCs w:val="26"/>
        </w:rPr>
        <w:t xml:space="preserve">Coalition for Affordable Utility Service and Energy Efficiency in Pennsylvania – collectively the “Low Income and Consumer Rights Group” (LICRG); Joint Comments of Community Justice Project, Disability Rights Pennsylvania, Health, Education and Legal Assistance Project: A Medical-Legal Partnership at Widener University, Homeless Advocacy Project, Housing Alliance of Pennsylvania, Pennsylvania Coalition Against Domestic Violence, Pennsylvania Health Law Project, Pennsylvania Utility Law Project, Women’s Center, Inc. of Columbia &amp; Montour Counties, and the Women’s Resource Center – collectively the “Joint Commenters” (Joint Commenters); Metropolitan Edison Company, Pennsylvania Electric Company, Pennsylvania Power Company and West Penn Power Company (FirstEnergy); NRG Energy (NRG); Office of Consumer Advocate (OCA); PECO Energy Company (PECO); Pennsylvania American Water Company (PAWC); Philadelphia Gas Works (PGW); and PPL Electric Utilities Corporation (PPL).  On May 19, 2017, the Independent Regulatory Review Commission (IRRC) filed their comments.  All comments, in addition to the July 21 NOPR, are available on the Commission’s website by searching using the docket number </w:t>
      </w:r>
      <w:r w:rsidR="007B6D89" w:rsidRPr="008239FE">
        <w:rPr>
          <w:rFonts w:ascii="Times New Roman" w:eastAsia="Times New Roman" w:hAnsi="Times New Roman" w:cs="Times New Roman"/>
          <w:sz w:val="26"/>
          <w:szCs w:val="26"/>
        </w:rPr>
        <w:t>L-2015-2508421</w:t>
      </w:r>
      <w:r w:rsidR="007B6D89">
        <w:rPr>
          <w:rFonts w:ascii="Times New Roman" w:eastAsia="Times New Roman" w:hAnsi="Times New Roman" w:cs="Times New Roman"/>
          <w:sz w:val="26"/>
          <w:szCs w:val="26"/>
        </w:rPr>
        <w:t xml:space="preserve"> </w:t>
      </w:r>
      <w:r w:rsidRPr="006C239F">
        <w:rPr>
          <w:rFonts w:ascii="Times New Roman" w:eastAsia="Times New Roman" w:hAnsi="Times New Roman" w:cs="Times New Roman"/>
          <w:sz w:val="26"/>
          <w:szCs w:val="26"/>
        </w:rPr>
        <w:t xml:space="preserve">or at this weblink: </w:t>
      </w:r>
      <w:hyperlink r:id="rId8" w:history="1">
        <w:r w:rsidR="00283D9E" w:rsidRPr="00A91BE7">
          <w:rPr>
            <w:rStyle w:val="Hyperlink"/>
            <w:rFonts w:ascii="Times New Roman" w:hAnsi="Times New Roman" w:cs="Times New Roman"/>
            <w:sz w:val="26"/>
            <w:szCs w:val="26"/>
          </w:rPr>
          <w:t>http://www.puc.pa.gov/about_puc/consolidated_case_view.aspx?Docket=L-2015-2508421</w:t>
        </w:r>
      </w:hyperlink>
      <w:r w:rsidR="00283D9E" w:rsidRPr="00A91BE7">
        <w:rPr>
          <w:rFonts w:ascii="Times New Roman" w:hAnsi="Times New Roman" w:cs="Times New Roman"/>
          <w:sz w:val="26"/>
          <w:szCs w:val="26"/>
        </w:rPr>
        <w:t xml:space="preserve"> </w:t>
      </w:r>
    </w:p>
    <w:p w:rsidR="006C239F" w:rsidRPr="008239FE" w:rsidRDefault="006C239F"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6"/>
          <w:szCs w:val="26"/>
        </w:rPr>
      </w:pPr>
    </w:p>
    <w:p w:rsidR="00437A4C" w:rsidRPr="008239FE" w:rsidRDefault="00F639A5"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Upon review of the initial comments filed</w:t>
      </w:r>
      <w:r w:rsidR="006254E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 </w:t>
      </w:r>
      <w:r w:rsidRPr="00F639A5">
        <w:rPr>
          <w:rFonts w:ascii="Times New Roman" w:eastAsia="Times New Roman" w:hAnsi="Times New Roman" w:cs="Times New Roman"/>
          <w:sz w:val="26"/>
          <w:szCs w:val="26"/>
        </w:rPr>
        <w:t xml:space="preserve">Commission </w:t>
      </w:r>
      <w:r>
        <w:rPr>
          <w:rFonts w:ascii="Times New Roman" w:eastAsia="Times New Roman" w:hAnsi="Times New Roman" w:cs="Times New Roman"/>
          <w:sz w:val="26"/>
          <w:szCs w:val="26"/>
        </w:rPr>
        <w:t xml:space="preserve">issued an order </w:t>
      </w:r>
      <w:r w:rsidR="00F731F0">
        <w:rPr>
          <w:rFonts w:ascii="Times New Roman" w:eastAsia="Times New Roman" w:hAnsi="Times New Roman" w:cs="Times New Roman"/>
          <w:sz w:val="26"/>
          <w:szCs w:val="26"/>
        </w:rPr>
        <w:t xml:space="preserve">on July 13, 2017, </w:t>
      </w:r>
      <w:r>
        <w:rPr>
          <w:rFonts w:ascii="Times New Roman" w:eastAsia="Times New Roman" w:hAnsi="Times New Roman" w:cs="Times New Roman"/>
          <w:sz w:val="26"/>
          <w:szCs w:val="26"/>
        </w:rPr>
        <w:t xml:space="preserve">providing parties </w:t>
      </w:r>
      <w:r w:rsidR="001C0773">
        <w:rPr>
          <w:rFonts w:ascii="Times New Roman" w:eastAsia="Times New Roman" w:hAnsi="Times New Roman" w:cs="Times New Roman"/>
          <w:sz w:val="26"/>
          <w:szCs w:val="26"/>
        </w:rPr>
        <w:t xml:space="preserve">an opportunity </w:t>
      </w:r>
      <w:r>
        <w:rPr>
          <w:rFonts w:ascii="Times New Roman" w:eastAsia="Times New Roman" w:hAnsi="Times New Roman" w:cs="Times New Roman"/>
          <w:sz w:val="26"/>
          <w:szCs w:val="26"/>
        </w:rPr>
        <w:t>to file addi</w:t>
      </w:r>
      <w:r w:rsidRPr="00F639A5">
        <w:rPr>
          <w:rFonts w:ascii="Times New Roman" w:eastAsia="Times New Roman" w:hAnsi="Times New Roman" w:cs="Times New Roman"/>
          <w:sz w:val="26"/>
          <w:szCs w:val="26"/>
        </w:rPr>
        <w:t xml:space="preserve">tional comments on </w:t>
      </w:r>
      <w:r>
        <w:rPr>
          <w:rFonts w:ascii="Times New Roman" w:eastAsia="Times New Roman" w:hAnsi="Times New Roman" w:cs="Times New Roman"/>
          <w:sz w:val="26"/>
          <w:szCs w:val="26"/>
        </w:rPr>
        <w:t xml:space="preserve">our </w:t>
      </w:r>
      <w:r w:rsidRPr="00F639A5">
        <w:rPr>
          <w:rFonts w:ascii="Times New Roman" w:eastAsia="Times New Roman" w:hAnsi="Times New Roman" w:cs="Times New Roman"/>
          <w:sz w:val="26"/>
          <w:szCs w:val="26"/>
        </w:rPr>
        <w:t>proposed revisions to Chapter 56</w:t>
      </w:r>
      <w:r>
        <w:rPr>
          <w:rFonts w:ascii="Times New Roman" w:eastAsia="Times New Roman" w:hAnsi="Times New Roman" w:cs="Times New Roman"/>
          <w:sz w:val="26"/>
          <w:szCs w:val="26"/>
        </w:rPr>
        <w:t>.</w:t>
      </w:r>
      <w:r>
        <w:rPr>
          <w:rStyle w:val="FootnoteReference"/>
          <w:rFonts w:ascii="Times New Roman" w:eastAsia="Times New Roman" w:hAnsi="Times New Roman" w:cs="Times New Roman"/>
          <w:sz w:val="26"/>
          <w:szCs w:val="26"/>
        </w:rPr>
        <w:footnoteReference w:id="5"/>
      </w:r>
      <w:r w:rsidRPr="00F639A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This Order </w:t>
      </w:r>
      <w:r w:rsidR="001C0773">
        <w:rPr>
          <w:rFonts w:ascii="Times New Roman" w:eastAsia="Times New Roman" w:hAnsi="Times New Roman" w:cs="Times New Roman"/>
          <w:sz w:val="26"/>
          <w:szCs w:val="26"/>
        </w:rPr>
        <w:t xml:space="preserve">further asked </w:t>
      </w:r>
      <w:r w:rsidR="002E6E88">
        <w:rPr>
          <w:rFonts w:ascii="Times New Roman" w:eastAsia="Times New Roman" w:hAnsi="Times New Roman" w:cs="Times New Roman"/>
          <w:sz w:val="26"/>
          <w:szCs w:val="26"/>
        </w:rPr>
        <w:t xml:space="preserve">for </w:t>
      </w:r>
      <w:r w:rsidR="001C0773">
        <w:rPr>
          <w:rFonts w:ascii="Times New Roman" w:eastAsia="Times New Roman" w:hAnsi="Times New Roman" w:cs="Times New Roman"/>
          <w:sz w:val="26"/>
          <w:szCs w:val="26"/>
        </w:rPr>
        <w:t xml:space="preserve">comment on </w:t>
      </w:r>
      <w:r w:rsidRPr="00F639A5">
        <w:rPr>
          <w:rFonts w:ascii="Times New Roman" w:eastAsia="Times New Roman" w:hAnsi="Times New Roman" w:cs="Times New Roman"/>
          <w:sz w:val="26"/>
          <w:szCs w:val="26"/>
        </w:rPr>
        <w:t>two new matters</w:t>
      </w:r>
      <w:r w:rsidR="002E6E88">
        <w:rPr>
          <w:rFonts w:ascii="Times New Roman" w:eastAsia="Times New Roman" w:hAnsi="Times New Roman" w:cs="Times New Roman"/>
          <w:sz w:val="26"/>
          <w:szCs w:val="26"/>
        </w:rPr>
        <w:t>:</w:t>
      </w:r>
      <w:r w:rsidR="001C0773">
        <w:rPr>
          <w:rFonts w:ascii="Times New Roman" w:eastAsia="Times New Roman" w:hAnsi="Times New Roman" w:cs="Times New Roman"/>
          <w:sz w:val="26"/>
          <w:szCs w:val="26"/>
        </w:rPr>
        <w:t xml:space="preserve"> proposed revisions to §§ 56.131 and 56.361</w:t>
      </w:r>
      <w:r w:rsidRPr="00F639A5">
        <w:rPr>
          <w:rFonts w:ascii="Times New Roman" w:eastAsia="Times New Roman" w:hAnsi="Times New Roman" w:cs="Times New Roman"/>
          <w:sz w:val="26"/>
          <w:szCs w:val="26"/>
        </w:rPr>
        <w:t xml:space="preserve"> that would enable</w:t>
      </w:r>
      <w:r w:rsidR="001C0773">
        <w:rPr>
          <w:rFonts w:ascii="Times New Roman" w:eastAsia="Times New Roman" w:hAnsi="Times New Roman" w:cs="Times New Roman"/>
          <w:sz w:val="26"/>
          <w:szCs w:val="26"/>
        </w:rPr>
        <w:t xml:space="preserve"> supplier switching</w:t>
      </w:r>
      <w:r w:rsidRPr="00F639A5">
        <w:rPr>
          <w:rFonts w:ascii="Times New Roman" w:eastAsia="Times New Roman" w:hAnsi="Times New Roman" w:cs="Times New Roman"/>
          <w:sz w:val="26"/>
          <w:szCs w:val="26"/>
        </w:rPr>
        <w:t xml:space="preserve"> confirmation notices to be sent to third parties</w:t>
      </w:r>
      <w:r w:rsidR="001C0773">
        <w:rPr>
          <w:rFonts w:ascii="Times New Roman" w:eastAsia="Times New Roman" w:hAnsi="Times New Roman" w:cs="Times New Roman"/>
          <w:sz w:val="26"/>
          <w:szCs w:val="26"/>
        </w:rPr>
        <w:t xml:space="preserve">; and revisions to § 56.172 to </w:t>
      </w:r>
      <w:r w:rsidRPr="00F639A5">
        <w:rPr>
          <w:rFonts w:ascii="Times New Roman" w:eastAsia="Times New Roman" w:hAnsi="Times New Roman" w:cs="Times New Roman"/>
          <w:sz w:val="26"/>
          <w:szCs w:val="26"/>
        </w:rPr>
        <w:t xml:space="preserve">clarify </w:t>
      </w:r>
      <w:r w:rsidRPr="00F639A5">
        <w:rPr>
          <w:rFonts w:ascii="Times New Roman" w:eastAsia="Times New Roman" w:hAnsi="Times New Roman" w:cs="Times New Roman"/>
          <w:sz w:val="26"/>
          <w:szCs w:val="26"/>
        </w:rPr>
        <w:lastRenderedPageBreak/>
        <w:t xml:space="preserve">termination rules for customers appealing informal decisions </w:t>
      </w:r>
      <w:r w:rsidR="001C0773">
        <w:rPr>
          <w:rFonts w:ascii="Times New Roman" w:eastAsia="Times New Roman" w:hAnsi="Times New Roman" w:cs="Times New Roman"/>
          <w:sz w:val="26"/>
          <w:szCs w:val="26"/>
        </w:rPr>
        <w:t>issued by th</w:t>
      </w:r>
      <w:r w:rsidRPr="00F639A5">
        <w:rPr>
          <w:rFonts w:ascii="Times New Roman" w:eastAsia="Times New Roman" w:hAnsi="Times New Roman" w:cs="Times New Roman"/>
          <w:sz w:val="26"/>
          <w:szCs w:val="26"/>
        </w:rPr>
        <w:t>e PUC</w:t>
      </w:r>
      <w:r w:rsidR="001C0773">
        <w:rPr>
          <w:rFonts w:ascii="Times New Roman" w:eastAsia="Times New Roman" w:hAnsi="Times New Roman" w:cs="Times New Roman"/>
          <w:sz w:val="26"/>
          <w:szCs w:val="26"/>
        </w:rPr>
        <w:t>’s Bureau of Consumer Services (BCS)</w:t>
      </w:r>
      <w:r w:rsidRPr="00F639A5">
        <w:rPr>
          <w:rFonts w:ascii="Times New Roman" w:eastAsia="Times New Roman" w:hAnsi="Times New Roman" w:cs="Times New Roman"/>
          <w:sz w:val="26"/>
          <w:szCs w:val="26"/>
        </w:rPr>
        <w:t>.</w:t>
      </w:r>
      <w:r w:rsidR="001159B2">
        <w:rPr>
          <w:rFonts w:ascii="Times New Roman" w:eastAsia="Times New Roman" w:hAnsi="Times New Roman" w:cs="Times New Roman"/>
          <w:sz w:val="26"/>
          <w:szCs w:val="26"/>
        </w:rPr>
        <w:t xml:space="preserve">  </w:t>
      </w:r>
      <w:r w:rsidRPr="00F639A5">
        <w:rPr>
          <w:rFonts w:ascii="Times New Roman" w:eastAsia="Times New Roman" w:hAnsi="Times New Roman" w:cs="Times New Roman"/>
          <w:sz w:val="26"/>
          <w:szCs w:val="26"/>
        </w:rPr>
        <w:t xml:space="preserve">Additionally, the Commission </w:t>
      </w:r>
      <w:r w:rsidR="001C0773">
        <w:rPr>
          <w:rFonts w:ascii="Times New Roman" w:eastAsia="Times New Roman" w:hAnsi="Times New Roman" w:cs="Times New Roman"/>
          <w:sz w:val="26"/>
          <w:szCs w:val="26"/>
        </w:rPr>
        <w:t>sought</w:t>
      </w:r>
      <w:r w:rsidRPr="00F639A5">
        <w:rPr>
          <w:rFonts w:ascii="Times New Roman" w:eastAsia="Times New Roman" w:hAnsi="Times New Roman" w:cs="Times New Roman"/>
          <w:sz w:val="26"/>
          <w:szCs w:val="26"/>
        </w:rPr>
        <w:t xml:space="preserve"> further comment on several other proposed changes to Chapter 56, including but not limited to the privacy guidelines relevant to termination notices in </w:t>
      </w:r>
      <w:r w:rsidR="001C0773">
        <w:rPr>
          <w:rFonts w:ascii="Times New Roman" w:eastAsia="Times New Roman" w:hAnsi="Times New Roman" w:cs="Times New Roman"/>
          <w:sz w:val="26"/>
          <w:szCs w:val="26"/>
        </w:rPr>
        <w:t>§§</w:t>
      </w:r>
      <w:r w:rsidRPr="00F639A5">
        <w:rPr>
          <w:rFonts w:ascii="Times New Roman" w:eastAsia="Times New Roman" w:hAnsi="Times New Roman" w:cs="Times New Roman"/>
          <w:sz w:val="26"/>
          <w:szCs w:val="26"/>
        </w:rPr>
        <w:t xml:space="preserve"> 56.93 and 56.333, </w:t>
      </w:r>
      <w:r w:rsidR="001C0773">
        <w:rPr>
          <w:rFonts w:ascii="Times New Roman" w:eastAsia="Times New Roman" w:hAnsi="Times New Roman" w:cs="Times New Roman"/>
          <w:sz w:val="26"/>
          <w:szCs w:val="26"/>
        </w:rPr>
        <w:t xml:space="preserve">the usage of </w:t>
      </w:r>
      <w:r w:rsidRPr="00F639A5">
        <w:rPr>
          <w:rFonts w:ascii="Times New Roman" w:eastAsia="Times New Roman" w:hAnsi="Times New Roman" w:cs="Times New Roman"/>
          <w:sz w:val="26"/>
          <w:szCs w:val="26"/>
        </w:rPr>
        <w:t>medical certificate</w:t>
      </w:r>
      <w:r w:rsidR="001C0773">
        <w:rPr>
          <w:rFonts w:ascii="Times New Roman" w:eastAsia="Times New Roman" w:hAnsi="Times New Roman" w:cs="Times New Roman"/>
          <w:sz w:val="26"/>
          <w:szCs w:val="26"/>
        </w:rPr>
        <w:t>s and their impact on arrearages</w:t>
      </w:r>
      <w:r w:rsidRPr="00F639A5">
        <w:rPr>
          <w:rFonts w:ascii="Times New Roman" w:eastAsia="Times New Roman" w:hAnsi="Times New Roman" w:cs="Times New Roman"/>
          <w:sz w:val="26"/>
          <w:szCs w:val="26"/>
        </w:rPr>
        <w:t>, and the cost and impact of the proposed regulatory changes.</w:t>
      </w:r>
    </w:p>
    <w:p w:rsidR="00437A4C" w:rsidRPr="008239FE" w:rsidRDefault="00437A4C" w:rsidP="00C04157">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t xml:space="preserve"> </w:t>
      </w:r>
    </w:p>
    <w:p w:rsidR="005E787C" w:rsidRDefault="001C0773" w:rsidP="00C04157">
      <w:pPr>
        <w:autoSpaceDE w:val="0"/>
        <w:autoSpaceDN w:val="0"/>
        <w:adjustRightInd w:val="0"/>
        <w:spacing w:after="0" w:line="360" w:lineRule="auto"/>
        <w:ind w:firstLine="720"/>
        <w:rPr>
          <w:rFonts w:ascii="Times New Roman" w:eastAsia="Times New Roman" w:hAnsi="Times New Roman" w:cs="Times New Roman"/>
          <w:sz w:val="26"/>
          <w:szCs w:val="26"/>
        </w:rPr>
      </w:pPr>
      <w:r w:rsidRPr="007B6D89">
        <w:rPr>
          <w:rFonts w:ascii="Times New Roman" w:eastAsia="Times New Roman" w:hAnsi="Times New Roman" w:cs="Times New Roman"/>
          <w:sz w:val="26"/>
          <w:szCs w:val="26"/>
        </w:rPr>
        <w:t>In response</w:t>
      </w:r>
      <w:r w:rsidR="00A228F6">
        <w:rPr>
          <w:rFonts w:ascii="Times New Roman" w:eastAsia="Times New Roman" w:hAnsi="Times New Roman" w:cs="Times New Roman"/>
          <w:sz w:val="26"/>
          <w:szCs w:val="26"/>
        </w:rPr>
        <w:t>,</w:t>
      </w:r>
      <w:r w:rsidR="007B6D89" w:rsidRPr="007B6D89">
        <w:rPr>
          <w:rFonts w:ascii="Times New Roman" w:eastAsia="Times New Roman" w:hAnsi="Times New Roman" w:cs="Times New Roman"/>
          <w:sz w:val="26"/>
          <w:szCs w:val="26"/>
        </w:rPr>
        <w:t xml:space="preserve"> </w:t>
      </w:r>
      <w:r w:rsidR="00283D9E">
        <w:rPr>
          <w:rFonts w:ascii="Times New Roman" w:eastAsia="Times New Roman" w:hAnsi="Times New Roman" w:cs="Times New Roman"/>
          <w:sz w:val="26"/>
          <w:szCs w:val="26"/>
        </w:rPr>
        <w:t>seventeen</w:t>
      </w:r>
      <w:r w:rsidR="007B6D89" w:rsidRPr="007B6D89">
        <w:rPr>
          <w:rFonts w:ascii="Times New Roman" w:eastAsia="Times New Roman" w:hAnsi="Times New Roman" w:cs="Times New Roman"/>
          <w:sz w:val="26"/>
          <w:szCs w:val="26"/>
        </w:rPr>
        <w:t xml:space="preserve"> parties filed </w:t>
      </w:r>
      <w:r w:rsidR="00283D9E">
        <w:rPr>
          <w:rFonts w:ascii="Times New Roman" w:eastAsia="Times New Roman" w:hAnsi="Times New Roman" w:cs="Times New Roman"/>
          <w:sz w:val="26"/>
          <w:szCs w:val="26"/>
        </w:rPr>
        <w:t xml:space="preserve">additional </w:t>
      </w:r>
      <w:r w:rsidR="007B6D89" w:rsidRPr="007B6D89">
        <w:rPr>
          <w:rFonts w:ascii="Times New Roman" w:eastAsia="Times New Roman" w:hAnsi="Times New Roman" w:cs="Times New Roman"/>
          <w:sz w:val="26"/>
          <w:szCs w:val="26"/>
        </w:rPr>
        <w:t xml:space="preserve">comments </w:t>
      </w:r>
      <w:r w:rsidR="00283D9E">
        <w:rPr>
          <w:rFonts w:ascii="Times New Roman" w:eastAsia="Times New Roman" w:hAnsi="Times New Roman" w:cs="Times New Roman"/>
          <w:sz w:val="26"/>
          <w:szCs w:val="26"/>
        </w:rPr>
        <w:t>in September</w:t>
      </w:r>
      <w:r w:rsidR="007B6D89" w:rsidRPr="007B6D89">
        <w:rPr>
          <w:rFonts w:ascii="Times New Roman" w:eastAsia="Times New Roman" w:hAnsi="Times New Roman" w:cs="Times New Roman"/>
          <w:sz w:val="26"/>
          <w:szCs w:val="26"/>
        </w:rPr>
        <w:t xml:space="preserve"> </w:t>
      </w:r>
      <w:r w:rsidR="00283D9E">
        <w:rPr>
          <w:rFonts w:ascii="Times New Roman" w:eastAsia="Times New Roman" w:hAnsi="Times New Roman" w:cs="Times New Roman"/>
          <w:sz w:val="26"/>
          <w:szCs w:val="26"/>
        </w:rPr>
        <w:t>2017</w:t>
      </w:r>
      <w:r w:rsidR="007B6D89" w:rsidRPr="007B6D89">
        <w:rPr>
          <w:rFonts w:ascii="Times New Roman" w:eastAsia="Times New Roman" w:hAnsi="Times New Roman" w:cs="Times New Roman"/>
          <w:sz w:val="26"/>
          <w:szCs w:val="26"/>
        </w:rPr>
        <w:t xml:space="preserve">: Aqua Pennsylvania (Aqua); Columbia Gas of Pennsylvania (Columbia); Duquesne Light Company (Duquesne); Energy Association of Pennsylvania (EAP); Joint Comments of Tenant Union Representative Network, Action Alliance of Senior Citizens of Greater Philadelphia, and Coalition for Affordable Utility Service and Energy Efficiency in Pennsylvania – collectively the “Low Income and Consumer Rights Group” (LICRG); Joint Comments of </w:t>
      </w:r>
      <w:r w:rsidR="00283D9E" w:rsidRPr="00283D9E">
        <w:rPr>
          <w:rFonts w:ascii="Times New Roman" w:eastAsia="Times New Roman" w:hAnsi="Times New Roman" w:cs="Times New Roman"/>
          <w:sz w:val="26"/>
          <w:szCs w:val="26"/>
        </w:rPr>
        <w:t xml:space="preserve"> ACTION-Housing, Inc.</w:t>
      </w:r>
      <w:r w:rsidR="00FE292E">
        <w:rPr>
          <w:rFonts w:ascii="Times New Roman" w:eastAsia="Times New Roman" w:hAnsi="Times New Roman" w:cs="Times New Roman"/>
          <w:sz w:val="26"/>
          <w:szCs w:val="26"/>
        </w:rPr>
        <w:t xml:space="preserve">, </w:t>
      </w:r>
      <w:r w:rsidR="00283D9E" w:rsidRPr="00283D9E">
        <w:rPr>
          <w:rFonts w:ascii="Times New Roman" w:eastAsia="Times New Roman" w:hAnsi="Times New Roman" w:cs="Times New Roman"/>
          <w:sz w:val="26"/>
          <w:szCs w:val="26"/>
        </w:rPr>
        <w:t>Bringing Hope Home</w:t>
      </w:r>
      <w:r w:rsidR="00FE292E">
        <w:rPr>
          <w:rFonts w:ascii="Times New Roman" w:eastAsia="Times New Roman" w:hAnsi="Times New Roman" w:cs="Times New Roman"/>
          <w:sz w:val="26"/>
          <w:szCs w:val="26"/>
        </w:rPr>
        <w:t xml:space="preserve">, </w:t>
      </w:r>
      <w:r w:rsidR="00283D9E" w:rsidRPr="00283D9E">
        <w:rPr>
          <w:rFonts w:ascii="Times New Roman" w:eastAsia="Times New Roman" w:hAnsi="Times New Roman" w:cs="Times New Roman"/>
          <w:sz w:val="26"/>
          <w:szCs w:val="26"/>
        </w:rPr>
        <w:t>Health, Education and Legal assistance Project:</w:t>
      </w:r>
      <w:r w:rsidR="00FE292E">
        <w:rPr>
          <w:rFonts w:ascii="Times New Roman" w:eastAsia="Times New Roman" w:hAnsi="Times New Roman" w:cs="Times New Roman"/>
          <w:sz w:val="26"/>
          <w:szCs w:val="26"/>
        </w:rPr>
        <w:t xml:space="preserve"> </w:t>
      </w:r>
      <w:r w:rsidR="00283D9E" w:rsidRPr="00283D9E">
        <w:rPr>
          <w:rFonts w:ascii="Times New Roman" w:eastAsia="Times New Roman" w:hAnsi="Times New Roman" w:cs="Times New Roman"/>
          <w:sz w:val="26"/>
          <w:szCs w:val="26"/>
        </w:rPr>
        <w:t>A Medical-Legal Partnership</w:t>
      </w:r>
      <w:r w:rsidR="00FE292E">
        <w:rPr>
          <w:rFonts w:ascii="Times New Roman" w:eastAsia="Times New Roman" w:hAnsi="Times New Roman" w:cs="Times New Roman"/>
          <w:sz w:val="26"/>
          <w:szCs w:val="26"/>
        </w:rPr>
        <w:t xml:space="preserve">, </w:t>
      </w:r>
      <w:r w:rsidR="00283D9E" w:rsidRPr="00283D9E">
        <w:rPr>
          <w:rFonts w:ascii="Times New Roman" w:eastAsia="Times New Roman" w:hAnsi="Times New Roman" w:cs="Times New Roman"/>
          <w:sz w:val="26"/>
          <w:szCs w:val="26"/>
        </w:rPr>
        <w:t>Living Beyond Breast Cancer</w:t>
      </w:r>
      <w:r w:rsidR="00FE292E">
        <w:rPr>
          <w:rFonts w:ascii="Times New Roman" w:eastAsia="Times New Roman" w:hAnsi="Times New Roman" w:cs="Times New Roman"/>
          <w:sz w:val="26"/>
          <w:szCs w:val="26"/>
        </w:rPr>
        <w:t xml:space="preserve">, </w:t>
      </w:r>
      <w:proofErr w:type="spellStart"/>
      <w:r w:rsidR="00283D9E" w:rsidRPr="00283D9E">
        <w:rPr>
          <w:rFonts w:ascii="Times New Roman" w:eastAsia="Times New Roman" w:hAnsi="Times New Roman" w:cs="Times New Roman"/>
          <w:sz w:val="26"/>
          <w:szCs w:val="26"/>
        </w:rPr>
        <w:t>Medha</w:t>
      </w:r>
      <w:proofErr w:type="spellEnd"/>
      <w:r w:rsidR="00283D9E" w:rsidRPr="00283D9E">
        <w:rPr>
          <w:rFonts w:ascii="Times New Roman" w:eastAsia="Times New Roman" w:hAnsi="Times New Roman" w:cs="Times New Roman"/>
          <w:sz w:val="26"/>
          <w:szCs w:val="26"/>
        </w:rPr>
        <w:t xml:space="preserve"> D. </w:t>
      </w:r>
      <w:proofErr w:type="spellStart"/>
      <w:r w:rsidR="00283D9E" w:rsidRPr="00283D9E">
        <w:rPr>
          <w:rFonts w:ascii="Times New Roman" w:eastAsia="Times New Roman" w:hAnsi="Times New Roman" w:cs="Times New Roman"/>
          <w:sz w:val="26"/>
          <w:szCs w:val="26"/>
        </w:rPr>
        <w:t>Makhlouf</w:t>
      </w:r>
      <w:proofErr w:type="spellEnd"/>
      <w:r w:rsidR="00FE292E">
        <w:rPr>
          <w:rFonts w:ascii="Times New Roman" w:eastAsia="Times New Roman" w:hAnsi="Times New Roman" w:cs="Times New Roman"/>
          <w:sz w:val="26"/>
          <w:szCs w:val="26"/>
        </w:rPr>
        <w:t xml:space="preserve">, </w:t>
      </w:r>
      <w:r w:rsidR="00283D9E" w:rsidRPr="00283D9E">
        <w:rPr>
          <w:rFonts w:ascii="Times New Roman" w:eastAsia="Times New Roman" w:hAnsi="Times New Roman" w:cs="Times New Roman"/>
          <w:sz w:val="26"/>
          <w:szCs w:val="26"/>
        </w:rPr>
        <w:t>Philadelphia Association of Community Development Corporations</w:t>
      </w:r>
      <w:r w:rsidR="00FE292E">
        <w:rPr>
          <w:rFonts w:ascii="Times New Roman" w:eastAsia="Times New Roman" w:hAnsi="Times New Roman" w:cs="Times New Roman"/>
          <w:sz w:val="26"/>
          <w:szCs w:val="26"/>
        </w:rPr>
        <w:t xml:space="preserve">, </w:t>
      </w:r>
      <w:r w:rsidR="00283D9E" w:rsidRPr="00283D9E">
        <w:rPr>
          <w:rFonts w:ascii="Times New Roman" w:eastAsia="Times New Roman" w:hAnsi="Times New Roman" w:cs="Times New Roman"/>
          <w:sz w:val="26"/>
          <w:szCs w:val="26"/>
        </w:rPr>
        <w:t>Project HOME</w:t>
      </w:r>
      <w:r w:rsidR="00FE292E">
        <w:rPr>
          <w:rFonts w:ascii="Times New Roman" w:eastAsia="Times New Roman" w:hAnsi="Times New Roman" w:cs="Times New Roman"/>
          <w:sz w:val="26"/>
          <w:szCs w:val="26"/>
        </w:rPr>
        <w:t xml:space="preserve">, </w:t>
      </w:r>
      <w:r w:rsidR="00283D9E" w:rsidRPr="00283D9E">
        <w:rPr>
          <w:rFonts w:ascii="Times New Roman" w:eastAsia="Times New Roman" w:hAnsi="Times New Roman" w:cs="Times New Roman"/>
          <w:sz w:val="26"/>
          <w:szCs w:val="26"/>
        </w:rPr>
        <w:t>Regional Housing Legal Services</w:t>
      </w:r>
      <w:r w:rsidR="00FE292E">
        <w:rPr>
          <w:rFonts w:ascii="Times New Roman" w:eastAsia="Times New Roman" w:hAnsi="Times New Roman" w:cs="Times New Roman"/>
          <w:sz w:val="26"/>
          <w:szCs w:val="26"/>
        </w:rPr>
        <w:t xml:space="preserve">, </w:t>
      </w:r>
      <w:r w:rsidR="00283D9E" w:rsidRPr="00283D9E">
        <w:rPr>
          <w:rFonts w:ascii="Times New Roman" w:eastAsia="Times New Roman" w:hAnsi="Times New Roman" w:cs="Times New Roman"/>
          <w:sz w:val="26"/>
          <w:szCs w:val="26"/>
        </w:rPr>
        <w:t>Sisters R Us Circle of Survivors</w:t>
      </w:r>
      <w:r w:rsidR="00FE292E">
        <w:rPr>
          <w:rFonts w:ascii="Times New Roman" w:eastAsia="Times New Roman" w:hAnsi="Times New Roman" w:cs="Times New Roman"/>
          <w:sz w:val="26"/>
          <w:szCs w:val="26"/>
        </w:rPr>
        <w:t>, T</w:t>
      </w:r>
      <w:r w:rsidR="00283D9E" w:rsidRPr="00283D9E">
        <w:rPr>
          <w:rFonts w:ascii="Times New Roman" w:eastAsia="Times New Roman" w:hAnsi="Times New Roman" w:cs="Times New Roman"/>
          <w:sz w:val="26"/>
          <w:szCs w:val="26"/>
        </w:rPr>
        <w:t>he Self-Determination Housing Project of Pennsylvania</w:t>
      </w:r>
      <w:r w:rsidR="00FE292E">
        <w:rPr>
          <w:rFonts w:ascii="Times New Roman" w:eastAsia="Times New Roman" w:hAnsi="Times New Roman" w:cs="Times New Roman"/>
          <w:sz w:val="26"/>
          <w:szCs w:val="26"/>
        </w:rPr>
        <w:t xml:space="preserve"> – collectively the “</w:t>
      </w:r>
      <w:r w:rsidR="00FE292E" w:rsidRPr="00FE292E">
        <w:rPr>
          <w:rFonts w:ascii="Times New Roman" w:eastAsia="Times New Roman" w:hAnsi="Times New Roman" w:cs="Times New Roman"/>
          <w:sz w:val="26"/>
          <w:szCs w:val="26"/>
        </w:rPr>
        <w:t>Health &amp; Housing Coalition</w:t>
      </w:r>
      <w:r w:rsidR="00FE292E">
        <w:rPr>
          <w:rFonts w:ascii="Times New Roman" w:eastAsia="Times New Roman" w:hAnsi="Times New Roman" w:cs="Times New Roman"/>
          <w:sz w:val="26"/>
          <w:szCs w:val="26"/>
        </w:rPr>
        <w:t>”</w:t>
      </w:r>
      <w:r w:rsidR="00283D9E" w:rsidRPr="00283D9E">
        <w:rPr>
          <w:rFonts w:ascii="Times New Roman" w:eastAsia="Times New Roman" w:hAnsi="Times New Roman" w:cs="Times New Roman"/>
          <w:sz w:val="26"/>
          <w:szCs w:val="26"/>
        </w:rPr>
        <w:t xml:space="preserve"> </w:t>
      </w:r>
      <w:r w:rsidR="007B6D89" w:rsidRPr="007B6D89">
        <w:rPr>
          <w:rFonts w:ascii="Times New Roman" w:eastAsia="Times New Roman" w:hAnsi="Times New Roman" w:cs="Times New Roman"/>
          <w:sz w:val="26"/>
          <w:szCs w:val="26"/>
        </w:rPr>
        <w:t>(</w:t>
      </w:r>
      <w:r w:rsidR="00FE292E" w:rsidRPr="00FE292E">
        <w:rPr>
          <w:rFonts w:ascii="Times New Roman" w:eastAsia="Times New Roman" w:hAnsi="Times New Roman" w:cs="Times New Roman"/>
          <w:sz w:val="26"/>
          <w:szCs w:val="26"/>
        </w:rPr>
        <w:t>Health &amp; Housing Coalition</w:t>
      </w:r>
      <w:r w:rsidR="007B6D89" w:rsidRPr="007B6D89">
        <w:rPr>
          <w:rFonts w:ascii="Times New Roman" w:eastAsia="Times New Roman" w:hAnsi="Times New Roman" w:cs="Times New Roman"/>
          <w:sz w:val="26"/>
          <w:szCs w:val="26"/>
        </w:rPr>
        <w:t>); Metropolitan Edison Company, Pennsylvania Electric Company, Pennsylvania Power Company and West Penn Power Company (FirstEnergy); Office of Consumer Advocate (OCA); PECO Energy Company (PECO); Pennsylvania American Water Company (PAWC); Philadelphia Gas Works (PGW); and PPL Electric Utilities Corporation (PPL)</w:t>
      </w:r>
      <w:r w:rsidR="00FE292E">
        <w:rPr>
          <w:rFonts w:ascii="Times New Roman" w:eastAsia="Times New Roman" w:hAnsi="Times New Roman" w:cs="Times New Roman"/>
          <w:sz w:val="26"/>
          <w:szCs w:val="26"/>
        </w:rPr>
        <w:t>; The Center for Hunger-Free Communities (Hunger-Free Communities); National Fuel Gas Distribution Corporation (NFG); National Energy Marketers Association (NEM); Pennsylvania Energy Marketers Coalition (PEMC); and the Retail Energy Supply Association (RESA)</w:t>
      </w:r>
      <w:r w:rsidR="007B6D89" w:rsidRPr="007B6D89">
        <w:rPr>
          <w:rFonts w:ascii="Times New Roman" w:eastAsia="Times New Roman" w:hAnsi="Times New Roman" w:cs="Times New Roman"/>
          <w:sz w:val="26"/>
          <w:szCs w:val="26"/>
        </w:rPr>
        <w:t xml:space="preserve">.  All </w:t>
      </w:r>
      <w:r w:rsidR="00FE292E">
        <w:rPr>
          <w:rFonts w:ascii="Times New Roman" w:eastAsia="Times New Roman" w:hAnsi="Times New Roman" w:cs="Times New Roman"/>
          <w:sz w:val="26"/>
          <w:szCs w:val="26"/>
        </w:rPr>
        <w:t xml:space="preserve">additional </w:t>
      </w:r>
      <w:r w:rsidR="007B6D89" w:rsidRPr="007B6D89">
        <w:rPr>
          <w:rFonts w:ascii="Times New Roman" w:eastAsia="Times New Roman" w:hAnsi="Times New Roman" w:cs="Times New Roman"/>
          <w:sz w:val="26"/>
          <w:szCs w:val="26"/>
        </w:rPr>
        <w:t>comments</w:t>
      </w:r>
      <w:r w:rsidR="00FE292E">
        <w:rPr>
          <w:rFonts w:ascii="Times New Roman" w:eastAsia="Times New Roman" w:hAnsi="Times New Roman" w:cs="Times New Roman"/>
          <w:sz w:val="26"/>
          <w:szCs w:val="26"/>
        </w:rPr>
        <w:t xml:space="preserve"> </w:t>
      </w:r>
      <w:r w:rsidR="007B6D89" w:rsidRPr="007B6D89">
        <w:rPr>
          <w:rFonts w:ascii="Times New Roman" w:eastAsia="Times New Roman" w:hAnsi="Times New Roman" w:cs="Times New Roman"/>
          <w:sz w:val="26"/>
          <w:szCs w:val="26"/>
        </w:rPr>
        <w:t xml:space="preserve">are available on the Commission’s </w:t>
      </w:r>
    </w:p>
    <w:p w:rsidR="005E787C" w:rsidRDefault="005E787C" w:rsidP="00C0415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7B6D89" w:rsidRPr="00A91BE7" w:rsidRDefault="007B6D89" w:rsidP="00C04157">
      <w:pPr>
        <w:autoSpaceDE w:val="0"/>
        <w:autoSpaceDN w:val="0"/>
        <w:adjustRightInd w:val="0"/>
        <w:spacing w:after="0" w:line="360" w:lineRule="auto"/>
        <w:rPr>
          <w:rFonts w:ascii="Times New Roman" w:eastAsia="Times New Roman" w:hAnsi="Times New Roman" w:cs="Times New Roman"/>
          <w:sz w:val="26"/>
          <w:szCs w:val="26"/>
        </w:rPr>
      </w:pPr>
      <w:r w:rsidRPr="007B6D89">
        <w:rPr>
          <w:rFonts w:ascii="Times New Roman" w:eastAsia="Times New Roman" w:hAnsi="Times New Roman" w:cs="Times New Roman"/>
          <w:sz w:val="26"/>
          <w:szCs w:val="26"/>
        </w:rPr>
        <w:lastRenderedPageBreak/>
        <w:t xml:space="preserve">website by searching using the docket number </w:t>
      </w:r>
      <w:r w:rsidR="00283D9E" w:rsidRPr="00283D9E">
        <w:rPr>
          <w:rFonts w:ascii="Times New Roman" w:eastAsia="Times New Roman" w:hAnsi="Times New Roman" w:cs="Times New Roman"/>
          <w:sz w:val="26"/>
          <w:szCs w:val="26"/>
        </w:rPr>
        <w:t>L-2015-2508421</w:t>
      </w:r>
      <w:r w:rsidR="00283D9E">
        <w:rPr>
          <w:rFonts w:ascii="Times New Roman" w:eastAsia="Times New Roman" w:hAnsi="Times New Roman" w:cs="Times New Roman"/>
          <w:sz w:val="26"/>
          <w:szCs w:val="26"/>
        </w:rPr>
        <w:t xml:space="preserve"> </w:t>
      </w:r>
      <w:r w:rsidRPr="007B6D89">
        <w:rPr>
          <w:rFonts w:ascii="Times New Roman" w:eastAsia="Times New Roman" w:hAnsi="Times New Roman" w:cs="Times New Roman"/>
          <w:sz w:val="26"/>
          <w:szCs w:val="26"/>
        </w:rPr>
        <w:t xml:space="preserve">or at this weblink: </w:t>
      </w:r>
      <w:hyperlink r:id="rId9" w:history="1">
        <w:r w:rsidR="00283D9E" w:rsidRPr="00A91BE7">
          <w:rPr>
            <w:rStyle w:val="Hyperlink"/>
            <w:rFonts w:ascii="Times New Roman" w:eastAsia="Times New Roman" w:hAnsi="Times New Roman" w:cs="Times New Roman"/>
            <w:sz w:val="26"/>
            <w:szCs w:val="26"/>
          </w:rPr>
          <w:t>http://www.puc.pa.gov/about_puc/consolidated_case_view.aspx?Docket=L-2015-2508421</w:t>
        </w:r>
      </w:hyperlink>
      <w:r w:rsidR="00283D9E" w:rsidRPr="00A91BE7">
        <w:rPr>
          <w:rFonts w:ascii="Times New Roman" w:eastAsia="Times New Roman" w:hAnsi="Times New Roman" w:cs="Times New Roman"/>
          <w:sz w:val="26"/>
          <w:szCs w:val="26"/>
        </w:rPr>
        <w:t xml:space="preserve"> </w:t>
      </w:r>
    </w:p>
    <w:p w:rsidR="004323AF" w:rsidRDefault="004323AF" w:rsidP="00C04157">
      <w:pPr>
        <w:autoSpaceDE w:val="0"/>
        <w:autoSpaceDN w:val="0"/>
        <w:adjustRightInd w:val="0"/>
        <w:spacing w:after="0" w:line="360" w:lineRule="auto"/>
        <w:rPr>
          <w:rFonts w:ascii="Times New Roman" w:eastAsia="Times New Roman" w:hAnsi="Times New Roman" w:cs="Times New Roman"/>
          <w:sz w:val="26"/>
          <w:szCs w:val="26"/>
        </w:rPr>
      </w:pPr>
    </w:p>
    <w:p w:rsidR="00A62640" w:rsidRPr="00A62640" w:rsidRDefault="00A62640" w:rsidP="00C04157">
      <w:pPr>
        <w:autoSpaceDE w:val="0"/>
        <w:autoSpaceDN w:val="0"/>
        <w:adjustRightInd w:val="0"/>
        <w:spacing w:after="0" w:line="360" w:lineRule="auto"/>
        <w:rPr>
          <w:rFonts w:ascii="Times New Roman" w:eastAsia="Times New Roman" w:hAnsi="Times New Roman" w:cs="Times New Roman"/>
          <w:b/>
          <w:sz w:val="26"/>
          <w:szCs w:val="26"/>
        </w:rPr>
      </w:pPr>
      <w:r w:rsidRPr="00A62640">
        <w:rPr>
          <w:rFonts w:ascii="Times New Roman" w:eastAsia="Times New Roman" w:hAnsi="Times New Roman" w:cs="Times New Roman"/>
          <w:b/>
          <w:sz w:val="26"/>
          <w:szCs w:val="26"/>
        </w:rPr>
        <w:t>Conclusion</w:t>
      </w:r>
    </w:p>
    <w:p w:rsidR="00C45097" w:rsidRDefault="00437A4C" w:rsidP="00C04157">
      <w:pPr>
        <w:autoSpaceDE w:val="0"/>
        <w:autoSpaceDN w:val="0"/>
        <w:adjustRightInd w:val="0"/>
        <w:spacing w:after="0" w:line="36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ab/>
      </w:r>
      <w:r w:rsidR="001E2562" w:rsidRPr="001E2562">
        <w:rPr>
          <w:rFonts w:ascii="Times New Roman" w:eastAsia="Times New Roman" w:hAnsi="Times New Roman" w:cs="Times New Roman"/>
          <w:sz w:val="26"/>
          <w:szCs w:val="26"/>
        </w:rPr>
        <w:t>The Commission reviewed all</w:t>
      </w:r>
      <w:r w:rsidR="001E2562">
        <w:rPr>
          <w:rFonts w:ascii="Times New Roman" w:eastAsia="Times New Roman" w:hAnsi="Times New Roman" w:cs="Times New Roman"/>
          <w:sz w:val="26"/>
          <w:szCs w:val="26"/>
        </w:rPr>
        <w:t xml:space="preserve"> </w:t>
      </w:r>
      <w:r w:rsidR="001E2562" w:rsidRPr="001E2562">
        <w:rPr>
          <w:rFonts w:ascii="Times New Roman" w:eastAsia="Times New Roman" w:hAnsi="Times New Roman" w:cs="Times New Roman"/>
          <w:sz w:val="26"/>
          <w:szCs w:val="26"/>
        </w:rPr>
        <w:t>comments</w:t>
      </w:r>
      <w:r w:rsidR="00181B98">
        <w:rPr>
          <w:rFonts w:ascii="Times New Roman" w:eastAsia="Times New Roman" w:hAnsi="Times New Roman" w:cs="Times New Roman"/>
          <w:sz w:val="26"/>
          <w:szCs w:val="26"/>
        </w:rPr>
        <w:t xml:space="preserve"> </w:t>
      </w:r>
      <w:r w:rsidR="001E2562" w:rsidRPr="001E2562">
        <w:rPr>
          <w:rFonts w:ascii="Times New Roman" w:eastAsia="Times New Roman" w:hAnsi="Times New Roman" w:cs="Times New Roman"/>
          <w:sz w:val="26"/>
          <w:szCs w:val="26"/>
        </w:rPr>
        <w:t xml:space="preserve">and </w:t>
      </w:r>
      <w:r w:rsidR="007F78EE">
        <w:rPr>
          <w:rFonts w:ascii="Times New Roman" w:eastAsia="Times New Roman" w:hAnsi="Times New Roman" w:cs="Times New Roman"/>
          <w:sz w:val="26"/>
          <w:szCs w:val="26"/>
        </w:rPr>
        <w:t xml:space="preserve">now issues </w:t>
      </w:r>
      <w:r w:rsidR="000C0506">
        <w:rPr>
          <w:rFonts w:ascii="Times New Roman" w:eastAsia="Times New Roman" w:hAnsi="Times New Roman" w:cs="Times New Roman"/>
          <w:sz w:val="26"/>
          <w:szCs w:val="26"/>
        </w:rPr>
        <w:t>this</w:t>
      </w:r>
      <w:r w:rsidR="001E2562" w:rsidRPr="001E2562">
        <w:rPr>
          <w:rFonts w:ascii="Times New Roman" w:eastAsia="Times New Roman" w:hAnsi="Times New Roman" w:cs="Times New Roman"/>
          <w:sz w:val="26"/>
          <w:szCs w:val="26"/>
        </w:rPr>
        <w:t xml:space="preserve"> Final Rulemaking Order.  The interested parties filed or had opportunity to file comments on </w:t>
      </w:r>
      <w:r w:rsidR="001E2562">
        <w:rPr>
          <w:rFonts w:ascii="Times New Roman" w:eastAsia="Times New Roman" w:hAnsi="Times New Roman" w:cs="Times New Roman"/>
          <w:sz w:val="26"/>
          <w:szCs w:val="26"/>
        </w:rPr>
        <w:t>three</w:t>
      </w:r>
      <w:r w:rsidR="001E2562" w:rsidRPr="001E2562">
        <w:rPr>
          <w:rFonts w:ascii="Times New Roman" w:eastAsia="Times New Roman" w:hAnsi="Times New Roman" w:cs="Times New Roman"/>
          <w:sz w:val="26"/>
          <w:szCs w:val="26"/>
        </w:rPr>
        <w:t xml:space="preserve"> separate occasions, including the </w:t>
      </w:r>
      <w:r w:rsidR="00C45097" w:rsidRPr="00C45097">
        <w:rPr>
          <w:rFonts w:ascii="Times New Roman" w:eastAsia="Times New Roman" w:hAnsi="Times New Roman" w:cs="Times New Roman"/>
          <w:sz w:val="26"/>
          <w:szCs w:val="26"/>
        </w:rPr>
        <w:t>January 15, 2015</w:t>
      </w:r>
      <w:r w:rsidR="00F731F0">
        <w:rPr>
          <w:rFonts w:ascii="Times New Roman" w:eastAsia="Times New Roman" w:hAnsi="Times New Roman" w:cs="Times New Roman"/>
          <w:sz w:val="26"/>
          <w:szCs w:val="26"/>
        </w:rPr>
        <w:t>,</w:t>
      </w:r>
      <w:r w:rsidR="00C45097" w:rsidRPr="00C45097">
        <w:rPr>
          <w:rFonts w:ascii="Times New Roman" w:eastAsia="Times New Roman" w:hAnsi="Times New Roman" w:cs="Times New Roman"/>
          <w:sz w:val="26"/>
          <w:szCs w:val="26"/>
        </w:rPr>
        <w:t xml:space="preserve"> </w:t>
      </w:r>
      <w:r w:rsidR="00C45097" w:rsidRPr="000C0506">
        <w:rPr>
          <w:rFonts w:ascii="Times New Roman" w:eastAsia="Times New Roman" w:hAnsi="Times New Roman" w:cs="Times New Roman"/>
          <w:i/>
          <w:sz w:val="26"/>
          <w:szCs w:val="26"/>
        </w:rPr>
        <w:t xml:space="preserve">Tentative </w:t>
      </w:r>
      <w:r w:rsidR="00C45097" w:rsidRPr="00C45097">
        <w:rPr>
          <w:rFonts w:ascii="Times New Roman" w:eastAsia="Times New Roman" w:hAnsi="Times New Roman" w:cs="Times New Roman"/>
          <w:i/>
          <w:sz w:val="26"/>
          <w:szCs w:val="26"/>
        </w:rPr>
        <w:t>Implementation Order</w:t>
      </w:r>
      <w:r w:rsidR="00C45097">
        <w:rPr>
          <w:rFonts w:ascii="Times New Roman" w:eastAsia="Times New Roman" w:hAnsi="Times New Roman" w:cs="Times New Roman"/>
          <w:sz w:val="26"/>
          <w:szCs w:val="26"/>
        </w:rPr>
        <w:t xml:space="preserve">.  </w:t>
      </w:r>
      <w:r w:rsidR="001E2562" w:rsidRPr="001E2562">
        <w:rPr>
          <w:rFonts w:ascii="Times New Roman" w:eastAsia="Times New Roman" w:hAnsi="Times New Roman" w:cs="Times New Roman"/>
          <w:sz w:val="26"/>
          <w:szCs w:val="26"/>
        </w:rPr>
        <w:t xml:space="preserve">The issues have narrowed and </w:t>
      </w:r>
      <w:r w:rsidR="00F52A91">
        <w:rPr>
          <w:rFonts w:ascii="Times New Roman" w:eastAsia="Times New Roman" w:hAnsi="Times New Roman" w:cs="Times New Roman"/>
          <w:sz w:val="26"/>
          <w:szCs w:val="26"/>
        </w:rPr>
        <w:t>this F</w:t>
      </w:r>
      <w:r w:rsidR="001E2562" w:rsidRPr="001E2562">
        <w:rPr>
          <w:rFonts w:ascii="Times New Roman" w:eastAsia="Times New Roman" w:hAnsi="Times New Roman" w:cs="Times New Roman"/>
          <w:sz w:val="26"/>
          <w:szCs w:val="26"/>
        </w:rPr>
        <w:t xml:space="preserve">inal </w:t>
      </w:r>
      <w:r w:rsidR="00F52A91">
        <w:rPr>
          <w:rFonts w:ascii="Times New Roman" w:eastAsia="Times New Roman" w:hAnsi="Times New Roman" w:cs="Times New Roman"/>
          <w:sz w:val="26"/>
          <w:szCs w:val="26"/>
        </w:rPr>
        <w:t>O</w:t>
      </w:r>
      <w:r w:rsidR="001E2562" w:rsidRPr="001E2562">
        <w:rPr>
          <w:rFonts w:ascii="Times New Roman" w:eastAsia="Times New Roman" w:hAnsi="Times New Roman" w:cs="Times New Roman"/>
          <w:sz w:val="26"/>
          <w:szCs w:val="26"/>
        </w:rPr>
        <w:t>rder attempt</w:t>
      </w:r>
      <w:r w:rsidR="001E2562">
        <w:rPr>
          <w:rFonts w:ascii="Times New Roman" w:eastAsia="Times New Roman" w:hAnsi="Times New Roman" w:cs="Times New Roman"/>
          <w:sz w:val="26"/>
          <w:szCs w:val="26"/>
        </w:rPr>
        <w:t>s</w:t>
      </w:r>
      <w:r w:rsidR="001E2562" w:rsidRPr="001E2562">
        <w:rPr>
          <w:rFonts w:ascii="Times New Roman" w:eastAsia="Times New Roman" w:hAnsi="Times New Roman" w:cs="Times New Roman"/>
          <w:sz w:val="26"/>
          <w:szCs w:val="26"/>
        </w:rPr>
        <w:t xml:space="preserve"> to resolve remaining issues.  In some respects, </w:t>
      </w:r>
      <w:r w:rsidR="000C0506">
        <w:rPr>
          <w:rFonts w:ascii="Times New Roman" w:eastAsia="Times New Roman" w:hAnsi="Times New Roman" w:cs="Times New Roman"/>
          <w:sz w:val="26"/>
          <w:szCs w:val="26"/>
        </w:rPr>
        <w:t xml:space="preserve">this </w:t>
      </w:r>
      <w:r w:rsidR="001E2562" w:rsidRPr="001E2562">
        <w:rPr>
          <w:rFonts w:ascii="Times New Roman" w:eastAsia="Times New Roman" w:hAnsi="Times New Roman" w:cs="Times New Roman"/>
          <w:sz w:val="26"/>
          <w:szCs w:val="26"/>
        </w:rPr>
        <w:t>Final Rulemaking Order represents significant changes to the originally proposed</w:t>
      </w:r>
      <w:r w:rsidR="006254E4">
        <w:rPr>
          <w:rFonts w:ascii="Times New Roman" w:eastAsia="Times New Roman" w:hAnsi="Times New Roman" w:cs="Times New Roman"/>
          <w:sz w:val="26"/>
          <w:szCs w:val="26"/>
        </w:rPr>
        <w:t xml:space="preserve"> rulemaking</w:t>
      </w:r>
      <w:r w:rsidR="001E2562" w:rsidRPr="001E2562">
        <w:rPr>
          <w:rFonts w:ascii="Times New Roman" w:eastAsia="Times New Roman" w:hAnsi="Times New Roman" w:cs="Times New Roman"/>
          <w:sz w:val="26"/>
          <w:szCs w:val="26"/>
        </w:rPr>
        <w:t>.  We made changes in response to the issues and resolutions raised in comments</w:t>
      </w:r>
      <w:r w:rsidR="00987D5C">
        <w:rPr>
          <w:rFonts w:ascii="Times New Roman" w:eastAsia="Times New Roman" w:hAnsi="Times New Roman" w:cs="Times New Roman"/>
          <w:sz w:val="26"/>
          <w:szCs w:val="26"/>
        </w:rPr>
        <w:t xml:space="preserve"> filed</w:t>
      </w:r>
      <w:r w:rsidR="001E2562" w:rsidRPr="001E2562">
        <w:rPr>
          <w:rFonts w:ascii="Times New Roman" w:eastAsia="Times New Roman" w:hAnsi="Times New Roman" w:cs="Times New Roman"/>
          <w:sz w:val="26"/>
          <w:szCs w:val="26"/>
        </w:rPr>
        <w:t xml:space="preserve"> by IRRC, consumer advocates and industry participants.  We found merit with many of the comments and have made the</w:t>
      </w:r>
      <w:r w:rsidR="001E2562" w:rsidRPr="00C45097">
        <w:rPr>
          <w:rFonts w:ascii="Times New Roman" w:eastAsia="Times New Roman" w:hAnsi="Times New Roman" w:cs="Times New Roman"/>
          <w:sz w:val="26"/>
          <w:szCs w:val="26"/>
        </w:rPr>
        <w:t xml:space="preserve"> necessary changes.  </w:t>
      </w:r>
      <w:r w:rsidR="00C45097">
        <w:rPr>
          <w:rFonts w:ascii="Times New Roman" w:eastAsia="Times New Roman" w:hAnsi="Times New Roman" w:cs="Times New Roman"/>
          <w:sz w:val="26"/>
          <w:szCs w:val="26"/>
        </w:rPr>
        <w:t xml:space="preserve">The comments and our resolution of the issues </w:t>
      </w:r>
      <w:r w:rsidR="000C0506">
        <w:rPr>
          <w:rFonts w:ascii="Times New Roman" w:eastAsia="Times New Roman" w:hAnsi="Times New Roman" w:cs="Times New Roman"/>
          <w:sz w:val="26"/>
          <w:szCs w:val="26"/>
        </w:rPr>
        <w:t>are</w:t>
      </w:r>
      <w:r w:rsidR="00C45097">
        <w:rPr>
          <w:rFonts w:ascii="Times New Roman" w:eastAsia="Times New Roman" w:hAnsi="Times New Roman" w:cs="Times New Roman"/>
          <w:sz w:val="26"/>
          <w:szCs w:val="26"/>
        </w:rPr>
        <w:t xml:space="preserve"> discussed in detail in Attachment One. </w:t>
      </w:r>
    </w:p>
    <w:p w:rsidR="00C45097" w:rsidRDefault="00C45097" w:rsidP="00C04157">
      <w:pPr>
        <w:autoSpaceDE w:val="0"/>
        <w:autoSpaceDN w:val="0"/>
        <w:adjustRightInd w:val="0"/>
        <w:spacing w:after="0" w:line="360" w:lineRule="auto"/>
        <w:ind w:firstLine="720"/>
        <w:rPr>
          <w:rFonts w:ascii="Times New Roman" w:eastAsia="Times New Roman" w:hAnsi="Times New Roman" w:cs="Times New Roman"/>
          <w:sz w:val="26"/>
          <w:szCs w:val="26"/>
        </w:rPr>
      </w:pPr>
    </w:p>
    <w:p w:rsidR="001E2562" w:rsidRPr="001E2562" w:rsidRDefault="00C45097" w:rsidP="00C04157">
      <w:pPr>
        <w:autoSpaceDE w:val="0"/>
        <w:autoSpaceDN w:val="0"/>
        <w:adjustRightInd w:val="0"/>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Accordingly, t</w:t>
      </w:r>
      <w:r w:rsidR="001E2562" w:rsidRPr="001E2562">
        <w:rPr>
          <w:rFonts w:ascii="Times New Roman" w:eastAsia="Times New Roman" w:hAnsi="Times New Roman" w:cs="Times New Roman"/>
          <w:sz w:val="26"/>
          <w:szCs w:val="26"/>
        </w:rPr>
        <w:t>he Commission</w:t>
      </w:r>
      <w:r w:rsidR="006254E4">
        <w:rPr>
          <w:rFonts w:ascii="Times New Roman" w:eastAsia="Times New Roman" w:hAnsi="Times New Roman" w:cs="Times New Roman"/>
          <w:sz w:val="26"/>
          <w:szCs w:val="26"/>
        </w:rPr>
        <w:t>’s</w:t>
      </w:r>
      <w:r w:rsidR="001E2562" w:rsidRPr="001E2562">
        <w:rPr>
          <w:rFonts w:ascii="Times New Roman" w:eastAsia="Times New Roman" w:hAnsi="Times New Roman" w:cs="Times New Roman"/>
          <w:sz w:val="26"/>
          <w:szCs w:val="26"/>
        </w:rPr>
        <w:t xml:space="preserve"> implementation of Chapter 14</w:t>
      </w:r>
      <w:r w:rsidR="006254E4">
        <w:rPr>
          <w:rFonts w:ascii="Times New Roman" w:eastAsia="Times New Roman" w:hAnsi="Times New Roman" w:cs="Times New Roman"/>
          <w:sz w:val="26"/>
          <w:szCs w:val="26"/>
        </w:rPr>
        <w:t>,</w:t>
      </w:r>
      <w:r w:rsidR="001E2562" w:rsidRPr="001E2562">
        <w:rPr>
          <w:rFonts w:ascii="Times New Roman" w:eastAsia="Times New Roman" w:hAnsi="Times New Roman" w:cs="Times New Roman"/>
          <w:sz w:val="26"/>
          <w:szCs w:val="26"/>
        </w:rPr>
        <w:t xml:space="preserve"> amending Chapter 56 regulations</w:t>
      </w:r>
      <w:r w:rsidR="006254E4">
        <w:rPr>
          <w:rFonts w:ascii="Times New Roman" w:eastAsia="Times New Roman" w:hAnsi="Times New Roman" w:cs="Times New Roman"/>
          <w:sz w:val="26"/>
          <w:szCs w:val="26"/>
        </w:rPr>
        <w:t xml:space="preserve"> in compliance </w:t>
      </w:r>
      <w:r w:rsidR="001E2562" w:rsidRPr="001E2562">
        <w:rPr>
          <w:rFonts w:ascii="Times New Roman" w:eastAsia="Times New Roman" w:hAnsi="Times New Roman" w:cs="Times New Roman"/>
          <w:sz w:val="26"/>
          <w:szCs w:val="26"/>
        </w:rPr>
        <w:t>with the statute</w:t>
      </w:r>
      <w:r w:rsidR="006254E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C45097">
        <w:rPr>
          <w:rFonts w:ascii="Times New Roman" w:eastAsia="Times New Roman" w:hAnsi="Times New Roman" w:cs="Times New Roman"/>
          <w:sz w:val="26"/>
          <w:szCs w:val="26"/>
        </w:rPr>
        <w:t xml:space="preserve">establishes uniform, fair and equitable residential public utility service standards governing eligibility criteria, credit and deposit practices, and account billing, termination and customer complaint procedures. </w:t>
      </w:r>
      <w:r>
        <w:rPr>
          <w:rFonts w:ascii="Times New Roman" w:eastAsia="Times New Roman" w:hAnsi="Times New Roman" w:cs="Times New Roman"/>
          <w:sz w:val="26"/>
          <w:szCs w:val="26"/>
        </w:rPr>
        <w:t>C</w:t>
      </w:r>
      <w:r w:rsidRPr="00C45097">
        <w:rPr>
          <w:rFonts w:ascii="Times New Roman" w:eastAsia="Times New Roman" w:hAnsi="Times New Roman" w:cs="Times New Roman"/>
          <w:sz w:val="26"/>
          <w:szCs w:val="26"/>
        </w:rPr>
        <w:t xml:space="preserve">hapter </w:t>
      </w:r>
      <w:r>
        <w:rPr>
          <w:rFonts w:ascii="Times New Roman" w:eastAsia="Times New Roman" w:hAnsi="Times New Roman" w:cs="Times New Roman"/>
          <w:sz w:val="26"/>
          <w:szCs w:val="26"/>
        </w:rPr>
        <w:t xml:space="preserve">56 </w:t>
      </w:r>
      <w:r w:rsidRPr="00C45097">
        <w:rPr>
          <w:rFonts w:ascii="Times New Roman" w:eastAsia="Times New Roman" w:hAnsi="Times New Roman" w:cs="Times New Roman"/>
          <w:sz w:val="26"/>
          <w:szCs w:val="26"/>
        </w:rPr>
        <w:t xml:space="preserve">assures adequate provision of residential public utility service, to restrict unreasonable termination of or refusal to provide that service and to provide functional alternatives to termination or refusal to provide that service while eliminating opportunities for customers capable of paying to avoid the timely payment of public utility bills and protecting against rate increases for timely paying customers resulting from other customers’ delinquencies. </w:t>
      </w:r>
      <w:r>
        <w:rPr>
          <w:rFonts w:ascii="Times New Roman" w:eastAsia="Times New Roman" w:hAnsi="Times New Roman" w:cs="Times New Roman"/>
          <w:sz w:val="26"/>
          <w:szCs w:val="26"/>
        </w:rPr>
        <w:t xml:space="preserve"> See 52 Pa. Code § 56.1.  </w:t>
      </w:r>
      <w:r w:rsidR="002F3137">
        <w:rPr>
          <w:rFonts w:ascii="Times New Roman" w:eastAsia="Times New Roman" w:hAnsi="Times New Roman" w:cs="Times New Roman"/>
          <w:sz w:val="26"/>
          <w:szCs w:val="26"/>
        </w:rPr>
        <w:t>As such,</w:t>
      </w:r>
      <w:r w:rsidRPr="00C45097">
        <w:rPr>
          <w:rFonts w:ascii="Times New Roman" w:eastAsia="Times New Roman" w:hAnsi="Times New Roman" w:cs="Times New Roman"/>
          <w:sz w:val="26"/>
          <w:szCs w:val="26"/>
        </w:rPr>
        <w:t xml:space="preserve"> this Final Rulemaking Order is in the public interest.  This Order, Attachment</w:t>
      </w:r>
      <w:r w:rsidR="00F731F0">
        <w:rPr>
          <w:rFonts w:ascii="Times New Roman" w:eastAsia="Times New Roman" w:hAnsi="Times New Roman" w:cs="Times New Roman"/>
          <w:sz w:val="26"/>
          <w:szCs w:val="26"/>
        </w:rPr>
        <w:t xml:space="preserve"> One</w:t>
      </w:r>
      <w:r w:rsidRPr="00C45097">
        <w:rPr>
          <w:rFonts w:ascii="Times New Roman" w:eastAsia="Times New Roman" w:hAnsi="Times New Roman" w:cs="Times New Roman"/>
          <w:sz w:val="26"/>
          <w:szCs w:val="26"/>
        </w:rPr>
        <w:t xml:space="preserve"> and Annex A will be published on the Commission’s website.</w:t>
      </w:r>
    </w:p>
    <w:p w:rsidR="00437A4C" w:rsidRPr="008239FE" w:rsidRDefault="00437A4C" w:rsidP="00C04157">
      <w:pPr>
        <w:autoSpaceDE w:val="0"/>
        <w:autoSpaceDN w:val="0"/>
        <w:adjustRightInd w:val="0"/>
        <w:spacing w:after="0" w:line="360" w:lineRule="auto"/>
        <w:ind w:firstLine="720"/>
        <w:rPr>
          <w:rFonts w:ascii="Times New Roman" w:eastAsia="Times New Roman" w:hAnsi="Times New Roman" w:cs="Times New Roman"/>
          <w:sz w:val="26"/>
          <w:szCs w:val="26"/>
        </w:rPr>
      </w:pPr>
    </w:p>
    <w:p w:rsidR="00437A4C" w:rsidRDefault="00437A4C" w:rsidP="00C04157">
      <w:pPr>
        <w:keepNext/>
        <w:keepLines/>
        <w:autoSpaceDE w:val="0"/>
        <w:autoSpaceDN w:val="0"/>
        <w:adjustRightInd w:val="0"/>
        <w:spacing w:after="0" w:line="360" w:lineRule="auto"/>
        <w:rPr>
          <w:rFonts w:ascii="Times New Roman" w:eastAsia="Times New Roman" w:hAnsi="Times New Roman" w:cs="Times New Roman"/>
          <w:b/>
          <w:sz w:val="26"/>
          <w:szCs w:val="26"/>
        </w:rPr>
      </w:pPr>
      <w:r w:rsidRPr="008239FE">
        <w:rPr>
          <w:rFonts w:ascii="Times New Roman" w:eastAsia="Times New Roman" w:hAnsi="Times New Roman" w:cs="Times New Roman"/>
          <w:sz w:val="26"/>
          <w:szCs w:val="26"/>
        </w:rPr>
        <w:lastRenderedPageBreak/>
        <w:tab/>
        <w:t xml:space="preserve">Accordingly, under Sections 501, 504, and 1401-1418 of the Public Utility Code, 66 Pa.C.S. §§ 501-504, and 1401-1418; Sections 201 and 202 of the Act of July 31, 1968, P.L. 769 No. 240, 45 P.S. 1201-1202, and the regulations promulgated thereunder at 1 Pa. Code §§ 7.1, 7.2, and 7.5; Section 204(b) of the Commonwealth Attorneys Act, 71 P.S. § 732.204 (b); Section 745.5 of the Regulatory Review Act, 71 P.S. § 745.5; and Section 612 of the Administrative Code of 1929, 71 P.S. § 232, and the regulations promulgated thereunder at 4 Pa. Code §§ 7.231-7.234, </w:t>
      </w:r>
      <w:r w:rsidR="00A62640" w:rsidRPr="00A62640">
        <w:rPr>
          <w:rFonts w:ascii="Times New Roman" w:eastAsia="Times New Roman" w:hAnsi="Times New Roman" w:cs="Times New Roman"/>
          <w:sz w:val="26"/>
          <w:szCs w:val="26"/>
          <w:lang w:bidi="en-US"/>
        </w:rPr>
        <w:t>we seek to finalize the regulations set forth in Annex A, attached hereto;</w:t>
      </w:r>
      <w:r w:rsidRPr="008239FE">
        <w:rPr>
          <w:rFonts w:ascii="Times New Roman" w:eastAsia="Times New Roman" w:hAnsi="Times New Roman" w:cs="Times New Roman"/>
          <w:sz w:val="26"/>
          <w:szCs w:val="26"/>
        </w:rPr>
        <w:t xml:space="preserve"> </w:t>
      </w:r>
      <w:r w:rsidRPr="008239FE">
        <w:rPr>
          <w:rFonts w:ascii="Times New Roman" w:eastAsia="Times New Roman" w:hAnsi="Times New Roman" w:cs="Times New Roman"/>
          <w:b/>
          <w:sz w:val="26"/>
          <w:szCs w:val="26"/>
        </w:rPr>
        <w:t>THEREFORE,</w:t>
      </w:r>
    </w:p>
    <w:p w:rsidR="00CB7ECA" w:rsidRPr="008239FE" w:rsidRDefault="00CB7ECA" w:rsidP="00C04157">
      <w:pPr>
        <w:autoSpaceDE w:val="0"/>
        <w:autoSpaceDN w:val="0"/>
        <w:adjustRightInd w:val="0"/>
        <w:spacing w:after="0" w:line="360" w:lineRule="auto"/>
        <w:rPr>
          <w:rFonts w:ascii="Times New Roman" w:eastAsia="Times New Roman" w:hAnsi="Times New Roman" w:cs="Times New Roman"/>
          <w:b/>
          <w:sz w:val="26"/>
          <w:szCs w:val="26"/>
        </w:rPr>
      </w:pPr>
    </w:p>
    <w:p w:rsidR="00437A4C" w:rsidRPr="008239FE" w:rsidRDefault="00437A4C" w:rsidP="00C04157">
      <w:pPr>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8239FE">
        <w:rPr>
          <w:rFonts w:ascii="Times New Roman" w:eastAsia="Times New Roman" w:hAnsi="Times New Roman" w:cs="Times New Roman"/>
          <w:b/>
          <w:bCs/>
          <w:sz w:val="26"/>
          <w:szCs w:val="26"/>
        </w:rPr>
        <w:tab/>
        <w:t>IT IS ORDERED:</w:t>
      </w:r>
      <w:r w:rsidR="00FC19F0">
        <w:rPr>
          <w:rFonts w:ascii="Times New Roman" w:eastAsia="Times New Roman" w:hAnsi="Times New Roman" w:cs="Times New Roman"/>
          <w:b/>
          <w:bCs/>
          <w:sz w:val="26"/>
          <w:szCs w:val="26"/>
        </w:rPr>
        <w:t xml:space="preserve">  </w:t>
      </w:r>
    </w:p>
    <w:p w:rsidR="00EF7370" w:rsidRDefault="00EF7370" w:rsidP="00C04157">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rsidR="00EF7370" w:rsidRDefault="00EF7370"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r w:rsidRPr="00EF7370">
        <w:rPr>
          <w:rFonts w:ascii="Times New Roman" w:eastAsia="Times New Roman" w:hAnsi="Times New Roman" w:cs="Times New Roman"/>
          <w:bCs/>
          <w:sz w:val="26"/>
          <w:szCs w:val="26"/>
        </w:rPr>
        <w:t>1.</w:t>
      </w:r>
      <w:r w:rsidR="002E440A">
        <w:rPr>
          <w:rFonts w:ascii="Times New Roman" w:eastAsia="Times New Roman" w:hAnsi="Times New Roman" w:cs="Times New Roman"/>
          <w:bCs/>
          <w:sz w:val="26"/>
          <w:szCs w:val="26"/>
        </w:rPr>
        <w:tab/>
      </w:r>
      <w:r w:rsidRPr="00EF7370">
        <w:rPr>
          <w:rFonts w:ascii="Times New Roman" w:eastAsia="Times New Roman" w:hAnsi="Times New Roman" w:cs="Times New Roman"/>
          <w:bCs/>
          <w:sz w:val="26"/>
          <w:szCs w:val="26"/>
        </w:rPr>
        <w:t>That the Commission hereby adopts the revised final regulations set forth in Annex A.</w:t>
      </w:r>
    </w:p>
    <w:p w:rsidR="002E440A" w:rsidRDefault="002E440A"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rsidR="00EF7370" w:rsidRDefault="00EF7370"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r w:rsidRPr="00EF7370">
        <w:rPr>
          <w:rFonts w:ascii="Times New Roman" w:eastAsia="Times New Roman" w:hAnsi="Times New Roman" w:cs="Times New Roman"/>
          <w:bCs/>
          <w:sz w:val="26"/>
          <w:szCs w:val="26"/>
        </w:rPr>
        <w:t xml:space="preserve">2.  </w:t>
      </w:r>
      <w:r w:rsidR="002E440A">
        <w:rPr>
          <w:rFonts w:ascii="Times New Roman" w:eastAsia="Times New Roman" w:hAnsi="Times New Roman" w:cs="Times New Roman"/>
          <w:bCs/>
          <w:sz w:val="26"/>
          <w:szCs w:val="26"/>
        </w:rPr>
        <w:tab/>
      </w:r>
      <w:r w:rsidRPr="00EF7370">
        <w:rPr>
          <w:rFonts w:ascii="Times New Roman" w:eastAsia="Times New Roman" w:hAnsi="Times New Roman" w:cs="Times New Roman"/>
          <w:bCs/>
          <w:sz w:val="26"/>
          <w:szCs w:val="26"/>
        </w:rPr>
        <w:t xml:space="preserve">That the </w:t>
      </w:r>
      <w:r w:rsidR="00F731F0">
        <w:rPr>
          <w:rFonts w:ascii="Times New Roman" w:eastAsia="Times New Roman" w:hAnsi="Times New Roman" w:cs="Times New Roman"/>
          <w:bCs/>
          <w:sz w:val="26"/>
          <w:szCs w:val="26"/>
        </w:rPr>
        <w:t>Law Bureau</w:t>
      </w:r>
      <w:r w:rsidR="00F731F0" w:rsidRPr="00EF7370">
        <w:rPr>
          <w:rFonts w:ascii="Times New Roman" w:eastAsia="Times New Roman" w:hAnsi="Times New Roman" w:cs="Times New Roman"/>
          <w:bCs/>
          <w:sz w:val="26"/>
          <w:szCs w:val="26"/>
        </w:rPr>
        <w:t xml:space="preserve"> </w:t>
      </w:r>
      <w:r w:rsidRPr="00EF7370">
        <w:rPr>
          <w:rFonts w:ascii="Times New Roman" w:eastAsia="Times New Roman" w:hAnsi="Times New Roman" w:cs="Times New Roman"/>
          <w:bCs/>
          <w:sz w:val="26"/>
          <w:szCs w:val="26"/>
        </w:rPr>
        <w:t>shall submit this Order, Attachment One and Annex A to the Office of Attorney General for review as to form and legality and to the Governor’s Budget Office for review for fiscal impact.</w:t>
      </w:r>
    </w:p>
    <w:p w:rsidR="002E440A" w:rsidRDefault="002E440A"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rsidR="00EF7370" w:rsidRDefault="00EF7370"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3.  </w:t>
      </w:r>
      <w:r w:rsidR="002E440A">
        <w:rPr>
          <w:rFonts w:ascii="Times New Roman" w:eastAsia="Times New Roman" w:hAnsi="Times New Roman" w:cs="Times New Roman"/>
          <w:bCs/>
          <w:sz w:val="26"/>
          <w:szCs w:val="26"/>
        </w:rPr>
        <w:tab/>
      </w:r>
      <w:r w:rsidRPr="00EF7370">
        <w:rPr>
          <w:rFonts w:ascii="Times New Roman" w:eastAsia="Times New Roman" w:hAnsi="Times New Roman" w:cs="Times New Roman"/>
          <w:bCs/>
          <w:sz w:val="26"/>
          <w:szCs w:val="26"/>
        </w:rPr>
        <w:t xml:space="preserve">That the </w:t>
      </w:r>
      <w:r w:rsidR="00F731F0">
        <w:rPr>
          <w:rFonts w:ascii="Times New Roman" w:eastAsia="Times New Roman" w:hAnsi="Times New Roman" w:cs="Times New Roman"/>
          <w:bCs/>
          <w:sz w:val="26"/>
          <w:szCs w:val="26"/>
        </w:rPr>
        <w:t>Law Bureau</w:t>
      </w:r>
      <w:r w:rsidR="00F731F0" w:rsidRPr="00EF7370">
        <w:rPr>
          <w:rFonts w:ascii="Times New Roman" w:eastAsia="Times New Roman" w:hAnsi="Times New Roman" w:cs="Times New Roman"/>
          <w:bCs/>
          <w:sz w:val="26"/>
          <w:szCs w:val="26"/>
        </w:rPr>
        <w:t xml:space="preserve"> </w:t>
      </w:r>
      <w:r w:rsidRPr="00EF7370">
        <w:rPr>
          <w:rFonts w:ascii="Times New Roman" w:eastAsia="Times New Roman" w:hAnsi="Times New Roman" w:cs="Times New Roman"/>
          <w:bCs/>
          <w:sz w:val="26"/>
          <w:szCs w:val="26"/>
        </w:rPr>
        <w:t>shall submit this Order, Attachment</w:t>
      </w:r>
      <w:r w:rsidR="000C0506">
        <w:rPr>
          <w:rFonts w:ascii="Times New Roman" w:eastAsia="Times New Roman" w:hAnsi="Times New Roman" w:cs="Times New Roman"/>
          <w:bCs/>
          <w:sz w:val="26"/>
          <w:szCs w:val="26"/>
        </w:rPr>
        <w:t xml:space="preserve"> One</w:t>
      </w:r>
      <w:r w:rsidRPr="00EF7370">
        <w:rPr>
          <w:rFonts w:ascii="Times New Roman" w:eastAsia="Times New Roman" w:hAnsi="Times New Roman" w:cs="Times New Roman"/>
          <w:bCs/>
          <w:sz w:val="26"/>
          <w:szCs w:val="26"/>
        </w:rPr>
        <w:t xml:space="preserve"> and Annex A for review by the Legislative Standing Committees, and for review and approval by </w:t>
      </w:r>
      <w:r w:rsidR="001159B2" w:rsidRPr="00EF7370">
        <w:rPr>
          <w:rFonts w:ascii="Times New Roman" w:eastAsia="Times New Roman" w:hAnsi="Times New Roman" w:cs="Times New Roman"/>
          <w:bCs/>
          <w:sz w:val="26"/>
          <w:szCs w:val="26"/>
        </w:rPr>
        <w:t>the Independent</w:t>
      </w:r>
      <w:r w:rsidRPr="00EF7370">
        <w:rPr>
          <w:rFonts w:ascii="Times New Roman" w:eastAsia="Times New Roman" w:hAnsi="Times New Roman" w:cs="Times New Roman"/>
          <w:bCs/>
          <w:sz w:val="26"/>
          <w:szCs w:val="26"/>
        </w:rPr>
        <w:t xml:space="preserve"> Regulatory Review Commission.</w:t>
      </w:r>
      <w:r>
        <w:rPr>
          <w:rFonts w:ascii="Times New Roman" w:eastAsia="Times New Roman" w:hAnsi="Times New Roman" w:cs="Times New Roman"/>
          <w:bCs/>
          <w:sz w:val="26"/>
          <w:szCs w:val="26"/>
        </w:rPr>
        <w:t xml:space="preserve"> </w:t>
      </w:r>
    </w:p>
    <w:p w:rsidR="002E440A" w:rsidRDefault="002E440A"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rsidR="00EF7370" w:rsidRDefault="00EF7370"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w:t>
      </w:r>
      <w:r w:rsidRPr="00EF737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002E440A">
        <w:rPr>
          <w:rFonts w:ascii="Times New Roman" w:eastAsia="Times New Roman" w:hAnsi="Times New Roman" w:cs="Times New Roman"/>
          <w:bCs/>
          <w:sz w:val="26"/>
          <w:szCs w:val="26"/>
        </w:rPr>
        <w:tab/>
      </w:r>
      <w:r w:rsidRPr="00EF7370">
        <w:rPr>
          <w:rFonts w:ascii="Times New Roman" w:eastAsia="Times New Roman" w:hAnsi="Times New Roman" w:cs="Times New Roman"/>
          <w:bCs/>
          <w:sz w:val="26"/>
          <w:szCs w:val="26"/>
        </w:rPr>
        <w:t xml:space="preserve">That the </w:t>
      </w:r>
      <w:r w:rsidR="00F731F0">
        <w:rPr>
          <w:rFonts w:ascii="Times New Roman" w:eastAsia="Times New Roman" w:hAnsi="Times New Roman" w:cs="Times New Roman"/>
          <w:bCs/>
          <w:sz w:val="26"/>
          <w:szCs w:val="26"/>
        </w:rPr>
        <w:t>Law Bureau</w:t>
      </w:r>
      <w:r w:rsidR="00F731F0" w:rsidRPr="00EF7370">
        <w:rPr>
          <w:rFonts w:ascii="Times New Roman" w:eastAsia="Times New Roman" w:hAnsi="Times New Roman" w:cs="Times New Roman"/>
          <w:bCs/>
          <w:sz w:val="26"/>
          <w:szCs w:val="26"/>
        </w:rPr>
        <w:t xml:space="preserve"> </w:t>
      </w:r>
      <w:r w:rsidRPr="00EF7370">
        <w:rPr>
          <w:rFonts w:ascii="Times New Roman" w:eastAsia="Times New Roman" w:hAnsi="Times New Roman" w:cs="Times New Roman"/>
          <w:bCs/>
          <w:sz w:val="26"/>
          <w:szCs w:val="26"/>
        </w:rPr>
        <w:t xml:space="preserve">shall </w:t>
      </w:r>
      <w:r w:rsidR="00F731F0">
        <w:rPr>
          <w:rFonts w:ascii="Times New Roman" w:eastAsia="Times New Roman" w:hAnsi="Times New Roman" w:cs="Times New Roman"/>
          <w:bCs/>
          <w:sz w:val="26"/>
          <w:szCs w:val="26"/>
        </w:rPr>
        <w:t>deposit</w:t>
      </w:r>
      <w:r w:rsidR="00F731F0" w:rsidRPr="00EF7370">
        <w:rPr>
          <w:rFonts w:ascii="Times New Roman" w:eastAsia="Times New Roman" w:hAnsi="Times New Roman" w:cs="Times New Roman"/>
          <w:bCs/>
          <w:sz w:val="26"/>
          <w:szCs w:val="26"/>
        </w:rPr>
        <w:t xml:space="preserve"> </w:t>
      </w:r>
      <w:r w:rsidRPr="00EF7370">
        <w:rPr>
          <w:rFonts w:ascii="Times New Roman" w:eastAsia="Times New Roman" w:hAnsi="Times New Roman" w:cs="Times New Roman"/>
          <w:bCs/>
          <w:sz w:val="26"/>
          <w:szCs w:val="26"/>
        </w:rPr>
        <w:t xml:space="preserve">this Order, </w:t>
      </w:r>
      <w:r w:rsidR="000C0506">
        <w:rPr>
          <w:rFonts w:ascii="Times New Roman" w:eastAsia="Times New Roman" w:hAnsi="Times New Roman" w:cs="Times New Roman"/>
          <w:bCs/>
          <w:sz w:val="26"/>
          <w:szCs w:val="26"/>
        </w:rPr>
        <w:t>Attachment One</w:t>
      </w:r>
      <w:r w:rsidR="00F731F0">
        <w:rPr>
          <w:rFonts w:ascii="Times New Roman" w:eastAsia="Times New Roman" w:hAnsi="Times New Roman" w:cs="Times New Roman"/>
          <w:bCs/>
          <w:sz w:val="26"/>
          <w:szCs w:val="26"/>
        </w:rPr>
        <w:t xml:space="preserve"> and</w:t>
      </w:r>
      <w:r w:rsidRPr="00EF7370">
        <w:rPr>
          <w:rFonts w:ascii="Times New Roman" w:eastAsia="Times New Roman" w:hAnsi="Times New Roman" w:cs="Times New Roman"/>
          <w:bCs/>
          <w:sz w:val="26"/>
          <w:szCs w:val="26"/>
        </w:rPr>
        <w:t xml:space="preserve"> Annex A</w:t>
      </w:r>
      <w:r w:rsidR="00F731F0">
        <w:rPr>
          <w:rFonts w:ascii="Times New Roman" w:eastAsia="Times New Roman" w:hAnsi="Times New Roman" w:cs="Times New Roman"/>
          <w:bCs/>
          <w:sz w:val="26"/>
          <w:szCs w:val="26"/>
        </w:rPr>
        <w:t xml:space="preserve"> </w:t>
      </w:r>
      <w:r w:rsidRPr="00EF7370">
        <w:rPr>
          <w:rFonts w:ascii="Times New Roman" w:eastAsia="Times New Roman" w:hAnsi="Times New Roman" w:cs="Times New Roman"/>
          <w:bCs/>
          <w:sz w:val="26"/>
          <w:szCs w:val="26"/>
        </w:rPr>
        <w:t xml:space="preserve">with the Legislative Reference Bureau to be published in the </w:t>
      </w:r>
      <w:r w:rsidRPr="00EF7370">
        <w:rPr>
          <w:rFonts w:ascii="Times New Roman" w:eastAsia="Times New Roman" w:hAnsi="Times New Roman" w:cs="Times New Roman"/>
          <w:bCs/>
          <w:i/>
          <w:sz w:val="26"/>
          <w:szCs w:val="26"/>
        </w:rPr>
        <w:t>Pennsylvania Bulletin</w:t>
      </w:r>
      <w:r w:rsidRPr="00EF7370">
        <w:rPr>
          <w:rFonts w:ascii="Times New Roman" w:eastAsia="Times New Roman" w:hAnsi="Times New Roman" w:cs="Times New Roman"/>
          <w:bCs/>
          <w:sz w:val="26"/>
          <w:szCs w:val="26"/>
        </w:rPr>
        <w:t xml:space="preserve">.  </w:t>
      </w:r>
    </w:p>
    <w:p w:rsidR="002E440A" w:rsidRDefault="002E440A"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rsidR="00EF7370" w:rsidRDefault="00EF7370"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5</w:t>
      </w:r>
      <w:r w:rsidRPr="00EF737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002E440A">
        <w:rPr>
          <w:rFonts w:ascii="Times New Roman" w:eastAsia="Times New Roman" w:hAnsi="Times New Roman" w:cs="Times New Roman"/>
          <w:bCs/>
          <w:sz w:val="26"/>
          <w:szCs w:val="26"/>
        </w:rPr>
        <w:tab/>
      </w:r>
      <w:r w:rsidRPr="00EF7370">
        <w:rPr>
          <w:rFonts w:ascii="Times New Roman" w:eastAsia="Times New Roman" w:hAnsi="Times New Roman" w:cs="Times New Roman"/>
          <w:bCs/>
          <w:sz w:val="26"/>
          <w:szCs w:val="26"/>
        </w:rPr>
        <w:t xml:space="preserve">That the regulations embodied in Annex A shall become effective upon publication in the </w:t>
      </w:r>
      <w:r w:rsidRPr="00EF7370">
        <w:rPr>
          <w:rFonts w:ascii="Times New Roman" w:eastAsia="Times New Roman" w:hAnsi="Times New Roman" w:cs="Times New Roman"/>
          <w:bCs/>
          <w:i/>
          <w:sz w:val="26"/>
          <w:szCs w:val="26"/>
        </w:rPr>
        <w:t>Pennsylvania Bulletin</w:t>
      </w:r>
      <w:r w:rsidRPr="00EF737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p>
    <w:p w:rsidR="002E440A" w:rsidRDefault="002E440A"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rsidR="00EF7370" w:rsidRDefault="00EF7370"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xml:space="preserve">6.  </w:t>
      </w:r>
      <w:r w:rsidR="002E440A">
        <w:rPr>
          <w:rFonts w:ascii="Times New Roman" w:eastAsia="Times New Roman" w:hAnsi="Times New Roman" w:cs="Times New Roman"/>
          <w:bCs/>
          <w:sz w:val="26"/>
          <w:szCs w:val="26"/>
        </w:rPr>
        <w:tab/>
      </w:r>
      <w:r w:rsidRPr="00EF7370">
        <w:rPr>
          <w:rFonts w:ascii="Times New Roman" w:eastAsia="Times New Roman" w:hAnsi="Times New Roman" w:cs="Times New Roman"/>
          <w:bCs/>
          <w:sz w:val="26"/>
          <w:szCs w:val="26"/>
        </w:rPr>
        <w:t>That the Secretary shall serve this Order upon all jurisdictional electric utilities, natural gas utilities, steam, water, and wastewater utilities, electric generation suppliers, natural gas suppliers, the Office of Consumer Advocate, the Office of Small Business Advocate, and all parties that submitted comments at this Docket.  The Order, Attachment</w:t>
      </w:r>
      <w:r w:rsidR="000C0506">
        <w:rPr>
          <w:rFonts w:ascii="Times New Roman" w:eastAsia="Times New Roman" w:hAnsi="Times New Roman" w:cs="Times New Roman"/>
          <w:bCs/>
          <w:sz w:val="26"/>
          <w:szCs w:val="26"/>
        </w:rPr>
        <w:t xml:space="preserve"> One</w:t>
      </w:r>
      <w:r w:rsidRPr="00EF7370">
        <w:rPr>
          <w:rFonts w:ascii="Times New Roman" w:eastAsia="Times New Roman" w:hAnsi="Times New Roman" w:cs="Times New Roman"/>
          <w:bCs/>
          <w:sz w:val="26"/>
          <w:szCs w:val="26"/>
        </w:rPr>
        <w:t xml:space="preserve"> and Annex A shall be posted and made available electronically on the Commission’s website.</w:t>
      </w:r>
    </w:p>
    <w:p w:rsidR="002E440A" w:rsidRDefault="002E440A"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rsidR="008D760C" w:rsidRPr="008239FE" w:rsidRDefault="008D760C" w:rsidP="002E440A">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EF7370">
        <w:rPr>
          <w:rFonts w:ascii="Times New Roman" w:eastAsia="Times New Roman" w:hAnsi="Times New Roman" w:cs="Times New Roman"/>
          <w:sz w:val="26"/>
          <w:szCs w:val="26"/>
        </w:rPr>
        <w:t xml:space="preserve">  </w:t>
      </w:r>
      <w:r w:rsidR="002E440A">
        <w:rPr>
          <w:rFonts w:ascii="Times New Roman" w:eastAsia="Times New Roman" w:hAnsi="Times New Roman" w:cs="Times New Roman"/>
          <w:sz w:val="26"/>
          <w:szCs w:val="26"/>
        </w:rPr>
        <w:tab/>
      </w:r>
      <w:r w:rsidRPr="008239FE">
        <w:rPr>
          <w:rFonts w:ascii="Times New Roman" w:eastAsia="Times New Roman" w:hAnsi="Times New Roman" w:cs="Times New Roman"/>
          <w:sz w:val="26"/>
          <w:szCs w:val="26"/>
        </w:rPr>
        <w:t xml:space="preserve">The contact persons for this matter are </w:t>
      </w:r>
      <w:r>
        <w:rPr>
          <w:rFonts w:ascii="Times New Roman" w:eastAsia="Times New Roman" w:hAnsi="Times New Roman" w:cs="Times New Roman"/>
          <w:sz w:val="26"/>
          <w:szCs w:val="26"/>
        </w:rPr>
        <w:t>Matthew Hrivnak</w:t>
      </w:r>
      <w:r w:rsidRPr="008239FE">
        <w:rPr>
          <w:rFonts w:ascii="Times New Roman" w:eastAsia="Times New Roman" w:hAnsi="Times New Roman" w:cs="Times New Roman"/>
          <w:sz w:val="26"/>
          <w:szCs w:val="26"/>
        </w:rPr>
        <w:t xml:space="preserve"> in the Bureau of Consumer Services (717) 7</w:t>
      </w:r>
      <w:r>
        <w:rPr>
          <w:rFonts w:ascii="Times New Roman" w:eastAsia="Times New Roman" w:hAnsi="Times New Roman" w:cs="Times New Roman"/>
          <w:sz w:val="26"/>
          <w:szCs w:val="26"/>
        </w:rPr>
        <w:t>83-1678</w:t>
      </w:r>
      <w:r w:rsidRPr="008239FE">
        <w:rPr>
          <w:rFonts w:ascii="Times New Roman" w:eastAsia="Times New Roman" w:hAnsi="Times New Roman" w:cs="Times New Roman"/>
          <w:sz w:val="26"/>
          <w:szCs w:val="26"/>
        </w:rPr>
        <w:t xml:space="preserve">, </w:t>
      </w:r>
      <w:r w:rsidR="00270BAB" w:rsidRPr="008239FE">
        <w:rPr>
          <w:rFonts w:ascii="Times New Roman" w:eastAsia="Times New Roman" w:hAnsi="Times New Roman" w:cs="Times New Roman"/>
          <w:sz w:val="26"/>
          <w:szCs w:val="26"/>
        </w:rPr>
        <w:t xml:space="preserve">Daniel Mumford in the </w:t>
      </w:r>
      <w:r w:rsidR="00270BAB">
        <w:rPr>
          <w:rFonts w:ascii="Times New Roman" w:eastAsia="Times New Roman" w:hAnsi="Times New Roman" w:cs="Times New Roman"/>
          <w:sz w:val="26"/>
          <w:szCs w:val="26"/>
        </w:rPr>
        <w:t>Office</w:t>
      </w:r>
      <w:r w:rsidR="00270BAB" w:rsidRPr="008239FE">
        <w:rPr>
          <w:rFonts w:ascii="Times New Roman" w:eastAsia="Times New Roman" w:hAnsi="Times New Roman" w:cs="Times New Roman"/>
          <w:sz w:val="26"/>
          <w:szCs w:val="26"/>
        </w:rPr>
        <w:t xml:space="preserve"> of </w:t>
      </w:r>
      <w:r w:rsidR="00270BAB">
        <w:rPr>
          <w:rFonts w:ascii="Times New Roman" w:eastAsia="Times New Roman" w:hAnsi="Times New Roman" w:cs="Times New Roman"/>
          <w:sz w:val="26"/>
          <w:szCs w:val="26"/>
        </w:rPr>
        <w:t>Competitive Market Oversight</w:t>
      </w:r>
      <w:r w:rsidR="00270BAB" w:rsidRPr="008239FE">
        <w:rPr>
          <w:rFonts w:ascii="Times New Roman" w:eastAsia="Times New Roman" w:hAnsi="Times New Roman" w:cs="Times New Roman"/>
          <w:sz w:val="26"/>
          <w:szCs w:val="26"/>
        </w:rPr>
        <w:t xml:space="preserve"> (717) 783-1</w:t>
      </w:r>
      <w:r w:rsidR="00270BAB">
        <w:rPr>
          <w:rFonts w:ascii="Times New Roman" w:eastAsia="Times New Roman" w:hAnsi="Times New Roman" w:cs="Times New Roman"/>
          <w:sz w:val="26"/>
          <w:szCs w:val="26"/>
        </w:rPr>
        <w:t xml:space="preserve">957, </w:t>
      </w:r>
      <w:r w:rsidRPr="008239FE">
        <w:rPr>
          <w:rFonts w:ascii="Times New Roman" w:eastAsia="Times New Roman" w:hAnsi="Times New Roman" w:cs="Times New Roman"/>
          <w:sz w:val="26"/>
          <w:szCs w:val="26"/>
        </w:rPr>
        <w:t xml:space="preserve">and Patricia T. Wiedt in the Law Bureau </w:t>
      </w:r>
      <w:r>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717)</w:t>
      </w:r>
      <w:r w:rsidR="005E787C">
        <w:rPr>
          <w:rFonts w:ascii="Times New Roman" w:eastAsia="Times New Roman" w:hAnsi="Times New Roman" w:cs="Times New Roman"/>
          <w:sz w:val="26"/>
          <w:szCs w:val="26"/>
        </w:rPr>
        <w:t> </w:t>
      </w:r>
      <w:r w:rsidRPr="008239FE">
        <w:rPr>
          <w:rFonts w:ascii="Times New Roman" w:eastAsia="Times New Roman" w:hAnsi="Times New Roman" w:cs="Times New Roman"/>
          <w:sz w:val="26"/>
          <w:szCs w:val="26"/>
        </w:rPr>
        <w:t>787</w:t>
      </w:r>
      <w:r w:rsidR="005E787C">
        <w:rPr>
          <w:rFonts w:ascii="Times New Roman" w:eastAsia="Times New Roman" w:hAnsi="Times New Roman" w:cs="Times New Roman"/>
          <w:sz w:val="26"/>
          <w:szCs w:val="26"/>
        </w:rPr>
        <w:t>‑</w:t>
      </w:r>
      <w:r w:rsidRPr="008239FE">
        <w:rPr>
          <w:rFonts w:ascii="Times New Roman" w:eastAsia="Times New Roman" w:hAnsi="Times New Roman" w:cs="Times New Roman"/>
          <w:sz w:val="26"/>
          <w:szCs w:val="26"/>
        </w:rPr>
        <w:t xml:space="preserve">5000.  </w:t>
      </w:r>
    </w:p>
    <w:p w:rsidR="00437A4C" w:rsidRPr="008239FE" w:rsidRDefault="00437A4C" w:rsidP="00C04157">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6"/>
          <w:szCs w:val="26"/>
        </w:rPr>
      </w:pPr>
    </w:p>
    <w:p w:rsidR="00437A4C" w:rsidRPr="008239FE" w:rsidRDefault="00370A9C" w:rsidP="00C04157">
      <w:pPr>
        <w:tabs>
          <w:tab w:val="left" w:pos="5057"/>
        </w:tabs>
        <w:autoSpaceDE w:val="0"/>
        <w:autoSpaceDN w:val="0"/>
        <w:adjustRightInd w:val="0"/>
        <w:spacing w:after="0" w:line="240" w:lineRule="auto"/>
        <w:ind w:left="5057"/>
        <w:rPr>
          <w:rFonts w:ascii="Times New Roman" w:eastAsia="Times New Roman" w:hAnsi="Times New Roman" w:cs="Times New Roman"/>
          <w:b/>
          <w:bCs/>
          <w:sz w:val="26"/>
          <w:szCs w:val="26"/>
        </w:rPr>
      </w:pPr>
      <w:r w:rsidRPr="007700C1">
        <w:rPr>
          <w:noProof/>
          <w:sz w:val="24"/>
          <w:szCs w:val="24"/>
        </w:rPr>
        <w:drawing>
          <wp:anchor distT="0" distB="0" distL="114300" distR="114300" simplePos="0" relativeHeight="251659264" behindDoc="1" locked="0" layoutInCell="1" allowOverlap="1" wp14:anchorId="48F7BE0F" wp14:editId="63431B17">
            <wp:simplePos x="0" y="0"/>
            <wp:positionH relativeFrom="column">
              <wp:posOffset>2914650</wp:posOffset>
            </wp:positionH>
            <wp:positionV relativeFrom="paragraph">
              <wp:posOffset>8255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3450" cy="838200"/>
                    </a:xfrm>
                    <a:prstGeom prst="rect">
                      <a:avLst/>
                    </a:prstGeom>
                    <a:noFill/>
                  </pic:spPr>
                </pic:pic>
              </a:graphicData>
            </a:graphic>
          </wp:anchor>
        </w:drawing>
      </w:r>
      <w:r w:rsidR="00437A4C" w:rsidRPr="008239FE">
        <w:rPr>
          <w:rFonts w:ascii="Times New Roman" w:eastAsia="Times New Roman" w:hAnsi="Times New Roman" w:cs="Times New Roman"/>
          <w:b/>
          <w:bCs/>
          <w:sz w:val="26"/>
          <w:szCs w:val="26"/>
        </w:rPr>
        <w:t>BY THE COMMISSION</w:t>
      </w:r>
    </w:p>
    <w:p w:rsidR="00437A4C" w:rsidRPr="008239FE" w:rsidRDefault="00437A4C" w:rsidP="00C04157">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Cs/>
          <w:sz w:val="26"/>
          <w:szCs w:val="26"/>
        </w:rPr>
      </w:pPr>
    </w:p>
    <w:p w:rsidR="00437A4C" w:rsidRDefault="00370A9C" w:rsidP="00C04157">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p>
    <w:p w:rsidR="00437A4C" w:rsidRPr="008239FE" w:rsidRDefault="00437A4C" w:rsidP="00C04157">
      <w:pPr>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rsidR="00437A4C" w:rsidRPr="008239FE" w:rsidRDefault="00437A4C" w:rsidP="00C04157">
      <w:pPr>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Rosemary Chiavetta</w:t>
      </w:r>
    </w:p>
    <w:p w:rsidR="00437A4C" w:rsidRPr="008239FE" w:rsidRDefault="00437A4C" w:rsidP="00C04157">
      <w:pPr>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bookmarkStart w:id="0" w:name="_GoBack"/>
      <w:bookmarkEnd w:id="0"/>
      <w:r w:rsidRPr="008239FE">
        <w:rPr>
          <w:rFonts w:ascii="Times New Roman" w:eastAsia="Times New Roman" w:hAnsi="Times New Roman" w:cs="Times New Roman"/>
          <w:sz w:val="26"/>
          <w:szCs w:val="26"/>
        </w:rPr>
        <w:t>Secretary</w:t>
      </w:r>
      <w:r w:rsidR="00B4463B">
        <w:rPr>
          <w:rFonts w:ascii="Times New Roman" w:eastAsia="Times New Roman" w:hAnsi="Times New Roman" w:cs="Times New Roman"/>
          <w:sz w:val="26"/>
          <w:szCs w:val="26"/>
        </w:rPr>
        <w:t xml:space="preserve"> </w:t>
      </w:r>
    </w:p>
    <w:p w:rsidR="00437A4C" w:rsidRDefault="00437A4C" w:rsidP="00C04157">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Default="00437A4C" w:rsidP="00C04157">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Default="00437A4C" w:rsidP="00C04157">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4157">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4157">
      <w:pPr>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(SEAL)</w:t>
      </w:r>
    </w:p>
    <w:p w:rsidR="00437A4C" w:rsidRPr="008239FE" w:rsidRDefault="00437A4C" w:rsidP="00C04157">
      <w:pPr>
        <w:tabs>
          <w:tab w:val="left" w:pos="204"/>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437A4C" w:rsidRPr="008239FE" w:rsidRDefault="00437A4C" w:rsidP="00C04157">
      <w:pPr>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 xml:space="preserve">ORDER ADOPTED:  </w:t>
      </w:r>
      <w:r w:rsidR="005E787C">
        <w:rPr>
          <w:rFonts w:ascii="Times New Roman" w:eastAsia="Times New Roman" w:hAnsi="Times New Roman" w:cs="Times New Roman"/>
          <w:sz w:val="26"/>
          <w:szCs w:val="26"/>
        </w:rPr>
        <w:t xml:space="preserve">February </w:t>
      </w:r>
      <w:r w:rsidR="002E440A">
        <w:rPr>
          <w:rFonts w:ascii="Times New Roman" w:eastAsia="Times New Roman" w:hAnsi="Times New Roman" w:cs="Times New Roman"/>
          <w:sz w:val="26"/>
          <w:szCs w:val="26"/>
        </w:rPr>
        <w:t>28</w:t>
      </w:r>
      <w:r>
        <w:rPr>
          <w:rFonts w:ascii="Times New Roman" w:eastAsia="Times New Roman" w:hAnsi="Times New Roman" w:cs="Times New Roman"/>
          <w:sz w:val="26"/>
          <w:szCs w:val="26"/>
        </w:rPr>
        <w:t>, 201</w:t>
      </w:r>
      <w:r w:rsidR="001159B2">
        <w:rPr>
          <w:rFonts w:ascii="Times New Roman" w:eastAsia="Times New Roman" w:hAnsi="Times New Roman" w:cs="Times New Roman"/>
          <w:sz w:val="26"/>
          <w:szCs w:val="26"/>
        </w:rPr>
        <w:t>9</w:t>
      </w:r>
    </w:p>
    <w:p w:rsidR="00437A4C" w:rsidRPr="008239FE" w:rsidRDefault="00437A4C" w:rsidP="00C04157">
      <w:pPr>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370A9C" w:rsidRDefault="00437A4C" w:rsidP="00C04157">
      <w:pPr>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8239FE">
        <w:rPr>
          <w:rFonts w:ascii="Times New Roman" w:eastAsia="Times New Roman" w:hAnsi="Times New Roman" w:cs="Times New Roman"/>
          <w:sz w:val="26"/>
          <w:szCs w:val="26"/>
        </w:rPr>
        <w:t>ORDER ENTERED:</w:t>
      </w:r>
      <w:r w:rsidR="00370A9C">
        <w:rPr>
          <w:rFonts w:ascii="Times New Roman" w:eastAsia="Times New Roman" w:hAnsi="Times New Roman" w:cs="Times New Roman"/>
          <w:sz w:val="26"/>
          <w:szCs w:val="26"/>
        </w:rPr>
        <w:t xml:space="preserve">  February 28, 2019</w:t>
      </w:r>
    </w:p>
    <w:sectPr w:rsidR="00370A9C" w:rsidSect="00BB3C15">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831" w:rsidRDefault="00341831" w:rsidP="00437A4C">
      <w:pPr>
        <w:spacing w:after="0" w:line="240" w:lineRule="auto"/>
      </w:pPr>
      <w:r>
        <w:separator/>
      </w:r>
    </w:p>
  </w:endnote>
  <w:endnote w:type="continuationSeparator" w:id="0">
    <w:p w:rsidR="00341831" w:rsidRDefault="00341831" w:rsidP="004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162150"/>
      <w:docPartObj>
        <w:docPartGallery w:val="Page Numbers (Bottom of Page)"/>
        <w:docPartUnique/>
      </w:docPartObj>
    </w:sdtPr>
    <w:sdtEndPr>
      <w:rPr>
        <w:noProof/>
      </w:rPr>
    </w:sdtEndPr>
    <w:sdtContent>
      <w:p w:rsidR="007B6D89" w:rsidRDefault="007B6D89" w:rsidP="002E440A">
        <w:pPr>
          <w:pStyle w:val="Footer"/>
          <w:jc w:val="center"/>
        </w:pPr>
        <w:r w:rsidRPr="00181B98">
          <w:rPr>
            <w:rFonts w:ascii="Times New Roman" w:hAnsi="Times New Roman"/>
          </w:rPr>
          <w:fldChar w:fldCharType="begin"/>
        </w:r>
        <w:r w:rsidRPr="00181B98">
          <w:rPr>
            <w:rFonts w:ascii="Times New Roman" w:hAnsi="Times New Roman"/>
          </w:rPr>
          <w:instrText xml:space="preserve"> PAGE   \* MERGEFORMAT </w:instrText>
        </w:r>
        <w:r w:rsidRPr="00181B98">
          <w:rPr>
            <w:rFonts w:ascii="Times New Roman" w:hAnsi="Times New Roman"/>
          </w:rPr>
          <w:fldChar w:fldCharType="separate"/>
        </w:r>
        <w:r w:rsidRPr="00181B98">
          <w:rPr>
            <w:rFonts w:ascii="Times New Roman" w:hAnsi="Times New Roman"/>
            <w:noProof/>
          </w:rPr>
          <w:t>91</w:t>
        </w:r>
        <w:r w:rsidRPr="00181B9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831" w:rsidRDefault="00341831" w:rsidP="00437A4C">
      <w:pPr>
        <w:spacing w:after="0" w:line="240" w:lineRule="auto"/>
      </w:pPr>
      <w:r>
        <w:separator/>
      </w:r>
    </w:p>
  </w:footnote>
  <w:footnote w:type="continuationSeparator" w:id="0">
    <w:p w:rsidR="00341831" w:rsidRDefault="00341831" w:rsidP="00437A4C">
      <w:pPr>
        <w:spacing w:after="0" w:line="240" w:lineRule="auto"/>
      </w:pPr>
      <w:r>
        <w:continuationSeparator/>
      </w:r>
    </w:p>
  </w:footnote>
  <w:footnote w:id="1">
    <w:p w:rsidR="007B6D89" w:rsidRPr="009830A2" w:rsidRDefault="007B6D89" w:rsidP="00437A4C">
      <w:pPr>
        <w:pStyle w:val="FootnoteText"/>
        <w:rPr>
          <w:rFonts w:ascii="Times New Roman" w:hAnsi="Times New Roman" w:cs="Times New Roman"/>
          <w:color w:val="000000"/>
          <w:sz w:val="22"/>
          <w:szCs w:val="22"/>
        </w:rPr>
      </w:pPr>
      <w:r w:rsidRPr="009830A2">
        <w:rPr>
          <w:rStyle w:val="FootnoteReference"/>
          <w:rFonts w:ascii="Times New Roman" w:hAnsi="Times New Roman" w:cs="Times New Roman"/>
          <w:color w:val="000000"/>
          <w:sz w:val="22"/>
          <w:szCs w:val="22"/>
        </w:rPr>
        <w:footnoteRef/>
      </w:r>
      <w:r w:rsidRPr="009830A2">
        <w:rPr>
          <w:rFonts w:ascii="Times New Roman" w:hAnsi="Times New Roman" w:cs="Times New Roman"/>
          <w:color w:val="000000"/>
          <w:sz w:val="22"/>
          <w:szCs w:val="22"/>
        </w:rPr>
        <w:t xml:space="preserve"> </w:t>
      </w:r>
      <w:r w:rsidRPr="009830A2">
        <w:rPr>
          <w:rFonts w:ascii="Times New Roman" w:hAnsi="Times New Roman" w:cs="Times New Roman"/>
          <w:i/>
          <w:color w:val="000000"/>
          <w:sz w:val="22"/>
          <w:szCs w:val="22"/>
        </w:rPr>
        <w:t>See</w:t>
      </w:r>
      <w:r w:rsidRPr="009830A2">
        <w:rPr>
          <w:rFonts w:ascii="Times New Roman" w:hAnsi="Times New Roman" w:cs="Times New Roman"/>
          <w:color w:val="000000"/>
          <w:sz w:val="22"/>
          <w:szCs w:val="22"/>
        </w:rPr>
        <w:t xml:space="preserve"> Secretarial Letter re: </w:t>
      </w:r>
      <w:r w:rsidRPr="009830A2">
        <w:rPr>
          <w:rFonts w:ascii="Times New Roman" w:hAnsi="Times New Roman" w:cs="Times New Roman"/>
          <w:i/>
          <w:color w:val="000000"/>
          <w:sz w:val="22"/>
          <w:szCs w:val="22"/>
        </w:rPr>
        <w:t>Act 155 of 2014 Implementation</w:t>
      </w:r>
      <w:r w:rsidRPr="002E440A">
        <w:rPr>
          <w:rFonts w:ascii="Times New Roman" w:hAnsi="Times New Roman" w:cs="Times New Roman"/>
          <w:color w:val="000000"/>
          <w:sz w:val="22"/>
          <w:szCs w:val="22"/>
        </w:rPr>
        <w:t>,</w:t>
      </w:r>
      <w:r w:rsidRPr="009830A2">
        <w:rPr>
          <w:rFonts w:ascii="Times New Roman" w:hAnsi="Times New Roman" w:cs="Times New Roman"/>
          <w:i/>
          <w:color w:val="000000"/>
          <w:sz w:val="22"/>
          <w:szCs w:val="22"/>
        </w:rPr>
        <w:t xml:space="preserve"> </w:t>
      </w:r>
      <w:r w:rsidRPr="009830A2">
        <w:rPr>
          <w:rFonts w:ascii="Times New Roman" w:hAnsi="Times New Roman" w:cs="Times New Roman"/>
          <w:color w:val="000000"/>
          <w:sz w:val="22"/>
          <w:szCs w:val="22"/>
        </w:rPr>
        <w:t>Docket No. M</w:t>
      </w:r>
      <w:r w:rsidRPr="009830A2">
        <w:rPr>
          <w:rFonts w:ascii="Times New Roman" w:hAnsi="Times New Roman" w:cs="Times New Roman"/>
          <w:color w:val="000000"/>
          <w:sz w:val="22"/>
          <w:szCs w:val="22"/>
        </w:rPr>
        <w:noBreakHyphen/>
        <w:t>2014</w:t>
      </w:r>
      <w:r w:rsidRPr="009830A2">
        <w:rPr>
          <w:rFonts w:ascii="Times New Roman" w:hAnsi="Times New Roman" w:cs="Times New Roman"/>
          <w:color w:val="000000"/>
          <w:sz w:val="22"/>
          <w:szCs w:val="22"/>
        </w:rPr>
        <w:noBreakHyphen/>
        <w:t>2448824 (December 10, 2014);</w:t>
      </w:r>
      <w:r w:rsidRPr="009830A2">
        <w:rPr>
          <w:rFonts w:ascii="Times New Roman" w:hAnsi="Times New Roman" w:cs="Times New Roman"/>
          <w:i/>
          <w:color w:val="000000"/>
          <w:sz w:val="22"/>
          <w:szCs w:val="22"/>
        </w:rPr>
        <w:t xml:space="preserve"> </w:t>
      </w:r>
      <w:r w:rsidRPr="009830A2">
        <w:rPr>
          <w:rFonts w:ascii="Times New Roman" w:hAnsi="Times New Roman" w:cs="Times New Roman"/>
          <w:color w:val="000000"/>
          <w:sz w:val="22"/>
          <w:szCs w:val="22"/>
        </w:rPr>
        <w:t>and</w:t>
      </w:r>
      <w:r w:rsidRPr="009830A2">
        <w:rPr>
          <w:rFonts w:ascii="Times New Roman" w:hAnsi="Times New Roman" w:cs="Times New Roman"/>
          <w:i/>
          <w:color w:val="000000"/>
          <w:sz w:val="22"/>
          <w:szCs w:val="22"/>
        </w:rPr>
        <w:t xml:space="preserve"> 52 Pa. Code Chapter 56.</w:t>
      </w:r>
      <w:r w:rsidRPr="009830A2">
        <w:rPr>
          <w:rFonts w:ascii="Times New Roman" w:hAnsi="Times New Roman" w:cs="Times New Roman"/>
          <w:color w:val="000000"/>
          <w:sz w:val="22"/>
          <w:szCs w:val="22"/>
        </w:rPr>
        <w:t xml:space="preserve">  </w:t>
      </w:r>
    </w:p>
  </w:footnote>
  <w:footnote w:id="2">
    <w:p w:rsidR="007B6D89" w:rsidRPr="009830A2" w:rsidRDefault="007B6D89" w:rsidP="00437A4C">
      <w:pPr>
        <w:pStyle w:val="FootnoteText"/>
        <w:rPr>
          <w:rFonts w:ascii="Times New Roman" w:hAnsi="Times New Roman" w:cs="Times New Roman"/>
          <w:color w:val="000000"/>
          <w:sz w:val="22"/>
          <w:szCs w:val="22"/>
        </w:rPr>
      </w:pPr>
      <w:r w:rsidRPr="009830A2">
        <w:rPr>
          <w:rStyle w:val="FootnoteReference"/>
          <w:rFonts w:ascii="Times New Roman" w:hAnsi="Times New Roman" w:cs="Times New Roman"/>
          <w:color w:val="000000"/>
          <w:sz w:val="22"/>
          <w:szCs w:val="22"/>
        </w:rPr>
        <w:footnoteRef/>
      </w:r>
      <w:r w:rsidRPr="009830A2">
        <w:rPr>
          <w:rFonts w:ascii="Times New Roman" w:hAnsi="Times New Roman" w:cs="Times New Roman"/>
          <w:color w:val="000000"/>
          <w:sz w:val="22"/>
          <w:szCs w:val="22"/>
        </w:rPr>
        <w:t xml:space="preserve"> </w:t>
      </w:r>
      <w:r w:rsidRPr="009830A2">
        <w:rPr>
          <w:rFonts w:ascii="Times New Roman" w:hAnsi="Times New Roman" w:cs="Times New Roman"/>
          <w:i/>
          <w:color w:val="000000"/>
          <w:sz w:val="22"/>
          <w:szCs w:val="22"/>
        </w:rPr>
        <w:t>See</w:t>
      </w:r>
      <w:r w:rsidRPr="009830A2">
        <w:rPr>
          <w:rFonts w:ascii="Times New Roman" w:hAnsi="Times New Roman" w:cs="Times New Roman"/>
          <w:color w:val="000000"/>
          <w:sz w:val="22"/>
          <w:szCs w:val="22"/>
        </w:rPr>
        <w:t xml:space="preserve"> Secretarial Letter re: </w:t>
      </w:r>
      <w:r w:rsidRPr="009830A2">
        <w:rPr>
          <w:rFonts w:ascii="Times New Roman" w:hAnsi="Times New Roman" w:cs="Times New Roman"/>
          <w:i/>
          <w:color w:val="000000"/>
          <w:sz w:val="22"/>
          <w:szCs w:val="22"/>
        </w:rPr>
        <w:t>Act 155 of 2014 Applicability and Implementation.</w:t>
      </w:r>
      <w:r w:rsidRPr="009830A2">
        <w:rPr>
          <w:rFonts w:ascii="Times New Roman" w:hAnsi="Times New Roman" w:cs="Times New Roman"/>
          <w:color w:val="000000"/>
          <w:sz w:val="22"/>
          <w:szCs w:val="22"/>
        </w:rPr>
        <w:t xml:space="preserve"> Docket No. </w:t>
      </w:r>
    </w:p>
    <w:p w:rsidR="007B6D89" w:rsidRPr="009830A2" w:rsidRDefault="007B6D89" w:rsidP="00437A4C">
      <w:pPr>
        <w:pStyle w:val="FootnoteText"/>
        <w:rPr>
          <w:rFonts w:ascii="Times New Roman" w:hAnsi="Times New Roman" w:cs="Times New Roman"/>
          <w:color w:val="000000"/>
          <w:sz w:val="22"/>
          <w:szCs w:val="22"/>
        </w:rPr>
      </w:pPr>
      <w:r w:rsidRPr="009830A2">
        <w:rPr>
          <w:rFonts w:ascii="Times New Roman" w:hAnsi="Times New Roman" w:cs="Times New Roman"/>
          <w:color w:val="000000"/>
          <w:sz w:val="22"/>
          <w:szCs w:val="22"/>
        </w:rPr>
        <w:t>M-2014-2448824 (December 10, 2014).</w:t>
      </w:r>
    </w:p>
  </w:footnote>
  <w:footnote w:id="3">
    <w:p w:rsidR="002108D2" w:rsidRPr="002E440A" w:rsidRDefault="002108D2">
      <w:pPr>
        <w:pStyle w:val="FootnoteText"/>
        <w:rPr>
          <w:rFonts w:ascii="Times New Roman" w:hAnsi="Times New Roman" w:cs="Times New Roman"/>
          <w:i/>
          <w:sz w:val="22"/>
          <w:szCs w:val="22"/>
        </w:rPr>
      </w:pPr>
      <w:r w:rsidRPr="00A91BE7">
        <w:rPr>
          <w:rStyle w:val="FootnoteReference"/>
          <w:rFonts w:ascii="Times New Roman" w:hAnsi="Times New Roman" w:cs="Times New Roman"/>
          <w:sz w:val="22"/>
          <w:szCs w:val="22"/>
        </w:rPr>
        <w:footnoteRef/>
      </w:r>
      <w:r w:rsidRPr="00A91BE7">
        <w:rPr>
          <w:rFonts w:ascii="Times New Roman" w:hAnsi="Times New Roman" w:cs="Times New Roman"/>
          <w:sz w:val="22"/>
          <w:szCs w:val="22"/>
        </w:rPr>
        <w:t xml:space="preserve"> Aqua Pennsylvania; the Coalition for Affordable Utility Service and Energy Efficiency in Pennsylvania; Columbia Gas of PA; the Consumer Advisory Council; the Disability Rights Network of Pennsylvania, </w:t>
      </w:r>
      <w:proofErr w:type="spellStart"/>
      <w:r w:rsidRPr="00A91BE7">
        <w:rPr>
          <w:rFonts w:ascii="Times New Roman" w:hAnsi="Times New Roman" w:cs="Times New Roman"/>
          <w:sz w:val="22"/>
          <w:szCs w:val="22"/>
        </w:rPr>
        <w:t>MidPenn</w:t>
      </w:r>
      <w:proofErr w:type="spellEnd"/>
      <w:r w:rsidRPr="00A91BE7">
        <w:rPr>
          <w:rFonts w:ascii="Times New Roman" w:hAnsi="Times New Roman" w:cs="Times New Roman"/>
          <w:sz w:val="22"/>
          <w:szCs w:val="22"/>
        </w:rPr>
        <w:t xml:space="preserve"> Legal Services, Neighborhood Legal Services Association and the Pennsylvania Health Law Project (collectively DRN); Duquesne Light; Energy Association of Pennsylvania; Metropolitan Edison Company, Pennsylvania Electric Company, Pennsylvania Power Company and West Penn Power Company (collectively FirstEnergy); </w:t>
      </w:r>
      <w:proofErr w:type="spellStart"/>
      <w:r w:rsidRPr="00A91BE7">
        <w:rPr>
          <w:rFonts w:ascii="Times New Roman" w:hAnsi="Times New Roman" w:cs="Times New Roman"/>
          <w:sz w:val="22"/>
          <w:szCs w:val="22"/>
        </w:rPr>
        <w:t>MidPenn</w:t>
      </w:r>
      <w:proofErr w:type="spellEnd"/>
      <w:r w:rsidRPr="00A91BE7">
        <w:rPr>
          <w:rFonts w:ascii="Times New Roman" w:hAnsi="Times New Roman" w:cs="Times New Roman"/>
          <w:sz w:val="22"/>
          <w:szCs w:val="22"/>
        </w:rPr>
        <w:t xml:space="preserve"> Legal Services – Lancaster County; National Fuel Gas Distribution Corporation; the Office of Consumer Advocate; PECO Energy Company; Philadelphia Gas Works; Peoples Natural Gas; PPL Electric Utilities Corporation; and the Tenant Union Representative Network and Action Alliance of Senior Citizens of Greater Philadelphia (collectively TURN).</w:t>
      </w:r>
    </w:p>
  </w:footnote>
  <w:footnote w:id="4">
    <w:p w:rsidR="007B6D89" w:rsidRPr="00A91BE7" w:rsidRDefault="007B6D89" w:rsidP="006C239F">
      <w:pPr>
        <w:pStyle w:val="FootnoteText"/>
        <w:rPr>
          <w:rFonts w:ascii="Times New Roman" w:hAnsi="Times New Roman"/>
          <w:sz w:val="22"/>
          <w:szCs w:val="22"/>
        </w:rPr>
      </w:pPr>
      <w:r w:rsidRPr="00A91BE7">
        <w:rPr>
          <w:rStyle w:val="FootnoteReference"/>
          <w:rFonts w:ascii="Times New Roman" w:hAnsi="Times New Roman"/>
          <w:sz w:val="22"/>
          <w:szCs w:val="22"/>
        </w:rPr>
        <w:footnoteRef/>
      </w:r>
      <w:r w:rsidRPr="00A91BE7">
        <w:rPr>
          <w:rFonts w:ascii="Times New Roman" w:hAnsi="Times New Roman"/>
          <w:sz w:val="22"/>
          <w:szCs w:val="22"/>
        </w:rPr>
        <w:t xml:space="preserve"> </w:t>
      </w:r>
      <w:r w:rsidRPr="00A91BE7">
        <w:rPr>
          <w:rFonts w:ascii="Times New Roman" w:hAnsi="Times New Roman"/>
          <w:i/>
          <w:sz w:val="22"/>
          <w:szCs w:val="22"/>
        </w:rPr>
        <w:t>See</w:t>
      </w:r>
      <w:r w:rsidRPr="00A91BE7">
        <w:rPr>
          <w:rFonts w:ascii="Times New Roman" w:hAnsi="Times New Roman"/>
          <w:sz w:val="22"/>
          <w:szCs w:val="22"/>
        </w:rPr>
        <w:t xml:space="preserve"> </w:t>
      </w:r>
      <w:r w:rsidRPr="00A91BE7">
        <w:rPr>
          <w:rFonts w:ascii="Times New Roman" w:hAnsi="Times New Roman"/>
          <w:i/>
          <w:sz w:val="22"/>
          <w:szCs w:val="22"/>
        </w:rPr>
        <w:t xml:space="preserve">Rulemaking to Amend the Provisions of 52 Pa. Code, Chapter 56 to Comply with the Amended Provisions of 66 Pa. C.S. Chapter 14, </w:t>
      </w:r>
      <w:r w:rsidRPr="00A91BE7">
        <w:rPr>
          <w:rFonts w:ascii="Times New Roman" w:hAnsi="Times New Roman"/>
          <w:sz w:val="22"/>
          <w:szCs w:val="22"/>
        </w:rPr>
        <w:t xml:space="preserve">Docket L-2015-2508421 (Order entered July 21, 2016).  </w:t>
      </w:r>
    </w:p>
  </w:footnote>
  <w:footnote w:id="5">
    <w:p w:rsidR="007B6D89" w:rsidRPr="002E440A" w:rsidRDefault="007B6D89" w:rsidP="00F639A5">
      <w:pPr>
        <w:pStyle w:val="FootnoteText"/>
        <w:rPr>
          <w:rFonts w:ascii="Times New Roman" w:hAnsi="Times New Roman" w:cs="Times New Roman"/>
          <w:sz w:val="22"/>
          <w:szCs w:val="22"/>
        </w:rPr>
      </w:pPr>
      <w:r w:rsidRPr="00A91BE7">
        <w:rPr>
          <w:rStyle w:val="FootnoteReference"/>
          <w:rFonts w:ascii="Times New Roman" w:hAnsi="Times New Roman" w:cs="Times New Roman"/>
          <w:sz w:val="22"/>
          <w:szCs w:val="22"/>
        </w:rPr>
        <w:footnoteRef/>
      </w:r>
      <w:r w:rsidRPr="00A91BE7">
        <w:rPr>
          <w:rFonts w:ascii="Times New Roman" w:hAnsi="Times New Roman" w:cs="Times New Roman"/>
          <w:sz w:val="22"/>
          <w:szCs w:val="22"/>
        </w:rPr>
        <w:t xml:space="preserve"> </w:t>
      </w:r>
      <w:r w:rsidRPr="00A91BE7">
        <w:rPr>
          <w:rFonts w:ascii="Times New Roman" w:hAnsi="Times New Roman" w:cs="Times New Roman"/>
          <w:i/>
          <w:sz w:val="22"/>
          <w:szCs w:val="22"/>
        </w:rPr>
        <w:t xml:space="preserve">See Order Seeking Additional Comments re </w:t>
      </w:r>
      <w:r w:rsidRPr="00A91BE7">
        <w:rPr>
          <w:rFonts w:ascii="Times New Roman" w:hAnsi="Times New Roman" w:cs="Times New Roman"/>
          <w:i/>
          <w:sz w:val="22"/>
          <w:szCs w:val="22"/>
          <w:lang w:bidi="en-US"/>
        </w:rPr>
        <w:t>Rulemaking to Amend the Provisions of 52 Pa. Code, Chapter 56 to Comply with the Amended Provisions of 66 Pa. C.S. Chapter 14</w:t>
      </w:r>
      <w:r w:rsidRPr="00A91BE7">
        <w:rPr>
          <w:rFonts w:ascii="Times New Roman" w:hAnsi="Times New Roman" w:cs="Times New Roman"/>
          <w:sz w:val="22"/>
          <w:szCs w:val="22"/>
          <w:lang w:bidi="en-US"/>
        </w:rPr>
        <w:t>, Docket No. L</w:t>
      </w:r>
      <w:r w:rsidR="002E440A">
        <w:rPr>
          <w:rFonts w:ascii="Times New Roman" w:hAnsi="Times New Roman" w:cs="Times New Roman"/>
          <w:sz w:val="22"/>
          <w:szCs w:val="22"/>
          <w:lang w:bidi="en-US"/>
        </w:rPr>
        <w:noBreakHyphen/>
      </w:r>
      <w:r w:rsidRPr="00A91BE7">
        <w:rPr>
          <w:rFonts w:ascii="Times New Roman" w:hAnsi="Times New Roman" w:cs="Times New Roman"/>
          <w:sz w:val="22"/>
          <w:szCs w:val="22"/>
          <w:lang w:bidi="en-US"/>
        </w:rPr>
        <w:t>2015</w:t>
      </w:r>
      <w:r w:rsidR="002E440A">
        <w:rPr>
          <w:rFonts w:ascii="Times New Roman" w:hAnsi="Times New Roman" w:cs="Times New Roman"/>
          <w:sz w:val="22"/>
          <w:szCs w:val="22"/>
          <w:lang w:bidi="en-US"/>
        </w:rPr>
        <w:noBreakHyphen/>
      </w:r>
      <w:r w:rsidRPr="00A91BE7">
        <w:rPr>
          <w:rFonts w:ascii="Times New Roman" w:hAnsi="Times New Roman" w:cs="Times New Roman"/>
          <w:sz w:val="22"/>
          <w:szCs w:val="22"/>
          <w:lang w:bidi="en-US"/>
        </w:rPr>
        <w:t xml:space="preserve">2508421 (Public Meeting of July 12,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EB6"/>
    <w:multiLevelType w:val="hybridMultilevel"/>
    <w:tmpl w:val="0B60BB4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F123F"/>
    <w:multiLevelType w:val="hybridMultilevel"/>
    <w:tmpl w:val="4A561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F3025"/>
    <w:multiLevelType w:val="hybridMultilevel"/>
    <w:tmpl w:val="24EE0EC2"/>
    <w:lvl w:ilvl="0" w:tplc="9BE41736">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32C75"/>
    <w:multiLevelType w:val="hybridMultilevel"/>
    <w:tmpl w:val="D08C1980"/>
    <w:lvl w:ilvl="0" w:tplc="0409001B">
      <w:start w:val="1"/>
      <w:numFmt w:val="lowerRoman"/>
      <w:lvlText w:val="%1."/>
      <w:lvlJc w:val="righ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0F460C"/>
    <w:multiLevelType w:val="hybridMultilevel"/>
    <w:tmpl w:val="BDE69A2A"/>
    <w:lvl w:ilvl="0" w:tplc="24646DC0">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D737B8A"/>
    <w:multiLevelType w:val="hybridMultilevel"/>
    <w:tmpl w:val="875404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7659E"/>
    <w:multiLevelType w:val="hybridMultilevel"/>
    <w:tmpl w:val="E500CA1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62C12"/>
    <w:multiLevelType w:val="hybridMultilevel"/>
    <w:tmpl w:val="CB22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10A76"/>
    <w:multiLevelType w:val="hybridMultilevel"/>
    <w:tmpl w:val="5D249E62"/>
    <w:lvl w:ilvl="0" w:tplc="0BA8B118">
      <w:start w:val="2"/>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DBD6CE6"/>
    <w:multiLevelType w:val="hybridMultilevel"/>
    <w:tmpl w:val="4322BE36"/>
    <w:lvl w:ilvl="0" w:tplc="80E6604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025D6"/>
    <w:multiLevelType w:val="hybridMultilevel"/>
    <w:tmpl w:val="68E45F4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27656"/>
    <w:multiLevelType w:val="hybridMultilevel"/>
    <w:tmpl w:val="88E435DE"/>
    <w:lvl w:ilvl="0" w:tplc="A4C21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76F01"/>
    <w:multiLevelType w:val="hybridMultilevel"/>
    <w:tmpl w:val="85E2A262"/>
    <w:lvl w:ilvl="0" w:tplc="04090001">
      <w:start w:val="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A1883"/>
    <w:multiLevelType w:val="hybridMultilevel"/>
    <w:tmpl w:val="FE56F7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B61AD"/>
    <w:multiLevelType w:val="hybridMultilevel"/>
    <w:tmpl w:val="89561B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5232A"/>
    <w:multiLevelType w:val="hybridMultilevel"/>
    <w:tmpl w:val="1EE0B900"/>
    <w:lvl w:ilvl="0" w:tplc="DDD60BE2">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9B43AD"/>
    <w:multiLevelType w:val="hybridMultilevel"/>
    <w:tmpl w:val="AB38FD9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914D6"/>
    <w:multiLevelType w:val="hybridMultilevel"/>
    <w:tmpl w:val="E0DCE7F2"/>
    <w:lvl w:ilvl="0" w:tplc="A4BC4B44">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45661"/>
    <w:multiLevelType w:val="hybridMultilevel"/>
    <w:tmpl w:val="95D232E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6986793E"/>
    <w:multiLevelType w:val="hybridMultilevel"/>
    <w:tmpl w:val="46CC4C00"/>
    <w:lvl w:ilvl="0" w:tplc="FDA42A2C">
      <w:start w:val="1"/>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6EA45469"/>
    <w:multiLevelType w:val="hybridMultilevel"/>
    <w:tmpl w:val="0E94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43B78"/>
    <w:multiLevelType w:val="hybridMultilevel"/>
    <w:tmpl w:val="6972AE62"/>
    <w:lvl w:ilvl="0" w:tplc="F10CE8B4">
      <w:start w:val="3"/>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E2455"/>
    <w:multiLevelType w:val="hybridMultilevel"/>
    <w:tmpl w:val="775A42C8"/>
    <w:lvl w:ilvl="0" w:tplc="88720B9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3"/>
  </w:num>
  <w:num w:numId="4">
    <w:abstractNumId w:val="9"/>
  </w:num>
  <w:num w:numId="5">
    <w:abstractNumId w:val="15"/>
  </w:num>
  <w:num w:numId="6">
    <w:abstractNumId w:val="2"/>
  </w:num>
  <w:num w:numId="7">
    <w:abstractNumId w:val="5"/>
  </w:num>
  <w:num w:numId="8">
    <w:abstractNumId w:val="0"/>
  </w:num>
  <w:num w:numId="9">
    <w:abstractNumId w:val="6"/>
  </w:num>
  <w:num w:numId="10">
    <w:abstractNumId w:val="16"/>
  </w:num>
  <w:num w:numId="11">
    <w:abstractNumId w:val="8"/>
  </w:num>
  <w:num w:numId="12">
    <w:abstractNumId w:val="10"/>
  </w:num>
  <w:num w:numId="13">
    <w:abstractNumId w:val="19"/>
  </w:num>
  <w:num w:numId="14">
    <w:abstractNumId w:val="14"/>
  </w:num>
  <w:num w:numId="15">
    <w:abstractNumId w:val="4"/>
  </w:num>
  <w:num w:numId="16">
    <w:abstractNumId w:val="13"/>
  </w:num>
  <w:num w:numId="17">
    <w:abstractNumId w:val="22"/>
  </w:num>
  <w:num w:numId="18">
    <w:abstractNumId w:val="12"/>
  </w:num>
  <w:num w:numId="19">
    <w:abstractNumId w:val="17"/>
  </w:num>
  <w:num w:numId="20">
    <w:abstractNumId w:val="21"/>
  </w:num>
  <w:num w:numId="21">
    <w:abstractNumId w:val="11"/>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4C"/>
    <w:rsid w:val="000003BC"/>
    <w:rsid w:val="0000236E"/>
    <w:rsid w:val="0000374B"/>
    <w:rsid w:val="0000401D"/>
    <w:rsid w:val="00006A23"/>
    <w:rsid w:val="00012C32"/>
    <w:rsid w:val="00021364"/>
    <w:rsid w:val="000240E4"/>
    <w:rsid w:val="00025BD0"/>
    <w:rsid w:val="00027593"/>
    <w:rsid w:val="00027A46"/>
    <w:rsid w:val="00032713"/>
    <w:rsid w:val="00034693"/>
    <w:rsid w:val="000350DA"/>
    <w:rsid w:val="00035261"/>
    <w:rsid w:val="00035CE9"/>
    <w:rsid w:val="000402D1"/>
    <w:rsid w:val="000416DF"/>
    <w:rsid w:val="0004262B"/>
    <w:rsid w:val="00042B0F"/>
    <w:rsid w:val="00047184"/>
    <w:rsid w:val="00050F38"/>
    <w:rsid w:val="00052A8D"/>
    <w:rsid w:val="00053819"/>
    <w:rsid w:val="0005781B"/>
    <w:rsid w:val="00057BB0"/>
    <w:rsid w:val="00061E58"/>
    <w:rsid w:val="00062C12"/>
    <w:rsid w:val="00063814"/>
    <w:rsid w:val="00065F48"/>
    <w:rsid w:val="00066347"/>
    <w:rsid w:val="0007289A"/>
    <w:rsid w:val="000742E7"/>
    <w:rsid w:val="000751A3"/>
    <w:rsid w:val="00076CA5"/>
    <w:rsid w:val="00081B99"/>
    <w:rsid w:val="00084485"/>
    <w:rsid w:val="00084839"/>
    <w:rsid w:val="00084845"/>
    <w:rsid w:val="00084ACB"/>
    <w:rsid w:val="00090478"/>
    <w:rsid w:val="00090B0B"/>
    <w:rsid w:val="000918B2"/>
    <w:rsid w:val="0009202C"/>
    <w:rsid w:val="00093DBC"/>
    <w:rsid w:val="00096BD2"/>
    <w:rsid w:val="000A2046"/>
    <w:rsid w:val="000B0F00"/>
    <w:rsid w:val="000B12BF"/>
    <w:rsid w:val="000B3BAB"/>
    <w:rsid w:val="000B53E8"/>
    <w:rsid w:val="000B60C1"/>
    <w:rsid w:val="000B7145"/>
    <w:rsid w:val="000C0506"/>
    <w:rsid w:val="000C0E72"/>
    <w:rsid w:val="000C227D"/>
    <w:rsid w:val="000C351E"/>
    <w:rsid w:val="000C5352"/>
    <w:rsid w:val="000C5389"/>
    <w:rsid w:val="000D1BDB"/>
    <w:rsid w:val="000D32B8"/>
    <w:rsid w:val="000D33A1"/>
    <w:rsid w:val="000D3A8E"/>
    <w:rsid w:val="000D638A"/>
    <w:rsid w:val="000D6CD5"/>
    <w:rsid w:val="000E100B"/>
    <w:rsid w:val="000E1108"/>
    <w:rsid w:val="000E3E69"/>
    <w:rsid w:val="000E4628"/>
    <w:rsid w:val="000E4B9B"/>
    <w:rsid w:val="000E4C95"/>
    <w:rsid w:val="000E5450"/>
    <w:rsid w:val="000E5650"/>
    <w:rsid w:val="000E75F0"/>
    <w:rsid w:val="000F04FF"/>
    <w:rsid w:val="000F14DB"/>
    <w:rsid w:val="00102A6F"/>
    <w:rsid w:val="0011013E"/>
    <w:rsid w:val="001137A9"/>
    <w:rsid w:val="00114543"/>
    <w:rsid w:val="00114C92"/>
    <w:rsid w:val="00115823"/>
    <w:rsid w:val="001159B2"/>
    <w:rsid w:val="00116261"/>
    <w:rsid w:val="001168F2"/>
    <w:rsid w:val="00117D79"/>
    <w:rsid w:val="001233EB"/>
    <w:rsid w:val="00127E19"/>
    <w:rsid w:val="0013023F"/>
    <w:rsid w:val="001335C1"/>
    <w:rsid w:val="00134D6E"/>
    <w:rsid w:val="00137FB1"/>
    <w:rsid w:val="0014168A"/>
    <w:rsid w:val="0014223D"/>
    <w:rsid w:val="00142540"/>
    <w:rsid w:val="00144317"/>
    <w:rsid w:val="00144F3E"/>
    <w:rsid w:val="0014531B"/>
    <w:rsid w:val="0014650A"/>
    <w:rsid w:val="0014784E"/>
    <w:rsid w:val="00152926"/>
    <w:rsid w:val="00153A92"/>
    <w:rsid w:val="00155B37"/>
    <w:rsid w:val="001564C2"/>
    <w:rsid w:val="00157692"/>
    <w:rsid w:val="001613B5"/>
    <w:rsid w:val="00162FFA"/>
    <w:rsid w:val="00167BFB"/>
    <w:rsid w:val="00170F0D"/>
    <w:rsid w:val="00176F90"/>
    <w:rsid w:val="00177A08"/>
    <w:rsid w:val="00180319"/>
    <w:rsid w:val="001808BE"/>
    <w:rsid w:val="00181B98"/>
    <w:rsid w:val="001836C7"/>
    <w:rsid w:val="00185998"/>
    <w:rsid w:val="0019396D"/>
    <w:rsid w:val="00194B93"/>
    <w:rsid w:val="00195269"/>
    <w:rsid w:val="0019566D"/>
    <w:rsid w:val="001958D0"/>
    <w:rsid w:val="001967C1"/>
    <w:rsid w:val="001A1AFF"/>
    <w:rsid w:val="001A204D"/>
    <w:rsid w:val="001A20E0"/>
    <w:rsid w:val="001A41A0"/>
    <w:rsid w:val="001A77B0"/>
    <w:rsid w:val="001B04C0"/>
    <w:rsid w:val="001B69C1"/>
    <w:rsid w:val="001B7D54"/>
    <w:rsid w:val="001C0773"/>
    <w:rsid w:val="001C1891"/>
    <w:rsid w:val="001C2ECA"/>
    <w:rsid w:val="001C30B9"/>
    <w:rsid w:val="001C340A"/>
    <w:rsid w:val="001C3EB7"/>
    <w:rsid w:val="001C4867"/>
    <w:rsid w:val="001D053D"/>
    <w:rsid w:val="001D07E9"/>
    <w:rsid w:val="001D1542"/>
    <w:rsid w:val="001D5264"/>
    <w:rsid w:val="001D53F9"/>
    <w:rsid w:val="001D6C54"/>
    <w:rsid w:val="001D7A80"/>
    <w:rsid w:val="001E2562"/>
    <w:rsid w:val="001E3A67"/>
    <w:rsid w:val="001E4F59"/>
    <w:rsid w:val="001E786A"/>
    <w:rsid w:val="001F1898"/>
    <w:rsid w:val="001F21CC"/>
    <w:rsid w:val="001F259C"/>
    <w:rsid w:val="001F35DA"/>
    <w:rsid w:val="001F3AAB"/>
    <w:rsid w:val="001F4D4A"/>
    <w:rsid w:val="001F581A"/>
    <w:rsid w:val="001F7E77"/>
    <w:rsid w:val="002006A7"/>
    <w:rsid w:val="00202DEF"/>
    <w:rsid w:val="002031CC"/>
    <w:rsid w:val="00203CE8"/>
    <w:rsid w:val="0020454B"/>
    <w:rsid w:val="002108D2"/>
    <w:rsid w:val="00211936"/>
    <w:rsid w:val="00214074"/>
    <w:rsid w:val="00214AB8"/>
    <w:rsid w:val="002173EB"/>
    <w:rsid w:val="002177AF"/>
    <w:rsid w:val="0022016B"/>
    <w:rsid w:val="002217FC"/>
    <w:rsid w:val="00222B20"/>
    <w:rsid w:val="002250F4"/>
    <w:rsid w:val="00227D7F"/>
    <w:rsid w:val="00231F45"/>
    <w:rsid w:val="002349F4"/>
    <w:rsid w:val="00235E18"/>
    <w:rsid w:val="00236EC5"/>
    <w:rsid w:val="00240D0F"/>
    <w:rsid w:val="002422C9"/>
    <w:rsid w:val="002423CE"/>
    <w:rsid w:val="00243ECF"/>
    <w:rsid w:val="002458B0"/>
    <w:rsid w:val="0024749E"/>
    <w:rsid w:val="00252EA5"/>
    <w:rsid w:val="002636E6"/>
    <w:rsid w:val="002638E3"/>
    <w:rsid w:val="0026401C"/>
    <w:rsid w:val="002657E2"/>
    <w:rsid w:val="00267363"/>
    <w:rsid w:val="002675E9"/>
    <w:rsid w:val="00267D31"/>
    <w:rsid w:val="00270BAB"/>
    <w:rsid w:val="002731F0"/>
    <w:rsid w:val="0027340E"/>
    <w:rsid w:val="00273CC1"/>
    <w:rsid w:val="00273F20"/>
    <w:rsid w:val="00274973"/>
    <w:rsid w:val="00274AB2"/>
    <w:rsid w:val="00275E0B"/>
    <w:rsid w:val="0028004F"/>
    <w:rsid w:val="00283A2D"/>
    <w:rsid w:val="00283D9E"/>
    <w:rsid w:val="00286AB9"/>
    <w:rsid w:val="002928E3"/>
    <w:rsid w:val="0029484C"/>
    <w:rsid w:val="002967C3"/>
    <w:rsid w:val="002A3ECA"/>
    <w:rsid w:val="002A400B"/>
    <w:rsid w:val="002A41CE"/>
    <w:rsid w:val="002A484B"/>
    <w:rsid w:val="002A5149"/>
    <w:rsid w:val="002B1AD0"/>
    <w:rsid w:val="002B375F"/>
    <w:rsid w:val="002B4ECA"/>
    <w:rsid w:val="002B66EC"/>
    <w:rsid w:val="002C0E37"/>
    <w:rsid w:val="002C1B43"/>
    <w:rsid w:val="002C262B"/>
    <w:rsid w:val="002C2C1D"/>
    <w:rsid w:val="002C7C41"/>
    <w:rsid w:val="002D1704"/>
    <w:rsid w:val="002D2874"/>
    <w:rsid w:val="002D501C"/>
    <w:rsid w:val="002D5320"/>
    <w:rsid w:val="002E02BD"/>
    <w:rsid w:val="002E09A7"/>
    <w:rsid w:val="002E185E"/>
    <w:rsid w:val="002E408F"/>
    <w:rsid w:val="002E440A"/>
    <w:rsid w:val="002E44BB"/>
    <w:rsid w:val="002E4508"/>
    <w:rsid w:val="002E4760"/>
    <w:rsid w:val="002E6E88"/>
    <w:rsid w:val="002E702A"/>
    <w:rsid w:val="002F185C"/>
    <w:rsid w:val="002F2DDB"/>
    <w:rsid w:val="002F3137"/>
    <w:rsid w:val="003032AE"/>
    <w:rsid w:val="0030396A"/>
    <w:rsid w:val="0030445F"/>
    <w:rsid w:val="003053D7"/>
    <w:rsid w:val="003071BB"/>
    <w:rsid w:val="00307931"/>
    <w:rsid w:val="00307955"/>
    <w:rsid w:val="00310548"/>
    <w:rsid w:val="00313768"/>
    <w:rsid w:val="003149B6"/>
    <w:rsid w:val="00314DD1"/>
    <w:rsid w:val="00316D43"/>
    <w:rsid w:val="003174C1"/>
    <w:rsid w:val="0031768B"/>
    <w:rsid w:val="00317F87"/>
    <w:rsid w:val="003208D3"/>
    <w:rsid w:val="00321042"/>
    <w:rsid w:val="00323E43"/>
    <w:rsid w:val="00324229"/>
    <w:rsid w:val="00325B94"/>
    <w:rsid w:val="00325C08"/>
    <w:rsid w:val="003324CE"/>
    <w:rsid w:val="00332DEC"/>
    <w:rsid w:val="003334CA"/>
    <w:rsid w:val="003349E0"/>
    <w:rsid w:val="00334EA1"/>
    <w:rsid w:val="00337C19"/>
    <w:rsid w:val="00341831"/>
    <w:rsid w:val="00344F4B"/>
    <w:rsid w:val="00346659"/>
    <w:rsid w:val="0034760D"/>
    <w:rsid w:val="00347B1D"/>
    <w:rsid w:val="00347B7C"/>
    <w:rsid w:val="003508F6"/>
    <w:rsid w:val="00350DA7"/>
    <w:rsid w:val="003512AE"/>
    <w:rsid w:val="0035174B"/>
    <w:rsid w:val="00351CC7"/>
    <w:rsid w:val="003522B6"/>
    <w:rsid w:val="00354535"/>
    <w:rsid w:val="00356689"/>
    <w:rsid w:val="003639B8"/>
    <w:rsid w:val="00363A8D"/>
    <w:rsid w:val="00370188"/>
    <w:rsid w:val="00370A9C"/>
    <w:rsid w:val="0037100F"/>
    <w:rsid w:val="0037174C"/>
    <w:rsid w:val="00371889"/>
    <w:rsid w:val="0037376A"/>
    <w:rsid w:val="003751CA"/>
    <w:rsid w:val="00377DB3"/>
    <w:rsid w:val="003813B8"/>
    <w:rsid w:val="00382128"/>
    <w:rsid w:val="00382E47"/>
    <w:rsid w:val="003834A3"/>
    <w:rsid w:val="00383828"/>
    <w:rsid w:val="003873FA"/>
    <w:rsid w:val="00387881"/>
    <w:rsid w:val="00387D15"/>
    <w:rsid w:val="00393756"/>
    <w:rsid w:val="00393AC9"/>
    <w:rsid w:val="00397388"/>
    <w:rsid w:val="003A0DEA"/>
    <w:rsid w:val="003A1338"/>
    <w:rsid w:val="003A270E"/>
    <w:rsid w:val="003A450A"/>
    <w:rsid w:val="003A6B34"/>
    <w:rsid w:val="003A704A"/>
    <w:rsid w:val="003B0A21"/>
    <w:rsid w:val="003B571E"/>
    <w:rsid w:val="003C4D9B"/>
    <w:rsid w:val="003D00F4"/>
    <w:rsid w:val="003D1882"/>
    <w:rsid w:val="003D22CA"/>
    <w:rsid w:val="003D32B3"/>
    <w:rsid w:val="003D4955"/>
    <w:rsid w:val="003D6873"/>
    <w:rsid w:val="003D6B06"/>
    <w:rsid w:val="003D79E9"/>
    <w:rsid w:val="003E07F2"/>
    <w:rsid w:val="003E3224"/>
    <w:rsid w:val="003E3FF7"/>
    <w:rsid w:val="003F1D1D"/>
    <w:rsid w:val="003F3217"/>
    <w:rsid w:val="003F47C1"/>
    <w:rsid w:val="003F4DD0"/>
    <w:rsid w:val="003F4EEC"/>
    <w:rsid w:val="003F4F14"/>
    <w:rsid w:val="003F55ED"/>
    <w:rsid w:val="003F6F6C"/>
    <w:rsid w:val="00400D7D"/>
    <w:rsid w:val="0040332B"/>
    <w:rsid w:val="0040386D"/>
    <w:rsid w:val="00404BB4"/>
    <w:rsid w:val="004054FA"/>
    <w:rsid w:val="004068B8"/>
    <w:rsid w:val="00410C1E"/>
    <w:rsid w:val="0041426E"/>
    <w:rsid w:val="00416291"/>
    <w:rsid w:val="00417911"/>
    <w:rsid w:val="004203F3"/>
    <w:rsid w:val="00422016"/>
    <w:rsid w:val="00423C49"/>
    <w:rsid w:val="004262EE"/>
    <w:rsid w:val="00430F6A"/>
    <w:rsid w:val="004323AF"/>
    <w:rsid w:val="00433A20"/>
    <w:rsid w:val="004343B4"/>
    <w:rsid w:val="00436857"/>
    <w:rsid w:val="00437A4C"/>
    <w:rsid w:val="00437C79"/>
    <w:rsid w:val="00437CE0"/>
    <w:rsid w:val="00437F21"/>
    <w:rsid w:val="00445800"/>
    <w:rsid w:val="004463DD"/>
    <w:rsid w:val="004464B1"/>
    <w:rsid w:val="00446550"/>
    <w:rsid w:val="0044710D"/>
    <w:rsid w:val="00447E44"/>
    <w:rsid w:val="004503E9"/>
    <w:rsid w:val="004507CC"/>
    <w:rsid w:val="00451FC8"/>
    <w:rsid w:val="00455277"/>
    <w:rsid w:val="00456116"/>
    <w:rsid w:val="00456EED"/>
    <w:rsid w:val="004579DC"/>
    <w:rsid w:val="004610EC"/>
    <w:rsid w:val="00464459"/>
    <w:rsid w:val="00465653"/>
    <w:rsid w:val="00466A3A"/>
    <w:rsid w:val="004705E1"/>
    <w:rsid w:val="00470AF7"/>
    <w:rsid w:val="00472D7C"/>
    <w:rsid w:val="004732B4"/>
    <w:rsid w:val="00474312"/>
    <w:rsid w:val="00474D25"/>
    <w:rsid w:val="00476B8A"/>
    <w:rsid w:val="0047773F"/>
    <w:rsid w:val="0048158A"/>
    <w:rsid w:val="00483C94"/>
    <w:rsid w:val="00484701"/>
    <w:rsid w:val="0048575A"/>
    <w:rsid w:val="004865FC"/>
    <w:rsid w:val="00486611"/>
    <w:rsid w:val="00487A14"/>
    <w:rsid w:val="0049209B"/>
    <w:rsid w:val="00493683"/>
    <w:rsid w:val="004953E1"/>
    <w:rsid w:val="00495712"/>
    <w:rsid w:val="00495DD3"/>
    <w:rsid w:val="0049625E"/>
    <w:rsid w:val="004970B4"/>
    <w:rsid w:val="004A0E31"/>
    <w:rsid w:val="004A16AD"/>
    <w:rsid w:val="004A4798"/>
    <w:rsid w:val="004A4D76"/>
    <w:rsid w:val="004B2AFA"/>
    <w:rsid w:val="004B38C5"/>
    <w:rsid w:val="004B671E"/>
    <w:rsid w:val="004C1E57"/>
    <w:rsid w:val="004C1F1B"/>
    <w:rsid w:val="004C2851"/>
    <w:rsid w:val="004C3D9A"/>
    <w:rsid w:val="004C492D"/>
    <w:rsid w:val="004C6B14"/>
    <w:rsid w:val="004D0438"/>
    <w:rsid w:val="004D0DEF"/>
    <w:rsid w:val="004D589B"/>
    <w:rsid w:val="004D615D"/>
    <w:rsid w:val="004D699B"/>
    <w:rsid w:val="004D7B5F"/>
    <w:rsid w:val="004E1FE9"/>
    <w:rsid w:val="004E3905"/>
    <w:rsid w:val="004E511D"/>
    <w:rsid w:val="004E59BB"/>
    <w:rsid w:val="004F0278"/>
    <w:rsid w:val="004F22E9"/>
    <w:rsid w:val="004F4713"/>
    <w:rsid w:val="004F588B"/>
    <w:rsid w:val="004F6B32"/>
    <w:rsid w:val="00500140"/>
    <w:rsid w:val="00502B47"/>
    <w:rsid w:val="00503696"/>
    <w:rsid w:val="005064E6"/>
    <w:rsid w:val="005116B1"/>
    <w:rsid w:val="005116D8"/>
    <w:rsid w:val="00515860"/>
    <w:rsid w:val="005160FA"/>
    <w:rsid w:val="00516BC7"/>
    <w:rsid w:val="00520E6C"/>
    <w:rsid w:val="00521998"/>
    <w:rsid w:val="00521A04"/>
    <w:rsid w:val="00522967"/>
    <w:rsid w:val="0052354D"/>
    <w:rsid w:val="00523E7B"/>
    <w:rsid w:val="0052439F"/>
    <w:rsid w:val="00526736"/>
    <w:rsid w:val="00526C53"/>
    <w:rsid w:val="00526F70"/>
    <w:rsid w:val="00530FA6"/>
    <w:rsid w:val="00531D51"/>
    <w:rsid w:val="005322C4"/>
    <w:rsid w:val="005322D8"/>
    <w:rsid w:val="005340A3"/>
    <w:rsid w:val="0053522D"/>
    <w:rsid w:val="00535272"/>
    <w:rsid w:val="0053541E"/>
    <w:rsid w:val="00536207"/>
    <w:rsid w:val="00540746"/>
    <w:rsid w:val="00543411"/>
    <w:rsid w:val="00546877"/>
    <w:rsid w:val="00546B62"/>
    <w:rsid w:val="00547F07"/>
    <w:rsid w:val="00555267"/>
    <w:rsid w:val="00560B9C"/>
    <w:rsid w:val="00563084"/>
    <w:rsid w:val="00565F4D"/>
    <w:rsid w:val="00566C9E"/>
    <w:rsid w:val="00567B95"/>
    <w:rsid w:val="00570381"/>
    <w:rsid w:val="0057048D"/>
    <w:rsid w:val="00571C01"/>
    <w:rsid w:val="00573158"/>
    <w:rsid w:val="00575F3B"/>
    <w:rsid w:val="00576348"/>
    <w:rsid w:val="00576AAC"/>
    <w:rsid w:val="0057730B"/>
    <w:rsid w:val="00577F6B"/>
    <w:rsid w:val="00581B8B"/>
    <w:rsid w:val="005838CF"/>
    <w:rsid w:val="005866E7"/>
    <w:rsid w:val="00590163"/>
    <w:rsid w:val="00592E43"/>
    <w:rsid w:val="005942EB"/>
    <w:rsid w:val="005950ED"/>
    <w:rsid w:val="0059599F"/>
    <w:rsid w:val="005A0C7D"/>
    <w:rsid w:val="005A4969"/>
    <w:rsid w:val="005A66D8"/>
    <w:rsid w:val="005A7C5E"/>
    <w:rsid w:val="005B4C98"/>
    <w:rsid w:val="005B5BE4"/>
    <w:rsid w:val="005C0FE4"/>
    <w:rsid w:val="005C1938"/>
    <w:rsid w:val="005C2362"/>
    <w:rsid w:val="005C433A"/>
    <w:rsid w:val="005C462C"/>
    <w:rsid w:val="005C4691"/>
    <w:rsid w:val="005C73E7"/>
    <w:rsid w:val="005D17CA"/>
    <w:rsid w:val="005D300D"/>
    <w:rsid w:val="005D5235"/>
    <w:rsid w:val="005E0D28"/>
    <w:rsid w:val="005E2051"/>
    <w:rsid w:val="005E3A95"/>
    <w:rsid w:val="005E4BC6"/>
    <w:rsid w:val="005E51EF"/>
    <w:rsid w:val="005E681B"/>
    <w:rsid w:val="005E6C2E"/>
    <w:rsid w:val="005E787C"/>
    <w:rsid w:val="005F3026"/>
    <w:rsid w:val="005F45AD"/>
    <w:rsid w:val="005F59B2"/>
    <w:rsid w:val="005F5A12"/>
    <w:rsid w:val="005F7343"/>
    <w:rsid w:val="00600B9A"/>
    <w:rsid w:val="0060183E"/>
    <w:rsid w:val="006059D1"/>
    <w:rsid w:val="00605F2B"/>
    <w:rsid w:val="0060632C"/>
    <w:rsid w:val="0060672E"/>
    <w:rsid w:val="00606D76"/>
    <w:rsid w:val="00611119"/>
    <w:rsid w:val="00614D65"/>
    <w:rsid w:val="00615618"/>
    <w:rsid w:val="006209D7"/>
    <w:rsid w:val="00620CA2"/>
    <w:rsid w:val="00624013"/>
    <w:rsid w:val="006254E4"/>
    <w:rsid w:val="00626AA4"/>
    <w:rsid w:val="0063229D"/>
    <w:rsid w:val="00633BF2"/>
    <w:rsid w:val="00636AD4"/>
    <w:rsid w:val="00637D05"/>
    <w:rsid w:val="0064122C"/>
    <w:rsid w:val="0064144C"/>
    <w:rsid w:val="00641D52"/>
    <w:rsid w:val="00641F0A"/>
    <w:rsid w:val="0064228A"/>
    <w:rsid w:val="00644929"/>
    <w:rsid w:val="00645C1B"/>
    <w:rsid w:val="00647BE4"/>
    <w:rsid w:val="00647E9D"/>
    <w:rsid w:val="00647FB8"/>
    <w:rsid w:val="00651554"/>
    <w:rsid w:val="00652DA3"/>
    <w:rsid w:val="00652E6B"/>
    <w:rsid w:val="006537E9"/>
    <w:rsid w:val="00653C3D"/>
    <w:rsid w:val="00654B16"/>
    <w:rsid w:val="00656606"/>
    <w:rsid w:val="00664BA6"/>
    <w:rsid w:val="00664D86"/>
    <w:rsid w:val="006651C0"/>
    <w:rsid w:val="0067012B"/>
    <w:rsid w:val="00672D7A"/>
    <w:rsid w:val="00675825"/>
    <w:rsid w:val="006801CB"/>
    <w:rsid w:val="0068088E"/>
    <w:rsid w:val="00683F46"/>
    <w:rsid w:val="00684AA5"/>
    <w:rsid w:val="0068641C"/>
    <w:rsid w:val="00694570"/>
    <w:rsid w:val="00696025"/>
    <w:rsid w:val="00696C81"/>
    <w:rsid w:val="0069778A"/>
    <w:rsid w:val="006A025D"/>
    <w:rsid w:val="006A5ABB"/>
    <w:rsid w:val="006A6FC6"/>
    <w:rsid w:val="006B0B67"/>
    <w:rsid w:val="006B20A7"/>
    <w:rsid w:val="006B39D8"/>
    <w:rsid w:val="006B52E2"/>
    <w:rsid w:val="006B7510"/>
    <w:rsid w:val="006B7D0D"/>
    <w:rsid w:val="006C037B"/>
    <w:rsid w:val="006C239F"/>
    <w:rsid w:val="006C2BE2"/>
    <w:rsid w:val="006C53D5"/>
    <w:rsid w:val="006C562B"/>
    <w:rsid w:val="006D06A7"/>
    <w:rsid w:val="006D0865"/>
    <w:rsid w:val="006D0937"/>
    <w:rsid w:val="006D0CF5"/>
    <w:rsid w:val="006D0E2E"/>
    <w:rsid w:val="006D14B4"/>
    <w:rsid w:val="006D5741"/>
    <w:rsid w:val="006D6D78"/>
    <w:rsid w:val="006D709A"/>
    <w:rsid w:val="006E3D5C"/>
    <w:rsid w:val="006E45FE"/>
    <w:rsid w:val="006E76ED"/>
    <w:rsid w:val="006F185C"/>
    <w:rsid w:val="006F303A"/>
    <w:rsid w:val="006F32AB"/>
    <w:rsid w:val="006F3779"/>
    <w:rsid w:val="006F3C6F"/>
    <w:rsid w:val="006F4477"/>
    <w:rsid w:val="006F52F2"/>
    <w:rsid w:val="006F5D57"/>
    <w:rsid w:val="006F6C1D"/>
    <w:rsid w:val="007010D1"/>
    <w:rsid w:val="00701F67"/>
    <w:rsid w:val="007042BC"/>
    <w:rsid w:val="00705F5F"/>
    <w:rsid w:val="007074A9"/>
    <w:rsid w:val="00707B69"/>
    <w:rsid w:val="00707F69"/>
    <w:rsid w:val="007138F6"/>
    <w:rsid w:val="00715973"/>
    <w:rsid w:val="00722140"/>
    <w:rsid w:val="007233D8"/>
    <w:rsid w:val="00733AA2"/>
    <w:rsid w:val="00734EDC"/>
    <w:rsid w:val="0074028D"/>
    <w:rsid w:val="00740534"/>
    <w:rsid w:val="00740C58"/>
    <w:rsid w:val="00743A16"/>
    <w:rsid w:val="00743E00"/>
    <w:rsid w:val="0074484E"/>
    <w:rsid w:val="00747BCA"/>
    <w:rsid w:val="00747FF3"/>
    <w:rsid w:val="00750373"/>
    <w:rsid w:val="00752C67"/>
    <w:rsid w:val="007530CE"/>
    <w:rsid w:val="0075413F"/>
    <w:rsid w:val="0075473C"/>
    <w:rsid w:val="00757946"/>
    <w:rsid w:val="00763AFC"/>
    <w:rsid w:val="00766C2B"/>
    <w:rsid w:val="00770163"/>
    <w:rsid w:val="0077106A"/>
    <w:rsid w:val="007735B5"/>
    <w:rsid w:val="007737A7"/>
    <w:rsid w:val="00781078"/>
    <w:rsid w:val="0078146B"/>
    <w:rsid w:val="00781562"/>
    <w:rsid w:val="00790AE1"/>
    <w:rsid w:val="00792FAC"/>
    <w:rsid w:val="007933CB"/>
    <w:rsid w:val="00795002"/>
    <w:rsid w:val="007963A5"/>
    <w:rsid w:val="007A0F29"/>
    <w:rsid w:val="007A46B3"/>
    <w:rsid w:val="007A7875"/>
    <w:rsid w:val="007B2A3B"/>
    <w:rsid w:val="007B6218"/>
    <w:rsid w:val="007B6D89"/>
    <w:rsid w:val="007B7F36"/>
    <w:rsid w:val="007C22CE"/>
    <w:rsid w:val="007C3B8C"/>
    <w:rsid w:val="007C4C9F"/>
    <w:rsid w:val="007C5D4D"/>
    <w:rsid w:val="007C641E"/>
    <w:rsid w:val="007C64A1"/>
    <w:rsid w:val="007C757A"/>
    <w:rsid w:val="007D2131"/>
    <w:rsid w:val="007D24A1"/>
    <w:rsid w:val="007D5166"/>
    <w:rsid w:val="007E0079"/>
    <w:rsid w:val="007E2556"/>
    <w:rsid w:val="007E311C"/>
    <w:rsid w:val="007E77EF"/>
    <w:rsid w:val="007F142C"/>
    <w:rsid w:val="007F31B7"/>
    <w:rsid w:val="007F3F38"/>
    <w:rsid w:val="007F4231"/>
    <w:rsid w:val="007F556B"/>
    <w:rsid w:val="007F6038"/>
    <w:rsid w:val="007F7039"/>
    <w:rsid w:val="007F78EE"/>
    <w:rsid w:val="00802EC6"/>
    <w:rsid w:val="008054EC"/>
    <w:rsid w:val="00805617"/>
    <w:rsid w:val="00810497"/>
    <w:rsid w:val="008108CF"/>
    <w:rsid w:val="00812738"/>
    <w:rsid w:val="00812A3A"/>
    <w:rsid w:val="00813F81"/>
    <w:rsid w:val="0081485F"/>
    <w:rsid w:val="00822341"/>
    <w:rsid w:val="0082609E"/>
    <w:rsid w:val="00830B97"/>
    <w:rsid w:val="00832DE4"/>
    <w:rsid w:val="00832DE8"/>
    <w:rsid w:val="00833833"/>
    <w:rsid w:val="0083399E"/>
    <w:rsid w:val="0083532E"/>
    <w:rsid w:val="0083677B"/>
    <w:rsid w:val="00836B8F"/>
    <w:rsid w:val="00837F37"/>
    <w:rsid w:val="0084036B"/>
    <w:rsid w:val="0084185B"/>
    <w:rsid w:val="00842662"/>
    <w:rsid w:val="00846E9E"/>
    <w:rsid w:val="008476B9"/>
    <w:rsid w:val="00852CBF"/>
    <w:rsid w:val="00852CF7"/>
    <w:rsid w:val="00852D5B"/>
    <w:rsid w:val="00855226"/>
    <w:rsid w:val="00857D72"/>
    <w:rsid w:val="00857DAA"/>
    <w:rsid w:val="00860579"/>
    <w:rsid w:val="008623DA"/>
    <w:rsid w:val="0086367C"/>
    <w:rsid w:val="008653F2"/>
    <w:rsid w:val="00872982"/>
    <w:rsid w:val="00874AF0"/>
    <w:rsid w:val="0087575F"/>
    <w:rsid w:val="008817BF"/>
    <w:rsid w:val="00885720"/>
    <w:rsid w:val="00885DD1"/>
    <w:rsid w:val="00886E51"/>
    <w:rsid w:val="00887EB6"/>
    <w:rsid w:val="00892FC8"/>
    <w:rsid w:val="0089319E"/>
    <w:rsid w:val="008946B5"/>
    <w:rsid w:val="00895C8D"/>
    <w:rsid w:val="00896866"/>
    <w:rsid w:val="008A1F60"/>
    <w:rsid w:val="008A2BB6"/>
    <w:rsid w:val="008A30D8"/>
    <w:rsid w:val="008A4A8F"/>
    <w:rsid w:val="008A4BA4"/>
    <w:rsid w:val="008A61CB"/>
    <w:rsid w:val="008A7012"/>
    <w:rsid w:val="008A7156"/>
    <w:rsid w:val="008A7DCF"/>
    <w:rsid w:val="008B086E"/>
    <w:rsid w:val="008B1F24"/>
    <w:rsid w:val="008B3729"/>
    <w:rsid w:val="008B490E"/>
    <w:rsid w:val="008B71ED"/>
    <w:rsid w:val="008C2CAB"/>
    <w:rsid w:val="008C7F4D"/>
    <w:rsid w:val="008D1FBA"/>
    <w:rsid w:val="008D1FCB"/>
    <w:rsid w:val="008D2A7B"/>
    <w:rsid w:val="008D31E2"/>
    <w:rsid w:val="008D353E"/>
    <w:rsid w:val="008D4304"/>
    <w:rsid w:val="008D673C"/>
    <w:rsid w:val="008D7059"/>
    <w:rsid w:val="008D760C"/>
    <w:rsid w:val="008D78C1"/>
    <w:rsid w:val="008E2A83"/>
    <w:rsid w:val="008E5628"/>
    <w:rsid w:val="008F07EA"/>
    <w:rsid w:val="008F22BA"/>
    <w:rsid w:val="008F3689"/>
    <w:rsid w:val="008F5403"/>
    <w:rsid w:val="008F59CC"/>
    <w:rsid w:val="00904233"/>
    <w:rsid w:val="00910DB2"/>
    <w:rsid w:val="00913803"/>
    <w:rsid w:val="00914ED3"/>
    <w:rsid w:val="009159DB"/>
    <w:rsid w:val="00915E97"/>
    <w:rsid w:val="009163DE"/>
    <w:rsid w:val="00916EE3"/>
    <w:rsid w:val="009213D8"/>
    <w:rsid w:val="0092175F"/>
    <w:rsid w:val="00923066"/>
    <w:rsid w:val="00926A13"/>
    <w:rsid w:val="00930810"/>
    <w:rsid w:val="009317F8"/>
    <w:rsid w:val="00931F1B"/>
    <w:rsid w:val="009340FC"/>
    <w:rsid w:val="00935F82"/>
    <w:rsid w:val="00936BC5"/>
    <w:rsid w:val="0093781E"/>
    <w:rsid w:val="00941A3C"/>
    <w:rsid w:val="0094428C"/>
    <w:rsid w:val="00947248"/>
    <w:rsid w:val="009475D0"/>
    <w:rsid w:val="00952787"/>
    <w:rsid w:val="0095363B"/>
    <w:rsid w:val="00954735"/>
    <w:rsid w:val="009548D2"/>
    <w:rsid w:val="0095500D"/>
    <w:rsid w:val="00955E4B"/>
    <w:rsid w:val="00955EFB"/>
    <w:rsid w:val="00956F41"/>
    <w:rsid w:val="0095768A"/>
    <w:rsid w:val="00963564"/>
    <w:rsid w:val="0096631D"/>
    <w:rsid w:val="00967AEE"/>
    <w:rsid w:val="00967F7F"/>
    <w:rsid w:val="009712E0"/>
    <w:rsid w:val="00973471"/>
    <w:rsid w:val="00974B24"/>
    <w:rsid w:val="00977375"/>
    <w:rsid w:val="00977A37"/>
    <w:rsid w:val="009830A2"/>
    <w:rsid w:val="00985F1D"/>
    <w:rsid w:val="00987D5C"/>
    <w:rsid w:val="00987F4B"/>
    <w:rsid w:val="00995AA5"/>
    <w:rsid w:val="009969FC"/>
    <w:rsid w:val="009A5E9B"/>
    <w:rsid w:val="009A6B34"/>
    <w:rsid w:val="009A77AA"/>
    <w:rsid w:val="009A7AEC"/>
    <w:rsid w:val="009B12FE"/>
    <w:rsid w:val="009B4ABA"/>
    <w:rsid w:val="009B7B32"/>
    <w:rsid w:val="009B7DAA"/>
    <w:rsid w:val="009C01D6"/>
    <w:rsid w:val="009C3B0E"/>
    <w:rsid w:val="009C7096"/>
    <w:rsid w:val="009C7A76"/>
    <w:rsid w:val="009D147D"/>
    <w:rsid w:val="009D2D3B"/>
    <w:rsid w:val="009E0F26"/>
    <w:rsid w:val="009E4FF6"/>
    <w:rsid w:val="009E67B4"/>
    <w:rsid w:val="009E6A8A"/>
    <w:rsid w:val="009E75B0"/>
    <w:rsid w:val="009F5332"/>
    <w:rsid w:val="009F542C"/>
    <w:rsid w:val="009F5859"/>
    <w:rsid w:val="009F6267"/>
    <w:rsid w:val="00A00778"/>
    <w:rsid w:val="00A00951"/>
    <w:rsid w:val="00A01B04"/>
    <w:rsid w:val="00A01D6D"/>
    <w:rsid w:val="00A01E06"/>
    <w:rsid w:val="00A025EA"/>
    <w:rsid w:val="00A03E97"/>
    <w:rsid w:val="00A04A86"/>
    <w:rsid w:val="00A04AF2"/>
    <w:rsid w:val="00A04C97"/>
    <w:rsid w:val="00A077D2"/>
    <w:rsid w:val="00A07CFC"/>
    <w:rsid w:val="00A12B9B"/>
    <w:rsid w:val="00A1525F"/>
    <w:rsid w:val="00A15E5B"/>
    <w:rsid w:val="00A228F6"/>
    <w:rsid w:val="00A231A0"/>
    <w:rsid w:val="00A24017"/>
    <w:rsid w:val="00A244E2"/>
    <w:rsid w:val="00A27340"/>
    <w:rsid w:val="00A31BB9"/>
    <w:rsid w:val="00A33C7C"/>
    <w:rsid w:val="00A3758D"/>
    <w:rsid w:val="00A40336"/>
    <w:rsid w:val="00A41E15"/>
    <w:rsid w:val="00A42F46"/>
    <w:rsid w:val="00A44587"/>
    <w:rsid w:val="00A4489C"/>
    <w:rsid w:val="00A50AF3"/>
    <w:rsid w:val="00A513A3"/>
    <w:rsid w:val="00A515BF"/>
    <w:rsid w:val="00A54E5C"/>
    <w:rsid w:val="00A55B8F"/>
    <w:rsid w:val="00A57816"/>
    <w:rsid w:val="00A602DB"/>
    <w:rsid w:val="00A62640"/>
    <w:rsid w:val="00A62991"/>
    <w:rsid w:val="00A655B6"/>
    <w:rsid w:val="00A70909"/>
    <w:rsid w:val="00A72136"/>
    <w:rsid w:val="00A74EF3"/>
    <w:rsid w:val="00A77C50"/>
    <w:rsid w:val="00A83AA8"/>
    <w:rsid w:val="00A84D71"/>
    <w:rsid w:val="00A91BE7"/>
    <w:rsid w:val="00A979A9"/>
    <w:rsid w:val="00A97AC9"/>
    <w:rsid w:val="00AA22D5"/>
    <w:rsid w:val="00AA24F5"/>
    <w:rsid w:val="00AA53EF"/>
    <w:rsid w:val="00AA68C6"/>
    <w:rsid w:val="00AB3EE8"/>
    <w:rsid w:val="00AB4A54"/>
    <w:rsid w:val="00AB5D64"/>
    <w:rsid w:val="00AC180C"/>
    <w:rsid w:val="00AC28C8"/>
    <w:rsid w:val="00AD0BA8"/>
    <w:rsid w:val="00AD0F9C"/>
    <w:rsid w:val="00AD33BE"/>
    <w:rsid w:val="00AD3C48"/>
    <w:rsid w:val="00AD3FED"/>
    <w:rsid w:val="00AD440B"/>
    <w:rsid w:val="00AD51B9"/>
    <w:rsid w:val="00AE1529"/>
    <w:rsid w:val="00AE18DC"/>
    <w:rsid w:val="00AE3A27"/>
    <w:rsid w:val="00AE6ACE"/>
    <w:rsid w:val="00AE6EB8"/>
    <w:rsid w:val="00AF0879"/>
    <w:rsid w:val="00AF132C"/>
    <w:rsid w:val="00AF2F8A"/>
    <w:rsid w:val="00AF5619"/>
    <w:rsid w:val="00AF6F0A"/>
    <w:rsid w:val="00AF7633"/>
    <w:rsid w:val="00AF7772"/>
    <w:rsid w:val="00B00883"/>
    <w:rsid w:val="00B028CF"/>
    <w:rsid w:val="00B03CC1"/>
    <w:rsid w:val="00B042BE"/>
    <w:rsid w:val="00B048A4"/>
    <w:rsid w:val="00B05DE0"/>
    <w:rsid w:val="00B06883"/>
    <w:rsid w:val="00B070A9"/>
    <w:rsid w:val="00B11687"/>
    <w:rsid w:val="00B168C1"/>
    <w:rsid w:val="00B16B09"/>
    <w:rsid w:val="00B16C6C"/>
    <w:rsid w:val="00B175E5"/>
    <w:rsid w:val="00B17CCF"/>
    <w:rsid w:val="00B21AE0"/>
    <w:rsid w:val="00B30A4B"/>
    <w:rsid w:val="00B36A1A"/>
    <w:rsid w:val="00B408B7"/>
    <w:rsid w:val="00B41863"/>
    <w:rsid w:val="00B4366D"/>
    <w:rsid w:val="00B4463B"/>
    <w:rsid w:val="00B451AA"/>
    <w:rsid w:val="00B45684"/>
    <w:rsid w:val="00B45D74"/>
    <w:rsid w:val="00B470EC"/>
    <w:rsid w:val="00B5023D"/>
    <w:rsid w:val="00B5122C"/>
    <w:rsid w:val="00B60FB0"/>
    <w:rsid w:val="00B61860"/>
    <w:rsid w:val="00B70A0F"/>
    <w:rsid w:val="00B75F7C"/>
    <w:rsid w:val="00B760E9"/>
    <w:rsid w:val="00B80261"/>
    <w:rsid w:val="00B82D6B"/>
    <w:rsid w:val="00B83B49"/>
    <w:rsid w:val="00B84596"/>
    <w:rsid w:val="00B90FED"/>
    <w:rsid w:val="00B954C1"/>
    <w:rsid w:val="00B95CB5"/>
    <w:rsid w:val="00B95CC0"/>
    <w:rsid w:val="00B96F5E"/>
    <w:rsid w:val="00B97240"/>
    <w:rsid w:val="00BA7B2A"/>
    <w:rsid w:val="00BB09FA"/>
    <w:rsid w:val="00BB23EE"/>
    <w:rsid w:val="00BB2F75"/>
    <w:rsid w:val="00BB3C15"/>
    <w:rsid w:val="00BB6806"/>
    <w:rsid w:val="00BB796B"/>
    <w:rsid w:val="00BC0306"/>
    <w:rsid w:val="00BC1AD6"/>
    <w:rsid w:val="00BC7312"/>
    <w:rsid w:val="00BC73D8"/>
    <w:rsid w:val="00BD2787"/>
    <w:rsid w:val="00BD4581"/>
    <w:rsid w:val="00BD76CE"/>
    <w:rsid w:val="00BD7DD0"/>
    <w:rsid w:val="00BD7ECD"/>
    <w:rsid w:val="00BE1B0B"/>
    <w:rsid w:val="00BE43A5"/>
    <w:rsid w:val="00BE5190"/>
    <w:rsid w:val="00BE6D87"/>
    <w:rsid w:val="00BE74C7"/>
    <w:rsid w:val="00BF302B"/>
    <w:rsid w:val="00BF35B8"/>
    <w:rsid w:val="00BF52FF"/>
    <w:rsid w:val="00BF6B39"/>
    <w:rsid w:val="00BF7463"/>
    <w:rsid w:val="00C013D6"/>
    <w:rsid w:val="00C015C4"/>
    <w:rsid w:val="00C01E66"/>
    <w:rsid w:val="00C03BFE"/>
    <w:rsid w:val="00C03F22"/>
    <w:rsid w:val="00C04157"/>
    <w:rsid w:val="00C0543F"/>
    <w:rsid w:val="00C06551"/>
    <w:rsid w:val="00C06744"/>
    <w:rsid w:val="00C0702E"/>
    <w:rsid w:val="00C07B67"/>
    <w:rsid w:val="00C103B8"/>
    <w:rsid w:val="00C10BC1"/>
    <w:rsid w:val="00C1122A"/>
    <w:rsid w:val="00C11AAB"/>
    <w:rsid w:val="00C13846"/>
    <w:rsid w:val="00C14175"/>
    <w:rsid w:val="00C1584E"/>
    <w:rsid w:val="00C15922"/>
    <w:rsid w:val="00C176FD"/>
    <w:rsid w:val="00C21BF0"/>
    <w:rsid w:val="00C22061"/>
    <w:rsid w:val="00C22895"/>
    <w:rsid w:val="00C244BD"/>
    <w:rsid w:val="00C26CDA"/>
    <w:rsid w:val="00C2754A"/>
    <w:rsid w:val="00C27E3F"/>
    <w:rsid w:val="00C30E9B"/>
    <w:rsid w:val="00C32DEB"/>
    <w:rsid w:val="00C32E22"/>
    <w:rsid w:val="00C3425D"/>
    <w:rsid w:val="00C352A9"/>
    <w:rsid w:val="00C40734"/>
    <w:rsid w:val="00C40835"/>
    <w:rsid w:val="00C43D9F"/>
    <w:rsid w:val="00C44F4E"/>
    <w:rsid w:val="00C45097"/>
    <w:rsid w:val="00C46EC7"/>
    <w:rsid w:val="00C50143"/>
    <w:rsid w:val="00C51A63"/>
    <w:rsid w:val="00C54A26"/>
    <w:rsid w:val="00C57CBF"/>
    <w:rsid w:val="00C612E1"/>
    <w:rsid w:val="00C61F67"/>
    <w:rsid w:val="00C62259"/>
    <w:rsid w:val="00C625D6"/>
    <w:rsid w:val="00C62F7A"/>
    <w:rsid w:val="00C642F0"/>
    <w:rsid w:val="00C65BE9"/>
    <w:rsid w:val="00C6620F"/>
    <w:rsid w:val="00C66D63"/>
    <w:rsid w:val="00C67242"/>
    <w:rsid w:val="00C70F79"/>
    <w:rsid w:val="00C7234E"/>
    <w:rsid w:val="00C7331D"/>
    <w:rsid w:val="00C7529F"/>
    <w:rsid w:val="00C75340"/>
    <w:rsid w:val="00C820F2"/>
    <w:rsid w:val="00C83C27"/>
    <w:rsid w:val="00C8571F"/>
    <w:rsid w:val="00C85F54"/>
    <w:rsid w:val="00C9008D"/>
    <w:rsid w:val="00C90AA7"/>
    <w:rsid w:val="00C92036"/>
    <w:rsid w:val="00C9681E"/>
    <w:rsid w:val="00C97CC2"/>
    <w:rsid w:val="00CA0ABA"/>
    <w:rsid w:val="00CA6BC7"/>
    <w:rsid w:val="00CA79BE"/>
    <w:rsid w:val="00CB1727"/>
    <w:rsid w:val="00CB1D10"/>
    <w:rsid w:val="00CB2A6C"/>
    <w:rsid w:val="00CB3391"/>
    <w:rsid w:val="00CB41BC"/>
    <w:rsid w:val="00CB4DCB"/>
    <w:rsid w:val="00CB5403"/>
    <w:rsid w:val="00CB7ECA"/>
    <w:rsid w:val="00CC1677"/>
    <w:rsid w:val="00CC201E"/>
    <w:rsid w:val="00CC3A21"/>
    <w:rsid w:val="00CC583A"/>
    <w:rsid w:val="00CC62F3"/>
    <w:rsid w:val="00CC6EC9"/>
    <w:rsid w:val="00CC7BB6"/>
    <w:rsid w:val="00CD0D3A"/>
    <w:rsid w:val="00CD1F41"/>
    <w:rsid w:val="00CD312E"/>
    <w:rsid w:val="00CD5809"/>
    <w:rsid w:val="00CD6258"/>
    <w:rsid w:val="00CD7B6C"/>
    <w:rsid w:val="00CE00CE"/>
    <w:rsid w:val="00CE0178"/>
    <w:rsid w:val="00CE1312"/>
    <w:rsid w:val="00CE7338"/>
    <w:rsid w:val="00CE7C5C"/>
    <w:rsid w:val="00CF3AFC"/>
    <w:rsid w:val="00CF6C86"/>
    <w:rsid w:val="00CF7423"/>
    <w:rsid w:val="00CF7E39"/>
    <w:rsid w:val="00D00A9B"/>
    <w:rsid w:val="00D02EAD"/>
    <w:rsid w:val="00D07B47"/>
    <w:rsid w:val="00D07EAC"/>
    <w:rsid w:val="00D1009D"/>
    <w:rsid w:val="00D115C8"/>
    <w:rsid w:val="00D146A3"/>
    <w:rsid w:val="00D15D6A"/>
    <w:rsid w:val="00D2084D"/>
    <w:rsid w:val="00D215C1"/>
    <w:rsid w:val="00D221E4"/>
    <w:rsid w:val="00D244A8"/>
    <w:rsid w:val="00D25EAD"/>
    <w:rsid w:val="00D304E3"/>
    <w:rsid w:val="00D331F0"/>
    <w:rsid w:val="00D41444"/>
    <w:rsid w:val="00D42AE6"/>
    <w:rsid w:val="00D43806"/>
    <w:rsid w:val="00D43971"/>
    <w:rsid w:val="00D44277"/>
    <w:rsid w:val="00D478D6"/>
    <w:rsid w:val="00D52D77"/>
    <w:rsid w:val="00D538E2"/>
    <w:rsid w:val="00D53A5E"/>
    <w:rsid w:val="00D5435D"/>
    <w:rsid w:val="00D546DB"/>
    <w:rsid w:val="00D54E62"/>
    <w:rsid w:val="00D5699E"/>
    <w:rsid w:val="00D57596"/>
    <w:rsid w:val="00D6031A"/>
    <w:rsid w:val="00D624D4"/>
    <w:rsid w:val="00D63370"/>
    <w:rsid w:val="00D648AF"/>
    <w:rsid w:val="00D668E7"/>
    <w:rsid w:val="00D672B6"/>
    <w:rsid w:val="00D7007C"/>
    <w:rsid w:val="00D72057"/>
    <w:rsid w:val="00D7328A"/>
    <w:rsid w:val="00D73B95"/>
    <w:rsid w:val="00D747D1"/>
    <w:rsid w:val="00D764A1"/>
    <w:rsid w:val="00D804EF"/>
    <w:rsid w:val="00D819C1"/>
    <w:rsid w:val="00D86027"/>
    <w:rsid w:val="00D8759D"/>
    <w:rsid w:val="00D90347"/>
    <w:rsid w:val="00D9046C"/>
    <w:rsid w:val="00D9199C"/>
    <w:rsid w:val="00D91D2D"/>
    <w:rsid w:val="00D94B68"/>
    <w:rsid w:val="00D9500C"/>
    <w:rsid w:val="00D9684D"/>
    <w:rsid w:val="00D97355"/>
    <w:rsid w:val="00DA1AB8"/>
    <w:rsid w:val="00DA24FD"/>
    <w:rsid w:val="00DA6DD4"/>
    <w:rsid w:val="00DB2021"/>
    <w:rsid w:val="00DB2048"/>
    <w:rsid w:val="00DC228D"/>
    <w:rsid w:val="00DC2BD8"/>
    <w:rsid w:val="00DC54BF"/>
    <w:rsid w:val="00DC791B"/>
    <w:rsid w:val="00DD6AE9"/>
    <w:rsid w:val="00DD6C17"/>
    <w:rsid w:val="00DE0566"/>
    <w:rsid w:val="00DE093E"/>
    <w:rsid w:val="00DE2673"/>
    <w:rsid w:val="00DE3870"/>
    <w:rsid w:val="00DE4B59"/>
    <w:rsid w:val="00DE5429"/>
    <w:rsid w:val="00DE6DB7"/>
    <w:rsid w:val="00DF0B13"/>
    <w:rsid w:val="00DF1AEE"/>
    <w:rsid w:val="00DF76A1"/>
    <w:rsid w:val="00DF7BC2"/>
    <w:rsid w:val="00DF7C11"/>
    <w:rsid w:val="00DF7C48"/>
    <w:rsid w:val="00E01D48"/>
    <w:rsid w:val="00E04497"/>
    <w:rsid w:val="00E04855"/>
    <w:rsid w:val="00E04DBB"/>
    <w:rsid w:val="00E06CBC"/>
    <w:rsid w:val="00E06DFB"/>
    <w:rsid w:val="00E10C25"/>
    <w:rsid w:val="00E11CE0"/>
    <w:rsid w:val="00E1354E"/>
    <w:rsid w:val="00E22AFC"/>
    <w:rsid w:val="00E24074"/>
    <w:rsid w:val="00E26A94"/>
    <w:rsid w:val="00E27D90"/>
    <w:rsid w:val="00E31DFA"/>
    <w:rsid w:val="00E32116"/>
    <w:rsid w:val="00E3281E"/>
    <w:rsid w:val="00E350E3"/>
    <w:rsid w:val="00E353BC"/>
    <w:rsid w:val="00E4008B"/>
    <w:rsid w:val="00E402D1"/>
    <w:rsid w:val="00E40BF1"/>
    <w:rsid w:val="00E478EA"/>
    <w:rsid w:val="00E47EDF"/>
    <w:rsid w:val="00E56358"/>
    <w:rsid w:val="00E6380D"/>
    <w:rsid w:val="00E6385D"/>
    <w:rsid w:val="00E65989"/>
    <w:rsid w:val="00E65B58"/>
    <w:rsid w:val="00E71A89"/>
    <w:rsid w:val="00E748B5"/>
    <w:rsid w:val="00E7622A"/>
    <w:rsid w:val="00E77702"/>
    <w:rsid w:val="00E86D11"/>
    <w:rsid w:val="00E9615D"/>
    <w:rsid w:val="00E97CE0"/>
    <w:rsid w:val="00EA0057"/>
    <w:rsid w:val="00EA1C3F"/>
    <w:rsid w:val="00EA1F0A"/>
    <w:rsid w:val="00EA39F5"/>
    <w:rsid w:val="00EA46EE"/>
    <w:rsid w:val="00EA57D5"/>
    <w:rsid w:val="00EA68B3"/>
    <w:rsid w:val="00EB054D"/>
    <w:rsid w:val="00EB1968"/>
    <w:rsid w:val="00EB19F5"/>
    <w:rsid w:val="00EB2AB4"/>
    <w:rsid w:val="00EB516D"/>
    <w:rsid w:val="00EB6E72"/>
    <w:rsid w:val="00EB73DE"/>
    <w:rsid w:val="00EC294E"/>
    <w:rsid w:val="00EC5164"/>
    <w:rsid w:val="00EC6A8D"/>
    <w:rsid w:val="00ED077C"/>
    <w:rsid w:val="00ED0FAF"/>
    <w:rsid w:val="00ED108F"/>
    <w:rsid w:val="00ED17FF"/>
    <w:rsid w:val="00ED1CCF"/>
    <w:rsid w:val="00ED3D3C"/>
    <w:rsid w:val="00ED3F33"/>
    <w:rsid w:val="00ED4E25"/>
    <w:rsid w:val="00ED4F7A"/>
    <w:rsid w:val="00ED721F"/>
    <w:rsid w:val="00EE0178"/>
    <w:rsid w:val="00EE0E0C"/>
    <w:rsid w:val="00EE1F3B"/>
    <w:rsid w:val="00EE3A27"/>
    <w:rsid w:val="00EE45CF"/>
    <w:rsid w:val="00EE6147"/>
    <w:rsid w:val="00EE675C"/>
    <w:rsid w:val="00EE7A2F"/>
    <w:rsid w:val="00EF0125"/>
    <w:rsid w:val="00EF0BE0"/>
    <w:rsid w:val="00EF20D4"/>
    <w:rsid w:val="00EF6034"/>
    <w:rsid w:val="00EF7370"/>
    <w:rsid w:val="00F036AC"/>
    <w:rsid w:val="00F03E84"/>
    <w:rsid w:val="00F04BAA"/>
    <w:rsid w:val="00F10653"/>
    <w:rsid w:val="00F11996"/>
    <w:rsid w:val="00F23B9B"/>
    <w:rsid w:val="00F23EBA"/>
    <w:rsid w:val="00F255C3"/>
    <w:rsid w:val="00F27F25"/>
    <w:rsid w:val="00F30716"/>
    <w:rsid w:val="00F3272C"/>
    <w:rsid w:val="00F34236"/>
    <w:rsid w:val="00F34FA5"/>
    <w:rsid w:val="00F42A9F"/>
    <w:rsid w:val="00F43159"/>
    <w:rsid w:val="00F46C75"/>
    <w:rsid w:val="00F47731"/>
    <w:rsid w:val="00F511DF"/>
    <w:rsid w:val="00F5176D"/>
    <w:rsid w:val="00F51B3F"/>
    <w:rsid w:val="00F52A91"/>
    <w:rsid w:val="00F546CF"/>
    <w:rsid w:val="00F5643C"/>
    <w:rsid w:val="00F639A5"/>
    <w:rsid w:val="00F66D0E"/>
    <w:rsid w:val="00F70CBF"/>
    <w:rsid w:val="00F71801"/>
    <w:rsid w:val="00F731F0"/>
    <w:rsid w:val="00F74716"/>
    <w:rsid w:val="00F756F1"/>
    <w:rsid w:val="00F8025E"/>
    <w:rsid w:val="00F80401"/>
    <w:rsid w:val="00F81EE7"/>
    <w:rsid w:val="00F81FB5"/>
    <w:rsid w:val="00F82E48"/>
    <w:rsid w:val="00F83115"/>
    <w:rsid w:val="00F84893"/>
    <w:rsid w:val="00F85ACA"/>
    <w:rsid w:val="00F8673E"/>
    <w:rsid w:val="00F904F5"/>
    <w:rsid w:val="00F945B1"/>
    <w:rsid w:val="00FA082B"/>
    <w:rsid w:val="00FA1557"/>
    <w:rsid w:val="00FA2B9E"/>
    <w:rsid w:val="00FA4CF0"/>
    <w:rsid w:val="00FA6994"/>
    <w:rsid w:val="00FA7FF0"/>
    <w:rsid w:val="00FB0414"/>
    <w:rsid w:val="00FB0704"/>
    <w:rsid w:val="00FB07CC"/>
    <w:rsid w:val="00FB30A0"/>
    <w:rsid w:val="00FB36FA"/>
    <w:rsid w:val="00FB49F4"/>
    <w:rsid w:val="00FB659C"/>
    <w:rsid w:val="00FC19F0"/>
    <w:rsid w:val="00FC3A98"/>
    <w:rsid w:val="00FC4BB1"/>
    <w:rsid w:val="00FC7200"/>
    <w:rsid w:val="00FC7B23"/>
    <w:rsid w:val="00FD12E1"/>
    <w:rsid w:val="00FD2A26"/>
    <w:rsid w:val="00FD4BC1"/>
    <w:rsid w:val="00FD6703"/>
    <w:rsid w:val="00FE0450"/>
    <w:rsid w:val="00FE292E"/>
    <w:rsid w:val="00FE3888"/>
    <w:rsid w:val="00FF08CD"/>
    <w:rsid w:val="00FF0D41"/>
    <w:rsid w:val="00FF220F"/>
    <w:rsid w:val="00FF6AE1"/>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7AD0"/>
  <w15:docId w15:val="{544780C3-0325-4D41-91D1-34D5AEE2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A4C"/>
  </w:style>
  <w:style w:type="paragraph" w:styleId="Heading1">
    <w:name w:val="heading 1"/>
    <w:basedOn w:val="Normal"/>
    <w:next w:val="Normal"/>
    <w:link w:val="Heading1Char"/>
    <w:uiPriority w:val="9"/>
    <w:qFormat/>
    <w:rsid w:val="00155B37"/>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155B37"/>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unhideWhenUsed/>
    <w:qFormat/>
    <w:rsid w:val="00155B37"/>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unhideWhenUsed/>
    <w:qFormat/>
    <w:rsid w:val="00155B37"/>
    <w:pPr>
      <w:keepNext/>
      <w:spacing w:before="240" w:after="60" w:line="240" w:lineRule="auto"/>
      <w:outlineLvl w:val="3"/>
    </w:pPr>
    <w:rPr>
      <w:rFonts w:ascii="Times New Roman" w:eastAsiaTheme="minorEastAsia" w:hAnsi="Times New Roman" w:cs="Times New Roman"/>
      <w:b/>
      <w:bCs/>
      <w:sz w:val="28"/>
      <w:szCs w:val="28"/>
    </w:rPr>
  </w:style>
  <w:style w:type="paragraph" w:styleId="Heading5">
    <w:name w:val="heading 5"/>
    <w:basedOn w:val="Normal"/>
    <w:next w:val="Normal"/>
    <w:link w:val="Heading5Char"/>
    <w:uiPriority w:val="9"/>
    <w:semiHidden/>
    <w:unhideWhenUsed/>
    <w:qFormat/>
    <w:rsid w:val="00155B37"/>
    <w:pPr>
      <w:spacing w:before="240" w:after="60" w:line="240" w:lineRule="auto"/>
      <w:outlineLvl w:val="4"/>
    </w:pPr>
    <w:rPr>
      <w:rFonts w:ascii="Times New Roman" w:eastAsiaTheme="minorEastAsia"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55B37"/>
    <w:pPr>
      <w:spacing w:before="240" w:after="60" w:line="240" w:lineRule="auto"/>
      <w:outlineLvl w:val="5"/>
    </w:pPr>
    <w:rPr>
      <w:rFonts w:ascii="Times New Roman" w:eastAsiaTheme="minorEastAsia" w:hAnsi="Times New Roman" w:cs="Times New Roman"/>
      <w:b/>
      <w:bCs/>
    </w:rPr>
  </w:style>
  <w:style w:type="paragraph" w:styleId="Heading7">
    <w:name w:val="heading 7"/>
    <w:basedOn w:val="Normal"/>
    <w:next w:val="Normal"/>
    <w:link w:val="Heading7Char"/>
    <w:uiPriority w:val="9"/>
    <w:semiHidden/>
    <w:unhideWhenUsed/>
    <w:qFormat/>
    <w:rsid w:val="00155B37"/>
    <w:pPr>
      <w:spacing w:before="240" w:after="60" w:line="240" w:lineRule="auto"/>
      <w:outlineLvl w:val="6"/>
    </w:pPr>
    <w:rPr>
      <w:rFonts w:ascii="Times New Roman" w:eastAsiaTheme="minorEastAsia" w:hAnsi="Times New Roman" w:cs="Times New Roman"/>
      <w:sz w:val="24"/>
      <w:szCs w:val="24"/>
    </w:rPr>
  </w:style>
  <w:style w:type="paragraph" w:styleId="Heading8">
    <w:name w:val="heading 8"/>
    <w:basedOn w:val="Normal"/>
    <w:next w:val="Normal"/>
    <w:link w:val="Heading8Char"/>
    <w:uiPriority w:val="9"/>
    <w:semiHidden/>
    <w:unhideWhenUsed/>
    <w:qFormat/>
    <w:rsid w:val="00155B37"/>
    <w:pPr>
      <w:spacing w:before="240" w:after="60" w:line="240" w:lineRule="auto"/>
      <w:outlineLvl w:val="7"/>
    </w:pPr>
    <w:rPr>
      <w:rFonts w:ascii="Times New Roman" w:eastAsiaTheme="minorEastAsia" w:hAnsi="Times New Roman" w:cs="Times New Roman"/>
      <w:i/>
      <w:iCs/>
      <w:sz w:val="24"/>
      <w:szCs w:val="24"/>
    </w:rPr>
  </w:style>
  <w:style w:type="paragraph" w:styleId="Heading9">
    <w:name w:val="heading 9"/>
    <w:basedOn w:val="Normal"/>
    <w:next w:val="Normal"/>
    <w:link w:val="Heading9Char"/>
    <w:uiPriority w:val="9"/>
    <w:semiHidden/>
    <w:unhideWhenUsed/>
    <w:qFormat/>
    <w:rsid w:val="00155B37"/>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7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A4C"/>
    <w:rPr>
      <w:sz w:val="20"/>
      <w:szCs w:val="20"/>
    </w:rPr>
  </w:style>
  <w:style w:type="paragraph" w:styleId="Footer">
    <w:name w:val="footer"/>
    <w:basedOn w:val="Normal"/>
    <w:link w:val="FooterChar"/>
    <w:uiPriority w:val="99"/>
    <w:unhideWhenUsed/>
    <w:rsid w:val="0043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4C"/>
  </w:style>
  <w:style w:type="character" w:styleId="PageNumber">
    <w:name w:val="page number"/>
    <w:basedOn w:val="DefaultParagraphFont"/>
    <w:rsid w:val="00437A4C"/>
  </w:style>
  <w:style w:type="character" w:styleId="FootnoteReference">
    <w:name w:val="footnote reference"/>
    <w:aliases w:val="o,fr"/>
    <w:rsid w:val="00437A4C"/>
    <w:rPr>
      <w:vertAlign w:val="superscript"/>
    </w:rPr>
  </w:style>
  <w:style w:type="character" w:styleId="Hyperlink">
    <w:name w:val="Hyperlink"/>
    <w:rsid w:val="00437A4C"/>
    <w:rPr>
      <w:color w:val="0000FF"/>
      <w:u w:val="single"/>
    </w:rPr>
  </w:style>
  <w:style w:type="character" w:customStyle="1" w:styleId="Heading1Char">
    <w:name w:val="Heading 1 Char"/>
    <w:basedOn w:val="DefaultParagraphFont"/>
    <w:link w:val="Heading1"/>
    <w:uiPriority w:val="9"/>
    <w:rsid w:val="00155B37"/>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155B37"/>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rsid w:val="00155B37"/>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rsid w:val="00155B37"/>
    <w:rPr>
      <w:rFonts w:ascii="Times New Roman" w:eastAsiaTheme="minorEastAsia" w:hAnsi="Times New Roman" w:cs="Times New Roman"/>
      <w:b/>
      <w:bCs/>
      <w:sz w:val="28"/>
      <w:szCs w:val="28"/>
    </w:rPr>
  </w:style>
  <w:style w:type="character" w:customStyle="1" w:styleId="Heading5Char">
    <w:name w:val="Heading 5 Char"/>
    <w:basedOn w:val="DefaultParagraphFont"/>
    <w:link w:val="Heading5"/>
    <w:uiPriority w:val="9"/>
    <w:semiHidden/>
    <w:rsid w:val="00155B37"/>
    <w:rPr>
      <w:rFonts w:ascii="Times New Roman" w:eastAsiaTheme="minorEastAsia" w:hAnsi="Times New Roman" w:cs="Times New Roman"/>
      <w:b/>
      <w:bCs/>
      <w:i/>
      <w:iCs/>
      <w:sz w:val="26"/>
      <w:szCs w:val="26"/>
    </w:rPr>
  </w:style>
  <w:style w:type="character" w:customStyle="1" w:styleId="Heading6Char">
    <w:name w:val="Heading 6 Char"/>
    <w:basedOn w:val="DefaultParagraphFont"/>
    <w:link w:val="Heading6"/>
    <w:uiPriority w:val="9"/>
    <w:semiHidden/>
    <w:rsid w:val="00155B37"/>
    <w:rPr>
      <w:rFonts w:ascii="Times New Roman" w:eastAsiaTheme="minorEastAsia" w:hAnsi="Times New Roman" w:cs="Times New Roman"/>
      <w:b/>
      <w:bCs/>
    </w:rPr>
  </w:style>
  <w:style w:type="character" w:customStyle="1" w:styleId="Heading7Char">
    <w:name w:val="Heading 7 Char"/>
    <w:basedOn w:val="DefaultParagraphFont"/>
    <w:link w:val="Heading7"/>
    <w:uiPriority w:val="9"/>
    <w:semiHidden/>
    <w:rsid w:val="00155B37"/>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semiHidden/>
    <w:rsid w:val="00155B37"/>
    <w:rPr>
      <w:rFonts w:ascii="Times New Roman" w:eastAsiaTheme="minorEastAsia" w:hAnsi="Times New Roman" w:cs="Times New Roman"/>
      <w:i/>
      <w:iCs/>
      <w:sz w:val="24"/>
      <w:szCs w:val="24"/>
    </w:rPr>
  </w:style>
  <w:style w:type="character" w:customStyle="1" w:styleId="Heading9Char">
    <w:name w:val="Heading 9 Char"/>
    <w:basedOn w:val="DefaultParagraphFont"/>
    <w:link w:val="Heading9"/>
    <w:uiPriority w:val="9"/>
    <w:semiHidden/>
    <w:rsid w:val="00155B37"/>
    <w:rPr>
      <w:rFonts w:asciiTheme="majorHAnsi" w:eastAsiaTheme="majorEastAsia" w:hAnsiTheme="majorHAnsi" w:cs="Times New Roman"/>
    </w:rPr>
  </w:style>
  <w:style w:type="numbering" w:customStyle="1" w:styleId="NoList1">
    <w:name w:val="No List1"/>
    <w:next w:val="NoList"/>
    <w:uiPriority w:val="99"/>
    <w:semiHidden/>
    <w:unhideWhenUsed/>
    <w:rsid w:val="00155B37"/>
  </w:style>
  <w:style w:type="paragraph" w:styleId="Title">
    <w:name w:val="Title"/>
    <w:basedOn w:val="Normal"/>
    <w:next w:val="Normal"/>
    <w:link w:val="TitleChar"/>
    <w:uiPriority w:val="10"/>
    <w:qFormat/>
    <w:rsid w:val="00155B37"/>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55B37"/>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155B37"/>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155B37"/>
    <w:rPr>
      <w:rFonts w:asciiTheme="majorHAnsi" w:eastAsiaTheme="majorEastAsia" w:hAnsiTheme="majorHAnsi" w:cs="Times New Roman"/>
      <w:sz w:val="24"/>
      <w:szCs w:val="24"/>
    </w:rPr>
  </w:style>
  <w:style w:type="character" w:styleId="Strong">
    <w:name w:val="Strong"/>
    <w:basedOn w:val="DefaultParagraphFont"/>
    <w:uiPriority w:val="22"/>
    <w:qFormat/>
    <w:rsid w:val="00155B37"/>
    <w:rPr>
      <w:b/>
      <w:bCs/>
    </w:rPr>
  </w:style>
  <w:style w:type="character" w:styleId="Emphasis">
    <w:name w:val="Emphasis"/>
    <w:basedOn w:val="DefaultParagraphFont"/>
    <w:uiPriority w:val="20"/>
    <w:qFormat/>
    <w:rsid w:val="00155B37"/>
    <w:rPr>
      <w:rFonts w:asciiTheme="minorHAnsi" w:hAnsiTheme="minorHAnsi"/>
      <w:b/>
      <w:i/>
      <w:iCs/>
    </w:rPr>
  </w:style>
  <w:style w:type="paragraph" w:styleId="NoSpacing">
    <w:name w:val="No Spacing"/>
    <w:basedOn w:val="Normal"/>
    <w:uiPriority w:val="1"/>
    <w:qFormat/>
    <w:rsid w:val="00155B37"/>
    <w:pPr>
      <w:spacing w:after="0" w:line="240" w:lineRule="auto"/>
    </w:pPr>
    <w:rPr>
      <w:rFonts w:ascii="Times New Roman" w:eastAsiaTheme="minorEastAsia" w:hAnsi="Times New Roman" w:cs="Times New Roman"/>
      <w:sz w:val="24"/>
      <w:szCs w:val="32"/>
    </w:rPr>
  </w:style>
  <w:style w:type="paragraph" w:styleId="ListParagraph">
    <w:name w:val="List Paragraph"/>
    <w:basedOn w:val="Normal"/>
    <w:uiPriority w:val="34"/>
    <w:qFormat/>
    <w:rsid w:val="00155B37"/>
    <w:pPr>
      <w:spacing w:after="0" w:line="240" w:lineRule="auto"/>
      <w:ind w:left="720"/>
      <w:contextualSpacing/>
    </w:pPr>
    <w:rPr>
      <w:rFonts w:ascii="Times New Roman" w:eastAsiaTheme="minorEastAsia" w:hAnsi="Times New Roman" w:cs="Times New Roman"/>
      <w:sz w:val="24"/>
      <w:szCs w:val="24"/>
    </w:rPr>
  </w:style>
  <w:style w:type="paragraph" w:styleId="Quote">
    <w:name w:val="Quote"/>
    <w:basedOn w:val="Normal"/>
    <w:next w:val="Normal"/>
    <w:link w:val="QuoteChar"/>
    <w:uiPriority w:val="29"/>
    <w:qFormat/>
    <w:rsid w:val="00155B37"/>
    <w:pPr>
      <w:spacing w:after="0" w:line="240" w:lineRule="auto"/>
    </w:pPr>
    <w:rPr>
      <w:rFonts w:ascii="Times New Roman" w:eastAsiaTheme="minorEastAsia" w:hAnsi="Times New Roman" w:cs="Times New Roman"/>
      <w:i/>
      <w:sz w:val="24"/>
      <w:szCs w:val="24"/>
    </w:rPr>
  </w:style>
  <w:style w:type="character" w:customStyle="1" w:styleId="QuoteChar">
    <w:name w:val="Quote Char"/>
    <w:basedOn w:val="DefaultParagraphFont"/>
    <w:link w:val="Quote"/>
    <w:uiPriority w:val="29"/>
    <w:rsid w:val="00155B37"/>
    <w:rPr>
      <w:rFonts w:ascii="Times New Roman" w:eastAsiaTheme="minorEastAsia" w:hAnsi="Times New Roman" w:cs="Times New Roman"/>
      <w:i/>
      <w:sz w:val="24"/>
      <w:szCs w:val="24"/>
    </w:rPr>
  </w:style>
  <w:style w:type="paragraph" w:styleId="IntenseQuote">
    <w:name w:val="Intense Quote"/>
    <w:basedOn w:val="Normal"/>
    <w:next w:val="Normal"/>
    <w:link w:val="IntenseQuoteChar"/>
    <w:uiPriority w:val="30"/>
    <w:qFormat/>
    <w:rsid w:val="00155B37"/>
    <w:pPr>
      <w:spacing w:after="0" w:line="240" w:lineRule="auto"/>
      <w:ind w:left="720" w:right="720"/>
    </w:pPr>
    <w:rPr>
      <w:rFonts w:ascii="Times New Roman" w:eastAsiaTheme="minorEastAsia" w:hAnsi="Times New Roman" w:cs="Times New Roman"/>
      <w:b/>
      <w:i/>
      <w:sz w:val="24"/>
    </w:rPr>
  </w:style>
  <w:style w:type="character" w:customStyle="1" w:styleId="IntenseQuoteChar">
    <w:name w:val="Intense Quote Char"/>
    <w:basedOn w:val="DefaultParagraphFont"/>
    <w:link w:val="IntenseQuote"/>
    <w:uiPriority w:val="30"/>
    <w:rsid w:val="00155B37"/>
    <w:rPr>
      <w:rFonts w:ascii="Times New Roman" w:eastAsiaTheme="minorEastAsia" w:hAnsi="Times New Roman" w:cs="Times New Roman"/>
      <w:b/>
      <w:i/>
      <w:sz w:val="24"/>
    </w:rPr>
  </w:style>
  <w:style w:type="character" w:styleId="SubtleEmphasis">
    <w:name w:val="Subtle Emphasis"/>
    <w:uiPriority w:val="19"/>
    <w:qFormat/>
    <w:rsid w:val="00155B37"/>
    <w:rPr>
      <w:i/>
      <w:color w:val="5A5A5A" w:themeColor="text1" w:themeTint="A5"/>
    </w:rPr>
  </w:style>
  <w:style w:type="character" w:styleId="IntenseEmphasis">
    <w:name w:val="Intense Emphasis"/>
    <w:basedOn w:val="DefaultParagraphFont"/>
    <w:uiPriority w:val="21"/>
    <w:qFormat/>
    <w:rsid w:val="00155B37"/>
    <w:rPr>
      <w:b/>
      <w:i/>
      <w:sz w:val="24"/>
      <w:szCs w:val="24"/>
      <w:u w:val="single"/>
    </w:rPr>
  </w:style>
  <w:style w:type="character" w:styleId="SubtleReference">
    <w:name w:val="Subtle Reference"/>
    <w:basedOn w:val="DefaultParagraphFont"/>
    <w:uiPriority w:val="31"/>
    <w:qFormat/>
    <w:rsid w:val="00155B37"/>
    <w:rPr>
      <w:sz w:val="24"/>
      <w:szCs w:val="24"/>
      <w:u w:val="single"/>
    </w:rPr>
  </w:style>
  <w:style w:type="character" w:styleId="IntenseReference">
    <w:name w:val="Intense Reference"/>
    <w:basedOn w:val="DefaultParagraphFont"/>
    <w:uiPriority w:val="32"/>
    <w:qFormat/>
    <w:rsid w:val="00155B37"/>
    <w:rPr>
      <w:b/>
      <w:sz w:val="24"/>
      <w:u w:val="single"/>
    </w:rPr>
  </w:style>
  <w:style w:type="paragraph" w:styleId="TOCHeading">
    <w:name w:val="TOC Heading"/>
    <w:basedOn w:val="Heading1"/>
    <w:next w:val="Normal"/>
    <w:uiPriority w:val="39"/>
    <w:semiHidden/>
    <w:unhideWhenUsed/>
    <w:qFormat/>
    <w:rsid w:val="00155B37"/>
    <w:pPr>
      <w:outlineLvl w:val="9"/>
    </w:pPr>
  </w:style>
  <w:style w:type="paragraph" w:styleId="NormalWeb">
    <w:name w:val="Normal (Web)"/>
    <w:basedOn w:val="Normal"/>
    <w:uiPriority w:val="99"/>
    <w:unhideWhenUsed/>
    <w:rsid w:val="00155B3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5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37"/>
    <w:rPr>
      <w:rFonts w:ascii="Tahoma" w:hAnsi="Tahoma" w:cs="Tahoma"/>
      <w:sz w:val="16"/>
      <w:szCs w:val="16"/>
    </w:rPr>
  </w:style>
  <w:style w:type="character" w:styleId="CommentReference">
    <w:name w:val="annotation reference"/>
    <w:basedOn w:val="DefaultParagraphFont"/>
    <w:uiPriority w:val="99"/>
    <w:semiHidden/>
    <w:unhideWhenUsed/>
    <w:rsid w:val="00155B37"/>
    <w:rPr>
      <w:sz w:val="16"/>
      <w:szCs w:val="16"/>
    </w:rPr>
  </w:style>
  <w:style w:type="paragraph" w:styleId="CommentText">
    <w:name w:val="annotation text"/>
    <w:basedOn w:val="Normal"/>
    <w:link w:val="CommentTextChar"/>
    <w:uiPriority w:val="99"/>
    <w:semiHidden/>
    <w:unhideWhenUsed/>
    <w:rsid w:val="00155B37"/>
    <w:pPr>
      <w:spacing w:line="240" w:lineRule="auto"/>
    </w:pPr>
    <w:rPr>
      <w:sz w:val="20"/>
      <w:szCs w:val="20"/>
    </w:rPr>
  </w:style>
  <w:style w:type="character" w:customStyle="1" w:styleId="CommentTextChar">
    <w:name w:val="Comment Text Char"/>
    <w:basedOn w:val="DefaultParagraphFont"/>
    <w:link w:val="CommentText"/>
    <w:uiPriority w:val="99"/>
    <w:semiHidden/>
    <w:rsid w:val="00155B37"/>
    <w:rPr>
      <w:sz w:val="20"/>
      <w:szCs w:val="20"/>
    </w:rPr>
  </w:style>
  <w:style w:type="paragraph" w:styleId="CommentSubject">
    <w:name w:val="annotation subject"/>
    <w:basedOn w:val="CommentText"/>
    <w:next w:val="CommentText"/>
    <w:link w:val="CommentSubjectChar"/>
    <w:uiPriority w:val="99"/>
    <w:semiHidden/>
    <w:unhideWhenUsed/>
    <w:rsid w:val="00155B37"/>
    <w:rPr>
      <w:b/>
      <w:bCs/>
    </w:rPr>
  </w:style>
  <w:style w:type="character" w:customStyle="1" w:styleId="CommentSubjectChar">
    <w:name w:val="Comment Subject Char"/>
    <w:basedOn w:val="CommentTextChar"/>
    <w:link w:val="CommentSubject"/>
    <w:uiPriority w:val="99"/>
    <w:semiHidden/>
    <w:rsid w:val="00155B37"/>
    <w:rPr>
      <w:b/>
      <w:bCs/>
      <w:sz w:val="20"/>
      <w:szCs w:val="20"/>
    </w:rPr>
  </w:style>
  <w:style w:type="paragraph" w:styleId="Header">
    <w:name w:val="header"/>
    <w:basedOn w:val="Normal"/>
    <w:link w:val="HeaderChar"/>
    <w:uiPriority w:val="99"/>
    <w:unhideWhenUsed/>
    <w:rsid w:val="001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37"/>
  </w:style>
  <w:style w:type="paragraph" w:styleId="Revision">
    <w:name w:val="Revision"/>
    <w:hidden/>
    <w:uiPriority w:val="99"/>
    <w:semiHidden/>
    <w:rsid w:val="00155B37"/>
    <w:pPr>
      <w:spacing w:after="0" w:line="240" w:lineRule="auto"/>
    </w:pPr>
  </w:style>
  <w:style w:type="character" w:styleId="UnresolvedMention">
    <w:name w:val="Unresolved Mention"/>
    <w:basedOn w:val="DefaultParagraphFont"/>
    <w:uiPriority w:val="99"/>
    <w:semiHidden/>
    <w:unhideWhenUsed/>
    <w:rsid w:val="006C239F"/>
    <w:rPr>
      <w:color w:val="808080"/>
      <w:shd w:val="clear" w:color="auto" w:fill="E6E6E6"/>
    </w:rPr>
  </w:style>
  <w:style w:type="character" w:styleId="FollowedHyperlink">
    <w:name w:val="FollowedHyperlink"/>
    <w:basedOn w:val="DefaultParagraphFont"/>
    <w:uiPriority w:val="99"/>
    <w:semiHidden/>
    <w:unhideWhenUsed/>
    <w:rsid w:val="007B6D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837381">
      <w:bodyDiv w:val="1"/>
      <w:marLeft w:val="0"/>
      <w:marRight w:val="0"/>
      <w:marTop w:val="0"/>
      <w:marBottom w:val="0"/>
      <w:divBdr>
        <w:top w:val="none" w:sz="0" w:space="0" w:color="auto"/>
        <w:left w:val="none" w:sz="0" w:space="0" w:color="auto"/>
        <w:bottom w:val="none" w:sz="0" w:space="0" w:color="auto"/>
        <w:right w:val="none" w:sz="0" w:space="0" w:color="auto"/>
      </w:divBdr>
      <w:divsChild>
        <w:div w:id="449320543">
          <w:marLeft w:val="0"/>
          <w:marRight w:val="0"/>
          <w:marTop w:val="0"/>
          <w:marBottom w:val="0"/>
          <w:divBdr>
            <w:top w:val="none" w:sz="0" w:space="0" w:color="auto"/>
            <w:left w:val="none" w:sz="0" w:space="0" w:color="auto"/>
            <w:bottom w:val="none" w:sz="0" w:space="0" w:color="auto"/>
            <w:right w:val="none" w:sz="0" w:space="0" w:color="auto"/>
          </w:divBdr>
          <w:divsChild>
            <w:div w:id="1064059002">
              <w:marLeft w:val="0"/>
              <w:marRight w:val="0"/>
              <w:marTop w:val="0"/>
              <w:marBottom w:val="0"/>
              <w:divBdr>
                <w:top w:val="none" w:sz="0" w:space="0" w:color="auto"/>
                <w:left w:val="none" w:sz="0" w:space="0" w:color="auto"/>
                <w:bottom w:val="none" w:sz="0" w:space="0" w:color="auto"/>
                <w:right w:val="none" w:sz="0" w:space="0" w:color="auto"/>
              </w:divBdr>
              <w:divsChild>
                <w:div w:id="951474020">
                  <w:marLeft w:val="0"/>
                  <w:marRight w:val="0"/>
                  <w:marTop w:val="0"/>
                  <w:marBottom w:val="0"/>
                  <w:divBdr>
                    <w:top w:val="none" w:sz="0" w:space="0" w:color="auto"/>
                    <w:left w:val="none" w:sz="0" w:space="0" w:color="auto"/>
                    <w:bottom w:val="none" w:sz="0" w:space="0" w:color="auto"/>
                    <w:right w:val="none" w:sz="0" w:space="0" w:color="auto"/>
                  </w:divBdr>
                  <w:divsChild>
                    <w:div w:id="1281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about_puc/consolidated_case_view.aspx?Docket=L-2015-25084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uc.pa.gov/about_puc/consolidated_case_view.aspx?Docket=L-2015-2508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147B-FC92-43A0-81C3-BEEC927A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pwiedt</dc:creator>
  <cp:lastModifiedBy>Reside, Melissa</cp:lastModifiedBy>
  <cp:revision>2</cp:revision>
  <cp:lastPrinted>2018-09-26T12:50:00Z</cp:lastPrinted>
  <dcterms:created xsi:type="dcterms:W3CDTF">2019-02-28T17:19:00Z</dcterms:created>
  <dcterms:modified xsi:type="dcterms:W3CDTF">2019-02-28T17:19:00Z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1931a816-c7a0-434f-a6ae-59f1833859a0</vt:lpwstr>
  </property>
</Properties>
</file>