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87"/>
        <w:gridCol w:w="1440"/>
      </w:tblGrid>
      <w:tr w:rsidR="00C74A51" w14:paraId="263FE2B5" w14:textId="77777777">
        <w:trPr>
          <w:trHeight w:val="990"/>
        </w:trPr>
        <w:tc>
          <w:tcPr>
            <w:tcW w:w="1363" w:type="dxa"/>
          </w:tcPr>
          <w:p w14:paraId="0267CBAF" w14:textId="77777777" w:rsidR="00C74A51" w:rsidRDefault="00E23926">
            <w:pPr>
              <w:rPr>
                <w:sz w:val="24"/>
              </w:rPr>
            </w:pPr>
            <w:r>
              <w:rPr>
                <w:noProof/>
                <w:spacing w:val="-2"/>
              </w:rPr>
              <w:drawing>
                <wp:inline distT="0" distB="0" distL="0" distR="0" wp14:anchorId="6AB12FFF" wp14:editId="2A8B47F8">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14:paraId="62FDA228" w14:textId="77777777" w:rsidR="00C74A51" w:rsidRDefault="00C74A51">
            <w:pPr>
              <w:suppressAutoHyphens/>
              <w:spacing w:line="204" w:lineRule="auto"/>
              <w:jc w:val="center"/>
              <w:rPr>
                <w:rFonts w:ascii="Arial" w:hAnsi="Arial"/>
                <w:color w:val="000080"/>
                <w:spacing w:val="-3"/>
                <w:sz w:val="26"/>
              </w:rPr>
            </w:pPr>
          </w:p>
          <w:p w14:paraId="3742D178"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6AB985"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E5BDD63" w14:textId="77777777"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14:paraId="1548F00A" w14:textId="77777777" w:rsidR="00C74A51" w:rsidRDefault="00C74A51">
            <w:pPr>
              <w:rPr>
                <w:rFonts w:ascii="Arial" w:hAnsi="Arial"/>
                <w:sz w:val="12"/>
              </w:rPr>
            </w:pPr>
          </w:p>
          <w:p w14:paraId="2A2D77A4" w14:textId="77777777" w:rsidR="00C74A51" w:rsidRDefault="00C74A51">
            <w:pPr>
              <w:rPr>
                <w:rFonts w:ascii="Arial" w:hAnsi="Arial"/>
                <w:sz w:val="12"/>
              </w:rPr>
            </w:pPr>
          </w:p>
          <w:p w14:paraId="2D539769"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7FDF8610" w14:textId="1EACF0B4" w:rsidR="005C0702" w:rsidRPr="00292CA8" w:rsidRDefault="005C0702" w:rsidP="005C0702">
            <w:pPr>
              <w:jc w:val="right"/>
              <w:rPr>
                <w:sz w:val="16"/>
                <w:szCs w:val="16"/>
              </w:rPr>
            </w:pPr>
            <w:r w:rsidRPr="00292CA8">
              <w:rPr>
                <w:sz w:val="16"/>
                <w:szCs w:val="16"/>
              </w:rPr>
              <w:t>M-2019-</w:t>
            </w:r>
            <w:r w:rsidR="00292CA8" w:rsidRPr="00292CA8">
              <w:rPr>
                <w:sz w:val="16"/>
                <w:szCs w:val="16"/>
              </w:rPr>
              <w:t>3006866</w:t>
            </w:r>
          </w:p>
          <w:p w14:paraId="3D271D9B" w14:textId="6E39C678" w:rsidR="005C0702" w:rsidRDefault="005C0702" w:rsidP="005C0702">
            <w:pPr>
              <w:jc w:val="right"/>
              <w:rPr>
                <w:sz w:val="16"/>
                <w:szCs w:val="16"/>
              </w:rPr>
            </w:pPr>
          </w:p>
          <w:p w14:paraId="7AE45FE6" w14:textId="73F101D0" w:rsidR="003569E8" w:rsidRPr="00E23926" w:rsidRDefault="003569E8" w:rsidP="00FC7B5D">
            <w:pPr>
              <w:jc w:val="right"/>
              <w:rPr>
                <w:rFonts w:ascii="Arial" w:hAnsi="Arial"/>
                <w:sz w:val="16"/>
                <w:szCs w:val="16"/>
              </w:rPr>
            </w:pPr>
          </w:p>
        </w:tc>
      </w:tr>
    </w:tbl>
    <w:p w14:paraId="73AECBFA" w14:textId="40FA2A7A" w:rsidR="005C0702" w:rsidRDefault="004E52EB" w:rsidP="004E52EB">
      <w:pPr>
        <w:jc w:val="center"/>
        <w:rPr>
          <w:sz w:val="24"/>
          <w:szCs w:val="24"/>
        </w:rPr>
      </w:pPr>
      <w:r>
        <w:rPr>
          <w:sz w:val="24"/>
          <w:szCs w:val="24"/>
        </w:rPr>
        <w:t>February 14, 2019</w:t>
      </w:r>
    </w:p>
    <w:p w14:paraId="0F9C338B" w14:textId="6F4B3AD6" w:rsidR="005C0702" w:rsidRDefault="005C0702" w:rsidP="005C0702">
      <w:pPr>
        <w:jc w:val="center"/>
        <w:rPr>
          <w:sz w:val="24"/>
          <w:szCs w:val="24"/>
        </w:rPr>
      </w:pPr>
    </w:p>
    <w:p w14:paraId="341D0899" w14:textId="77777777" w:rsidR="00096C39" w:rsidRDefault="00096C39" w:rsidP="005C0702">
      <w:pPr>
        <w:jc w:val="center"/>
        <w:rPr>
          <w:sz w:val="24"/>
          <w:szCs w:val="24"/>
        </w:rPr>
      </w:pPr>
    </w:p>
    <w:p w14:paraId="3A93F666" w14:textId="77777777" w:rsidR="00BC5CB0" w:rsidRDefault="00BC5CB0" w:rsidP="005C0702">
      <w:pPr>
        <w:jc w:val="center"/>
        <w:rPr>
          <w:sz w:val="24"/>
          <w:szCs w:val="24"/>
        </w:rPr>
      </w:pPr>
    </w:p>
    <w:p w14:paraId="2B02BD27" w14:textId="4A448EDC" w:rsidR="005C0702" w:rsidRDefault="005C0702" w:rsidP="005C0702">
      <w:pPr>
        <w:rPr>
          <w:sz w:val="24"/>
          <w:szCs w:val="24"/>
        </w:rPr>
      </w:pPr>
      <w:r w:rsidRPr="00CD56DC">
        <w:rPr>
          <w:sz w:val="24"/>
          <w:szCs w:val="24"/>
        </w:rPr>
        <w:t>TO ALL INTERESTED PARTIES:</w:t>
      </w:r>
    </w:p>
    <w:p w14:paraId="66014594" w14:textId="77777777" w:rsidR="00BC5CB0" w:rsidRDefault="00BC5CB0" w:rsidP="005C0702">
      <w:pPr>
        <w:rPr>
          <w:sz w:val="24"/>
          <w:szCs w:val="24"/>
        </w:rPr>
      </w:pPr>
    </w:p>
    <w:p w14:paraId="231F3C5D" w14:textId="77777777" w:rsidR="005C0702" w:rsidRPr="00CD56DC" w:rsidRDefault="005C0702" w:rsidP="005C0702">
      <w:pPr>
        <w:rPr>
          <w:sz w:val="24"/>
          <w:szCs w:val="24"/>
        </w:rPr>
      </w:pPr>
    </w:p>
    <w:p w14:paraId="51A24E2A" w14:textId="05CDBAB7" w:rsidR="005C0702" w:rsidRPr="00312715" w:rsidRDefault="005C0702" w:rsidP="00BC5CB0">
      <w:pPr>
        <w:ind w:left="1440" w:hanging="720"/>
        <w:rPr>
          <w:sz w:val="24"/>
          <w:szCs w:val="24"/>
        </w:rPr>
      </w:pPr>
      <w:r w:rsidRPr="00CD56DC">
        <w:rPr>
          <w:sz w:val="24"/>
          <w:szCs w:val="24"/>
        </w:rPr>
        <w:t>Re:</w:t>
      </w:r>
      <w:r w:rsidRPr="00CD56DC">
        <w:rPr>
          <w:sz w:val="24"/>
          <w:szCs w:val="24"/>
        </w:rPr>
        <w:tab/>
      </w:r>
      <w:r w:rsidR="00BC5CB0">
        <w:rPr>
          <w:sz w:val="24"/>
          <w:szCs w:val="24"/>
        </w:rPr>
        <w:t xml:space="preserve">Release of the </w:t>
      </w:r>
      <w:r>
        <w:rPr>
          <w:sz w:val="24"/>
          <w:szCs w:val="24"/>
        </w:rPr>
        <w:t xml:space="preserve">Act 129 Statewide Evaluator </w:t>
      </w:r>
      <w:r w:rsidR="00550852">
        <w:rPr>
          <w:sz w:val="24"/>
          <w:szCs w:val="24"/>
        </w:rPr>
        <w:t xml:space="preserve">Energy Efficiency </w:t>
      </w:r>
      <w:r w:rsidR="00946676">
        <w:rPr>
          <w:sz w:val="24"/>
          <w:szCs w:val="24"/>
        </w:rPr>
        <w:t>Baseline</w:t>
      </w:r>
      <w:r>
        <w:rPr>
          <w:sz w:val="24"/>
          <w:szCs w:val="24"/>
        </w:rPr>
        <w:t xml:space="preserve"> Studies </w:t>
      </w:r>
    </w:p>
    <w:p w14:paraId="64D361CC" w14:textId="06B553FA" w:rsidR="005C0702" w:rsidRPr="00312715" w:rsidRDefault="005C0702" w:rsidP="005C0702">
      <w:pPr>
        <w:rPr>
          <w:sz w:val="24"/>
          <w:szCs w:val="24"/>
        </w:rPr>
      </w:pPr>
      <w:r w:rsidRPr="00312715">
        <w:rPr>
          <w:sz w:val="24"/>
          <w:szCs w:val="24"/>
        </w:rPr>
        <w:tab/>
      </w:r>
      <w:r w:rsidRPr="00312715">
        <w:rPr>
          <w:sz w:val="24"/>
          <w:szCs w:val="24"/>
        </w:rPr>
        <w:tab/>
        <w:t>Docket No</w:t>
      </w:r>
      <w:r w:rsidRPr="00292CA8">
        <w:rPr>
          <w:sz w:val="24"/>
          <w:szCs w:val="24"/>
        </w:rPr>
        <w:t>. M-2019-</w:t>
      </w:r>
      <w:r w:rsidR="00292CA8" w:rsidRPr="00292CA8">
        <w:rPr>
          <w:sz w:val="24"/>
          <w:szCs w:val="24"/>
        </w:rPr>
        <w:t>3006866</w:t>
      </w:r>
      <w:r w:rsidRPr="00292CA8">
        <w:rPr>
          <w:sz w:val="24"/>
          <w:szCs w:val="24"/>
        </w:rPr>
        <w:t xml:space="preserve"> </w:t>
      </w:r>
    </w:p>
    <w:p w14:paraId="24F8AA29" w14:textId="72A49C9E" w:rsidR="006C7A41" w:rsidRDefault="005C0702" w:rsidP="005C0702">
      <w:pPr>
        <w:rPr>
          <w:sz w:val="24"/>
          <w:szCs w:val="24"/>
        </w:rPr>
      </w:pPr>
      <w:r w:rsidRPr="00312715">
        <w:rPr>
          <w:sz w:val="24"/>
          <w:szCs w:val="24"/>
        </w:rPr>
        <w:tab/>
      </w:r>
    </w:p>
    <w:p w14:paraId="21ACAA92" w14:textId="49B7E5D0" w:rsidR="00F55FDA" w:rsidRDefault="00BC5CB0" w:rsidP="00BC5CB0">
      <w:pPr>
        <w:ind w:firstLine="720"/>
        <w:rPr>
          <w:sz w:val="24"/>
          <w:szCs w:val="24"/>
        </w:rPr>
      </w:pPr>
      <w:r w:rsidRPr="00AA2DED">
        <w:rPr>
          <w:sz w:val="24"/>
          <w:szCs w:val="24"/>
        </w:rPr>
        <w:t>In its planning for a potential Phase I</w:t>
      </w:r>
      <w:r>
        <w:rPr>
          <w:sz w:val="24"/>
          <w:szCs w:val="24"/>
        </w:rPr>
        <w:t>V</w:t>
      </w:r>
      <w:r w:rsidRPr="00AA2DED">
        <w:rPr>
          <w:sz w:val="24"/>
          <w:szCs w:val="24"/>
        </w:rPr>
        <w:t xml:space="preserve"> of the Act 129 </w:t>
      </w:r>
      <w:r w:rsidR="006C7A41">
        <w:rPr>
          <w:sz w:val="24"/>
          <w:szCs w:val="24"/>
        </w:rPr>
        <w:t>E</w:t>
      </w:r>
      <w:r w:rsidR="006C7A41" w:rsidRPr="00450096">
        <w:rPr>
          <w:sz w:val="24"/>
          <w:szCs w:val="24"/>
        </w:rPr>
        <w:t xml:space="preserve">nergy </w:t>
      </w:r>
      <w:r w:rsidR="006C7A41">
        <w:rPr>
          <w:sz w:val="24"/>
          <w:szCs w:val="24"/>
        </w:rPr>
        <w:t>E</w:t>
      </w:r>
      <w:r w:rsidR="006C7A41" w:rsidRPr="00450096">
        <w:rPr>
          <w:sz w:val="24"/>
          <w:szCs w:val="24"/>
        </w:rPr>
        <w:t>fficiency</w:t>
      </w:r>
      <w:r w:rsidR="006C7A41">
        <w:rPr>
          <w:sz w:val="24"/>
          <w:szCs w:val="24"/>
        </w:rPr>
        <w:t xml:space="preserve"> and Conservation (</w:t>
      </w:r>
      <w:r>
        <w:rPr>
          <w:sz w:val="24"/>
          <w:szCs w:val="24"/>
        </w:rPr>
        <w:t>EE&amp;C</w:t>
      </w:r>
      <w:r w:rsidR="006C7A41">
        <w:rPr>
          <w:sz w:val="24"/>
          <w:szCs w:val="24"/>
        </w:rPr>
        <w:t>)</w:t>
      </w:r>
      <w:r>
        <w:rPr>
          <w:sz w:val="24"/>
          <w:szCs w:val="24"/>
        </w:rPr>
        <w:t xml:space="preserve"> P</w:t>
      </w:r>
      <w:r w:rsidRPr="00AA2DED">
        <w:rPr>
          <w:sz w:val="24"/>
          <w:szCs w:val="24"/>
        </w:rPr>
        <w:t xml:space="preserve">rogram, the Commission directed the Act 129 Statewide Evaluator to conduct </w:t>
      </w:r>
      <w:r>
        <w:rPr>
          <w:sz w:val="24"/>
          <w:szCs w:val="24"/>
        </w:rPr>
        <w:t>electric energy efficiency</w:t>
      </w:r>
      <w:r w:rsidRPr="00AA2DED">
        <w:rPr>
          <w:sz w:val="24"/>
          <w:szCs w:val="24"/>
        </w:rPr>
        <w:t xml:space="preserve"> </w:t>
      </w:r>
      <w:r>
        <w:rPr>
          <w:sz w:val="24"/>
          <w:szCs w:val="24"/>
        </w:rPr>
        <w:t xml:space="preserve">baseline </w:t>
      </w:r>
      <w:r w:rsidRPr="00AA2DED">
        <w:rPr>
          <w:sz w:val="24"/>
          <w:szCs w:val="24"/>
        </w:rPr>
        <w:t>stud</w:t>
      </w:r>
      <w:r>
        <w:rPr>
          <w:sz w:val="24"/>
          <w:szCs w:val="24"/>
        </w:rPr>
        <w:t>ies</w:t>
      </w:r>
      <w:r w:rsidRPr="00AA2DED">
        <w:rPr>
          <w:sz w:val="24"/>
          <w:szCs w:val="24"/>
        </w:rPr>
        <w:t xml:space="preserve"> </w:t>
      </w:r>
      <w:r>
        <w:rPr>
          <w:sz w:val="24"/>
          <w:szCs w:val="24"/>
        </w:rPr>
        <w:t xml:space="preserve">for the residential and non-residential markets </w:t>
      </w:r>
      <w:r w:rsidRPr="00AA2DED">
        <w:rPr>
          <w:sz w:val="24"/>
          <w:szCs w:val="24"/>
        </w:rPr>
        <w:t xml:space="preserve">to </w:t>
      </w:r>
      <w:r>
        <w:rPr>
          <w:sz w:val="24"/>
          <w:szCs w:val="24"/>
        </w:rPr>
        <w:t xml:space="preserve">establish penetration and saturation rates of various EE&amp;C measures and products within </w:t>
      </w:r>
      <w:r w:rsidRPr="00AA2DED">
        <w:rPr>
          <w:sz w:val="24"/>
          <w:szCs w:val="24"/>
        </w:rPr>
        <w:t xml:space="preserve">the service areas of the seven Pennsylvania </w:t>
      </w:r>
      <w:r w:rsidR="006C7A41">
        <w:rPr>
          <w:sz w:val="24"/>
          <w:szCs w:val="24"/>
        </w:rPr>
        <w:t>electric distribution companies (</w:t>
      </w:r>
      <w:r w:rsidRPr="00AA2DED">
        <w:rPr>
          <w:sz w:val="24"/>
          <w:szCs w:val="24"/>
        </w:rPr>
        <w:t>EDCs</w:t>
      </w:r>
      <w:r w:rsidR="006C7A41">
        <w:rPr>
          <w:sz w:val="24"/>
          <w:szCs w:val="24"/>
        </w:rPr>
        <w:t>)</w:t>
      </w:r>
      <w:r w:rsidRPr="00AA2DED">
        <w:rPr>
          <w:sz w:val="24"/>
          <w:szCs w:val="24"/>
        </w:rPr>
        <w:t xml:space="preserve"> that are subject to the energy efficiency requirements of Act 129.</w:t>
      </w:r>
      <w:r>
        <w:rPr>
          <w:sz w:val="24"/>
          <w:szCs w:val="24"/>
        </w:rPr>
        <w:t xml:space="preserve">  </w:t>
      </w:r>
    </w:p>
    <w:p w14:paraId="58F2752B" w14:textId="0F2AB882" w:rsidR="00F55FDA" w:rsidRDefault="00F55FDA" w:rsidP="00BC5CB0">
      <w:pPr>
        <w:ind w:firstLine="720"/>
        <w:rPr>
          <w:sz w:val="24"/>
          <w:szCs w:val="24"/>
        </w:rPr>
      </w:pPr>
    </w:p>
    <w:p w14:paraId="2E83E7BF" w14:textId="00242BEA" w:rsidR="00BC5CB0" w:rsidRDefault="00BC5CB0" w:rsidP="00BC5CB0">
      <w:pPr>
        <w:ind w:firstLine="720"/>
        <w:rPr>
          <w:sz w:val="24"/>
          <w:szCs w:val="24"/>
        </w:rPr>
      </w:pPr>
      <w:r>
        <w:rPr>
          <w:sz w:val="24"/>
          <w:szCs w:val="24"/>
        </w:rPr>
        <w:t xml:space="preserve">With this Secretarial Letter, the Commission is releasing publicly the </w:t>
      </w:r>
      <w:r w:rsidR="006C7A41">
        <w:rPr>
          <w:i/>
          <w:sz w:val="24"/>
          <w:szCs w:val="24"/>
        </w:rPr>
        <w:t xml:space="preserve">2018 Pennsylvania Statewide Act 129 Residential Baseline Study </w:t>
      </w:r>
      <w:r w:rsidRPr="005C7C80">
        <w:rPr>
          <w:sz w:val="24"/>
          <w:szCs w:val="24"/>
        </w:rPr>
        <w:t>and</w:t>
      </w:r>
      <w:r>
        <w:rPr>
          <w:sz w:val="24"/>
          <w:szCs w:val="24"/>
        </w:rPr>
        <w:t xml:space="preserve"> the </w:t>
      </w:r>
      <w:r w:rsidR="005C7C80" w:rsidRPr="005C7C80">
        <w:rPr>
          <w:i/>
          <w:sz w:val="24"/>
          <w:szCs w:val="24"/>
        </w:rPr>
        <w:t xml:space="preserve">Pennsylvania Act 129 </w:t>
      </w:r>
      <w:r w:rsidR="00F55FDA" w:rsidRPr="005C7C80">
        <w:rPr>
          <w:i/>
          <w:sz w:val="24"/>
          <w:szCs w:val="24"/>
        </w:rPr>
        <w:t>2018</w:t>
      </w:r>
      <w:r w:rsidR="00F55FDA">
        <w:rPr>
          <w:sz w:val="24"/>
          <w:szCs w:val="24"/>
        </w:rPr>
        <w:t xml:space="preserve"> </w:t>
      </w:r>
      <w:r>
        <w:rPr>
          <w:i/>
          <w:sz w:val="24"/>
          <w:szCs w:val="24"/>
        </w:rPr>
        <w:t>Non-Residential Baseline Study</w:t>
      </w:r>
      <w:r>
        <w:rPr>
          <w:sz w:val="24"/>
          <w:szCs w:val="24"/>
        </w:rPr>
        <w:t xml:space="preserve">.  Both studies will be published immediately on the Commission’s website at </w:t>
      </w:r>
      <w:hyperlink r:id="rId9" w:history="1">
        <w:r>
          <w:rPr>
            <w:rStyle w:val="Hyperlink"/>
            <w:sz w:val="24"/>
            <w:szCs w:val="24"/>
          </w:rPr>
          <w:t>http://www.puc.pa.gov/filing_resources/issues_laws_regulations/act_129_information/act_129_statewide_evaluator_swe_.aspx</w:t>
        </w:r>
      </w:hyperlink>
      <w:r>
        <w:rPr>
          <w:sz w:val="24"/>
          <w:szCs w:val="24"/>
        </w:rPr>
        <w:t xml:space="preserve">. </w:t>
      </w:r>
    </w:p>
    <w:p w14:paraId="5469DCC4" w14:textId="7C4739B8" w:rsidR="00372127" w:rsidRDefault="00372127" w:rsidP="005C0702">
      <w:pPr>
        <w:rPr>
          <w:sz w:val="24"/>
          <w:szCs w:val="24"/>
        </w:rPr>
      </w:pPr>
    </w:p>
    <w:p w14:paraId="30617E32" w14:textId="4451717A" w:rsidR="00BC5CB0" w:rsidRDefault="00372127" w:rsidP="00F55FDA">
      <w:pPr>
        <w:ind w:firstLine="720"/>
        <w:rPr>
          <w:sz w:val="24"/>
          <w:szCs w:val="24"/>
        </w:rPr>
      </w:pPr>
      <w:r w:rsidRPr="00450096">
        <w:rPr>
          <w:sz w:val="24"/>
          <w:szCs w:val="24"/>
        </w:rPr>
        <w:t xml:space="preserve">The Commission was charged by the Pennsylvania General Assembly with establishing an </w:t>
      </w:r>
      <w:r w:rsidR="006C7A41">
        <w:rPr>
          <w:sz w:val="24"/>
          <w:szCs w:val="24"/>
        </w:rPr>
        <w:t xml:space="preserve">energy efficiency and conservation </w:t>
      </w:r>
      <w:r w:rsidRPr="00450096">
        <w:rPr>
          <w:sz w:val="24"/>
          <w:szCs w:val="24"/>
        </w:rPr>
        <w:t xml:space="preserve">program.  The </w:t>
      </w:r>
      <w:r w:rsidR="00B045F4">
        <w:rPr>
          <w:sz w:val="24"/>
          <w:szCs w:val="24"/>
        </w:rPr>
        <w:t xml:space="preserve">Act 129 EE&amp;C </w:t>
      </w:r>
      <w:r w:rsidR="00E12C37">
        <w:rPr>
          <w:sz w:val="24"/>
          <w:szCs w:val="24"/>
        </w:rPr>
        <w:t>P</w:t>
      </w:r>
      <w:r>
        <w:rPr>
          <w:sz w:val="24"/>
          <w:szCs w:val="24"/>
        </w:rPr>
        <w:t>rogram require</w:t>
      </w:r>
      <w:r w:rsidR="00B045F4">
        <w:rPr>
          <w:sz w:val="24"/>
          <w:szCs w:val="24"/>
        </w:rPr>
        <w:t>s</w:t>
      </w:r>
      <w:r>
        <w:rPr>
          <w:sz w:val="24"/>
          <w:szCs w:val="24"/>
        </w:rPr>
        <w:t xml:space="preserve"> each </w:t>
      </w:r>
      <w:r w:rsidR="00B045F4">
        <w:rPr>
          <w:sz w:val="24"/>
          <w:szCs w:val="24"/>
        </w:rPr>
        <w:t xml:space="preserve">EDC </w:t>
      </w:r>
      <w:r>
        <w:rPr>
          <w:sz w:val="24"/>
          <w:szCs w:val="24"/>
        </w:rPr>
        <w:t xml:space="preserve">with at least 100,000 customers to adopt a plan to reduce energy demand and consumption within its service territory.  66 Pa. C.S. § 2806.1.  The Commission was also charged with the responsibility to evaluate the costs and benefits of the </w:t>
      </w:r>
      <w:r w:rsidR="00B045F4">
        <w:rPr>
          <w:sz w:val="24"/>
          <w:szCs w:val="24"/>
        </w:rPr>
        <w:t>EE&amp;C</w:t>
      </w:r>
      <w:r>
        <w:rPr>
          <w:sz w:val="24"/>
          <w:szCs w:val="24"/>
        </w:rPr>
        <w:t xml:space="preserve"> </w:t>
      </w:r>
      <w:r w:rsidR="00B045F4">
        <w:rPr>
          <w:sz w:val="24"/>
          <w:szCs w:val="24"/>
        </w:rPr>
        <w:t>P</w:t>
      </w:r>
      <w:r>
        <w:rPr>
          <w:sz w:val="24"/>
          <w:szCs w:val="24"/>
        </w:rPr>
        <w:t xml:space="preserve">rogram by November 30, 2013 and every five years thereafter.  66 Pa. C.S. § 2806.1(c)(3).  </w:t>
      </w:r>
      <w:r w:rsidR="00BC5CB0">
        <w:rPr>
          <w:sz w:val="24"/>
          <w:szCs w:val="24"/>
        </w:rPr>
        <w:t>The studies being released today further the Commission’s continuing statutory obligation to evaluate the costs and benefits of the energy efficiency and conservation program, and the establishment of further incremental cost-effective consumption and peak demand reduction requirements.</w:t>
      </w:r>
      <w:r w:rsidR="00F55FDA">
        <w:rPr>
          <w:sz w:val="24"/>
          <w:szCs w:val="24"/>
        </w:rPr>
        <w:t xml:space="preserve"> </w:t>
      </w:r>
      <w:r w:rsidR="006C7A41">
        <w:rPr>
          <w:sz w:val="24"/>
          <w:szCs w:val="24"/>
        </w:rPr>
        <w:t xml:space="preserve"> </w:t>
      </w:r>
    </w:p>
    <w:p w14:paraId="4CDB4E72" w14:textId="31C373BA" w:rsidR="005C0702" w:rsidRDefault="005E6945" w:rsidP="00BC5CB0">
      <w:pPr>
        <w:ind w:firstLine="720"/>
        <w:rPr>
          <w:sz w:val="24"/>
          <w:szCs w:val="24"/>
        </w:rPr>
      </w:pPr>
      <w:r>
        <w:rPr>
          <w:sz w:val="24"/>
          <w:szCs w:val="24"/>
        </w:rPr>
        <w:t xml:space="preserve"> </w:t>
      </w:r>
    </w:p>
    <w:p w14:paraId="60CABB2B" w14:textId="3F0EC55A" w:rsidR="005C0702" w:rsidRDefault="005C0702" w:rsidP="00BC5CB0">
      <w:pPr>
        <w:ind w:firstLine="720"/>
        <w:rPr>
          <w:sz w:val="24"/>
          <w:szCs w:val="24"/>
        </w:rPr>
      </w:pPr>
      <w:r w:rsidRPr="00E77499">
        <w:rPr>
          <w:sz w:val="24"/>
          <w:szCs w:val="24"/>
        </w:rPr>
        <w:t xml:space="preserve">Any questions regarding these </w:t>
      </w:r>
      <w:r w:rsidR="00BC5CB0">
        <w:rPr>
          <w:sz w:val="24"/>
          <w:szCs w:val="24"/>
        </w:rPr>
        <w:t xml:space="preserve">studies </w:t>
      </w:r>
      <w:r w:rsidRPr="00E77499">
        <w:rPr>
          <w:sz w:val="24"/>
          <w:szCs w:val="24"/>
        </w:rPr>
        <w:t xml:space="preserve">should be directed to </w:t>
      </w:r>
      <w:r w:rsidR="00E77499" w:rsidRPr="00E77499">
        <w:rPr>
          <w:sz w:val="24"/>
          <w:szCs w:val="24"/>
        </w:rPr>
        <w:t>Jo</w:t>
      </w:r>
      <w:r w:rsidR="0048238B">
        <w:rPr>
          <w:sz w:val="24"/>
          <w:szCs w:val="24"/>
        </w:rPr>
        <w:t xml:space="preserve">e </w:t>
      </w:r>
      <w:r w:rsidR="00E77499" w:rsidRPr="00E77499">
        <w:rPr>
          <w:sz w:val="24"/>
          <w:szCs w:val="24"/>
        </w:rPr>
        <w:t xml:space="preserve">Sherrick at 717-787-5369 or </w:t>
      </w:r>
      <w:hyperlink r:id="rId10" w:history="1">
        <w:r w:rsidR="00E77499" w:rsidRPr="00E77499">
          <w:rPr>
            <w:rStyle w:val="Hyperlink"/>
            <w:sz w:val="24"/>
            <w:szCs w:val="24"/>
          </w:rPr>
          <w:t>josherrick@pa.gov</w:t>
        </w:r>
      </w:hyperlink>
      <w:r w:rsidR="00E77499" w:rsidRPr="00E77499">
        <w:rPr>
          <w:sz w:val="24"/>
          <w:szCs w:val="24"/>
        </w:rPr>
        <w:t xml:space="preserve">.   </w:t>
      </w:r>
      <w:r w:rsidRPr="00CD56DC">
        <w:rPr>
          <w:sz w:val="24"/>
          <w:szCs w:val="24"/>
        </w:rPr>
        <w:tab/>
      </w:r>
    </w:p>
    <w:p w14:paraId="02F69F12" w14:textId="5FDEC983" w:rsidR="005C0702" w:rsidRDefault="005C0702" w:rsidP="00BC5CB0">
      <w:pPr>
        <w:tabs>
          <w:tab w:val="left" w:pos="2940"/>
        </w:tabs>
        <w:rPr>
          <w:sz w:val="24"/>
          <w:szCs w:val="24"/>
        </w:rPr>
      </w:pPr>
    </w:p>
    <w:p w14:paraId="31C08204" w14:textId="24D853A2" w:rsidR="005C7C80" w:rsidRPr="00CD56DC" w:rsidRDefault="005C7C80" w:rsidP="00BC5CB0">
      <w:pPr>
        <w:tabs>
          <w:tab w:val="left" w:pos="2940"/>
        </w:tabs>
        <w:rPr>
          <w:sz w:val="24"/>
          <w:szCs w:val="24"/>
        </w:rPr>
      </w:pPr>
    </w:p>
    <w:p w14:paraId="4A413202" w14:textId="00E58C46" w:rsidR="005C0702" w:rsidRPr="00CD56DC" w:rsidRDefault="004E52EB" w:rsidP="005C0702">
      <w:pPr>
        <w:tabs>
          <w:tab w:val="left" w:pos="2940"/>
        </w:tabs>
        <w:ind w:firstLine="720"/>
        <w:rPr>
          <w:sz w:val="24"/>
          <w:szCs w:val="24"/>
        </w:rPr>
      </w:pPr>
      <w:r>
        <w:rPr>
          <w:noProof/>
        </w:rPr>
        <w:drawing>
          <wp:anchor distT="0" distB="0" distL="114300" distR="114300" simplePos="0" relativeHeight="251659264" behindDoc="1" locked="0" layoutInCell="1" allowOverlap="1" wp14:anchorId="5989C018" wp14:editId="2F7EC0F1">
            <wp:simplePos x="0" y="0"/>
            <wp:positionH relativeFrom="column">
              <wp:posOffset>3114675</wp:posOffset>
            </wp:positionH>
            <wp:positionV relativeFrom="paragraph">
              <wp:posOffset>68580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0702" w:rsidRPr="00CD56DC">
        <w:rPr>
          <w:sz w:val="24"/>
          <w:szCs w:val="24"/>
        </w:rPr>
        <w:tab/>
      </w:r>
      <w:r w:rsidR="005C0702" w:rsidRPr="00CD56DC">
        <w:rPr>
          <w:sz w:val="24"/>
          <w:szCs w:val="24"/>
        </w:rPr>
        <w:tab/>
      </w:r>
      <w:r w:rsidR="005C0702" w:rsidRPr="00CD56DC">
        <w:rPr>
          <w:sz w:val="24"/>
          <w:szCs w:val="24"/>
        </w:rPr>
        <w:tab/>
      </w:r>
      <w:r w:rsidR="005C0702" w:rsidRPr="00CD56DC">
        <w:rPr>
          <w:sz w:val="24"/>
          <w:szCs w:val="24"/>
        </w:rPr>
        <w:tab/>
        <w:t>Sincerely,</w:t>
      </w:r>
    </w:p>
    <w:p w14:paraId="4228409C" w14:textId="77777777" w:rsidR="005C0702" w:rsidRPr="00CD56DC" w:rsidRDefault="005C0702" w:rsidP="005C0702">
      <w:pPr>
        <w:tabs>
          <w:tab w:val="left" w:pos="2940"/>
        </w:tabs>
        <w:ind w:firstLine="720"/>
        <w:rPr>
          <w:sz w:val="24"/>
          <w:szCs w:val="24"/>
        </w:rPr>
      </w:pPr>
      <w:bookmarkStart w:id="0" w:name="_GoBack"/>
      <w:bookmarkEnd w:id="0"/>
    </w:p>
    <w:p w14:paraId="1D436EE6" w14:textId="77777777" w:rsidR="005C0702" w:rsidRPr="00CD56DC" w:rsidRDefault="005C0702" w:rsidP="005C0702">
      <w:pPr>
        <w:tabs>
          <w:tab w:val="left" w:pos="2940"/>
        </w:tabs>
        <w:ind w:firstLine="720"/>
        <w:rPr>
          <w:sz w:val="24"/>
          <w:szCs w:val="24"/>
        </w:rPr>
      </w:pPr>
    </w:p>
    <w:p w14:paraId="3F02394F" w14:textId="77777777" w:rsidR="005C0702" w:rsidRPr="00CD56DC" w:rsidRDefault="005C0702" w:rsidP="005C0702">
      <w:pPr>
        <w:tabs>
          <w:tab w:val="left" w:pos="2940"/>
        </w:tabs>
        <w:ind w:firstLine="720"/>
        <w:rPr>
          <w:sz w:val="24"/>
          <w:szCs w:val="24"/>
        </w:rPr>
      </w:pPr>
    </w:p>
    <w:p w14:paraId="535D57AD" w14:textId="77777777" w:rsidR="005C0702" w:rsidRPr="00CD56DC" w:rsidRDefault="005C0702" w:rsidP="005C0702">
      <w:pPr>
        <w:tabs>
          <w:tab w:val="left" w:pos="2940"/>
        </w:tabs>
        <w:ind w:firstLine="720"/>
        <w:rPr>
          <w:sz w:val="24"/>
          <w:szCs w:val="24"/>
        </w:rPr>
      </w:pPr>
      <w:r w:rsidRPr="00CD56DC">
        <w:rPr>
          <w:sz w:val="24"/>
          <w:szCs w:val="24"/>
        </w:rPr>
        <w:tab/>
      </w:r>
      <w:r w:rsidRPr="00CD56DC">
        <w:rPr>
          <w:sz w:val="24"/>
          <w:szCs w:val="24"/>
        </w:rPr>
        <w:tab/>
      </w:r>
      <w:r w:rsidRPr="00CD56DC">
        <w:rPr>
          <w:sz w:val="24"/>
          <w:szCs w:val="24"/>
        </w:rPr>
        <w:tab/>
      </w:r>
      <w:r w:rsidRPr="00CD56DC">
        <w:rPr>
          <w:sz w:val="24"/>
          <w:szCs w:val="24"/>
        </w:rPr>
        <w:tab/>
        <w:t xml:space="preserve">Rosemary Chiavetta </w:t>
      </w:r>
    </w:p>
    <w:p w14:paraId="0AFE62E4" w14:textId="77777777" w:rsidR="00F55FDA" w:rsidRDefault="005C0702" w:rsidP="00F55FDA">
      <w:pPr>
        <w:tabs>
          <w:tab w:val="left" w:pos="2940"/>
        </w:tabs>
        <w:ind w:firstLine="720"/>
        <w:rPr>
          <w:sz w:val="24"/>
          <w:szCs w:val="24"/>
        </w:rPr>
      </w:pPr>
      <w:r w:rsidRPr="00CD56DC">
        <w:rPr>
          <w:sz w:val="24"/>
          <w:szCs w:val="24"/>
        </w:rPr>
        <w:tab/>
      </w:r>
      <w:r w:rsidRPr="00CD56DC">
        <w:rPr>
          <w:sz w:val="24"/>
          <w:szCs w:val="24"/>
        </w:rPr>
        <w:tab/>
      </w:r>
      <w:r w:rsidRPr="00CD56DC">
        <w:rPr>
          <w:sz w:val="24"/>
          <w:szCs w:val="24"/>
        </w:rPr>
        <w:tab/>
      </w:r>
      <w:r w:rsidRPr="00CD56DC">
        <w:rPr>
          <w:sz w:val="24"/>
          <w:szCs w:val="24"/>
        </w:rPr>
        <w:tab/>
        <w:t>Secretary</w:t>
      </w:r>
    </w:p>
    <w:p w14:paraId="6427FFF8" w14:textId="6D93C786" w:rsidR="005C7C80" w:rsidRPr="00F55FDA" w:rsidRDefault="005C0702" w:rsidP="005C7C80">
      <w:pPr>
        <w:tabs>
          <w:tab w:val="left" w:pos="2940"/>
        </w:tabs>
        <w:ind w:firstLine="720"/>
        <w:rPr>
          <w:sz w:val="24"/>
          <w:szCs w:val="24"/>
        </w:rPr>
      </w:pPr>
      <w:r w:rsidRPr="00CD56DC">
        <w:rPr>
          <w:sz w:val="24"/>
          <w:szCs w:val="24"/>
        </w:rPr>
        <w:tab/>
      </w:r>
    </w:p>
    <w:p w14:paraId="34EC11C9" w14:textId="3A265E58" w:rsidR="005C0702" w:rsidRDefault="005C0702" w:rsidP="005C0702">
      <w:pPr>
        <w:tabs>
          <w:tab w:val="left" w:pos="2940"/>
        </w:tabs>
        <w:ind w:firstLine="720"/>
        <w:rPr>
          <w:sz w:val="24"/>
          <w:szCs w:val="24"/>
        </w:rPr>
      </w:pPr>
    </w:p>
    <w:p w14:paraId="24565699" w14:textId="77777777" w:rsidR="005C7C80" w:rsidRPr="00CD56DC" w:rsidRDefault="005C7C80" w:rsidP="005C0702">
      <w:pPr>
        <w:tabs>
          <w:tab w:val="left" w:pos="2940"/>
        </w:tabs>
        <w:ind w:firstLine="720"/>
        <w:rPr>
          <w:sz w:val="24"/>
          <w:szCs w:val="24"/>
        </w:rPr>
      </w:pPr>
    </w:p>
    <w:p w14:paraId="7ADE7255" w14:textId="77777777" w:rsidR="005C0702" w:rsidRPr="00CD56DC" w:rsidRDefault="005C0702" w:rsidP="005C0702">
      <w:pPr>
        <w:keepNext/>
        <w:keepLines/>
        <w:tabs>
          <w:tab w:val="left" w:pos="900"/>
        </w:tabs>
        <w:outlineLvl w:val="1"/>
        <w:rPr>
          <w:bCs/>
          <w:sz w:val="24"/>
          <w:szCs w:val="24"/>
        </w:rPr>
      </w:pPr>
      <w:r>
        <w:rPr>
          <w:bCs/>
          <w:sz w:val="24"/>
          <w:szCs w:val="24"/>
        </w:rPr>
        <w:t>cc</w:t>
      </w:r>
      <w:r w:rsidRPr="00CD56DC">
        <w:rPr>
          <w:bCs/>
          <w:sz w:val="24"/>
          <w:szCs w:val="24"/>
        </w:rPr>
        <w:t>:</w:t>
      </w:r>
      <w:r w:rsidRPr="00CD56DC">
        <w:rPr>
          <w:bCs/>
          <w:sz w:val="24"/>
          <w:szCs w:val="24"/>
        </w:rPr>
        <w:tab/>
        <w:t>Darren Gill, Deputy Director, TUS</w:t>
      </w:r>
    </w:p>
    <w:p w14:paraId="42D50F1B" w14:textId="77777777" w:rsidR="005C0702" w:rsidRPr="00CD56DC" w:rsidRDefault="005C0702" w:rsidP="005C0702">
      <w:pPr>
        <w:keepNext/>
        <w:keepLines/>
        <w:tabs>
          <w:tab w:val="left" w:pos="900"/>
        </w:tabs>
        <w:outlineLvl w:val="1"/>
        <w:rPr>
          <w:bCs/>
          <w:sz w:val="24"/>
          <w:szCs w:val="24"/>
        </w:rPr>
      </w:pPr>
      <w:r w:rsidRPr="00CD56DC">
        <w:rPr>
          <w:bCs/>
          <w:sz w:val="24"/>
          <w:szCs w:val="24"/>
        </w:rPr>
        <w:t xml:space="preserve">       </w:t>
      </w:r>
      <w:r w:rsidRPr="00CD56DC">
        <w:rPr>
          <w:bCs/>
          <w:sz w:val="24"/>
          <w:szCs w:val="24"/>
        </w:rPr>
        <w:tab/>
        <w:t>Joseph Sherrick, Supervisor, TUS</w:t>
      </w:r>
    </w:p>
    <w:p w14:paraId="02B14BC4" w14:textId="77777777" w:rsidR="005C0702" w:rsidRPr="00CD56DC" w:rsidRDefault="005C0702" w:rsidP="005C0702">
      <w:pPr>
        <w:keepNext/>
        <w:keepLines/>
        <w:tabs>
          <w:tab w:val="left" w:pos="900"/>
        </w:tabs>
        <w:outlineLvl w:val="1"/>
        <w:rPr>
          <w:bCs/>
          <w:sz w:val="24"/>
          <w:szCs w:val="24"/>
        </w:rPr>
      </w:pPr>
      <w:r w:rsidRPr="00CD56DC">
        <w:rPr>
          <w:bCs/>
          <w:sz w:val="24"/>
          <w:szCs w:val="24"/>
        </w:rPr>
        <w:t xml:space="preserve">       </w:t>
      </w:r>
      <w:r w:rsidRPr="00CD56DC">
        <w:rPr>
          <w:bCs/>
          <w:sz w:val="24"/>
          <w:szCs w:val="24"/>
        </w:rPr>
        <w:tab/>
        <w:t>Kriss Brown, Attorney, LAW</w:t>
      </w:r>
    </w:p>
    <w:p w14:paraId="26D3172C" w14:textId="77777777" w:rsidR="006E7EF7" w:rsidRDefault="006E7EF7" w:rsidP="005C7C80">
      <w:pPr>
        <w:jc w:val="both"/>
        <w:rPr>
          <w:sz w:val="26"/>
          <w:szCs w:val="26"/>
        </w:rPr>
      </w:pPr>
    </w:p>
    <w:sectPr w:rsidR="006E7EF7" w:rsidSect="005C7C80">
      <w:footerReference w:type="even" r:id="rId12"/>
      <w:footerReference w:type="default" r:id="rId13"/>
      <w:pgSz w:w="12240" w:h="15840"/>
      <w:pgMar w:top="270" w:right="1440" w:bottom="18"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C0F4A" w14:textId="77777777" w:rsidR="00CB1A6A" w:rsidRDefault="00CB1A6A">
      <w:r>
        <w:separator/>
      </w:r>
    </w:p>
  </w:endnote>
  <w:endnote w:type="continuationSeparator" w:id="0">
    <w:p w14:paraId="7D4E364B" w14:textId="77777777" w:rsidR="00CB1A6A" w:rsidRDefault="00CB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681C4" w14:textId="77777777" w:rsidR="00675A36" w:rsidRDefault="00675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AED12D2" w14:textId="77777777" w:rsidR="00675A36" w:rsidRDefault="00675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27494"/>
      <w:docPartObj>
        <w:docPartGallery w:val="Page Numbers (Bottom of Page)"/>
        <w:docPartUnique/>
      </w:docPartObj>
    </w:sdtPr>
    <w:sdtEndPr/>
    <w:sdtContent>
      <w:p w14:paraId="56A23136" w14:textId="715A7308" w:rsidR="00675A36" w:rsidRDefault="00675A36">
        <w:pPr>
          <w:pStyle w:val="Footer"/>
          <w:jc w:val="center"/>
        </w:pPr>
        <w:r w:rsidRPr="00AD0A9B">
          <w:rPr>
            <w:sz w:val="26"/>
            <w:szCs w:val="26"/>
          </w:rPr>
          <w:fldChar w:fldCharType="begin"/>
        </w:r>
        <w:r w:rsidRPr="00AD0A9B">
          <w:rPr>
            <w:sz w:val="26"/>
            <w:szCs w:val="26"/>
          </w:rPr>
          <w:instrText xml:space="preserve"> PAGE   \* MERGEFORMAT </w:instrText>
        </w:r>
        <w:r w:rsidRPr="00AD0A9B">
          <w:rPr>
            <w:sz w:val="26"/>
            <w:szCs w:val="26"/>
          </w:rPr>
          <w:fldChar w:fldCharType="separate"/>
        </w:r>
        <w:r w:rsidR="00D007B9">
          <w:rPr>
            <w:noProof/>
            <w:sz w:val="26"/>
            <w:szCs w:val="26"/>
          </w:rPr>
          <w:t>4</w:t>
        </w:r>
        <w:r w:rsidRPr="00AD0A9B">
          <w:rPr>
            <w:sz w:val="26"/>
            <w:szCs w:val="26"/>
          </w:rPr>
          <w:fldChar w:fldCharType="end"/>
        </w:r>
      </w:p>
    </w:sdtContent>
  </w:sdt>
  <w:p w14:paraId="2746C919" w14:textId="77777777" w:rsidR="00675A36" w:rsidRDefault="00675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905AF" w14:textId="77777777" w:rsidR="00CB1A6A" w:rsidRDefault="00CB1A6A">
      <w:r>
        <w:separator/>
      </w:r>
    </w:p>
  </w:footnote>
  <w:footnote w:type="continuationSeparator" w:id="0">
    <w:p w14:paraId="640E3B56" w14:textId="77777777" w:rsidR="00CB1A6A" w:rsidRDefault="00CB1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084A54"/>
    <w:multiLevelType w:val="hybridMultilevel"/>
    <w:tmpl w:val="3886EC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36671FE"/>
    <w:multiLevelType w:val="hybridMultilevel"/>
    <w:tmpl w:val="9AF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41FD4"/>
    <w:multiLevelType w:val="hybridMultilevel"/>
    <w:tmpl w:val="E6FE291C"/>
    <w:lvl w:ilvl="0" w:tplc="7B667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296FBA"/>
    <w:multiLevelType w:val="hybridMultilevel"/>
    <w:tmpl w:val="D66ECE68"/>
    <w:lvl w:ilvl="0" w:tplc="F134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3DC0078"/>
    <w:multiLevelType w:val="hybridMultilevel"/>
    <w:tmpl w:val="059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0"/>
  </w:num>
  <w:num w:numId="3">
    <w:abstractNumId w:val="3"/>
  </w:num>
  <w:num w:numId="4">
    <w:abstractNumId w:val="6"/>
  </w:num>
  <w:num w:numId="5">
    <w:abstractNumId w:val="14"/>
  </w:num>
  <w:num w:numId="6">
    <w:abstractNumId w:val="5"/>
  </w:num>
  <w:num w:numId="7">
    <w:abstractNumId w:val="15"/>
  </w:num>
  <w:num w:numId="8">
    <w:abstractNumId w:val="13"/>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7"/>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221E"/>
    <w:rsid w:val="000032F0"/>
    <w:rsid w:val="00016C43"/>
    <w:rsid w:val="00021147"/>
    <w:rsid w:val="00025E21"/>
    <w:rsid w:val="00026B9B"/>
    <w:rsid w:val="000315CB"/>
    <w:rsid w:val="00031795"/>
    <w:rsid w:val="0004733A"/>
    <w:rsid w:val="00080F02"/>
    <w:rsid w:val="00096C39"/>
    <w:rsid w:val="000A3296"/>
    <w:rsid w:val="000A3305"/>
    <w:rsid w:val="000A4073"/>
    <w:rsid w:val="000A711E"/>
    <w:rsid w:val="000C0BE0"/>
    <w:rsid w:val="000C7752"/>
    <w:rsid w:val="000D54BC"/>
    <w:rsid w:val="000F4632"/>
    <w:rsid w:val="000F5F50"/>
    <w:rsid w:val="001023B1"/>
    <w:rsid w:val="00102EA5"/>
    <w:rsid w:val="001048C8"/>
    <w:rsid w:val="00111D7A"/>
    <w:rsid w:val="001177FE"/>
    <w:rsid w:val="001209F1"/>
    <w:rsid w:val="00121CB7"/>
    <w:rsid w:val="00126434"/>
    <w:rsid w:val="00126702"/>
    <w:rsid w:val="00134A78"/>
    <w:rsid w:val="00142748"/>
    <w:rsid w:val="00146EB6"/>
    <w:rsid w:val="0015126D"/>
    <w:rsid w:val="001522A0"/>
    <w:rsid w:val="001549DC"/>
    <w:rsid w:val="00157E50"/>
    <w:rsid w:val="00162D58"/>
    <w:rsid w:val="00163A25"/>
    <w:rsid w:val="001903AE"/>
    <w:rsid w:val="0019426D"/>
    <w:rsid w:val="00195546"/>
    <w:rsid w:val="001A2DCD"/>
    <w:rsid w:val="001A4102"/>
    <w:rsid w:val="001B03CF"/>
    <w:rsid w:val="001B19BE"/>
    <w:rsid w:val="001B2C6D"/>
    <w:rsid w:val="001B4DA3"/>
    <w:rsid w:val="001E1183"/>
    <w:rsid w:val="001E1BF3"/>
    <w:rsid w:val="001E3A60"/>
    <w:rsid w:val="001F7863"/>
    <w:rsid w:val="002008CA"/>
    <w:rsid w:val="002027E7"/>
    <w:rsid w:val="00204EB9"/>
    <w:rsid w:val="00207EA8"/>
    <w:rsid w:val="00213CF6"/>
    <w:rsid w:val="002229C3"/>
    <w:rsid w:val="0022352E"/>
    <w:rsid w:val="00226AB7"/>
    <w:rsid w:val="002326FD"/>
    <w:rsid w:val="002354E1"/>
    <w:rsid w:val="0024302D"/>
    <w:rsid w:val="00252702"/>
    <w:rsid w:val="00262916"/>
    <w:rsid w:val="002744D7"/>
    <w:rsid w:val="002874B9"/>
    <w:rsid w:val="00292CA8"/>
    <w:rsid w:val="0029471C"/>
    <w:rsid w:val="002A0248"/>
    <w:rsid w:val="002A0616"/>
    <w:rsid w:val="002A2B4A"/>
    <w:rsid w:val="002A43DC"/>
    <w:rsid w:val="002A502C"/>
    <w:rsid w:val="002B0543"/>
    <w:rsid w:val="002B074B"/>
    <w:rsid w:val="002B37D7"/>
    <w:rsid w:val="002B618E"/>
    <w:rsid w:val="002C22DE"/>
    <w:rsid w:val="002C4503"/>
    <w:rsid w:val="002C7D3E"/>
    <w:rsid w:val="002D1E8E"/>
    <w:rsid w:val="002E5DCD"/>
    <w:rsid w:val="002F0138"/>
    <w:rsid w:val="0030231F"/>
    <w:rsid w:val="003049AB"/>
    <w:rsid w:val="00307364"/>
    <w:rsid w:val="00310263"/>
    <w:rsid w:val="003106B5"/>
    <w:rsid w:val="00325403"/>
    <w:rsid w:val="0033629F"/>
    <w:rsid w:val="003569E8"/>
    <w:rsid w:val="00361704"/>
    <w:rsid w:val="00366267"/>
    <w:rsid w:val="00366ACD"/>
    <w:rsid w:val="00372127"/>
    <w:rsid w:val="00374D2E"/>
    <w:rsid w:val="00382901"/>
    <w:rsid w:val="003878A0"/>
    <w:rsid w:val="003950B1"/>
    <w:rsid w:val="003A6101"/>
    <w:rsid w:val="003B4AA9"/>
    <w:rsid w:val="003E7239"/>
    <w:rsid w:val="003F2A2C"/>
    <w:rsid w:val="003F79A7"/>
    <w:rsid w:val="00404133"/>
    <w:rsid w:val="00410583"/>
    <w:rsid w:val="00413702"/>
    <w:rsid w:val="00423966"/>
    <w:rsid w:val="00427AD9"/>
    <w:rsid w:val="00432CFE"/>
    <w:rsid w:val="00435AEB"/>
    <w:rsid w:val="00442D19"/>
    <w:rsid w:val="00447966"/>
    <w:rsid w:val="00450096"/>
    <w:rsid w:val="0046411C"/>
    <w:rsid w:val="0046748B"/>
    <w:rsid w:val="00467782"/>
    <w:rsid w:val="00472043"/>
    <w:rsid w:val="004766EE"/>
    <w:rsid w:val="00480531"/>
    <w:rsid w:val="0048238B"/>
    <w:rsid w:val="004847AA"/>
    <w:rsid w:val="00495FC5"/>
    <w:rsid w:val="004A4AAE"/>
    <w:rsid w:val="004A5F4E"/>
    <w:rsid w:val="004B07D2"/>
    <w:rsid w:val="004B61C1"/>
    <w:rsid w:val="004B781B"/>
    <w:rsid w:val="004D2698"/>
    <w:rsid w:val="004E52EB"/>
    <w:rsid w:val="004F2077"/>
    <w:rsid w:val="004F65D4"/>
    <w:rsid w:val="0050362A"/>
    <w:rsid w:val="005138E9"/>
    <w:rsid w:val="0051639C"/>
    <w:rsid w:val="0052665A"/>
    <w:rsid w:val="0053714C"/>
    <w:rsid w:val="00541DB3"/>
    <w:rsid w:val="005424F7"/>
    <w:rsid w:val="00550852"/>
    <w:rsid w:val="00553472"/>
    <w:rsid w:val="00557565"/>
    <w:rsid w:val="00567746"/>
    <w:rsid w:val="0057207C"/>
    <w:rsid w:val="0057487F"/>
    <w:rsid w:val="00575806"/>
    <w:rsid w:val="00590DCB"/>
    <w:rsid w:val="005B0327"/>
    <w:rsid w:val="005B7295"/>
    <w:rsid w:val="005C0702"/>
    <w:rsid w:val="005C2839"/>
    <w:rsid w:val="005C7C80"/>
    <w:rsid w:val="005D0ED6"/>
    <w:rsid w:val="005D128C"/>
    <w:rsid w:val="005E25C5"/>
    <w:rsid w:val="005E5C1E"/>
    <w:rsid w:val="005E6945"/>
    <w:rsid w:val="00602573"/>
    <w:rsid w:val="00605084"/>
    <w:rsid w:val="00617CEC"/>
    <w:rsid w:val="00635221"/>
    <w:rsid w:val="006354F1"/>
    <w:rsid w:val="00637D4C"/>
    <w:rsid w:val="006538B5"/>
    <w:rsid w:val="00660BB0"/>
    <w:rsid w:val="006659D1"/>
    <w:rsid w:val="006678F2"/>
    <w:rsid w:val="006755C0"/>
    <w:rsid w:val="00675A36"/>
    <w:rsid w:val="006843D3"/>
    <w:rsid w:val="00690685"/>
    <w:rsid w:val="00694301"/>
    <w:rsid w:val="00697209"/>
    <w:rsid w:val="006B307C"/>
    <w:rsid w:val="006B4889"/>
    <w:rsid w:val="006B773E"/>
    <w:rsid w:val="006C229E"/>
    <w:rsid w:val="006C7A41"/>
    <w:rsid w:val="006E00A9"/>
    <w:rsid w:val="006E7EF7"/>
    <w:rsid w:val="006F4334"/>
    <w:rsid w:val="006F614A"/>
    <w:rsid w:val="00702D23"/>
    <w:rsid w:val="00710DBE"/>
    <w:rsid w:val="0071761F"/>
    <w:rsid w:val="00723893"/>
    <w:rsid w:val="00733109"/>
    <w:rsid w:val="00746F33"/>
    <w:rsid w:val="00750EF6"/>
    <w:rsid w:val="0076001A"/>
    <w:rsid w:val="007617B1"/>
    <w:rsid w:val="00774136"/>
    <w:rsid w:val="007762F7"/>
    <w:rsid w:val="00780868"/>
    <w:rsid w:val="00785B5A"/>
    <w:rsid w:val="0078658C"/>
    <w:rsid w:val="0079022E"/>
    <w:rsid w:val="007956C8"/>
    <w:rsid w:val="00797517"/>
    <w:rsid w:val="007979FC"/>
    <w:rsid w:val="007A3018"/>
    <w:rsid w:val="007A6882"/>
    <w:rsid w:val="007D6818"/>
    <w:rsid w:val="007E132D"/>
    <w:rsid w:val="007E3F38"/>
    <w:rsid w:val="007E5AA6"/>
    <w:rsid w:val="007E6ACB"/>
    <w:rsid w:val="007E770A"/>
    <w:rsid w:val="007F0050"/>
    <w:rsid w:val="00801FFC"/>
    <w:rsid w:val="0080690D"/>
    <w:rsid w:val="0081323E"/>
    <w:rsid w:val="00813B38"/>
    <w:rsid w:val="008241DB"/>
    <w:rsid w:val="00831D49"/>
    <w:rsid w:val="008347FB"/>
    <w:rsid w:val="008427B0"/>
    <w:rsid w:val="00846A98"/>
    <w:rsid w:val="008553C0"/>
    <w:rsid w:val="008554B6"/>
    <w:rsid w:val="0086734B"/>
    <w:rsid w:val="00881B7D"/>
    <w:rsid w:val="00883F51"/>
    <w:rsid w:val="008A7D5E"/>
    <w:rsid w:val="008C246C"/>
    <w:rsid w:val="008D2D06"/>
    <w:rsid w:val="009017A3"/>
    <w:rsid w:val="00902959"/>
    <w:rsid w:val="009070CE"/>
    <w:rsid w:val="009231E1"/>
    <w:rsid w:val="00934A9B"/>
    <w:rsid w:val="00935E57"/>
    <w:rsid w:val="00942E5E"/>
    <w:rsid w:val="00944B47"/>
    <w:rsid w:val="00945DEF"/>
    <w:rsid w:val="00946676"/>
    <w:rsid w:val="00952DD5"/>
    <w:rsid w:val="0095434D"/>
    <w:rsid w:val="00956274"/>
    <w:rsid w:val="00956778"/>
    <w:rsid w:val="0096632A"/>
    <w:rsid w:val="00977B3F"/>
    <w:rsid w:val="009A5243"/>
    <w:rsid w:val="009B11FA"/>
    <w:rsid w:val="009B23D8"/>
    <w:rsid w:val="009B63E1"/>
    <w:rsid w:val="009C571F"/>
    <w:rsid w:val="009D1A9E"/>
    <w:rsid w:val="009D1C20"/>
    <w:rsid w:val="009E40EC"/>
    <w:rsid w:val="009F5F66"/>
    <w:rsid w:val="00A0034F"/>
    <w:rsid w:val="00A01138"/>
    <w:rsid w:val="00A048AB"/>
    <w:rsid w:val="00A04C00"/>
    <w:rsid w:val="00A10A11"/>
    <w:rsid w:val="00A20C12"/>
    <w:rsid w:val="00A254D2"/>
    <w:rsid w:val="00A374EE"/>
    <w:rsid w:val="00A42446"/>
    <w:rsid w:val="00A42B51"/>
    <w:rsid w:val="00A46963"/>
    <w:rsid w:val="00A5263D"/>
    <w:rsid w:val="00A72D60"/>
    <w:rsid w:val="00A735CA"/>
    <w:rsid w:val="00A74877"/>
    <w:rsid w:val="00A777B5"/>
    <w:rsid w:val="00A8103B"/>
    <w:rsid w:val="00A86012"/>
    <w:rsid w:val="00A94E60"/>
    <w:rsid w:val="00A96F1B"/>
    <w:rsid w:val="00AA1AEC"/>
    <w:rsid w:val="00AA2E1B"/>
    <w:rsid w:val="00AA30E9"/>
    <w:rsid w:val="00AA55E0"/>
    <w:rsid w:val="00AB08D0"/>
    <w:rsid w:val="00AB490E"/>
    <w:rsid w:val="00AB497F"/>
    <w:rsid w:val="00AB53D2"/>
    <w:rsid w:val="00AB57E2"/>
    <w:rsid w:val="00AD0506"/>
    <w:rsid w:val="00AD0A9B"/>
    <w:rsid w:val="00AE3480"/>
    <w:rsid w:val="00AF31D0"/>
    <w:rsid w:val="00B045F4"/>
    <w:rsid w:val="00B04B8D"/>
    <w:rsid w:val="00B11048"/>
    <w:rsid w:val="00B14362"/>
    <w:rsid w:val="00B23FFC"/>
    <w:rsid w:val="00B45A5D"/>
    <w:rsid w:val="00B61CDD"/>
    <w:rsid w:val="00B8374F"/>
    <w:rsid w:val="00B96337"/>
    <w:rsid w:val="00BB197A"/>
    <w:rsid w:val="00BB457F"/>
    <w:rsid w:val="00BB79A9"/>
    <w:rsid w:val="00BC5CB0"/>
    <w:rsid w:val="00BC7E75"/>
    <w:rsid w:val="00BD08AE"/>
    <w:rsid w:val="00BD5A80"/>
    <w:rsid w:val="00BD600D"/>
    <w:rsid w:val="00BE4A72"/>
    <w:rsid w:val="00BE5119"/>
    <w:rsid w:val="00C07570"/>
    <w:rsid w:val="00C12EFD"/>
    <w:rsid w:val="00C27A4E"/>
    <w:rsid w:val="00C3034E"/>
    <w:rsid w:val="00C34DCA"/>
    <w:rsid w:val="00C3654A"/>
    <w:rsid w:val="00C41119"/>
    <w:rsid w:val="00C45DCB"/>
    <w:rsid w:val="00C46EDA"/>
    <w:rsid w:val="00C52C3D"/>
    <w:rsid w:val="00C55BE6"/>
    <w:rsid w:val="00C74A51"/>
    <w:rsid w:val="00C77F29"/>
    <w:rsid w:val="00C81C8C"/>
    <w:rsid w:val="00C90506"/>
    <w:rsid w:val="00C91890"/>
    <w:rsid w:val="00CA0D15"/>
    <w:rsid w:val="00CA2448"/>
    <w:rsid w:val="00CA358F"/>
    <w:rsid w:val="00CB1A6A"/>
    <w:rsid w:val="00CB23A5"/>
    <w:rsid w:val="00CB5738"/>
    <w:rsid w:val="00CC0368"/>
    <w:rsid w:val="00CD0FDC"/>
    <w:rsid w:val="00CD7B88"/>
    <w:rsid w:val="00CE17FF"/>
    <w:rsid w:val="00CE1EAB"/>
    <w:rsid w:val="00CF047C"/>
    <w:rsid w:val="00CF197F"/>
    <w:rsid w:val="00CF55DF"/>
    <w:rsid w:val="00D007B9"/>
    <w:rsid w:val="00D0471D"/>
    <w:rsid w:val="00D244B2"/>
    <w:rsid w:val="00D311A8"/>
    <w:rsid w:val="00D31A74"/>
    <w:rsid w:val="00D42DD3"/>
    <w:rsid w:val="00D4314E"/>
    <w:rsid w:val="00D47B25"/>
    <w:rsid w:val="00D47C63"/>
    <w:rsid w:val="00D5347E"/>
    <w:rsid w:val="00D53F6A"/>
    <w:rsid w:val="00D5472C"/>
    <w:rsid w:val="00D55A7A"/>
    <w:rsid w:val="00D62E64"/>
    <w:rsid w:val="00D67450"/>
    <w:rsid w:val="00D70922"/>
    <w:rsid w:val="00D77B80"/>
    <w:rsid w:val="00D97A27"/>
    <w:rsid w:val="00DA41A4"/>
    <w:rsid w:val="00DB1C84"/>
    <w:rsid w:val="00DC06D2"/>
    <w:rsid w:val="00DC7B54"/>
    <w:rsid w:val="00DD5A6B"/>
    <w:rsid w:val="00E00587"/>
    <w:rsid w:val="00E04593"/>
    <w:rsid w:val="00E061DE"/>
    <w:rsid w:val="00E120A7"/>
    <w:rsid w:val="00E12C37"/>
    <w:rsid w:val="00E23673"/>
    <w:rsid w:val="00E23926"/>
    <w:rsid w:val="00E341EF"/>
    <w:rsid w:val="00E349DA"/>
    <w:rsid w:val="00E41A9E"/>
    <w:rsid w:val="00E42E96"/>
    <w:rsid w:val="00E43A98"/>
    <w:rsid w:val="00E465EC"/>
    <w:rsid w:val="00E62236"/>
    <w:rsid w:val="00E62A81"/>
    <w:rsid w:val="00E67B87"/>
    <w:rsid w:val="00E70A5C"/>
    <w:rsid w:val="00E73061"/>
    <w:rsid w:val="00E7550F"/>
    <w:rsid w:val="00E77499"/>
    <w:rsid w:val="00E83E92"/>
    <w:rsid w:val="00EA4C08"/>
    <w:rsid w:val="00EB13A7"/>
    <w:rsid w:val="00EB2540"/>
    <w:rsid w:val="00EC246D"/>
    <w:rsid w:val="00EC267E"/>
    <w:rsid w:val="00EC75EB"/>
    <w:rsid w:val="00EC7D0E"/>
    <w:rsid w:val="00ED73CC"/>
    <w:rsid w:val="00F3099A"/>
    <w:rsid w:val="00F41A9B"/>
    <w:rsid w:val="00F51C5E"/>
    <w:rsid w:val="00F55FDA"/>
    <w:rsid w:val="00F5640A"/>
    <w:rsid w:val="00F63D91"/>
    <w:rsid w:val="00F66053"/>
    <w:rsid w:val="00F7094C"/>
    <w:rsid w:val="00F75EE4"/>
    <w:rsid w:val="00F971C1"/>
    <w:rsid w:val="00FA0E37"/>
    <w:rsid w:val="00FA7C54"/>
    <w:rsid w:val="00FB5B4F"/>
    <w:rsid w:val="00FC7B5D"/>
    <w:rsid w:val="00FD48E7"/>
    <w:rsid w:val="00FE0D00"/>
    <w:rsid w:val="00FE2144"/>
    <w:rsid w:val="00FE5D97"/>
    <w:rsid w:val="00FF1905"/>
    <w:rsid w:val="00FF20A0"/>
    <w:rsid w:val="00FF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395AE4F"/>
  <w15:docId w15:val="{BF7A00D3-D617-45F3-AD7F-F49D45B4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rsid w:val="00026B9B"/>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basedOn w:val="DefaultParagraphFont"/>
    <w:link w:val="FootnoteText"/>
    <w:rsid w:val="00026B9B"/>
  </w:style>
  <w:style w:type="character" w:styleId="FootnoteReference">
    <w:name w:val="footnote reference"/>
    <w:aliases w:val="o,fr"/>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1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787775">
      <w:bodyDiv w:val="1"/>
      <w:marLeft w:val="0"/>
      <w:marRight w:val="0"/>
      <w:marTop w:val="0"/>
      <w:marBottom w:val="0"/>
      <w:divBdr>
        <w:top w:val="none" w:sz="0" w:space="0" w:color="auto"/>
        <w:left w:val="none" w:sz="0" w:space="0" w:color="auto"/>
        <w:bottom w:val="none" w:sz="0" w:space="0" w:color="auto"/>
        <w:right w:val="none" w:sz="0" w:space="0" w:color="auto"/>
      </w:divBdr>
    </w:div>
    <w:div w:id="213077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sherrick@pa.gov" TargetMode="External"/><Relationship Id="rId4" Type="http://schemas.openxmlformats.org/officeDocument/2006/relationships/settings" Target="settings.xml"/><Relationship Id="rId9" Type="http://schemas.openxmlformats.org/officeDocument/2006/relationships/hyperlink" Target="http://www.puc.pa.gov/filing_resources/issues_laws_regulations/act_129_information/act_129_statewide_evaluator_swe_.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2AB74-791E-4FC2-8043-EA9E3B0D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Wagner, Nathan R</cp:lastModifiedBy>
  <cp:revision>11</cp:revision>
  <cp:lastPrinted>2014-06-12T15:34:00Z</cp:lastPrinted>
  <dcterms:created xsi:type="dcterms:W3CDTF">2019-02-11T12:46:00Z</dcterms:created>
  <dcterms:modified xsi:type="dcterms:W3CDTF">2019-02-14T16:55:00Z</dcterms:modified>
</cp:coreProperties>
</file>