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8" w:type="dxa"/>
        <w:tblLayout w:type="fixed"/>
        <w:tblLook w:val="0000" w:firstRow="0" w:lastRow="0" w:firstColumn="0" w:lastColumn="0" w:noHBand="0" w:noVBand="0"/>
      </w:tblPr>
      <w:tblGrid>
        <w:gridCol w:w="2448"/>
        <w:gridCol w:w="5130"/>
        <w:gridCol w:w="2700"/>
      </w:tblGrid>
      <w:tr w:rsidR="00D850D4" w:rsidRPr="00197E3D">
        <w:tc>
          <w:tcPr>
            <w:tcW w:w="2448" w:type="dxa"/>
          </w:tcPr>
          <w:p w:rsidR="00D850D4" w:rsidRPr="00197E3D" w:rsidRDefault="00D850D4" w:rsidP="00092C0A">
            <w:pPr>
              <w:pStyle w:val="Heading3"/>
              <w:rPr>
                <w:rFonts w:ascii="Times New Roman" w:hAnsi="Times New Roman" w:cs="Times New Roman"/>
              </w:rPr>
            </w:pPr>
          </w:p>
        </w:tc>
        <w:tc>
          <w:tcPr>
            <w:tcW w:w="5130" w:type="dxa"/>
          </w:tcPr>
          <w:p w:rsidR="00D850D4" w:rsidRPr="00197E3D" w:rsidRDefault="00D850D4">
            <w:pPr>
              <w:jc w:val="center"/>
              <w:rPr>
                <w:b/>
                <w:sz w:val="26"/>
                <w:szCs w:val="26"/>
              </w:rPr>
            </w:pPr>
            <w:r w:rsidRPr="00197E3D">
              <w:rPr>
                <w:b/>
                <w:sz w:val="26"/>
                <w:szCs w:val="26"/>
              </w:rPr>
              <w:t>PENNSYLVANIA</w:t>
            </w:r>
          </w:p>
          <w:p w:rsidR="00D850D4" w:rsidRPr="00197E3D" w:rsidRDefault="00D850D4">
            <w:pPr>
              <w:jc w:val="center"/>
              <w:rPr>
                <w:b/>
                <w:sz w:val="26"/>
                <w:szCs w:val="26"/>
              </w:rPr>
            </w:pPr>
            <w:r w:rsidRPr="00197E3D">
              <w:rPr>
                <w:b/>
                <w:sz w:val="26"/>
                <w:szCs w:val="26"/>
              </w:rPr>
              <w:t>PUBLIC UTILITY COMMISSION</w:t>
            </w:r>
          </w:p>
          <w:p w:rsidR="00D850D4" w:rsidRPr="00197E3D" w:rsidRDefault="00D850D4" w:rsidP="00092C0A">
            <w:pPr>
              <w:pStyle w:val="StyleCentered"/>
              <w:rPr>
                <w:sz w:val="26"/>
                <w:szCs w:val="26"/>
              </w:rPr>
            </w:pPr>
            <w:r w:rsidRPr="00197E3D">
              <w:rPr>
                <w:sz w:val="26"/>
                <w:szCs w:val="26"/>
              </w:rPr>
              <w:t>Harrisburg</w:t>
            </w:r>
            <w:r w:rsidR="006048E2" w:rsidRPr="00197E3D">
              <w:rPr>
                <w:sz w:val="26"/>
                <w:szCs w:val="26"/>
              </w:rPr>
              <w:t>, PA</w:t>
            </w:r>
            <w:r w:rsidRPr="00197E3D">
              <w:rPr>
                <w:sz w:val="26"/>
                <w:szCs w:val="26"/>
              </w:rPr>
              <w:t xml:space="preserve">  17105-3265</w:t>
            </w:r>
          </w:p>
        </w:tc>
        <w:tc>
          <w:tcPr>
            <w:tcW w:w="2700" w:type="dxa"/>
          </w:tcPr>
          <w:p w:rsidR="00D850D4" w:rsidRPr="00197E3D" w:rsidRDefault="00D850D4">
            <w:pPr>
              <w:rPr>
                <w:sz w:val="26"/>
                <w:szCs w:val="26"/>
              </w:rPr>
            </w:pPr>
          </w:p>
        </w:tc>
      </w:tr>
    </w:tbl>
    <w:p w:rsidR="00D850D4" w:rsidRPr="00197E3D" w:rsidRDefault="00D850D4">
      <w:pPr>
        <w:rPr>
          <w:sz w:val="26"/>
          <w:szCs w:val="26"/>
        </w:rPr>
      </w:pPr>
    </w:p>
    <w:tbl>
      <w:tblPr>
        <w:tblW w:w="10278" w:type="dxa"/>
        <w:tblLayout w:type="fixed"/>
        <w:tblLook w:val="0000" w:firstRow="0" w:lastRow="0" w:firstColumn="0" w:lastColumn="0" w:noHBand="0" w:noVBand="0"/>
      </w:tblPr>
      <w:tblGrid>
        <w:gridCol w:w="5148"/>
        <w:gridCol w:w="5130"/>
      </w:tblGrid>
      <w:tr w:rsidR="00D850D4" w:rsidRPr="00197E3D" w:rsidTr="00092D50">
        <w:tc>
          <w:tcPr>
            <w:tcW w:w="5148" w:type="dxa"/>
          </w:tcPr>
          <w:p w:rsidR="00D850D4" w:rsidRPr="00197E3D" w:rsidRDefault="00D850D4">
            <w:pPr>
              <w:rPr>
                <w:sz w:val="26"/>
                <w:szCs w:val="26"/>
              </w:rPr>
            </w:pPr>
          </w:p>
        </w:tc>
        <w:tc>
          <w:tcPr>
            <w:tcW w:w="5130" w:type="dxa"/>
          </w:tcPr>
          <w:p w:rsidR="00D850D4" w:rsidRPr="00197E3D" w:rsidRDefault="00D850D4" w:rsidP="00092D50">
            <w:pPr>
              <w:ind w:firstLine="612"/>
              <w:rPr>
                <w:sz w:val="26"/>
                <w:szCs w:val="26"/>
              </w:rPr>
            </w:pPr>
            <w:r w:rsidRPr="00197E3D">
              <w:rPr>
                <w:sz w:val="26"/>
                <w:szCs w:val="26"/>
              </w:rPr>
              <w:t>Public Meeting held</w:t>
            </w:r>
            <w:r w:rsidR="00D70958">
              <w:rPr>
                <w:sz w:val="26"/>
                <w:szCs w:val="26"/>
              </w:rPr>
              <w:t xml:space="preserve"> August</w:t>
            </w:r>
            <w:r w:rsidR="002E052F">
              <w:rPr>
                <w:sz w:val="26"/>
                <w:szCs w:val="26"/>
              </w:rPr>
              <w:t xml:space="preserve"> </w:t>
            </w:r>
            <w:r w:rsidR="00D70958">
              <w:rPr>
                <w:sz w:val="26"/>
                <w:szCs w:val="26"/>
              </w:rPr>
              <w:t>3</w:t>
            </w:r>
            <w:r w:rsidR="00092D50" w:rsidRPr="00197E3D">
              <w:rPr>
                <w:sz w:val="26"/>
                <w:szCs w:val="26"/>
              </w:rPr>
              <w:t>, 2017</w:t>
            </w:r>
          </w:p>
        </w:tc>
      </w:tr>
      <w:tr w:rsidR="00D850D4" w:rsidRPr="00197E3D" w:rsidTr="00092D50">
        <w:tc>
          <w:tcPr>
            <w:tcW w:w="5148" w:type="dxa"/>
          </w:tcPr>
          <w:p w:rsidR="00D850D4" w:rsidRPr="00197E3D" w:rsidRDefault="00D850D4">
            <w:pPr>
              <w:rPr>
                <w:sz w:val="26"/>
                <w:szCs w:val="26"/>
              </w:rPr>
            </w:pPr>
            <w:r w:rsidRPr="00197E3D">
              <w:rPr>
                <w:sz w:val="26"/>
                <w:szCs w:val="26"/>
              </w:rPr>
              <w:t>Commissioners Present:</w:t>
            </w:r>
          </w:p>
        </w:tc>
        <w:tc>
          <w:tcPr>
            <w:tcW w:w="5130" w:type="dxa"/>
          </w:tcPr>
          <w:p w:rsidR="00D850D4" w:rsidRPr="00197E3D" w:rsidRDefault="00D850D4">
            <w:pPr>
              <w:rPr>
                <w:sz w:val="26"/>
                <w:szCs w:val="26"/>
              </w:rPr>
            </w:pPr>
          </w:p>
        </w:tc>
      </w:tr>
    </w:tbl>
    <w:p w:rsidR="00D850D4" w:rsidRPr="00197E3D" w:rsidRDefault="00D850D4">
      <w:pPr>
        <w:rPr>
          <w:sz w:val="26"/>
          <w:szCs w:val="26"/>
        </w:rPr>
      </w:pPr>
    </w:p>
    <w:tbl>
      <w:tblPr>
        <w:tblW w:w="10296" w:type="dxa"/>
        <w:tblLayout w:type="fixed"/>
        <w:tblLook w:val="0000" w:firstRow="0" w:lastRow="0" w:firstColumn="0" w:lastColumn="0" w:noHBand="0" w:noVBand="0"/>
      </w:tblPr>
      <w:tblGrid>
        <w:gridCol w:w="5958"/>
        <w:gridCol w:w="2898"/>
        <w:gridCol w:w="522"/>
        <w:gridCol w:w="90"/>
        <w:gridCol w:w="828"/>
      </w:tblGrid>
      <w:tr w:rsidR="004E58A5" w:rsidRPr="00197E3D" w:rsidTr="00107AB8">
        <w:tc>
          <w:tcPr>
            <w:tcW w:w="9378" w:type="dxa"/>
            <w:gridSpan w:val="3"/>
          </w:tcPr>
          <w:p w:rsidR="004E58A5" w:rsidRPr="00197E3D" w:rsidRDefault="00092D50" w:rsidP="00AB738E">
            <w:pPr>
              <w:overflowPunct/>
              <w:ind w:left="720"/>
              <w:textAlignment w:val="auto"/>
              <w:rPr>
                <w:sz w:val="26"/>
                <w:szCs w:val="26"/>
              </w:rPr>
            </w:pPr>
            <w:r w:rsidRPr="00197E3D">
              <w:rPr>
                <w:sz w:val="26"/>
                <w:szCs w:val="26"/>
              </w:rPr>
              <w:t>Gladys M. Brown</w:t>
            </w:r>
            <w:r w:rsidR="00E15458" w:rsidRPr="00197E3D">
              <w:rPr>
                <w:sz w:val="26"/>
                <w:szCs w:val="26"/>
              </w:rPr>
              <w:t>, Chairman</w:t>
            </w:r>
          </w:p>
        </w:tc>
        <w:tc>
          <w:tcPr>
            <w:tcW w:w="918" w:type="dxa"/>
            <w:gridSpan w:val="2"/>
          </w:tcPr>
          <w:p w:rsidR="004E58A5" w:rsidRPr="00197E3D" w:rsidRDefault="004E58A5">
            <w:pPr>
              <w:rPr>
                <w:sz w:val="26"/>
                <w:szCs w:val="26"/>
              </w:rPr>
            </w:pPr>
          </w:p>
        </w:tc>
      </w:tr>
      <w:tr w:rsidR="004E58A5" w:rsidRPr="00197E3D" w:rsidTr="00107AB8">
        <w:tc>
          <w:tcPr>
            <w:tcW w:w="9378" w:type="dxa"/>
            <w:gridSpan w:val="3"/>
          </w:tcPr>
          <w:p w:rsidR="004E58A5" w:rsidRPr="00197E3D" w:rsidRDefault="00092D50" w:rsidP="00AB738E">
            <w:pPr>
              <w:overflowPunct/>
              <w:ind w:left="720"/>
              <w:textAlignment w:val="auto"/>
              <w:rPr>
                <w:sz w:val="26"/>
                <w:szCs w:val="26"/>
              </w:rPr>
            </w:pPr>
            <w:r w:rsidRPr="00197E3D">
              <w:rPr>
                <w:sz w:val="26"/>
                <w:szCs w:val="26"/>
              </w:rPr>
              <w:t>Andrew G. Place,</w:t>
            </w:r>
            <w:r w:rsidR="00AB2CF1" w:rsidRPr="00197E3D">
              <w:rPr>
                <w:sz w:val="26"/>
                <w:szCs w:val="26"/>
              </w:rPr>
              <w:t xml:space="preserve"> </w:t>
            </w:r>
            <w:r w:rsidR="004E58A5" w:rsidRPr="00197E3D">
              <w:rPr>
                <w:sz w:val="26"/>
                <w:szCs w:val="26"/>
              </w:rPr>
              <w:t>Vice Chairman</w:t>
            </w:r>
          </w:p>
        </w:tc>
        <w:tc>
          <w:tcPr>
            <w:tcW w:w="918" w:type="dxa"/>
            <w:gridSpan w:val="2"/>
          </w:tcPr>
          <w:p w:rsidR="004E58A5" w:rsidRPr="00197E3D" w:rsidRDefault="004E58A5">
            <w:pPr>
              <w:rPr>
                <w:sz w:val="26"/>
                <w:szCs w:val="26"/>
              </w:rPr>
            </w:pPr>
          </w:p>
        </w:tc>
      </w:tr>
      <w:tr w:rsidR="004E58A5" w:rsidRPr="00197E3D" w:rsidTr="00107AB8">
        <w:tc>
          <w:tcPr>
            <w:tcW w:w="9378" w:type="dxa"/>
            <w:gridSpan w:val="3"/>
          </w:tcPr>
          <w:p w:rsidR="004E58A5" w:rsidRPr="00197E3D" w:rsidRDefault="002E052F" w:rsidP="00042CEA">
            <w:pPr>
              <w:overflowPunct/>
              <w:ind w:left="720"/>
              <w:textAlignment w:val="auto"/>
              <w:rPr>
                <w:sz w:val="26"/>
                <w:szCs w:val="26"/>
              </w:rPr>
            </w:pPr>
            <w:r w:rsidRPr="00197E3D">
              <w:rPr>
                <w:sz w:val="26"/>
                <w:szCs w:val="26"/>
              </w:rPr>
              <w:t>Robert F. Powelson</w:t>
            </w:r>
          </w:p>
        </w:tc>
        <w:tc>
          <w:tcPr>
            <w:tcW w:w="918" w:type="dxa"/>
            <w:gridSpan w:val="2"/>
          </w:tcPr>
          <w:p w:rsidR="004E58A5" w:rsidRPr="00197E3D" w:rsidRDefault="004E58A5">
            <w:pPr>
              <w:rPr>
                <w:sz w:val="26"/>
                <w:szCs w:val="26"/>
              </w:rPr>
            </w:pPr>
          </w:p>
        </w:tc>
      </w:tr>
      <w:tr w:rsidR="004E58A5" w:rsidRPr="00197E3D" w:rsidTr="00107AB8">
        <w:tc>
          <w:tcPr>
            <w:tcW w:w="9378" w:type="dxa"/>
            <w:gridSpan w:val="3"/>
          </w:tcPr>
          <w:p w:rsidR="004E58A5" w:rsidRPr="00197E3D" w:rsidRDefault="002E052F" w:rsidP="00AB738E">
            <w:pPr>
              <w:overflowPunct/>
              <w:ind w:left="720"/>
              <w:textAlignment w:val="auto"/>
              <w:rPr>
                <w:sz w:val="26"/>
                <w:szCs w:val="26"/>
              </w:rPr>
            </w:pPr>
            <w:r w:rsidRPr="00197E3D">
              <w:rPr>
                <w:sz w:val="26"/>
                <w:szCs w:val="26"/>
              </w:rPr>
              <w:t>David W. Sweet</w:t>
            </w:r>
          </w:p>
        </w:tc>
        <w:tc>
          <w:tcPr>
            <w:tcW w:w="918" w:type="dxa"/>
            <w:gridSpan w:val="2"/>
          </w:tcPr>
          <w:p w:rsidR="004E58A5" w:rsidRPr="00197E3D" w:rsidRDefault="004E58A5">
            <w:pPr>
              <w:rPr>
                <w:sz w:val="26"/>
                <w:szCs w:val="26"/>
              </w:rPr>
            </w:pPr>
          </w:p>
        </w:tc>
      </w:tr>
      <w:tr w:rsidR="00572CCC" w:rsidRPr="00197E3D" w:rsidTr="00571027">
        <w:trPr>
          <w:gridAfter w:val="3"/>
          <w:wAfter w:w="1440" w:type="dxa"/>
        </w:trPr>
        <w:tc>
          <w:tcPr>
            <w:tcW w:w="5958" w:type="dxa"/>
          </w:tcPr>
          <w:p w:rsidR="00572CCC" w:rsidRPr="00197E3D" w:rsidRDefault="002E052F" w:rsidP="00AB738E">
            <w:pPr>
              <w:ind w:left="720"/>
              <w:rPr>
                <w:sz w:val="26"/>
                <w:szCs w:val="26"/>
              </w:rPr>
            </w:pPr>
            <w:r w:rsidRPr="00197E3D">
              <w:rPr>
                <w:sz w:val="26"/>
                <w:szCs w:val="26"/>
              </w:rPr>
              <w:t>John F. Coleman, Jr.</w:t>
            </w:r>
          </w:p>
        </w:tc>
        <w:tc>
          <w:tcPr>
            <w:tcW w:w="2898" w:type="dxa"/>
          </w:tcPr>
          <w:p w:rsidR="00572CCC" w:rsidRPr="00197E3D" w:rsidRDefault="00572CCC" w:rsidP="00A82FC9">
            <w:pPr>
              <w:rPr>
                <w:sz w:val="26"/>
                <w:szCs w:val="26"/>
              </w:rPr>
            </w:pPr>
          </w:p>
        </w:tc>
      </w:tr>
      <w:tr w:rsidR="00E441EC" w:rsidRPr="00197E3D" w:rsidTr="00571027">
        <w:trPr>
          <w:gridAfter w:val="3"/>
          <w:wAfter w:w="1440" w:type="dxa"/>
        </w:trPr>
        <w:tc>
          <w:tcPr>
            <w:tcW w:w="5958" w:type="dxa"/>
          </w:tcPr>
          <w:p w:rsidR="00E441EC" w:rsidRPr="00197E3D" w:rsidRDefault="00E441EC" w:rsidP="00F649E4">
            <w:pPr>
              <w:rPr>
                <w:sz w:val="26"/>
                <w:szCs w:val="26"/>
              </w:rPr>
            </w:pPr>
          </w:p>
        </w:tc>
        <w:tc>
          <w:tcPr>
            <w:tcW w:w="2898" w:type="dxa"/>
          </w:tcPr>
          <w:p w:rsidR="00E441EC" w:rsidRPr="00197E3D" w:rsidRDefault="00E441EC" w:rsidP="00A82FC9">
            <w:pPr>
              <w:rPr>
                <w:sz w:val="26"/>
                <w:szCs w:val="26"/>
              </w:rPr>
            </w:pPr>
          </w:p>
        </w:tc>
      </w:tr>
      <w:tr w:rsidR="00107AB8" w:rsidRPr="00197E3D" w:rsidTr="00571027">
        <w:trPr>
          <w:gridAfter w:val="3"/>
          <w:wAfter w:w="1440" w:type="dxa"/>
        </w:trPr>
        <w:tc>
          <w:tcPr>
            <w:tcW w:w="5958" w:type="dxa"/>
          </w:tcPr>
          <w:p w:rsidR="00107AB8" w:rsidRPr="00197E3D" w:rsidRDefault="00E11965" w:rsidP="00F649E4">
            <w:pPr>
              <w:rPr>
                <w:sz w:val="26"/>
                <w:szCs w:val="26"/>
              </w:rPr>
            </w:pPr>
            <w:r w:rsidRPr="00197E3D">
              <w:rPr>
                <w:sz w:val="26"/>
                <w:szCs w:val="26"/>
              </w:rPr>
              <w:t xml:space="preserve"> </w:t>
            </w:r>
          </w:p>
        </w:tc>
        <w:tc>
          <w:tcPr>
            <w:tcW w:w="2898" w:type="dxa"/>
          </w:tcPr>
          <w:p w:rsidR="00107AB8" w:rsidRPr="00197E3D" w:rsidRDefault="00107AB8" w:rsidP="00A82FC9">
            <w:pPr>
              <w:rPr>
                <w:sz w:val="26"/>
                <w:szCs w:val="26"/>
              </w:rPr>
            </w:pPr>
          </w:p>
        </w:tc>
      </w:tr>
      <w:tr w:rsidR="00197E3D" w:rsidRPr="00197E3D" w:rsidTr="00006E52">
        <w:trPr>
          <w:gridAfter w:val="1"/>
          <w:wAfter w:w="828" w:type="dxa"/>
        </w:trPr>
        <w:tc>
          <w:tcPr>
            <w:tcW w:w="5958" w:type="dxa"/>
          </w:tcPr>
          <w:p w:rsidR="00B85BF9" w:rsidRPr="00197E3D" w:rsidRDefault="00B85BF9" w:rsidP="00BA467E">
            <w:pPr>
              <w:rPr>
                <w:sz w:val="26"/>
                <w:szCs w:val="26"/>
              </w:rPr>
            </w:pPr>
            <w:r w:rsidRPr="00197E3D">
              <w:rPr>
                <w:sz w:val="26"/>
                <w:szCs w:val="26"/>
              </w:rPr>
              <w:t>Energy Efficiency and Conservation Program</w:t>
            </w:r>
          </w:p>
          <w:p w:rsidR="00B85BF9" w:rsidRPr="00197E3D" w:rsidRDefault="00B85BF9" w:rsidP="00BA467E">
            <w:pPr>
              <w:rPr>
                <w:sz w:val="26"/>
                <w:szCs w:val="26"/>
              </w:rPr>
            </w:pPr>
          </w:p>
        </w:tc>
        <w:tc>
          <w:tcPr>
            <w:tcW w:w="3510" w:type="dxa"/>
            <w:gridSpan w:val="3"/>
          </w:tcPr>
          <w:p w:rsidR="00806EF2" w:rsidRPr="00197E3D" w:rsidRDefault="00006E52" w:rsidP="00EE0B71">
            <w:pPr>
              <w:jc w:val="center"/>
              <w:rPr>
                <w:sz w:val="26"/>
                <w:szCs w:val="26"/>
              </w:rPr>
            </w:pPr>
            <w:r w:rsidRPr="00197E3D">
              <w:rPr>
                <w:sz w:val="26"/>
                <w:szCs w:val="26"/>
              </w:rPr>
              <w:t>M-2012-2289411</w:t>
            </w:r>
          </w:p>
          <w:p w:rsidR="00B85BF9" w:rsidRPr="00197E3D" w:rsidRDefault="00806EF2" w:rsidP="00806EF2">
            <w:pPr>
              <w:rPr>
                <w:sz w:val="26"/>
                <w:szCs w:val="26"/>
              </w:rPr>
            </w:pPr>
            <w:r w:rsidRPr="00197E3D">
              <w:rPr>
                <w:sz w:val="26"/>
                <w:szCs w:val="26"/>
              </w:rPr>
              <w:t xml:space="preserve">                     </w:t>
            </w:r>
          </w:p>
        </w:tc>
      </w:tr>
    </w:tbl>
    <w:p w:rsidR="00D850D4" w:rsidRPr="00197E3D" w:rsidRDefault="00D850D4">
      <w:pPr>
        <w:jc w:val="center"/>
        <w:rPr>
          <w:b/>
          <w:sz w:val="26"/>
          <w:szCs w:val="26"/>
        </w:rPr>
      </w:pPr>
    </w:p>
    <w:p w:rsidR="00006E52" w:rsidRPr="00197E3D" w:rsidRDefault="00006E52" w:rsidP="00042CEA">
      <w:pPr>
        <w:jc w:val="center"/>
        <w:rPr>
          <w:b/>
          <w:sz w:val="26"/>
          <w:szCs w:val="26"/>
        </w:rPr>
      </w:pPr>
    </w:p>
    <w:p w:rsidR="00042CEA" w:rsidRPr="00197E3D" w:rsidRDefault="00006E52" w:rsidP="00042CEA">
      <w:pPr>
        <w:jc w:val="center"/>
        <w:rPr>
          <w:b/>
          <w:sz w:val="26"/>
          <w:szCs w:val="26"/>
        </w:rPr>
      </w:pPr>
      <w:r w:rsidRPr="00197E3D">
        <w:rPr>
          <w:b/>
          <w:sz w:val="26"/>
          <w:szCs w:val="26"/>
        </w:rPr>
        <w:t xml:space="preserve">COMPLIANCE </w:t>
      </w:r>
      <w:r w:rsidR="0037498A" w:rsidRPr="00197E3D">
        <w:rPr>
          <w:b/>
          <w:sz w:val="26"/>
          <w:szCs w:val="26"/>
        </w:rPr>
        <w:t>ORDER</w:t>
      </w:r>
      <w:r w:rsidR="00042CEA" w:rsidRPr="00197E3D">
        <w:rPr>
          <w:sz w:val="26"/>
          <w:szCs w:val="26"/>
        </w:rPr>
        <w:t xml:space="preserve"> </w:t>
      </w:r>
    </w:p>
    <w:p w:rsidR="00006E52" w:rsidRPr="00197E3D" w:rsidRDefault="00006E52" w:rsidP="00DF0470">
      <w:pPr>
        <w:pStyle w:val="p3"/>
        <w:spacing w:line="360" w:lineRule="auto"/>
        <w:rPr>
          <w:b/>
          <w:sz w:val="26"/>
          <w:szCs w:val="26"/>
        </w:rPr>
      </w:pPr>
    </w:p>
    <w:p w:rsidR="00DF0470" w:rsidRPr="00197E3D" w:rsidRDefault="00DF0470" w:rsidP="00DF0470">
      <w:pPr>
        <w:pStyle w:val="p3"/>
        <w:spacing w:line="360" w:lineRule="auto"/>
        <w:rPr>
          <w:b/>
          <w:sz w:val="26"/>
          <w:szCs w:val="26"/>
        </w:rPr>
      </w:pPr>
      <w:r w:rsidRPr="00197E3D">
        <w:rPr>
          <w:b/>
          <w:sz w:val="26"/>
          <w:szCs w:val="26"/>
        </w:rPr>
        <w:t>BY THE COMMISSION:</w:t>
      </w:r>
    </w:p>
    <w:p w:rsidR="00BA467E" w:rsidRPr="00197E3D" w:rsidRDefault="00BA467E" w:rsidP="00DF0470">
      <w:pPr>
        <w:pStyle w:val="p3"/>
        <w:spacing w:line="360" w:lineRule="auto"/>
        <w:rPr>
          <w:b/>
          <w:sz w:val="26"/>
          <w:szCs w:val="26"/>
        </w:rPr>
      </w:pPr>
    </w:p>
    <w:p w:rsidR="00BA467E" w:rsidRDefault="00DF0470" w:rsidP="00BA467E">
      <w:pPr>
        <w:pStyle w:val="p3"/>
        <w:widowControl/>
        <w:tabs>
          <w:tab w:val="clear" w:pos="204"/>
          <w:tab w:val="left" w:pos="720"/>
        </w:tabs>
        <w:spacing w:line="360" w:lineRule="auto"/>
        <w:rPr>
          <w:sz w:val="26"/>
          <w:szCs w:val="26"/>
        </w:rPr>
      </w:pPr>
      <w:r w:rsidRPr="00197E3D">
        <w:rPr>
          <w:b/>
          <w:sz w:val="26"/>
          <w:szCs w:val="26"/>
        </w:rPr>
        <w:tab/>
      </w:r>
      <w:r w:rsidR="00BA467E" w:rsidRPr="005C4A04">
        <w:rPr>
          <w:sz w:val="26"/>
          <w:szCs w:val="26"/>
        </w:rPr>
        <w:t>The Commission has been charged by the Pennsylvania General Assembly (General Assembly) with establishing an energy efficiency and conservation program (EE&amp;C Program). The EE&amp;C Program requires each electric distribution company (EDC) with at least 100,000 customers to adopt a plan to reduce energy demand and consumption within its service territory.</w:t>
      </w:r>
      <w:r w:rsidR="008C223D" w:rsidRPr="005C4A04">
        <w:rPr>
          <w:rStyle w:val="FootnoteReference"/>
          <w:sz w:val="26"/>
          <w:szCs w:val="26"/>
        </w:rPr>
        <w:footnoteReference w:id="1"/>
      </w:r>
      <w:r w:rsidR="00BA467E" w:rsidRPr="005C4A04">
        <w:rPr>
          <w:sz w:val="26"/>
          <w:szCs w:val="26"/>
        </w:rPr>
        <w:t xml:space="preserve">  66 Pa.</w:t>
      </w:r>
      <w:r w:rsidR="009B009E">
        <w:rPr>
          <w:sz w:val="26"/>
          <w:szCs w:val="26"/>
        </w:rPr>
        <w:t xml:space="preserve"> </w:t>
      </w:r>
      <w:r w:rsidR="00BA467E" w:rsidRPr="005C4A04">
        <w:rPr>
          <w:sz w:val="26"/>
          <w:szCs w:val="26"/>
        </w:rPr>
        <w:t xml:space="preserve">C.S. § 2806.1.  </w:t>
      </w:r>
      <w:r w:rsidR="005C4A04" w:rsidRPr="00415B77">
        <w:rPr>
          <w:sz w:val="26"/>
          <w:szCs w:val="26"/>
        </w:rPr>
        <w:t xml:space="preserve">On </w:t>
      </w:r>
      <w:r w:rsidR="001E4A6A">
        <w:rPr>
          <w:sz w:val="26"/>
          <w:szCs w:val="26"/>
        </w:rPr>
        <w:t>August 2</w:t>
      </w:r>
      <w:r w:rsidR="005C4A04" w:rsidRPr="00415B77">
        <w:rPr>
          <w:sz w:val="26"/>
          <w:szCs w:val="26"/>
        </w:rPr>
        <w:t>, 20</w:t>
      </w:r>
      <w:r w:rsidR="001E4A6A">
        <w:rPr>
          <w:sz w:val="26"/>
          <w:szCs w:val="26"/>
        </w:rPr>
        <w:t>12</w:t>
      </w:r>
      <w:r w:rsidR="005C4A04" w:rsidRPr="00415B77">
        <w:rPr>
          <w:sz w:val="26"/>
          <w:szCs w:val="26"/>
        </w:rPr>
        <w:t>, the Commission adopted an Implementation Order at Docket No. M-20</w:t>
      </w:r>
      <w:r w:rsidR="001E4A6A">
        <w:rPr>
          <w:sz w:val="26"/>
          <w:szCs w:val="26"/>
        </w:rPr>
        <w:t>12</w:t>
      </w:r>
      <w:r w:rsidR="005C4A04" w:rsidRPr="00415B77">
        <w:rPr>
          <w:sz w:val="26"/>
          <w:szCs w:val="26"/>
        </w:rPr>
        <w:t>-</w:t>
      </w:r>
      <w:r w:rsidR="001E4A6A">
        <w:rPr>
          <w:sz w:val="26"/>
          <w:szCs w:val="26"/>
        </w:rPr>
        <w:t>2289411</w:t>
      </w:r>
      <w:r w:rsidR="005C4A04" w:rsidRPr="00415B77">
        <w:rPr>
          <w:sz w:val="26"/>
          <w:szCs w:val="26"/>
        </w:rPr>
        <w:t xml:space="preserve"> establishing the standards each plan must meet and providing guidance on the procedures to be followed for submittal, review and approval of all aspects of the EDCs’ Energy Efficiency and Conservation plans (EE&amp;C plans).  </w:t>
      </w:r>
      <w:r w:rsidR="009B009E" w:rsidRPr="00065FB4">
        <w:rPr>
          <w:i/>
          <w:sz w:val="26"/>
          <w:szCs w:val="26"/>
        </w:rPr>
        <w:t xml:space="preserve">See Energy Efficiency and </w:t>
      </w:r>
      <w:r w:rsidR="009B009E" w:rsidRPr="00065FB4">
        <w:rPr>
          <w:i/>
          <w:sz w:val="26"/>
          <w:szCs w:val="26"/>
        </w:rPr>
        <w:lastRenderedPageBreak/>
        <w:t>Conservation Program</w:t>
      </w:r>
      <w:r w:rsidR="009B009E">
        <w:rPr>
          <w:sz w:val="26"/>
          <w:szCs w:val="26"/>
        </w:rPr>
        <w:t>, Implementation Order at Docket No. M</w:t>
      </w:r>
      <w:r w:rsidR="009B009E">
        <w:rPr>
          <w:sz w:val="26"/>
          <w:szCs w:val="26"/>
        </w:rPr>
        <w:noBreakHyphen/>
        <w:t>2012</w:t>
      </w:r>
      <w:r w:rsidR="009B009E">
        <w:rPr>
          <w:sz w:val="26"/>
          <w:szCs w:val="26"/>
        </w:rPr>
        <w:noBreakHyphen/>
        <w:t>2289411, entered August 3, 2012 (</w:t>
      </w:r>
      <w:r w:rsidR="009B009E" w:rsidRPr="00065FB4">
        <w:rPr>
          <w:i/>
          <w:sz w:val="26"/>
          <w:szCs w:val="26"/>
        </w:rPr>
        <w:t>Phase II Implementation Order</w:t>
      </w:r>
      <w:r w:rsidR="009B009E">
        <w:rPr>
          <w:sz w:val="26"/>
          <w:szCs w:val="26"/>
        </w:rPr>
        <w:t>).</w:t>
      </w:r>
    </w:p>
    <w:p w:rsidR="00F71395" w:rsidRDefault="00F71395" w:rsidP="00BA467E">
      <w:pPr>
        <w:pStyle w:val="p3"/>
        <w:widowControl/>
        <w:tabs>
          <w:tab w:val="clear" w:pos="204"/>
          <w:tab w:val="left" w:pos="720"/>
        </w:tabs>
        <w:spacing w:line="360" w:lineRule="auto"/>
        <w:rPr>
          <w:sz w:val="26"/>
          <w:szCs w:val="26"/>
        </w:rPr>
      </w:pPr>
    </w:p>
    <w:p w:rsidR="009B009E" w:rsidRPr="009B009E" w:rsidRDefault="009B009E" w:rsidP="00065FB4">
      <w:pPr>
        <w:pStyle w:val="p3"/>
        <w:widowControl/>
        <w:tabs>
          <w:tab w:val="clear" w:pos="204"/>
          <w:tab w:val="left" w:pos="720"/>
        </w:tabs>
        <w:spacing w:line="360" w:lineRule="auto"/>
        <w:ind w:firstLine="720"/>
        <w:rPr>
          <w:sz w:val="26"/>
          <w:szCs w:val="26"/>
        </w:rPr>
      </w:pPr>
      <w:r w:rsidRPr="00065FB4">
        <w:rPr>
          <w:sz w:val="26"/>
          <w:szCs w:val="26"/>
        </w:rPr>
        <w:t xml:space="preserve">The Commission was also charged with the responsibility to evaluate the costs and benefits of the </w:t>
      </w:r>
      <w:r w:rsidR="005F20BE">
        <w:rPr>
          <w:sz w:val="26"/>
          <w:szCs w:val="26"/>
        </w:rPr>
        <w:t>Energy Efficiency and Conservation (EE&amp;C)</w:t>
      </w:r>
      <w:r w:rsidRPr="00065FB4">
        <w:rPr>
          <w:sz w:val="26"/>
          <w:szCs w:val="26"/>
        </w:rPr>
        <w:t xml:space="preserve"> Program by November 30, 2013, and every five years thereafter.  66 Pa. C.S. §</w:t>
      </w:r>
      <w:r w:rsidR="00EE0B71">
        <w:rPr>
          <w:sz w:val="26"/>
          <w:szCs w:val="26"/>
        </w:rPr>
        <w:t xml:space="preserve"> </w:t>
      </w:r>
      <w:r w:rsidRPr="00065FB4">
        <w:rPr>
          <w:sz w:val="26"/>
          <w:szCs w:val="26"/>
        </w:rPr>
        <w:t xml:space="preserve">2806.1(c)(3).  The Commission must adopt additional incremental reductions in consumption if the benefits of the EE&amp;C Program exceed its costs.  </w:t>
      </w:r>
      <w:r w:rsidRPr="00065FB4">
        <w:rPr>
          <w:i/>
          <w:iCs/>
          <w:sz w:val="26"/>
          <w:szCs w:val="26"/>
        </w:rPr>
        <w:t>Id</w:t>
      </w:r>
      <w:r w:rsidRPr="00065FB4">
        <w:rPr>
          <w:sz w:val="26"/>
          <w:szCs w:val="26"/>
        </w:rPr>
        <w:t xml:space="preserve">.  With </w:t>
      </w:r>
      <w:r>
        <w:rPr>
          <w:sz w:val="26"/>
          <w:szCs w:val="26"/>
        </w:rPr>
        <w:t>the Phase II</w:t>
      </w:r>
      <w:r w:rsidRPr="00065FB4">
        <w:rPr>
          <w:sz w:val="26"/>
          <w:szCs w:val="26"/>
        </w:rPr>
        <w:t xml:space="preserve"> Implementation Order, the Commission adopt</w:t>
      </w:r>
      <w:r>
        <w:rPr>
          <w:sz w:val="26"/>
          <w:szCs w:val="26"/>
        </w:rPr>
        <w:t>ed</w:t>
      </w:r>
      <w:r w:rsidRPr="00065FB4">
        <w:rPr>
          <w:sz w:val="26"/>
          <w:szCs w:val="26"/>
        </w:rPr>
        <w:t xml:space="preserve"> additional incremental reductions in consumption</w:t>
      </w:r>
      <w:r w:rsidR="00FC06EF">
        <w:rPr>
          <w:sz w:val="26"/>
          <w:szCs w:val="26"/>
        </w:rPr>
        <w:t xml:space="preserve"> that each EDC was required to meet by May 31, 2016</w:t>
      </w:r>
      <w:r w:rsidRPr="00065FB4">
        <w:rPr>
          <w:sz w:val="26"/>
          <w:szCs w:val="26"/>
        </w:rPr>
        <w:t>.</w:t>
      </w:r>
      <w:r w:rsidR="00FC06EF">
        <w:rPr>
          <w:sz w:val="26"/>
          <w:szCs w:val="26"/>
        </w:rPr>
        <w:t xml:space="preserve">  </w:t>
      </w:r>
    </w:p>
    <w:p w:rsidR="00BA467E" w:rsidRPr="00197E3D" w:rsidRDefault="00BA467E" w:rsidP="00BA467E">
      <w:pPr>
        <w:tabs>
          <w:tab w:val="left" w:pos="720"/>
        </w:tabs>
        <w:overflowPunct/>
        <w:spacing w:line="360" w:lineRule="auto"/>
        <w:textAlignment w:val="auto"/>
        <w:rPr>
          <w:sz w:val="26"/>
          <w:szCs w:val="26"/>
        </w:rPr>
      </w:pPr>
    </w:p>
    <w:p w:rsidR="00E872D5" w:rsidRDefault="00BA467E" w:rsidP="00BA467E">
      <w:pPr>
        <w:tabs>
          <w:tab w:val="left" w:pos="720"/>
        </w:tabs>
        <w:overflowPunct/>
        <w:spacing w:line="360" w:lineRule="auto"/>
        <w:textAlignment w:val="auto"/>
        <w:rPr>
          <w:sz w:val="26"/>
          <w:szCs w:val="26"/>
        </w:rPr>
      </w:pPr>
      <w:r w:rsidRPr="00197E3D">
        <w:rPr>
          <w:sz w:val="26"/>
          <w:szCs w:val="26"/>
        </w:rPr>
        <w:tab/>
      </w:r>
      <w:r w:rsidR="0063709B" w:rsidRPr="00197E3D">
        <w:rPr>
          <w:sz w:val="26"/>
          <w:szCs w:val="26"/>
        </w:rPr>
        <w:t>Beginning five years following the effective date of the Act, and annually thereafter, the Commission is required to submit a report to the Consumer Protection and Professional Licensure Committee of the Senate and the Consumer Affairs Committee of the House of Representatives.  66 Pa.</w:t>
      </w:r>
      <w:r w:rsidR="00FC06EF">
        <w:rPr>
          <w:sz w:val="26"/>
          <w:szCs w:val="26"/>
        </w:rPr>
        <w:t xml:space="preserve"> </w:t>
      </w:r>
      <w:r w:rsidR="0063709B" w:rsidRPr="00197E3D">
        <w:rPr>
          <w:sz w:val="26"/>
          <w:szCs w:val="26"/>
        </w:rPr>
        <w:t>C.S. § 2806.1(</w:t>
      </w:r>
      <w:proofErr w:type="spellStart"/>
      <w:r w:rsidR="0063709B" w:rsidRPr="00197E3D">
        <w:rPr>
          <w:sz w:val="26"/>
          <w:szCs w:val="26"/>
        </w:rPr>
        <w:t>i</w:t>
      </w:r>
      <w:proofErr w:type="spellEnd"/>
      <w:r w:rsidR="0063709B" w:rsidRPr="00197E3D">
        <w:rPr>
          <w:sz w:val="26"/>
          <w:szCs w:val="26"/>
        </w:rPr>
        <w:t>)(2).  The Commission believes the intent of this report is to provide information regarding the programs offered by the EDCs, an overview of the Commission’s Statewide Evaluator’s (SWE) activities,</w:t>
      </w:r>
      <w:r w:rsidR="0063709B" w:rsidRPr="00197E3D">
        <w:rPr>
          <w:rStyle w:val="FootnoteReference"/>
          <w:sz w:val="26"/>
          <w:szCs w:val="26"/>
        </w:rPr>
        <w:footnoteReference w:id="2"/>
      </w:r>
      <w:r w:rsidR="0063709B" w:rsidRPr="00197E3D">
        <w:rPr>
          <w:sz w:val="26"/>
          <w:szCs w:val="26"/>
        </w:rPr>
        <w:t xml:space="preserve"> and information regarding EDC</w:t>
      </w:r>
      <w:r w:rsidR="00E77566" w:rsidRPr="00197E3D">
        <w:rPr>
          <w:sz w:val="26"/>
          <w:szCs w:val="26"/>
        </w:rPr>
        <w:t>s’</w:t>
      </w:r>
      <w:r w:rsidR="0063709B" w:rsidRPr="00197E3D">
        <w:rPr>
          <w:sz w:val="26"/>
          <w:szCs w:val="26"/>
        </w:rPr>
        <w:t xml:space="preserve"> compliance with the mandates.  To meet this requirement, the Commission directed the SWE to provide a comprehensive Phase I</w:t>
      </w:r>
      <w:r w:rsidR="001E4A6A">
        <w:rPr>
          <w:sz w:val="26"/>
          <w:szCs w:val="26"/>
        </w:rPr>
        <w:t xml:space="preserve">I </w:t>
      </w:r>
      <w:r w:rsidR="008974F2" w:rsidRPr="00197E3D">
        <w:rPr>
          <w:sz w:val="26"/>
          <w:szCs w:val="26"/>
        </w:rPr>
        <w:t xml:space="preserve">Final </w:t>
      </w:r>
      <w:r w:rsidR="0063709B" w:rsidRPr="00197E3D">
        <w:rPr>
          <w:sz w:val="26"/>
          <w:szCs w:val="26"/>
        </w:rPr>
        <w:t>Annual Report, to be filed in lieu of a prog</w:t>
      </w:r>
      <w:r w:rsidR="00197E3D" w:rsidRPr="00197E3D">
        <w:rPr>
          <w:sz w:val="26"/>
          <w:szCs w:val="26"/>
        </w:rPr>
        <w:t>ram year 7 (PY7</w:t>
      </w:r>
      <w:r w:rsidR="0063709B" w:rsidRPr="00197E3D">
        <w:rPr>
          <w:sz w:val="26"/>
          <w:szCs w:val="26"/>
        </w:rPr>
        <w:t>) annual report.  In addition to outlin</w:t>
      </w:r>
      <w:r w:rsidR="005B053E" w:rsidRPr="00197E3D">
        <w:rPr>
          <w:sz w:val="26"/>
          <w:szCs w:val="26"/>
        </w:rPr>
        <w:t>ing</w:t>
      </w:r>
      <w:r w:rsidR="0063709B" w:rsidRPr="00197E3D">
        <w:rPr>
          <w:sz w:val="26"/>
          <w:szCs w:val="26"/>
        </w:rPr>
        <w:t xml:space="preserve"> its audit</w:t>
      </w:r>
      <w:r w:rsidR="00197E3D" w:rsidRPr="00197E3D">
        <w:rPr>
          <w:sz w:val="26"/>
          <w:szCs w:val="26"/>
        </w:rPr>
        <w:t xml:space="preserve"> activities and findings for PY7</w:t>
      </w:r>
      <w:r w:rsidR="0063709B" w:rsidRPr="00197E3D">
        <w:rPr>
          <w:sz w:val="26"/>
          <w:szCs w:val="26"/>
        </w:rPr>
        <w:t xml:space="preserve">, the SWE </w:t>
      </w:r>
      <w:r w:rsidR="00931FC1" w:rsidRPr="00197E3D">
        <w:rPr>
          <w:sz w:val="26"/>
          <w:szCs w:val="26"/>
        </w:rPr>
        <w:t xml:space="preserve">was to review the EDCs’ </w:t>
      </w:r>
      <w:r w:rsidR="007C0223" w:rsidRPr="00197E3D">
        <w:rPr>
          <w:sz w:val="26"/>
          <w:szCs w:val="26"/>
        </w:rPr>
        <w:t>PY</w:t>
      </w:r>
      <w:r w:rsidR="00197E3D" w:rsidRPr="00197E3D">
        <w:rPr>
          <w:sz w:val="26"/>
          <w:szCs w:val="26"/>
        </w:rPr>
        <w:t>7</w:t>
      </w:r>
      <w:r w:rsidR="00931FC1" w:rsidRPr="00197E3D">
        <w:rPr>
          <w:sz w:val="26"/>
          <w:szCs w:val="26"/>
        </w:rPr>
        <w:t xml:space="preserve"> Final Annual Reports</w:t>
      </w:r>
      <w:r w:rsidR="007C0223" w:rsidRPr="00197E3D">
        <w:rPr>
          <w:rStyle w:val="FootnoteReference"/>
          <w:sz w:val="26"/>
          <w:szCs w:val="26"/>
        </w:rPr>
        <w:footnoteReference w:id="3"/>
      </w:r>
      <w:r w:rsidR="00931FC1" w:rsidRPr="00197E3D">
        <w:rPr>
          <w:sz w:val="26"/>
          <w:szCs w:val="26"/>
        </w:rPr>
        <w:t xml:space="preserve"> and</w:t>
      </w:r>
      <w:r w:rsidR="007C0223" w:rsidRPr="00197E3D">
        <w:rPr>
          <w:sz w:val="26"/>
          <w:szCs w:val="26"/>
        </w:rPr>
        <w:t xml:space="preserve"> its own auditing information to</w:t>
      </w:r>
      <w:r w:rsidR="00E77566" w:rsidRPr="00197E3D">
        <w:rPr>
          <w:sz w:val="26"/>
          <w:szCs w:val="26"/>
        </w:rPr>
        <w:t xml:space="preserve"> determine</w:t>
      </w:r>
      <w:r w:rsidR="00931FC1" w:rsidRPr="00197E3D">
        <w:rPr>
          <w:sz w:val="26"/>
          <w:szCs w:val="26"/>
        </w:rPr>
        <w:t xml:space="preserve"> </w:t>
      </w:r>
      <w:proofErr w:type="gramStart"/>
      <w:r w:rsidR="00931FC1" w:rsidRPr="00197E3D">
        <w:rPr>
          <w:sz w:val="26"/>
          <w:szCs w:val="26"/>
        </w:rPr>
        <w:t>whether or not</w:t>
      </w:r>
      <w:proofErr w:type="gramEnd"/>
      <w:r w:rsidR="00931FC1" w:rsidRPr="00197E3D">
        <w:rPr>
          <w:sz w:val="26"/>
          <w:szCs w:val="26"/>
        </w:rPr>
        <w:t xml:space="preserve"> the consumption</w:t>
      </w:r>
      <w:r w:rsidR="00197E3D">
        <w:rPr>
          <w:sz w:val="26"/>
          <w:szCs w:val="26"/>
        </w:rPr>
        <w:t xml:space="preserve"> </w:t>
      </w:r>
      <w:r w:rsidR="00931FC1" w:rsidRPr="00197E3D">
        <w:rPr>
          <w:sz w:val="26"/>
          <w:szCs w:val="26"/>
        </w:rPr>
        <w:t>reductions</w:t>
      </w:r>
      <w:r w:rsidR="00931FC1">
        <w:rPr>
          <w:sz w:val="26"/>
          <w:szCs w:val="26"/>
        </w:rPr>
        <w:t xml:space="preserve"> </w:t>
      </w:r>
      <w:r w:rsidR="00806EF2">
        <w:rPr>
          <w:sz w:val="26"/>
          <w:szCs w:val="26"/>
        </w:rPr>
        <w:t>reported</w:t>
      </w:r>
      <w:r w:rsidR="00931FC1">
        <w:rPr>
          <w:sz w:val="26"/>
          <w:szCs w:val="26"/>
        </w:rPr>
        <w:t xml:space="preserve"> </w:t>
      </w:r>
      <w:r w:rsidR="007C0223">
        <w:rPr>
          <w:sz w:val="26"/>
          <w:szCs w:val="26"/>
        </w:rPr>
        <w:t xml:space="preserve">by the EDCs </w:t>
      </w:r>
      <w:r w:rsidR="00806EF2">
        <w:rPr>
          <w:sz w:val="26"/>
          <w:szCs w:val="26"/>
        </w:rPr>
        <w:t>were</w:t>
      </w:r>
      <w:r w:rsidR="00931FC1">
        <w:rPr>
          <w:sz w:val="26"/>
          <w:szCs w:val="26"/>
        </w:rPr>
        <w:t xml:space="preserve"> accurate.</w:t>
      </w:r>
      <w:r w:rsidR="00E872D5">
        <w:rPr>
          <w:sz w:val="26"/>
          <w:szCs w:val="26"/>
        </w:rPr>
        <w:t xml:space="preserve">  </w:t>
      </w:r>
      <w:r w:rsidR="00A55F7B">
        <w:rPr>
          <w:sz w:val="26"/>
          <w:szCs w:val="26"/>
        </w:rPr>
        <w:t>On April 6, 2017</w:t>
      </w:r>
      <w:r w:rsidR="008974F2">
        <w:rPr>
          <w:sz w:val="26"/>
          <w:szCs w:val="26"/>
        </w:rPr>
        <w:t>, the Commission release</w:t>
      </w:r>
      <w:r w:rsidR="00A55F7B">
        <w:rPr>
          <w:sz w:val="26"/>
          <w:szCs w:val="26"/>
        </w:rPr>
        <w:t>d</w:t>
      </w:r>
      <w:r w:rsidR="008974F2">
        <w:rPr>
          <w:sz w:val="26"/>
          <w:szCs w:val="26"/>
        </w:rPr>
        <w:t xml:space="preserve"> the SWE’s Phase </w:t>
      </w:r>
      <w:r w:rsidR="00D51965">
        <w:rPr>
          <w:sz w:val="26"/>
          <w:szCs w:val="26"/>
        </w:rPr>
        <w:t xml:space="preserve">II </w:t>
      </w:r>
      <w:r w:rsidR="008974F2">
        <w:rPr>
          <w:sz w:val="26"/>
          <w:szCs w:val="26"/>
        </w:rPr>
        <w:t xml:space="preserve">Final Annual Report.  </w:t>
      </w:r>
    </w:p>
    <w:p w:rsidR="00543ED4" w:rsidRDefault="00543ED4" w:rsidP="00BA467E">
      <w:pPr>
        <w:tabs>
          <w:tab w:val="left" w:pos="720"/>
        </w:tabs>
        <w:overflowPunct/>
        <w:spacing w:line="360" w:lineRule="auto"/>
        <w:textAlignment w:val="auto"/>
        <w:rPr>
          <w:sz w:val="26"/>
          <w:szCs w:val="26"/>
        </w:rPr>
      </w:pPr>
    </w:p>
    <w:p w:rsidR="00D51965" w:rsidRDefault="00E872D5" w:rsidP="00BA467E">
      <w:pPr>
        <w:tabs>
          <w:tab w:val="left" w:pos="720"/>
        </w:tabs>
        <w:overflowPunct/>
        <w:spacing w:line="360" w:lineRule="auto"/>
        <w:textAlignment w:val="auto"/>
        <w:rPr>
          <w:sz w:val="26"/>
          <w:szCs w:val="26"/>
        </w:rPr>
      </w:pPr>
      <w:r>
        <w:rPr>
          <w:sz w:val="26"/>
          <w:szCs w:val="26"/>
        </w:rPr>
        <w:lastRenderedPageBreak/>
        <w:tab/>
        <w:t xml:space="preserve">The Commission must also determine whether the EDCs </w:t>
      </w:r>
      <w:proofErr w:type="gramStart"/>
      <w:r>
        <w:rPr>
          <w:sz w:val="26"/>
          <w:szCs w:val="26"/>
        </w:rPr>
        <w:t>are in compliance with</w:t>
      </w:r>
      <w:proofErr w:type="gramEnd"/>
      <w:r>
        <w:rPr>
          <w:sz w:val="26"/>
          <w:szCs w:val="26"/>
        </w:rPr>
        <w:t xml:space="preserve"> the targets </w:t>
      </w:r>
      <w:r w:rsidR="00FC06EF">
        <w:rPr>
          <w:sz w:val="26"/>
          <w:szCs w:val="26"/>
        </w:rPr>
        <w:t xml:space="preserve">adopted by the Commission in the </w:t>
      </w:r>
      <w:r w:rsidR="00FC06EF" w:rsidRPr="00065FB4">
        <w:rPr>
          <w:i/>
          <w:sz w:val="26"/>
          <w:szCs w:val="26"/>
        </w:rPr>
        <w:t>Phase II Implementation Orde</w:t>
      </w:r>
      <w:r w:rsidR="00FC06EF">
        <w:rPr>
          <w:sz w:val="26"/>
          <w:szCs w:val="26"/>
        </w:rPr>
        <w:t>r in accordance with</w:t>
      </w:r>
      <w:r>
        <w:rPr>
          <w:sz w:val="26"/>
          <w:szCs w:val="26"/>
        </w:rPr>
        <w:t xml:space="preserve"> </w:t>
      </w:r>
      <w:r w:rsidRPr="00415B77">
        <w:rPr>
          <w:sz w:val="26"/>
          <w:szCs w:val="26"/>
        </w:rPr>
        <w:t>66 Pa.</w:t>
      </w:r>
      <w:r w:rsidR="00FC06EF">
        <w:rPr>
          <w:sz w:val="26"/>
          <w:szCs w:val="26"/>
        </w:rPr>
        <w:t xml:space="preserve"> </w:t>
      </w:r>
      <w:r w:rsidRPr="00415B77">
        <w:rPr>
          <w:sz w:val="26"/>
          <w:szCs w:val="26"/>
        </w:rPr>
        <w:t>C.S. §</w:t>
      </w:r>
      <w:r w:rsidR="00806EF2">
        <w:rPr>
          <w:sz w:val="26"/>
          <w:szCs w:val="26"/>
        </w:rPr>
        <w:t>§</w:t>
      </w:r>
      <w:r w:rsidRPr="00415B77">
        <w:rPr>
          <w:sz w:val="26"/>
          <w:szCs w:val="26"/>
        </w:rPr>
        <w:t xml:space="preserve"> 2806.1</w:t>
      </w:r>
      <w:r w:rsidR="00806EF2">
        <w:rPr>
          <w:sz w:val="26"/>
          <w:szCs w:val="26"/>
        </w:rPr>
        <w:t>(b), (c) and (d)</w:t>
      </w:r>
      <w:r>
        <w:rPr>
          <w:sz w:val="26"/>
          <w:szCs w:val="26"/>
        </w:rPr>
        <w:t>.</w:t>
      </w:r>
      <w:r w:rsidR="00FC06EF">
        <w:rPr>
          <w:rStyle w:val="FootnoteReference"/>
          <w:sz w:val="26"/>
          <w:szCs w:val="26"/>
        </w:rPr>
        <w:footnoteReference w:id="4"/>
      </w:r>
      <w:r>
        <w:rPr>
          <w:sz w:val="26"/>
          <w:szCs w:val="26"/>
        </w:rPr>
        <w:t xml:space="preserve">  </w:t>
      </w:r>
      <w:r w:rsidR="00A55F7B">
        <w:rPr>
          <w:sz w:val="26"/>
          <w:szCs w:val="26"/>
        </w:rPr>
        <w:t xml:space="preserve">In an </w:t>
      </w:r>
      <w:r>
        <w:rPr>
          <w:sz w:val="26"/>
          <w:szCs w:val="26"/>
        </w:rPr>
        <w:t>Order</w:t>
      </w:r>
      <w:r w:rsidR="00A55F7B">
        <w:rPr>
          <w:sz w:val="26"/>
          <w:szCs w:val="26"/>
        </w:rPr>
        <w:t xml:space="preserve"> adopted at this Docket on April 6, 2017</w:t>
      </w:r>
      <w:r>
        <w:rPr>
          <w:sz w:val="26"/>
          <w:szCs w:val="26"/>
        </w:rPr>
        <w:t xml:space="preserve">, the Commission </w:t>
      </w:r>
      <w:r w:rsidR="00AA1948">
        <w:rPr>
          <w:sz w:val="26"/>
          <w:szCs w:val="26"/>
        </w:rPr>
        <w:t>assesse</w:t>
      </w:r>
      <w:r w:rsidR="00A55F7B">
        <w:rPr>
          <w:sz w:val="26"/>
          <w:szCs w:val="26"/>
        </w:rPr>
        <w:t>d</w:t>
      </w:r>
      <w:r w:rsidR="00AA1948">
        <w:rPr>
          <w:sz w:val="26"/>
          <w:szCs w:val="26"/>
        </w:rPr>
        <w:t xml:space="preserve"> the EDCs</w:t>
      </w:r>
      <w:r w:rsidR="00B76655">
        <w:rPr>
          <w:sz w:val="26"/>
          <w:szCs w:val="26"/>
        </w:rPr>
        <w:t>’</w:t>
      </w:r>
      <w:r>
        <w:rPr>
          <w:sz w:val="26"/>
          <w:szCs w:val="26"/>
        </w:rPr>
        <w:t xml:space="preserve"> compliance </w:t>
      </w:r>
      <w:r w:rsidR="00AA1948">
        <w:rPr>
          <w:sz w:val="26"/>
          <w:szCs w:val="26"/>
        </w:rPr>
        <w:t>with these targets</w:t>
      </w:r>
      <w:r>
        <w:rPr>
          <w:sz w:val="26"/>
          <w:szCs w:val="26"/>
        </w:rPr>
        <w:t>.</w:t>
      </w:r>
      <w:r w:rsidR="008974F2">
        <w:rPr>
          <w:sz w:val="26"/>
          <w:szCs w:val="26"/>
        </w:rPr>
        <w:t xml:space="preserve">  Specifically, the Commission </w:t>
      </w:r>
      <w:r w:rsidR="00AA1948">
        <w:rPr>
          <w:sz w:val="26"/>
          <w:szCs w:val="26"/>
        </w:rPr>
        <w:t>initially determine</w:t>
      </w:r>
      <w:r w:rsidR="00A55F7B">
        <w:rPr>
          <w:sz w:val="26"/>
          <w:szCs w:val="26"/>
        </w:rPr>
        <w:t>d</w:t>
      </w:r>
      <w:r w:rsidR="008974F2">
        <w:rPr>
          <w:sz w:val="26"/>
          <w:szCs w:val="26"/>
        </w:rPr>
        <w:t xml:space="preserve"> that Duquesne Light Company (Duquesne), Metropolitan Edison Company (Met-Ed), </w:t>
      </w:r>
      <w:r w:rsidR="0077552A">
        <w:rPr>
          <w:sz w:val="26"/>
          <w:szCs w:val="26"/>
        </w:rPr>
        <w:t xml:space="preserve">PECO Energy Company (PECO), </w:t>
      </w:r>
      <w:r w:rsidR="008974F2">
        <w:rPr>
          <w:sz w:val="26"/>
          <w:szCs w:val="26"/>
        </w:rPr>
        <w:t>Pennsylvania Electric Company (Penelec), Pennsylvania Power Company (Penn Power</w:t>
      </w:r>
      <w:proofErr w:type="gramStart"/>
      <w:r w:rsidR="008974F2">
        <w:rPr>
          <w:sz w:val="26"/>
          <w:szCs w:val="26"/>
        </w:rPr>
        <w:t xml:space="preserve">), </w:t>
      </w:r>
      <w:r w:rsidR="0077552A">
        <w:rPr>
          <w:sz w:val="26"/>
          <w:szCs w:val="26"/>
        </w:rPr>
        <w:t xml:space="preserve"> </w:t>
      </w:r>
      <w:r w:rsidR="008974F2">
        <w:rPr>
          <w:sz w:val="26"/>
          <w:szCs w:val="26"/>
        </w:rPr>
        <w:t>PPL</w:t>
      </w:r>
      <w:proofErr w:type="gramEnd"/>
      <w:r w:rsidR="008974F2">
        <w:rPr>
          <w:sz w:val="26"/>
          <w:szCs w:val="26"/>
        </w:rPr>
        <w:t xml:space="preserve"> Electric Utilities (PPL)</w:t>
      </w:r>
      <w:r w:rsidR="00F512B6">
        <w:rPr>
          <w:sz w:val="26"/>
          <w:szCs w:val="26"/>
        </w:rPr>
        <w:t>, and West Penn Power Company</w:t>
      </w:r>
      <w:r w:rsidR="008974F2">
        <w:rPr>
          <w:sz w:val="26"/>
          <w:szCs w:val="26"/>
        </w:rPr>
        <w:t xml:space="preserve"> </w:t>
      </w:r>
      <w:r w:rsidR="001C36B4">
        <w:rPr>
          <w:sz w:val="26"/>
          <w:szCs w:val="26"/>
        </w:rPr>
        <w:t xml:space="preserve">(West Penn) </w:t>
      </w:r>
      <w:r w:rsidR="00A55F7B">
        <w:rPr>
          <w:sz w:val="26"/>
          <w:szCs w:val="26"/>
        </w:rPr>
        <w:t>were</w:t>
      </w:r>
      <w:r w:rsidR="008974F2">
        <w:rPr>
          <w:sz w:val="26"/>
          <w:szCs w:val="26"/>
        </w:rPr>
        <w:t xml:space="preserve"> in compliance with the </w:t>
      </w:r>
      <w:r w:rsidR="00931FC1">
        <w:rPr>
          <w:sz w:val="26"/>
          <w:szCs w:val="26"/>
        </w:rPr>
        <w:t>May 31, 201</w:t>
      </w:r>
      <w:r w:rsidR="00F512B6">
        <w:rPr>
          <w:sz w:val="26"/>
          <w:szCs w:val="26"/>
        </w:rPr>
        <w:t>6</w:t>
      </w:r>
      <w:r w:rsidR="00931FC1">
        <w:rPr>
          <w:sz w:val="26"/>
          <w:szCs w:val="26"/>
        </w:rPr>
        <w:t xml:space="preserve"> </w:t>
      </w:r>
      <w:r w:rsidR="00DA2DF9">
        <w:rPr>
          <w:sz w:val="26"/>
          <w:szCs w:val="26"/>
        </w:rPr>
        <w:t>electric</w:t>
      </w:r>
      <w:r w:rsidR="00E10EC2">
        <w:rPr>
          <w:sz w:val="26"/>
          <w:szCs w:val="26"/>
        </w:rPr>
        <w:t xml:space="preserve"> </w:t>
      </w:r>
      <w:r w:rsidR="002A2892">
        <w:rPr>
          <w:sz w:val="26"/>
          <w:szCs w:val="26"/>
        </w:rPr>
        <w:t>consumption reduction requirement</w:t>
      </w:r>
      <w:r w:rsidR="00FC06EF">
        <w:rPr>
          <w:sz w:val="26"/>
          <w:szCs w:val="26"/>
        </w:rPr>
        <w:t>s</w:t>
      </w:r>
      <w:r w:rsidR="002A2892">
        <w:rPr>
          <w:sz w:val="26"/>
          <w:szCs w:val="26"/>
        </w:rPr>
        <w:t xml:space="preserve"> </w:t>
      </w:r>
      <w:r w:rsidR="00D51965">
        <w:rPr>
          <w:sz w:val="26"/>
          <w:szCs w:val="26"/>
        </w:rPr>
        <w:t xml:space="preserve">as </w:t>
      </w:r>
      <w:r w:rsidR="004179B6">
        <w:rPr>
          <w:sz w:val="26"/>
          <w:szCs w:val="26"/>
        </w:rPr>
        <w:t>outlined</w:t>
      </w:r>
      <w:r w:rsidR="00D51965">
        <w:rPr>
          <w:sz w:val="26"/>
          <w:szCs w:val="26"/>
        </w:rPr>
        <w:t xml:space="preserve"> in the table below:</w:t>
      </w:r>
      <w:r w:rsidR="008F04FF">
        <w:rPr>
          <w:rStyle w:val="FootnoteReference"/>
          <w:sz w:val="26"/>
          <w:szCs w:val="26"/>
        </w:rPr>
        <w:footnoteReference w:id="5"/>
      </w:r>
    </w:p>
    <w:p w:rsidR="00D51965" w:rsidRPr="00D51965" w:rsidRDefault="00D51965" w:rsidP="00D51965">
      <w:pPr>
        <w:overflowPunct/>
        <w:autoSpaceDE/>
        <w:autoSpaceDN/>
        <w:adjustRightInd/>
        <w:textAlignment w:val="auto"/>
        <w:rPr>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2226"/>
        <w:gridCol w:w="2530"/>
        <w:gridCol w:w="2259"/>
      </w:tblGrid>
      <w:tr w:rsidR="00D51965" w:rsidRPr="00D51965" w:rsidTr="00DB0FA6">
        <w:trPr>
          <w:jc w:val="center"/>
        </w:trPr>
        <w:tc>
          <w:tcPr>
            <w:tcW w:w="1643" w:type="dxa"/>
            <w:tcBorders>
              <w:bottom w:val="double" w:sz="4" w:space="0" w:color="auto"/>
            </w:tcBorders>
            <w:shd w:val="pct5" w:color="auto" w:fill="auto"/>
          </w:tcPr>
          <w:p w:rsidR="00D51965" w:rsidRPr="000E1C88" w:rsidRDefault="00D51965" w:rsidP="00D51965">
            <w:pPr>
              <w:overflowPunct/>
              <w:autoSpaceDE/>
              <w:autoSpaceDN/>
              <w:adjustRightInd/>
              <w:jc w:val="center"/>
              <w:textAlignment w:val="auto"/>
              <w:rPr>
                <w:bCs/>
                <w:sz w:val="26"/>
                <w:szCs w:val="26"/>
              </w:rPr>
            </w:pPr>
            <w:r w:rsidRPr="000E1C88">
              <w:rPr>
                <w:bCs/>
                <w:sz w:val="26"/>
                <w:szCs w:val="26"/>
              </w:rPr>
              <w:t>EDC</w:t>
            </w:r>
          </w:p>
        </w:tc>
        <w:tc>
          <w:tcPr>
            <w:tcW w:w="2226" w:type="dxa"/>
            <w:tcBorders>
              <w:bottom w:val="double" w:sz="4" w:space="0" w:color="auto"/>
            </w:tcBorders>
            <w:shd w:val="pct5" w:color="auto" w:fill="auto"/>
          </w:tcPr>
          <w:p w:rsidR="00D51965" w:rsidRPr="00E10EC2" w:rsidRDefault="00D51965" w:rsidP="00D51965">
            <w:pPr>
              <w:overflowPunct/>
              <w:autoSpaceDE/>
              <w:autoSpaceDN/>
              <w:adjustRightInd/>
              <w:jc w:val="center"/>
              <w:textAlignment w:val="auto"/>
              <w:rPr>
                <w:bCs/>
                <w:sz w:val="26"/>
                <w:szCs w:val="26"/>
              </w:rPr>
            </w:pPr>
            <w:r w:rsidRPr="00E10EC2">
              <w:rPr>
                <w:bCs/>
                <w:sz w:val="26"/>
                <w:szCs w:val="26"/>
              </w:rPr>
              <w:t>Three-Year Program Acquisition Cost (S/MWh)</w:t>
            </w:r>
          </w:p>
        </w:tc>
        <w:tc>
          <w:tcPr>
            <w:tcW w:w="2530" w:type="dxa"/>
            <w:tcBorders>
              <w:bottom w:val="double" w:sz="4" w:space="0" w:color="auto"/>
            </w:tcBorders>
            <w:shd w:val="pct5" w:color="auto" w:fill="auto"/>
          </w:tcPr>
          <w:p w:rsidR="00D51965" w:rsidRPr="007D68D7" w:rsidRDefault="00D51965" w:rsidP="00D51965">
            <w:pPr>
              <w:overflowPunct/>
              <w:autoSpaceDE/>
              <w:autoSpaceDN/>
              <w:adjustRightInd/>
              <w:jc w:val="center"/>
              <w:textAlignment w:val="auto"/>
              <w:rPr>
                <w:bCs/>
                <w:sz w:val="26"/>
                <w:szCs w:val="26"/>
              </w:rPr>
            </w:pPr>
            <w:r w:rsidRPr="007D68D7">
              <w:rPr>
                <w:bCs/>
                <w:sz w:val="26"/>
                <w:szCs w:val="26"/>
              </w:rPr>
              <w:t>Three-Year % of 2009/10</w:t>
            </w:r>
          </w:p>
          <w:p w:rsidR="00D51965" w:rsidRPr="007D68D7" w:rsidRDefault="00D51965" w:rsidP="00D51965">
            <w:pPr>
              <w:overflowPunct/>
              <w:autoSpaceDE/>
              <w:autoSpaceDN/>
              <w:adjustRightInd/>
              <w:jc w:val="center"/>
              <w:textAlignment w:val="auto"/>
              <w:rPr>
                <w:bCs/>
                <w:sz w:val="26"/>
                <w:szCs w:val="26"/>
              </w:rPr>
            </w:pPr>
            <w:r w:rsidRPr="007D68D7">
              <w:rPr>
                <w:bCs/>
                <w:sz w:val="26"/>
                <w:szCs w:val="26"/>
              </w:rPr>
              <w:t>Forecast Reductions</w:t>
            </w:r>
          </w:p>
        </w:tc>
        <w:tc>
          <w:tcPr>
            <w:tcW w:w="2259" w:type="dxa"/>
            <w:tcBorders>
              <w:bottom w:val="double" w:sz="4" w:space="0" w:color="auto"/>
            </w:tcBorders>
            <w:shd w:val="pct5" w:color="auto" w:fill="auto"/>
          </w:tcPr>
          <w:p w:rsidR="00D51965" w:rsidRPr="007D68D7" w:rsidRDefault="00D51965" w:rsidP="00D51965">
            <w:pPr>
              <w:overflowPunct/>
              <w:autoSpaceDE/>
              <w:autoSpaceDN/>
              <w:adjustRightInd/>
              <w:jc w:val="center"/>
              <w:textAlignment w:val="auto"/>
              <w:rPr>
                <w:bCs/>
                <w:sz w:val="26"/>
                <w:szCs w:val="26"/>
              </w:rPr>
            </w:pPr>
            <w:r w:rsidRPr="007D68D7">
              <w:rPr>
                <w:bCs/>
                <w:sz w:val="26"/>
                <w:szCs w:val="26"/>
              </w:rPr>
              <w:t>Three-Year MWh Value of 2009/10 Forecast Reductions</w:t>
            </w:r>
          </w:p>
        </w:tc>
      </w:tr>
      <w:tr w:rsidR="00D51965" w:rsidRPr="00D51965" w:rsidTr="00DB0FA6">
        <w:trPr>
          <w:jc w:val="center"/>
        </w:trPr>
        <w:tc>
          <w:tcPr>
            <w:tcW w:w="1643" w:type="dxa"/>
            <w:tcBorders>
              <w:top w:val="double" w:sz="4" w:space="0" w:color="auto"/>
            </w:tcBorders>
          </w:tcPr>
          <w:p w:rsidR="00D51965" w:rsidRPr="000E1C88" w:rsidRDefault="00D51965" w:rsidP="00D51965">
            <w:pPr>
              <w:overflowPunct/>
              <w:autoSpaceDE/>
              <w:autoSpaceDN/>
              <w:adjustRightInd/>
              <w:textAlignment w:val="auto"/>
              <w:rPr>
                <w:sz w:val="26"/>
                <w:szCs w:val="26"/>
              </w:rPr>
            </w:pPr>
            <w:r w:rsidRPr="000E1C88">
              <w:rPr>
                <w:sz w:val="26"/>
                <w:szCs w:val="26"/>
              </w:rPr>
              <w:t>Duquesne</w:t>
            </w:r>
          </w:p>
        </w:tc>
        <w:tc>
          <w:tcPr>
            <w:tcW w:w="2226" w:type="dxa"/>
            <w:tcBorders>
              <w:top w:val="double" w:sz="4" w:space="0" w:color="auto"/>
            </w:tcBorders>
          </w:tcPr>
          <w:p w:rsidR="00D51965" w:rsidRPr="00E10EC2" w:rsidRDefault="00D51965" w:rsidP="00D51965">
            <w:pPr>
              <w:overflowPunct/>
              <w:autoSpaceDE/>
              <w:autoSpaceDN/>
              <w:adjustRightInd/>
              <w:jc w:val="center"/>
              <w:textAlignment w:val="auto"/>
              <w:rPr>
                <w:sz w:val="26"/>
                <w:szCs w:val="26"/>
              </w:rPr>
            </w:pPr>
            <w:r w:rsidRPr="00E10EC2">
              <w:rPr>
                <w:sz w:val="26"/>
                <w:szCs w:val="26"/>
              </w:rPr>
              <w:t>$211.90</w:t>
            </w:r>
          </w:p>
        </w:tc>
        <w:tc>
          <w:tcPr>
            <w:tcW w:w="2530" w:type="dxa"/>
            <w:tcBorders>
              <w:top w:val="double" w:sz="4" w:space="0" w:color="auto"/>
            </w:tcBorders>
          </w:tcPr>
          <w:p w:rsidR="00D51965" w:rsidRPr="007D68D7" w:rsidRDefault="00D51965" w:rsidP="00D51965">
            <w:pPr>
              <w:overflowPunct/>
              <w:autoSpaceDE/>
              <w:autoSpaceDN/>
              <w:adjustRightInd/>
              <w:jc w:val="center"/>
              <w:textAlignment w:val="auto"/>
              <w:rPr>
                <w:sz w:val="26"/>
                <w:szCs w:val="26"/>
              </w:rPr>
            </w:pPr>
            <w:r w:rsidRPr="007D68D7">
              <w:rPr>
                <w:sz w:val="26"/>
                <w:szCs w:val="26"/>
              </w:rPr>
              <w:t>2.0</w:t>
            </w:r>
          </w:p>
        </w:tc>
        <w:tc>
          <w:tcPr>
            <w:tcW w:w="2259" w:type="dxa"/>
            <w:tcBorders>
              <w:top w:val="double" w:sz="4" w:space="0" w:color="auto"/>
            </w:tcBorders>
          </w:tcPr>
          <w:p w:rsidR="00D51965" w:rsidRPr="007D68D7" w:rsidRDefault="00D51965" w:rsidP="00D51965">
            <w:pPr>
              <w:overflowPunct/>
              <w:autoSpaceDE/>
              <w:autoSpaceDN/>
              <w:adjustRightInd/>
              <w:jc w:val="right"/>
              <w:textAlignment w:val="auto"/>
              <w:rPr>
                <w:sz w:val="26"/>
                <w:szCs w:val="26"/>
              </w:rPr>
            </w:pPr>
            <w:r w:rsidRPr="007D68D7">
              <w:rPr>
                <w:sz w:val="26"/>
                <w:szCs w:val="26"/>
              </w:rPr>
              <w:t>276,722</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Met-Ed</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$220.87</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2.3</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337,753</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Penelec</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$216.19</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2.2</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318,813</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Penn Power</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$209.20</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2.0</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95,502</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PPL</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$224.71</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2.1</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821,072</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PECO</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$227.55</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2.9</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1,125,851</w:t>
            </w:r>
          </w:p>
        </w:tc>
      </w:tr>
      <w:tr w:rsidR="00D51965" w:rsidRPr="00D51965" w:rsidTr="00DB0FA6">
        <w:trPr>
          <w:jc w:val="center"/>
        </w:trPr>
        <w:tc>
          <w:tcPr>
            <w:tcW w:w="1643" w:type="dxa"/>
          </w:tcPr>
          <w:p w:rsidR="00D51965" w:rsidRPr="000E1C88" w:rsidRDefault="00D51965" w:rsidP="00D51965">
            <w:pPr>
              <w:overflowPunct/>
              <w:autoSpaceDE/>
              <w:autoSpaceDN/>
              <w:adjustRightInd/>
              <w:textAlignment w:val="auto"/>
              <w:rPr>
                <w:sz w:val="26"/>
                <w:szCs w:val="26"/>
              </w:rPr>
            </w:pPr>
            <w:r w:rsidRPr="000E1C88">
              <w:rPr>
                <w:sz w:val="26"/>
                <w:szCs w:val="26"/>
              </w:rPr>
              <w:t>West Penn</w:t>
            </w:r>
          </w:p>
        </w:tc>
        <w:tc>
          <w:tcPr>
            <w:tcW w:w="2226" w:type="dxa"/>
          </w:tcPr>
          <w:p w:rsidR="00D51965" w:rsidRPr="00E10EC2" w:rsidRDefault="00D51965" w:rsidP="00D51965">
            <w:pPr>
              <w:overflowPunct/>
              <w:autoSpaceDE/>
              <w:autoSpaceDN/>
              <w:adjustRightInd/>
              <w:jc w:val="center"/>
              <w:textAlignment w:val="auto"/>
              <w:rPr>
                <w:sz w:val="26"/>
                <w:szCs w:val="26"/>
              </w:rPr>
            </w:pPr>
            <w:r w:rsidRPr="00E10EC2">
              <w:rPr>
                <w:sz w:val="26"/>
                <w:szCs w:val="26"/>
              </w:rPr>
              <w:t>$209.42</w:t>
            </w:r>
          </w:p>
        </w:tc>
        <w:tc>
          <w:tcPr>
            <w:tcW w:w="2530" w:type="dxa"/>
          </w:tcPr>
          <w:p w:rsidR="00D51965" w:rsidRPr="007D68D7" w:rsidRDefault="00D51965" w:rsidP="00D51965">
            <w:pPr>
              <w:overflowPunct/>
              <w:autoSpaceDE/>
              <w:autoSpaceDN/>
              <w:adjustRightInd/>
              <w:jc w:val="center"/>
              <w:textAlignment w:val="auto"/>
              <w:rPr>
                <w:sz w:val="26"/>
                <w:szCs w:val="26"/>
              </w:rPr>
            </w:pPr>
            <w:r w:rsidRPr="007D68D7">
              <w:rPr>
                <w:sz w:val="26"/>
                <w:szCs w:val="26"/>
              </w:rPr>
              <w:t>1.6</w:t>
            </w:r>
          </w:p>
        </w:tc>
        <w:tc>
          <w:tcPr>
            <w:tcW w:w="2259" w:type="dxa"/>
          </w:tcPr>
          <w:p w:rsidR="00D51965" w:rsidRPr="007D68D7" w:rsidRDefault="00D51965" w:rsidP="00D51965">
            <w:pPr>
              <w:overflowPunct/>
              <w:autoSpaceDE/>
              <w:autoSpaceDN/>
              <w:adjustRightInd/>
              <w:jc w:val="right"/>
              <w:textAlignment w:val="auto"/>
              <w:rPr>
                <w:sz w:val="26"/>
                <w:szCs w:val="26"/>
              </w:rPr>
            </w:pPr>
            <w:r w:rsidRPr="007D68D7">
              <w:rPr>
                <w:sz w:val="26"/>
                <w:szCs w:val="26"/>
              </w:rPr>
              <w:t>337,533</w:t>
            </w:r>
          </w:p>
        </w:tc>
      </w:tr>
    </w:tbl>
    <w:p w:rsidR="00D51965" w:rsidRDefault="00D51965" w:rsidP="00BA467E">
      <w:pPr>
        <w:tabs>
          <w:tab w:val="left" w:pos="720"/>
        </w:tabs>
        <w:overflowPunct/>
        <w:spacing w:line="360" w:lineRule="auto"/>
        <w:textAlignment w:val="auto"/>
        <w:rPr>
          <w:sz w:val="26"/>
          <w:szCs w:val="26"/>
        </w:rPr>
      </w:pPr>
    </w:p>
    <w:p w:rsidR="004F71ED" w:rsidRDefault="000E1C88" w:rsidP="00BA467E">
      <w:pPr>
        <w:tabs>
          <w:tab w:val="left" w:pos="720"/>
        </w:tabs>
        <w:overflowPunct/>
        <w:spacing w:line="360" w:lineRule="auto"/>
        <w:textAlignment w:val="auto"/>
        <w:rPr>
          <w:sz w:val="26"/>
          <w:szCs w:val="26"/>
        </w:rPr>
      </w:pPr>
      <w:r>
        <w:rPr>
          <w:sz w:val="26"/>
          <w:szCs w:val="26"/>
        </w:rPr>
        <w:tab/>
      </w:r>
      <w:r w:rsidR="004B478A">
        <w:rPr>
          <w:sz w:val="26"/>
          <w:szCs w:val="26"/>
        </w:rPr>
        <w:t>Furthermore, t</w:t>
      </w:r>
      <w:r w:rsidR="00C8442D" w:rsidRPr="004B478A">
        <w:rPr>
          <w:sz w:val="26"/>
          <w:szCs w:val="26"/>
        </w:rPr>
        <w:t xml:space="preserve">he Commission </w:t>
      </w:r>
      <w:r w:rsidR="00AA1948" w:rsidRPr="004B478A">
        <w:rPr>
          <w:sz w:val="26"/>
          <w:szCs w:val="26"/>
        </w:rPr>
        <w:t>initially determine</w:t>
      </w:r>
      <w:r w:rsidR="00A55F7B">
        <w:rPr>
          <w:sz w:val="26"/>
          <w:szCs w:val="26"/>
        </w:rPr>
        <w:t>d</w:t>
      </w:r>
      <w:r w:rsidR="00C8442D" w:rsidRPr="004B478A">
        <w:rPr>
          <w:sz w:val="26"/>
          <w:szCs w:val="26"/>
        </w:rPr>
        <w:t xml:space="preserve"> that Duquesne, Met-Ed, PECO, Penelec, Penn Power, PPL and West Penn were in compliance with </w:t>
      </w:r>
      <w:r w:rsidR="00F512B6" w:rsidRPr="004B478A">
        <w:rPr>
          <w:sz w:val="26"/>
          <w:szCs w:val="26"/>
        </w:rPr>
        <w:t>the May 31,</w:t>
      </w:r>
      <w:r w:rsidR="007D68D7">
        <w:rPr>
          <w:sz w:val="26"/>
          <w:szCs w:val="26"/>
        </w:rPr>
        <w:t xml:space="preserve"> </w:t>
      </w:r>
      <w:r w:rsidR="00F512B6" w:rsidRPr="004B478A">
        <w:rPr>
          <w:sz w:val="26"/>
          <w:szCs w:val="26"/>
        </w:rPr>
        <w:t xml:space="preserve">2016 </w:t>
      </w:r>
      <w:r w:rsidR="00AA1948" w:rsidRPr="004B478A">
        <w:rPr>
          <w:sz w:val="26"/>
          <w:szCs w:val="26"/>
        </w:rPr>
        <w:t xml:space="preserve">requirement to obtain </w:t>
      </w:r>
      <w:r w:rsidR="001C36B4" w:rsidRPr="004B478A">
        <w:rPr>
          <w:sz w:val="26"/>
          <w:szCs w:val="26"/>
        </w:rPr>
        <w:t xml:space="preserve">a minimum of </w:t>
      </w:r>
      <w:r w:rsidR="00E76F9C" w:rsidRPr="004B478A">
        <w:rPr>
          <w:sz w:val="26"/>
          <w:szCs w:val="26"/>
        </w:rPr>
        <w:t>ten percent (</w:t>
      </w:r>
      <w:r w:rsidR="00AA1948" w:rsidRPr="004B478A">
        <w:rPr>
          <w:sz w:val="26"/>
          <w:szCs w:val="26"/>
        </w:rPr>
        <w:t>10%</w:t>
      </w:r>
      <w:r w:rsidR="00E76F9C" w:rsidRPr="004B478A">
        <w:rPr>
          <w:sz w:val="26"/>
          <w:szCs w:val="26"/>
        </w:rPr>
        <w:t>)</w:t>
      </w:r>
      <w:r w:rsidR="00AA1948" w:rsidRPr="004B478A">
        <w:rPr>
          <w:sz w:val="26"/>
          <w:szCs w:val="26"/>
        </w:rPr>
        <w:t xml:space="preserve"> </w:t>
      </w:r>
      <w:r w:rsidR="001C36B4" w:rsidRPr="004B478A">
        <w:rPr>
          <w:sz w:val="26"/>
          <w:szCs w:val="26"/>
        </w:rPr>
        <w:t xml:space="preserve">of all consumption reduction requirements from </w:t>
      </w:r>
      <w:r w:rsidR="004B478A" w:rsidRPr="004B478A">
        <w:rPr>
          <w:sz w:val="26"/>
          <w:szCs w:val="26"/>
        </w:rPr>
        <w:t>government/educational/nonprofit institutions</w:t>
      </w:r>
      <w:r w:rsidR="008F04FF">
        <w:rPr>
          <w:sz w:val="26"/>
          <w:szCs w:val="26"/>
        </w:rPr>
        <w:t>.</w:t>
      </w:r>
      <w:r w:rsidR="00E550B5">
        <w:rPr>
          <w:rStyle w:val="FootnoteReference"/>
          <w:sz w:val="26"/>
          <w:szCs w:val="26"/>
        </w:rPr>
        <w:footnoteReference w:id="6"/>
      </w:r>
      <w:r w:rsidR="004B478A" w:rsidRPr="004B478A" w:rsidDel="001C36B4">
        <w:rPr>
          <w:sz w:val="26"/>
          <w:szCs w:val="26"/>
        </w:rPr>
        <w:t xml:space="preserve"> </w:t>
      </w:r>
      <w:r w:rsidR="008F04FF">
        <w:rPr>
          <w:sz w:val="26"/>
          <w:szCs w:val="26"/>
        </w:rPr>
        <w:t xml:space="preserve"> </w:t>
      </w:r>
      <w:r w:rsidR="00E550B5">
        <w:rPr>
          <w:sz w:val="26"/>
          <w:szCs w:val="26"/>
        </w:rPr>
        <w:t>Finally, the Commission initially determine</w:t>
      </w:r>
      <w:r w:rsidR="00A55F7B">
        <w:rPr>
          <w:sz w:val="26"/>
          <w:szCs w:val="26"/>
        </w:rPr>
        <w:t>d</w:t>
      </w:r>
      <w:r w:rsidR="00E550B5">
        <w:rPr>
          <w:sz w:val="26"/>
          <w:szCs w:val="26"/>
        </w:rPr>
        <w:t xml:space="preserve"> that</w:t>
      </w:r>
      <w:r w:rsidR="00AA1948" w:rsidRPr="004B478A">
        <w:rPr>
          <w:sz w:val="26"/>
          <w:szCs w:val="26"/>
        </w:rPr>
        <w:t xml:space="preserve"> </w:t>
      </w:r>
      <w:r w:rsidR="00E550B5" w:rsidRPr="004B478A">
        <w:rPr>
          <w:sz w:val="26"/>
          <w:szCs w:val="26"/>
        </w:rPr>
        <w:t xml:space="preserve">Duquesne, Met-Ed, PECO, Penelec, Penn Power, </w:t>
      </w:r>
      <w:r w:rsidR="00E550B5" w:rsidRPr="004B478A">
        <w:rPr>
          <w:sz w:val="26"/>
          <w:szCs w:val="26"/>
        </w:rPr>
        <w:lastRenderedPageBreak/>
        <w:t>PPL and West Penn were in compliance with the May 31,</w:t>
      </w:r>
      <w:r w:rsidR="00E550B5">
        <w:rPr>
          <w:sz w:val="26"/>
          <w:szCs w:val="26"/>
        </w:rPr>
        <w:t xml:space="preserve"> </w:t>
      </w:r>
      <w:r w:rsidR="00E550B5" w:rsidRPr="004B478A">
        <w:rPr>
          <w:sz w:val="26"/>
          <w:szCs w:val="26"/>
        </w:rPr>
        <w:t>2016</w:t>
      </w:r>
      <w:r w:rsidR="00AA1948" w:rsidRPr="004B478A">
        <w:rPr>
          <w:sz w:val="26"/>
          <w:szCs w:val="26"/>
        </w:rPr>
        <w:t xml:space="preserve"> requirement to </w:t>
      </w:r>
      <w:r w:rsidR="004B478A" w:rsidRPr="004B478A">
        <w:rPr>
          <w:sz w:val="26"/>
          <w:szCs w:val="26"/>
        </w:rPr>
        <w:t>obtain a minimum of four</w:t>
      </w:r>
      <w:r w:rsidR="00E550B5">
        <w:rPr>
          <w:sz w:val="26"/>
          <w:szCs w:val="26"/>
        </w:rPr>
        <w:noBreakHyphen/>
      </w:r>
      <w:r w:rsidR="004B478A" w:rsidRPr="004B478A">
        <w:rPr>
          <w:sz w:val="26"/>
          <w:szCs w:val="26"/>
        </w:rPr>
        <w:t>and</w:t>
      </w:r>
      <w:r w:rsidR="00E550B5">
        <w:rPr>
          <w:sz w:val="26"/>
          <w:szCs w:val="26"/>
        </w:rPr>
        <w:noBreakHyphen/>
      </w:r>
      <w:r w:rsidR="004B478A" w:rsidRPr="004B478A">
        <w:rPr>
          <w:sz w:val="26"/>
          <w:szCs w:val="26"/>
        </w:rPr>
        <w:t>one</w:t>
      </w:r>
      <w:r w:rsidR="00E550B5">
        <w:rPr>
          <w:sz w:val="26"/>
          <w:szCs w:val="26"/>
        </w:rPr>
        <w:noBreakHyphen/>
      </w:r>
      <w:r w:rsidR="004B478A" w:rsidRPr="004B478A">
        <w:rPr>
          <w:sz w:val="26"/>
          <w:szCs w:val="26"/>
        </w:rPr>
        <w:t xml:space="preserve">half </w:t>
      </w:r>
      <w:r w:rsidR="004B478A">
        <w:rPr>
          <w:sz w:val="26"/>
          <w:szCs w:val="26"/>
        </w:rPr>
        <w:t xml:space="preserve">percent </w:t>
      </w:r>
      <w:r w:rsidR="004B478A" w:rsidRPr="004B478A">
        <w:rPr>
          <w:sz w:val="26"/>
          <w:szCs w:val="26"/>
        </w:rPr>
        <w:t>(4.5%) of their total consumption reduction requirements from the low-income sector</w:t>
      </w:r>
      <w:r w:rsidR="00E550B5">
        <w:rPr>
          <w:sz w:val="26"/>
          <w:szCs w:val="26"/>
        </w:rPr>
        <w:t>, as well as, the requirement to include specific energy efficiency measures for households at or below 150% of the Federal poverty income guidelines in proportion to those households’ share of the total energy usage in the EDCs’ service territories</w:t>
      </w:r>
      <w:r w:rsidR="004B478A" w:rsidRPr="004B478A">
        <w:rPr>
          <w:sz w:val="26"/>
          <w:szCs w:val="26"/>
        </w:rPr>
        <w:t>.</w:t>
      </w:r>
      <w:r w:rsidR="00E550B5">
        <w:rPr>
          <w:rStyle w:val="FootnoteReference"/>
          <w:sz w:val="26"/>
          <w:szCs w:val="26"/>
        </w:rPr>
        <w:footnoteReference w:id="7"/>
      </w:r>
      <w:r w:rsidR="004B478A">
        <w:rPr>
          <w:sz w:val="26"/>
          <w:szCs w:val="26"/>
        </w:rPr>
        <w:t xml:space="preserve">  </w:t>
      </w:r>
    </w:p>
    <w:p w:rsidR="00A55F7B" w:rsidRDefault="00A55F7B" w:rsidP="00BA467E">
      <w:pPr>
        <w:tabs>
          <w:tab w:val="left" w:pos="720"/>
        </w:tabs>
        <w:overflowPunct/>
        <w:spacing w:line="360" w:lineRule="auto"/>
        <w:textAlignment w:val="auto"/>
        <w:rPr>
          <w:sz w:val="26"/>
          <w:szCs w:val="26"/>
        </w:rPr>
      </w:pPr>
    </w:p>
    <w:p w:rsidR="00A55F7B" w:rsidRDefault="00A55F7B" w:rsidP="00BA467E">
      <w:pPr>
        <w:tabs>
          <w:tab w:val="left" w:pos="720"/>
        </w:tabs>
        <w:overflowPunct/>
        <w:spacing w:line="360" w:lineRule="auto"/>
        <w:textAlignment w:val="auto"/>
        <w:rPr>
          <w:sz w:val="26"/>
          <w:szCs w:val="26"/>
        </w:rPr>
      </w:pPr>
      <w:r>
        <w:rPr>
          <w:sz w:val="26"/>
          <w:szCs w:val="26"/>
        </w:rPr>
        <w:tab/>
        <w:t xml:space="preserve">While no party challenged these </w:t>
      </w:r>
      <w:r w:rsidR="00E36886">
        <w:rPr>
          <w:sz w:val="26"/>
          <w:szCs w:val="26"/>
        </w:rPr>
        <w:t>Phase II compliance</w:t>
      </w:r>
      <w:r>
        <w:rPr>
          <w:sz w:val="26"/>
          <w:szCs w:val="26"/>
        </w:rPr>
        <w:t xml:space="preserve"> determinations, Duquesne, PECO and PPL sought reconsideration of the Commission’s determination of excess energy efficiency savings that each company can carry-over into Phase III of the EE&amp;C Program.  The Office of Consumer Advocate </w:t>
      </w:r>
      <w:r w:rsidR="003215FA">
        <w:rPr>
          <w:sz w:val="26"/>
          <w:szCs w:val="26"/>
        </w:rPr>
        <w:t xml:space="preserve">(OCA) </w:t>
      </w:r>
      <w:r>
        <w:rPr>
          <w:sz w:val="26"/>
          <w:szCs w:val="26"/>
        </w:rPr>
        <w:t xml:space="preserve">filed an Answer to the PECO and PPL Petitions.  </w:t>
      </w:r>
      <w:r w:rsidR="00DC3DD5">
        <w:rPr>
          <w:sz w:val="26"/>
          <w:szCs w:val="26"/>
        </w:rPr>
        <w:t>With this Order, the Commission grants Duquesne’s Petition and denies the PECO and PPL Petitions for the reasons expressed in this Order.</w:t>
      </w:r>
    </w:p>
    <w:p w:rsidR="007D68D7" w:rsidRPr="00415B77" w:rsidRDefault="007D68D7" w:rsidP="00BA467E">
      <w:pPr>
        <w:tabs>
          <w:tab w:val="left" w:pos="204"/>
        </w:tabs>
        <w:overflowPunct/>
        <w:spacing w:line="360" w:lineRule="auto"/>
        <w:textAlignment w:val="auto"/>
        <w:rPr>
          <w:sz w:val="26"/>
          <w:szCs w:val="26"/>
        </w:rPr>
      </w:pPr>
    </w:p>
    <w:p w:rsidR="00BA467E" w:rsidRPr="00415B77" w:rsidRDefault="00BA467E" w:rsidP="00415B77">
      <w:pPr>
        <w:pStyle w:val="Heading1"/>
        <w:spacing w:before="0" w:after="0" w:line="360" w:lineRule="auto"/>
        <w:jc w:val="center"/>
        <w:rPr>
          <w:rFonts w:ascii="Times New Roman" w:hAnsi="Times New Roman" w:cs="Times New Roman"/>
          <w:sz w:val="26"/>
          <w:szCs w:val="26"/>
        </w:rPr>
      </w:pPr>
      <w:bookmarkStart w:id="0" w:name="_Toc379466796"/>
      <w:r w:rsidRPr="00415B77">
        <w:rPr>
          <w:rFonts w:ascii="Times New Roman" w:hAnsi="Times New Roman" w:cs="Times New Roman"/>
          <w:sz w:val="26"/>
          <w:szCs w:val="26"/>
        </w:rPr>
        <w:t>BACKGROUND AND HISTORY OF THIS PROCEEDING</w:t>
      </w:r>
      <w:bookmarkEnd w:id="0"/>
    </w:p>
    <w:p w:rsidR="006E37F9" w:rsidRDefault="00BA467E" w:rsidP="004179B6">
      <w:pPr>
        <w:overflowPunct/>
        <w:spacing w:line="360" w:lineRule="auto"/>
        <w:textAlignment w:val="auto"/>
        <w:rPr>
          <w:sz w:val="26"/>
          <w:szCs w:val="26"/>
        </w:rPr>
      </w:pPr>
      <w:r w:rsidRPr="00415B77">
        <w:rPr>
          <w:sz w:val="26"/>
          <w:szCs w:val="26"/>
        </w:rPr>
        <w:tab/>
        <w:t>Act 129 of 2008 (the Act or Act 129) was signed into law on October 15, 2008, and became effective on November 14, 2008.  Among other things, the Act created an EE&amp;C Program, codified in the Pennsylvania Public Utility Code at Sections 2806.1 and 2806.2, 66 Pa.</w:t>
      </w:r>
      <w:r w:rsidR="00BA4873">
        <w:rPr>
          <w:sz w:val="26"/>
          <w:szCs w:val="26"/>
        </w:rPr>
        <w:t xml:space="preserve"> </w:t>
      </w:r>
      <w:r w:rsidRPr="00415B77">
        <w:rPr>
          <w:sz w:val="26"/>
          <w:szCs w:val="26"/>
        </w:rPr>
        <w:t xml:space="preserve">C.S. §§ 2806.1 and 2806.2.  This initial program required an EDC with at least 100,000 customers to adopt an EE&amp;C </w:t>
      </w:r>
      <w:r w:rsidR="00317080" w:rsidRPr="00415B77">
        <w:rPr>
          <w:sz w:val="26"/>
          <w:szCs w:val="26"/>
        </w:rPr>
        <w:t>p</w:t>
      </w:r>
      <w:r w:rsidRPr="00415B77">
        <w:rPr>
          <w:sz w:val="26"/>
          <w:szCs w:val="26"/>
        </w:rPr>
        <w:t>lan, approved by the Commission, to reduce electric consumption</w:t>
      </w:r>
      <w:r w:rsidR="00B65365">
        <w:rPr>
          <w:sz w:val="26"/>
          <w:szCs w:val="26"/>
        </w:rPr>
        <w:t xml:space="preserve"> by May 31, 2011 and May 31, 2013</w:t>
      </w:r>
      <w:r w:rsidRPr="00415B77">
        <w:rPr>
          <w:sz w:val="26"/>
          <w:szCs w:val="26"/>
        </w:rPr>
        <w:t xml:space="preserve">. </w:t>
      </w:r>
      <w:r w:rsidR="001D50CF">
        <w:rPr>
          <w:sz w:val="26"/>
          <w:szCs w:val="26"/>
        </w:rPr>
        <w:t xml:space="preserve"> </w:t>
      </w:r>
      <w:r w:rsidR="001D50CF">
        <w:rPr>
          <w:i/>
          <w:sz w:val="26"/>
          <w:szCs w:val="26"/>
        </w:rPr>
        <w:t>See</w:t>
      </w:r>
      <w:r w:rsidR="001D50CF">
        <w:rPr>
          <w:sz w:val="26"/>
          <w:szCs w:val="26"/>
        </w:rPr>
        <w:t>, 66 Pa.</w:t>
      </w:r>
      <w:r w:rsidR="00BA4873">
        <w:rPr>
          <w:sz w:val="26"/>
          <w:szCs w:val="26"/>
        </w:rPr>
        <w:t xml:space="preserve"> </w:t>
      </w:r>
      <w:r w:rsidR="001D50CF">
        <w:rPr>
          <w:sz w:val="26"/>
          <w:szCs w:val="26"/>
        </w:rPr>
        <w:t xml:space="preserve">C.S. § 2806.1(c). </w:t>
      </w:r>
      <w:r w:rsidRPr="00415B77">
        <w:rPr>
          <w:sz w:val="26"/>
          <w:szCs w:val="26"/>
        </w:rPr>
        <w:t xml:space="preserve"> Also, by May 31, 2013, peak demand </w:t>
      </w:r>
      <w:r w:rsidR="001D50CF">
        <w:rPr>
          <w:sz w:val="26"/>
          <w:szCs w:val="26"/>
        </w:rPr>
        <w:t>wa</w:t>
      </w:r>
      <w:r w:rsidRPr="00415B77">
        <w:rPr>
          <w:sz w:val="26"/>
          <w:szCs w:val="26"/>
        </w:rPr>
        <w:t xml:space="preserve">s to be reduced by a minimum of </w:t>
      </w:r>
      <w:r w:rsidR="001D50CF">
        <w:rPr>
          <w:sz w:val="26"/>
          <w:szCs w:val="26"/>
        </w:rPr>
        <w:t>4.5%</w:t>
      </w:r>
      <w:r w:rsidRPr="00415B77">
        <w:rPr>
          <w:sz w:val="26"/>
          <w:szCs w:val="26"/>
        </w:rPr>
        <w:t xml:space="preserve"> of the EDCs</w:t>
      </w:r>
      <w:r w:rsidR="00B76655">
        <w:rPr>
          <w:sz w:val="26"/>
          <w:szCs w:val="26"/>
        </w:rPr>
        <w:t>’</w:t>
      </w:r>
      <w:r w:rsidRPr="00415B77">
        <w:rPr>
          <w:sz w:val="26"/>
          <w:szCs w:val="26"/>
        </w:rPr>
        <w:t xml:space="preserve"> annual system peak demand in the 100 hours of highest demand. </w:t>
      </w:r>
      <w:r w:rsidR="001D50CF">
        <w:rPr>
          <w:sz w:val="26"/>
          <w:szCs w:val="26"/>
        </w:rPr>
        <w:t xml:space="preserve"> </w:t>
      </w:r>
      <w:r w:rsidR="001D50CF">
        <w:rPr>
          <w:i/>
          <w:sz w:val="26"/>
          <w:szCs w:val="26"/>
        </w:rPr>
        <w:t>See</w:t>
      </w:r>
      <w:r w:rsidR="001D50CF">
        <w:rPr>
          <w:sz w:val="26"/>
          <w:szCs w:val="26"/>
        </w:rPr>
        <w:t>, 66 Pa.</w:t>
      </w:r>
      <w:r w:rsidR="00BA4873">
        <w:rPr>
          <w:sz w:val="26"/>
          <w:szCs w:val="26"/>
        </w:rPr>
        <w:t xml:space="preserve"> </w:t>
      </w:r>
      <w:r w:rsidR="001D50CF">
        <w:rPr>
          <w:sz w:val="26"/>
          <w:szCs w:val="26"/>
        </w:rPr>
        <w:t>C.S. § 2806.1(d</w:t>
      </w:r>
      <w:r w:rsidR="001D50CF" w:rsidRPr="006E37F9">
        <w:rPr>
          <w:sz w:val="26"/>
          <w:szCs w:val="26"/>
        </w:rPr>
        <w:t xml:space="preserve">). </w:t>
      </w:r>
    </w:p>
    <w:p w:rsidR="00A90AEA" w:rsidRDefault="00A90AEA" w:rsidP="004179B6">
      <w:pPr>
        <w:overflowPunct/>
        <w:spacing w:line="360" w:lineRule="auto"/>
        <w:textAlignment w:val="auto"/>
        <w:rPr>
          <w:sz w:val="26"/>
          <w:szCs w:val="26"/>
        </w:rPr>
      </w:pPr>
    </w:p>
    <w:p w:rsidR="006C0ECF" w:rsidRDefault="00A90AEA" w:rsidP="00065FB4">
      <w:pPr>
        <w:overflowPunct/>
        <w:spacing w:line="360" w:lineRule="auto"/>
        <w:ind w:firstLine="720"/>
        <w:textAlignment w:val="auto"/>
        <w:rPr>
          <w:sz w:val="26"/>
          <w:szCs w:val="26"/>
        </w:rPr>
      </w:pPr>
      <w:r w:rsidRPr="00065FB4">
        <w:rPr>
          <w:sz w:val="26"/>
          <w:szCs w:val="26"/>
        </w:rPr>
        <w:t xml:space="preserve">The Act requires the Commission to evaluate the costs and benefits of the EE&amp;C Program and of the approved EE&amp;C plans by November 30, 2013, and at least every five </w:t>
      </w:r>
      <w:r w:rsidRPr="00065FB4">
        <w:rPr>
          <w:sz w:val="26"/>
          <w:szCs w:val="26"/>
        </w:rPr>
        <w:lastRenderedPageBreak/>
        <w:t xml:space="preserve">years thereafter.  This evaluation is to be consistent with the </w:t>
      </w:r>
      <w:r w:rsidR="005F20BE">
        <w:rPr>
          <w:sz w:val="26"/>
          <w:szCs w:val="26"/>
        </w:rPr>
        <w:t>total resource cost (TRC)</w:t>
      </w:r>
      <w:r w:rsidRPr="00065FB4">
        <w:rPr>
          <w:sz w:val="26"/>
          <w:szCs w:val="26"/>
        </w:rPr>
        <w:t xml:space="preserve"> test or a cost-benefit analysis determined by the Commission.  As stated in the Act, “[</w:t>
      </w:r>
      <w:proofErr w:type="spellStart"/>
      <w:r w:rsidRPr="00065FB4">
        <w:rPr>
          <w:sz w:val="26"/>
          <w:szCs w:val="26"/>
        </w:rPr>
        <w:t>i</w:t>
      </w:r>
      <w:proofErr w:type="spellEnd"/>
      <w:r w:rsidRPr="00065FB4">
        <w:rPr>
          <w:sz w:val="26"/>
          <w:szCs w:val="26"/>
        </w:rPr>
        <w:t xml:space="preserve">]f the Commission determines that the benefits of the Program exceed the costs, the Commission shall adopt additional required incremental reductions in consumption” to be met by the large EDCs.  </w:t>
      </w:r>
      <w:r w:rsidRPr="00065FB4">
        <w:rPr>
          <w:i/>
          <w:iCs/>
          <w:sz w:val="26"/>
          <w:szCs w:val="26"/>
        </w:rPr>
        <w:t>See</w:t>
      </w:r>
      <w:r w:rsidRPr="00065FB4">
        <w:rPr>
          <w:sz w:val="26"/>
          <w:szCs w:val="26"/>
        </w:rPr>
        <w:t xml:space="preserve"> 66 Pa. C.S. §</w:t>
      </w:r>
      <w:r w:rsidR="00D01F98">
        <w:rPr>
          <w:sz w:val="26"/>
          <w:szCs w:val="26"/>
        </w:rPr>
        <w:t xml:space="preserve"> </w:t>
      </w:r>
      <w:r w:rsidRPr="00065FB4">
        <w:rPr>
          <w:sz w:val="26"/>
          <w:szCs w:val="26"/>
        </w:rPr>
        <w:t>2806.1(c)(3).</w:t>
      </w:r>
      <w:r w:rsidR="006C0ECF">
        <w:rPr>
          <w:sz w:val="26"/>
          <w:szCs w:val="26"/>
        </w:rPr>
        <w:t xml:space="preserve">  </w:t>
      </w:r>
      <w:r w:rsidR="00CE0C45">
        <w:rPr>
          <w:sz w:val="26"/>
          <w:szCs w:val="26"/>
        </w:rPr>
        <w:t>Also, the Commission interpreted subsection 2806.1(d)(2) of Act 129, 66 Pa. C.S. §2806.1(d)(2), as requiring the Commission to prescribe specific peak demand reduction targets for subsequent phases of Act 129, if the demand response program is proven to be cost-effective.</w:t>
      </w:r>
    </w:p>
    <w:p w:rsidR="00EE0B71" w:rsidRDefault="00EE0B71" w:rsidP="00065FB4">
      <w:pPr>
        <w:overflowPunct/>
        <w:spacing w:line="360" w:lineRule="auto"/>
        <w:ind w:firstLine="720"/>
        <w:textAlignment w:val="auto"/>
        <w:rPr>
          <w:sz w:val="26"/>
          <w:szCs w:val="26"/>
        </w:rPr>
      </w:pPr>
    </w:p>
    <w:p w:rsidR="00A90AEA" w:rsidRDefault="006C0ECF" w:rsidP="00065FB4">
      <w:pPr>
        <w:overflowPunct/>
        <w:spacing w:line="360" w:lineRule="auto"/>
        <w:ind w:firstLine="720"/>
        <w:textAlignment w:val="auto"/>
        <w:rPr>
          <w:sz w:val="26"/>
          <w:szCs w:val="26"/>
        </w:rPr>
      </w:pPr>
      <w:r>
        <w:rPr>
          <w:sz w:val="26"/>
          <w:szCs w:val="26"/>
        </w:rPr>
        <w:t xml:space="preserve">The </w:t>
      </w:r>
      <w:r w:rsidR="005F20BE">
        <w:rPr>
          <w:sz w:val="26"/>
          <w:szCs w:val="26"/>
        </w:rPr>
        <w:t>Statewide Evaluator (</w:t>
      </w:r>
      <w:r>
        <w:rPr>
          <w:sz w:val="26"/>
          <w:szCs w:val="26"/>
        </w:rPr>
        <w:t>SWE</w:t>
      </w:r>
      <w:r w:rsidR="005F20BE">
        <w:rPr>
          <w:sz w:val="26"/>
          <w:szCs w:val="26"/>
        </w:rPr>
        <w:t>)</w:t>
      </w:r>
      <w:r>
        <w:rPr>
          <w:sz w:val="26"/>
          <w:szCs w:val="26"/>
        </w:rPr>
        <w:t xml:space="preserve"> conducted Pennsylvania specific residential, commercial and industrial baseline saturation studies and prepared a Market Potential Study for the Commission that recommended EDC-specific energy efficiency reduction targets.  </w:t>
      </w:r>
      <w:r w:rsidR="00A90AEA">
        <w:rPr>
          <w:sz w:val="26"/>
          <w:szCs w:val="26"/>
        </w:rPr>
        <w:t xml:space="preserve">For Phase II, the Commission established a three-year length of program.  The primary reason was to give the Commission time to evaluate the current and potential future peak demand reduction program design and assess the potential for demand response savings in a potential Phase III EE&amp;C program. </w:t>
      </w:r>
      <w:r w:rsidR="00065FB4">
        <w:rPr>
          <w:sz w:val="26"/>
          <w:szCs w:val="26"/>
        </w:rPr>
        <w:t xml:space="preserve"> </w:t>
      </w:r>
      <w:r>
        <w:rPr>
          <w:sz w:val="26"/>
          <w:szCs w:val="26"/>
        </w:rPr>
        <w:t>The Commission adopted the SWE recommended EDC</w:t>
      </w:r>
      <w:r>
        <w:rPr>
          <w:sz w:val="26"/>
          <w:szCs w:val="26"/>
        </w:rPr>
        <w:noBreakHyphen/>
        <w:t>specific consumption reduction requirements for Phase II.  Because the Commission did not receive information on the cost-effectiveness of the EDC’s Phase I demand response programs until the end of 2012, the Commission could not definitively determine if the Phase I or another peak demand reduction program design was cost-effective.  As such, the Commission did not to set any peak demand reduction targets for the Phase II EE&amp;C program period.</w:t>
      </w:r>
      <w:r>
        <w:rPr>
          <w:rStyle w:val="FootnoteReference"/>
          <w:sz w:val="26"/>
          <w:szCs w:val="26"/>
        </w:rPr>
        <w:footnoteReference w:id="8"/>
      </w:r>
      <w:r w:rsidR="00A90AEA">
        <w:rPr>
          <w:sz w:val="26"/>
          <w:szCs w:val="26"/>
        </w:rPr>
        <w:t xml:space="preserve"> </w:t>
      </w:r>
    </w:p>
    <w:p w:rsidR="00B573D0" w:rsidRPr="00B573D0" w:rsidRDefault="00B573D0" w:rsidP="00FD21C8">
      <w:pPr>
        <w:overflowPunct/>
        <w:spacing w:line="360" w:lineRule="auto"/>
        <w:textAlignment w:val="auto"/>
        <w:rPr>
          <w:sz w:val="26"/>
          <w:szCs w:val="26"/>
        </w:rPr>
      </w:pPr>
    </w:p>
    <w:p w:rsidR="00312B8E" w:rsidRDefault="0063709B" w:rsidP="000E1C88">
      <w:pPr>
        <w:overflowPunct/>
        <w:spacing w:line="360" w:lineRule="auto"/>
        <w:ind w:firstLine="720"/>
        <w:textAlignment w:val="auto"/>
        <w:rPr>
          <w:sz w:val="26"/>
          <w:szCs w:val="26"/>
        </w:rPr>
      </w:pPr>
      <w:r>
        <w:rPr>
          <w:sz w:val="26"/>
          <w:szCs w:val="26"/>
        </w:rPr>
        <w:t xml:space="preserve">If an EDC fails to achieve these reductions in electric consumption or in peak demand, that EDC shall be subject to a civil penalty of not less than $1,000,000 and not </w:t>
      </w:r>
      <w:r w:rsidR="00314829">
        <w:rPr>
          <w:sz w:val="26"/>
          <w:szCs w:val="26"/>
        </w:rPr>
        <w:t>greater than</w:t>
      </w:r>
      <w:r>
        <w:rPr>
          <w:sz w:val="26"/>
          <w:szCs w:val="26"/>
        </w:rPr>
        <w:t xml:space="preserve"> $20,000,000.  Such penalties may not be recovered from ratepayers.  </w:t>
      </w:r>
      <w:r w:rsidR="001D50CF">
        <w:rPr>
          <w:i/>
          <w:sz w:val="26"/>
          <w:szCs w:val="26"/>
        </w:rPr>
        <w:t>See</w:t>
      </w:r>
      <w:r w:rsidR="001D50CF">
        <w:rPr>
          <w:sz w:val="26"/>
          <w:szCs w:val="26"/>
        </w:rPr>
        <w:t xml:space="preserve">, </w:t>
      </w:r>
      <w:r w:rsidRPr="001D50CF">
        <w:rPr>
          <w:sz w:val="26"/>
          <w:szCs w:val="26"/>
        </w:rPr>
        <w:t>66</w:t>
      </w:r>
      <w:r w:rsidRPr="00415B77">
        <w:rPr>
          <w:sz w:val="26"/>
          <w:szCs w:val="26"/>
        </w:rPr>
        <w:t xml:space="preserve"> Pa.</w:t>
      </w:r>
      <w:r w:rsidR="005F20BE">
        <w:rPr>
          <w:sz w:val="26"/>
          <w:szCs w:val="26"/>
        </w:rPr>
        <w:t xml:space="preserve"> </w:t>
      </w:r>
      <w:r w:rsidRPr="00415B77">
        <w:rPr>
          <w:sz w:val="26"/>
          <w:szCs w:val="26"/>
        </w:rPr>
        <w:t>C.S. § 2806.</w:t>
      </w:r>
      <w:r>
        <w:rPr>
          <w:sz w:val="26"/>
          <w:szCs w:val="26"/>
        </w:rPr>
        <w:t>1(f)(</w:t>
      </w:r>
      <w:r w:rsidR="001D50CF">
        <w:rPr>
          <w:sz w:val="26"/>
          <w:szCs w:val="26"/>
        </w:rPr>
        <w:t>2</w:t>
      </w:r>
      <w:r>
        <w:rPr>
          <w:sz w:val="26"/>
          <w:szCs w:val="26"/>
        </w:rPr>
        <w:t>).</w:t>
      </w:r>
    </w:p>
    <w:p w:rsidR="00CE0C45" w:rsidRDefault="00A83088" w:rsidP="00CE0C45">
      <w:pPr>
        <w:overflowPunct/>
        <w:spacing w:line="360" w:lineRule="auto"/>
        <w:ind w:firstLine="720"/>
        <w:textAlignment w:val="auto"/>
        <w:rPr>
          <w:sz w:val="26"/>
          <w:szCs w:val="26"/>
        </w:rPr>
      </w:pPr>
      <w:r>
        <w:rPr>
          <w:sz w:val="26"/>
          <w:szCs w:val="26"/>
        </w:rPr>
        <w:lastRenderedPageBreak/>
        <w:t xml:space="preserve">Act 129 also required the EDCs to file with the Commission annual reports relating to the results of their EE&amp;C Plans for that program year.  </w:t>
      </w:r>
      <w:r w:rsidRPr="00415B77">
        <w:rPr>
          <w:sz w:val="26"/>
          <w:szCs w:val="26"/>
        </w:rPr>
        <w:t>66 Pa.</w:t>
      </w:r>
      <w:r w:rsidR="00BA4873">
        <w:rPr>
          <w:sz w:val="26"/>
          <w:szCs w:val="26"/>
        </w:rPr>
        <w:t xml:space="preserve"> </w:t>
      </w:r>
      <w:r w:rsidRPr="00415B77">
        <w:rPr>
          <w:sz w:val="26"/>
          <w:szCs w:val="26"/>
        </w:rPr>
        <w:t>C.S. §</w:t>
      </w:r>
      <w:r w:rsidR="00065FB4">
        <w:rPr>
          <w:sz w:val="26"/>
          <w:szCs w:val="26"/>
        </w:rPr>
        <w:t> </w:t>
      </w:r>
      <w:r w:rsidRPr="00415B77">
        <w:rPr>
          <w:sz w:val="26"/>
          <w:szCs w:val="26"/>
        </w:rPr>
        <w:t>2806.</w:t>
      </w:r>
      <w:r>
        <w:rPr>
          <w:sz w:val="26"/>
          <w:szCs w:val="26"/>
        </w:rPr>
        <w:t>1(</w:t>
      </w:r>
      <w:proofErr w:type="spellStart"/>
      <w:r>
        <w:rPr>
          <w:sz w:val="26"/>
          <w:szCs w:val="26"/>
        </w:rPr>
        <w:t>i</w:t>
      </w:r>
      <w:proofErr w:type="spellEnd"/>
      <w:r>
        <w:rPr>
          <w:sz w:val="26"/>
          <w:szCs w:val="26"/>
        </w:rPr>
        <w:t xml:space="preserve">)(1).  </w:t>
      </w:r>
      <w:r w:rsidR="0027700C">
        <w:rPr>
          <w:sz w:val="26"/>
          <w:szCs w:val="26"/>
        </w:rPr>
        <w:t>These reports were to document the effectiveness of the EDCs’</w:t>
      </w:r>
      <w:r w:rsidR="0027700C" w:rsidRPr="0027700C">
        <w:rPr>
          <w:sz w:val="26"/>
          <w:szCs w:val="26"/>
        </w:rPr>
        <w:t xml:space="preserve"> EE&amp;C plans, the measurement and verification of energy savings, the evaluation of the cost</w:t>
      </w:r>
      <w:r w:rsidR="0039194E">
        <w:rPr>
          <w:sz w:val="26"/>
          <w:szCs w:val="26"/>
        </w:rPr>
        <w:noBreakHyphen/>
      </w:r>
      <w:r w:rsidR="0027700C" w:rsidRPr="0027700C">
        <w:rPr>
          <w:sz w:val="26"/>
          <w:szCs w:val="26"/>
        </w:rPr>
        <w:t>effectiveness of expenditures and any other information required by the Commission</w:t>
      </w:r>
      <w:r w:rsidR="0027700C">
        <w:rPr>
          <w:sz w:val="26"/>
          <w:szCs w:val="26"/>
        </w:rPr>
        <w:t>.</w:t>
      </w:r>
      <w:r w:rsidR="00065FB4">
        <w:rPr>
          <w:sz w:val="26"/>
          <w:szCs w:val="26"/>
        </w:rPr>
        <w:t xml:space="preserve">  </w:t>
      </w:r>
      <w:r w:rsidR="00CE0C45" w:rsidRPr="006E37F9">
        <w:rPr>
          <w:sz w:val="26"/>
          <w:szCs w:val="26"/>
        </w:rPr>
        <w:t xml:space="preserve">For Phase II, EDCs </w:t>
      </w:r>
      <w:r w:rsidR="00065FB4">
        <w:rPr>
          <w:sz w:val="26"/>
          <w:szCs w:val="26"/>
        </w:rPr>
        <w:t>were</w:t>
      </w:r>
      <w:r w:rsidR="00CE0C45" w:rsidRPr="006E37F9">
        <w:rPr>
          <w:sz w:val="26"/>
          <w:szCs w:val="26"/>
        </w:rPr>
        <w:t xml:space="preserve"> to submit two Act 129 annual reports per program year.  The first annual report, due July 15, </w:t>
      </w:r>
      <w:r w:rsidR="00065FB4">
        <w:rPr>
          <w:sz w:val="26"/>
          <w:szCs w:val="26"/>
        </w:rPr>
        <w:t>was</w:t>
      </w:r>
      <w:r w:rsidR="00CE0C45" w:rsidRPr="006E37F9">
        <w:rPr>
          <w:sz w:val="26"/>
          <w:szCs w:val="26"/>
        </w:rPr>
        <w:t xml:space="preserve"> to be a preliminary report providing each EDC’s reported savings for its EE&amp;C portfolio for that program year.  The second annual report, due November 15, </w:t>
      </w:r>
      <w:r w:rsidR="00065FB4">
        <w:rPr>
          <w:sz w:val="26"/>
          <w:szCs w:val="26"/>
        </w:rPr>
        <w:t>was</w:t>
      </w:r>
      <w:r w:rsidR="00CE0C45" w:rsidRPr="006E37F9">
        <w:rPr>
          <w:sz w:val="26"/>
          <w:szCs w:val="26"/>
        </w:rPr>
        <w:t xml:space="preserve"> to be a final annual report providing verified savings for the EDC’s EE&amp;C portfolio for that program year, the cost</w:t>
      </w:r>
      <w:r w:rsidR="00DC3DD5">
        <w:rPr>
          <w:sz w:val="26"/>
          <w:szCs w:val="26"/>
        </w:rPr>
        <w:noBreakHyphen/>
      </w:r>
      <w:r w:rsidR="00CE0C45" w:rsidRPr="006E37F9">
        <w:rPr>
          <w:sz w:val="26"/>
          <w:szCs w:val="26"/>
        </w:rPr>
        <w:t xml:space="preserve">effectiveness evaluation (TRC test), the process evaluation, as well as items required by Act 129 and Commission Orders.  In addition to the annual reports, the EDCs </w:t>
      </w:r>
      <w:r w:rsidR="00CE0C45">
        <w:rPr>
          <w:sz w:val="26"/>
          <w:szCs w:val="26"/>
        </w:rPr>
        <w:t xml:space="preserve">are </w:t>
      </w:r>
      <w:r w:rsidR="00CE0C45" w:rsidRPr="006E37F9">
        <w:rPr>
          <w:sz w:val="26"/>
          <w:szCs w:val="26"/>
        </w:rPr>
        <w:t xml:space="preserve">to file quarterly reports for the first three quarters of each reporting year, due 45 calendar days from the </w:t>
      </w:r>
      <w:r w:rsidR="00CE0C45">
        <w:rPr>
          <w:sz w:val="26"/>
          <w:szCs w:val="26"/>
        </w:rPr>
        <w:t>end of the respective quarter; fourth</w:t>
      </w:r>
      <w:r w:rsidR="00CE0C45" w:rsidRPr="006E37F9">
        <w:rPr>
          <w:sz w:val="26"/>
          <w:szCs w:val="26"/>
        </w:rPr>
        <w:t xml:space="preserve"> quarter reporting information </w:t>
      </w:r>
      <w:r w:rsidR="00CE0C45">
        <w:rPr>
          <w:sz w:val="26"/>
          <w:szCs w:val="26"/>
        </w:rPr>
        <w:t xml:space="preserve">is to </w:t>
      </w:r>
      <w:r w:rsidR="00CE0C45" w:rsidRPr="006E37F9">
        <w:rPr>
          <w:sz w:val="26"/>
          <w:szCs w:val="26"/>
        </w:rPr>
        <w:t>be included in the prelim</w:t>
      </w:r>
      <w:r w:rsidR="00CE0C45">
        <w:rPr>
          <w:sz w:val="26"/>
          <w:szCs w:val="26"/>
        </w:rPr>
        <w:t>inary annual report.</w:t>
      </w:r>
      <w:r w:rsidR="00CE0C45">
        <w:rPr>
          <w:rStyle w:val="FootnoteReference"/>
          <w:sz w:val="26"/>
          <w:szCs w:val="26"/>
        </w:rPr>
        <w:footnoteReference w:id="9"/>
      </w:r>
    </w:p>
    <w:p w:rsidR="00283332" w:rsidRDefault="00283332" w:rsidP="00065FB4">
      <w:pPr>
        <w:overflowPunct/>
        <w:spacing w:line="360" w:lineRule="auto"/>
        <w:ind w:firstLine="720"/>
        <w:textAlignment w:val="auto"/>
        <w:rPr>
          <w:sz w:val="26"/>
          <w:szCs w:val="26"/>
        </w:rPr>
      </w:pPr>
    </w:p>
    <w:p w:rsidR="000E1C88" w:rsidRDefault="00283332" w:rsidP="000E1C88">
      <w:pPr>
        <w:overflowPunct/>
        <w:spacing w:line="360" w:lineRule="auto"/>
        <w:textAlignment w:val="auto"/>
        <w:rPr>
          <w:sz w:val="26"/>
          <w:szCs w:val="26"/>
        </w:rPr>
      </w:pPr>
      <w:r>
        <w:rPr>
          <w:sz w:val="26"/>
          <w:szCs w:val="26"/>
        </w:rPr>
        <w:tab/>
      </w:r>
      <w:r w:rsidRPr="00B93009">
        <w:rPr>
          <w:sz w:val="26"/>
          <w:szCs w:val="26"/>
        </w:rPr>
        <w:t xml:space="preserve">Additionally, the SWE is required to provide annual reports which </w:t>
      </w:r>
      <w:r w:rsidR="00D46EDF" w:rsidRPr="00B93009">
        <w:rPr>
          <w:sz w:val="26"/>
          <w:szCs w:val="26"/>
        </w:rPr>
        <w:t xml:space="preserve">provide the results of </w:t>
      </w:r>
      <w:r w:rsidR="003D0433" w:rsidRPr="00B93009">
        <w:rPr>
          <w:sz w:val="26"/>
          <w:szCs w:val="26"/>
        </w:rPr>
        <w:t>its</w:t>
      </w:r>
      <w:r w:rsidR="00D46EDF" w:rsidRPr="00B93009">
        <w:rPr>
          <w:sz w:val="26"/>
          <w:szCs w:val="26"/>
        </w:rPr>
        <w:t xml:space="preserve"> independent evaluations of the EDCs’ programs.  </w:t>
      </w:r>
      <w:r w:rsidR="00CE0C45">
        <w:rPr>
          <w:sz w:val="26"/>
          <w:szCs w:val="26"/>
        </w:rPr>
        <w:t>T</w:t>
      </w:r>
      <w:r w:rsidR="00A54B7D" w:rsidRPr="00B93009">
        <w:rPr>
          <w:sz w:val="26"/>
          <w:szCs w:val="26"/>
        </w:rPr>
        <w:t xml:space="preserve">he SWE’s </w:t>
      </w:r>
      <w:r w:rsidR="00CE0C45">
        <w:rPr>
          <w:sz w:val="26"/>
          <w:szCs w:val="26"/>
        </w:rPr>
        <w:t>PY7</w:t>
      </w:r>
      <w:r w:rsidR="00CE0C45" w:rsidRPr="00B93009">
        <w:rPr>
          <w:sz w:val="26"/>
          <w:szCs w:val="26"/>
        </w:rPr>
        <w:t xml:space="preserve"> </w:t>
      </w:r>
      <w:r w:rsidR="00A54B7D" w:rsidRPr="00B93009">
        <w:rPr>
          <w:sz w:val="26"/>
          <w:szCs w:val="26"/>
        </w:rPr>
        <w:t>annual report provides an overview of the entirety of Phase I</w:t>
      </w:r>
      <w:r w:rsidR="00CE0C45">
        <w:rPr>
          <w:sz w:val="26"/>
          <w:szCs w:val="26"/>
        </w:rPr>
        <w:t>I</w:t>
      </w:r>
      <w:r w:rsidR="00A54B7D" w:rsidRPr="00B93009">
        <w:rPr>
          <w:sz w:val="26"/>
          <w:szCs w:val="26"/>
        </w:rPr>
        <w:t xml:space="preserve">.  This </w:t>
      </w:r>
      <w:r w:rsidR="003D0433" w:rsidRPr="00B93009">
        <w:rPr>
          <w:sz w:val="26"/>
          <w:szCs w:val="26"/>
        </w:rPr>
        <w:t>Phase I</w:t>
      </w:r>
      <w:r w:rsidR="00CE0C45">
        <w:rPr>
          <w:sz w:val="26"/>
          <w:szCs w:val="26"/>
        </w:rPr>
        <w:t>I</w:t>
      </w:r>
      <w:r w:rsidR="00B93009">
        <w:rPr>
          <w:sz w:val="26"/>
          <w:szCs w:val="26"/>
        </w:rPr>
        <w:t xml:space="preserve"> Final Annual R</w:t>
      </w:r>
      <w:r w:rsidR="00A54B7D" w:rsidRPr="00B93009">
        <w:rPr>
          <w:sz w:val="26"/>
          <w:szCs w:val="26"/>
        </w:rPr>
        <w:t xml:space="preserve">eport provides the SWE’s </w:t>
      </w:r>
      <w:r w:rsidR="002E6DD4">
        <w:rPr>
          <w:sz w:val="26"/>
          <w:szCs w:val="26"/>
        </w:rPr>
        <w:t>analysis of</w:t>
      </w:r>
      <w:r w:rsidR="00A54B7D" w:rsidRPr="00B93009">
        <w:rPr>
          <w:sz w:val="26"/>
          <w:szCs w:val="26"/>
        </w:rPr>
        <w:t xml:space="preserve"> </w:t>
      </w:r>
      <w:proofErr w:type="gramStart"/>
      <w:r w:rsidR="00A54B7D" w:rsidRPr="00B93009">
        <w:rPr>
          <w:sz w:val="26"/>
          <w:szCs w:val="26"/>
        </w:rPr>
        <w:t>whether or not</w:t>
      </w:r>
      <w:proofErr w:type="gramEnd"/>
      <w:r w:rsidR="00A54B7D" w:rsidRPr="00B93009">
        <w:rPr>
          <w:sz w:val="26"/>
          <w:szCs w:val="26"/>
        </w:rPr>
        <w:t xml:space="preserve"> it agrees</w:t>
      </w:r>
      <w:r w:rsidR="0064637D">
        <w:rPr>
          <w:sz w:val="26"/>
          <w:szCs w:val="26"/>
        </w:rPr>
        <w:t xml:space="preserve"> </w:t>
      </w:r>
      <w:r w:rsidR="00A54B7D" w:rsidRPr="00B93009">
        <w:rPr>
          <w:sz w:val="26"/>
          <w:szCs w:val="26"/>
        </w:rPr>
        <w:t xml:space="preserve">with the EDCs’ </w:t>
      </w:r>
      <w:r w:rsidR="002E6DD4">
        <w:rPr>
          <w:sz w:val="26"/>
          <w:szCs w:val="26"/>
        </w:rPr>
        <w:t>reported</w:t>
      </w:r>
      <w:r w:rsidR="00A54B7D" w:rsidRPr="00B93009">
        <w:rPr>
          <w:sz w:val="26"/>
          <w:szCs w:val="26"/>
        </w:rPr>
        <w:t xml:space="preserve"> compliance consumption reduction and peak demand reduction information.</w:t>
      </w:r>
      <w:r w:rsidR="002E6DD4">
        <w:rPr>
          <w:sz w:val="26"/>
          <w:szCs w:val="26"/>
        </w:rPr>
        <w:t xml:space="preserve">  </w:t>
      </w:r>
      <w:r w:rsidR="00BE1798">
        <w:rPr>
          <w:sz w:val="26"/>
          <w:szCs w:val="26"/>
        </w:rPr>
        <w:t xml:space="preserve">This report will also provide the Commission with a </w:t>
      </w:r>
      <w:r w:rsidR="002E6DD4">
        <w:rPr>
          <w:sz w:val="26"/>
          <w:szCs w:val="26"/>
        </w:rPr>
        <w:t xml:space="preserve">report to </w:t>
      </w:r>
      <w:r w:rsidR="00BE1798">
        <w:rPr>
          <w:sz w:val="26"/>
          <w:szCs w:val="26"/>
        </w:rPr>
        <w:t xml:space="preserve">submit to </w:t>
      </w:r>
      <w:r w:rsidR="002E6DD4">
        <w:rPr>
          <w:sz w:val="26"/>
          <w:szCs w:val="26"/>
        </w:rPr>
        <w:t>the Consumer Protection and Professional Licensure Committee of the Senate and the Consumer Affairs Committee of the House of Representatives</w:t>
      </w:r>
      <w:r w:rsidR="00BE1798">
        <w:rPr>
          <w:sz w:val="26"/>
          <w:szCs w:val="26"/>
        </w:rPr>
        <w:t xml:space="preserve"> in accordance with Section 2806.1(</w:t>
      </w:r>
      <w:proofErr w:type="spellStart"/>
      <w:r w:rsidR="00BE1798">
        <w:rPr>
          <w:sz w:val="26"/>
          <w:szCs w:val="26"/>
        </w:rPr>
        <w:t>i</w:t>
      </w:r>
      <w:proofErr w:type="spellEnd"/>
      <w:r w:rsidR="00BE1798">
        <w:rPr>
          <w:sz w:val="26"/>
          <w:szCs w:val="26"/>
        </w:rPr>
        <w:t xml:space="preserve">)(2) of the Act, </w:t>
      </w:r>
      <w:r w:rsidR="002E6DD4">
        <w:rPr>
          <w:sz w:val="26"/>
          <w:szCs w:val="26"/>
        </w:rPr>
        <w:t>66 Pa.</w:t>
      </w:r>
      <w:r w:rsidR="005F20BE">
        <w:rPr>
          <w:sz w:val="26"/>
          <w:szCs w:val="26"/>
        </w:rPr>
        <w:t xml:space="preserve"> </w:t>
      </w:r>
      <w:r w:rsidR="002E6DD4">
        <w:rPr>
          <w:sz w:val="26"/>
          <w:szCs w:val="26"/>
        </w:rPr>
        <w:t>C.S. § 2806.1(</w:t>
      </w:r>
      <w:proofErr w:type="spellStart"/>
      <w:r w:rsidR="002E6DD4">
        <w:rPr>
          <w:sz w:val="26"/>
          <w:szCs w:val="26"/>
        </w:rPr>
        <w:t>i</w:t>
      </w:r>
      <w:proofErr w:type="spellEnd"/>
      <w:r w:rsidR="002E6DD4">
        <w:rPr>
          <w:sz w:val="26"/>
          <w:szCs w:val="26"/>
        </w:rPr>
        <w:t>)(2)</w:t>
      </w:r>
      <w:r w:rsidR="00BE1798">
        <w:rPr>
          <w:sz w:val="26"/>
          <w:szCs w:val="26"/>
        </w:rPr>
        <w:t>.</w:t>
      </w:r>
      <w:r w:rsidR="002E6DD4">
        <w:rPr>
          <w:sz w:val="26"/>
          <w:szCs w:val="26"/>
        </w:rPr>
        <w:t xml:space="preserve"> </w:t>
      </w:r>
    </w:p>
    <w:p w:rsidR="00DC3DD5" w:rsidRDefault="00DC3DD5" w:rsidP="000E1C88">
      <w:pPr>
        <w:overflowPunct/>
        <w:spacing w:line="360" w:lineRule="auto"/>
        <w:textAlignment w:val="auto"/>
        <w:rPr>
          <w:sz w:val="26"/>
          <w:szCs w:val="26"/>
        </w:rPr>
      </w:pPr>
    </w:p>
    <w:p w:rsidR="00DC3DD5" w:rsidRDefault="00DC3DD5" w:rsidP="000E1C88">
      <w:pPr>
        <w:overflowPunct/>
        <w:spacing w:line="360" w:lineRule="auto"/>
        <w:textAlignment w:val="auto"/>
        <w:rPr>
          <w:sz w:val="26"/>
          <w:szCs w:val="26"/>
        </w:rPr>
      </w:pPr>
      <w:r>
        <w:rPr>
          <w:sz w:val="26"/>
          <w:szCs w:val="26"/>
        </w:rPr>
        <w:lastRenderedPageBreak/>
        <w:tab/>
        <w:t xml:space="preserve">On April 6, 2017, the Commission released the SWE’s Phase II Final Annual Report.  Based on Duquesne’s Petition, the SWE </w:t>
      </w:r>
      <w:r w:rsidR="0066082E">
        <w:rPr>
          <w:sz w:val="26"/>
          <w:szCs w:val="26"/>
        </w:rPr>
        <w:t>amended</w:t>
      </w:r>
      <w:r>
        <w:rPr>
          <w:sz w:val="26"/>
          <w:szCs w:val="26"/>
        </w:rPr>
        <w:t xml:space="preserve"> its Phase II Final Annual Report, which the Commission releases with this Order.</w:t>
      </w:r>
    </w:p>
    <w:p w:rsidR="00DC3DD5" w:rsidRDefault="00DC3DD5" w:rsidP="000E1C88">
      <w:pPr>
        <w:overflowPunct/>
        <w:spacing w:line="360" w:lineRule="auto"/>
        <w:textAlignment w:val="auto"/>
        <w:rPr>
          <w:sz w:val="26"/>
          <w:szCs w:val="26"/>
        </w:rPr>
      </w:pPr>
    </w:p>
    <w:p w:rsidR="00B17ADA" w:rsidRPr="00415B77" w:rsidRDefault="00B17ADA" w:rsidP="00415B77">
      <w:pPr>
        <w:pStyle w:val="Heading1"/>
        <w:spacing w:before="0" w:after="0" w:line="360" w:lineRule="auto"/>
        <w:jc w:val="center"/>
        <w:rPr>
          <w:rFonts w:ascii="Times New Roman" w:hAnsi="Times New Roman" w:cs="Times New Roman"/>
          <w:sz w:val="26"/>
          <w:szCs w:val="26"/>
        </w:rPr>
      </w:pPr>
      <w:bookmarkStart w:id="1" w:name="_Toc379466797"/>
      <w:r w:rsidRPr="00415B77">
        <w:rPr>
          <w:rFonts w:ascii="Times New Roman" w:hAnsi="Times New Roman" w:cs="Times New Roman"/>
          <w:sz w:val="26"/>
          <w:szCs w:val="26"/>
        </w:rPr>
        <w:t>DISCUSSION</w:t>
      </w:r>
      <w:bookmarkEnd w:id="1"/>
    </w:p>
    <w:p w:rsidR="00074690" w:rsidRDefault="00074690" w:rsidP="00415B77">
      <w:pPr>
        <w:pStyle w:val="p3"/>
        <w:tabs>
          <w:tab w:val="clear" w:pos="204"/>
        </w:tabs>
        <w:spacing w:line="360" w:lineRule="auto"/>
        <w:rPr>
          <w:b/>
          <w:sz w:val="26"/>
          <w:szCs w:val="26"/>
        </w:rPr>
      </w:pPr>
      <w:r>
        <w:rPr>
          <w:b/>
          <w:sz w:val="26"/>
          <w:szCs w:val="26"/>
        </w:rPr>
        <w:t>A.</w:t>
      </w:r>
      <w:r>
        <w:rPr>
          <w:b/>
          <w:sz w:val="26"/>
          <w:szCs w:val="26"/>
        </w:rPr>
        <w:tab/>
        <w:t>Compliance</w:t>
      </w:r>
    </w:p>
    <w:p w:rsidR="00074690" w:rsidRDefault="00074690" w:rsidP="00415B77">
      <w:pPr>
        <w:pStyle w:val="p3"/>
        <w:tabs>
          <w:tab w:val="clear" w:pos="204"/>
        </w:tabs>
        <w:spacing w:line="360" w:lineRule="auto"/>
        <w:rPr>
          <w:sz w:val="26"/>
          <w:szCs w:val="26"/>
        </w:rPr>
      </w:pPr>
      <w:r>
        <w:rPr>
          <w:sz w:val="26"/>
          <w:szCs w:val="26"/>
        </w:rPr>
        <w:tab/>
        <w:t xml:space="preserve">The Commission </w:t>
      </w:r>
      <w:r w:rsidR="004C4167">
        <w:rPr>
          <w:sz w:val="26"/>
          <w:szCs w:val="26"/>
        </w:rPr>
        <w:t>has reviewed the</w:t>
      </w:r>
      <w:r w:rsidR="00965565">
        <w:rPr>
          <w:sz w:val="26"/>
          <w:szCs w:val="26"/>
        </w:rPr>
        <w:t xml:space="preserve"> results provided </w:t>
      </w:r>
      <w:r w:rsidR="00BE1798">
        <w:rPr>
          <w:sz w:val="26"/>
          <w:szCs w:val="26"/>
        </w:rPr>
        <w:t>by</w:t>
      </w:r>
      <w:r w:rsidR="00965565">
        <w:rPr>
          <w:sz w:val="26"/>
          <w:szCs w:val="26"/>
        </w:rPr>
        <w:t xml:space="preserve"> </w:t>
      </w:r>
      <w:proofErr w:type="gramStart"/>
      <w:r w:rsidR="00965565">
        <w:rPr>
          <w:sz w:val="26"/>
          <w:szCs w:val="26"/>
        </w:rPr>
        <w:t>all of</w:t>
      </w:r>
      <w:proofErr w:type="gramEnd"/>
      <w:r w:rsidR="00965565">
        <w:rPr>
          <w:sz w:val="26"/>
          <w:szCs w:val="26"/>
        </w:rPr>
        <w:t xml:space="preserve"> the</w:t>
      </w:r>
      <w:r w:rsidR="004C4167">
        <w:rPr>
          <w:sz w:val="26"/>
          <w:szCs w:val="26"/>
        </w:rPr>
        <w:t xml:space="preserve"> EDCs’ </w:t>
      </w:r>
      <w:r w:rsidR="00BE1798">
        <w:rPr>
          <w:sz w:val="26"/>
          <w:szCs w:val="26"/>
        </w:rPr>
        <w:t xml:space="preserve">in their </w:t>
      </w:r>
      <w:r w:rsidR="004C4167">
        <w:rPr>
          <w:sz w:val="26"/>
          <w:szCs w:val="26"/>
        </w:rPr>
        <w:t xml:space="preserve">Final Annual Reports and the SWE’s </w:t>
      </w:r>
      <w:r w:rsidR="0066082E">
        <w:rPr>
          <w:sz w:val="26"/>
          <w:szCs w:val="26"/>
        </w:rPr>
        <w:t>Amended</w:t>
      </w:r>
      <w:r w:rsidR="0079758F">
        <w:rPr>
          <w:sz w:val="26"/>
          <w:szCs w:val="26"/>
        </w:rPr>
        <w:t xml:space="preserve"> </w:t>
      </w:r>
      <w:r w:rsidR="004C4167">
        <w:rPr>
          <w:sz w:val="26"/>
          <w:szCs w:val="26"/>
        </w:rPr>
        <w:t>Phase I</w:t>
      </w:r>
      <w:r w:rsidR="00BE61AA">
        <w:rPr>
          <w:sz w:val="26"/>
          <w:szCs w:val="26"/>
        </w:rPr>
        <w:t>I</w:t>
      </w:r>
      <w:r w:rsidR="004C4167">
        <w:rPr>
          <w:sz w:val="26"/>
          <w:szCs w:val="26"/>
        </w:rPr>
        <w:t xml:space="preserve"> Final Annual Report.  Based on this review, we</w:t>
      </w:r>
      <w:r>
        <w:rPr>
          <w:sz w:val="26"/>
          <w:szCs w:val="26"/>
        </w:rPr>
        <w:t xml:space="preserve"> have outlined below our determinations of EDC compliance with the energy consumption</w:t>
      </w:r>
      <w:r w:rsidR="000E1C88">
        <w:rPr>
          <w:sz w:val="26"/>
          <w:szCs w:val="26"/>
        </w:rPr>
        <w:t xml:space="preserve"> </w:t>
      </w:r>
      <w:r>
        <w:rPr>
          <w:sz w:val="26"/>
          <w:szCs w:val="26"/>
        </w:rPr>
        <w:t>reduction targets</w:t>
      </w:r>
      <w:r w:rsidR="005F5200">
        <w:rPr>
          <w:sz w:val="26"/>
          <w:szCs w:val="26"/>
        </w:rPr>
        <w:t xml:space="preserve">.  We have also outlined the EDCs’ performance </w:t>
      </w:r>
      <w:proofErr w:type="gramStart"/>
      <w:r w:rsidR="005F5200">
        <w:rPr>
          <w:sz w:val="26"/>
          <w:szCs w:val="26"/>
        </w:rPr>
        <w:t>with regard to</w:t>
      </w:r>
      <w:proofErr w:type="gramEnd"/>
      <w:r w:rsidR="005F5200">
        <w:rPr>
          <w:sz w:val="26"/>
          <w:szCs w:val="26"/>
        </w:rPr>
        <w:t xml:space="preserve"> the</w:t>
      </w:r>
      <w:r w:rsidR="00BE1798">
        <w:rPr>
          <w:sz w:val="26"/>
          <w:szCs w:val="26"/>
        </w:rPr>
        <w:t>ir</w:t>
      </w:r>
      <w:r w:rsidR="0077552A">
        <w:rPr>
          <w:sz w:val="26"/>
          <w:szCs w:val="26"/>
        </w:rPr>
        <w:t xml:space="preserve"> </w:t>
      </w:r>
      <w:r>
        <w:rPr>
          <w:sz w:val="26"/>
          <w:szCs w:val="26"/>
        </w:rPr>
        <w:t>government/educ</w:t>
      </w:r>
      <w:r w:rsidR="005F5200">
        <w:rPr>
          <w:sz w:val="26"/>
          <w:szCs w:val="26"/>
        </w:rPr>
        <w:t xml:space="preserve">ational/non-profit </w:t>
      </w:r>
      <w:r w:rsidR="0077552A">
        <w:rPr>
          <w:sz w:val="26"/>
          <w:szCs w:val="26"/>
        </w:rPr>
        <w:t xml:space="preserve">and low-income </w:t>
      </w:r>
      <w:r w:rsidR="005F5200">
        <w:rPr>
          <w:sz w:val="26"/>
          <w:szCs w:val="26"/>
        </w:rPr>
        <w:t>EE&amp;C Plan</w:t>
      </w:r>
      <w:r w:rsidR="00BE1798">
        <w:rPr>
          <w:sz w:val="26"/>
          <w:szCs w:val="26"/>
        </w:rPr>
        <w:t xml:space="preserve"> requirements</w:t>
      </w:r>
      <w:r w:rsidR="005F5200">
        <w:rPr>
          <w:sz w:val="26"/>
          <w:szCs w:val="26"/>
        </w:rPr>
        <w:t>.</w:t>
      </w:r>
      <w:r w:rsidR="0031368C">
        <w:rPr>
          <w:sz w:val="26"/>
          <w:szCs w:val="26"/>
        </w:rPr>
        <w:t xml:space="preserve">  The compliance determinations outlined below are </w:t>
      </w:r>
      <w:r w:rsidR="0079758F">
        <w:rPr>
          <w:sz w:val="26"/>
          <w:szCs w:val="26"/>
        </w:rPr>
        <w:t>final</w:t>
      </w:r>
      <w:r w:rsidR="00BE1798">
        <w:rPr>
          <w:sz w:val="26"/>
          <w:szCs w:val="26"/>
        </w:rPr>
        <w:t xml:space="preserve"> determinations </w:t>
      </w:r>
      <w:r w:rsidR="0079758F">
        <w:rPr>
          <w:sz w:val="26"/>
          <w:szCs w:val="26"/>
        </w:rPr>
        <w:t xml:space="preserve">as no </w:t>
      </w:r>
      <w:r w:rsidR="00BE1798">
        <w:rPr>
          <w:sz w:val="26"/>
          <w:szCs w:val="26"/>
        </w:rPr>
        <w:t xml:space="preserve">Petition </w:t>
      </w:r>
      <w:r w:rsidR="0079758F">
        <w:rPr>
          <w:sz w:val="26"/>
          <w:szCs w:val="26"/>
        </w:rPr>
        <w:t>wa</w:t>
      </w:r>
      <w:r w:rsidR="00DC1B2D">
        <w:rPr>
          <w:sz w:val="26"/>
          <w:szCs w:val="26"/>
        </w:rPr>
        <w:t xml:space="preserve">s filed in accordance with 52 Pa. Code § 5.41 </w:t>
      </w:r>
      <w:r w:rsidR="00BE1798">
        <w:rPr>
          <w:sz w:val="26"/>
          <w:szCs w:val="26"/>
        </w:rPr>
        <w:t xml:space="preserve">challenging the initial determination for a </w:t>
      </w:r>
      <w:proofErr w:type="gramStart"/>
      <w:r w:rsidR="00BE1798">
        <w:rPr>
          <w:sz w:val="26"/>
          <w:szCs w:val="26"/>
        </w:rPr>
        <w:t>particular EDC</w:t>
      </w:r>
      <w:proofErr w:type="gramEnd"/>
      <w:r w:rsidR="00BE1798">
        <w:rPr>
          <w:sz w:val="26"/>
          <w:szCs w:val="26"/>
        </w:rPr>
        <w:t xml:space="preserve"> within 20 days of the entry of </w:t>
      </w:r>
      <w:r w:rsidR="0079758F">
        <w:rPr>
          <w:sz w:val="26"/>
          <w:szCs w:val="26"/>
        </w:rPr>
        <w:t>the April 6, 2017</w:t>
      </w:r>
      <w:r w:rsidR="00BE1798">
        <w:rPr>
          <w:sz w:val="26"/>
          <w:szCs w:val="26"/>
        </w:rPr>
        <w:t xml:space="preserve"> Order</w:t>
      </w:r>
      <w:r w:rsidR="0031368C">
        <w:rPr>
          <w:sz w:val="26"/>
          <w:szCs w:val="26"/>
        </w:rPr>
        <w:t>.</w:t>
      </w:r>
    </w:p>
    <w:p w:rsidR="00EE0B71" w:rsidRDefault="00EE0B71">
      <w:pPr>
        <w:overflowPunct/>
        <w:autoSpaceDE/>
        <w:autoSpaceDN/>
        <w:adjustRightInd/>
        <w:textAlignment w:val="auto"/>
        <w:rPr>
          <w:sz w:val="26"/>
          <w:szCs w:val="26"/>
        </w:rPr>
      </w:pPr>
    </w:p>
    <w:p w:rsidR="00D76481" w:rsidRDefault="00074690" w:rsidP="00664D94">
      <w:pPr>
        <w:pStyle w:val="p3"/>
        <w:tabs>
          <w:tab w:val="clear" w:pos="204"/>
        </w:tabs>
        <w:spacing w:line="360" w:lineRule="auto"/>
        <w:ind w:firstLine="720"/>
        <w:rPr>
          <w:sz w:val="26"/>
          <w:szCs w:val="26"/>
        </w:rPr>
      </w:pPr>
      <w:r w:rsidRPr="00EE06DC">
        <w:rPr>
          <w:b/>
          <w:sz w:val="26"/>
          <w:szCs w:val="26"/>
        </w:rPr>
        <w:t>1.</w:t>
      </w:r>
      <w:r w:rsidRPr="00EE06DC">
        <w:rPr>
          <w:b/>
          <w:sz w:val="26"/>
          <w:szCs w:val="26"/>
        </w:rPr>
        <w:tab/>
      </w:r>
      <w:r w:rsidR="00DA2DF9">
        <w:rPr>
          <w:b/>
          <w:sz w:val="26"/>
          <w:szCs w:val="26"/>
        </w:rPr>
        <w:t xml:space="preserve">May 31, 2016 </w:t>
      </w:r>
      <w:r w:rsidR="007D68D7">
        <w:rPr>
          <w:b/>
          <w:sz w:val="26"/>
          <w:szCs w:val="26"/>
        </w:rPr>
        <w:t xml:space="preserve">- </w:t>
      </w:r>
      <w:r w:rsidR="00DA2DF9">
        <w:rPr>
          <w:b/>
          <w:sz w:val="26"/>
          <w:szCs w:val="26"/>
        </w:rPr>
        <w:t>Electric</w:t>
      </w:r>
      <w:r w:rsidR="00BE61AA">
        <w:rPr>
          <w:b/>
          <w:sz w:val="26"/>
          <w:szCs w:val="26"/>
        </w:rPr>
        <w:t xml:space="preserve"> </w:t>
      </w:r>
      <w:r w:rsidR="002A2892">
        <w:rPr>
          <w:b/>
          <w:sz w:val="26"/>
          <w:szCs w:val="26"/>
        </w:rPr>
        <w:t>Consumption Reduction Requirement</w:t>
      </w:r>
      <w:r w:rsidRPr="00EE06DC">
        <w:rPr>
          <w:b/>
          <w:sz w:val="26"/>
          <w:szCs w:val="26"/>
        </w:rPr>
        <w:t xml:space="preserve"> </w:t>
      </w:r>
      <w:r>
        <w:rPr>
          <w:b/>
          <w:sz w:val="26"/>
          <w:szCs w:val="26"/>
        </w:rPr>
        <w:br/>
      </w:r>
      <w:r w:rsidR="0077552A">
        <w:rPr>
          <w:sz w:val="26"/>
          <w:szCs w:val="26"/>
        </w:rPr>
        <w:tab/>
      </w:r>
      <w:r w:rsidR="004179B6" w:rsidRPr="00D76481">
        <w:rPr>
          <w:sz w:val="26"/>
          <w:szCs w:val="26"/>
        </w:rPr>
        <w:t>As outlined in the previous table, t</w:t>
      </w:r>
      <w:r w:rsidR="00105720" w:rsidRPr="00D76481">
        <w:rPr>
          <w:sz w:val="26"/>
          <w:szCs w:val="26"/>
        </w:rPr>
        <w:t xml:space="preserve">he three-year </w:t>
      </w:r>
      <w:r w:rsidR="00DA2DF9">
        <w:rPr>
          <w:sz w:val="26"/>
          <w:szCs w:val="26"/>
        </w:rPr>
        <w:t>electric</w:t>
      </w:r>
      <w:r w:rsidR="00D76481" w:rsidRPr="00D76481">
        <w:rPr>
          <w:sz w:val="26"/>
          <w:szCs w:val="26"/>
        </w:rPr>
        <w:t xml:space="preserve"> </w:t>
      </w:r>
      <w:r w:rsidR="00105720" w:rsidRPr="00D76481">
        <w:rPr>
          <w:sz w:val="26"/>
          <w:szCs w:val="26"/>
        </w:rPr>
        <w:t>consumption reduction requirements varied by EDC</w:t>
      </w:r>
      <w:r w:rsidR="004179B6" w:rsidRPr="00DA6613">
        <w:rPr>
          <w:sz w:val="26"/>
          <w:szCs w:val="26"/>
        </w:rPr>
        <w:t xml:space="preserve"> and w</w:t>
      </w:r>
      <w:r w:rsidR="004179B6" w:rsidRPr="004A0B0D">
        <w:rPr>
          <w:sz w:val="26"/>
          <w:szCs w:val="26"/>
        </w:rPr>
        <w:t>ere</w:t>
      </w:r>
      <w:r w:rsidR="00105720" w:rsidRPr="004A0B0D">
        <w:rPr>
          <w:sz w:val="26"/>
          <w:szCs w:val="26"/>
        </w:rPr>
        <w:t xml:space="preserve"> based on a</w:t>
      </w:r>
      <w:r w:rsidR="00105720" w:rsidRPr="007C502D">
        <w:rPr>
          <w:sz w:val="26"/>
          <w:szCs w:val="26"/>
        </w:rPr>
        <w:t xml:space="preserve"> specific mix of program potential, acquisi</w:t>
      </w:r>
      <w:r w:rsidR="004179B6" w:rsidRPr="00DD0141">
        <w:rPr>
          <w:sz w:val="26"/>
          <w:szCs w:val="26"/>
        </w:rPr>
        <w:t>tion costs and funding availability</w:t>
      </w:r>
      <w:r w:rsidR="00105720" w:rsidRPr="00272B1C">
        <w:rPr>
          <w:sz w:val="26"/>
          <w:szCs w:val="26"/>
        </w:rPr>
        <w:t xml:space="preserve"> under the 2% of revenue annual spending cap</w:t>
      </w:r>
      <w:r w:rsidR="004179B6" w:rsidRPr="00C060FF">
        <w:rPr>
          <w:sz w:val="26"/>
          <w:szCs w:val="26"/>
        </w:rPr>
        <w:t xml:space="preserve">.  </w:t>
      </w:r>
      <w:r w:rsidR="00664D94" w:rsidRPr="005C4A04">
        <w:rPr>
          <w:sz w:val="26"/>
          <w:szCs w:val="26"/>
        </w:rPr>
        <w:t>In addit</w:t>
      </w:r>
      <w:r w:rsidR="00D76481" w:rsidRPr="005C4A04">
        <w:rPr>
          <w:sz w:val="26"/>
          <w:szCs w:val="26"/>
        </w:rPr>
        <w:t>i</w:t>
      </w:r>
      <w:r w:rsidR="00664D94" w:rsidRPr="005C4A04">
        <w:rPr>
          <w:sz w:val="26"/>
          <w:szCs w:val="26"/>
        </w:rPr>
        <w:t>on, t</w:t>
      </w:r>
      <w:r w:rsidR="00664D94" w:rsidRPr="003B1145">
        <w:rPr>
          <w:sz w:val="26"/>
          <w:szCs w:val="26"/>
        </w:rPr>
        <w:t xml:space="preserve">he Commission </w:t>
      </w:r>
      <w:r w:rsidR="00664D94" w:rsidRPr="00D76481">
        <w:rPr>
          <w:sz w:val="26"/>
          <w:szCs w:val="26"/>
        </w:rPr>
        <w:t xml:space="preserve">allowed EDCs that achieved their Phase I three percent target before the end of Phase I to continue their programs and credit </w:t>
      </w:r>
      <w:proofErr w:type="gramStart"/>
      <w:r w:rsidR="00664D94" w:rsidRPr="00D76481">
        <w:rPr>
          <w:sz w:val="26"/>
          <w:szCs w:val="26"/>
        </w:rPr>
        <w:t>all of</w:t>
      </w:r>
      <w:proofErr w:type="gramEnd"/>
      <w:r w:rsidR="00664D94" w:rsidRPr="00D76481">
        <w:rPr>
          <w:sz w:val="26"/>
          <w:szCs w:val="26"/>
        </w:rPr>
        <w:t xml:space="preserve"> those savings above the three percent reduction target towards Phase II reduction targets</w:t>
      </w:r>
      <w:r w:rsidR="00D76481" w:rsidRPr="00D76481">
        <w:rPr>
          <w:sz w:val="26"/>
          <w:szCs w:val="26"/>
        </w:rPr>
        <w:t xml:space="preserve">. </w:t>
      </w:r>
      <w:r w:rsidR="00A64E5A">
        <w:rPr>
          <w:sz w:val="26"/>
          <w:szCs w:val="26"/>
        </w:rPr>
        <w:t xml:space="preserve"> </w:t>
      </w:r>
      <w:r w:rsidR="00D76481" w:rsidRPr="00D76481">
        <w:rPr>
          <w:sz w:val="26"/>
          <w:szCs w:val="26"/>
        </w:rPr>
        <w:t>In other words, the Commission allowed</w:t>
      </w:r>
      <w:r w:rsidR="005D5EB7">
        <w:rPr>
          <w:sz w:val="26"/>
          <w:szCs w:val="26"/>
        </w:rPr>
        <w:t xml:space="preserve"> the EDCs </w:t>
      </w:r>
      <w:r w:rsidR="00D76481" w:rsidRPr="00D76481">
        <w:rPr>
          <w:sz w:val="26"/>
          <w:szCs w:val="26"/>
        </w:rPr>
        <w:t xml:space="preserve">to </w:t>
      </w:r>
      <w:r w:rsidR="00A64E5A">
        <w:rPr>
          <w:sz w:val="26"/>
          <w:szCs w:val="26"/>
        </w:rPr>
        <w:t>“</w:t>
      </w:r>
      <w:r w:rsidR="00D76481" w:rsidRPr="00D76481">
        <w:rPr>
          <w:sz w:val="26"/>
          <w:szCs w:val="26"/>
        </w:rPr>
        <w:t>carry over</w:t>
      </w:r>
      <w:r w:rsidR="00A64E5A">
        <w:rPr>
          <w:sz w:val="26"/>
          <w:szCs w:val="26"/>
        </w:rPr>
        <w:t>”</w:t>
      </w:r>
      <w:r w:rsidR="00D76481" w:rsidRPr="00D76481">
        <w:rPr>
          <w:sz w:val="26"/>
          <w:szCs w:val="26"/>
        </w:rPr>
        <w:t xml:space="preserve"> into Phase II</w:t>
      </w:r>
      <w:r w:rsidR="00A64E5A">
        <w:rPr>
          <w:sz w:val="26"/>
          <w:szCs w:val="26"/>
        </w:rPr>
        <w:t xml:space="preserve"> the</w:t>
      </w:r>
      <w:r w:rsidR="00D76481" w:rsidRPr="00D76481">
        <w:rPr>
          <w:sz w:val="26"/>
          <w:szCs w:val="26"/>
        </w:rPr>
        <w:t xml:space="preserve"> </w:t>
      </w:r>
      <w:r w:rsidR="00A64E5A">
        <w:rPr>
          <w:sz w:val="26"/>
          <w:szCs w:val="26"/>
        </w:rPr>
        <w:t xml:space="preserve">Phase I </w:t>
      </w:r>
      <w:r w:rsidR="00D76481" w:rsidRPr="00D76481">
        <w:rPr>
          <w:sz w:val="26"/>
          <w:szCs w:val="26"/>
        </w:rPr>
        <w:t>verified energy savings that exceeded the Phase I compliance target</w:t>
      </w:r>
      <w:r w:rsidR="00664D94" w:rsidRPr="00D76481">
        <w:rPr>
          <w:sz w:val="26"/>
          <w:szCs w:val="26"/>
        </w:rPr>
        <w:t xml:space="preserve">. </w:t>
      </w:r>
      <w:r w:rsidR="00671A4C">
        <w:rPr>
          <w:sz w:val="26"/>
          <w:szCs w:val="26"/>
        </w:rPr>
        <w:t xml:space="preserve"> </w:t>
      </w:r>
      <w:r w:rsidR="00D76481" w:rsidRPr="00D76481">
        <w:rPr>
          <w:sz w:val="26"/>
          <w:szCs w:val="26"/>
        </w:rPr>
        <w:t>The Commission’s determination of compliance with the May 31, 2016,</w:t>
      </w:r>
      <w:r w:rsidR="00D76481" w:rsidRPr="00A64E5A">
        <w:rPr>
          <w:sz w:val="26"/>
          <w:szCs w:val="26"/>
        </w:rPr>
        <w:t xml:space="preserve"> </w:t>
      </w:r>
      <w:r w:rsidR="005D5EB7">
        <w:rPr>
          <w:sz w:val="26"/>
          <w:szCs w:val="26"/>
        </w:rPr>
        <w:t>portfolio</w:t>
      </w:r>
      <w:r w:rsidR="005D5EB7">
        <w:rPr>
          <w:sz w:val="26"/>
          <w:szCs w:val="26"/>
        </w:rPr>
        <w:noBreakHyphen/>
        <w:t xml:space="preserve">level </w:t>
      </w:r>
      <w:r w:rsidR="00D76481" w:rsidRPr="00DA6613">
        <w:rPr>
          <w:sz w:val="26"/>
          <w:szCs w:val="26"/>
        </w:rPr>
        <w:t>e</w:t>
      </w:r>
      <w:r w:rsidR="00DA2DF9">
        <w:rPr>
          <w:sz w:val="26"/>
          <w:szCs w:val="26"/>
        </w:rPr>
        <w:t xml:space="preserve">lectric </w:t>
      </w:r>
      <w:r w:rsidR="00D76481" w:rsidRPr="004A0B0D">
        <w:rPr>
          <w:sz w:val="26"/>
          <w:szCs w:val="26"/>
        </w:rPr>
        <w:t>consumption reduction requirement for each EDC follows.</w:t>
      </w:r>
    </w:p>
    <w:p w:rsidR="00FC05AC" w:rsidRDefault="00FC05AC" w:rsidP="009979F0">
      <w:pPr>
        <w:pStyle w:val="p3"/>
        <w:tabs>
          <w:tab w:val="clear" w:pos="204"/>
        </w:tabs>
        <w:spacing w:line="360" w:lineRule="auto"/>
        <w:rPr>
          <w:sz w:val="26"/>
          <w:szCs w:val="26"/>
        </w:rPr>
      </w:pPr>
    </w:p>
    <w:p w:rsidR="00F71395" w:rsidRDefault="00F71395" w:rsidP="009979F0">
      <w:pPr>
        <w:pStyle w:val="p3"/>
        <w:tabs>
          <w:tab w:val="clear" w:pos="204"/>
        </w:tabs>
        <w:spacing w:line="360" w:lineRule="auto"/>
        <w:rPr>
          <w:sz w:val="26"/>
          <w:szCs w:val="26"/>
        </w:rPr>
      </w:pPr>
    </w:p>
    <w:p w:rsidR="00F71395" w:rsidRDefault="00F71395" w:rsidP="009979F0">
      <w:pPr>
        <w:pStyle w:val="p3"/>
        <w:tabs>
          <w:tab w:val="clear" w:pos="204"/>
        </w:tabs>
        <w:spacing w:line="360" w:lineRule="auto"/>
        <w:rPr>
          <w:sz w:val="26"/>
          <w:szCs w:val="26"/>
        </w:rPr>
      </w:pPr>
    </w:p>
    <w:p w:rsidR="00A5154E" w:rsidRPr="004F1974" w:rsidRDefault="00A5154E" w:rsidP="00415B77">
      <w:pPr>
        <w:pStyle w:val="p3"/>
        <w:tabs>
          <w:tab w:val="clear" w:pos="204"/>
        </w:tabs>
        <w:spacing w:line="360" w:lineRule="auto"/>
        <w:rPr>
          <w:sz w:val="26"/>
          <w:szCs w:val="26"/>
        </w:rPr>
      </w:pPr>
      <w:r>
        <w:rPr>
          <w:sz w:val="26"/>
          <w:szCs w:val="26"/>
        </w:rPr>
        <w:lastRenderedPageBreak/>
        <w:tab/>
      </w:r>
      <w:r>
        <w:rPr>
          <w:sz w:val="26"/>
          <w:szCs w:val="26"/>
        </w:rPr>
        <w:tab/>
      </w:r>
      <w:r>
        <w:rPr>
          <w:b/>
          <w:sz w:val="26"/>
          <w:szCs w:val="26"/>
        </w:rPr>
        <w:t>a.</w:t>
      </w:r>
      <w:r>
        <w:rPr>
          <w:b/>
          <w:sz w:val="26"/>
          <w:szCs w:val="26"/>
        </w:rPr>
        <w:tab/>
        <w:t>Duquesne</w:t>
      </w:r>
    </w:p>
    <w:p w:rsidR="000C19D1" w:rsidRDefault="000C19D1" w:rsidP="00415B77">
      <w:pPr>
        <w:pStyle w:val="p3"/>
        <w:tabs>
          <w:tab w:val="clear" w:pos="204"/>
        </w:tabs>
        <w:spacing w:line="360" w:lineRule="auto"/>
        <w:rPr>
          <w:sz w:val="26"/>
          <w:szCs w:val="26"/>
        </w:rPr>
      </w:pPr>
      <w:r>
        <w:rPr>
          <w:sz w:val="26"/>
          <w:szCs w:val="26"/>
        </w:rPr>
        <w:tab/>
        <w:t>Duquesne was required to reduce</w:t>
      </w:r>
      <w:r w:rsidR="00E71FDA">
        <w:rPr>
          <w:sz w:val="26"/>
          <w:szCs w:val="26"/>
        </w:rPr>
        <w:t xml:space="preserve">, by May 31, </w:t>
      </w:r>
      <w:r w:rsidR="004179B6">
        <w:rPr>
          <w:sz w:val="26"/>
          <w:szCs w:val="26"/>
        </w:rPr>
        <w:t>2016</w:t>
      </w:r>
      <w:r w:rsidR="00E71FDA">
        <w:rPr>
          <w:sz w:val="26"/>
          <w:szCs w:val="26"/>
        </w:rPr>
        <w:t>,</w:t>
      </w:r>
      <w:r>
        <w:rPr>
          <w:sz w:val="26"/>
          <w:szCs w:val="26"/>
        </w:rPr>
        <w:t xml:space="preserve"> electric consumption</w:t>
      </w:r>
      <w:r w:rsidR="00E71FDA">
        <w:rPr>
          <w:sz w:val="26"/>
          <w:szCs w:val="26"/>
        </w:rPr>
        <w:t xml:space="preserve"> in its service territory</w:t>
      </w:r>
      <w:r>
        <w:rPr>
          <w:sz w:val="26"/>
          <w:szCs w:val="26"/>
        </w:rPr>
        <w:t xml:space="preserve"> by </w:t>
      </w:r>
      <w:r w:rsidR="004179B6">
        <w:rPr>
          <w:sz w:val="26"/>
          <w:szCs w:val="26"/>
        </w:rPr>
        <w:t>276,722</w:t>
      </w:r>
      <w:r w:rsidR="003E32B5">
        <w:rPr>
          <w:sz w:val="26"/>
          <w:szCs w:val="26"/>
        </w:rPr>
        <w:t xml:space="preserve"> </w:t>
      </w:r>
      <w:r>
        <w:rPr>
          <w:sz w:val="26"/>
          <w:szCs w:val="26"/>
        </w:rPr>
        <w:t>megawatt-hours (MWh).</w:t>
      </w:r>
      <w:r w:rsidR="00814196">
        <w:rPr>
          <w:rStyle w:val="FootnoteReference"/>
          <w:sz w:val="26"/>
          <w:szCs w:val="26"/>
        </w:rPr>
        <w:footnoteReference w:id="10"/>
      </w:r>
      <w:r>
        <w:rPr>
          <w:sz w:val="26"/>
          <w:szCs w:val="26"/>
        </w:rPr>
        <w:t xml:space="preserve">  Duquesne </w:t>
      </w:r>
      <w:r w:rsidR="00A5154E">
        <w:rPr>
          <w:sz w:val="26"/>
          <w:szCs w:val="26"/>
        </w:rPr>
        <w:t>reports,</w:t>
      </w:r>
      <w:r>
        <w:rPr>
          <w:sz w:val="26"/>
          <w:szCs w:val="26"/>
        </w:rPr>
        <w:t xml:space="preserve"> in its </w:t>
      </w:r>
      <w:r w:rsidR="00965565">
        <w:rPr>
          <w:sz w:val="26"/>
          <w:szCs w:val="26"/>
        </w:rPr>
        <w:t>PY</w:t>
      </w:r>
      <w:r w:rsidR="002A2892">
        <w:rPr>
          <w:sz w:val="26"/>
          <w:szCs w:val="26"/>
        </w:rPr>
        <w:t>7</w:t>
      </w:r>
      <w:r>
        <w:rPr>
          <w:sz w:val="26"/>
          <w:szCs w:val="26"/>
        </w:rPr>
        <w:t xml:space="preserve"> </w:t>
      </w:r>
      <w:r w:rsidR="001E5565">
        <w:rPr>
          <w:sz w:val="26"/>
          <w:szCs w:val="26"/>
        </w:rPr>
        <w:t>Final Annual Report</w:t>
      </w:r>
      <w:r w:rsidR="00A5154E">
        <w:rPr>
          <w:sz w:val="26"/>
          <w:szCs w:val="26"/>
        </w:rPr>
        <w:t>,</w:t>
      </w:r>
      <w:r w:rsidR="001E5565">
        <w:rPr>
          <w:sz w:val="26"/>
          <w:szCs w:val="26"/>
        </w:rPr>
        <w:t xml:space="preserve"> </w:t>
      </w:r>
      <w:r>
        <w:rPr>
          <w:sz w:val="26"/>
          <w:szCs w:val="26"/>
        </w:rPr>
        <w:t xml:space="preserve">that </w:t>
      </w:r>
      <w:r w:rsidR="00A5154E">
        <w:rPr>
          <w:sz w:val="26"/>
          <w:szCs w:val="26"/>
        </w:rPr>
        <w:t xml:space="preserve">when </w:t>
      </w:r>
      <w:r>
        <w:rPr>
          <w:sz w:val="26"/>
          <w:szCs w:val="26"/>
        </w:rPr>
        <w:t>using the savings methodologies outlined in the Technical Reference Manual (TRM),</w:t>
      </w:r>
      <w:r w:rsidR="00B2600F">
        <w:rPr>
          <w:rStyle w:val="FootnoteReference"/>
          <w:sz w:val="26"/>
          <w:szCs w:val="26"/>
        </w:rPr>
        <w:footnoteReference w:id="11"/>
      </w:r>
      <w:r>
        <w:rPr>
          <w:sz w:val="26"/>
          <w:szCs w:val="26"/>
        </w:rPr>
        <w:t xml:space="preserve"> it attained</w:t>
      </w:r>
      <w:r w:rsidR="00B2600F">
        <w:rPr>
          <w:sz w:val="26"/>
          <w:szCs w:val="26"/>
        </w:rPr>
        <w:t xml:space="preserve"> </w:t>
      </w:r>
      <w:r w:rsidR="00A5154E">
        <w:rPr>
          <w:sz w:val="26"/>
          <w:szCs w:val="26"/>
        </w:rPr>
        <w:t xml:space="preserve">a reduction of </w:t>
      </w:r>
      <w:r w:rsidR="001C0C4D">
        <w:rPr>
          <w:sz w:val="26"/>
          <w:szCs w:val="26"/>
        </w:rPr>
        <w:t>510,965</w:t>
      </w:r>
      <w:r w:rsidR="003E32B5">
        <w:rPr>
          <w:sz w:val="26"/>
          <w:szCs w:val="26"/>
        </w:rPr>
        <w:t xml:space="preserve"> </w:t>
      </w:r>
      <w:r w:rsidR="00A5154E">
        <w:rPr>
          <w:sz w:val="26"/>
          <w:szCs w:val="26"/>
        </w:rPr>
        <w:t xml:space="preserve">MWh </w:t>
      </w:r>
      <w:r w:rsidR="00B2600F">
        <w:rPr>
          <w:sz w:val="26"/>
          <w:szCs w:val="26"/>
        </w:rPr>
        <w:t xml:space="preserve">in electric consumption </w:t>
      </w:r>
      <w:r w:rsidR="00907CBC">
        <w:rPr>
          <w:sz w:val="26"/>
          <w:szCs w:val="26"/>
        </w:rPr>
        <w:t>as of</w:t>
      </w:r>
      <w:r w:rsidR="00A5154E">
        <w:rPr>
          <w:sz w:val="26"/>
          <w:szCs w:val="26"/>
        </w:rPr>
        <w:t xml:space="preserve"> May 31, </w:t>
      </w:r>
      <w:r w:rsidR="002A2892">
        <w:rPr>
          <w:sz w:val="26"/>
          <w:szCs w:val="26"/>
        </w:rPr>
        <w:t>2016</w:t>
      </w:r>
      <w:r w:rsidR="00BF53B6">
        <w:rPr>
          <w:sz w:val="26"/>
          <w:szCs w:val="26"/>
        </w:rPr>
        <w:t>, including carryover savings from Phase I</w:t>
      </w:r>
      <w:r w:rsidR="00965565">
        <w:rPr>
          <w:sz w:val="26"/>
          <w:szCs w:val="26"/>
        </w:rPr>
        <w:t>.</w:t>
      </w:r>
      <w:r w:rsidR="00965565">
        <w:rPr>
          <w:rStyle w:val="FootnoteReference"/>
          <w:sz w:val="26"/>
          <w:szCs w:val="26"/>
        </w:rPr>
        <w:footnoteReference w:id="12"/>
      </w:r>
      <w:r w:rsidR="00B2600F">
        <w:rPr>
          <w:sz w:val="26"/>
          <w:szCs w:val="26"/>
        </w:rPr>
        <w:t xml:space="preserve">  In its Phase I</w:t>
      </w:r>
      <w:r w:rsidR="002A2892">
        <w:rPr>
          <w:sz w:val="26"/>
          <w:szCs w:val="26"/>
        </w:rPr>
        <w:t>I</w:t>
      </w:r>
      <w:r w:rsidR="00B2600F">
        <w:rPr>
          <w:sz w:val="26"/>
          <w:szCs w:val="26"/>
        </w:rPr>
        <w:t xml:space="preserve"> Final Annual Report, the SWE </w:t>
      </w:r>
      <w:r w:rsidR="00632296">
        <w:rPr>
          <w:sz w:val="26"/>
          <w:szCs w:val="26"/>
        </w:rPr>
        <w:t>validate</w:t>
      </w:r>
      <w:r w:rsidR="00710D9B">
        <w:rPr>
          <w:sz w:val="26"/>
          <w:szCs w:val="26"/>
        </w:rPr>
        <w:t>d</w:t>
      </w:r>
      <w:r w:rsidR="00632296">
        <w:rPr>
          <w:sz w:val="26"/>
          <w:szCs w:val="26"/>
        </w:rPr>
        <w:t xml:space="preserve"> </w:t>
      </w:r>
      <w:r w:rsidR="00B2600F">
        <w:rPr>
          <w:sz w:val="26"/>
          <w:szCs w:val="26"/>
        </w:rPr>
        <w:t xml:space="preserve">Duquesne’s reported </w:t>
      </w:r>
      <w:r w:rsidR="009E48F8">
        <w:rPr>
          <w:sz w:val="26"/>
          <w:szCs w:val="26"/>
        </w:rPr>
        <w:t>TRM</w:t>
      </w:r>
      <w:r w:rsidR="0079758F">
        <w:rPr>
          <w:sz w:val="26"/>
          <w:szCs w:val="26"/>
        </w:rPr>
        <w:noBreakHyphen/>
      </w:r>
      <w:r w:rsidR="009E48F8">
        <w:rPr>
          <w:sz w:val="26"/>
          <w:szCs w:val="26"/>
        </w:rPr>
        <w:t xml:space="preserve">verified </w:t>
      </w:r>
      <w:r w:rsidR="00B2600F">
        <w:rPr>
          <w:sz w:val="26"/>
          <w:szCs w:val="26"/>
        </w:rPr>
        <w:t xml:space="preserve">savings of </w:t>
      </w:r>
      <w:r w:rsidR="001C0C4D">
        <w:rPr>
          <w:sz w:val="26"/>
          <w:szCs w:val="26"/>
        </w:rPr>
        <w:t>510,965</w:t>
      </w:r>
      <w:r w:rsidR="00B2600F">
        <w:rPr>
          <w:sz w:val="26"/>
          <w:szCs w:val="26"/>
        </w:rPr>
        <w:t xml:space="preserve"> MWh and </w:t>
      </w:r>
      <w:r w:rsidR="00814196">
        <w:rPr>
          <w:sz w:val="26"/>
          <w:szCs w:val="26"/>
        </w:rPr>
        <w:t>note</w:t>
      </w:r>
      <w:r w:rsidR="00710D9B">
        <w:rPr>
          <w:sz w:val="26"/>
          <w:szCs w:val="26"/>
        </w:rPr>
        <w:t>d</w:t>
      </w:r>
      <w:r w:rsidR="00B2600F">
        <w:rPr>
          <w:sz w:val="26"/>
          <w:szCs w:val="26"/>
        </w:rPr>
        <w:t xml:space="preserve"> that this </w:t>
      </w:r>
      <w:r w:rsidR="00632296">
        <w:rPr>
          <w:sz w:val="26"/>
          <w:szCs w:val="26"/>
        </w:rPr>
        <w:t>amounts to</w:t>
      </w:r>
      <w:r w:rsidR="00B2600F">
        <w:rPr>
          <w:sz w:val="26"/>
          <w:szCs w:val="26"/>
        </w:rPr>
        <w:t xml:space="preserve"> </w:t>
      </w:r>
      <w:r w:rsidR="002A2892">
        <w:rPr>
          <w:sz w:val="26"/>
          <w:szCs w:val="26"/>
        </w:rPr>
        <w:t>185</w:t>
      </w:r>
      <w:r w:rsidR="00B2600F">
        <w:rPr>
          <w:sz w:val="26"/>
          <w:szCs w:val="26"/>
        </w:rPr>
        <w:t xml:space="preserve">% of Duquesne’s </w:t>
      </w:r>
      <w:r w:rsidR="0081303D">
        <w:rPr>
          <w:sz w:val="26"/>
          <w:szCs w:val="26"/>
        </w:rPr>
        <w:t xml:space="preserve">electric </w:t>
      </w:r>
      <w:r w:rsidR="002A2892">
        <w:rPr>
          <w:sz w:val="26"/>
          <w:szCs w:val="26"/>
        </w:rPr>
        <w:t>consumption</w:t>
      </w:r>
      <w:r w:rsidR="00B2600F">
        <w:rPr>
          <w:sz w:val="26"/>
          <w:szCs w:val="26"/>
        </w:rPr>
        <w:t xml:space="preserve"> </w:t>
      </w:r>
      <w:r w:rsidR="002A2892">
        <w:rPr>
          <w:sz w:val="26"/>
          <w:szCs w:val="26"/>
        </w:rPr>
        <w:t xml:space="preserve">reduction </w:t>
      </w:r>
      <w:r w:rsidR="00632296">
        <w:rPr>
          <w:sz w:val="26"/>
          <w:szCs w:val="26"/>
        </w:rPr>
        <w:t>requirement</w:t>
      </w:r>
      <w:r w:rsidR="00B2600F">
        <w:rPr>
          <w:sz w:val="26"/>
          <w:szCs w:val="26"/>
        </w:rPr>
        <w:t>.</w:t>
      </w:r>
      <w:r w:rsidR="00B2600F">
        <w:rPr>
          <w:rStyle w:val="FootnoteReference"/>
          <w:sz w:val="26"/>
          <w:szCs w:val="26"/>
        </w:rPr>
        <w:footnoteReference w:id="13"/>
      </w:r>
      <w:r w:rsidR="00814196">
        <w:rPr>
          <w:sz w:val="26"/>
          <w:szCs w:val="26"/>
        </w:rPr>
        <w:t xml:space="preserve">  </w:t>
      </w:r>
      <w:r w:rsidR="006018A7">
        <w:rPr>
          <w:sz w:val="26"/>
          <w:szCs w:val="26"/>
        </w:rPr>
        <w:t>In the April, 2017 Order, t</w:t>
      </w:r>
      <w:r w:rsidR="00814196">
        <w:rPr>
          <w:sz w:val="26"/>
          <w:szCs w:val="26"/>
        </w:rPr>
        <w:t>he Commission agree</w:t>
      </w:r>
      <w:r w:rsidR="006018A7">
        <w:rPr>
          <w:sz w:val="26"/>
          <w:szCs w:val="26"/>
        </w:rPr>
        <w:t>d</w:t>
      </w:r>
      <w:r w:rsidR="00814196">
        <w:rPr>
          <w:sz w:val="26"/>
          <w:szCs w:val="26"/>
        </w:rPr>
        <w:t xml:space="preserve"> with the TRM-verified savings reported by Duquesne and confirmed by the SWE and </w:t>
      </w:r>
      <w:r w:rsidR="006018A7">
        <w:rPr>
          <w:sz w:val="26"/>
          <w:szCs w:val="26"/>
        </w:rPr>
        <w:t>initially deemed</w:t>
      </w:r>
      <w:r w:rsidR="00814196">
        <w:rPr>
          <w:sz w:val="26"/>
          <w:szCs w:val="26"/>
        </w:rPr>
        <w:t xml:space="preserve"> Duquesne to be in compliance with the May 31, </w:t>
      </w:r>
      <w:r w:rsidR="002A2892">
        <w:rPr>
          <w:sz w:val="26"/>
          <w:szCs w:val="26"/>
        </w:rPr>
        <w:t>2016</w:t>
      </w:r>
      <w:r w:rsidR="00632296">
        <w:rPr>
          <w:sz w:val="26"/>
          <w:szCs w:val="26"/>
        </w:rPr>
        <w:t>,</w:t>
      </w:r>
      <w:r w:rsidR="00814196">
        <w:rPr>
          <w:sz w:val="26"/>
          <w:szCs w:val="26"/>
        </w:rPr>
        <w:t xml:space="preserve">  </w:t>
      </w:r>
      <w:r w:rsidR="00DA2DF9">
        <w:rPr>
          <w:sz w:val="26"/>
          <w:szCs w:val="26"/>
        </w:rPr>
        <w:t>electric</w:t>
      </w:r>
      <w:r w:rsidR="00BD70A0">
        <w:rPr>
          <w:sz w:val="26"/>
          <w:szCs w:val="26"/>
        </w:rPr>
        <w:t xml:space="preserve"> </w:t>
      </w:r>
      <w:r w:rsidR="00814196">
        <w:rPr>
          <w:sz w:val="26"/>
          <w:szCs w:val="26"/>
        </w:rPr>
        <w:t xml:space="preserve">consumption reduction </w:t>
      </w:r>
      <w:r w:rsidR="00632296">
        <w:rPr>
          <w:sz w:val="26"/>
          <w:szCs w:val="26"/>
        </w:rPr>
        <w:t>requirement</w:t>
      </w:r>
      <w:r w:rsidR="00814196">
        <w:rPr>
          <w:sz w:val="26"/>
          <w:szCs w:val="26"/>
        </w:rPr>
        <w:t>.</w:t>
      </w:r>
    </w:p>
    <w:p w:rsidR="006018A7" w:rsidRDefault="006018A7" w:rsidP="00415B77">
      <w:pPr>
        <w:pStyle w:val="p3"/>
        <w:tabs>
          <w:tab w:val="clear" w:pos="204"/>
        </w:tabs>
        <w:spacing w:line="360" w:lineRule="auto"/>
        <w:rPr>
          <w:sz w:val="26"/>
          <w:szCs w:val="26"/>
        </w:rPr>
      </w:pPr>
    </w:p>
    <w:p w:rsidR="006018A7" w:rsidRDefault="006018A7" w:rsidP="006018A7">
      <w:pPr>
        <w:spacing w:line="360" w:lineRule="auto"/>
        <w:ind w:firstLine="720"/>
        <w:rPr>
          <w:sz w:val="26"/>
          <w:szCs w:val="26"/>
        </w:rPr>
      </w:pPr>
      <w:r>
        <w:rPr>
          <w:sz w:val="26"/>
          <w:szCs w:val="26"/>
        </w:rPr>
        <w:t xml:space="preserve">However, on April 28, 2017, Duquesne filed a Petition for Reconsideration </w:t>
      </w:r>
      <w:r>
        <w:rPr>
          <w:i/>
          <w:sz w:val="26"/>
          <w:szCs w:val="26"/>
        </w:rPr>
        <w:t xml:space="preserve">Nunc Pro </w:t>
      </w:r>
      <w:proofErr w:type="spellStart"/>
      <w:r>
        <w:rPr>
          <w:i/>
          <w:sz w:val="26"/>
          <w:szCs w:val="26"/>
        </w:rPr>
        <w:t>T</w:t>
      </w:r>
      <w:r w:rsidRPr="00F51A3C">
        <w:rPr>
          <w:i/>
          <w:sz w:val="26"/>
          <w:szCs w:val="26"/>
        </w:rPr>
        <w:t>un</w:t>
      </w:r>
      <w:r>
        <w:rPr>
          <w:i/>
          <w:sz w:val="26"/>
          <w:szCs w:val="26"/>
        </w:rPr>
        <w:t>c</w:t>
      </w:r>
      <w:proofErr w:type="spellEnd"/>
      <w:r>
        <w:rPr>
          <w:i/>
          <w:sz w:val="26"/>
          <w:szCs w:val="26"/>
        </w:rPr>
        <w:t xml:space="preserve"> </w:t>
      </w:r>
      <w:r>
        <w:rPr>
          <w:sz w:val="26"/>
          <w:szCs w:val="26"/>
        </w:rPr>
        <w:t>to contest initial determinations of a portion of the April 6, 2017 Order (Duquesne Petition).</w:t>
      </w:r>
      <w:r>
        <w:rPr>
          <w:rStyle w:val="FootnoteReference"/>
          <w:sz w:val="26"/>
          <w:szCs w:val="26"/>
        </w:rPr>
        <w:footnoteReference w:id="14"/>
      </w:r>
      <w:r>
        <w:rPr>
          <w:sz w:val="26"/>
          <w:szCs w:val="26"/>
        </w:rPr>
        <w:t xml:space="preserve">  Duquesne states in its petition that it identified a small error in its calculations of one of its low-income program realization rates.  Correcting this error decreases the “Low Income Verified Gross Savings from Low Income Programs” by 59 MWh from 5,495 MWh to 5,436 MWh.</w:t>
      </w:r>
      <w:r w:rsidRPr="005B5E2A">
        <w:rPr>
          <w:rStyle w:val="FootnoteReference"/>
          <w:sz w:val="26"/>
          <w:szCs w:val="26"/>
        </w:rPr>
        <w:footnoteReference w:id="15"/>
      </w:r>
      <w:r w:rsidRPr="005B5E2A">
        <w:rPr>
          <w:sz w:val="26"/>
          <w:szCs w:val="26"/>
        </w:rPr>
        <w:t xml:space="preserve">  In its Amended Phase II Final Annual Report,</w:t>
      </w:r>
      <w:r w:rsidRPr="00902C1B">
        <w:rPr>
          <w:sz w:val="26"/>
          <w:szCs w:val="26"/>
        </w:rPr>
        <w:t xml:space="preserve"> the SWE validates Duquesne’s</w:t>
      </w:r>
      <w:r>
        <w:rPr>
          <w:sz w:val="26"/>
          <w:szCs w:val="26"/>
        </w:rPr>
        <w:t xml:space="preserve"> “Low Income Verified Gross Savings from Low Income Programs” of 5,436 MWh, which consequentially reduces </w:t>
      </w:r>
      <w:r w:rsidRPr="00C060FF">
        <w:rPr>
          <w:sz w:val="26"/>
          <w:szCs w:val="26"/>
        </w:rPr>
        <w:t xml:space="preserve">Duquesne’s TRM-verified savings </w:t>
      </w:r>
      <w:r>
        <w:rPr>
          <w:sz w:val="26"/>
          <w:szCs w:val="26"/>
        </w:rPr>
        <w:t>from 510,965</w:t>
      </w:r>
      <w:r w:rsidRPr="00C060FF">
        <w:rPr>
          <w:sz w:val="26"/>
          <w:szCs w:val="26"/>
        </w:rPr>
        <w:t xml:space="preserve"> MWh</w:t>
      </w:r>
      <w:r>
        <w:rPr>
          <w:sz w:val="26"/>
          <w:szCs w:val="26"/>
        </w:rPr>
        <w:t xml:space="preserve"> to 510,906 </w:t>
      </w:r>
      <w:r w:rsidRPr="008B3978">
        <w:rPr>
          <w:sz w:val="26"/>
          <w:szCs w:val="26"/>
        </w:rPr>
        <w:t>MWh.</w:t>
      </w:r>
      <w:r w:rsidRPr="008B3978">
        <w:rPr>
          <w:rStyle w:val="FootnoteReference"/>
          <w:sz w:val="26"/>
          <w:szCs w:val="26"/>
        </w:rPr>
        <w:footnoteReference w:id="16"/>
      </w:r>
      <w:r>
        <w:rPr>
          <w:sz w:val="26"/>
          <w:szCs w:val="26"/>
        </w:rPr>
        <w:t xml:space="preserve">  The Commission agrees with the </w:t>
      </w:r>
      <w:r>
        <w:rPr>
          <w:sz w:val="26"/>
          <w:szCs w:val="26"/>
        </w:rPr>
        <w:lastRenderedPageBreak/>
        <w:t>TRM</w:t>
      </w:r>
      <w:r>
        <w:rPr>
          <w:sz w:val="26"/>
          <w:szCs w:val="26"/>
        </w:rPr>
        <w:noBreakHyphen/>
        <w:t>verified savings reported and corrected by Duquesne in its petition, confirmed by the SWE and deems Duquesne to be in compliance with the May 31, 2016, electric consumption reduction requirement.</w:t>
      </w:r>
    </w:p>
    <w:p w:rsidR="009979F0" w:rsidRDefault="009979F0" w:rsidP="00814196">
      <w:pPr>
        <w:pStyle w:val="p3"/>
        <w:tabs>
          <w:tab w:val="clear" w:pos="204"/>
        </w:tabs>
        <w:spacing w:line="360" w:lineRule="auto"/>
        <w:rPr>
          <w:sz w:val="26"/>
          <w:szCs w:val="26"/>
        </w:rPr>
      </w:pPr>
    </w:p>
    <w:p w:rsidR="00632296" w:rsidRDefault="00632296" w:rsidP="00814196">
      <w:pPr>
        <w:pStyle w:val="p3"/>
        <w:tabs>
          <w:tab w:val="clear" w:pos="204"/>
        </w:tabs>
        <w:spacing w:line="360" w:lineRule="auto"/>
        <w:rPr>
          <w:sz w:val="26"/>
          <w:szCs w:val="26"/>
        </w:rPr>
      </w:pPr>
      <w:r>
        <w:rPr>
          <w:sz w:val="26"/>
          <w:szCs w:val="26"/>
        </w:rPr>
        <w:tab/>
      </w:r>
      <w:r>
        <w:rPr>
          <w:sz w:val="26"/>
          <w:szCs w:val="26"/>
        </w:rPr>
        <w:tab/>
      </w:r>
      <w:r>
        <w:rPr>
          <w:b/>
          <w:sz w:val="26"/>
          <w:szCs w:val="26"/>
        </w:rPr>
        <w:t>b.</w:t>
      </w:r>
      <w:r>
        <w:rPr>
          <w:b/>
          <w:sz w:val="26"/>
          <w:szCs w:val="26"/>
        </w:rPr>
        <w:tab/>
        <w:t>Met-Ed</w:t>
      </w:r>
    </w:p>
    <w:p w:rsidR="00814196" w:rsidRDefault="00814196" w:rsidP="00814196">
      <w:pPr>
        <w:pStyle w:val="p3"/>
        <w:tabs>
          <w:tab w:val="clear" w:pos="204"/>
        </w:tabs>
        <w:spacing w:line="360" w:lineRule="auto"/>
        <w:rPr>
          <w:sz w:val="26"/>
          <w:szCs w:val="26"/>
        </w:rPr>
      </w:pPr>
      <w:r>
        <w:rPr>
          <w:sz w:val="26"/>
          <w:szCs w:val="26"/>
        </w:rPr>
        <w:tab/>
        <w:t>Met-Ed was required to reduce</w:t>
      </w:r>
      <w:r w:rsidR="00E71FDA">
        <w:rPr>
          <w:sz w:val="26"/>
          <w:szCs w:val="26"/>
        </w:rPr>
        <w:t xml:space="preserve">, by May 31, </w:t>
      </w:r>
      <w:r w:rsidR="000519F0">
        <w:rPr>
          <w:sz w:val="26"/>
          <w:szCs w:val="26"/>
        </w:rPr>
        <w:t>2016</w:t>
      </w:r>
      <w:r w:rsidR="00E71FDA">
        <w:rPr>
          <w:sz w:val="26"/>
          <w:szCs w:val="26"/>
        </w:rPr>
        <w:t>,</w:t>
      </w:r>
      <w:r>
        <w:rPr>
          <w:sz w:val="26"/>
          <w:szCs w:val="26"/>
        </w:rPr>
        <w:t xml:space="preserve"> electric consumption </w:t>
      </w:r>
      <w:r w:rsidR="00E71FDA">
        <w:rPr>
          <w:sz w:val="26"/>
          <w:szCs w:val="26"/>
        </w:rPr>
        <w:t>in its service territory by</w:t>
      </w:r>
      <w:r>
        <w:rPr>
          <w:sz w:val="26"/>
          <w:szCs w:val="26"/>
        </w:rPr>
        <w:t xml:space="preserve"> </w:t>
      </w:r>
      <w:r w:rsidR="000519F0">
        <w:rPr>
          <w:kern w:val="1"/>
          <w:sz w:val="26"/>
        </w:rPr>
        <w:t>337,753</w:t>
      </w:r>
      <w:r>
        <w:rPr>
          <w:kern w:val="1"/>
          <w:sz w:val="26"/>
        </w:rPr>
        <w:t xml:space="preserve"> </w:t>
      </w:r>
      <w:r>
        <w:rPr>
          <w:sz w:val="26"/>
          <w:szCs w:val="26"/>
        </w:rPr>
        <w:t>MWh.</w:t>
      </w:r>
      <w:r w:rsidR="001E5565">
        <w:rPr>
          <w:rStyle w:val="FootnoteReference"/>
          <w:sz w:val="26"/>
          <w:szCs w:val="26"/>
        </w:rPr>
        <w:footnoteReference w:id="17"/>
      </w:r>
      <w:r>
        <w:rPr>
          <w:sz w:val="26"/>
          <w:szCs w:val="26"/>
        </w:rPr>
        <w:t xml:space="preserve">  Met-Ed </w:t>
      </w:r>
      <w:r w:rsidR="00632296">
        <w:rPr>
          <w:sz w:val="26"/>
          <w:szCs w:val="26"/>
        </w:rPr>
        <w:t>reports,</w:t>
      </w:r>
      <w:r w:rsidR="001E5565">
        <w:rPr>
          <w:sz w:val="26"/>
          <w:szCs w:val="26"/>
        </w:rPr>
        <w:t xml:space="preserve"> in its PY</w:t>
      </w:r>
      <w:r w:rsidR="000519F0">
        <w:rPr>
          <w:sz w:val="26"/>
          <w:szCs w:val="26"/>
        </w:rPr>
        <w:t>7</w:t>
      </w:r>
      <w:r w:rsidR="001E5565">
        <w:rPr>
          <w:sz w:val="26"/>
          <w:szCs w:val="26"/>
        </w:rPr>
        <w:t xml:space="preserve"> Final Annual </w:t>
      </w:r>
      <w:r w:rsidR="00EE06DC">
        <w:rPr>
          <w:sz w:val="26"/>
          <w:szCs w:val="26"/>
        </w:rPr>
        <w:t>R</w:t>
      </w:r>
      <w:r w:rsidR="001E5565">
        <w:rPr>
          <w:sz w:val="26"/>
          <w:szCs w:val="26"/>
        </w:rPr>
        <w:t>eport</w:t>
      </w:r>
      <w:r w:rsidR="00632296">
        <w:rPr>
          <w:sz w:val="26"/>
          <w:szCs w:val="26"/>
        </w:rPr>
        <w:t>,</w:t>
      </w:r>
      <w:r w:rsidR="001E5565">
        <w:rPr>
          <w:sz w:val="26"/>
          <w:szCs w:val="26"/>
        </w:rPr>
        <w:t xml:space="preserve"> </w:t>
      </w:r>
      <w:r w:rsidR="00632296">
        <w:rPr>
          <w:sz w:val="26"/>
          <w:szCs w:val="26"/>
        </w:rPr>
        <w:t xml:space="preserve">it attained </w:t>
      </w:r>
      <w:r w:rsidR="001E5565">
        <w:rPr>
          <w:sz w:val="26"/>
          <w:szCs w:val="26"/>
        </w:rPr>
        <w:t xml:space="preserve">a TRM-verified </w:t>
      </w:r>
      <w:r w:rsidR="00632296">
        <w:rPr>
          <w:sz w:val="26"/>
          <w:szCs w:val="26"/>
        </w:rPr>
        <w:t>reduction</w:t>
      </w:r>
      <w:r w:rsidR="001E5565">
        <w:rPr>
          <w:sz w:val="26"/>
          <w:szCs w:val="26"/>
        </w:rPr>
        <w:t xml:space="preserve"> of </w:t>
      </w:r>
      <w:r w:rsidR="000519F0">
        <w:rPr>
          <w:sz w:val="26"/>
          <w:szCs w:val="26"/>
        </w:rPr>
        <w:t>415,422</w:t>
      </w:r>
      <w:r w:rsidR="001E5565">
        <w:rPr>
          <w:sz w:val="26"/>
          <w:szCs w:val="26"/>
        </w:rPr>
        <w:t xml:space="preserve"> MWh</w:t>
      </w:r>
      <w:r w:rsidR="00632296">
        <w:rPr>
          <w:sz w:val="26"/>
          <w:szCs w:val="26"/>
        </w:rPr>
        <w:t xml:space="preserve"> in electric consumption </w:t>
      </w:r>
      <w:r w:rsidR="00907CBC">
        <w:rPr>
          <w:sz w:val="26"/>
          <w:szCs w:val="26"/>
        </w:rPr>
        <w:t>as of</w:t>
      </w:r>
      <w:r w:rsidR="00632296">
        <w:rPr>
          <w:sz w:val="26"/>
          <w:szCs w:val="26"/>
        </w:rPr>
        <w:t xml:space="preserve"> May 31, </w:t>
      </w:r>
      <w:r w:rsidR="000519F0">
        <w:rPr>
          <w:sz w:val="26"/>
          <w:szCs w:val="26"/>
        </w:rPr>
        <w:t>2016</w:t>
      </w:r>
      <w:r w:rsidR="00D76481">
        <w:rPr>
          <w:sz w:val="26"/>
          <w:szCs w:val="26"/>
        </w:rPr>
        <w:t>,</w:t>
      </w:r>
      <w:r w:rsidR="00D76481" w:rsidRPr="00D76481">
        <w:rPr>
          <w:sz w:val="26"/>
          <w:szCs w:val="26"/>
        </w:rPr>
        <w:t xml:space="preserve"> </w:t>
      </w:r>
      <w:r w:rsidR="00D76481">
        <w:rPr>
          <w:sz w:val="26"/>
          <w:szCs w:val="26"/>
        </w:rPr>
        <w:t>including carryover savings from Phase I</w:t>
      </w:r>
      <w:r>
        <w:rPr>
          <w:sz w:val="26"/>
          <w:szCs w:val="26"/>
        </w:rPr>
        <w:t>.</w:t>
      </w:r>
      <w:r>
        <w:rPr>
          <w:rStyle w:val="FootnoteReference"/>
          <w:sz w:val="26"/>
          <w:szCs w:val="26"/>
        </w:rPr>
        <w:footnoteReference w:id="18"/>
      </w:r>
      <w:r>
        <w:rPr>
          <w:sz w:val="26"/>
          <w:szCs w:val="26"/>
        </w:rPr>
        <w:t xml:space="preserve">  In its </w:t>
      </w:r>
      <w:r w:rsidR="0066082E">
        <w:rPr>
          <w:sz w:val="26"/>
          <w:szCs w:val="26"/>
        </w:rPr>
        <w:t>Amended</w:t>
      </w:r>
      <w:r w:rsidR="00D70958">
        <w:rPr>
          <w:sz w:val="26"/>
          <w:szCs w:val="26"/>
        </w:rPr>
        <w:t xml:space="preserve"> </w:t>
      </w:r>
      <w:r>
        <w:rPr>
          <w:sz w:val="26"/>
          <w:szCs w:val="26"/>
        </w:rPr>
        <w:t>Phase I</w:t>
      </w:r>
      <w:r w:rsidR="000519F0">
        <w:rPr>
          <w:sz w:val="26"/>
          <w:szCs w:val="26"/>
        </w:rPr>
        <w:t>I</w:t>
      </w:r>
      <w:r>
        <w:rPr>
          <w:sz w:val="26"/>
          <w:szCs w:val="26"/>
        </w:rPr>
        <w:t xml:space="preserve"> Final Annual Report, the SWE </w:t>
      </w:r>
      <w:r w:rsidR="00632296">
        <w:rPr>
          <w:sz w:val="26"/>
          <w:szCs w:val="26"/>
        </w:rPr>
        <w:t>validates</w:t>
      </w:r>
      <w:r>
        <w:rPr>
          <w:sz w:val="26"/>
          <w:szCs w:val="26"/>
        </w:rPr>
        <w:t xml:space="preserve"> </w:t>
      </w:r>
      <w:r w:rsidR="00EE06DC">
        <w:rPr>
          <w:sz w:val="26"/>
          <w:szCs w:val="26"/>
        </w:rPr>
        <w:t>Met-Ed’s</w:t>
      </w:r>
      <w:r>
        <w:rPr>
          <w:sz w:val="26"/>
          <w:szCs w:val="26"/>
        </w:rPr>
        <w:t xml:space="preserve"> reported</w:t>
      </w:r>
      <w:r w:rsidR="009E48F8">
        <w:rPr>
          <w:sz w:val="26"/>
          <w:szCs w:val="26"/>
        </w:rPr>
        <w:t xml:space="preserve"> TRM-</w:t>
      </w:r>
      <w:r w:rsidR="0081303D">
        <w:rPr>
          <w:sz w:val="26"/>
          <w:szCs w:val="26"/>
        </w:rPr>
        <w:t>verified savings</w:t>
      </w:r>
      <w:r>
        <w:rPr>
          <w:sz w:val="26"/>
          <w:szCs w:val="26"/>
        </w:rPr>
        <w:t xml:space="preserve"> of </w:t>
      </w:r>
      <w:r w:rsidR="000519F0">
        <w:rPr>
          <w:sz w:val="26"/>
          <w:szCs w:val="26"/>
        </w:rPr>
        <w:t>415,422</w:t>
      </w:r>
      <w:r>
        <w:rPr>
          <w:sz w:val="26"/>
          <w:szCs w:val="26"/>
        </w:rPr>
        <w:t xml:space="preserve"> MWh and notes that this </w:t>
      </w:r>
      <w:r w:rsidR="00632296">
        <w:rPr>
          <w:sz w:val="26"/>
          <w:szCs w:val="26"/>
        </w:rPr>
        <w:t>amounts to</w:t>
      </w:r>
      <w:r>
        <w:rPr>
          <w:sz w:val="26"/>
          <w:szCs w:val="26"/>
        </w:rPr>
        <w:t xml:space="preserve"> </w:t>
      </w:r>
      <w:r w:rsidR="000519F0">
        <w:rPr>
          <w:sz w:val="26"/>
          <w:szCs w:val="26"/>
        </w:rPr>
        <w:t>123</w:t>
      </w:r>
      <w:r>
        <w:rPr>
          <w:sz w:val="26"/>
          <w:szCs w:val="26"/>
        </w:rPr>
        <w:t>% of</w:t>
      </w:r>
      <w:r w:rsidR="00EE06DC">
        <w:rPr>
          <w:sz w:val="26"/>
          <w:szCs w:val="26"/>
        </w:rPr>
        <w:t xml:space="preserve"> Met-Ed</w:t>
      </w:r>
      <w:r>
        <w:rPr>
          <w:sz w:val="26"/>
          <w:szCs w:val="26"/>
        </w:rPr>
        <w:t xml:space="preserve">’s </w:t>
      </w:r>
      <w:r w:rsidR="0081303D">
        <w:rPr>
          <w:sz w:val="26"/>
          <w:szCs w:val="26"/>
        </w:rPr>
        <w:t xml:space="preserve">electric </w:t>
      </w:r>
      <w:r w:rsidR="000519F0">
        <w:rPr>
          <w:sz w:val="26"/>
          <w:szCs w:val="26"/>
        </w:rPr>
        <w:t>consumption</w:t>
      </w:r>
      <w:r>
        <w:rPr>
          <w:sz w:val="26"/>
          <w:szCs w:val="26"/>
        </w:rPr>
        <w:t xml:space="preserve"> </w:t>
      </w:r>
      <w:r w:rsidR="00632296">
        <w:rPr>
          <w:sz w:val="26"/>
          <w:szCs w:val="26"/>
        </w:rPr>
        <w:t>reduction requirement</w:t>
      </w:r>
      <w:r>
        <w:rPr>
          <w:sz w:val="26"/>
          <w:szCs w:val="26"/>
        </w:rPr>
        <w:t>.</w:t>
      </w:r>
      <w:r>
        <w:rPr>
          <w:rStyle w:val="FootnoteReference"/>
          <w:sz w:val="26"/>
          <w:szCs w:val="26"/>
        </w:rPr>
        <w:footnoteReference w:id="19"/>
      </w:r>
      <w:r>
        <w:rPr>
          <w:sz w:val="26"/>
          <w:szCs w:val="26"/>
        </w:rPr>
        <w:t xml:space="preserve">  The Commission agrees with the TRM-verified savings reported by </w:t>
      </w:r>
      <w:r w:rsidR="00EE06DC">
        <w:rPr>
          <w:sz w:val="26"/>
          <w:szCs w:val="26"/>
        </w:rPr>
        <w:t>Met</w:t>
      </w:r>
      <w:r w:rsidR="00D70958">
        <w:rPr>
          <w:sz w:val="26"/>
          <w:szCs w:val="26"/>
        </w:rPr>
        <w:noBreakHyphen/>
      </w:r>
      <w:r w:rsidR="00EE06DC">
        <w:rPr>
          <w:sz w:val="26"/>
          <w:szCs w:val="26"/>
        </w:rPr>
        <w:t>Ed</w:t>
      </w:r>
      <w:r>
        <w:rPr>
          <w:sz w:val="26"/>
          <w:szCs w:val="26"/>
        </w:rPr>
        <w:t xml:space="preserve"> and confirmed by the SWE and deems </w:t>
      </w:r>
      <w:r w:rsidR="00EE06DC">
        <w:rPr>
          <w:sz w:val="26"/>
          <w:szCs w:val="26"/>
        </w:rPr>
        <w:t>Met-Ed</w:t>
      </w:r>
      <w:r>
        <w:rPr>
          <w:sz w:val="26"/>
          <w:szCs w:val="26"/>
        </w:rPr>
        <w:t xml:space="preserve"> to be in compliance with the May 31, </w:t>
      </w:r>
      <w:r w:rsidR="000519F0">
        <w:rPr>
          <w:sz w:val="26"/>
          <w:szCs w:val="26"/>
        </w:rPr>
        <w:t>2016</w:t>
      </w:r>
      <w:r w:rsidR="00632296">
        <w:rPr>
          <w:sz w:val="26"/>
          <w:szCs w:val="26"/>
        </w:rPr>
        <w:t>,</w:t>
      </w:r>
      <w:r>
        <w:rPr>
          <w:sz w:val="26"/>
          <w:szCs w:val="26"/>
        </w:rPr>
        <w:t xml:space="preserve">  </w:t>
      </w:r>
      <w:r w:rsidR="00BD70A0">
        <w:rPr>
          <w:sz w:val="26"/>
          <w:szCs w:val="26"/>
        </w:rPr>
        <w:t>e</w:t>
      </w:r>
      <w:r w:rsidR="00DA2DF9">
        <w:rPr>
          <w:sz w:val="26"/>
          <w:szCs w:val="26"/>
        </w:rPr>
        <w:t xml:space="preserve">lectric </w:t>
      </w:r>
      <w:r>
        <w:rPr>
          <w:sz w:val="26"/>
          <w:szCs w:val="26"/>
        </w:rPr>
        <w:t xml:space="preserve">consumption reduction </w:t>
      </w:r>
      <w:r w:rsidR="00632296">
        <w:rPr>
          <w:sz w:val="26"/>
          <w:szCs w:val="26"/>
        </w:rPr>
        <w:t>requirement</w:t>
      </w:r>
      <w:r>
        <w:rPr>
          <w:sz w:val="26"/>
          <w:szCs w:val="26"/>
        </w:rPr>
        <w:t>.</w:t>
      </w:r>
    </w:p>
    <w:p w:rsidR="009E045B" w:rsidRDefault="009E045B" w:rsidP="00814196">
      <w:pPr>
        <w:pStyle w:val="p3"/>
        <w:tabs>
          <w:tab w:val="clear" w:pos="204"/>
        </w:tabs>
        <w:spacing w:line="360" w:lineRule="auto"/>
        <w:rPr>
          <w:sz w:val="26"/>
          <w:szCs w:val="26"/>
        </w:rPr>
      </w:pPr>
    </w:p>
    <w:p w:rsidR="00907CBC" w:rsidRDefault="00907CBC" w:rsidP="00814196">
      <w:pPr>
        <w:pStyle w:val="p3"/>
        <w:tabs>
          <w:tab w:val="clear" w:pos="204"/>
        </w:tabs>
        <w:spacing w:line="360" w:lineRule="auto"/>
        <w:rPr>
          <w:sz w:val="26"/>
          <w:szCs w:val="26"/>
        </w:rPr>
      </w:pPr>
      <w:r>
        <w:rPr>
          <w:sz w:val="26"/>
          <w:szCs w:val="26"/>
        </w:rPr>
        <w:tab/>
      </w:r>
      <w:r>
        <w:rPr>
          <w:sz w:val="26"/>
          <w:szCs w:val="26"/>
        </w:rPr>
        <w:tab/>
      </w:r>
      <w:r>
        <w:rPr>
          <w:b/>
          <w:sz w:val="26"/>
          <w:szCs w:val="26"/>
        </w:rPr>
        <w:t>c.</w:t>
      </w:r>
      <w:r>
        <w:rPr>
          <w:b/>
          <w:sz w:val="26"/>
          <w:szCs w:val="26"/>
        </w:rPr>
        <w:tab/>
        <w:t>PECO</w:t>
      </w:r>
    </w:p>
    <w:p w:rsidR="00814196" w:rsidRDefault="00814196" w:rsidP="00415B77">
      <w:pPr>
        <w:pStyle w:val="p3"/>
        <w:tabs>
          <w:tab w:val="clear" w:pos="204"/>
        </w:tabs>
        <w:spacing w:line="360" w:lineRule="auto"/>
        <w:rPr>
          <w:sz w:val="26"/>
          <w:szCs w:val="26"/>
        </w:rPr>
      </w:pPr>
      <w:r>
        <w:rPr>
          <w:sz w:val="26"/>
          <w:szCs w:val="26"/>
        </w:rPr>
        <w:tab/>
      </w:r>
      <w:r w:rsidR="00EE06DC">
        <w:rPr>
          <w:sz w:val="26"/>
          <w:szCs w:val="26"/>
        </w:rPr>
        <w:t xml:space="preserve">PECO was required to reduce, by May 31, </w:t>
      </w:r>
      <w:r w:rsidR="00BD70A0">
        <w:rPr>
          <w:sz w:val="26"/>
          <w:szCs w:val="26"/>
        </w:rPr>
        <w:t>2016</w:t>
      </w:r>
      <w:r w:rsidR="00EE06DC">
        <w:rPr>
          <w:sz w:val="26"/>
          <w:szCs w:val="26"/>
        </w:rPr>
        <w:t xml:space="preserve">, electric consumption in its service territory by </w:t>
      </w:r>
      <w:r w:rsidR="00BD70A0">
        <w:rPr>
          <w:kern w:val="1"/>
          <w:sz w:val="26"/>
        </w:rPr>
        <w:t>1,125,851</w:t>
      </w:r>
      <w:r w:rsidR="00EE06DC">
        <w:rPr>
          <w:kern w:val="1"/>
          <w:sz w:val="26"/>
        </w:rPr>
        <w:t xml:space="preserve"> </w:t>
      </w:r>
      <w:r w:rsidR="00EE06DC">
        <w:rPr>
          <w:sz w:val="26"/>
          <w:szCs w:val="26"/>
        </w:rPr>
        <w:t>MWh.</w:t>
      </w:r>
      <w:r w:rsidR="00EE06DC">
        <w:rPr>
          <w:rStyle w:val="FootnoteReference"/>
          <w:sz w:val="26"/>
          <w:szCs w:val="26"/>
        </w:rPr>
        <w:footnoteReference w:id="20"/>
      </w:r>
      <w:r w:rsidR="00EE06DC">
        <w:rPr>
          <w:sz w:val="26"/>
          <w:szCs w:val="26"/>
        </w:rPr>
        <w:t xml:space="preserve">  PECO </w:t>
      </w:r>
      <w:r w:rsidR="00907CBC">
        <w:rPr>
          <w:sz w:val="26"/>
          <w:szCs w:val="26"/>
        </w:rPr>
        <w:t>reports,</w:t>
      </w:r>
      <w:r w:rsidR="00EE06DC">
        <w:rPr>
          <w:sz w:val="26"/>
          <w:szCs w:val="26"/>
        </w:rPr>
        <w:t xml:space="preserve"> in its PY</w:t>
      </w:r>
      <w:r w:rsidR="00BD70A0">
        <w:rPr>
          <w:sz w:val="26"/>
          <w:szCs w:val="26"/>
        </w:rPr>
        <w:t>7</w:t>
      </w:r>
      <w:r w:rsidR="00EE06DC">
        <w:rPr>
          <w:sz w:val="26"/>
          <w:szCs w:val="26"/>
        </w:rPr>
        <w:t xml:space="preserve"> Final Annual Report</w:t>
      </w:r>
      <w:r w:rsidR="00907CBC">
        <w:rPr>
          <w:sz w:val="26"/>
          <w:szCs w:val="26"/>
        </w:rPr>
        <w:t>,</w:t>
      </w:r>
      <w:r w:rsidR="00EE06DC">
        <w:rPr>
          <w:sz w:val="26"/>
          <w:szCs w:val="26"/>
        </w:rPr>
        <w:t xml:space="preserve"> </w:t>
      </w:r>
      <w:r w:rsidR="00907CBC">
        <w:rPr>
          <w:sz w:val="26"/>
          <w:szCs w:val="26"/>
        </w:rPr>
        <w:t xml:space="preserve">it attained </w:t>
      </w:r>
      <w:r w:rsidR="00EE06DC">
        <w:rPr>
          <w:sz w:val="26"/>
          <w:szCs w:val="26"/>
        </w:rPr>
        <w:t xml:space="preserve">a TRM-verified </w:t>
      </w:r>
      <w:r w:rsidR="00907CBC">
        <w:rPr>
          <w:sz w:val="26"/>
          <w:szCs w:val="26"/>
        </w:rPr>
        <w:t>reduction</w:t>
      </w:r>
      <w:r w:rsidR="00EE06DC">
        <w:rPr>
          <w:sz w:val="26"/>
          <w:szCs w:val="26"/>
        </w:rPr>
        <w:t xml:space="preserve"> of </w:t>
      </w:r>
      <w:r w:rsidR="00BD70A0">
        <w:rPr>
          <w:sz w:val="26"/>
          <w:szCs w:val="26"/>
        </w:rPr>
        <w:t>1,333,298</w:t>
      </w:r>
      <w:r w:rsidR="00907CBC">
        <w:rPr>
          <w:sz w:val="26"/>
          <w:szCs w:val="26"/>
        </w:rPr>
        <w:t xml:space="preserve"> MWh in electric consumption as of</w:t>
      </w:r>
      <w:r w:rsidR="00EE06DC">
        <w:rPr>
          <w:sz w:val="26"/>
          <w:szCs w:val="26"/>
        </w:rPr>
        <w:t xml:space="preserve"> May 31,</w:t>
      </w:r>
      <w:r w:rsidR="00BD70A0">
        <w:rPr>
          <w:sz w:val="26"/>
          <w:szCs w:val="26"/>
        </w:rPr>
        <w:t>2016, including carryover savings from Phase I</w:t>
      </w:r>
      <w:r w:rsidR="00EE06DC">
        <w:rPr>
          <w:sz w:val="26"/>
          <w:szCs w:val="26"/>
        </w:rPr>
        <w:t>.</w:t>
      </w:r>
      <w:r w:rsidR="00EE06DC">
        <w:rPr>
          <w:rStyle w:val="FootnoteReference"/>
          <w:sz w:val="26"/>
          <w:szCs w:val="26"/>
        </w:rPr>
        <w:footnoteReference w:id="21"/>
      </w:r>
      <w:r w:rsidR="00EE06DC">
        <w:rPr>
          <w:sz w:val="26"/>
          <w:szCs w:val="26"/>
        </w:rPr>
        <w:t xml:space="preserve">  In its </w:t>
      </w:r>
      <w:r w:rsidR="0066082E">
        <w:rPr>
          <w:sz w:val="26"/>
          <w:szCs w:val="26"/>
        </w:rPr>
        <w:t>Amended</w:t>
      </w:r>
      <w:r w:rsidR="00D70958">
        <w:rPr>
          <w:sz w:val="26"/>
          <w:szCs w:val="26"/>
        </w:rPr>
        <w:t xml:space="preserve"> </w:t>
      </w:r>
      <w:r w:rsidR="00EE06DC">
        <w:rPr>
          <w:sz w:val="26"/>
          <w:szCs w:val="26"/>
        </w:rPr>
        <w:t xml:space="preserve">Phase </w:t>
      </w:r>
      <w:r w:rsidR="00BD70A0">
        <w:rPr>
          <w:sz w:val="26"/>
          <w:szCs w:val="26"/>
        </w:rPr>
        <w:t>I</w:t>
      </w:r>
      <w:r w:rsidR="00EE06DC">
        <w:rPr>
          <w:sz w:val="26"/>
          <w:szCs w:val="26"/>
        </w:rPr>
        <w:t xml:space="preserve">I Final Annual Report, the SWE </w:t>
      </w:r>
      <w:r w:rsidR="00907CBC">
        <w:rPr>
          <w:sz w:val="26"/>
          <w:szCs w:val="26"/>
        </w:rPr>
        <w:t>validates</w:t>
      </w:r>
      <w:r w:rsidR="00EE06DC">
        <w:rPr>
          <w:sz w:val="26"/>
          <w:szCs w:val="26"/>
        </w:rPr>
        <w:t xml:space="preserve"> </w:t>
      </w:r>
      <w:r w:rsidR="009B74ED">
        <w:rPr>
          <w:sz w:val="26"/>
          <w:szCs w:val="26"/>
        </w:rPr>
        <w:t>PECO’s</w:t>
      </w:r>
      <w:r w:rsidR="00EE06DC">
        <w:rPr>
          <w:sz w:val="26"/>
          <w:szCs w:val="26"/>
        </w:rPr>
        <w:t xml:space="preserve"> reported </w:t>
      </w:r>
      <w:r w:rsidR="009E48F8">
        <w:rPr>
          <w:sz w:val="26"/>
          <w:szCs w:val="26"/>
        </w:rPr>
        <w:t xml:space="preserve">TRM-verified </w:t>
      </w:r>
      <w:r w:rsidR="00EE06DC">
        <w:rPr>
          <w:sz w:val="26"/>
          <w:szCs w:val="26"/>
        </w:rPr>
        <w:t xml:space="preserve">savings of </w:t>
      </w:r>
      <w:r w:rsidR="00BD70A0">
        <w:rPr>
          <w:sz w:val="26"/>
          <w:szCs w:val="26"/>
        </w:rPr>
        <w:t>1,333,298</w:t>
      </w:r>
      <w:r w:rsidR="00EE06DC">
        <w:rPr>
          <w:sz w:val="26"/>
          <w:szCs w:val="26"/>
        </w:rPr>
        <w:t xml:space="preserve"> MWh and notes that this </w:t>
      </w:r>
      <w:r w:rsidR="00907CBC">
        <w:rPr>
          <w:sz w:val="26"/>
          <w:szCs w:val="26"/>
        </w:rPr>
        <w:t>amounts to</w:t>
      </w:r>
      <w:r w:rsidR="00EE06DC">
        <w:rPr>
          <w:sz w:val="26"/>
          <w:szCs w:val="26"/>
        </w:rPr>
        <w:t xml:space="preserve"> </w:t>
      </w:r>
      <w:r w:rsidR="00BD70A0">
        <w:rPr>
          <w:sz w:val="26"/>
          <w:szCs w:val="26"/>
        </w:rPr>
        <w:t>118</w:t>
      </w:r>
      <w:r w:rsidR="00EE06DC">
        <w:rPr>
          <w:sz w:val="26"/>
          <w:szCs w:val="26"/>
        </w:rPr>
        <w:t xml:space="preserve">% of </w:t>
      </w:r>
      <w:r w:rsidR="009B74ED">
        <w:rPr>
          <w:sz w:val="26"/>
          <w:szCs w:val="26"/>
        </w:rPr>
        <w:t>PECO’s</w:t>
      </w:r>
      <w:r w:rsidR="00EE06DC">
        <w:rPr>
          <w:sz w:val="26"/>
          <w:szCs w:val="26"/>
        </w:rPr>
        <w:t xml:space="preserve"> </w:t>
      </w:r>
      <w:r w:rsidR="0081303D">
        <w:rPr>
          <w:sz w:val="26"/>
          <w:szCs w:val="26"/>
        </w:rPr>
        <w:t xml:space="preserve">electric </w:t>
      </w:r>
      <w:r w:rsidR="00BD70A0">
        <w:rPr>
          <w:sz w:val="26"/>
          <w:szCs w:val="26"/>
        </w:rPr>
        <w:t>consumption</w:t>
      </w:r>
      <w:r w:rsidR="00EE06DC">
        <w:rPr>
          <w:sz w:val="26"/>
          <w:szCs w:val="26"/>
        </w:rPr>
        <w:t xml:space="preserve"> </w:t>
      </w:r>
      <w:r w:rsidR="00907CBC">
        <w:rPr>
          <w:sz w:val="26"/>
          <w:szCs w:val="26"/>
        </w:rPr>
        <w:t xml:space="preserve">reduction </w:t>
      </w:r>
      <w:r w:rsidR="00907CBC">
        <w:rPr>
          <w:sz w:val="26"/>
          <w:szCs w:val="26"/>
        </w:rPr>
        <w:lastRenderedPageBreak/>
        <w:t>requirement</w:t>
      </w:r>
      <w:r w:rsidR="00EE06DC">
        <w:rPr>
          <w:sz w:val="26"/>
          <w:szCs w:val="26"/>
        </w:rPr>
        <w:t>.</w:t>
      </w:r>
      <w:r w:rsidR="00EE06DC">
        <w:rPr>
          <w:rStyle w:val="FootnoteReference"/>
          <w:sz w:val="26"/>
          <w:szCs w:val="26"/>
        </w:rPr>
        <w:footnoteReference w:id="22"/>
      </w:r>
      <w:r w:rsidR="00EE06DC">
        <w:rPr>
          <w:sz w:val="26"/>
          <w:szCs w:val="26"/>
        </w:rPr>
        <w:t xml:space="preserve">  The Commission agrees with the TRM-verified savings reported by </w:t>
      </w:r>
      <w:r w:rsidR="009B74ED">
        <w:rPr>
          <w:sz w:val="26"/>
          <w:szCs w:val="26"/>
        </w:rPr>
        <w:t>PECO</w:t>
      </w:r>
      <w:r w:rsidR="00EE06DC">
        <w:rPr>
          <w:sz w:val="26"/>
          <w:szCs w:val="26"/>
        </w:rPr>
        <w:t xml:space="preserve"> and confirmed by the SWE and deems </w:t>
      </w:r>
      <w:r w:rsidR="009B74ED">
        <w:rPr>
          <w:sz w:val="26"/>
          <w:szCs w:val="26"/>
        </w:rPr>
        <w:t>PECO</w:t>
      </w:r>
      <w:r w:rsidR="00EE06DC">
        <w:rPr>
          <w:sz w:val="26"/>
          <w:szCs w:val="26"/>
        </w:rPr>
        <w:t xml:space="preserve"> to be in compliance with the May 31, </w:t>
      </w:r>
      <w:r w:rsidR="00BD70A0">
        <w:rPr>
          <w:sz w:val="26"/>
          <w:szCs w:val="26"/>
        </w:rPr>
        <w:t>2016</w:t>
      </w:r>
      <w:r w:rsidR="00907CBC">
        <w:rPr>
          <w:sz w:val="26"/>
          <w:szCs w:val="26"/>
        </w:rPr>
        <w:t>,</w:t>
      </w:r>
      <w:r w:rsidR="00EE06DC">
        <w:rPr>
          <w:sz w:val="26"/>
          <w:szCs w:val="26"/>
        </w:rPr>
        <w:t xml:space="preserve"> </w:t>
      </w:r>
      <w:r w:rsidR="00DA2DF9">
        <w:rPr>
          <w:sz w:val="26"/>
          <w:szCs w:val="26"/>
        </w:rPr>
        <w:t>electric</w:t>
      </w:r>
      <w:r w:rsidR="00BD70A0">
        <w:rPr>
          <w:sz w:val="26"/>
          <w:szCs w:val="26"/>
        </w:rPr>
        <w:t xml:space="preserve"> </w:t>
      </w:r>
      <w:r w:rsidR="00EE06DC">
        <w:rPr>
          <w:sz w:val="26"/>
          <w:szCs w:val="26"/>
        </w:rPr>
        <w:t xml:space="preserve">consumption reduction </w:t>
      </w:r>
      <w:r w:rsidR="00907CBC">
        <w:rPr>
          <w:sz w:val="26"/>
          <w:szCs w:val="26"/>
        </w:rPr>
        <w:t>requirement</w:t>
      </w:r>
      <w:r w:rsidR="00EE06DC">
        <w:rPr>
          <w:sz w:val="26"/>
          <w:szCs w:val="26"/>
        </w:rPr>
        <w:t>.</w:t>
      </w:r>
    </w:p>
    <w:p w:rsidR="009E045B" w:rsidRDefault="009E045B" w:rsidP="00415B77">
      <w:pPr>
        <w:pStyle w:val="p3"/>
        <w:tabs>
          <w:tab w:val="clear" w:pos="204"/>
        </w:tabs>
        <w:spacing w:line="360" w:lineRule="auto"/>
        <w:rPr>
          <w:sz w:val="26"/>
          <w:szCs w:val="26"/>
        </w:rPr>
      </w:pPr>
    </w:p>
    <w:p w:rsidR="00907CBC" w:rsidRDefault="00907CBC" w:rsidP="00415B77">
      <w:pPr>
        <w:pStyle w:val="p3"/>
        <w:tabs>
          <w:tab w:val="clear" w:pos="204"/>
        </w:tabs>
        <w:spacing w:line="360" w:lineRule="auto"/>
        <w:rPr>
          <w:sz w:val="26"/>
          <w:szCs w:val="26"/>
        </w:rPr>
      </w:pPr>
      <w:r>
        <w:rPr>
          <w:sz w:val="26"/>
          <w:szCs w:val="26"/>
        </w:rPr>
        <w:tab/>
      </w:r>
      <w:r>
        <w:rPr>
          <w:sz w:val="26"/>
          <w:szCs w:val="26"/>
        </w:rPr>
        <w:tab/>
      </w:r>
      <w:r>
        <w:rPr>
          <w:b/>
          <w:sz w:val="26"/>
          <w:szCs w:val="26"/>
        </w:rPr>
        <w:t>d.</w:t>
      </w:r>
      <w:r>
        <w:rPr>
          <w:b/>
          <w:sz w:val="26"/>
          <w:szCs w:val="26"/>
        </w:rPr>
        <w:tab/>
        <w:t>Penelec</w:t>
      </w:r>
    </w:p>
    <w:p w:rsidR="00EF3D0C" w:rsidRDefault="00EF3D0C" w:rsidP="00415B77">
      <w:pPr>
        <w:pStyle w:val="p3"/>
        <w:tabs>
          <w:tab w:val="clear" w:pos="204"/>
        </w:tabs>
        <w:spacing w:line="360" w:lineRule="auto"/>
        <w:rPr>
          <w:sz w:val="26"/>
          <w:szCs w:val="26"/>
        </w:rPr>
      </w:pPr>
      <w:r>
        <w:rPr>
          <w:sz w:val="26"/>
          <w:szCs w:val="26"/>
        </w:rPr>
        <w:tab/>
        <w:t xml:space="preserve">Penelec was required to reduce, by May 31, </w:t>
      </w:r>
      <w:r w:rsidR="00BD70A0">
        <w:rPr>
          <w:sz w:val="26"/>
          <w:szCs w:val="26"/>
        </w:rPr>
        <w:t>2016</w:t>
      </w:r>
      <w:r>
        <w:rPr>
          <w:sz w:val="26"/>
          <w:szCs w:val="26"/>
        </w:rPr>
        <w:t xml:space="preserve">, electric consumption in its service territory by </w:t>
      </w:r>
      <w:r w:rsidR="00BD70A0">
        <w:rPr>
          <w:kern w:val="1"/>
          <w:sz w:val="26"/>
        </w:rPr>
        <w:t>318,813</w:t>
      </w:r>
      <w:r>
        <w:rPr>
          <w:kern w:val="1"/>
          <w:sz w:val="26"/>
        </w:rPr>
        <w:t xml:space="preserve"> </w:t>
      </w:r>
      <w:r>
        <w:rPr>
          <w:sz w:val="26"/>
          <w:szCs w:val="26"/>
        </w:rPr>
        <w:t>MWh.</w:t>
      </w:r>
      <w:r>
        <w:rPr>
          <w:rStyle w:val="FootnoteReference"/>
          <w:sz w:val="26"/>
          <w:szCs w:val="26"/>
        </w:rPr>
        <w:footnoteReference w:id="23"/>
      </w:r>
      <w:r>
        <w:rPr>
          <w:sz w:val="26"/>
          <w:szCs w:val="26"/>
        </w:rPr>
        <w:t xml:space="preserve">  Penelec </w:t>
      </w:r>
      <w:r w:rsidR="00907CBC">
        <w:rPr>
          <w:sz w:val="26"/>
          <w:szCs w:val="26"/>
        </w:rPr>
        <w:t>reports,</w:t>
      </w:r>
      <w:r>
        <w:rPr>
          <w:sz w:val="26"/>
          <w:szCs w:val="26"/>
        </w:rPr>
        <w:t xml:space="preserve"> in its PY</w:t>
      </w:r>
      <w:r w:rsidR="00BD70A0">
        <w:rPr>
          <w:sz w:val="26"/>
          <w:szCs w:val="26"/>
        </w:rPr>
        <w:t>7</w:t>
      </w:r>
      <w:r>
        <w:rPr>
          <w:sz w:val="26"/>
          <w:szCs w:val="26"/>
        </w:rPr>
        <w:t xml:space="preserve"> Final Annual Report</w:t>
      </w:r>
      <w:r w:rsidR="00907CBC">
        <w:rPr>
          <w:sz w:val="26"/>
          <w:szCs w:val="26"/>
        </w:rPr>
        <w:t>, it attained</w:t>
      </w:r>
      <w:r>
        <w:rPr>
          <w:sz w:val="26"/>
          <w:szCs w:val="26"/>
        </w:rPr>
        <w:t xml:space="preserve"> a TRM-verified </w:t>
      </w:r>
      <w:r w:rsidR="00907CBC">
        <w:rPr>
          <w:sz w:val="26"/>
          <w:szCs w:val="26"/>
        </w:rPr>
        <w:t>reduction</w:t>
      </w:r>
      <w:r>
        <w:rPr>
          <w:sz w:val="26"/>
          <w:szCs w:val="26"/>
        </w:rPr>
        <w:t xml:space="preserve"> of </w:t>
      </w:r>
      <w:r w:rsidR="00BD70A0">
        <w:rPr>
          <w:sz w:val="26"/>
          <w:szCs w:val="26"/>
        </w:rPr>
        <w:t>395,313</w:t>
      </w:r>
      <w:r>
        <w:rPr>
          <w:sz w:val="26"/>
          <w:szCs w:val="26"/>
        </w:rPr>
        <w:t xml:space="preserve"> MWh</w:t>
      </w:r>
      <w:r w:rsidR="00907CBC">
        <w:rPr>
          <w:sz w:val="26"/>
          <w:szCs w:val="26"/>
        </w:rPr>
        <w:t xml:space="preserve"> in electric consumption</w:t>
      </w:r>
      <w:r>
        <w:rPr>
          <w:sz w:val="26"/>
          <w:szCs w:val="26"/>
        </w:rPr>
        <w:t xml:space="preserve"> </w:t>
      </w:r>
      <w:r w:rsidR="00907CBC">
        <w:rPr>
          <w:sz w:val="26"/>
          <w:szCs w:val="26"/>
        </w:rPr>
        <w:t>as of</w:t>
      </w:r>
      <w:r>
        <w:rPr>
          <w:sz w:val="26"/>
          <w:szCs w:val="26"/>
        </w:rPr>
        <w:t xml:space="preserve"> May 31, </w:t>
      </w:r>
      <w:r w:rsidR="00BD70A0">
        <w:rPr>
          <w:sz w:val="26"/>
          <w:szCs w:val="26"/>
        </w:rPr>
        <w:t>2016, including carryover savings from Phase I</w:t>
      </w:r>
      <w:r>
        <w:rPr>
          <w:sz w:val="26"/>
          <w:szCs w:val="26"/>
        </w:rPr>
        <w:t>.</w:t>
      </w:r>
      <w:r>
        <w:rPr>
          <w:rStyle w:val="FootnoteReference"/>
          <w:sz w:val="26"/>
          <w:szCs w:val="26"/>
        </w:rPr>
        <w:footnoteReference w:id="24"/>
      </w:r>
      <w:r>
        <w:rPr>
          <w:sz w:val="26"/>
          <w:szCs w:val="26"/>
        </w:rPr>
        <w:t xml:space="preserve">  In its </w:t>
      </w:r>
      <w:r w:rsidR="0066082E">
        <w:rPr>
          <w:sz w:val="26"/>
          <w:szCs w:val="26"/>
        </w:rPr>
        <w:t>Amended</w:t>
      </w:r>
      <w:r w:rsidR="00D70958">
        <w:rPr>
          <w:sz w:val="26"/>
          <w:szCs w:val="26"/>
        </w:rPr>
        <w:t xml:space="preserve"> </w:t>
      </w:r>
      <w:r>
        <w:rPr>
          <w:sz w:val="26"/>
          <w:szCs w:val="26"/>
        </w:rPr>
        <w:t>Phase I</w:t>
      </w:r>
      <w:r w:rsidR="00BD70A0">
        <w:rPr>
          <w:sz w:val="26"/>
          <w:szCs w:val="26"/>
        </w:rPr>
        <w:t>I</w:t>
      </w:r>
      <w:r>
        <w:rPr>
          <w:sz w:val="26"/>
          <w:szCs w:val="26"/>
        </w:rPr>
        <w:t xml:space="preserve"> Final Annual Report, the SWE </w:t>
      </w:r>
      <w:r w:rsidR="00907CBC">
        <w:rPr>
          <w:sz w:val="26"/>
          <w:szCs w:val="26"/>
        </w:rPr>
        <w:t>validates</w:t>
      </w:r>
      <w:r>
        <w:rPr>
          <w:sz w:val="26"/>
          <w:szCs w:val="26"/>
        </w:rPr>
        <w:t xml:space="preserve"> </w:t>
      </w:r>
      <w:proofErr w:type="spellStart"/>
      <w:r w:rsidR="009E48F8">
        <w:rPr>
          <w:sz w:val="26"/>
          <w:szCs w:val="26"/>
        </w:rPr>
        <w:t>Penelec</w:t>
      </w:r>
      <w:r>
        <w:rPr>
          <w:sz w:val="26"/>
          <w:szCs w:val="26"/>
        </w:rPr>
        <w:t>’s</w:t>
      </w:r>
      <w:proofErr w:type="spellEnd"/>
      <w:r>
        <w:rPr>
          <w:sz w:val="26"/>
          <w:szCs w:val="26"/>
        </w:rPr>
        <w:t xml:space="preserve"> reported </w:t>
      </w:r>
      <w:r w:rsidR="009E48F8">
        <w:rPr>
          <w:sz w:val="26"/>
          <w:szCs w:val="26"/>
        </w:rPr>
        <w:t xml:space="preserve">TRM-verified </w:t>
      </w:r>
      <w:r>
        <w:rPr>
          <w:sz w:val="26"/>
          <w:szCs w:val="26"/>
        </w:rPr>
        <w:t xml:space="preserve">savings of </w:t>
      </w:r>
      <w:r w:rsidR="00BD70A0">
        <w:rPr>
          <w:sz w:val="26"/>
          <w:szCs w:val="26"/>
        </w:rPr>
        <w:t>395,313</w:t>
      </w:r>
      <w:r>
        <w:rPr>
          <w:sz w:val="26"/>
          <w:szCs w:val="26"/>
        </w:rPr>
        <w:t xml:space="preserve"> MWh and notes that this </w:t>
      </w:r>
      <w:r w:rsidR="00907CBC">
        <w:rPr>
          <w:sz w:val="26"/>
          <w:szCs w:val="26"/>
        </w:rPr>
        <w:t>amounts to</w:t>
      </w:r>
      <w:r>
        <w:rPr>
          <w:sz w:val="26"/>
          <w:szCs w:val="26"/>
        </w:rPr>
        <w:t xml:space="preserve"> </w:t>
      </w:r>
      <w:r w:rsidR="00BD70A0">
        <w:rPr>
          <w:sz w:val="26"/>
          <w:szCs w:val="26"/>
        </w:rPr>
        <w:t>124</w:t>
      </w:r>
      <w:r>
        <w:rPr>
          <w:sz w:val="26"/>
          <w:szCs w:val="26"/>
        </w:rPr>
        <w:t xml:space="preserve">% of </w:t>
      </w:r>
      <w:proofErr w:type="spellStart"/>
      <w:r>
        <w:rPr>
          <w:sz w:val="26"/>
          <w:szCs w:val="26"/>
        </w:rPr>
        <w:t>P</w:t>
      </w:r>
      <w:r w:rsidR="009E48F8">
        <w:rPr>
          <w:sz w:val="26"/>
          <w:szCs w:val="26"/>
        </w:rPr>
        <w:t>enelec</w:t>
      </w:r>
      <w:r>
        <w:rPr>
          <w:sz w:val="26"/>
          <w:szCs w:val="26"/>
        </w:rPr>
        <w:t>’s</w:t>
      </w:r>
      <w:proofErr w:type="spellEnd"/>
      <w:r>
        <w:rPr>
          <w:sz w:val="26"/>
          <w:szCs w:val="26"/>
        </w:rPr>
        <w:t xml:space="preserve"> </w:t>
      </w:r>
      <w:r w:rsidR="00230696">
        <w:rPr>
          <w:sz w:val="26"/>
          <w:szCs w:val="26"/>
        </w:rPr>
        <w:t xml:space="preserve">electric </w:t>
      </w:r>
      <w:r w:rsidR="00BD70A0">
        <w:rPr>
          <w:sz w:val="26"/>
          <w:szCs w:val="26"/>
        </w:rPr>
        <w:t>consumption</w:t>
      </w:r>
      <w:r w:rsidR="00230696">
        <w:rPr>
          <w:sz w:val="26"/>
          <w:szCs w:val="26"/>
        </w:rPr>
        <w:t xml:space="preserve"> </w:t>
      </w:r>
      <w:r w:rsidR="00907CBC">
        <w:rPr>
          <w:sz w:val="26"/>
          <w:szCs w:val="26"/>
        </w:rPr>
        <w:t>reduction requirement</w:t>
      </w:r>
      <w:r>
        <w:rPr>
          <w:sz w:val="26"/>
          <w:szCs w:val="26"/>
        </w:rPr>
        <w:t>.</w:t>
      </w:r>
      <w:r>
        <w:rPr>
          <w:rStyle w:val="FootnoteReference"/>
          <w:sz w:val="26"/>
          <w:szCs w:val="26"/>
        </w:rPr>
        <w:footnoteReference w:id="25"/>
      </w:r>
      <w:r>
        <w:rPr>
          <w:sz w:val="26"/>
          <w:szCs w:val="26"/>
        </w:rPr>
        <w:t xml:space="preserve">  The Commission agrees with the TRM-verified savings reported by </w:t>
      </w:r>
      <w:r w:rsidR="009E48F8">
        <w:rPr>
          <w:sz w:val="26"/>
          <w:szCs w:val="26"/>
        </w:rPr>
        <w:t>Penelec</w:t>
      </w:r>
      <w:r>
        <w:rPr>
          <w:sz w:val="26"/>
          <w:szCs w:val="26"/>
        </w:rPr>
        <w:t xml:space="preserve"> and confirmed by the SWE and deems </w:t>
      </w:r>
      <w:r w:rsidR="009E48F8">
        <w:rPr>
          <w:sz w:val="26"/>
          <w:szCs w:val="26"/>
        </w:rPr>
        <w:t>Penelec</w:t>
      </w:r>
      <w:r>
        <w:rPr>
          <w:sz w:val="26"/>
          <w:szCs w:val="26"/>
        </w:rPr>
        <w:t xml:space="preserve"> to be in compliance with the May 31, </w:t>
      </w:r>
      <w:r w:rsidR="00BD70A0">
        <w:rPr>
          <w:sz w:val="26"/>
          <w:szCs w:val="26"/>
        </w:rPr>
        <w:t>2016</w:t>
      </w:r>
      <w:r w:rsidR="00907CBC">
        <w:rPr>
          <w:sz w:val="26"/>
          <w:szCs w:val="26"/>
        </w:rPr>
        <w:t>,</w:t>
      </w:r>
      <w:r>
        <w:rPr>
          <w:sz w:val="26"/>
          <w:szCs w:val="26"/>
        </w:rPr>
        <w:t xml:space="preserve"> </w:t>
      </w:r>
      <w:r w:rsidR="00DA2DF9">
        <w:rPr>
          <w:sz w:val="26"/>
          <w:szCs w:val="26"/>
        </w:rPr>
        <w:t>electric</w:t>
      </w:r>
      <w:r w:rsidR="00BD70A0">
        <w:rPr>
          <w:sz w:val="26"/>
          <w:szCs w:val="26"/>
        </w:rPr>
        <w:t xml:space="preserve"> </w:t>
      </w:r>
      <w:r>
        <w:rPr>
          <w:sz w:val="26"/>
          <w:szCs w:val="26"/>
        </w:rPr>
        <w:t xml:space="preserve">consumption reduction </w:t>
      </w:r>
      <w:r w:rsidR="00907CBC">
        <w:rPr>
          <w:sz w:val="26"/>
          <w:szCs w:val="26"/>
        </w:rPr>
        <w:t>requirement</w:t>
      </w:r>
      <w:r>
        <w:rPr>
          <w:sz w:val="26"/>
          <w:szCs w:val="26"/>
        </w:rPr>
        <w:t>.</w:t>
      </w:r>
    </w:p>
    <w:p w:rsidR="009E045B" w:rsidRDefault="009E045B" w:rsidP="00415B77">
      <w:pPr>
        <w:pStyle w:val="p3"/>
        <w:tabs>
          <w:tab w:val="clear" w:pos="204"/>
        </w:tabs>
        <w:spacing w:line="360" w:lineRule="auto"/>
        <w:rPr>
          <w:sz w:val="26"/>
          <w:szCs w:val="26"/>
        </w:rPr>
      </w:pPr>
    </w:p>
    <w:p w:rsidR="00EF512A" w:rsidRDefault="00EF512A" w:rsidP="00415B77">
      <w:pPr>
        <w:pStyle w:val="p3"/>
        <w:tabs>
          <w:tab w:val="clear" w:pos="204"/>
        </w:tabs>
        <w:spacing w:line="360" w:lineRule="auto"/>
        <w:rPr>
          <w:sz w:val="26"/>
          <w:szCs w:val="26"/>
        </w:rPr>
      </w:pPr>
      <w:r>
        <w:rPr>
          <w:sz w:val="26"/>
          <w:szCs w:val="26"/>
        </w:rPr>
        <w:tab/>
      </w:r>
      <w:r>
        <w:rPr>
          <w:sz w:val="26"/>
          <w:szCs w:val="26"/>
        </w:rPr>
        <w:tab/>
      </w:r>
      <w:r>
        <w:rPr>
          <w:b/>
          <w:sz w:val="26"/>
          <w:szCs w:val="26"/>
        </w:rPr>
        <w:t>e.</w:t>
      </w:r>
      <w:r>
        <w:rPr>
          <w:b/>
          <w:sz w:val="26"/>
          <w:szCs w:val="26"/>
        </w:rPr>
        <w:tab/>
        <w:t>Penn Power</w:t>
      </w:r>
    </w:p>
    <w:p w:rsidR="003702C5" w:rsidRDefault="0033456C" w:rsidP="00415B77">
      <w:pPr>
        <w:pStyle w:val="p3"/>
        <w:tabs>
          <w:tab w:val="clear" w:pos="204"/>
        </w:tabs>
        <w:spacing w:line="360" w:lineRule="auto"/>
        <w:rPr>
          <w:sz w:val="26"/>
          <w:szCs w:val="26"/>
        </w:rPr>
      </w:pPr>
      <w:r>
        <w:rPr>
          <w:sz w:val="26"/>
          <w:szCs w:val="26"/>
        </w:rPr>
        <w:tab/>
        <w:t xml:space="preserve">Penn Power was required to reduce, by May 31, </w:t>
      </w:r>
      <w:r w:rsidR="00BD70A0">
        <w:rPr>
          <w:sz w:val="26"/>
          <w:szCs w:val="26"/>
        </w:rPr>
        <w:t>2016</w:t>
      </w:r>
      <w:r>
        <w:rPr>
          <w:sz w:val="26"/>
          <w:szCs w:val="26"/>
        </w:rPr>
        <w:t xml:space="preserve">, electric consumption in its service territory by </w:t>
      </w:r>
      <w:r w:rsidR="00DA6613">
        <w:rPr>
          <w:kern w:val="1"/>
          <w:sz w:val="26"/>
        </w:rPr>
        <w:t>95,502</w:t>
      </w:r>
      <w:r>
        <w:rPr>
          <w:kern w:val="1"/>
          <w:sz w:val="26"/>
        </w:rPr>
        <w:t xml:space="preserve"> </w:t>
      </w:r>
      <w:r>
        <w:rPr>
          <w:sz w:val="26"/>
          <w:szCs w:val="26"/>
        </w:rPr>
        <w:t>MWh.</w:t>
      </w:r>
      <w:r>
        <w:rPr>
          <w:rStyle w:val="FootnoteReference"/>
          <w:sz w:val="26"/>
          <w:szCs w:val="26"/>
        </w:rPr>
        <w:footnoteReference w:id="26"/>
      </w:r>
      <w:r>
        <w:rPr>
          <w:sz w:val="26"/>
          <w:szCs w:val="26"/>
        </w:rPr>
        <w:t xml:space="preserve">  Penn Power </w:t>
      </w:r>
      <w:r w:rsidR="00EF512A">
        <w:rPr>
          <w:sz w:val="26"/>
          <w:szCs w:val="26"/>
        </w:rPr>
        <w:t>reports,</w:t>
      </w:r>
      <w:r>
        <w:rPr>
          <w:sz w:val="26"/>
          <w:szCs w:val="26"/>
        </w:rPr>
        <w:t xml:space="preserve"> in its PY</w:t>
      </w:r>
      <w:r w:rsidR="00DA6613">
        <w:rPr>
          <w:sz w:val="26"/>
          <w:szCs w:val="26"/>
        </w:rPr>
        <w:t>7</w:t>
      </w:r>
      <w:r>
        <w:rPr>
          <w:sz w:val="26"/>
          <w:szCs w:val="26"/>
        </w:rPr>
        <w:t xml:space="preserve"> Final Annual Report</w:t>
      </w:r>
      <w:r w:rsidR="00EF512A">
        <w:rPr>
          <w:sz w:val="26"/>
          <w:szCs w:val="26"/>
        </w:rPr>
        <w:t>,</w:t>
      </w:r>
      <w:r>
        <w:rPr>
          <w:sz w:val="26"/>
          <w:szCs w:val="26"/>
        </w:rPr>
        <w:t xml:space="preserve"> </w:t>
      </w:r>
      <w:r w:rsidR="00EF512A">
        <w:rPr>
          <w:sz w:val="26"/>
          <w:szCs w:val="26"/>
        </w:rPr>
        <w:t xml:space="preserve">it attained </w:t>
      </w:r>
      <w:r>
        <w:rPr>
          <w:sz w:val="26"/>
          <w:szCs w:val="26"/>
        </w:rPr>
        <w:t xml:space="preserve">a TRM-verified </w:t>
      </w:r>
      <w:r w:rsidR="00EF512A">
        <w:rPr>
          <w:sz w:val="26"/>
          <w:szCs w:val="26"/>
        </w:rPr>
        <w:t>reduction</w:t>
      </w:r>
      <w:r>
        <w:rPr>
          <w:sz w:val="26"/>
          <w:szCs w:val="26"/>
        </w:rPr>
        <w:t xml:space="preserve"> of </w:t>
      </w:r>
      <w:r w:rsidR="00DA6613">
        <w:rPr>
          <w:sz w:val="26"/>
          <w:szCs w:val="26"/>
        </w:rPr>
        <w:t>131,948</w:t>
      </w:r>
      <w:r w:rsidR="003E32B5">
        <w:rPr>
          <w:sz w:val="26"/>
          <w:szCs w:val="26"/>
        </w:rPr>
        <w:t xml:space="preserve"> </w:t>
      </w:r>
      <w:r>
        <w:rPr>
          <w:sz w:val="26"/>
          <w:szCs w:val="26"/>
        </w:rPr>
        <w:t xml:space="preserve">MWh, </w:t>
      </w:r>
      <w:r w:rsidR="00EF512A">
        <w:rPr>
          <w:sz w:val="26"/>
          <w:szCs w:val="26"/>
        </w:rPr>
        <w:t>in electric consumption as of</w:t>
      </w:r>
      <w:r>
        <w:rPr>
          <w:sz w:val="26"/>
          <w:szCs w:val="26"/>
        </w:rPr>
        <w:t xml:space="preserve"> May 31, </w:t>
      </w:r>
      <w:r w:rsidR="00BD70A0">
        <w:rPr>
          <w:sz w:val="26"/>
          <w:szCs w:val="26"/>
        </w:rPr>
        <w:t>2016, including carryover savings from Phase I</w:t>
      </w:r>
      <w:r>
        <w:rPr>
          <w:sz w:val="26"/>
          <w:szCs w:val="26"/>
        </w:rPr>
        <w:t>.</w:t>
      </w:r>
      <w:r>
        <w:rPr>
          <w:rStyle w:val="FootnoteReference"/>
          <w:sz w:val="26"/>
          <w:szCs w:val="26"/>
        </w:rPr>
        <w:footnoteReference w:id="27"/>
      </w:r>
      <w:r>
        <w:rPr>
          <w:sz w:val="26"/>
          <w:szCs w:val="26"/>
        </w:rPr>
        <w:t xml:space="preserve">  In its </w:t>
      </w:r>
      <w:r w:rsidR="0066082E">
        <w:rPr>
          <w:sz w:val="26"/>
          <w:szCs w:val="26"/>
        </w:rPr>
        <w:t>Amended</w:t>
      </w:r>
      <w:r w:rsidR="00D70958">
        <w:rPr>
          <w:sz w:val="26"/>
          <w:szCs w:val="26"/>
        </w:rPr>
        <w:t xml:space="preserve"> </w:t>
      </w:r>
      <w:r>
        <w:rPr>
          <w:sz w:val="26"/>
          <w:szCs w:val="26"/>
        </w:rPr>
        <w:t>Phase I</w:t>
      </w:r>
      <w:r w:rsidR="00DA6613">
        <w:rPr>
          <w:sz w:val="26"/>
          <w:szCs w:val="26"/>
        </w:rPr>
        <w:t>I</w:t>
      </w:r>
      <w:r>
        <w:rPr>
          <w:sz w:val="26"/>
          <w:szCs w:val="26"/>
        </w:rPr>
        <w:t xml:space="preserve"> Final Annual Report, the SWE </w:t>
      </w:r>
      <w:r w:rsidR="00EF512A">
        <w:rPr>
          <w:sz w:val="26"/>
          <w:szCs w:val="26"/>
        </w:rPr>
        <w:t>validates</w:t>
      </w:r>
      <w:r>
        <w:rPr>
          <w:sz w:val="26"/>
          <w:szCs w:val="26"/>
        </w:rPr>
        <w:t xml:space="preserve"> with Penn Power’s reported TRM-verified savings of </w:t>
      </w:r>
      <w:r w:rsidR="00DA6613">
        <w:rPr>
          <w:sz w:val="26"/>
          <w:szCs w:val="26"/>
        </w:rPr>
        <w:t>131,948</w:t>
      </w:r>
      <w:r>
        <w:rPr>
          <w:sz w:val="26"/>
          <w:szCs w:val="26"/>
        </w:rPr>
        <w:t xml:space="preserve"> MWh and notes that this </w:t>
      </w:r>
      <w:r w:rsidR="00EF512A">
        <w:rPr>
          <w:sz w:val="26"/>
          <w:szCs w:val="26"/>
        </w:rPr>
        <w:t>amounts to</w:t>
      </w:r>
      <w:r>
        <w:rPr>
          <w:sz w:val="26"/>
          <w:szCs w:val="26"/>
        </w:rPr>
        <w:t xml:space="preserve"> </w:t>
      </w:r>
      <w:r w:rsidR="00DA6613">
        <w:rPr>
          <w:sz w:val="26"/>
          <w:szCs w:val="26"/>
        </w:rPr>
        <w:t>138</w:t>
      </w:r>
      <w:r>
        <w:rPr>
          <w:sz w:val="26"/>
          <w:szCs w:val="26"/>
        </w:rPr>
        <w:t xml:space="preserve">% of Penn Power’s </w:t>
      </w:r>
      <w:r w:rsidR="00230696">
        <w:rPr>
          <w:sz w:val="26"/>
          <w:szCs w:val="26"/>
        </w:rPr>
        <w:t xml:space="preserve">electric </w:t>
      </w:r>
      <w:r w:rsidR="00DA6613">
        <w:rPr>
          <w:sz w:val="26"/>
          <w:szCs w:val="26"/>
        </w:rPr>
        <w:lastRenderedPageBreak/>
        <w:t xml:space="preserve">consumption </w:t>
      </w:r>
      <w:r w:rsidR="00EF512A">
        <w:rPr>
          <w:sz w:val="26"/>
          <w:szCs w:val="26"/>
        </w:rPr>
        <w:t>reduction requirement</w:t>
      </w:r>
      <w:r>
        <w:rPr>
          <w:sz w:val="26"/>
          <w:szCs w:val="26"/>
        </w:rPr>
        <w:t>.</w:t>
      </w:r>
      <w:r>
        <w:rPr>
          <w:rStyle w:val="FootnoteReference"/>
          <w:sz w:val="26"/>
          <w:szCs w:val="26"/>
        </w:rPr>
        <w:footnoteReference w:id="28"/>
      </w:r>
      <w:r>
        <w:rPr>
          <w:sz w:val="26"/>
          <w:szCs w:val="26"/>
        </w:rPr>
        <w:t xml:space="preserve">  The Commission agrees with the TRM-verified savings reported by Penn Power and confirmed by the SWE and deems Penn Power to be in compliance with the May 31, </w:t>
      </w:r>
      <w:r w:rsidR="00DA6613">
        <w:rPr>
          <w:sz w:val="26"/>
          <w:szCs w:val="26"/>
        </w:rPr>
        <w:t>2016</w:t>
      </w:r>
      <w:r w:rsidR="00B76655">
        <w:rPr>
          <w:sz w:val="26"/>
          <w:szCs w:val="26"/>
        </w:rPr>
        <w:t>,</w:t>
      </w:r>
      <w:r>
        <w:rPr>
          <w:sz w:val="26"/>
          <w:szCs w:val="26"/>
        </w:rPr>
        <w:t xml:space="preserve"> </w:t>
      </w:r>
      <w:r w:rsidR="00DA2DF9">
        <w:rPr>
          <w:sz w:val="26"/>
          <w:szCs w:val="26"/>
        </w:rPr>
        <w:t xml:space="preserve">electric </w:t>
      </w:r>
      <w:r>
        <w:rPr>
          <w:sz w:val="26"/>
          <w:szCs w:val="26"/>
        </w:rPr>
        <w:t xml:space="preserve">consumption reduction </w:t>
      </w:r>
      <w:r w:rsidR="00EF512A">
        <w:rPr>
          <w:sz w:val="26"/>
          <w:szCs w:val="26"/>
        </w:rPr>
        <w:t>requirement</w:t>
      </w:r>
      <w:r w:rsidR="003702C5">
        <w:rPr>
          <w:sz w:val="26"/>
          <w:szCs w:val="26"/>
        </w:rPr>
        <w:t>.</w:t>
      </w:r>
    </w:p>
    <w:p w:rsidR="009E045B" w:rsidRDefault="009E045B" w:rsidP="00415B77">
      <w:pPr>
        <w:pStyle w:val="p3"/>
        <w:tabs>
          <w:tab w:val="clear" w:pos="204"/>
        </w:tabs>
        <w:spacing w:line="360" w:lineRule="auto"/>
        <w:rPr>
          <w:sz w:val="26"/>
          <w:szCs w:val="26"/>
        </w:rPr>
      </w:pPr>
    </w:p>
    <w:p w:rsidR="00EF512A" w:rsidRDefault="00EF512A" w:rsidP="00415B77">
      <w:pPr>
        <w:pStyle w:val="p3"/>
        <w:tabs>
          <w:tab w:val="clear" w:pos="204"/>
        </w:tabs>
        <w:spacing w:line="360" w:lineRule="auto"/>
        <w:rPr>
          <w:sz w:val="26"/>
          <w:szCs w:val="26"/>
        </w:rPr>
      </w:pPr>
      <w:r>
        <w:rPr>
          <w:sz w:val="26"/>
          <w:szCs w:val="26"/>
        </w:rPr>
        <w:tab/>
      </w:r>
      <w:r>
        <w:rPr>
          <w:sz w:val="26"/>
          <w:szCs w:val="26"/>
        </w:rPr>
        <w:tab/>
      </w:r>
      <w:r>
        <w:rPr>
          <w:b/>
          <w:sz w:val="26"/>
          <w:szCs w:val="26"/>
        </w:rPr>
        <w:t>f.</w:t>
      </w:r>
      <w:r>
        <w:rPr>
          <w:b/>
          <w:sz w:val="26"/>
          <w:szCs w:val="26"/>
        </w:rPr>
        <w:tab/>
        <w:t>PPL</w:t>
      </w:r>
    </w:p>
    <w:p w:rsidR="00276194" w:rsidRDefault="00276194" w:rsidP="00276194">
      <w:pPr>
        <w:pStyle w:val="p3"/>
        <w:tabs>
          <w:tab w:val="clear" w:pos="204"/>
        </w:tabs>
        <w:spacing w:line="360" w:lineRule="auto"/>
        <w:rPr>
          <w:sz w:val="26"/>
          <w:szCs w:val="26"/>
        </w:rPr>
      </w:pPr>
      <w:r>
        <w:rPr>
          <w:sz w:val="26"/>
          <w:szCs w:val="26"/>
        </w:rPr>
        <w:tab/>
        <w:t>PPL was required to reduce, by May 31, 201</w:t>
      </w:r>
      <w:r w:rsidR="0009739F">
        <w:rPr>
          <w:sz w:val="26"/>
          <w:szCs w:val="26"/>
        </w:rPr>
        <w:t>6</w:t>
      </w:r>
      <w:r>
        <w:rPr>
          <w:sz w:val="26"/>
          <w:szCs w:val="26"/>
        </w:rPr>
        <w:t xml:space="preserve">, electric consumption in its service territory by </w:t>
      </w:r>
      <w:r w:rsidR="0009739F">
        <w:rPr>
          <w:sz w:val="26"/>
          <w:szCs w:val="26"/>
        </w:rPr>
        <w:t>821,072</w:t>
      </w:r>
      <w:r>
        <w:rPr>
          <w:sz w:val="26"/>
          <w:szCs w:val="26"/>
        </w:rPr>
        <w:t xml:space="preserve"> MWh.</w:t>
      </w:r>
      <w:r>
        <w:rPr>
          <w:rStyle w:val="FootnoteReference"/>
          <w:sz w:val="26"/>
          <w:szCs w:val="26"/>
        </w:rPr>
        <w:footnoteReference w:id="29"/>
      </w:r>
      <w:r>
        <w:rPr>
          <w:sz w:val="26"/>
          <w:szCs w:val="26"/>
        </w:rPr>
        <w:t xml:space="preserve">  PPL </w:t>
      </w:r>
      <w:r w:rsidR="00EF512A">
        <w:rPr>
          <w:sz w:val="26"/>
          <w:szCs w:val="26"/>
        </w:rPr>
        <w:t>reports,</w:t>
      </w:r>
      <w:r>
        <w:rPr>
          <w:sz w:val="26"/>
          <w:szCs w:val="26"/>
        </w:rPr>
        <w:t xml:space="preserve"> in its PY</w:t>
      </w:r>
      <w:r w:rsidR="0009739F">
        <w:rPr>
          <w:sz w:val="26"/>
          <w:szCs w:val="26"/>
        </w:rPr>
        <w:t>7</w:t>
      </w:r>
      <w:r>
        <w:rPr>
          <w:sz w:val="26"/>
          <w:szCs w:val="26"/>
        </w:rPr>
        <w:t xml:space="preserve"> Final Annual Report</w:t>
      </w:r>
      <w:r w:rsidR="00EF512A">
        <w:rPr>
          <w:sz w:val="26"/>
          <w:szCs w:val="26"/>
        </w:rPr>
        <w:t>, it attained</w:t>
      </w:r>
      <w:r>
        <w:rPr>
          <w:sz w:val="26"/>
          <w:szCs w:val="26"/>
        </w:rPr>
        <w:t xml:space="preserve"> a TRM-verified </w:t>
      </w:r>
      <w:r w:rsidR="00EF512A">
        <w:rPr>
          <w:sz w:val="26"/>
          <w:szCs w:val="26"/>
        </w:rPr>
        <w:t>reduction</w:t>
      </w:r>
      <w:r>
        <w:rPr>
          <w:sz w:val="26"/>
          <w:szCs w:val="26"/>
        </w:rPr>
        <w:t xml:space="preserve"> of </w:t>
      </w:r>
      <w:r w:rsidR="00390185">
        <w:rPr>
          <w:sz w:val="26"/>
          <w:szCs w:val="26"/>
        </w:rPr>
        <w:t>1,194,372</w:t>
      </w:r>
      <w:r>
        <w:rPr>
          <w:sz w:val="26"/>
          <w:szCs w:val="26"/>
        </w:rPr>
        <w:t xml:space="preserve"> MWh </w:t>
      </w:r>
      <w:r w:rsidR="00EF512A">
        <w:rPr>
          <w:sz w:val="26"/>
          <w:szCs w:val="26"/>
        </w:rPr>
        <w:t>in electric consumption as of</w:t>
      </w:r>
      <w:r>
        <w:rPr>
          <w:sz w:val="26"/>
          <w:szCs w:val="26"/>
        </w:rPr>
        <w:t xml:space="preserve"> May 31, </w:t>
      </w:r>
      <w:r w:rsidR="0009739F">
        <w:rPr>
          <w:sz w:val="26"/>
          <w:szCs w:val="26"/>
        </w:rPr>
        <w:t>2016, including carryover savings from Phase I</w:t>
      </w:r>
      <w:r>
        <w:rPr>
          <w:sz w:val="26"/>
          <w:szCs w:val="26"/>
        </w:rPr>
        <w:t>.</w:t>
      </w:r>
      <w:r>
        <w:rPr>
          <w:rStyle w:val="FootnoteReference"/>
          <w:sz w:val="26"/>
          <w:szCs w:val="26"/>
        </w:rPr>
        <w:footnoteReference w:id="30"/>
      </w:r>
      <w:r>
        <w:rPr>
          <w:sz w:val="26"/>
          <w:szCs w:val="26"/>
        </w:rPr>
        <w:t xml:space="preserve">  In its </w:t>
      </w:r>
      <w:r w:rsidR="0066082E">
        <w:rPr>
          <w:sz w:val="26"/>
          <w:szCs w:val="26"/>
        </w:rPr>
        <w:t>Amended</w:t>
      </w:r>
      <w:r w:rsidR="00D70958">
        <w:rPr>
          <w:sz w:val="26"/>
          <w:szCs w:val="26"/>
        </w:rPr>
        <w:t xml:space="preserve"> </w:t>
      </w:r>
      <w:r>
        <w:rPr>
          <w:sz w:val="26"/>
          <w:szCs w:val="26"/>
        </w:rPr>
        <w:t>Phase I</w:t>
      </w:r>
      <w:r w:rsidR="0009739F">
        <w:rPr>
          <w:sz w:val="26"/>
          <w:szCs w:val="26"/>
        </w:rPr>
        <w:t>I</w:t>
      </w:r>
      <w:r>
        <w:rPr>
          <w:sz w:val="26"/>
          <w:szCs w:val="26"/>
        </w:rPr>
        <w:t xml:space="preserve"> Final Annual Report, the SWE </w:t>
      </w:r>
      <w:r w:rsidR="00EF512A">
        <w:rPr>
          <w:sz w:val="26"/>
          <w:szCs w:val="26"/>
        </w:rPr>
        <w:t>validates</w:t>
      </w:r>
      <w:r>
        <w:rPr>
          <w:sz w:val="26"/>
          <w:szCs w:val="26"/>
        </w:rPr>
        <w:t xml:space="preserve"> PPL’s reported TRM-verified savings of </w:t>
      </w:r>
      <w:r w:rsidR="00390185">
        <w:rPr>
          <w:sz w:val="26"/>
          <w:szCs w:val="26"/>
        </w:rPr>
        <w:t xml:space="preserve">1,194,372 </w:t>
      </w:r>
      <w:r>
        <w:rPr>
          <w:sz w:val="26"/>
          <w:szCs w:val="26"/>
        </w:rPr>
        <w:t xml:space="preserve">MWh and notes that this </w:t>
      </w:r>
      <w:r w:rsidR="00EF512A">
        <w:rPr>
          <w:sz w:val="26"/>
          <w:szCs w:val="26"/>
        </w:rPr>
        <w:t>amounts to</w:t>
      </w:r>
      <w:r>
        <w:rPr>
          <w:sz w:val="26"/>
          <w:szCs w:val="26"/>
        </w:rPr>
        <w:t xml:space="preserve"> </w:t>
      </w:r>
      <w:r w:rsidR="007C502D">
        <w:rPr>
          <w:sz w:val="26"/>
          <w:szCs w:val="26"/>
        </w:rPr>
        <w:t>14</w:t>
      </w:r>
      <w:r w:rsidR="00904F93">
        <w:rPr>
          <w:sz w:val="26"/>
          <w:szCs w:val="26"/>
        </w:rPr>
        <w:t>6</w:t>
      </w:r>
      <w:r>
        <w:rPr>
          <w:sz w:val="26"/>
          <w:szCs w:val="26"/>
        </w:rPr>
        <w:t xml:space="preserve">% of PPL’s </w:t>
      </w:r>
      <w:r w:rsidR="00390185">
        <w:rPr>
          <w:sz w:val="26"/>
          <w:szCs w:val="26"/>
        </w:rPr>
        <w:t xml:space="preserve">electric </w:t>
      </w:r>
      <w:r w:rsidR="0009739F">
        <w:rPr>
          <w:sz w:val="26"/>
          <w:szCs w:val="26"/>
        </w:rPr>
        <w:t xml:space="preserve">consumption </w:t>
      </w:r>
      <w:r w:rsidR="00EF512A">
        <w:rPr>
          <w:sz w:val="26"/>
          <w:szCs w:val="26"/>
        </w:rPr>
        <w:t>reduction requirement</w:t>
      </w:r>
      <w:r>
        <w:rPr>
          <w:sz w:val="26"/>
          <w:szCs w:val="26"/>
        </w:rPr>
        <w:t>.</w:t>
      </w:r>
      <w:r>
        <w:rPr>
          <w:rStyle w:val="FootnoteReference"/>
          <w:sz w:val="26"/>
          <w:szCs w:val="26"/>
        </w:rPr>
        <w:footnoteReference w:id="31"/>
      </w:r>
      <w:r>
        <w:rPr>
          <w:sz w:val="26"/>
          <w:szCs w:val="26"/>
        </w:rPr>
        <w:t xml:space="preserve">  The Commission agrees with the TRM-verified savings reported by PPL and confirmed by the SWE and deems PPL to be in compliance with the May 31, 201</w:t>
      </w:r>
      <w:r w:rsidR="0009739F">
        <w:rPr>
          <w:sz w:val="26"/>
          <w:szCs w:val="26"/>
        </w:rPr>
        <w:t>6</w:t>
      </w:r>
      <w:r w:rsidR="00EF512A">
        <w:rPr>
          <w:sz w:val="26"/>
          <w:szCs w:val="26"/>
        </w:rPr>
        <w:t>,</w:t>
      </w:r>
      <w:r>
        <w:rPr>
          <w:sz w:val="26"/>
          <w:szCs w:val="26"/>
        </w:rPr>
        <w:t xml:space="preserve"> </w:t>
      </w:r>
      <w:r w:rsidR="00DA2DF9">
        <w:rPr>
          <w:sz w:val="26"/>
          <w:szCs w:val="26"/>
        </w:rPr>
        <w:t>electric</w:t>
      </w:r>
      <w:r w:rsidR="0009739F">
        <w:rPr>
          <w:sz w:val="26"/>
          <w:szCs w:val="26"/>
        </w:rPr>
        <w:t xml:space="preserve"> </w:t>
      </w:r>
      <w:r>
        <w:rPr>
          <w:sz w:val="26"/>
          <w:szCs w:val="26"/>
        </w:rPr>
        <w:t xml:space="preserve"> consumption reduction </w:t>
      </w:r>
      <w:r w:rsidR="003C476E">
        <w:rPr>
          <w:sz w:val="26"/>
          <w:szCs w:val="26"/>
        </w:rPr>
        <w:t>requirement</w:t>
      </w:r>
      <w:r>
        <w:rPr>
          <w:sz w:val="26"/>
          <w:szCs w:val="26"/>
        </w:rPr>
        <w:t>.</w:t>
      </w:r>
    </w:p>
    <w:p w:rsidR="00543ED4" w:rsidRDefault="00543ED4">
      <w:pPr>
        <w:overflowPunct/>
        <w:autoSpaceDE/>
        <w:autoSpaceDN/>
        <w:adjustRightInd/>
        <w:textAlignment w:val="auto"/>
        <w:rPr>
          <w:sz w:val="26"/>
          <w:szCs w:val="26"/>
        </w:rPr>
      </w:pPr>
    </w:p>
    <w:p w:rsidR="003C476E" w:rsidRDefault="003C476E" w:rsidP="00276194">
      <w:pPr>
        <w:pStyle w:val="p3"/>
        <w:tabs>
          <w:tab w:val="clear" w:pos="204"/>
        </w:tabs>
        <w:spacing w:line="360" w:lineRule="auto"/>
        <w:rPr>
          <w:sz w:val="26"/>
          <w:szCs w:val="26"/>
        </w:rPr>
      </w:pPr>
      <w:r>
        <w:rPr>
          <w:sz w:val="26"/>
          <w:szCs w:val="26"/>
        </w:rPr>
        <w:tab/>
      </w:r>
      <w:r>
        <w:rPr>
          <w:sz w:val="26"/>
          <w:szCs w:val="26"/>
        </w:rPr>
        <w:tab/>
      </w:r>
      <w:r>
        <w:rPr>
          <w:b/>
          <w:sz w:val="26"/>
          <w:szCs w:val="26"/>
        </w:rPr>
        <w:t>g.</w:t>
      </w:r>
      <w:r>
        <w:rPr>
          <w:b/>
          <w:sz w:val="26"/>
          <w:szCs w:val="26"/>
        </w:rPr>
        <w:tab/>
        <w:t>West Penn</w:t>
      </w:r>
    </w:p>
    <w:p w:rsidR="0077552A" w:rsidRPr="00074690" w:rsidRDefault="00276194" w:rsidP="00415B77">
      <w:pPr>
        <w:pStyle w:val="p3"/>
        <w:tabs>
          <w:tab w:val="clear" w:pos="204"/>
        </w:tabs>
        <w:spacing w:line="360" w:lineRule="auto"/>
        <w:rPr>
          <w:sz w:val="26"/>
          <w:szCs w:val="26"/>
        </w:rPr>
      </w:pPr>
      <w:r>
        <w:rPr>
          <w:sz w:val="26"/>
          <w:szCs w:val="26"/>
        </w:rPr>
        <w:tab/>
      </w:r>
      <w:r w:rsidR="0009739F">
        <w:rPr>
          <w:sz w:val="26"/>
          <w:szCs w:val="26"/>
        </w:rPr>
        <w:t>West Penn was required to reduce, by May 31, 2016, electric consumption in its service territory by 337,533 MWh.</w:t>
      </w:r>
      <w:r w:rsidR="0009739F">
        <w:rPr>
          <w:rStyle w:val="FootnoteReference"/>
          <w:sz w:val="26"/>
          <w:szCs w:val="26"/>
        </w:rPr>
        <w:footnoteReference w:id="32"/>
      </w:r>
      <w:r w:rsidR="0009739F">
        <w:rPr>
          <w:sz w:val="26"/>
          <w:szCs w:val="26"/>
        </w:rPr>
        <w:t xml:space="preserve">  West Penn reports, in its PY7 Final Annual Report, it attained a TRM-verified reduction of 418,002 MWh in electric consumption as of May 31, 2016, including carryover savings from Phase I.</w:t>
      </w:r>
      <w:r w:rsidR="0009739F">
        <w:rPr>
          <w:rStyle w:val="FootnoteReference"/>
          <w:sz w:val="26"/>
          <w:szCs w:val="26"/>
        </w:rPr>
        <w:footnoteReference w:id="33"/>
      </w:r>
      <w:r w:rsidR="0009739F">
        <w:rPr>
          <w:sz w:val="26"/>
          <w:szCs w:val="26"/>
        </w:rPr>
        <w:t xml:space="preserve">  In its </w:t>
      </w:r>
      <w:r w:rsidR="0066082E">
        <w:rPr>
          <w:sz w:val="26"/>
          <w:szCs w:val="26"/>
        </w:rPr>
        <w:t>Amended</w:t>
      </w:r>
      <w:r w:rsidR="00D70958">
        <w:rPr>
          <w:sz w:val="26"/>
          <w:szCs w:val="26"/>
        </w:rPr>
        <w:t xml:space="preserve"> </w:t>
      </w:r>
      <w:r w:rsidR="0009739F">
        <w:rPr>
          <w:sz w:val="26"/>
          <w:szCs w:val="26"/>
        </w:rPr>
        <w:t xml:space="preserve">Phase II Final Annual Report, the SWE validates West Penn’s reported TRM-verified savings of 418,002 MWh and notes that this amounts to 124% of West Penn’s </w:t>
      </w:r>
      <w:r w:rsidR="00FE5D1C">
        <w:rPr>
          <w:sz w:val="26"/>
          <w:szCs w:val="26"/>
        </w:rPr>
        <w:t xml:space="preserve">electric </w:t>
      </w:r>
      <w:r w:rsidR="0009739F">
        <w:rPr>
          <w:sz w:val="26"/>
          <w:szCs w:val="26"/>
        </w:rPr>
        <w:t xml:space="preserve">consumption  </w:t>
      </w:r>
      <w:r w:rsidR="0009739F">
        <w:rPr>
          <w:sz w:val="26"/>
          <w:szCs w:val="26"/>
        </w:rPr>
        <w:lastRenderedPageBreak/>
        <w:t>reduction requirement.</w:t>
      </w:r>
      <w:r w:rsidR="0009739F">
        <w:rPr>
          <w:rStyle w:val="FootnoteReference"/>
          <w:sz w:val="26"/>
          <w:szCs w:val="26"/>
        </w:rPr>
        <w:footnoteReference w:id="34"/>
      </w:r>
      <w:r w:rsidR="0009739F">
        <w:rPr>
          <w:sz w:val="26"/>
          <w:szCs w:val="26"/>
        </w:rPr>
        <w:t xml:space="preserve">  The Commission agrees with the TRM-verified savings reported by West Penn and confirmed by the SWE and deems West Penn to be in compliance with the May 31, 2016, </w:t>
      </w:r>
      <w:r w:rsidR="00DA2DF9">
        <w:rPr>
          <w:sz w:val="26"/>
          <w:szCs w:val="26"/>
        </w:rPr>
        <w:t xml:space="preserve">electric </w:t>
      </w:r>
      <w:r w:rsidR="0009739F">
        <w:rPr>
          <w:sz w:val="26"/>
          <w:szCs w:val="26"/>
        </w:rPr>
        <w:t>consumption reduction requirement.</w:t>
      </w:r>
    </w:p>
    <w:p w:rsidR="005660E9" w:rsidRDefault="005660E9" w:rsidP="00415B77">
      <w:pPr>
        <w:pStyle w:val="p3"/>
        <w:tabs>
          <w:tab w:val="clear" w:pos="204"/>
        </w:tabs>
        <w:spacing w:line="360" w:lineRule="auto"/>
        <w:rPr>
          <w:b/>
          <w:sz w:val="26"/>
          <w:szCs w:val="26"/>
        </w:rPr>
      </w:pPr>
    </w:p>
    <w:p w:rsidR="00222D4F" w:rsidRDefault="00387950" w:rsidP="00FB1ABB">
      <w:pPr>
        <w:pStyle w:val="p3"/>
        <w:tabs>
          <w:tab w:val="clear" w:pos="204"/>
        </w:tabs>
        <w:spacing w:line="360" w:lineRule="auto"/>
        <w:ind w:firstLine="720"/>
        <w:rPr>
          <w:b/>
          <w:sz w:val="26"/>
          <w:szCs w:val="26"/>
        </w:rPr>
      </w:pPr>
      <w:r>
        <w:rPr>
          <w:b/>
          <w:sz w:val="26"/>
          <w:szCs w:val="26"/>
        </w:rPr>
        <w:t>2</w:t>
      </w:r>
      <w:r w:rsidR="00222D4F">
        <w:rPr>
          <w:b/>
          <w:sz w:val="26"/>
          <w:szCs w:val="26"/>
        </w:rPr>
        <w:t>.</w:t>
      </w:r>
      <w:r w:rsidR="00222D4F">
        <w:rPr>
          <w:b/>
          <w:sz w:val="26"/>
          <w:szCs w:val="26"/>
        </w:rPr>
        <w:tab/>
        <w:t>Government/Educational/Non-Profit Carve-Out</w:t>
      </w:r>
    </w:p>
    <w:p w:rsidR="00A03754" w:rsidRDefault="00387950" w:rsidP="00FB1ABB">
      <w:pPr>
        <w:pStyle w:val="p3"/>
        <w:tabs>
          <w:tab w:val="clear" w:pos="204"/>
        </w:tabs>
        <w:spacing w:line="360" w:lineRule="auto"/>
        <w:ind w:firstLine="720"/>
        <w:rPr>
          <w:sz w:val="26"/>
          <w:szCs w:val="26"/>
        </w:rPr>
      </w:pPr>
      <w:r>
        <w:rPr>
          <w:sz w:val="26"/>
          <w:szCs w:val="26"/>
        </w:rPr>
        <w:t xml:space="preserve">For Phase I, </w:t>
      </w:r>
      <w:r w:rsidR="00222D4F" w:rsidRPr="001709E6">
        <w:rPr>
          <w:sz w:val="26"/>
          <w:szCs w:val="26"/>
        </w:rPr>
        <w:t xml:space="preserve">Act 129 </w:t>
      </w:r>
      <w:r w:rsidRPr="001709E6">
        <w:rPr>
          <w:sz w:val="26"/>
          <w:szCs w:val="26"/>
        </w:rPr>
        <w:t>require</w:t>
      </w:r>
      <w:r>
        <w:rPr>
          <w:sz w:val="26"/>
          <w:szCs w:val="26"/>
        </w:rPr>
        <w:t>d</w:t>
      </w:r>
      <w:r w:rsidRPr="001709E6">
        <w:rPr>
          <w:sz w:val="26"/>
          <w:szCs w:val="26"/>
        </w:rPr>
        <w:t xml:space="preserve"> </w:t>
      </w:r>
      <w:r w:rsidR="00222D4F" w:rsidRPr="001709E6">
        <w:rPr>
          <w:sz w:val="26"/>
          <w:szCs w:val="26"/>
        </w:rPr>
        <w:t xml:space="preserve">the EDCs submit EE&amp;C Plans that provide a minimum of </w:t>
      </w:r>
      <w:r w:rsidR="00E76F9C">
        <w:rPr>
          <w:sz w:val="26"/>
          <w:szCs w:val="26"/>
        </w:rPr>
        <w:t>10%</w:t>
      </w:r>
      <w:r w:rsidR="00222D4F" w:rsidRPr="001709E6">
        <w:rPr>
          <w:sz w:val="26"/>
          <w:szCs w:val="26"/>
        </w:rPr>
        <w:t xml:space="preserve"> of the required reductions in consumption and peak demand be obtained from units of Federal, State and local government, including municipalities, school districts, institutions of higher education and nonprofit entities</w:t>
      </w:r>
      <w:r w:rsidR="001B4FDB" w:rsidRPr="001709E6">
        <w:rPr>
          <w:sz w:val="26"/>
          <w:szCs w:val="26"/>
        </w:rPr>
        <w:t xml:space="preserve"> (G/E/NP)</w:t>
      </w:r>
      <w:r w:rsidR="00222D4F" w:rsidRPr="001709E6">
        <w:rPr>
          <w:sz w:val="26"/>
          <w:szCs w:val="26"/>
        </w:rPr>
        <w:t>.  66 Pa.</w:t>
      </w:r>
      <w:r w:rsidR="005F20BE">
        <w:rPr>
          <w:sz w:val="26"/>
          <w:szCs w:val="26"/>
        </w:rPr>
        <w:t xml:space="preserve"> </w:t>
      </w:r>
      <w:r w:rsidR="00222D4F" w:rsidRPr="001709E6">
        <w:rPr>
          <w:sz w:val="26"/>
          <w:szCs w:val="26"/>
        </w:rPr>
        <w:t>C.S. § 2806.</w:t>
      </w:r>
      <w:r w:rsidR="001709E6">
        <w:rPr>
          <w:sz w:val="26"/>
          <w:szCs w:val="26"/>
        </w:rPr>
        <w:t>1(b)(1)(</w:t>
      </w:r>
      <w:proofErr w:type="spellStart"/>
      <w:r w:rsidR="001709E6">
        <w:rPr>
          <w:sz w:val="26"/>
          <w:szCs w:val="26"/>
        </w:rPr>
        <w:t>i</w:t>
      </w:r>
      <w:proofErr w:type="spellEnd"/>
      <w:r w:rsidR="001709E6">
        <w:rPr>
          <w:sz w:val="26"/>
          <w:szCs w:val="26"/>
        </w:rPr>
        <w:t>)(B</w:t>
      </w:r>
      <w:r w:rsidR="001709E6" w:rsidRPr="00FE5D1C">
        <w:rPr>
          <w:sz w:val="26"/>
          <w:szCs w:val="26"/>
        </w:rPr>
        <w:t>).</w:t>
      </w:r>
      <w:r w:rsidR="00A03754" w:rsidRPr="00FE5D1C">
        <w:rPr>
          <w:sz w:val="26"/>
          <w:szCs w:val="26"/>
        </w:rPr>
        <w:t xml:space="preserve">  </w:t>
      </w:r>
      <w:r w:rsidR="00620881" w:rsidRPr="00FE5D1C">
        <w:rPr>
          <w:sz w:val="26"/>
          <w:szCs w:val="26"/>
        </w:rPr>
        <w:t>For Phase II, the Commission again required the EDCs to obtain a minimum of 10% of all consumption reduction requirements from the federal, state and local governments, including municipalities, school districts, institutions of higher education and nonprofit entities.</w:t>
      </w:r>
      <w:r>
        <w:rPr>
          <w:rStyle w:val="FootnoteReference"/>
          <w:sz w:val="26"/>
          <w:szCs w:val="26"/>
        </w:rPr>
        <w:footnoteReference w:id="35"/>
      </w:r>
      <w:r w:rsidR="00620881" w:rsidRPr="00FE5D1C">
        <w:rPr>
          <w:sz w:val="26"/>
          <w:szCs w:val="26"/>
        </w:rPr>
        <w:t xml:space="preserve">  </w:t>
      </w:r>
      <w:r w:rsidR="00A03754">
        <w:rPr>
          <w:sz w:val="26"/>
          <w:szCs w:val="26"/>
        </w:rPr>
        <w:t xml:space="preserve">The Commission’s determination of compliance with the G/E/NP </w:t>
      </w:r>
      <w:r w:rsidR="00721C19">
        <w:rPr>
          <w:sz w:val="26"/>
          <w:szCs w:val="26"/>
        </w:rPr>
        <w:t xml:space="preserve">consumption reduction </w:t>
      </w:r>
      <w:r w:rsidR="001B0A32">
        <w:rPr>
          <w:sz w:val="26"/>
          <w:szCs w:val="26"/>
        </w:rPr>
        <w:t>c</w:t>
      </w:r>
      <w:r w:rsidR="00A03754">
        <w:rPr>
          <w:sz w:val="26"/>
          <w:szCs w:val="26"/>
        </w:rPr>
        <w:t>arve-</w:t>
      </w:r>
      <w:r w:rsidR="001B0A32">
        <w:rPr>
          <w:sz w:val="26"/>
          <w:szCs w:val="26"/>
        </w:rPr>
        <w:t>o</w:t>
      </w:r>
      <w:r w:rsidR="00A03754">
        <w:rPr>
          <w:sz w:val="26"/>
          <w:szCs w:val="26"/>
        </w:rPr>
        <w:t>ut for each EDC follows.</w:t>
      </w:r>
    </w:p>
    <w:p w:rsidR="00543ED4" w:rsidRDefault="00543ED4" w:rsidP="00A03754">
      <w:pPr>
        <w:pStyle w:val="p3"/>
        <w:tabs>
          <w:tab w:val="clear" w:pos="204"/>
        </w:tabs>
        <w:spacing w:line="360" w:lineRule="auto"/>
        <w:rPr>
          <w:sz w:val="26"/>
          <w:szCs w:val="26"/>
        </w:rPr>
      </w:pPr>
    </w:p>
    <w:p w:rsidR="00F46152" w:rsidRDefault="00F46152" w:rsidP="00A03754">
      <w:pPr>
        <w:pStyle w:val="p3"/>
        <w:tabs>
          <w:tab w:val="clear" w:pos="204"/>
        </w:tabs>
        <w:spacing w:line="360" w:lineRule="auto"/>
        <w:rPr>
          <w:sz w:val="26"/>
          <w:szCs w:val="26"/>
        </w:rPr>
      </w:pPr>
      <w:r>
        <w:rPr>
          <w:sz w:val="26"/>
          <w:szCs w:val="26"/>
        </w:rPr>
        <w:tab/>
      </w:r>
      <w:r>
        <w:rPr>
          <w:sz w:val="26"/>
          <w:szCs w:val="26"/>
        </w:rPr>
        <w:tab/>
      </w:r>
      <w:r>
        <w:rPr>
          <w:b/>
          <w:sz w:val="26"/>
          <w:szCs w:val="26"/>
        </w:rPr>
        <w:t>a.</w:t>
      </w:r>
      <w:r>
        <w:rPr>
          <w:b/>
          <w:sz w:val="26"/>
          <w:szCs w:val="26"/>
        </w:rPr>
        <w:tab/>
        <w:t>Duquesne</w:t>
      </w:r>
    </w:p>
    <w:p w:rsidR="00721C19" w:rsidRDefault="00222D4F" w:rsidP="00F71395">
      <w:pPr>
        <w:pStyle w:val="p3"/>
        <w:widowControl/>
        <w:tabs>
          <w:tab w:val="clear" w:pos="204"/>
        </w:tabs>
        <w:spacing w:line="360" w:lineRule="auto"/>
        <w:rPr>
          <w:sz w:val="26"/>
          <w:szCs w:val="26"/>
        </w:rPr>
      </w:pPr>
      <w:r>
        <w:rPr>
          <w:sz w:val="26"/>
          <w:szCs w:val="26"/>
        </w:rPr>
        <w:tab/>
      </w:r>
      <w:r w:rsidR="001B4FDB">
        <w:rPr>
          <w:sz w:val="26"/>
          <w:szCs w:val="26"/>
        </w:rPr>
        <w:t xml:space="preserve"> </w:t>
      </w:r>
      <w:r w:rsidR="00F46152">
        <w:rPr>
          <w:sz w:val="26"/>
          <w:szCs w:val="26"/>
        </w:rPr>
        <w:t xml:space="preserve">Duquesne was required to obtain </w:t>
      </w:r>
      <w:r w:rsidR="00381EA2">
        <w:rPr>
          <w:sz w:val="26"/>
          <w:szCs w:val="26"/>
        </w:rPr>
        <w:t>27,672</w:t>
      </w:r>
      <w:r w:rsidR="00F46152" w:rsidRPr="003C4DFC">
        <w:rPr>
          <w:sz w:val="26"/>
          <w:szCs w:val="26"/>
        </w:rPr>
        <w:t xml:space="preserve"> MWh</w:t>
      </w:r>
      <w:r w:rsidR="00F46152">
        <w:rPr>
          <w:sz w:val="26"/>
          <w:szCs w:val="26"/>
        </w:rPr>
        <w:t xml:space="preserve"> of its total </w:t>
      </w:r>
      <w:r w:rsidR="009A1D68" w:rsidRPr="003C4DFC">
        <w:rPr>
          <w:sz w:val="26"/>
          <w:szCs w:val="26"/>
        </w:rPr>
        <w:t>electric consumption</w:t>
      </w:r>
      <w:r w:rsidR="00FF15C3">
        <w:rPr>
          <w:sz w:val="26"/>
          <w:szCs w:val="26"/>
        </w:rPr>
        <w:t xml:space="preserve"> </w:t>
      </w:r>
      <w:r w:rsidR="00F46152">
        <w:rPr>
          <w:sz w:val="26"/>
          <w:szCs w:val="26"/>
        </w:rPr>
        <w:t>reduction from</w:t>
      </w:r>
      <w:r w:rsidR="00FF15C3">
        <w:rPr>
          <w:sz w:val="26"/>
          <w:szCs w:val="26"/>
        </w:rPr>
        <w:t xml:space="preserve"> the G/E/NP sector</w:t>
      </w:r>
      <w:r w:rsidR="009A1D68" w:rsidRPr="003C4DFC">
        <w:rPr>
          <w:sz w:val="26"/>
          <w:szCs w:val="26"/>
        </w:rPr>
        <w:t xml:space="preserve"> in its service territory.</w:t>
      </w:r>
      <w:r w:rsidR="009A1D68" w:rsidRPr="003C4DFC">
        <w:rPr>
          <w:rStyle w:val="FootnoteReference"/>
          <w:sz w:val="26"/>
          <w:szCs w:val="26"/>
        </w:rPr>
        <w:footnoteReference w:id="36"/>
      </w:r>
      <w:r w:rsidR="009A1D68" w:rsidRPr="003C4DFC">
        <w:rPr>
          <w:sz w:val="26"/>
          <w:szCs w:val="26"/>
        </w:rPr>
        <w:t xml:space="preserve">  Duquesne </w:t>
      </w:r>
      <w:r w:rsidR="00F46152">
        <w:rPr>
          <w:sz w:val="26"/>
          <w:szCs w:val="26"/>
        </w:rPr>
        <w:t>reports,</w:t>
      </w:r>
      <w:r w:rsidR="009A1D68" w:rsidRPr="003C4DFC">
        <w:rPr>
          <w:sz w:val="26"/>
          <w:szCs w:val="26"/>
        </w:rPr>
        <w:t xml:space="preserve"> in its PY</w:t>
      </w:r>
      <w:r w:rsidR="00381EA2">
        <w:rPr>
          <w:sz w:val="26"/>
          <w:szCs w:val="26"/>
        </w:rPr>
        <w:t>7</w:t>
      </w:r>
      <w:r w:rsidR="009A1D68" w:rsidRPr="003C4DFC">
        <w:rPr>
          <w:sz w:val="26"/>
          <w:szCs w:val="26"/>
        </w:rPr>
        <w:t xml:space="preserve"> Final Annual Repo</w:t>
      </w:r>
      <w:r w:rsidR="00FF15C3">
        <w:rPr>
          <w:sz w:val="26"/>
          <w:szCs w:val="26"/>
        </w:rPr>
        <w:t>rt</w:t>
      </w:r>
      <w:r w:rsidR="00F46152">
        <w:rPr>
          <w:sz w:val="26"/>
          <w:szCs w:val="26"/>
        </w:rPr>
        <w:t>, it attained</w:t>
      </w:r>
      <w:r w:rsidR="00FF15C3">
        <w:rPr>
          <w:sz w:val="26"/>
          <w:szCs w:val="26"/>
        </w:rPr>
        <w:t xml:space="preserve"> a TRM-verified </w:t>
      </w:r>
      <w:r w:rsidR="00F46152">
        <w:rPr>
          <w:sz w:val="26"/>
          <w:szCs w:val="26"/>
        </w:rPr>
        <w:t xml:space="preserve">reduction </w:t>
      </w:r>
      <w:r w:rsidR="00F46152" w:rsidRPr="003C4DFC">
        <w:rPr>
          <w:sz w:val="26"/>
          <w:szCs w:val="26"/>
        </w:rPr>
        <w:t xml:space="preserve">of </w:t>
      </w:r>
      <w:r w:rsidR="00381EA2">
        <w:rPr>
          <w:sz w:val="26"/>
          <w:szCs w:val="26"/>
        </w:rPr>
        <w:t>29,857</w:t>
      </w:r>
      <w:r w:rsidR="00F46152" w:rsidRPr="003C4DFC">
        <w:rPr>
          <w:sz w:val="26"/>
          <w:szCs w:val="26"/>
        </w:rPr>
        <w:t xml:space="preserve"> MWh</w:t>
      </w:r>
      <w:r w:rsidR="00FF15C3">
        <w:rPr>
          <w:sz w:val="26"/>
          <w:szCs w:val="26"/>
        </w:rPr>
        <w:t xml:space="preserve"> from the G/E/NP sector</w:t>
      </w:r>
      <w:r w:rsidR="00381EA2">
        <w:rPr>
          <w:sz w:val="26"/>
          <w:szCs w:val="26"/>
        </w:rPr>
        <w:t>, including carryover savings from Phase I</w:t>
      </w:r>
      <w:r w:rsidR="009A1D68" w:rsidRPr="003C4DFC">
        <w:rPr>
          <w:sz w:val="26"/>
          <w:szCs w:val="26"/>
        </w:rPr>
        <w:t>.</w:t>
      </w:r>
      <w:r w:rsidR="009A1D68" w:rsidRPr="003C4DFC">
        <w:rPr>
          <w:rStyle w:val="FootnoteReference"/>
          <w:sz w:val="26"/>
          <w:szCs w:val="26"/>
        </w:rPr>
        <w:footnoteReference w:id="37"/>
      </w:r>
      <w:r w:rsidR="009A1D68" w:rsidRPr="003C4DFC">
        <w:rPr>
          <w:sz w:val="26"/>
          <w:szCs w:val="26"/>
        </w:rPr>
        <w:t xml:space="preserve">  In its </w:t>
      </w:r>
      <w:r w:rsidR="0066082E">
        <w:rPr>
          <w:sz w:val="26"/>
          <w:szCs w:val="26"/>
        </w:rPr>
        <w:t>Amended</w:t>
      </w:r>
      <w:r w:rsidR="00D70958">
        <w:rPr>
          <w:sz w:val="26"/>
          <w:szCs w:val="26"/>
        </w:rPr>
        <w:t xml:space="preserve"> </w:t>
      </w:r>
      <w:r w:rsidR="009A1D68" w:rsidRPr="003C4DFC">
        <w:rPr>
          <w:sz w:val="26"/>
          <w:szCs w:val="26"/>
        </w:rPr>
        <w:t>Phase I</w:t>
      </w:r>
      <w:r w:rsidR="00381EA2">
        <w:rPr>
          <w:sz w:val="26"/>
          <w:szCs w:val="26"/>
        </w:rPr>
        <w:t>I</w:t>
      </w:r>
      <w:r w:rsidR="009A1D68" w:rsidRPr="003C4DFC">
        <w:rPr>
          <w:sz w:val="26"/>
          <w:szCs w:val="26"/>
        </w:rPr>
        <w:t xml:space="preserve"> Final Annual </w:t>
      </w:r>
      <w:r w:rsidR="005F20BE" w:rsidRPr="003C4DFC">
        <w:rPr>
          <w:sz w:val="26"/>
          <w:szCs w:val="26"/>
        </w:rPr>
        <w:t>Report;</w:t>
      </w:r>
      <w:r w:rsidR="009A1D68" w:rsidRPr="003C4DFC">
        <w:rPr>
          <w:sz w:val="26"/>
          <w:szCs w:val="26"/>
        </w:rPr>
        <w:t xml:space="preserve"> the SWE </w:t>
      </w:r>
      <w:r w:rsidR="00F46152">
        <w:rPr>
          <w:sz w:val="26"/>
          <w:szCs w:val="26"/>
        </w:rPr>
        <w:t>validates</w:t>
      </w:r>
      <w:r w:rsidR="009A1D68" w:rsidRPr="003C4DFC">
        <w:rPr>
          <w:sz w:val="26"/>
          <w:szCs w:val="26"/>
        </w:rPr>
        <w:t xml:space="preserve"> Duquesne’s reported TRM-verified savings of </w:t>
      </w:r>
      <w:r w:rsidR="00381EA2">
        <w:rPr>
          <w:sz w:val="26"/>
          <w:szCs w:val="26"/>
        </w:rPr>
        <w:t>29,857</w:t>
      </w:r>
      <w:r w:rsidR="009A1D68" w:rsidRPr="003C4DFC">
        <w:rPr>
          <w:sz w:val="26"/>
          <w:szCs w:val="26"/>
        </w:rPr>
        <w:t xml:space="preserve"> MWh and notes that this </w:t>
      </w:r>
      <w:r w:rsidR="00F46152">
        <w:rPr>
          <w:sz w:val="26"/>
          <w:szCs w:val="26"/>
        </w:rPr>
        <w:t>amounts to</w:t>
      </w:r>
      <w:r w:rsidR="009A1D68" w:rsidRPr="003C4DFC">
        <w:rPr>
          <w:sz w:val="26"/>
          <w:szCs w:val="26"/>
        </w:rPr>
        <w:t xml:space="preserve"> </w:t>
      </w:r>
      <w:r w:rsidR="00381EA2">
        <w:rPr>
          <w:sz w:val="26"/>
          <w:szCs w:val="26"/>
        </w:rPr>
        <w:t>108</w:t>
      </w:r>
      <w:r w:rsidR="00FF15C3">
        <w:rPr>
          <w:sz w:val="26"/>
          <w:szCs w:val="26"/>
        </w:rPr>
        <w:t xml:space="preserve">% of Duquesne’s G/E/NP </w:t>
      </w:r>
      <w:r w:rsidR="00721C19">
        <w:rPr>
          <w:sz w:val="26"/>
          <w:szCs w:val="26"/>
        </w:rPr>
        <w:t xml:space="preserve">consumption reduction </w:t>
      </w:r>
      <w:r w:rsidR="00F46152">
        <w:rPr>
          <w:sz w:val="26"/>
          <w:szCs w:val="26"/>
        </w:rPr>
        <w:t>requirement</w:t>
      </w:r>
      <w:r w:rsidR="009A1D68" w:rsidRPr="003C4DFC">
        <w:rPr>
          <w:sz w:val="26"/>
          <w:szCs w:val="26"/>
        </w:rPr>
        <w:t>.</w:t>
      </w:r>
      <w:r w:rsidR="009A1D68" w:rsidRPr="003C4DFC">
        <w:rPr>
          <w:rStyle w:val="FootnoteReference"/>
          <w:sz w:val="26"/>
          <w:szCs w:val="26"/>
        </w:rPr>
        <w:footnoteReference w:id="38"/>
      </w:r>
      <w:r w:rsidR="009A1D68" w:rsidRPr="003C4DFC">
        <w:rPr>
          <w:sz w:val="26"/>
          <w:szCs w:val="26"/>
        </w:rPr>
        <w:t xml:space="preserve">  The Commission agrees with the TRM-verified savings </w:t>
      </w:r>
      <w:r w:rsidR="00F04B56">
        <w:rPr>
          <w:sz w:val="26"/>
          <w:szCs w:val="26"/>
        </w:rPr>
        <w:t xml:space="preserve">from </w:t>
      </w:r>
      <w:r w:rsidR="00F04B56">
        <w:rPr>
          <w:sz w:val="26"/>
          <w:szCs w:val="26"/>
        </w:rPr>
        <w:lastRenderedPageBreak/>
        <w:t xml:space="preserve">the G/E/NP sector </w:t>
      </w:r>
      <w:r w:rsidR="009A1D68" w:rsidRPr="003C4DFC">
        <w:rPr>
          <w:sz w:val="26"/>
          <w:szCs w:val="26"/>
        </w:rPr>
        <w:t xml:space="preserve">reported by </w:t>
      </w:r>
      <w:r w:rsidR="009A1D68" w:rsidRPr="00721C19">
        <w:rPr>
          <w:sz w:val="26"/>
          <w:szCs w:val="26"/>
        </w:rPr>
        <w:t>Duquesne and confirmed by the SWE and deems Duquesne to be in compliance with t</w:t>
      </w:r>
      <w:r w:rsidR="00F04B56" w:rsidRPr="00721C19">
        <w:rPr>
          <w:sz w:val="26"/>
          <w:szCs w:val="26"/>
        </w:rPr>
        <w:t>h</w:t>
      </w:r>
      <w:r w:rsidR="00721C19">
        <w:rPr>
          <w:sz w:val="26"/>
          <w:szCs w:val="26"/>
        </w:rPr>
        <w:t xml:space="preserve">e G/E/NP consumption reduction </w:t>
      </w:r>
      <w:r w:rsidR="00F46152">
        <w:rPr>
          <w:sz w:val="26"/>
          <w:szCs w:val="26"/>
        </w:rPr>
        <w:t>requirement</w:t>
      </w:r>
      <w:r w:rsidR="00721C19">
        <w:rPr>
          <w:sz w:val="26"/>
          <w:szCs w:val="26"/>
        </w:rPr>
        <w:t>.</w:t>
      </w:r>
    </w:p>
    <w:p w:rsidR="005660E9" w:rsidRDefault="005660E9" w:rsidP="00721C19">
      <w:pPr>
        <w:pStyle w:val="p3"/>
        <w:tabs>
          <w:tab w:val="clear" w:pos="204"/>
        </w:tabs>
        <w:spacing w:line="360" w:lineRule="auto"/>
        <w:rPr>
          <w:sz w:val="26"/>
          <w:szCs w:val="26"/>
        </w:rPr>
      </w:pPr>
    </w:p>
    <w:p w:rsidR="00154A02" w:rsidRPr="004507BB" w:rsidRDefault="00154A02" w:rsidP="00721C19">
      <w:pPr>
        <w:pStyle w:val="p3"/>
        <w:tabs>
          <w:tab w:val="clear" w:pos="204"/>
        </w:tabs>
        <w:spacing w:line="360" w:lineRule="auto"/>
        <w:rPr>
          <w:sz w:val="26"/>
          <w:szCs w:val="26"/>
        </w:rPr>
      </w:pPr>
      <w:r>
        <w:rPr>
          <w:sz w:val="26"/>
          <w:szCs w:val="26"/>
        </w:rPr>
        <w:tab/>
      </w:r>
      <w:r>
        <w:rPr>
          <w:sz w:val="26"/>
          <w:szCs w:val="26"/>
        </w:rPr>
        <w:tab/>
      </w:r>
      <w:r>
        <w:rPr>
          <w:b/>
          <w:sz w:val="26"/>
          <w:szCs w:val="26"/>
        </w:rPr>
        <w:t>b.</w:t>
      </w:r>
      <w:r>
        <w:rPr>
          <w:b/>
          <w:sz w:val="26"/>
          <w:szCs w:val="26"/>
        </w:rPr>
        <w:tab/>
        <w:t>Met-Ed</w:t>
      </w:r>
    </w:p>
    <w:p w:rsidR="003F7534" w:rsidRDefault="009A1D68" w:rsidP="00EE0B71">
      <w:pPr>
        <w:pStyle w:val="p3"/>
        <w:widowControl/>
        <w:tabs>
          <w:tab w:val="clear" w:pos="204"/>
        </w:tabs>
        <w:spacing w:line="360" w:lineRule="auto"/>
        <w:rPr>
          <w:sz w:val="26"/>
          <w:szCs w:val="26"/>
        </w:rPr>
      </w:pPr>
      <w:r>
        <w:rPr>
          <w:sz w:val="26"/>
          <w:szCs w:val="26"/>
        </w:rPr>
        <w:tab/>
      </w:r>
      <w:r w:rsidR="00CA58B0">
        <w:rPr>
          <w:sz w:val="26"/>
          <w:szCs w:val="26"/>
        </w:rPr>
        <w:t>Met-Ed</w:t>
      </w:r>
      <w:r w:rsidR="00CA58B0" w:rsidRPr="003C4DFC">
        <w:rPr>
          <w:sz w:val="26"/>
          <w:szCs w:val="26"/>
        </w:rPr>
        <w:t xml:space="preserve"> was required to </w:t>
      </w:r>
      <w:r w:rsidR="00154A02">
        <w:rPr>
          <w:sz w:val="26"/>
          <w:szCs w:val="26"/>
        </w:rPr>
        <w:t xml:space="preserve">obtain </w:t>
      </w:r>
      <w:r w:rsidR="00132AB8">
        <w:rPr>
          <w:sz w:val="26"/>
          <w:szCs w:val="26"/>
        </w:rPr>
        <w:t>33,775</w:t>
      </w:r>
      <w:r w:rsidR="00154A02" w:rsidRPr="003C4DFC">
        <w:rPr>
          <w:sz w:val="26"/>
          <w:szCs w:val="26"/>
        </w:rPr>
        <w:t xml:space="preserve"> MWh</w:t>
      </w:r>
      <w:r w:rsidR="00154A02">
        <w:rPr>
          <w:sz w:val="26"/>
          <w:szCs w:val="26"/>
        </w:rPr>
        <w:t xml:space="preserve"> of its total electric consumption reduction from</w:t>
      </w:r>
      <w:r w:rsidR="00CA58B0">
        <w:rPr>
          <w:sz w:val="26"/>
          <w:szCs w:val="26"/>
        </w:rPr>
        <w:t xml:space="preserve"> the G/E/NP sector</w:t>
      </w:r>
      <w:r w:rsidR="00CA58B0" w:rsidRPr="003C4DFC">
        <w:rPr>
          <w:sz w:val="26"/>
          <w:szCs w:val="26"/>
        </w:rPr>
        <w:t xml:space="preserve"> in its service territory.</w:t>
      </w:r>
      <w:r w:rsidR="00CA58B0" w:rsidRPr="003C4DFC">
        <w:rPr>
          <w:rStyle w:val="FootnoteReference"/>
          <w:sz w:val="26"/>
          <w:szCs w:val="26"/>
        </w:rPr>
        <w:footnoteReference w:id="39"/>
      </w:r>
      <w:r w:rsidR="00CA58B0" w:rsidRPr="003C4DFC">
        <w:rPr>
          <w:sz w:val="26"/>
          <w:szCs w:val="26"/>
        </w:rPr>
        <w:t xml:space="preserve">  </w:t>
      </w:r>
      <w:r w:rsidR="00CA58B0">
        <w:rPr>
          <w:sz w:val="26"/>
          <w:szCs w:val="26"/>
        </w:rPr>
        <w:t>Met-Ed</w:t>
      </w:r>
      <w:r w:rsidR="00CA58B0" w:rsidRPr="003C4DFC">
        <w:rPr>
          <w:sz w:val="26"/>
          <w:szCs w:val="26"/>
        </w:rPr>
        <w:t xml:space="preserve"> </w:t>
      </w:r>
      <w:r w:rsidR="00154A02">
        <w:rPr>
          <w:sz w:val="26"/>
          <w:szCs w:val="26"/>
        </w:rPr>
        <w:t>reports,</w:t>
      </w:r>
      <w:r w:rsidR="00CA58B0" w:rsidRPr="003C4DFC">
        <w:rPr>
          <w:sz w:val="26"/>
          <w:szCs w:val="26"/>
        </w:rPr>
        <w:t xml:space="preserve"> in its PY</w:t>
      </w:r>
      <w:r w:rsidR="00132AB8">
        <w:rPr>
          <w:sz w:val="26"/>
          <w:szCs w:val="26"/>
        </w:rPr>
        <w:t>7</w:t>
      </w:r>
      <w:r w:rsidR="00CA58B0" w:rsidRPr="003C4DFC">
        <w:rPr>
          <w:sz w:val="26"/>
          <w:szCs w:val="26"/>
        </w:rPr>
        <w:t xml:space="preserve"> Final Annual Repo</w:t>
      </w:r>
      <w:r w:rsidR="00CA58B0">
        <w:rPr>
          <w:sz w:val="26"/>
          <w:szCs w:val="26"/>
        </w:rPr>
        <w:t>rt</w:t>
      </w:r>
      <w:r w:rsidR="00154A02">
        <w:rPr>
          <w:sz w:val="26"/>
          <w:szCs w:val="26"/>
        </w:rPr>
        <w:t>, it attained</w:t>
      </w:r>
      <w:r w:rsidR="00CA58B0">
        <w:rPr>
          <w:sz w:val="26"/>
          <w:szCs w:val="26"/>
        </w:rPr>
        <w:t xml:space="preserve"> a TRM-verified </w:t>
      </w:r>
      <w:r w:rsidR="00154A02">
        <w:rPr>
          <w:sz w:val="26"/>
          <w:szCs w:val="26"/>
        </w:rPr>
        <w:t xml:space="preserve">reduction </w:t>
      </w:r>
      <w:r w:rsidR="00154A02" w:rsidRPr="003C4DFC">
        <w:rPr>
          <w:sz w:val="26"/>
          <w:szCs w:val="26"/>
        </w:rPr>
        <w:t xml:space="preserve">of </w:t>
      </w:r>
      <w:r w:rsidR="00132AB8">
        <w:rPr>
          <w:sz w:val="26"/>
          <w:szCs w:val="26"/>
        </w:rPr>
        <w:t>40,087</w:t>
      </w:r>
      <w:r w:rsidR="00154A02" w:rsidRPr="003C4DFC">
        <w:rPr>
          <w:sz w:val="26"/>
          <w:szCs w:val="26"/>
        </w:rPr>
        <w:t xml:space="preserve"> MWh</w:t>
      </w:r>
      <w:r w:rsidR="00CA58B0">
        <w:rPr>
          <w:sz w:val="26"/>
          <w:szCs w:val="26"/>
        </w:rPr>
        <w:t xml:space="preserve"> from the G/E/NP sector</w:t>
      </w:r>
      <w:r w:rsidR="00132AB8">
        <w:rPr>
          <w:sz w:val="26"/>
          <w:szCs w:val="26"/>
        </w:rPr>
        <w:t>, including carryover savings from Phase I</w:t>
      </w:r>
      <w:r w:rsidR="00CA58B0" w:rsidRPr="003C4DFC">
        <w:rPr>
          <w:sz w:val="26"/>
          <w:szCs w:val="26"/>
        </w:rPr>
        <w:t>.</w:t>
      </w:r>
      <w:r w:rsidR="00CA58B0" w:rsidRPr="003C4DFC">
        <w:rPr>
          <w:rStyle w:val="FootnoteReference"/>
          <w:sz w:val="26"/>
          <w:szCs w:val="26"/>
        </w:rPr>
        <w:footnoteReference w:id="40"/>
      </w:r>
      <w:r w:rsidR="00CA58B0" w:rsidRPr="003C4DFC">
        <w:rPr>
          <w:sz w:val="26"/>
          <w:szCs w:val="26"/>
        </w:rPr>
        <w:t xml:space="preserve">  In its </w:t>
      </w:r>
      <w:r w:rsidR="0066082E">
        <w:rPr>
          <w:sz w:val="26"/>
          <w:szCs w:val="26"/>
        </w:rPr>
        <w:t>Amended</w:t>
      </w:r>
      <w:r w:rsidR="00BD3FB1">
        <w:rPr>
          <w:sz w:val="26"/>
          <w:szCs w:val="26"/>
        </w:rPr>
        <w:t xml:space="preserve"> </w:t>
      </w:r>
      <w:r w:rsidR="00CA58B0" w:rsidRPr="003C4DFC">
        <w:rPr>
          <w:sz w:val="26"/>
          <w:szCs w:val="26"/>
        </w:rPr>
        <w:t>Phase I</w:t>
      </w:r>
      <w:r w:rsidR="00132AB8">
        <w:rPr>
          <w:sz w:val="26"/>
          <w:szCs w:val="26"/>
        </w:rPr>
        <w:t>I</w:t>
      </w:r>
      <w:r w:rsidR="00CA58B0" w:rsidRPr="003C4DFC">
        <w:rPr>
          <w:sz w:val="26"/>
          <w:szCs w:val="26"/>
        </w:rPr>
        <w:t xml:space="preserve"> Final Annual </w:t>
      </w:r>
      <w:r w:rsidR="005F20BE" w:rsidRPr="003C4DFC">
        <w:rPr>
          <w:sz w:val="26"/>
          <w:szCs w:val="26"/>
        </w:rPr>
        <w:t>Report;</w:t>
      </w:r>
      <w:r w:rsidR="00CA58B0" w:rsidRPr="003C4DFC">
        <w:rPr>
          <w:sz w:val="26"/>
          <w:szCs w:val="26"/>
        </w:rPr>
        <w:t xml:space="preserve"> the SWE </w:t>
      </w:r>
      <w:r w:rsidR="00154A02">
        <w:rPr>
          <w:sz w:val="26"/>
          <w:szCs w:val="26"/>
        </w:rPr>
        <w:t>validates</w:t>
      </w:r>
      <w:r w:rsidR="00CA58B0" w:rsidRPr="003C4DFC">
        <w:rPr>
          <w:sz w:val="26"/>
          <w:szCs w:val="26"/>
        </w:rPr>
        <w:t xml:space="preserve"> </w:t>
      </w:r>
      <w:r w:rsidR="00CA58B0">
        <w:rPr>
          <w:sz w:val="26"/>
          <w:szCs w:val="26"/>
        </w:rPr>
        <w:t>Met-Ed’s</w:t>
      </w:r>
      <w:r w:rsidR="00CA58B0" w:rsidRPr="003C4DFC">
        <w:rPr>
          <w:sz w:val="26"/>
          <w:szCs w:val="26"/>
        </w:rPr>
        <w:t xml:space="preserve"> reported TRM-verified savings of </w:t>
      </w:r>
      <w:r w:rsidR="00132AB8">
        <w:rPr>
          <w:sz w:val="26"/>
          <w:szCs w:val="26"/>
        </w:rPr>
        <w:t>40,087</w:t>
      </w:r>
      <w:r w:rsidR="00CA58B0" w:rsidRPr="003C4DFC">
        <w:rPr>
          <w:sz w:val="26"/>
          <w:szCs w:val="26"/>
        </w:rPr>
        <w:t xml:space="preserve"> MWh and notes that this </w:t>
      </w:r>
      <w:r w:rsidR="00154A02">
        <w:rPr>
          <w:sz w:val="26"/>
          <w:szCs w:val="26"/>
        </w:rPr>
        <w:t xml:space="preserve">amounts to </w:t>
      </w:r>
      <w:r w:rsidR="00132AB8">
        <w:rPr>
          <w:sz w:val="26"/>
          <w:szCs w:val="26"/>
        </w:rPr>
        <w:t>119</w:t>
      </w:r>
      <w:r w:rsidR="00CA58B0">
        <w:rPr>
          <w:sz w:val="26"/>
          <w:szCs w:val="26"/>
        </w:rPr>
        <w:t xml:space="preserve">% of Met-Ed’s G/E/NP </w:t>
      </w:r>
      <w:r w:rsidR="00560CB6">
        <w:rPr>
          <w:sz w:val="26"/>
          <w:szCs w:val="26"/>
        </w:rPr>
        <w:t xml:space="preserve">consumption </w:t>
      </w:r>
      <w:r w:rsidR="00A96DD0">
        <w:rPr>
          <w:sz w:val="26"/>
          <w:szCs w:val="26"/>
        </w:rPr>
        <w:t>reduction</w:t>
      </w:r>
      <w:r w:rsidR="00560CB6">
        <w:rPr>
          <w:sz w:val="26"/>
          <w:szCs w:val="26"/>
        </w:rPr>
        <w:t xml:space="preserve"> </w:t>
      </w:r>
      <w:r w:rsidR="00154A02">
        <w:rPr>
          <w:sz w:val="26"/>
          <w:szCs w:val="26"/>
        </w:rPr>
        <w:t>requirement</w:t>
      </w:r>
      <w:r w:rsidR="00CA58B0" w:rsidRPr="003C4DFC">
        <w:rPr>
          <w:sz w:val="26"/>
          <w:szCs w:val="26"/>
        </w:rPr>
        <w:t>.</w:t>
      </w:r>
      <w:r w:rsidR="00CA58B0" w:rsidRPr="003C4DFC">
        <w:rPr>
          <w:rStyle w:val="FootnoteReference"/>
          <w:sz w:val="26"/>
          <w:szCs w:val="26"/>
        </w:rPr>
        <w:footnoteReference w:id="41"/>
      </w:r>
      <w:r w:rsidR="00CA58B0" w:rsidRPr="003C4DFC">
        <w:rPr>
          <w:sz w:val="26"/>
          <w:szCs w:val="26"/>
        </w:rPr>
        <w:t xml:space="preserve">  </w:t>
      </w:r>
      <w:r w:rsidR="003F7534" w:rsidRPr="003C4DFC">
        <w:rPr>
          <w:sz w:val="26"/>
          <w:szCs w:val="26"/>
        </w:rPr>
        <w:t xml:space="preserve">The Commission agrees with the TRM-verified savings </w:t>
      </w:r>
      <w:r w:rsidR="003F7534">
        <w:rPr>
          <w:sz w:val="26"/>
          <w:szCs w:val="26"/>
        </w:rPr>
        <w:t xml:space="preserve">from the G/E/NP sector </w:t>
      </w:r>
      <w:r w:rsidR="003F7534" w:rsidRPr="003C4DFC">
        <w:rPr>
          <w:sz w:val="26"/>
          <w:szCs w:val="26"/>
        </w:rPr>
        <w:t xml:space="preserve">reported by </w:t>
      </w:r>
      <w:r w:rsidR="003F7534">
        <w:rPr>
          <w:sz w:val="26"/>
          <w:szCs w:val="26"/>
        </w:rPr>
        <w:t>Met-Ed</w:t>
      </w:r>
      <w:r w:rsidR="003F7534" w:rsidRPr="00721C19">
        <w:rPr>
          <w:sz w:val="26"/>
          <w:szCs w:val="26"/>
        </w:rPr>
        <w:t xml:space="preserve"> and confirmed by the SWE and deems </w:t>
      </w:r>
      <w:r w:rsidR="003F7534">
        <w:rPr>
          <w:sz w:val="26"/>
          <w:szCs w:val="26"/>
        </w:rPr>
        <w:t>Met-Ed</w:t>
      </w:r>
      <w:r w:rsidR="003F7534" w:rsidRPr="00721C19">
        <w:rPr>
          <w:sz w:val="26"/>
          <w:szCs w:val="26"/>
        </w:rPr>
        <w:t xml:space="preserve"> to be in compliance with th</w:t>
      </w:r>
      <w:r w:rsidR="003F7534">
        <w:rPr>
          <w:sz w:val="26"/>
          <w:szCs w:val="26"/>
        </w:rPr>
        <w:t xml:space="preserve">e G/E/NP consumption reduction </w:t>
      </w:r>
      <w:r w:rsidR="00154A02">
        <w:rPr>
          <w:sz w:val="26"/>
          <w:szCs w:val="26"/>
        </w:rPr>
        <w:t>requirement</w:t>
      </w:r>
      <w:r w:rsidR="009E045B">
        <w:rPr>
          <w:sz w:val="26"/>
          <w:szCs w:val="26"/>
        </w:rPr>
        <w:t>.</w:t>
      </w:r>
    </w:p>
    <w:p w:rsidR="009E045B" w:rsidRDefault="009E045B" w:rsidP="009A1D68">
      <w:pPr>
        <w:pStyle w:val="p3"/>
        <w:tabs>
          <w:tab w:val="clear" w:pos="204"/>
        </w:tabs>
        <w:spacing w:line="360" w:lineRule="auto"/>
        <w:rPr>
          <w:sz w:val="26"/>
          <w:szCs w:val="26"/>
        </w:rPr>
      </w:pPr>
    </w:p>
    <w:p w:rsidR="00B7291D" w:rsidRDefault="00B7291D" w:rsidP="009A1D68">
      <w:pPr>
        <w:pStyle w:val="p3"/>
        <w:tabs>
          <w:tab w:val="clear" w:pos="204"/>
        </w:tabs>
        <w:spacing w:line="360" w:lineRule="auto"/>
        <w:rPr>
          <w:sz w:val="26"/>
          <w:szCs w:val="26"/>
        </w:rPr>
      </w:pPr>
      <w:r>
        <w:rPr>
          <w:sz w:val="26"/>
          <w:szCs w:val="26"/>
        </w:rPr>
        <w:tab/>
      </w:r>
      <w:r>
        <w:rPr>
          <w:sz w:val="26"/>
          <w:szCs w:val="26"/>
        </w:rPr>
        <w:tab/>
      </w:r>
      <w:r>
        <w:rPr>
          <w:b/>
          <w:sz w:val="26"/>
          <w:szCs w:val="26"/>
        </w:rPr>
        <w:t>c.</w:t>
      </w:r>
      <w:r>
        <w:rPr>
          <w:b/>
          <w:sz w:val="26"/>
          <w:szCs w:val="26"/>
        </w:rPr>
        <w:tab/>
        <w:t>PECO</w:t>
      </w:r>
    </w:p>
    <w:p w:rsidR="00560CB6" w:rsidRDefault="009A1D68" w:rsidP="00F71395">
      <w:pPr>
        <w:pStyle w:val="p3"/>
        <w:widowControl/>
        <w:tabs>
          <w:tab w:val="clear" w:pos="204"/>
        </w:tabs>
        <w:spacing w:line="360" w:lineRule="auto"/>
        <w:rPr>
          <w:sz w:val="26"/>
          <w:szCs w:val="26"/>
        </w:rPr>
      </w:pPr>
      <w:r>
        <w:rPr>
          <w:sz w:val="26"/>
          <w:szCs w:val="26"/>
        </w:rPr>
        <w:tab/>
      </w:r>
      <w:r w:rsidR="00560CB6" w:rsidRPr="00560CB6">
        <w:rPr>
          <w:sz w:val="26"/>
          <w:szCs w:val="26"/>
        </w:rPr>
        <w:t xml:space="preserve">PECO was required to </w:t>
      </w:r>
      <w:r w:rsidR="00B7291D">
        <w:rPr>
          <w:sz w:val="26"/>
          <w:szCs w:val="26"/>
        </w:rPr>
        <w:t xml:space="preserve">obtain </w:t>
      </w:r>
      <w:r w:rsidR="0061640C">
        <w:rPr>
          <w:sz w:val="26"/>
          <w:szCs w:val="26"/>
        </w:rPr>
        <w:t>112,585</w:t>
      </w:r>
      <w:r w:rsidR="00FF34E4">
        <w:rPr>
          <w:sz w:val="26"/>
          <w:szCs w:val="26"/>
        </w:rPr>
        <w:t xml:space="preserve"> </w:t>
      </w:r>
      <w:r w:rsidR="00B7291D" w:rsidRPr="00560CB6">
        <w:rPr>
          <w:sz w:val="26"/>
          <w:szCs w:val="26"/>
        </w:rPr>
        <w:t xml:space="preserve">MWh </w:t>
      </w:r>
      <w:r w:rsidR="00B7291D">
        <w:rPr>
          <w:sz w:val="26"/>
          <w:szCs w:val="26"/>
        </w:rPr>
        <w:t xml:space="preserve">of its total electric consumption reduction from </w:t>
      </w:r>
      <w:r w:rsidR="00560CB6" w:rsidRPr="00560CB6">
        <w:rPr>
          <w:sz w:val="26"/>
          <w:szCs w:val="26"/>
        </w:rPr>
        <w:t>the G/E/NP sector in its service territory.</w:t>
      </w:r>
      <w:r w:rsidR="00560CB6" w:rsidRPr="00560CB6">
        <w:rPr>
          <w:rStyle w:val="FootnoteReference"/>
          <w:sz w:val="26"/>
          <w:szCs w:val="26"/>
        </w:rPr>
        <w:footnoteReference w:id="42"/>
      </w:r>
      <w:r w:rsidR="00560CB6" w:rsidRPr="00560CB6">
        <w:rPr>
          <w:sz w:val="26"/>
          <w:szCs w:val="26"/>
        </w:rPr>
        <w:t xml:space="preserve">  PECO </w:t>
      </w:r>
      <w:r w:rsidR="00B7291D">
        <w:rPr>
          <w:sz w:val="26"/>
          <w:szCs w:val="26"/>
        </w:rPr>
        <w:t>reports,</w:t>
      </w:r>
      <w:r w:rsidR="00560CB6" w:rsidRPr="00560CB6">
        <w:rPr>
          <w:sz w:val="26"/>
          <w:szCs w:val="26"/>
        </w:rPr>
        <w:t xml:space="preserve"> in its </w:t>
      </w:r>
      <w:r w:rsidR="00481FC3">
        <w:rPr>
          <w:sz w:val="26"/>
          <w:szCs w:val="26"/>
        </w:rPr>
        <w:t>PY7</w:t>
      </w:r>
      <w:r w:rsidR="00560CB6" w:rsidRPr="00560CB6">
        <w:rPr>
          <w:sz w:val="26"/>
          <w:szCs w:val="26"/>
        </w:rPr>
        <w:t xml:space="preserve"> Final Annual Report</w:t>
      </w:r>
      <w:r w:rsidR="00B7291D">
        <w:rPr>
          <w:sz w:val="26"/>
          <w:szCs w:val="26"/>
        </w:rPr>
        <w:t>, it attained</w:t>
      </w:r>
      <w:r w:rsidR="00560CB6" w:rsidRPr="00560CB6">
        <w:rPr>
          <w:sz w:val="26"/>
          <w:szCs w:val="26"/>
        </w:rPr>
        <w:t xml:space="preserve"> a TRM-verified </w:t>
      </w:r>
      <w:r w:rsidR="00B7291D">
        <w:rPr>
          <w:sz w:val="26"/>
          <w:szCs w:val="26"/>
        </w:rPr>
        <w:t xml:space="preserve">reduction </w:t>
      </w:r>
      <w:r w:rsidR="00B7291D" w:rsidRPr="00560CB6">
        <w:rPr>
          <w:sz w:val="26"/>
          <w:szCs w:val="26"/>
        </w:rPr>
        <w:t xml:space="preserve">of </w:t>
      </w:r>
      <w:r w:rsidR="0061640C">
        <w:rPr>
          <w:sz w:val="26"/>
          <w:szCs w:val="26"/>
        </w:rPr>
        <w:t xml:space="preserve">305,946 </w:t>
      </w:r>
      <w:r w:rsidR="00B7291D" w:rsidRPr="00560CB6">
        <w:rPr>
          <w:sz w:val="26"/>
          <w:szCs w:val="26"/>
        </w:rPr>
        <w:t>MWh</w:t>
      </w:r>
      <w:r w:rsidR="00560CB6" w:rsidRPr="00560CB6">
        <w:rPr>
          <w:sz w:val="26"/>
          <w:szCs w:val="26"/>
        </w:rPr>
        <w:t xml:space="preserve"> from the G/E/NP sector</w:t>
      </w:r>
      <w:r w:rsidR="00481FC3">
        <w:rPr>
          <w:sz w:val="26"/>
          <w:szCs w:val="26"/>
        </w:rPr>
        <w:t>, including carryover savings from Phase I</w:t>
      </w:r>
      <w:r w:rsidR="00481FC3" w:rsidRPr="003C4DFC">
        <w:rPr>
          <w:sz w:val="26"/>
          <w:szCs w:val="26"/>
        </w:rPr>
        <w:t>.</w:t>
      </w:r>
      <w:r w:rsidR="00481FC3" w:rsidRPr="003C4DFC">
        <w:rPr>
          <w:rStyle w:val="FootnoteReference"/>
          <w:sz w:val="26"/>
          <w:szCs w:val="26"/>
        </w:rPr>
        <w:footnoteReference w:id="43"/>
      </w:r>
      <w:r w:rsidR="00481FC3" w:rsidRPr="003C4DFC">
        <w:rPr>
          <w:sz w:val="26"/>
          <w:szCs w:val="26"/>
        </w:rPr>
        <w:t xml:space="preserve">  In its </w:t>
      </w:r>
      <w:r w:rsidR="0066082E">
        <w:rPr>
          <w:sz w:val="26"/>
          <w:szCs w:val="26"/>
        </w:rPr>
        <w:t>Amended</w:t>
      </w:r>
      <w:r w:rsidR="00BD3FB1">
        <w:rPr>
          <w:sz w:val="26"/>
          <w:szCs w:val="26"/>
        </w:rPr>
        <w:t xml:space="preserve"> </w:t>
      </w:r>
      <w:r w:rsidR="00481FC3" w:rsidRPr="003C4DFC">
        <w:rPr>
          <w:sz w:val="26"/>
          <w:szCs w:val="26"/>
        </w:rPr>
        <w:t>Phase I</w:t>
      </w:r>
      <w:r w:rsidR="00481FC3">
        <w:rPr>
          <w:sz w:val="26"/>
          <w:szCs w:val="26"/>
        </w:rPr>
        <w:t>I</w:t>
      </w:r>
      <w:r w:rsidR="00481FC3" w:rsidRPr="003C4DFC">
        <w:rPr>
          <w:sz w:val="26"/>
          <w:szCs w:val="26"/>
        </w:rPr>
        <w:t xml:space="preserve"> Final Annual </w:t>
      </w:r>
      <w:r w:rsidR="005F20BE" w:rsidRPr="003C4DFC">
        <w:rPr>
          <w:sz w:val="26"/>
          <w:szCs w:val="26"/>
        </w:rPr>
        <w:t>Report;</w:t>
      </w:r>
      <w:r w:rsidR="00481FC3" w:rsidRPr="003C4DFC">
        <w:rPr>
          <w:sz w:val="26"/>
          <w:szCs w:val="26"/>
        </w:rPr>
        <w:t xml:space="preserve"> the SWE </w:t>
      </w:r>
      <w:r w:rsidR="00481FC3">
        <w:rPr>
          <w:sz w:val="26"/>
          <w:szCs w:val="26"/>
        </w:rPr>
        <w:t>validates</w:t>
      </w:r>
      <w:r w:rsidR="00481FC3" w:rsidRPr="003C4DFC">
        <w:rPr>
          <w:sz w:val="26"/>
          <w:szCs w:val="26"/>
        </w:rPr>
        <w:t xml:space="preserve"> </w:t>
      </w:r>
      <w:r w:rsidR="00481FC3">
        <w:rPr>
          <w:sz w:val="26"/>
          <w:szCs w:val="26"/>
        </w:rPr>
        <w:t>PECO’s</w:t>
      </w:r>
      <w:r w:rsidR="00481FC3" w:rsidRPr="003C4DFC">
        <w:rPr>
          <w:sz w:val="26"/>
          <w:szCs w:val="26"/>
        </w:rPr>
        <w:t xml:space="preserve"> reported TRM-verified savings of </w:t>
      </w:r>
      <w:r w:rsidR="0061640C">
        <w:rPr>
          <w:sz w:val="26"/>
          <w:szCs w:val="26"/>
        </w:rPr>
        <w:t>305,946</w:t>
      </w:r>
      <w:r w:rsidR="00481FC3" w:rsidRPr="003C4DFC">
        <w:rPr>
          <w:sz w:val="26"/>
          <w:szCs w:val="26"/>
        </w:rPr>
        <w:t xml:space="preserve"> MWh and notes that this </w:t>
      </w:r>
      <w:r w:rsidR="0061640C">
        <w:rPr>
          <w:sz w:val="26"/>
          <w:szCs w:val="26"/>
        </w:rPr>
        <w:t>amounts to 272</w:t>
      </w:r>
      <w:r w:rsidR="00481FC3">
        <w:rPr>
          <w:sz w:val="26"/>
          <w:szCs w:val="26"/>
        </w:rPr>
        <w:t>% of PECO’s G/E/NP consumption reduction requirement</w:t>
      </w:r>
      <w:r w:rsidR="00481FC3" w:rsidRPr="003C4DFC">
        <w:rPr>
          <w:sz w:val="26"/>
          <w:szCs w:val="26"/>
        </w:rPr>
        <w:t>.</w:t>
      </w:r>
      <w:r w:rsidR="00481FC3" w:rsidRPr="003C4DFC">
        <w:rPr>
          <w:rStyle w:val="FootnoteReference"/>
          <w:sz w:val="26"/>
          <w:szCs w:val="26"/>
        </w:rPr>
        <w:footnoteReference w:id="44"/>
      </w:r>
      <w:r w:rsidR="00481FC3" w:rsidRPr="003C4DFC">
        <w:rPr>
          <w:sz w:val="26"/>
          <w:szCs w:val="26"/>
        </w:rPr>
        <w:t xml:space="preserve">  The Commission agrees with the TRM-verified savings </w:t>
      </w:r>
      <w:r w:rsidR="00481FC3">
        <w:rPr>
          <w:sz w:val="26"/>
          <w:szCs w:val="26"/>
        </w:rPr>
        <w:t xml:space="preserve">from </w:t>
      </w:r>
      <w:r w:rsidR="00481FC3">
        <w:rPr>
          <w:sz w:val="26"/>
          <w:szCs w:val="26"/>
        </w:rPr>
        <w:lastRenderedPageBreak/>
        <w:t xml:space="preserve">the G/E/NP sector </w:t>
      </w:r>
      <w:r w:rsidR="00481FC3" w:rsidRPr="003C4DFC">
        <w:rPr>
          <w:sz w:val="26"/>
          <w:szCs w:val="26"/>
        </w:rPr>
        <w:t xml:space="preserve">reported by </w:t>
      </w:r>
      <w:r w:rsidR="00481FC3">
        <w:rPr>
          <w:sz w:val="26"/>
          <w:szCs w:val="26"/>
        </w:rPr>
        <w:t>PECO</w:t>
      </w:r>
      <w:r w:rsidR="00481FC3" w:rsidRPr="00721C19">
        <w:rPr>
          <w:sz w:val="26"/>
          <w:szCs w:val="26"/>
        </w:rPr>
        <w:t xml:space="preserve"> and confirmed by the SWE</w:t>
      </w:r>
      <w:r w:rsidR="00481FC3">
        <w:rPr>
          <w:sz w:val="26"/>
          <w:szCs w:val="26"/>
        </w:rPr>
        <w:t xml:space="preserve"> </w:t>
      </w:r>
      <w:r w:rsidR="00481FC3" w:rsidRPr="00721C19">
        <w:rPr>
          <w:sz w:val="26"/>
          <w:szCs w:val="26"/>
        </w:rPr>
        <w:t xml:space="preserve">and deems </w:t>
      </w:r>
      <w:r w:rsidR="00481FC3">
        <w:rPr>
          <w:sz w:val="26"/>
          <w:szCs w:val="26"/>
        </w:rPr>
        <w:t>PECO</w:t>
      </w:r>
      <w:r w:rsidR="00481FC3" w:rsidRPr="00721C19">
        <w:rPr>
          <w:sz w:val="26"/>
          <w:szCs w:val="26"/>
        </w:rPr>
        <w:t xml:space="preserve"> to be in compliance with th</w:t>
      </w:r>
      <w:r w:rsidR="00481FC3">
        <w:rPr>
          <w:sz w:val="26"/>
          <w:szCs w:val="26"/>
        </w:rPr>
        <w:t>e G/E/NP consumption reduction requirement.</w:t>
      </w:r>
      <w:r w:rsidR="00560CB6" w:rsidRPr="00560CB6">
        <w:rPr>
          <w:sz w:val="26"/>
          <w:szCs w:val="26"/>
        </w:rPr>
        <w:t xml:space="preserve">  </w:t>
      </w:r>
    </w:p>
    <w:p w:rsidR="005660E9" w:rsidRDefault="005660E9" w:rsidP="00560CB6">
      <w:pPr>
        <w:pStyle w:val="p3"/>
        <w:tabs>
          <w:tab w:val="clear" w:pos="204"/>
        </w:tabs>
        <w:spacing w:line="360" w:lineRule="auto"/>
        <w:rPr>
          <w:sz w:val="26"/>
          <w:szCs w:val="26"/>
        </w:rPr>
      </w:pPr>
    </w:p>
    <w:p w:rsidR="00B7291D" w:rsidRDefault="00B7291D" w:rsidP="00560CB6">
      <w:pPr>
        <w:pStyle w:val="p3"/>
        <w:tabs>
          <w:tab w:val="clear" w:pos="204"/>
        </w:tabs>
        <w:spacing w:line="360" w:lineRule="auto"/>
        <w:rPr>
          <w:sz w:val="26"/>
          <w:szCs w:val="26"/>
        </w:rPr>
      </w:pPr>
      <w:r>
        <w:rPr>
          <w:sz w:val="26"/>
          <w:szCs w:val="26"/>
        </w:rPr>
        <w:tab/>
      </w:r>
      <w:r>
        <w:rPr>
          <w:sz w:val="26"/>
          <w:szCs w:val="26"/>
        </w:rPr>
        <w:tab/>
      </w:r>
      <w:r>
        <w:rPr>
          <w:b/>
          <w:sz w:val="26"/>
          <w:szCs w:val="26"/>
        </w:rPr>
        <w:t>d.</w:t>
      </w:r>
      <w:r>
        <w:rPr>
          <w:b/>
          <w:sz w:val="26"/>
          <w:szCs w:val="26"/>
        </w:rPr>
        <w:tab/>
        <w:t>Penelec</w:t>
      </w:r>
    </w:p>
    <w:p w:rsidR="005379AA" w:rsidRDefault="005379AA" w:rsidP="005379AA">
      <w:pPr>
        <w:pStyle w:val="p3"/>
        <w:tabs>
          <w:tab w:val="clear" w:pos="204"/>
        </w:tabs>
        <w:spacing w:line="360" w:lineRule="auto"/>
        <w:rPr>
          <w:sz w:val="26"/>
          <w:szCs w:val="26"/>
        </w:rPr>
      </w:pPr>
      <w:r>
        <w:rPr>
          <w:sz w:val="26"/>
          <w:szCs w:val="26"/>
        </w:rPr>
        <w:tab/>
      </w:r>
      <w:r w:rsidRPr="00231549">
        <w:rPr>
          <w:sz w:val="26"/>
          <w:szCs w:val="26"/>
        </w:rPr>
        <w:t xml:space="preserve">Penelec was required to </w:t>
      </w:r>
      <w:r w:rsidR="00B7291D">
        <w:rPr>
          <w:sz w:val="26"/>
          <w:szCs w:val="26"/>
        </w:rPr>
        <w:t xml:space="preserve">obtain </w:t>
      </w:r>
      <w:r w:rsidR="00806935">
        <w:rPr>
          <w:sz w:val="26"/>
          <w:szCs w:val="26"/>
        </w:rPr>
        <w:t>31,881</w:t>
      </w:r>
      <w:r w:rsidR="00B7291D" w:rsidRPr="00231549">
        <w:rPr>
          <w:sz w:val="26"/>
          <w:szCs w:val="26"/>
        </w:rPr>
        <w:t xml:space="preserve"> MWh </w:t>
      </w:r>
      <w:r w:rsidR="00B7291D">
        <w:rPr>
          <w:sz w:val="26"/>
          <w:szCs w:val="26"/>
        </w:rPr>
        <w:t xml:space="preserve">of its total electric consumption reduction from </w:t>
      </w:r>
      <w:r w:rsidRPr="00231549">
        <w:rPr>
          <w:sz w:val="26"/>
          <w:szCs w:val="26"/>
        </w:rPr>
        <w:t>the G/E/NP sector in its service territory.</w:t>
      </w:r>
      <w:r w:rsidRPr="00231549">
        <w:rPr>
          <w:rStyle w:val="FootnoteReference"/>
          <w:sz w:val="26"/>
          <w:szCs w:val="26"/>
        </w:rPr>
        <w:footnoteReference w:id="45"/>
      </w:r>
      <w:r w:rsidRPr="00231549">
        <w:rPr>
          <w:sz w:val="26"/>
          <w:szCs w:val="26"/>
        </w:rPr>
        <w:t xml:space="preserve">  Penelec </w:t>
      </w:r>
      <w:r w:rsidR="00B7291D">
        <w:rPr>
          <w:sz w:val="26"/>
          <w:szCs w:val="26"/>
        </w:rPr>
        <w:t>reports,</w:t>
      </w:r>
      <w:r w:rsidRPr="00231549">
        <w:rPr>
          <w:sz w:val="26"/>
          <w:szCs w:val="26"/>
        </w:rPr>
        <w:t xml:space="preserve"> in its PY</w:t>
      </w:r>
      <w:r w:rsidR="00806935">
        <w:rPr>
          <w:sz w:val="26"/>
          <w:szCs w:val="26"/>
        </w:rPr>
        <w:t>7</w:t>
      </w:r>
      <w:r w:rsidRPr="00231549">
        <w:rPr>
          <w:sz w:val="26"/>
          <w:szCs w:val="26"/>
        </w:rPr>
        <w:t xml:space="preserve"> Final Annual Report</w:t>
      </w:r>
      <w:r w:rsidR="00B7291D">
        <w:rPr>
          <w:sz w:val="26"/>
          <w:szCs w:val="26"/>
        </w:rPr>
        <w:t>, it attained</w:t>
      </w:r>
      <w:r w:rsidRPr="00231549">
        <w:rPr>
          <w:sz w:val="26"/>
          <w:szCs w:val="26"/>
        </w:rPr>
        <w:t xml:space="preserve"> a TRM-verified savings value</w:t>
      </w:r>
      <w:r w:rsidR="00B7291D" w:rsidRPr="00B7291D">
        <w:rPr>
          <w:sz w:val="26"/>
          <w:szCs w:val="26"/>
        </w:rPr>
        <w:t xml:space="preserve"> </w:t>
      </w:r>
      <w:r w:rsidR="00B7291D" w:rsidRPr="00231549">
        <w:rPr>
          <w:sz w:val="26"/>
          <w:szCs w:val="26"/>
        </w:rPr>
        <w:t xml:space="preserve">of </w:t>
      </w:r>
      <w:r w:rsidR="00806935">
        <w:rPr>
          <w:sz w:val="26"/>
          <w:szCs w:val="26"/>
        </w:rPr>
        <w:t>42,685</w:t>
      </w:r>
      <w:r w:rsidR="00B7291D" w:rsidRPr="00231549">
        <w:rPr>
          <w:sz w:val="26"/>
          <w:szCs w:val="26"/>
        </w:rPr>
        <w:t xml:space="preserve"> MWh</w:t>
      </w:r>
      <w:r w:rsidRPr="00231549">
        <w:rPr>
          <w:sz w:val="26"/>
          <w:szCs w:val="26"/>
        </w:rPr>
        <w:t xml:space="preserve"> from the G/E/NP sector</w:t>
      </w:r>
      <w:r w:rsidR="00806935">
        <w:rPr>
          <w:sz w:val="26"/>
          <w:szCs w:val="26"/>
        </w:rPr>
        <w:t>, including carryover savings from Phase I</w:t>
      </w:r>
      <w:r w:rsidRPr="00231549">
        <w:rPr>
          <w:sz w:val="26"/>
          <w:szCs w:val="26"/>
        </w:rPr>
        <w:t>.</w:t>
      </w:r>
      <w:r w:rsidRPr="00231549">
        <w:rPr>
          <w:rStyle w:val="FootnoteReference"/>
          <w:sz w:val="26"/>
          <w:szCs w:val="26"/>
        </w:rPr>
        <w:footnoteReference w:id="46"/>
      </w:r>
      <w:r w:rsidRPr="00231549">
        <w:rPr>
          <w:sz w:val="26"/>
          <w:szCs w:val="26"/>
        </w:rPr>
        <w:t xml:space="preserve">  In its </w:t>
      </w:r>
      <w:r w:rsidR="0066082E">
        <w:rPr>
          <w:sz w:val="26"/>
          <w:szCs w:val="26"/>
        </w:rPr>
        <w:t>Amended</w:t>
      </w:r>
      <w:r w:rsidR="00BD3FB1">
        <w:rPr>
          <w:sz w:val="26"/>
          <w:szCs w:val="26"/>
        </w:rPr>
        <w:t xml:space="preserve"> </w:t>
      </w:r>
      <w:r w:rsidRPr="00231549">
        <w:rPr>
          <w:sz w:val="26"/>
          <w:szCs w:val="26"/>
        </w:rPr>
        <w:t>Phase I</w:t>
      </w:r>
      <w:r w:rsidR="00806935">
        <w:rPr>
          <w:sz w:val="26"/>
          <w:szCs w:val="26"/>
        </w:rPr>
        <w:t>I</w:t>
      </w:r>
      <w:r w:rsidRPr="00231549">
        <w:rPr>
          <w:sz w:val="26"/>
          <w:szCs w:val="26"/>
        </w:rPr>
        <w:t xml:space="preserve"> Final Annual Report, the SWE </w:t>
      </w:r>
      <w:r w:rsidR="00875286">
        <w:rPr>
          <w:sz w:val="26"/>
          <w:szCs w:val="26"/>
        </w:rPr>
        <w:t>validates</w:t>
      </w:r>
      <w:r w:rsidRPr="00231549">
        <w:rPr>
          <w:sz w:val="26"/>
          <w:szCs w:val="26"/>
        </w:rPr>
        <w:t xml:space="preserve"> </w:t>
      </w:r>
      <w:proofErr w:type="spellStart"/>
      <w:r w:rsidRPr="00231549">
        <w:rPr>
          <w:sz w:val="26"/>
          <w:szCs w:val="26"/>
        </w:rPr>
        <w:t>Penelec’s</w:t>
      </w:r>
      <w:proofErr w:type="spellEnd"/>
      <w:r w:rsidRPr="00231549">
        <w:rPr>
          <w:sz w:val="26"/>
          <w:szCs w:val="26"/>
        </w:rPr>
        <w:t xml:space="preserve"> reported TRM-verified savings of </w:t>
      </w:r>
      <w:r w:rsidR="00806935">
        <w:rPr>
          <w:sz w:val="26"/>
          <w:szCs w:val="26"/>
        </w:rPr>
        <w:t>42,685</w:t>
      </w:r>
      <w:r w:rsidRPr="00231549">
        <w:rPr>
          <w:sz w:val="26"/>
          <w:szCs w:val="26"/>
        </w:rPr>
        <w:t xml:space="preserve"> MWh and notes that this </w:t>
      </w:r>
      <w:r w:rsidR="00875286">
        <w:rPr>
          <w:sz w:val="26"/>
          <w:szCs w:val="26"/>
        </w:rPr>
        <w:t>amounts to</w:t>
      </w:r>
      <w:r w:rsidRPr="00231549">
        <w:rPr>
          <w:sz w:val="26"/>
          <w:szCs w:val="26"/>
        </w:rPr>
        <w:t xml:space="preserve"> </w:t>
      </w:r>
      <w:r w:rsidR="00806935">
        <w:rPr>
          <w:sz w:val="26"/>
          <w:szCs w:val="26"/>
        </w:rPr>
        <w:t>134</w:t>
      </w:r>
      <w:r w:rsidRPr="00231549">
        <w:rPr>
          <w:sz w:val="26"/>
          <w:szCs w:val="26"/>
        </w:rPr>
        <w:t xml:space="preserve">% of </w:t>
      </w:r>
      <w:proofErr w:type="spellStart"/>
      <w:r w:rsidRPr="00231549">
        <w:rPr>
          <w:sz w:val="26"/>
          <w:szCs w:val="26"/>
        </w:rPr>
        <w:t>Penelec’s</w:t>
      </w:r>
      <w:proofErr w:type="spellEnd"/>
      <w:r w:rsidRPr="00231549">
        <w:rPr>
          <w:sz w:val="26"/>
          <w:szCs w:val="26"/>
        </w:rPr>
        <w:t xml:space="preserve"> G/E/NP consumption reduction </w:t>
      </w:r>
      <w:r w:rsidR="00875286">
        <w:rPr>
          <w:sz w:val="26"/>
          <w:szCs w:val="26"/>
        </w:rPr>
        <w:t>requirement</w:t>
      </w:r>
      <w:r w:rsidRPr="00231549">
        <w:rPr>
          <w:sz w:val="26"/>
          <w:szCs w:val="26"/>
        </w:rPr>
        <w:t>.</w:t>
      </w:r>
      <w:r w:rsidRPr="00231549">
        <w:rPr>
          <w:rStyle w:val="FootnoteReference"/>
          <w:sz w:val="26"/>
          <w:szCs w:val="26"/>
        </w:rPr>
        <w:footnoteReference w:id="47"/>
      </w:r>
      <w:r w:rsidRPr="00231549">
        <w:rPr>
          <w:sz w:val="26"/>
          <w:szCs w:val="26"/>
        </w:rPr>
        <w:t xml:space="preserve">  The Commission agrees with the TRM-verified savings from the G/E/NP sector reported by Penelec and confirmed by the SWE and deems Penelec to be in compliance with the G/E/NP consumption reduction </w:t>
      </w:r>
      <w:r w:rsidR="00875286">
        <w:rPr>
          <w:sz w:val="26"/>
          <w:szCs w:val="26"/>
        </w:rPr>
        <w:t>requirement</w:t>
      </w:r>
      <w:r w:rsidRPr="00231549">
        <w:rPr>
          <w:sz w:val="26"/>
          <w:szCs w:val="26"/>
        </w:rPr>
        <w:t>.</w:t>
      </w:r>
    </w:p>
    <w:p w:rsidR="00875286" w:rsidRDefault="00875286" w:rsidP="005379AA">
      <w:pPr>
        <w:pStyle w:val="p3"/>
        <w:tabs>
          <w:tab w:val="clear" w:pos="204"/>
        </w:tabs>
        <w:spacing w:line="360" w:lineRule="auto"/>
        <w:rPr>
          <w:sz w:val="26"/>
          <w:szCs w:val="26"/>
        </w:rPr>
      </w:pPr>
    </w:p>
    <w:p w:rsidR="00875286" w:rsidRDefault="00875286" w:rsidP="005379AA">
      <w:pPr>
        <w:pStyle w:val="p3"/>
        <w:tabs>
          <w:tab w:val="clear" w:pos="204"/>
        </w:tabs>
        <w:spacing w:line="360" w:lineRule="auto"/>
        <w:rPr>
          <w:sz w:val="26"/>
          <w:szCs w:val="26"/>
        </w:rPr>
      </w:pPr>
      <w:r>
        <w:rPr>
          <w:sz w:val="26"/>
          <w:szCs w:val="26"/>
        </w:rPr>
        <w:tab/>
      </w:r>
      <w:r>
        <w:rPr>
          <w:sz w:val="26"/>
          <w:szCs w:val="26"/>
        </w:rPr>
        <w:tab/>
      </w:r>
      <w:r>
        <w:rPr>
          <w:b/>
          <w:sz w:val="26"/>
          <w:szCs w:val="26"/>
        </w:rPr>
        <w:t>e.</w:t>
      </w:r>
      <w:r>
        <w:rPr>
          <w:b/>
          <w:sz w:val="26"/>
          <w:szCs w:val="26"/>
        </w:rPr>
        <w:tab/>
        <w:t>Penn Power</w:t>
      </w:r>
    </w:p>
    <w:p w:rsidR="008801CF" w:rsidRDefault="008801CF" w:rsidP="00F71395">
      <w:pPr>
        <w:pStyle w:val="p3"/>
        <w:widowControl/>
        <w:tabs>
          <w:tab w:val="clear" w:pos="204"/>
        </w:tabs>
        <w:spacing w:line="360" w:lineRule="auto"/>
        <w:rPr>
          <w:sz w:val="26"/>
          <w:szCs w:val="26"/>
        </w:rPr>
      </w:pPr>
      <w:r>
        <w:rPr>
          <w:sz w:val="26"/>
          <w:szCs w:val="26"/>
        </w:rPr>
        <w:tab/>
        <w:t>Penn Power</w:t>
      </w:r>
      <w:r w:rsidRPr="00231549">
        <w:rPr>
          <w:sz w:val="26"/>
          <w:szCs w:val="26"/>
        </w:rPr>
        <w:t xml:space="preserve"> was required to </w:t>
      </w:r>
      <w:r w:rsidR="00875286">
        <w:rPr>
          <w:sz w:val="26"/>
          <w:szCs w:val="26"/>
        </w:rPr>
        <w:t xml:space="preserve">obtain </w:t>
      </w:r>
      <w:r w:rsidR="00806935">
        <w:rPr>
          <w:sz w:val="26"/>
          <w:szCs w:val="26"/>
        </w:rPr>
        <w:t>9,550</w:t>
      </w:r>
      <w:r w:rsidR="00875286" w:rsidRPr="00231549">
        <w:rPr>
          <w:sz w:val="26"/>
          <w:szCs w:val="26"/>
        </w:rPr>
        <w:t xml:space="preserve"> MWh </w:t>
      </w:r>
      <w:r w:rsidR="00875286">
        <w:rPr>
          <w:sz w:val="26"/>
          <w:szCs w:val="26"/>
        </w:rPr>
        <w:t xml:space="preserve">of its total electric consumption reduction form </w:t>
      </w:r>
      <w:r w:rsidRPr="00231549">
        <w:rPr>
          <w:sz w:val="26"/>
          <w:szCs w:val="26"/>
        </w:rPr>
        <w:t>the G/E/NP sector in its service territory.</w:t>
      </w:r>
      <w:r w:rsidRPr="00231549">
        <w:rPr>
          <w:rStyle w:val="FootnoteReference"/>
          <w:sz w:val="26"/>
          <w:szCs w:val="26"/>
        </w:rPr>
        <w:footnoteReference w:id="48"/>
      </w:r>
      <w:r w:rsidRPr="00231549">
        <w:rPr>
          <w:sz w:val="26"/>
          <w:szCs w:val="26"/>
        </w:rPr>
        <w:t xml:space="preserve">  P</w:t>
      </w:r>
      <w:r>
        <w:rPr>
          <w:sz w:val="26"/>
          <w:szCs w:val="26"/>
        </w:rPr>
        <w:t>enn Power</w:t>
      </w:r>
      <w:r w:rsidRPr="00231549">
        <w:rPr>
          <w:sz w:val="26"/>
          <w:szCs w:val="26"/>
        </w:rPr>
        <w:t xml:space="preserve"> </w:t>
      </w:r>
      <w:r w:rsidR="00875286">
        <w:rPr>
          <w:sz w:val="26"/>
          <w:szCs w:val="26"/>
        </w:rPr>
        <w:t>reports,</w:t>
      </w:r>
      <w:r w:rsidRPr="00231549">
        <w:rPr>
          <w:sz w:val="26"/>
          <w:szCs w:val="26"/>
        </w:rPr>
        <w:t xml:space="preserve"> in its PY</w:t>
      </w:r>
      <w:r w:rsidR="00806935">
        <w:rPr>
          <w:sz w:val="26"/>
          <w:szCs w:val="26"/>
        </w:rPr>
        <w:t>7</w:t>
      </w:r>
      <w:r w:rsidRPr="00231549">
        <w:rPr>
          <w:sz w:val="26"/>
          <w:szCs w:val="26"/>
        </w:rPr>
        <w:t xml:space="preserve"> Final Annual Report</w:t>
      </w:r>
      <w:r w:rsidR="00875286">
        <w:rPr>
          <w:sz w:val="26"/>
          <w:szCs w:val="26"/>
        </w:rPr>
        <w:t>, it attained</w:t>
      </w:r>
      <w:r w:rsidRPr="00231549">
        <w:rPr>
          <w:sz w:val="26"/>
          <w:szCs w:val="26"/>
        </w:rPr>
        <w:t xml:space="preserve"> a TRM-verified </w:t>
      </w:r>
      <w:r w:rsidR="00875286">
        <w:rPr>
          <w:sz w:val="26"/>
          <w:szCs w:val="26"/>
        </w:rPr>
        <w:t xml:space="preserve">reduction </w:t>
      </w:r>
      <w:r w:rsidR="00875286" w:rsidRPr="00231549">
        <w:rPr>
          <w:sz w:val="26"/>
          <w:szCs w:val="26"/>
        </w:rPr>
        <w:t xml:space="preserve">of </w:t>
      </w:r>
      <w:r w:rsidR="00806935">
        <w:rPr>
          <w:sz w:val="26"/>
          <w:szCs w:val="26"/>
        </w:rPr>
        <w:t>17,124</w:t>
      </w:r>
      <w:r w:rsidR="00875286" w:rsidRPr="00231549">
        <w:rPr>
          <w:sz w:val="26"/>
          <w:szCs w:val="26"/>
        </w:rPr>
        <w:t xml:space="preserve"> MWh</w:t>
      </w:r>
      <w:r w:rsidRPr="00231549">
        <w:rPr>
          <w:sz w:val="26"/>
          <w:szCs w:val="26"/>
        </w:rPr>
        <w:t xml:space="preserve"> from the G/E/NP sector</w:t>
      </w:r>
      <w:r w:rsidR="00806935">
        <w:rPr>
          <w:sz w:val="26"/>
          <w:szCs w:val="26"/>
        </w:rPr>
        <w:t>, including carryover savings from Phase I</w:t>
      </w:r>
      <w:r w:rsidRPr="00231549">
        <w:rPr>
          <w:sz w:val="26"/>
          <w:szCs w:val="26"/>
        </w:rPr>
        <w:t>.</w:t>
      </w:r>
      <w:r w:rsidRPr="00231549">
        <w:rPr>
          <w:rStyle w:val="FootnoteReference"/>
          <w:sz w:val="26"/>
          <w:szCs w:val="26"/>
        </w:rPr>
        <w:footnoteReference w:id="49"/>
      </w:r>
      <w:r w:rsidRPr="00231549">
        <w:rPr>
          <w:sz w:val="26"/>
          <w:szCs w:val="26"/>
        </w:rPr>
        <w:t xml:space="preserve">  In its </w:t>
      </w:r>
      <w:r w:rsidR="0066082E">
        <w:rPr>
          <w:sz w:val="26"/>
          <w:szCs w:val="26"/>
        </w:rPr>
        <w:t>Amended</w:t>
      </w:r>
      <w:r w:rsidR="00BD3FB1">
        <w:rPr>
          <w:sz w:val="26"/>
          <w:szCs w:val="26"/>
        </w:rPr>
        <w:t xml:space="preserve"> </w:t>
      </w:r>
      <w:r w:rsidRPr="00231549">
        <w:rPr>
          <w:sz w:val="26"/>
          <w:szCs w:val="26"/>
        </w:rPr>
        <w:t>Phase I</w:t>
      </w:r>
      <w:r w:rsidR="00806935">
        <w:rPr>
          <w:sz w:val="26"/>
          <w:szCs w:val="26"/>
        </w:rPr>
        <w:t>I</w:t>
      </w:r>
      <w:r w:rsidRPr="00231549">
        <w:rPr>
          <w:sz w:val="26"/>
          <w:szCs w:val="26"/>
        </w:rPr>
        <w:t xml:space="preserve"> Final Annual Report, the SWE </w:t>
      </w:r>
      <w:r w:rsidR="00875286">
        <w:rPr>
          <w:sz w:val="26"/>
          <w:szCs w:val="26"/>
        </w:rPr>
        <w:t>validates</w:t>
      </w:r>
      <w:r w:rsidRPr="00231549">
        <w:rPr>
          <w:sz w:val="26"/>
          <w:szCs w:val="26"/>
        </w:rPr>
        <w:t xml:space="preserve"> </w:t>
      </w:r>
      <w:r>
        <w:rPr>
          <w:sz w:val="26"/>
          <w:szCs w:val="26"/>
        </w:rPr>
        <w:t>Penn Power’s</w:t>
      </w:r>
      <w:r w:rsidRPr="00231549">
        <w:rPr>
          <w:sz w:val="26"/>
          <w:szCs w:val="26"/>
        </w:rPr>
        <w:t xml:space="preserve"> reported TRM-verified savings of </w:t>
      </w:r>
      <w:r w:rsidR="00806935">
        <w:rPr>
          <w:sz w:val="26"/>
          <w:szCs w:val="26"/>
        </w:rPr>
        <w:t>17,124</w:t>
      </w:r>
      <w:r w:rsidRPr="00231549">
        <w:rPr>
          <w:sz w:val="26"/>
          <w:szCs w:val="26"/>
        </w:rPr>
        <w:t xml:space="preserve"> MWh and notes that this </w:t>
      </w:r>
      <w:r w:rsidR="00875286">
        <w:rPr>
          <w:sz w:val="26"/>
          <w:szCs w:val="26"/>
        </w:rPr>
        <w:t>amounts to</w:t>
      </w:r>
      <w:r w:rsidRPr="00231549">
        <w:rPr>
          <w:sz w:val="26"/>
          <w:szCs w:val="26"/>
        </w:rPr>
        <w:t xml:space="preserve"> </w:t>
      </w:r>
      <w:r w:rsidR="00806935">
        <w:rPr>
          <w:sz w:val="26"/>
          <w:szCs w:val="26"/>
        </w:rPr>
        <w:t>179</w:t>
      </w:r>
      <w:r w:rsidRPr="00231549">
        <w:rPr>
          <w:sz w:val="26"/>
          <w:szCs w:val="26"/>
        </w:rPr>
        <w:t>% of Pen</w:t>
      </w:r>
      <w:r>
        <w:rPr>
          <w:sz w:val="26"/>
          <w:szCs w:val="26"/>
        </w:rPr>
        <w:t>n Power</w:t>
      </w:r>
      <w:r w:rsidRPr="00231549">
        <w:rPr>
          <w:sz w:val="26"/>
          <w:szCs w:val="26"/>
        </w:rPr>
        <w:t xml:space="preserve">’s G/E/NP consumption reduction </w:t>
      </w:r>
      <w:r w:rsidR="00875286">
        <w:rPr>
          <w:sz w:val="26"/>
          <w:szCs w:val="26"/>
        </w:rPr>
        <w:t>requirement</w:t>
      </w:r>
      <w:r w:rsidRPr="00231549">
        <w:rPr>
          <w:sz w:val="26"/>
          <w:szCs w:val="26"/>
        </w:rPr>
        <w:t>.</w:t>
      </w:r>
      <w:r w:rsidRPr="00231549">
        <w:rPr>
          <w:rStyle w:val="FootnoteReference"/>
          <w:sz w:val="26"/>
          <w:szCs w:val="26"/>
        </w:rPr>
        <w:footnoteReference w:id="50"/>
      </w:r>
      <w:r w:rsidRPr="00231549">
        <w:rPr>
          <w:sz w:val="26"/>
          <w:szCs w:val="26"/>
        </w:rPr>
        <w:t xml:space="preserve">  The Commission agrees with the TRM-verified savings from </w:t>
      </w:r>
      <w:r w:rsidRPr="00231549">
        <w:rPr>
          <w:sz w:val="26"/>
          <w:szCs w:val="26"/>
        </w:rPr>
        <w:lastRenderedPageBreak/>
        <w:t xml:space="preserve">the G/E/NP sector reported by </w:t>
      </w:r>
      <w:r>
        <w:rPr>
          <w:sz w:val="26"/>
          <w:szCs w:val="26"/>
        </w:rPr>
        <w:t>Penn Power</w:t>
      </w:r>
      <w:r w:rsidRPr="00231549">
        <w:rPr>
          <w:sz w:val="26"/>
          <w:szCs w:val="26"/>
        </w:rPr>
        <w:t xml:space="preserve"> and confirmed by the SWE and deems </w:t>
      </w:r>
      <w:r>
        <w:rPr>
          <w:sz w:val="26"/>
          <w:szCs w:val="26"/>
        </w:rPr>
        <w:t>Penn Power</w:t>
      </w:r>
      <w:r w:rsidRPr="00231549">
        <w:rPr>
          <w:sz w:val="26"/>
          <w:szCs w:val="26"/>
        </w:rPr>
        <w:t xml:space="preserve"> to be in compliance with the G/E/NP consumption reduction </w:t>
      </w:r>
      <w:r w:rsidR="00875286">
        <w:rPr>
          <w:sz w:val="26"/>
          <w:szCs w:val="26"/>
        </w:rPr>
        <w:t>requirement</w:t>
      </w:r>
      <w:r w:rsidRPr="00231549">
        <w:rPr>
          <w:sz w:val="26"/>
          <w:szCs w:val="26"/>
        </w:rPr>
        <w:t>.</w:t>
      </w:r>
    </w:p>
    <w:p w:rsidR="005660E9" w:rsidRDefault="005660E9" w:rsidP="008801CF">
      <w:pPr>
        <w:pStyle w:val="p3"/>
        <w:tabs>
          <w:tab w:val="clear" w:pos="204"/>
        </w:tabs>
        <w:spacing w:line="360" w:lineRule="auto"/>
        <w:rPr>
          <w:sz w:val="26"/>
          <w:szCs w:val="26"/>
        </w:rPr>
      </w:pPr>
    </w:p>
    <w:p w:rsidR="00206DF7" w:rsidRDefault="00206DF7" w:rsidP="008801CF">
      <w:pPr>
        <w:pStyle w:val="p3"/>
        <w:tabs>
          <w:tab w:val="clear" w:pos="204"/>
        </w:tabs>
        <w:spacing w:line="360" w:lineRule="auto"/>
        <w:rPr>
          <w:sz w:val="26"/>
          <w:szCs w:val="26"/>
        </w:rPr>
      </w:pPr>
      <w:r>
        <w:rPr>
          <w:sz w:val="26"/>
          <w:szCs w:val="26"/>
        </w:rPr>
        <w:tab/>
      </w:r>
      <w:r>
        <w:rPr>
          <w:sz w:val="26"/>
          <w:szCs w:val="26"/>
        </w:rPr>
        <w:tab/>
      </w:r>
      <w:r>
        <w:rPr>
          <w:b/>
          <w:sz w:val="26"/>
          <w:szCs w:val="26"/>
        </w:rPr>
        <w:t>f.</w:t>
      </w:r>
      <w:r>
        <w:rPr>
          <w:b/>
          <w:sz w:val="26"/>
          <w:szCs w:val="26"/>
        </w:rPr>
        <w:tab/>
        <w:t>PPL</w:t>
      </w:r>
    </w:p>
    <w:p w:rsidR="005E5FCC" w:rsidRDefault="005E5FCC" w:rsidP="005E5FCC">
      <w:pPr>
        <w:pStyle w:val="p3"/>
        <w:tabs>
          <w:tab w:val="clear" w:pos="204"/>
        </w:tabs>
        <w:spacing w:line="360" w:lineRule="auto"/>
        <w:rPr>
          <w:sz w:val="26"/>
          <w:szCs w:val="26"/>
        </w:rPr>
      </w:pPr>
      <w:r>
        <w:rPr>
          <w:sz w:val="26"/>
          <w:szCs w:val="26"/>
        </w:rPr>
        <w:tab/>
        <w:t>PPL</w:t>
      </w:r>
      <w:r w:rsidRPr="00231549">
        <w:rPr>
          <w:sz w:val="26"/>
          <w:szCs w:val="26"/>
        </w:rPr>
        <w:t xml:space="preserve"> was required to </w:t>
      </w:r>
      <w:r w:rsidR="00206DF7">
        <w:rPr>
          <w:sz w:val="26"/>
          <w:szCs w:val="26"/>
        </w:rPr>
        <w:t xml:space="preserve">obtain </w:t>
      </w:r>
      <w:r w:rsidR="0061640C">
        <w:rPr>
          <w:sz w:val="26"/>
          <w:szCs w:val="26"/>
        </w:rPr>
        <w:t>82,107</w:t>
      </w:r>
      <w:r w:rsidR="00206DF7" w:rsidRPr="00231549">
        <w:rPr>
          <w:sz w:val="26"/>
          <w:szCs w:val="26"/>
        </w:rPr>
        <w:t xml:space="preserve"> MWh </w:t>
      </w:r>
      <w:r w:rsidR="00206DF7">
        <w:rPr>
          <w:sz w:val="26"/>
          <w:szCs w:val="26"/>
        </w:rPr>
        <w:t xml:space="preserve">of its total electric consumption reduction from </w:t>
      </w:r>
      <w:r w:rsidRPr="00231549">
        <w:rPr>
          <w:sz w:val="26"/>
          <w:szCs w:val="26"/>
        </w:rPr>
        <w:t>the G/E/NP sector in its service territory.</w:t>
      </w:r>
      <w:r w:rsidRPr="00231549">
        <w:rPr>
          <w:rStyle w:val="FootnoteReference"/>
          <w:sz w:val="26"/>
          <w:szCs w:val="26"/>
        </w:rPr>
        <w:footnoteReference w:id="51"/>
      </w:r>
      <w:r w:rsidRPr="00231549">
        <w:rPr>
          <w:sz w:val="26"/>
          <w:szCs w:val="26"/>
        </w:rPr>
        <w:t xml:space="preserve">  </w:t>
      </w:r>
      <w:r w:rsidR="00B62538">
        <w:rPr>
          <w:sz w:val="26"/>
          <w:szCs w:val="26"/>
        </w:rPr>
        <w:t>PPL</w:t>
      </w:r>
      <w:r w:rsidRPr="00231549">
        <w:rPr>
          <w:sz w:val="26"/>
          <w:szCs w:val="26"/>
        </w:rPr>
        <w:t xml:space="preserve"> </w:t>
      </w:r>
      <w:r w:rsidR="00206DF7">
        <w:rPr>
          <w:sz w:val="26"/>
          <w:szCs w:val="26"/>
        </w:rPr>
        <w:t>reports,</w:t>
      </w:r>
      <w:r w:rsidRPr="00231549">
        <w:rPr>
          <w:sz w:val="26"/>
          <w:szCs w:val="26"/>
        </w:rPr>
        <w:t xml:space="preserve"> in its </w:t>
      </w:r>
      <w:r w:rsidR="00806935">
        <w:rPr>
          <w:sz w:val="26"/>
          <w:szCs w:val="26"/>
        </w:rPr>
        <w:t>PY7</w:t>
      </w:r>
      <w:r w:rsidRPr="00231549">
        <w:rPr>
          <w:sz w:val="26"/>
          <w:szCs w:val="26"/>
        </w:rPr>
        <w:t xml:space="preserve"> Final Annual Report</w:t>
      </w:r>
      <w:r w:rsidR="00206DF7">
        <w:rPr>
          <w:sz w:val="26"/>
          <w:szCs w:val="26"/>
        </w:rPr>
        <w:t>, it attained</w:t>
      </w:r>
      <w:r w:rsidRPr="00231549">
        <w:rPr>
          <w:sz w:val="26"/>
          <w:szCs w:val="26"/>
        </w:rPr>
        <w:t xml:space="preserve"> a TRM-verified savings value</w:t>
      </w:r>
      <w:r w:rsidR="00206DF7" w:rsidRPr="00206DF7">
        <w:rPr>
          <w:sz w:val="26"/>
          <w:szCs w:val="26"/>
        </w:rPr>
        <w:t xml:space="preserve"> </w:t>
      </w:r>
      <w:r w:rsidR="00206DF7" w:rsidRPr="00231549">
        <w:rPr>
          <w:sz w:val="26"/>
          <w:szCs w:val="26"/>
        </w:rPr>
        <w:t xml:space="preserve">of </w:t>
      </w:r>
      <w:r w:rsidR="0061640C">
        <w:rPr>
          <w:sz w:val="26"/>
          <w:szCs w:val="26"/>
        </w:rPr>
        <w:t>185,391</w:t>
      </w:r>
      <w:r w:rsidR="00206DF7" w:rsidRPr="00B62538">
        <w:rPr>
          <w:sz w:val="26"/>
          <w:szCs w:val="26"/>
        </w:rPr>
        <w:t xml:space="preserve"> </w:t>
      </w:r>
      <w:r w:rsidR="00206DF7" w:rsidRPr="00231549">
        <w:rPr>
          <w:sz w:val="26"/>
          <w:szCs w:val="26"/>
        </w:rPr>
        <w:t>MWh</w:t>
      </w:r>
      <w:r w:rsidRPr="00231549">
        <w:rPr>
          <w:sz w:val="26"/>
          <w:szCs w:val="26"/>
        </w:rPr>
        <w:t xml:space="preserve"> from the G/E/NP sector</w:t>
      </w:r>
      <w:r w:rsidR="00806935">
        <w:rPr>
          <w:sz w:val="26"/>
          <w:szCs w:val="26"/>
        </w:rPr>
        <w:t>, including carryover savings from Phase I</w:t>
      </w:r>
      <w:r w:rsidRPr="00231549">
        <w:rPr>
          <w:sz w:val="26"/>
          <w:szCs w:val="26"/>
        </w:rPr>
        <w:t>.</w:t>
      </w:r>
      <w:r w:rsidRPr="00231549">
        <w:rPr>
          <w:rStyle w:val="FootnoteReference"/>
          <w:sz w:val="26"/>
          <w:szCs w:val="26"/>
        </w:rPr>
        <w:footnoteReference w:id="52"/>
      </w:r>
      <w:r w:rsidRPr="00231549">
        <w:rPr>
          <w:sz w:val="26"/>
          <w:szCs w:val="26"/>
        </w:rPr>
        <w:t xml:space="preserve">  In its</w:t>
      </w:r>
      <w:r w:rsidR="00BD3FB1">
        <w:rPr>
          <w:sz w:val="26"/>
          <w:szCs w:val="26"/>
        </w:rPr>
        <w:t xml:space="preserve"> </w:t>
      </w:r>
      <w:r w:rsidR="0066082E">
        <w:rPr>
          <w:sz w:val="26"/>
          <w:szCs w:val="26"/>
        </w:rPr>
        <w:t>Amended</w:t>
      </w:r>
      <w:r w:rsidRPr="00231549">
        <w:rPr>
          <w:sz w:val="26"/>
          <w:szCs w:val="26"/>
        </w:rPr>
        <w:t xml:space="preserve"> Phase I</w:t>
      </w:r>
      <w:r w:rsidR="00806935">
        <w:rPr>
          <w:sz w:val="26"/>
          <w:szCs w:val="26"/>
        </w:rPr>
        <w:t>I</w:t>
      </w:r>
      <w:r w:rsidRPr="00231549">
        <w:rPr>
          <w:sz w:val="26"/>
          <w:szCs w:val="26"/>
        </w:rPr>
        <w:t xml:space="preserve"> Final Annual Report, the SWE </w:t>
      </w:r>
      <w:r w:rsidR="00206DF7">
        <w:rPr>
          <w:sz w:val="26"/>
          <w:szCs w:val="26"/>
        </w:rPr>
        <w:t>validates</w:t>
      </w:r>
      <w:r w:rsidRPr="00231549">
        <w:rPr>
          <w:sz w:val="26"/>
          <w:szCs w:val="26"/>
        </w:rPr>
        <w:t xml:space="preserve"> </w:t>
      </w:r>
      <w:r w:rsidR="00B62538">
        <w:rPr>
          <w:sz w:val="26"/>
          <w:szCs w:val="26"/>
        </w:rPr>
        <w:t>PPL’s</w:t>
      </w:r>
      <w:r w:rsidRPr="00231549">
        <w:rPr>
          <w:sz w:val="26"/>
          <w:szCs w:val="26"/>
        </w:rPr>
        <w:t xml:space="preserve"> reported TRM-verified savings of </w:t>
      </w:r>
      <w:r w:rsidR="0061640C">
        <w:rPr>
          <w:sz w:val="26"/>
          <w:szCs w:val="26"/>
        </w:rPr>
        <w:t>185,391</w:t>
      </w:r>
      <w:r w:rsidRPr="00231549">
        <w:rPr>
          <w:sz w:val="26"/>
          <w:szCs w:val="26"/>
        </w:rPr>
        <w:t xml:space="preserve"> MWh and notes that this </w:t>
      </w:r>
      <w:r w:rsidR="00206DF7">
        <w:rPr>
          <w:sz w:val="26"/>
          <w:szCs w:val="26"/>
        </w:rPr>
        <w:t>amounts to</w:t>
      </w:r>
      <w:r w:rsidRPr="00231549">
        <w:rPr>
          <w:sz w:val="26"/>
          <w:szCs w:val="26"/>
        </w:rPr>
        <w:t xml:space="preserve"> </w:t>
      </w:r>
      <w:r w:rsidR="007C502D">
        <w:rPr>
          <w:sz w:val="26"/>
          <w:szCs w:val="26"/>
        </w:rPr>
        <w:t>226</w:t>
      </w:r>
      <w:r w:rsidRPr="00231549">
        <w:rPr>
          <w:sz w:val="26"/>
          <w:szCs w:val="26"/>
        </w:rPr>
        <w:t xml:space="preserve">% of </w:t>
      </w:r>
      <w:r w:rsidR="00B62538">
        <w:rPr>
          <w:sz w:val="26"/>
          <w:szCs w:val="26"/>
        </w:rPr>
        <w:t>PPL’s</w:t>
      </w:r>
      <w:r w:rsidRPr="00231549">
        <w:rPr>
          <w:sz w:val="26"/>
          <w:szCs w:val="26"/>
        </w:rPr>
        <w:t xml:space="preserve"> G/E/NP consumption reduction </w:t>
      </w:r>
      <w:r w:rsidR="00206DF7">
        <w:rPr>
          <w:sz w:val="26"/>
          <w:szCs w:val="26"/>
        </w:rPr>
        <w:t>requirement</w:t>
      </w:r>
      <w:r w:rsidRPr="00231549">
        <w:rPr>
          <w:sz w:val="26"/>
          <w:szCs w:val="26"/>
        </w:rPr>
        <w:t>.</w:t>
      </w:r>
      <w:r w:rsidRPr="00231549">
        <w:rPr>
          <w:rStyle w:val="FootnoteReference"/>
          <w:sz w:val="26"/>
          <w:szCs w:val="26"/>
        </w:rPr>
        <w:footnoteReference w:id="53"/>
      </w:r>
      <w:r w:rsidRPr="00231549">
        <w:rPr>
          <w:sz w:val="26"/>
          <w:szCs w:val="26"/>
        </w:rPr>
        <w:t xml:space="preserve">  The Commission agrees with the TRM-verified savings from the G/E/NP sector reported by </w:t>
      </w:r>
      <w:r w:rsidR="00B62538">
        <w:rPr>
          <w:sz w:val="26"/>
          <w:szCs w:val="26"/>
        </w:rPr>
        <w:t>PPL</w:t>
      </w:r>
      <w:r w:rsidRPr="00231549">
        <w:rPr>
          <w:sz w:val="26"/>
          <w:szCs w:val="26"/>
        </w:rPr>
        <w:t xml:space="preserve"> and confirmed by the SWE and deems </w:t>
      </w:r>
      <w:r w:rsidR="00B62538">
        <w:rPr>
          <w:sz w:val="26"/>
          <w:szCs w:val="26"/>
        </w:rPr>
        <w:t>PPL</w:t>
      </w:r>
      <w:r w:rsidRPr="00231549">
        <w:rPr>
          <w:sz w:val="26"/>
          <w:szCs w:val="26"/>
        </w:rPr>
        <w:t xml:space="preserve"> to be in compliance with the G/E/NP consumption reduction </w:t>
      </w:r>
      <w:r w:rsidR="00206DF7">
        <w:rPr>
          <w:sz w:val="26"/>
          <w:szCs w:val="26"/>
        </w:rPr>
        <w:t>requirement</w:t>
      </w:r>
      <w:r w:rsidRPr="00231549">
        <w:rPr>
          <w:sz w:val="26"/>
          <w:szCs w:val="26"/>
        </w:rPr>
        <w:t>.</w:t>
      </w:r>
    </w:p>
    <w:p w:rsidR="00C93D55" w:rsidRDefault="00C93D55" w:rsidP="005E5FCC">
      <w:pPr>
        <w:pStyle w:val="p3"/>
        <w:tabs>
          <w:tab w:val="clear" w:pos="204"/>
        </w:tabs>
        <w:spacing w:line="360" w:lineRule="auto"/>
        <w:rPr>
          <w:sz w:val="26"/>
          <w:szCs w:val="26"/>
        </w:rPr>
      </w:pPr>
    </w:p>
    <w:p w:rsidR="00C93D55" w:rsidRDefault="00C93D55" w:rsidP="005E5FCC">
      <w:pPr>
        <w:pStyle w:val="p3"/>
        <w:tabs>
          <w:tab w:val="clear" w:pos="204"/>
        </w:tabs>
        <w:spacing w:line="360" w:lineRule="auto"/>
        <w:rPr>
          <w:sz w:val="26"/>
          <w:szCs w:val="26"/>
        </w:rPr>
      </w:pPr>
      <w:r>
        <w:rPr>
          <w:sz w:val="26"/>
          <w:szCs w:val="26"/>
        </w:rPr>
        <w:tab/>
      </w:r>
      <w:r>
        <w:rPr>
          <w:sz w:val="26"/>
          <w:szCs w:val="26"/>
        </w:rPr>
        <w:tab/>
      </w:r>
      <w:r>
        <w:rPr>
          <w:b/>
          <w:sz w:val="26"/>
          <w:szCs w:val="26"/>
        </w:rPr>
        <w:t>g.</w:t>
      </w:r>
      <w:r>
        <w:rPr>
          <w:b/>
          <w:sz w:val="26"/>
          <w:szCs w:val="26"/>
        </w:rPr>
        <w:tab/>
        <w:t>West Penn</w:t>
      </w:r>
    </w:p>
    <w:p w:rsidR="002130D7" w:rsidRDefault="002130D7" w:rsidP="00F71395">
      <w:pPr>
        <w:pStyle w:val="p3"/>
        <w:widowControl/>
        <w:tabs>
          <w:tab w:val="clear" w:pos="204"/>
        </w:tabs>
        <w:spacing w:line="360" w:lineRule="auto"/>
        <w:rPr>
          <w:sz w:val="26"/>
          <w:szCs w:val="26"/>
        </w:rPr>
      </w:pPr>
      <w:r>
        <w:rPr>
          <w:sz w:val="26"/>
          <w:szCs w:val="26"/>
        </w:rPr>
        <w:tab/>
        <w:t>West Penn</w:t>
      </w:r>
      <w:r w:rsidRPr="00231549">
        <w:rPr>
          <w:sz w:val="26"/>
          <w:szCs w:val="26"/>
        </w:rPr>
        <w:t xml:space="preserve"> was required to </w:t>
      </w:r>
      <w:r w:rsidR="00C93D55">
        <w:rPr>
          <w:sz w:val="26"/>
          <w:szCs w:val="26"/>
        </w:rPr>
        <w:t xml:space="preserve">obtain </w:t>
      </w:r>
      <w:r w:rsidR="007C502D">
        <w:rPr>
          <w:sz w:val="26"/>
          <w:szCs w:val="26"/>
        </w:rPr>
        <w:t>33,753</w:t>
      </w:r>
      <w:r w:rsidR="00C93D55" w:rsidRPr="00231549">
        <w:rPr>
          <w:sz w:val="26"/>
          <w:szCs w:val="26"/>
        </w:rPr>
        <w:t xml:space="preserve"> MWh </w:t>
      </w:r>
      <w:r w:rsidR="00C93D55">
        <w:rPr>
          <w:sz w:val="26"/>
          <w:szCs w:val="26"/>
        </w:rPr>
        <w:t xml:space="preserve">of its total electric consumption reduction form </w:t>
      </w:r>
      <w:r w:rsidRPr="00231549">
        <w:rPr>
          <w:sz w:val="26"/>
          <w:szCs w:val="26"/>
        </w:rPr>
        <w:t>the G/E/NP sector in its service territory.</w:t>
      </w:r>
      <w:r w:rsidRPr="00231549">
        <w:rPr>
          <w:rStyle w:val="FootnoteReference"/>
          <w:sz w:val="26"/>
          <w:szCs w:val="26"/>
        </w:rPr>
        <w:footnoteReference w:id="54"/>
      </w:r>
      <w:r w:rsidRPr="00231549">
        <w:rPr>
          <w:sz w:val="26"/>
          <w:szCs w:val="26"/>
        </w:rPr>
        <w:t xml:space="preserve">  </w:t>
      </w:r>
      <w:r>
        <w:rPr>
          <w:sz w:val="26"/>
          <w:szCs w:val="26"/>
        </w:rPr>
        <w:t>West Penn</w:t>
      </w:r>
      <w:r w:rsidRPr="00231549">
        <w:rPr>
          <w:sz w:val="26"/>
          <w:szCs w:val="26"/>
        </w:rPr>
        <w:t xml:space="preserve"> </w:t>
      </w:r>
      <w:r w:rsidR="00C93D55">
        <w:rPr>
          <w:sz w:val="26"/>
          <w:szCs w:val="26"/>
        </w:rPr>
        <w:t>reports,</w:t>
      </w:r>
      <w:r w:rsidRPr="00231549">
        <w:rPr>
          <w:sz w:val="26"/>
          <w:szCs w:val="26"/>
        </w:rPr>
        <w:t xml:space="preserve"> in its </w:t>
      </w:r>
      <w:r w:rsidR="007C502D">
        <w:rPr>
          <w:sz w:val="26"/>
          <w:szCs w:val="26"/>
        </w:rPr>
        <w:t>PY7</w:t>
      </w:r>
      <w:r w:rsidR="007C502D" w:rsidRPr="00231549">
        <w:rPr>
          <w:sz w:val="26"/>
          <w:szCs w:val="26"/>
        </w:rPr>
        <w:t xml:space="preserve"> </w:t>
      </w:r>
      <w:r w:rsidRPr="00231549">
        <w:rPr>
          <w:sz w:val="26"/>
          <w:szCs w:val="26"/>
        </w:rPr>
        <w:t>Final Annual Report</w:t>
      </w:r>
      <w:r w:rsidR="00C93D55">
        <w:rPr>
          <w:sz w:val="26"/>
          <w:szCs w:val="26"/>
        </w:rPr>
        <w:t>, it attained</w:t>
      </w:r>
      <w:r w:rsidRPr="00231549">
        <w:rPr>
          <w:sz w:val="26"/>
          <w:szCs w:val="26"/>
        </w:rPr>
        <w:t xml:space="preserve"> a TRM-verified </w:t>
      </w:r>
      <w:r w:rsidR="00C93D55">
        <w:rPr>
          <w:sz w:val="26"/>
          <w:szCs w:val="26"/>
        </w:rPr>
        <w:t xml:space="preserve">reduction </w:t>
      </w:r>
      <w:r w:rsidR="00C93D55" w:rsidRPr="00231549">
        <w:rPr>
          <w:sz w:val="26"/>
          <w:szCs w:val="26"/>
        </w:rPr>
        <w:t xml:space="preserve">of </w:t>
      </w:r>
      <w:r w:rsidR="007C502D">
        <w:rPr>
          <w:sz w:val="26"/>
          <w:szCs w:val="26"/>
        </w:rPr>
        <w:t>93,655</w:t>
      </w:r>
      <w:r w:rsidR="00C93D55">
        <w:rPr>
          <w:sz w:val="26"/>
          <w:szCs w:val="26"/>
        </w:rPr>
        <w:t xml:space="preserve"> </w:t>
      </w:r>
      <w:r w:rsidR="00C93D55" w:rsidRPr="00231549">
        <w:rPr>
          <w:sz w:val="26"/>
          <w:szCs w:val="26"/>
        </w:rPr>
        <w:t>MWh</w:t>
      </w:r>
      <w:r w:rsidRPr="00231549">
        <w:rPr>
          <w:sz w:val="26"/>
          <w:szCs w:val="26"/>
        </w:rPr>
        <w:t xml:space="preserve"> from the G/E/NP sector.</w:t>
      </w:r>
      <w:r w:rsidRPr="00231549">
        <w:rPr>
          <w:rStyle w:val="FootnoteReference"/>
          <w:sz w:val="26"/>
          <w:szCs w:val="26"/>
        </w:rPr>
        <w:footnoteReference w:id="55"/>
      </w:r>
      <w:r w:rsidRPr="00231549">
        <w:rPr>
          <w:sz w:val="26"/>
          <w:szCs w:val="26"/>
        </w:rPr>
        <w:t xml:space="preserve">  In its </w:t>
      </w:r>
      <w:r w:rsidR="0066082E">
        <w:rPr>
          <w:sz w:val="26"/>
          <w:szCs w:val="26"/>
        </w:rPr>
        <w:t>Amended</w:t>
      </w:r>
      <w:r w:rsidR="00BD3FB1">
        <w:rPr>
          <w:sz w:val="26"/>
          <w:szCs w:val="26"/>
        </w:rPr>
        <w:t xml:space="preserve"> </w:t>
      </w:r>
      <w:r w:rsidRPr="00231549">
        <w:rPr>
          <w:sz w:val="26"/>
          <w:szCs w:val="26"/>
        </w:rPr>
        <w:t>Phase I</w:t>
      </w:r>
      <w:r w:rsidR="007C502D">
        <w:rPr>
          <w:sz w:val="26"/>
          <w:szCs w:val="26"/>
        </w:rPr>
        <w:t>I</w:t>
      </w:r>
      <w:r w:rsidRPr="00231549">
        <w:rPr>
          <w:sz w:val="26"/>
          <w:szCs w:val="26"/>
        </w:rPr>
        <w:t xml:space="preserve"> Final Annual Report, the SWE </w:t>
      </w:r>
      <w:r w:rsidR="00C93D55">
        <w:rPr>
          <w:sz w:val="26"/>
          <w:szCs w:val="26"/>
        </w:rPr>
        <w:t>validates</w:t>
      </w:r>
      <w:r w:rsidRPr="00231549">
        <w:rPr>
          <w:sz w:val="26"/>
          <w:szCs w:val="26"/>
        </w:rPr>
        <w:t xml:space="preserve"> </w:t>
      </w:r>
      <w:r>
        <w:rPr>
          <w:sz w:val="26"/>
          <w:szCs w:val="26"/>
        </w:rPr>
        <w:t>West Penn’s</w:t>
      </w:r>
      <w:r w:rsidRPr="00231549">
        <w:rPr>
          <w:sz w:val="26"/>
          <w:szCs w:val="26"/>
        </w:rPr>
        <w:t xml:space="preserve"> reported TRM-verified savings of </w:t>
      </w:r>
      <w:r w:rsidR="007C502D">
        <w:rPr>
          <w:sz w:val="26"/>
          <w:szCs w:val="26"/>
        </w:rPr>
        <w:t>93,655</w:t>
      </w:r>
      <w:r>
        <w:rPr>
          <w:sz w:val="26"/>
          <w:szCs w:val="26"/>
        </w:rPr>
        <w:t xml:space="preserve"> </w:t>
      </w:r>
      <w:r w:rsidRPr="00231549">
        <w:rPr>
          <w:sz w:val="26"/>
          <w:szCs w:val="26"/>
        </w:rPr>
        <w:t xml:space="preserve">MWh and notes that this </w:t>
      </w:r>
      <w:r w:rsidR="00C93D55">
        <w:rPr>
          <w:sz w:val="26"/>
          <w:szCs w:val="26"/>
        </w:rPr>
        <w:t>amounts to</w:t>
      </w:r>
      <w:r w:rsidRPr="00231549">
        <w:rPr>
          <w:sz w:val="26"/>
          <w:szCs w:val="26"/>
        </w:rPr>
        <w:t xml:space="preserve"> </w:t>
      </w:r>
      <w:r w:rsidR="007C502D">
        <w:rPr>
          <w:sz w:val="26"/>
          <w:szCs w:val="26"/>
        </w:rPr>
        <w:t>277</w:t>
      </w:r>
      <w:r w:rsidRPr="00231549">
        <w:rPr>
          <w:sz w:val="26"/>
          <w:szCs w:val="26"/>
        </w:rPr>
        <w:t xml:space="preserve">% of </w:t>
      </w:r>
      <w:r>
        <w:rPr>
          <w:sz w:val="26"/>
          <w:szCs w:val="26"/>
        </w:rPr>
        <w:t>West Penn’s</w:t>
      </w:r>
      <w:r w:rsidRPr="00231549">
        <w:rPr>
          <w:sz w:val="26"/>
          <w:szCs w:val="26"/>
        </w:rPr>
        <w:t xml:space="preserve"> G/E/NP consumption reduction </w:t>
      </w:r>
      <w:r w:rsidR="00C93D55">
        <w:rPr>
          <w:sz w:val="26"/>
          <w:szCs w:val="26"/>
        </w:rPr>
        <w:t>requirement</w:t>
      </w:r>
      <w:r w:rsidRPr="00231549">
        <w:rPr>
          <w:sz w:val="26"/>
          <w:szCs w:val="26"/>
        </w:rPr>
        <w:t>.</w:t>
      </w:r>
      <w:r w:rsidRPr="00231549">
        <w:rPr>
          <w:rStyle w:val="FootnoteReference"/>
          <w:sz w:val="26"/>
          <w:szCs w:val="26"/>
        </w:rPr>
        <w:footnoteReference w:id="56"/>
      </w:r>
      <w:r w:rsidRPr="00231549">
        <w:rPr>
          <w:sz w:val="26"/>
          <w:szCs w:val="26"/>
        </w:rPr>
        <w:t xml:space="preserve">  The Commission agrees with the TRM-verified savings from the G/E/NP sector reported by </w:t>
      </w:r>
      <w:r>
        <w:rPr>
          <w:sz w:val="26"/>
          <w:szCs w:val="26"/>
        </w:rPr>
        <w:t>West Penn</w:t>
      </w:r>
      <w:r w:rsidRPr="00231549">
        <w:rPr>
          <w:sz w:val="26"/>
          <w:szCs w:val="26"/>
        </w:rPr>
        <w:t xml:space="preserve"> and </w:t>
      </w:r>
      <w:r w:rsidRPr="00231549">
        <w:rPr>
          <w:sz w:val="26"/>
          <w:szCs w:val="26"/>
        </w:rPr>
        <w:lastRenderedPageBreak/>
        <w:t xml:space="preserve">confirmed by the SWE and deems </w:t>
      </w:r>
      <w:r>
        <w:rPr>
          <w:sz w:val="26"/>
          <w:szCs w:val="26"/>
        </w:rPr>
        <w:t>West Penn</w:t>
      </w:r>
      <w:r w:rsidRPr="00231549">
        <w:rPr>
          <w:sz w:val="26"/>
          <w:szCs w:val="26"/>
        </w:rPr>
        <w:t xml:space="preserve"> to be in compliance with the G/E/NP consumption reduc</w:t>
      </w:r>
      <w:r w:rsidR="00F71395">
        <w:rPr>
          <w:sz w:val="26"/>
          <w:szCs w:val="26"/>
        </w:rPr>
        <w:t>t</w:t>
      </w:r>
      <w:r w:rsidRPr="00231549">
        <w:rPr>
          <w:sz w:val="26"/>
          <w:szCs w:val="26"/>
        </w:rPr>
        <w:t xml:space="preserve">ion </w:t>
      </w:r>
      <w:r w:rsidR="00C93D55">
        <w:rPr>
          <w:sz w:val="26"/>
          <w:szCs w:val="26"/>
        </w:rPr>
        <w:t>requirement</w:t>
      </w:r>
      <w:r w:rsidRPr="00231549">
        <w:rPr>
          <w:sz w:val="26"/>
          <w:szCs w:val="26"/>
        </w:rPr>
        <w:t>.</w:t>
      </w:r>
    </w:p>
    <w:p w:rsidR="005660E9" w:rsidRDefault="005660E9" w:rsidP="00025B27">
      <w:pPr>
        <w:pStyle w:val="p3"/>
        <w:tabs>
          <w:tab w:val="clear" w:pos="204"/>
        </w:tabs>
        <w:spacing w:line="360" w:lineRule="auto"/>
        <w:rPr>
          <w:sz w:val="26"/>
          <w:szCs w:val="26"/>
        </w:rPr>
      </w:pPr>
    </w:p>
    <w:p w:rsidR="00025B27" w:rsidRDefault="002130D7" w:rsidP="00025B27">
      <w:pPr>
        <w:pStyle w:val="p3"/>
        <w:tabs>
          <w:tab w:val="clear" w:pos="204"/>
        </w:tabs>
        <w:spacing w:line="360" w:lineRule="auto"/>
        <w:rPr>
          <w:b/>
          <w:sz w:val="26"/>
          <w:szCs w:val="26"/>
        </w:rPr>
      </w:pPr>
      <w:r>
        <w:rPr>
          <w:sz w:val="26"/>
          <w:szCs w:val="26"/>
        </w:rPr>
        <w:tab/>
      </w:r>
      <w:r w:rsidR="00025B27">
        <w:rPr>
          <w:b/>
          <w:sz w:val="26"/>
          <w:szCs w:val="26"/>
        </w:rPr>
        <w:t>4.</w:t>
      </w:r>
      <w:r w:rsidR="00025B27">
        <w:rPr>
          <w:b/>
          <w:sz w:val="26"/>
          <w:szCs w:val="26"/>
        </w:rPr>
        <w:tab/>
        <w:t>Low-Income Carve-Out – Number of Measures</w:t>
      </w:r>
    </w:p>
    <w:p w:rsidR="00025B27" w:rsidRDefault="005F03CF" w:rsidP="00025B27">
      <w:pPr>
        <w:pStyle w:val="p3"/>
        <w:tabs>
          <w:tab w:val="clear" w:pos="204"/>
        </w:tabs>
        <w:spacing w:line="360" w:lineRule="auto"/>
        <w:ind w:firstLine="720"/>
        <w:rPr>
          <w:sz w:val="26"/>
          <w:szCs w:val="26"/>
        </w:rPr>
      </w:pPr>
      <w:r>
        <w:rPr>
          <w:sz w:val="26"/>
          <w:szCs w:val="26"/>
        </w:rPr>
        <w:t xml:space="preserve">Act 129 proscribed that, in Phase I, each EDC EE&amp;C Plan must include specific energy efficiency measures for households at or below 150% of the federal poverty income guidelines (FPIG), in proportion to that sector’s share of the total energy usage in the EDC’s service territory. </w:t>
      </w:r>
      <w:r>
        <w:rPr>
          <w:i/>
          <w:iCs/>
          <w:sz w:val="26"/>
          <w:szCs w:val="26"/>
        </w:rPr>
        <w:t>See</w:t>
      </w:r>
      <w:r>
        <w:rPr>
          <w:sz w:val="26"/>
          <w:szCs w:val="26"/>
        </w:rPr>
        <w:t xml:space="preserve"> 66 Pa. C.S. §</w:t>
      </w:r>
      <w:r w:rsidR="00EE0B71">
        <w:rPr>
          <w:sz w:val="26"/>
          <w:szCs w:val="26"/>
        </w:rPr>
        <w:t xml:space="preserve"> </w:t>
      </w:r>
      <w:r>
        <w:rPr>
          <w:sz w:val="26"/>
          <w:szCs w:val="26"/>
        </w:rPr>
        <w:t>2806.1(b)(1)(</w:t>
      </w:r>
      <w:proofErr w:type="spellStart"/>
      <w:r>
        <w:rPr>
          <w:sz w:val="26"/>
          <w:szCs w:val="26"/>
        </w:rPr>
        <w:t>i</w:t>
      </w:r>
      <w:proofErr w:type="spellEnd"/>
      <w:r>
        <w:rPr>
          <w:sz w:val="26"/>
          <w:szCs w:val="26"/>
        </w:rPr>
        <w:t>)(G).  For Phase II, the Commission continues this prescription.</w:t>
      </w:r>
      <w:r>
        <w:rPr>
          <w:rStyle w:val="FootnoteReference"/>
          <w:sz w:val="26"/>
          <w:szCs w:val="26"/>
        </w:rPr>
        <w:footnoteReference w:id="57"/>
      </w:r>
      <w:r w:rsidR="00025B27" w:rsidRPr="00C060FF">
        <w:rPr>
          <w:sz w:val="26"/>
          <w:szCs w:val="26"/>
        </w:rPr>
        <w:t xml:space="preserve">  </w:t>
      </w:r>
      <w:r w:rsidR="00025B27">
        <w:rPr>
          <w:sz w:val="26"/>
          <w:szCs w:val="26"/>
        </w:rPr>
        <w:t>The Commission’s determination of compliance with the low-income measure proportion requirement for each EDC follows.</w:t>
      </w:r>
    </w:p>
    <w:p w:rsidR="00543ED4" w:rsidRDefault="002A03AC" w:rsidP="002A03AC">
      <w:pPr>
        <w:tabs>
          <w:tab w:val="left" w:pos="2544"/>
        </w:tabs>
        <w:overflowPunct/>
        <w:autoSpaceDE/>
        <w:autoSpaceDN/>
        <w:adjustRightInd/>
        <w:spacing w:line="360" w:lineRule="auto"/>
        <w:textAlignment w:val="auto"/>
        <w:rPr>
          <w:sz w:val="26"/>
          <w:szCs w:val="26"/>
        </w:rPr>
      </w:pPr>
      <w:r>
        <w:rPr>
          <w:sz w:val="26"/>
          <w:szCs w:val="26"/>
        </w:rPr>
        <w:tab/>
      </w:r>
    </w:p>
    <w:p w:rsidR="00025B27" w:rsidRDefault="00025B27" w:rsidP="00025B27">
      <w:pPr>
        <w:pStyle w:val="p3"/>
        <w:tabs>
          <w:tab w:val="clear" w:pos="204"/>
        </w:tabs>
        <w:spacing w:line="360" w:lineRule="auto"/>
        <w:ind w:firstLine="720"/>
        <w:rPr>
          <w:b/>
          <w:sz w:val="26"/>
          <w:szCs w:val="26"/>
        </w:rPr>
      </w:pPr>
      <w:r>
        <w:rPr>
          <w:sz w:val="26"/>
          <w:szCs w:val="26"/>
        </w:rPr>
        <w:tab/>
      </w:r>
      <w:r>
        <w:rPr>
          <w:b/>
          <w:sz w:val="26"/>
          <w:szCs w:val="26"/>
        </w:rPr>
        <w:t>a.</w:t>
      </w:r>
      <w:r>
        <w:rPr>
          <w:b/>
          <w:sz w:val="26"/>
          <w:szCs w:val="26"/>
        </w:rPr>
        <w:tab/>
        <w:t>Duquesne</w:t>
      </w:r>
    </w:p>
    <w:p w:rsidR="00F52187" w:rsidRDefault="00F52187" w:rsidP="00F52187">
      <w:pPr>
        <w:pStyle w:val="p3"/>
        <w:tabs>
          <w:tab w:val="clear" w:pos="204"/>
        </w:tabs>
        <w:spacing w:line="360" w:lineRule="auto"/>
        <w:ind w:firstLine="720"/>
        <w:rPr>
          <w:sz w:val="26"/>
          <w:szCs w:val="26"/>
        </w:rPr>
      </w:pPr>
      <w:r>
        <w:rPr>
          <w:sz w:val="26"/>
          <w:szCs w:val="26"/>
        </w:rPr>
        <w:t>Duquesne was required to offer 8.402% of its measures to the low-income sector.</w:t>
      </w:r>
      <w:r w:rsidR="00EE7BF0">
        <w:rPr>
          <w:rStyle w:val="FootnoteReference"/>
          <w:sz w:val="26"/>
          <w:szCs w:val="26"/>
        </w:rPr>
        <w:footnoteReference w:id="58"/>
      </w:r>
      <w:r>
        <w:rPr>
          <w:sz w:val="26"/>
          <w:szCs w:val="26"/>
        </w:rPr>
        <w:t xml:space="preserve">  Duquesne</w:t>
      </w:r>
      <w:r w:rsidRPr="00C32C2E">
        <w:rPr>
          <w:sz w:val="26"/>
          <w:szCs w:val="26"/>
        </w:rPr>
        <w:t xml:space="preserve"> </w:t>
      </w:r>
      <w:r>
        <w:rPr>
          <w:sz w:val="26"/>
          <w:szCs w:val="26"/>
        </w:rPr>
        <w:t>reports,</w:t>
      </w:r>
      <w:r w:rsidRPr="00C32C2E">
        <w:rPr>
          <w:sz w:val="26"/>
          <w:szCs w:val="26"/>
        </w:rPr>
        <w:t xml:space="preserve"> in its PY</w:t>
      </w:r>
      <w:r>
        <w:rPr>
          <w:sz w:val="26"/>
          <w:szCs w:val="26"/>
        </w:rPr>
        <w:t>7</w:t>
      </w:r>
      <w:r w:rsidRPr="00C32C2E">
        <w:rPr>
          <w:sz w:val="26"/>
          <w:szCs w:val="26"/>
        </w:rPr>
        <w:t xml:space="preserve"> Final Annual Report</w:t>
      </w:r>
      <w:r>
        <w:rPr>
          <w:sz w:val="26"/>
          <w:szCs w:val="26"/>
        </w:rPr>
        <w:t>,</w:t>
      </w:r>
      <w:r w:rsidRPr="00C32C2E">
        <w:rPr>
          <w:sz w:val="26"/>
          <w:szCs w:val="26"/>
        </w:rPr>
        <w:t xml:space="preserve"> </w:t>
      </w:r>
      <w:r>
        <w:rPr>
          <w:sz w:val="26"/>
          <w:szCs w:val="26"/>
        </w:rPr>
        <w:t>that out of 97 measures offered across all sectors, 14 were offered to low-income customers</w:t>
      </w:r>
      <w:r w:rsidRPr="00C32C2E">
        <w:rPr>
          <w:sz w:val="26"/>
          <w:szCs w:val="26"/>
        </w:rPr>
        <w:t>.</w:t>
      </w:r>
      <w:r>
        <w:rPr>
          <w:sz w:val="26"/>
          <w:szCs w:val="26"/>
        </w:rPr>
        <w:t xml:space="preserve">  Duquesne states that this represented 14% of its measures.</w:t>
      </w:r>
      <w:r w:rsidR="00EE7BF0">
        <w:rPr>
          <w:rStyle w:val="FootnoteReference"/>
          <w:sz w:val="26"/>
          <w:szCs w:val="26"/>
        </w:rPr>
        <w:footnoteReference w:id="59"/>
      </w:r>
      <w:r w:rsidRPr="00C32C2E">
        <w:rPr>
          <w:sz w:val="26"/>
          <w:szCs w:val="26"/>
        </w:rPr>
        <w:t xml:space="preserve">  </w:t>
      </w:r>
      <w:r w:rsidRPr="00A24AE4">
        <w:rPr>
          <w:sz w:val="26"/>
          <w:szCs w:val="26"/>
        </w:rPr>
        <w:t xml:space="preserve">In its </w:t>
      </w:r>
      <w:r w:rsidR="0066082E">
        <w:rPr>
          <w:sz w:val="26"/>
          <w:szCs w:val="26"/>
        </w:rPr>
        <w:t>Amended</w:t>
      </w:r>
      <w:r w:rsidR="00BD3FB1">
        <w:rPr>
          <w:sz w:val="26"/>
          <w:szCs w:val="26"/>
        </w:rPr>
        <w:t xml:space="preserve"> </w:t>
      </w:r>
      <w:r w:rsidRPr="00A24AE4">
        <w:rPr>
          <w:sz w:val="26"/>
          <w:szCs w:val="26"/>
        </w:rPr>
        <w:t>Phase I</w:t>
      </w:r>
      <w:r>
        <w:rPr>
          <w:sz w:val="26"/>
          <w:szCs w:val="26"/>
        </w:rPr>
        <w:t>I</w:t>
      </w:r>
      <w:r w:rsidRPr="00A24AE4">
        <w:rPr>
          <w:sz w:val="26"/>
          <w:szCs w:val="26"/>
        </w:rPr>
        <w:t xml:space="preserve"> Final Annual Report, the SWE validates Duquesne’s reported proportion of measures offered to low-income customers.</w:t>
      </w:r>
      <w:r w:rsidR="002A03AC">
        <w:rPr>
          <w:rStyle w:val="FootnoteReference"/>
          <w:sz w:val="26"/>
          <w:szCs w:val="26"/>
        </w:rPr>
        <w:footnoteReference w:id="60"/>
      </w:r>
      <w:r w:rsidRPr="00A24AE4">
        <w:rPr>
          <w:sz w:val="26"/>
          <w:szCs w:val="26"/>
        </w:rPr>
        <w:t xml:space="preserve">  The Commission agrees with the proportion of low-income offerings reported by Duquesne and confirmed by the SWE and deems Duquesne to </w:t>
      </w:r>
      <w:proofErr w:type="gramStart"/>
      <w:r w:rsidRPr="00A24AE4">
        <w:rPr>
          <w:sz w:val="26"/>
          <w:szCs w:val="26"/>
        </w:rPr>
        <w:t>be in compliance with</w:t>
      </w:r>
      <w:proofErr w:type="gramEnd"/>
      <w:r w:rsidRPr="00A24AE4">
        <w:rPr>
          <w:sz w:val="26"/>
          <w:szCs w:val="26"/>
        </w:rPr>
        <w:t xml:space="preserve"> the low-income measure proportion requirement.</w:t>
      </w:r>
      <w:r>
        <w:rPr>
          <w:sz w:val="26"/>
          <w:szCs w:val="26"/>
        </w:rPr>
        <w:t xml:space="preserve"> </w:t>
      </w:r>
    </w:p>
    <w:p w:rsidR="00025B27" w:rsidRDefault="00025B27" w:rsidP="00025B27">
      <w:pPr>
        <w:pStyle w:val="p3"/>
        <w:tabs>
          <w:tab w:val="clear" w:pos="204"/>
        </w:tabs>
        <w:spacing w:line="360" w:lineRule="auto"/>
        <w:ind w:firstLine="720"/>
        <w:rPr>
          <w:sz w:val="26"/>
          <w:szCs w:val="26"/>
        </w:rPr>
      </w:pPr>
    </w:p>
    <w:p w:rsidR="00F71395" w:rsidRDefault="00F71395" w:rsidP="00025B27">
      <w:pPr>
        <w:pStyle w:val="p3"/>
        <w:tabs>
          <w:tab w:val="clear" w:pos="204"/>
        </w:tabs>
        <w:spacing w:line="360" w:lineRule="auto"/>
        <w:ind w:firstLine="720"/>
        <w:rPr>
          <w:sz w:val="26"/>
          <w:szCs w:val="26"/>
        </w:rPr>
      </w:pPr>
    </w:p>
    <w:p w:rsidR="00F71395" w:rsidRDefault="00F71395" w:rsidP="00025B27">
      <w:pPr>
        <w:pStyle w:val="p3"/>
        <w:tabs>
          <w:tab w:val="clear" w:pos="204"/>
        </w:tabs>
        <w:spacing w:line="360" w:lineRule="auto"/>
        <w:ind w:firstLine="720"/>
        <w:rPr>
          <w:sz w:val="26"/>
          <w:szCs w:val="26"/>
        </w:rPr>
      </w:pPr>
    </w:p>
    <w:p w:rsidR="00F71395" w:rsidRDefault="00F71395" w:rsidP="00025B27">
      <w:pPr>
        <w:pStyle w:val="p3"/>
        <w:tabs>
          <w:tab w:val="clear" w:pos="204"/>
        </w:tabs>
        <w:spacing w:line="360" w:lineRule="auto"/>
        <w:ind w:firstLine="720"/>
        <w:rPr>
          <w:sz w:val="26"/>
          <w:szCs w:val="26"/>
        </w:rPr>
      </w:pPr>
    </w:p>
    <w:p w:rsidR="00025B27" w:rsidRDefault="00025B27" w:rsidP="00025B27">
      <w:pPr>
        <w:pStyle w:val="p3"/>
        <w:tabs>
          <w:tab w:val="clear" w:pos="204"/>
        </w:tabs>
        <w:spacing w:line="360" w:lineRule="auto"/>
        <w:ind w:left="720" w:firstLine="720"/>
        <w:rPr>
          <w:sz w:val="26"/>
          <w:szCs w:val="26"/>
        </w:rPr>
      </w:pPr>
      <w:r>
        <w:rPr>
          <w:b/>
          <w:sz w:val="26"/>
          <w:szCs w:val="26"/>
        </w:rPr>
        <w:lastRenderedPageBreak/>
        <w:t>b.</w:t>
      </w:r>
      <w:r>
        <w:rPr>
          <w:b/>
          <w:sz w:val="26"/>
          <w:szCs w:val="26"/>
        </w:rPr>
        <w:tab/>
        <w:t>Met-Ed</w:t>
      </w:r>
    </w:p>
    <w:p w:rsidR="00025B27" w:rsidRDefault="00025B27" w:rsidP="00025B27">
      <w:pPr>
        <w:pStyle w:val="p3"/>
        <w:tabs>
          <w:tab w:val="clear" w:pos="204"/>
        </w:tabs>
        <w:spacing w:line="360" w:lineRule="auto"/>
        <w:rPr>
          <w:sz w:val="26"/>
          <w:szCs w:val="26"/>
        </w:rPr>
      </w:pPr>
      <w:r>
        <w:rPr>
          <w:sz w:val="26"/>
          <w:szCs w:val="26"/>
        </w:rPr>
        <w:tab/>
      </w:r>
      <w:r w:rsidR="00F52187">
        <w:rPr>
          <w:sz w:val="26"/>
          <w:szCs w:val="26"/>
        </w:rPr>
        <w:t>Met-Ed was required to offer 8.787% of its measures to the low-income sector.</w:t>
      </w:r>
      <w:r w:rsidR="002A03AC">
        <w:rPr>
          <w:rStyle w:val="FootnoteReference"/>
          <w:sz w:val="26"/>
          <w:szCs w:val="26"/>
        </w:rPr>
        <w:footnoteReference w:id="61"/>
      </w:r>
      <w:r w:rsidR="00F52187">
        <w:rPr>
          <w:sz w:val="26"/>
          <w:szCs w:val="26"/>
        </w:rPr>
        <w:t xml:space="preserve">  Met-Ed</w:t>
      </w:r>
      <w:r w:rsidR="00F52187" w:rsidRPr="00C32C2E">
        <w:rPr>
          <w:sz w:val="26"/>
          <w:szCs w:val="26"/>
        </w:rPr>
        <w:t xml:space="preserve"> </w:t>
      </w:r>
      <w:r w:rsidR="00F52187">
        <w:rPr>
          <w:sz w:val="26"/>
          <w:szCs w:val="26"/>
        </w:rPr>
        <w:t>reports,</w:t>
      </w:r>
      <w:r w:rsidR="00F52187" w:rsidRPr="00C32C2E">
        <w:rPr>
          <w:sz w:val="26"/>
          <w:szCs w:val="26"/>
        </w:rPr>
        <w:t xml:space="preserve"> in its PY</w:t>
      </w:r>
      <w:r w:rsidR="00F52187">
        <w:rPr>
          <w:sz w:val="26"/>
          <w:szCs w:val="26"/>
        </w:rPr>
        <w:t>7</w:t>
      </w:r>
      <w:r w:rsidR="00F52187" w:rsidRPr="00C32C2E">
        <w:rPr>
          <w:sz w:val="26"/>
          <w:szCs w:val="26"/>
        </w:rPr>
        <w:t xml:space="preserve"> Final Annual Report</w:t>
      </w:r>
      <w:r w:rsidR="00F52187">
        <w:rPr>
          <w:sz w:val="26"/>
          <w:szCs w:val="26"/>
        </w:rPr>
        <w:t>, that out of 40 measures offered across all sectors, six were offered to low-income customers</w:t>
      </w:r>
      <w:r w:rsidR="00F52187" w:rsidRPr="00C32C2E">
        <w:rPr>
          <w:sz w:val="26"/>
          <w:szCs w:val="26"/>
        </w:rPr>
        <w:t>.</w:t>
      </w:r>
      <w:r w:rsidR="00F52187">
        <w:rPr>
          <w:sz w:val="26"/>
          <w:szCs w:val="26"/>
        </w:rPr>
        <w:t xml:space="preserve">  Met-Ed states that this represented 15% of its measures.</w:t>
      </w:r>
      <w:r w:rsidR="002A03AC">
        <w:rPr>
          <w:rStyle w:val="FootnoteReference"/>
          <w:sz w:val="26"/>
          <w:szCs w:val="26"/>
        </w:rPr>
        <w:footnoteReference w:id="62"/>
      </w:r>
      <w:r w:rsidR="00F52187" w:rsidRPr="00C32C2E">
        <w:rPr>
          <w:sz w:val="26"/>
          <w:szCs w:val="26"/>
        </w:rPr>
        <w:t xml:space="preserve">  </w:t>
      </w:r>
      <w:r w:rsidR="00F52187" w:rsidRPr="00A24AE4">
        <w:rPr>
          <w:sz w:val="26"/>
          <w:szCs w:val="26"/>
        </w:rPr>
        <w:t xml:space="preserve">In its </w:t>
      </w:r>
      <w:r w:rsidR="0066082E">
        <w:rPr>
          <w:sz w:val="26"/>
          <w:szCs w:val="26"/>
        </w:rPr>
        <w:t>Amended</w:t>
      </w:r>
      <w:r w:rsidR="00BD3FB1">
        <w:rPr>
          <w:sz w:val="26"/>
          <w:szCs w:val="26"/>
        </w:rPr>
        <w:t xml:space="preserve"> </w:t>
      </w:r>
      <w:r w:rsidR="00F52187" w:rsidRPr="00A24AE4">
        <w:rPr>
          <w:sz w:val="26"/>
          <w:szCs w:val="26"/>
        </w:rPr>
        <w:t>Phase I</w:t>
      </w:r>
      <w:r w:rsidR="00F52187">
        <w:rPr>
          <w:sz w:val="26"/>
          <w:szCs w:val="26"/>
        </w:rPr>
        <w:t>I</w:t>
      </w:r>
      <w:r w:rsidR="00F52187" w:rsidRPr="00A24AE4">
        <w:rPr>
          <w:sz w:val="26"/>
          <w:szCs w:val="26"/>
        </w:rPr>
        <w:t xml:space="preserve"> Final Annual Report, the SWE validates </w:t>
      </w:r>
      <w:r w:rsidR="00F52187">
        <w:rPr>
          <w:sz w:val="26"/>
          <w:szCs w:val="26"/>
        </w:rPr>
        <w:t>Met-Ed</w:t>
      </w:r>
      <w:r w:rsidR="00F52187" w:rsidRPr="00A24AE4">
        <w:rPr>
          <w:sz w:val="26"/>
          <w:szCs w:val="26"/>
        </w:rPr>
        <w:t>’s reported proportion of measures offered to low-income customers.</w:t>
      </w:r>
      <w:r w:rsidR="00EE7BF0">
        <w:rPr>
          <w:rStyle w:val="FootnoteReference"/>
          <w:sz w:val="26"/>
          <w:szCs w:val="26"/>
        </w:rPr>
        <w:footnoteReference w:id="63"/>
      </w:r>
      <w:r w:rsidR="00F52187" w:rsidRPr="00C32C2E">
        <w:rPr>
          <w:sz w:val="26"/>
          <w:szCs w:val="26"/>
        </w:rPr>
        <w:t xml:space="preserve">  </w:t>
      </w:r>
      <w:r w:rsidR="00F52187" w:rsidRPr="00A24AE4">
        <w:rPr>
          <w:sz w:val="26"/>
          <w:szCs w:val="26"/>
        </w:rPr>
        <w:t xml:space="preserve">The Commission agrees with the proportion of low-income offerings reported by </w:t>
      </w:r>
      <w:r w:rsidR="00F52187">
        <w:rPr>
          <w:sz w:val="26"/>
          <w:szCs w:val="26"/>
        </w:rPr>
        <w:t>Met-Ed</w:t>
      </w:r>
      <w:r w:rsidR="00F52187" w:rsidRPr="00A24AE4">
        <w:rPr>
          <w:sz w:val="26"/>
          <w:szCs w:val="26"/>
        </w:rPr>
        <w:t xml:space="preserve"> and confirmed by the SWE and deems </w:t>
      </w:r>
      <w:r w:rsidR="00F52187">
        <w:rPr>
          <w:sz w:val="26"/>
          <w:szCs w:val="26"/>
        </w:rPr>
        <w:t>Met-Ed</w:t>
      </w:r>
      <w:r w:rsidR="00F52187" w:rsidRPr="00A24AE4">
        <w:rPr>
          <w:sz w:val="26"/>
          <w:szCs w:val="26"/>
        </w:rPr>
        <w:t xml:space="preserve"> to </w:t>
      </w:r>
      <w:proofErr w:type="gramStart"/>
      <w:r w:rsidR="00F52187" w:rsidRPr="00A24AE4">
        <w:rPr>
          <w:sz w:val="26"/>
          <w:szCs w:val="26"/>
        </w:rPr>
        <w:t>be in compliance with</w:t>
      </w:r>
      <w:proofErr w:type="gramEnd"/>
      <w:r w:rsidR="00F52187" w:rsidRPr="00A24AE4">
        <w:rPr>
          <w:sz w:val="26"/>
          <w:szCs w:val="26"/>
        </w:rPr>
        <w:t xml:space="preserve"> the low-income measure proportion requirement.</w:t>
      </w:r>
    </w:p>
    <w:p w:rsidR="00543ED4" w:rsidRDefault="00543ED4" w:rsidP="00025B27">
      <w:pPr>
        <w:pStyle w:val="p3"/>
        <w:tabs>
          <w:tab w:val="clear" w:pos="204"/>
        </w:tabs>
        <w:spacing w:line="360" w:lineRule="auto"/>
        <w:rPr>
          <w:sz w:val="26"/>
          <w:szCs w:val="26"/>
        </w:rPr>
      </w:pPr>
    </w:p>
    <w:p w:rsidR="00025B27" w:rsidRDefault="00025B27" w:rsidP="00025B27">
      <w:pPr>
        <w:pStyle w:val="p3"/>
        <w:tabs>
          <w:tab w:val="clear" w:pos="204"/>
        </w:tabs>
        <w:spacing w:line="360" w:lineRule="auto"/>
        <w:rPr>
          <w:sz w:val="26"/>
          <w:szCs w:val="26"/>
        </w:rPr>
      </w:pPr>
      <w:r>
        <w:rPr>
          <w:sz w:val="26"/>
          <w:szCs w:val="26"/>
        </w:rPr>
        <w:tab/>
      </w:r>
      <w:r>
        <w:rPr>
          <w:sz w:val="26"/>
          <w:szCs w:val="26"/>
        </w:rPr>
        <w:tab/>
      </w:r>
      <w:r>
        <w:rPr>
          <w:b/>
          <w:sz w:val="26"/>
          <w:szCs w:val="26"/>
        </w:rPr>
        <w:t>c.</w:t>
      </w:r>
      <w:r>
        <w:rPr>
          <w:b/>
          <w:sz w:val="26"/>
          <w:szCs w:val="26"/>
        </w:rPr>
        <w:tab/>
        <w:t>PECO</w:t>
      </w:r>
    </w:p>
    <w:p w:rsidR="00025B27" w:rsidRDefault="00025B27" w:rsidP="00025B27">
      <w:pPr>
        <w:pStyle w:val="p3"/>
        <w:tabs>
          <w:tab w:val="clear" w:pos="204"/>
        </w:tabs>
        <w:spacing w:line="360" w:lineRule="auto"/>
        <w:rPr>
          <w:sz w:val="26"/>
          <w:szCs w:val="26"/>
        </w:rPr>
      </w:pPr>
      <w:r>
        <w:rPr>
          <w:sz w:val="26"/>
          <w:szCs w:val="26"/>
        </w:rPr>
        <w:tab/>
      </w:r>
      <w:r w:rsidR="00F52187">
        <w:rPr>
          <w:sz w:val="26"/>
          <w:szCs w:val="26"/>
        </w:rPr>
        <w:t>PECO was required to offer 8.799% of its measures to the low-income sector.</w:t>
      </w:r>
      <w:r w:rsidR="00F52187">
        <w:rPr>
          <w:rStyle w:val="FootnoteReference"/>
          <w:sz w:val="26"/>
          <w:szCs w:val="26"/>
        </w:rPr>
        <w:footnoteReference w:id="64"/>
      </w:r>
      <w:r w:rsidR="00F52187">
        <w:rPr>
          <w:sz w:val="26"/>
          <w:szCs w:val="26"/>
        </w:rPr>
        <w:t xml:space="preserve">  PECO</w:t>
      </w:r>
      <w:r w:rsidR="00F52187" w:rsidRPr="00C32C2E">
        <w:rPr>
          <w:sz w:val="26"/>
          <w:szCs w:val="26"/>
        </w:rPr>
        <w:t xml:space="preserve"> </w:t>
      </w:r>
      <w:r w:rsidR="00F52187">
        <w:rPr>
          <w:sz w:val="26"/>
          <w:szCs w:val="26"/>
        </w:rPr>
        <w:t>reports,</w:t>
      </w:r>
      <w:r w:rsidR="00F52187" w:rsidRPr="00C32C2E">
        <w:rPr>
          <w:sz w:val="26"/>
          <w:szCs w:val="26"/>
        </w:rPr>
        <w:t xml:space="preserve"> in its PY</w:t>
      </w:r>
      <w:r w:rsidR="00F52187">
        <w:rPr>
          <w:sz w:val="26"/>
          <w:szCs w:val="26"/>
        </w:rPr>
        <w:t>7</w:t>
      </w:r>
      <w:r w:rsidR="00F52187" w:rsidRPr="00C32C2E">
        <w:rPr>
          <w:sz w:val="26"/>
          <w:szCs w:val="26"/>
        </w:rPr>
        <w:t xml:space="preserve"> Final Annual Report</w:t>
      </w:r>
      <w:r w:rsidR="00F52187">
        <w:rPr>
          <w:sz w:val="26"/>
          <w:szCs w:val="26"/>
        </w:rPr>
        <w:t>,</w:t>
      </w:r>
      <w:r w:rsidR="00F52187" w:rsidRPr="00C32C2E">
        <w:rPr>
          <w:sz w:val="26"/>
          <w:szCs w:val="26"/>
        </w:rPr>
        <w:t xml:space="preserve"> </w:t>
      </w:r>
      <w:r w:rsidR="00F52187">
        <w:rPr>
          <w:sz w:val="26"/>
          <w:szCs w:val="26"/>
        </w:rPr>
        <w:t>that out of 112 measures offered across all sectors, 19 were offered to low-income customers</w:t>
      </w:r>
      <w:r w:rsidR="00F52187" w:rsidRPr="00C32C2E">
        <w:rPr>
          <w:sz w:val="26"/>
          <w:szCs w:val="26"/>
        </w:rPr>
        <w:t>.</w:t>
      </w:r>
      <w:r w:rsidR="00F52187">
        <w:rPr>
          <w:sz w:val="26"/>
          <w:szCs w:val="26"/>
        </w:rPr>
        <w:t xml:space="preserve">  PECO states that this represented 17% of its measures</w:t>
      </w:r>
      <w:r w:rsidR="00F52187" w:rsidRPr="00503C7A">
        <w:rPr>
          <w:sz w:val="26"/>
          <w:szCs w:val="26"/>
        </w:rPr>
        <w:t>.</w:t>
      </w:r>
      <w:r w:rsidR="00F52187" w:rsidRPr="00503C7A">
        <w:rPr>
          <w:rStyle w:val="FootnoteReference"/>
          <w:sz w:val="26"/>
          <w:szCs w:val="26"/>
        </w:rPr>
        <w:footnoteReference w:id="65"/>
      </w:r>
      <w:r w:rsidR="00F52187" w:rsidRPr="00131B55">
        <w:rPr>
          <w:sz w:val="26"/>
          <w:szCs w:val="26"/>
        </w:rPr>
        <w:t xml:space="preserve"> </w:t>
      </w:r>
      <w:r w:rsidR="00F52187">
        <w:rPr>
          <w:sz w:val="26"/>
          <w:szCs w:val="26"/>
        </w:rPr>
        <w:t xml:space="preserve"> </w:t>
      </w:r>
      <w:r w:rsidR="00F52187" w:rsidRPr="00A24AE4">
        <w:rPr>
          <w:sz w:val="26"/>
          <w:szCs w:val="26"/>
        </w:rPr>
        <w:t xml:space="preserve">In its </w:t>
      </w:r>
      <w:r w:rsidR="0066082E">
        <w:rPr>
          <w:sz w:val="26"/>
          <w:szCs w:val="26"/>
        </w:rPr>
        <w:t>Amended</w:t>
      </w:r>
      <w:r w:rsidR="00BD3FB1">
        <w:rPr>
          <w:sz w:val="26"/>
          <w:szCs w:val="26"/>
        </w:rPr>
        <w:t xml:space="preserve"> </w:t>
      </w:r>
      <w:r w:rsidR="00F52187" w:rsidRPr="00A24AE4">
        <w:rPr>
          <w:sz w:val="26"/>
          <w:szCs w:val="26"/>
        </w:rPr>
        <w:t>Phase I</w:t>
      </w:r>
      <w:r w:rsidR="00F52187">
        <w:rPr>
          <w:sz w:val="26"/>
          <w:szCs w:val="26"/>
        </w:rPr>
        <w:t>I</w:t>
      </w:r>
      <w:r w:rsidR="00F52187" w:rsidRPr="00A24AE4">
        <w:rPr>
          <w:sz w:val="26"/>
          <w:szCs w:val="26"/>
        </w:rPr>
        <w:t xml:space="preserve"> Final Annual Report, the SWE validates </w:t>
      </w:r>
      <w:r w:rsidR="00F52187">
        <w:rPr>
          <w:sz w:val="26"/>
          <w:szCs w:val="26"/>
        </w:rPr>
        <w:t>PECO</w:t>
      </w:r>
      <w:r w:rsidR="00F52187" w:rsidRPr="00A24AE4">
        <w:rPr>
          <w:sz w:val="26"/>
          <w:szCs w:val="26"/>
        </w:rPr>
        <w:t>’s reported proportion of measures offered to low-income customers</w:t>
      </w:r>
      <w:r w:rsidR="00F52187">
        <w:rPr>
          <w:sz w:val="26"/>
          <w:szCs w:val="26"/>
        </w:rPr>
        <w:t>.</w:t>
      </w:r>
      <w:r w:rsidR="00A12CEC">
        <w:rPr>
          <w:rStyle w:val="FootnoteReference"/>
          <w:sz w:val="26"/>
          <w:szCs w:val="26"/>
        </w:rPr>
        <w:footnoteReference w:id="66"/>
      </w:r>
      <w:r w:rsidR="00F52187" w:rsidRPr="008E146B">
        <w:rPr>
          <w:sz w:val="26"/>
          <w:szCs w:val="26"/>
        </w:rPr>
        <w:t xml:space="preserve"> </w:t>
      </w:r>
      <w:r w:rsidR="00F52187">
        <w:rPr>
          <w:sz w:val="26"/>
          <w:szCs w:val="26"/>
        </w:rPr>
        <w:t xml:space="preserve"> </w:t>
      </w:r>
      <w:r w:rsidR="00F52187" w:rsidRPr="00A24AE4">
        <w:rPr>
          <w:sz w:val="26"/>
          <w:szCs w:val="26"/>
        </w:rPr>
        <w:t xml:space="preserve">The Commission agrees with the proportion of low-income offerings reported by </w:t>
      </w:r>
      <w:r w:rsidR="00F52187">
        <w:rPr>
          <w:sz w:val="26"/>
          <w:szCs w:val="26"/>
        </w:rPr>
        <w:t>PECO</w:t>
      </w:r>
      <w:r w:rsidR="00F52187" w:rsidRPr="00A24AE4">
        <w:rPr>
          <w:sz w:val="26"/>
          <w:szCs w:val="26"/>
        </w:rPr>
        <w:t xml:space="preserve"> and confirmed by the SWE and deems </w:t>
      </w:r>
      <w:r w:rsidR="00F52187">
        <w:rPr>
          <w:sz w:val="26"/>
          <w:szCs w:val="26"/>
        </w:rPr>
        <w:t>PECO</w:t>
      </w:r>
      <w:r w:rsidR="00F52187" w:rsidRPr="00A24AE4">
        <w:rPr>
          <w:sz w:val="26"/>
          <w:szCs w:val="26"/>
        </w:rPr>
        <w:t xml:space="preserve"> to </w:t>
      </w:r>
      <w:proofErr w:type="gramStart"/>
      <w:r w:rsidR="00F52187" w:rsidRPr="00A24AE4">
        <w:rPr>
          <w:sz w:val="26"/>
          <w:szCs w:val="26"/>
        </w:rPr>
        <w:t>be in compliance with</w:t>
      </w:r>
      <w:proofErr w:type="gramEnd"/>
      <w:r w:rsidR="00F52187" w:rsidRPr="00A24AE4">
        <w:rPr>
          <w:sz w:val="26"/>
          <w:szCs w:val="26"/>
        </w:rPr>
        <w:t xml:space="preserve"> the low-income measure proportion requirement.</w:t>
      </w:r>
    </w:p>
    <w:p w:rsidR="00025B27" w:rsidRDefault="00025B27" w:rsidP="00025B27">
      <w:pPr>
        <w:pStyle w:val="p3"/>
        <w:tabs>
          <w:tab w:val="clear" w:pos="204"/>
        </w:tabs>
        <w:spacing w:line="360" w:lineRule="auto"/>
        <w:rPr>
          <w:sz w:val="26"/>
          <w:szCs w:val="26"/>
        </w:rPr>
      </w:pPr>
    </w:p>
    <w:p w:rsidR="00F71395" w:rsidRDefault="00F71395" w:rsidP="00025B27">
      <w:pPr>
        <w:pStyle w:val="p3"/>
        <w:tabs>
          <w:tab w:val="clear" w:pos="204"/>
        </w:tabs>
        <w:spacing w:line="360" w:lineRule="auto"/>
        <w:rPr>
          <w:sz w:val="26"/>
          <w:szCs w:val="26"/>
        </w:rPr>
      </w:pPr>
    </w:p>
    <w:p w:rsidR="00F71395" w:rsidRDefault="00F71395" w:rsidP="00025B27">
      <w:pPr>
        <w:pStyle w:val="p3"/>
        <w:tabs>
          <w:tab w:val="clear" w:pos="204"/>
        </w:tabs>
        <w:spacing w:line="360" w:lineRule="auto"/>
        <w:rPr>
          <w:sz w:val="26"/>
          <w:szCs w:val="26"/>
        </w:rPr>
      </w:pPr>
    </w:p>
    <w:p w:rsidR="00025B27" w:rsidRDefault="00025B27" w:rsidP="00025B27">
      <w:pPr>
        <w:pStyle w:val="p3"/>
        <w:tabs>
          <w:tab w:val="clear" w:pos="204"/>
        </w:tabs>
        <w:spacing w:line="360" w:lineRule="auto"/>
        <w:rPr>
          <w:sz w:val="26"/>
          <w:szCs w:val="26"/>
        </w:rPr>
      </w:pPr>
      <w:r>
        <w:rPr>
          <w:sz w:val="26"/>
          <w:szCs w:val="26"/>
        </w:rPr>
        <w:lastRenderedPageBreak/>
        <w:tab/>
      </w:r>
      <w:r>
        <w:rPr>
          <w:sz w:val="26"/>
          <w:szCs w:val="26"/>
        </w:rPr>
        <w:tab/>
      </w:r>
      <w:r>
        <w:rPr>
          <w:b/>
          <w:sz w:val="26"/>
          <w:szCs w:val="26"/>
        </w:rPr>
        <w:t>d.</w:t>
      </w:r>
      <w:r>
        <w:rPr>
          <w:b/>
          <w:sz w:val="26"/>
          <w:szCs w:val="26"/>
        </w:rPr>
        <w:tab/>
        <w:t>Penelec</w:t>
      </w:r>
    </w:p>
    <w:p w:rsidR="00025B27" w:rsidRDefault="00025B27" w:rsidP="00025B27">
      <w:pPr>
        <w:pStyle w:val="p3"/>
        <w:tabs>
          <w:tab w:val="clear" w:pos="204"/>
        </w:tabs>
        <w:spacing w:line="360" w:lineRule="auto"/>
        <w:rPr>
          <w:sz w:val="26"/>
          <w:szCs w:val="26"/>
        </w:rPr>
      </w:pPr>
      <w:r>
        <w:rPr>
          <w:sz w:val="26"/>
          <w:szCs w:val="26"/>
        </w:rPr>
        <w:tab/>
      </w:r>
      <w:r w:rsidR="00F52187">
        <w:rPr>
          <w:sz w:val="26"/>
          <w:szCs w:val="26"/>
        </w:rPr>
        <w:t>Penelec was required to offer 10.231% of its measures to the low-income sector.</w:t>
      </w:r>
      <w:r w:rsidR="00A12CEC">
        <w:rPr>
          <w:rStyle w:val="FootnoteReference"/>
          <w:sz w:val="26"/>
          <w:szCs w:val="26"/>
        </w:rPr>
        <w:footnoteReference w:id="67"/>
      </w:r>
      <w:r w:rsidR="00F52187">
        <w:rPr>
          <w:sz w:val="26"/>
          <w:szCs w:val="26"/>
        </w:rPr>
        <w:t xml:space="preserve">  Penelec</w:t>
      </w:r>
      <w:r w:rsidR="00F52187" w:rsidRPr="00C32C2E">
        <w:rPr>
          <w:sz w:val="26"/>
          <w:szCs w:val="26"/>
        </w:rPr>
        <w:t xml:space="preserve"> </w:t>
      </w:r>
      <w:r w:rsidR="00F52187">
        <w:rPr>
          <w:sz w:val="26"/>
          <w:szCs w:val="26"/>
        </w:rPr>
        <w:t>reports, in its PY7</w:t>
      </w:r>
      <w:r w:rsidR="00F52187" w:rsidRPr="00C32C2E">
        <w:rPr>
          <w:sz w:val="26"/>
          <w:szCs w:val="26"/>
        </w:rPr>
        <w:t xml:space="preserve"> Final Annual Report</w:t>
      </w:r>
      <w:r w:rsidR="00F52187">
        <w:rPr>
          <w:sz w:val="26"/>
          <w:szCs w:val="26"/>
        </w:rPr>
        <w:t>,</w:t>
      </w:r>
      <w:r w:rsidR="00F52187" w:rsidRPr="00C32C2E">
        <w:rPr>
          <w:sz w:val="26"/>
          <w:szCs w:val="26"/>
        </w:rPr>
        <w:t xml:space="preserve"> </w:t>
      </w:r>
      <w:r w:rsidR="00F52187">
        <w:rPr>
          <w:sz w:val="26"/>
          <w:szCs w:val="26"/>
        </w:rPr>
        <w:t>that out of 40 measures offered across all sectors, six were offered to low-income customers</w:t>
      </w:r>
      <w:r w:rsidR="00F52187" w:rsidRPr="00C32C2E">
        <w:rPr>
          <w:sz w:val="26"/>
          <w:szCs w:val="26"/>
        </w:rPr>
        <w:t>.</w:t>
      </w:r>
      <w:r w:rsidR="00F52187">
        <w:rPr>
          <w:sz w:val="26"/>
          <w:szCs w:val="26"/>
        </w:rPr>
        <w:t xml:space="preserve">  Penelec states that this represented 15% of its measures.</w:t>
      </w:r>
      <w:r w:rsidR="00A12CEC">
        <w:rPr>
          <w:rStyle w:val="FootnoteReference"/>
          <w:sz w:val="26"/>
          <w:szCs w:val="26"/>
        </w:rPr>
        <w:footnoteReference w:id="68"/>
      </w:r>
      <w:r w:rsidR="00F52187" w:rsidRPr="00C32C2E">
        <w:rPr>
          <w:sz w:val="26"/>
          <w:szCs w:val="26"/>
        </w:rPr>
        <w:t xml:space="preserve">  </w:t>
      </w:r>
      <w:r w:rsidR="00F52187" w:rsidRPr="00A24AE4">
        <w:rPr>
          <w:sz w:val="26"/>
          <w:szCs w:val="26"/>
        </w:rPr>
        <w:t xml:space="preserve">In its </w:t>
      </w:r>
      <w:r w:rsidR="0066082E">
        <w:rPr>
          <w:sz w:val="26"/>
          <w:szCs w:val="26"/>
        </w:rPr>
        <w:t>Amended</w:t>
      </w:r>
      <w:r w:rsidR="00BD3FB1">
        <w:rPr>
          <w:sz w:val="26"/>
          <w:szCs w:val="26"/>
        </w:rPr>
        <w:t xml:space="preserve"> </w:t>
      </w:r>
      <w:r w:rsidR="00F52187" w:rsidRPr="00A24AE4">
        <w:rPr>
          <w:sz w:val="26"/>
          <w:szCs w:val="26"/>
        </w:rPr>
        <w:t>Phase I</w:t>
      </w:r>
      <w:r w:rsidR="00F52187">
        <w:rPr>
          <w:sz w:val="26"/>
          <w:szCs w:val="26"/>
        </w:rPr>
        <w:t>I</w:t>
      </w:r>
      <w:r w:rsidR="00F52187" w:rsidRPr="00A24AE4">
        <w:rPr>
          <w:sz w:val="26"/>
          <w:szCs w:val="26"/>
        </w:rPr>
        <w:t xml:space="preserve"> Final Annual Report, the SWE validates </w:t>
      </w:r>
      <w:proofErr w:type="spellStart"/>
      <w:r w:rsidR="00F52187">
        <w:rPr>
          <w:sz w:val="26"/>
          <w:szCs w:val="26"/>
        </w:rPr>
        <w:t>Penelec</w:t>
      </w:r>
      <w:r w:rsidR="00F52187" w:rsidRPr="00A24AE4">
        <w:rPr>
          <w:sz w:val="26"/>
          <w:szCs w:val="26"/>
        </w:rPr>
        <w:t>’s</w:t>
      </w:r>
      <w:proofErr w:type="spellEnd"/>
      <w:r w:rsidR="00F52187" w:rsidRPr="00A24AE4">
        <w:rPr>
          <w:sz w:val="26"/>
          <w:szCs w:val="26"/>
        </w:rPr>
        <w:t xml:space="preserve"> reported proportion of measures offered to low-income customers</w:t>
      </w:r>
      <w:r w:rsidR="00F52187">
        <w:rPr>
          <w:sz w:val="26"/>
          <w:szCs w:val="26"/>
        </w:rPr>
        <w:t>.</w:t>
      </w:r>
      <w:r w:rsidR="00A12CEC">
        <w:rPr>
          <w:rStyle w:val="FootnoteReference"/>
          <w:sz w:val="26"/>
          <w:szCs w:val="26"/>
        </w:rPr>
        <w:footnoteReference w:id="69"/>
      </w:r>
      <w:r w:rsidR="00F52187" w:rsidRPr="00C32C2E">
        <w:rPr>
          <w:sz w:val="26"/>
          <w:szCs w:val="26"/>
        </w:rPr>
        <w:t xml:space="preserve">  </w:t>
      </w:r>
      <w:r w:rsidR="00F52187" w:rsidRPr="00A24AE4">
        <w:rPr>
          <w:sz w:val="26"/>
          <w:szCs w:val="26"/>
        </w:rPr>
        <w:t xml:space="preserve">The Commission agrees with the proportion of low-income offerings reported by </w:t>
      </w:r>
      <w:r w:rsidR="00F52187">
        <w:rPr>
          <w:sz w:val="26"/>
          <w:szCs w:val="26"/>
        </w:rPr>
        <w:t>Penelec</w:t>
      </w:r>
      <w:r w:rsidR="00F52187" w:rsidRPr="00A24AE4">
        <w:rPr>
          <w:sz w:val="26"/>
          <w:szCs w:val="26"/>
        </w:rPr>
        <w:t xml:space="preserve"> and confirmed by the SWE and deems </w:t>
      </w:r>
      <w:r w:rsidR="00F52187">
        <w:rPr>
          <w:sz w:val="26"/>
          <w:szCs w:val="26"/>
        </w:rPr>
        <w:t>Penelec</w:t>
      </w:r>
      <w:r w:rsidR="00F52187" w:rsidRPr="00A24AE4">
        <w:rPr>
          <w:sz w:val="26"/>
          <w:szCs w:val="26"/>
        </w:rPr>
        <w:t xml:space="preserve"> to </w:t>
      </w:r>
      <w:proofErr w:type="gramStart"/>
      <w:r w:rsidR="00F52187" w:rsidRPr="00A24AE4">
        <w:rPr>
          <w:sz w:val="26"/>
          <w:szCs w:val="26"/>
        </w:rPr>
        <w:t>be in compliance with</w:t>
      </w:r>
      <w:proofErr w:type="gramEnd"/>
      <w:r w:rsidR="00F52187" w:rsidRPr="00A24AE4">
        <w:rPr>
          <w:sz w:val="26"/>
          <w:szCs w:val="26"/>
        </w:rPr>
        <w:t xml:space="preserve"> the low-income measure proportion requirement.</w:t>
      </w:r>
    </w:p>
    <w:p w:rsidR="00025B27" w:rsidRDefault="00025B27" w:rsidP="00025B27">
      <w:pPr>
        <w:pStyle w:val="p3"/>
        <w:tabs>
          <w:tab w:val="clear" w:pos="204"/>
        </w:tabs>
        <w:spacing w:line="360" w:lineRule="auto"/>
        <w:rPr>
          <w:sz w:val="26"/>
          <w:szCs w:val="26"/>
        </w:rPr>
      </w:pPr>
    </w:p>
    <w:p w:rsidR="00025B27" w:rsidRDefault="00025B27" w:rsidP="00025B27">
      <w:pPr>
        <w:pStyle w:val="p3"/>
        <w:tabs>
          <w:tab w:val="clear" w:pos="204"/>
        </w:tabs>
        <w:spacing w:line="360" w:lineRule="auto"/>
        <w:rPr>
          <w:sz w:val="26"/>
          <w:szCs w:val="26"/>
        </w:rPr>
      </w:pPr>
      <w:r>
        <w:rPr>
          <w:sz w:val="26"/>
          <w:szCs w:val="26"/>
        </w:rPr>
        <w:tab/>
      </w:r>
      <w:r>
        <w:rPr>
          <w:sz w:val="26"/>
          <w:szCs w:val="26"/>
        </w:rPr>
        <w:tab/>
      </w:r>
      <w:r>
        <w:rPr>
          <w:b/>
          <w:sz w:val="26"/>
          <w:szCs w:val="26"/>
        </w:rPr>
        <w:t>e.</w:t>
      </w:r>
      <w:r>
        <w:rPr>
          <w:b/>
          <w:sz w:val="26"/>
          <w:szCs w:val="26"/>
        </w:rPr>
        <w:tab/>
        <w:t>Penn Power</w:t>
      </w:r>
    </w:p>
    <w:p w:rsidR="00025B27" w:rsidRDefault="00F52187" w:rsidP="00025B27">
      <w:pPr>
        <w:pStyle w:val="p3"/>
        <w:tabs>
          <w:tab w:val="clear" w:pos="204"/>
        </w:tabs>
        <w:spacing w:line="360" w:lineRule="auto"/>
        <w:ind w:firstLine="720"/>
        <w:rPr>
          <w:sz w:val="26"/>
          <w:szCs w:val="26"/>
        </w:rPr>
      </w:pPr>
      <w:r>
        <w:rPr>
          <w:sz w:val="26"/>
          <w:szCs w:val="26"/>
        </w:rPr>
        <w:t>Penn Power was required to offer 10.639% of its measures to the low-income sector.</w:t>
      </w:r>
      <w:r>
        <w:rPr>
          <w:rStyle w:val="FootnoteReference"/>
          <w:sz w:val="26"/>
          <w:szCs w:val="26"/>
        </w:rPr>
        <w:footnoteReference w:id="70"/>
      </w:r>
      <w:r>
        <w:rPr>
          <w:sz w:val="26"/>
          <w:szCs w:val="26"/>
        </w:rPr>
        <w:t xml:space="preserve">  Penn Power</w:t>
      </w:r>
      <w:r w:rsidRPr="00C32C2E">
        <w:rPr>
          <w:sz w:val="26"/>
          <w:szCs w:val="26"/>
        </w:rPr>
        <w:t xml:space="preserve"> </w:t>
      </w:r>
      <w:r>
        <w:rPr>
          <w:sz w:val="26"/>
          <w:szCs w:val="26"/>
        </w:rPr>
        <w:t>reports,</w:t>
      </w:r>
      <w:r w:rsidRPr="00C32C2E">
        <w:rPr>
          <w:sz w:val="26"/>
          <w:szCs w:val="26"/>
        </w:rPr>
        <w:t xml:space="preserve"> in its PY</w:t>
      </w:r>
      <w:r>
        <w:rPr>
          <w:sz w:val="26"/>
          <w:szCs w:val="26"/>
        </w:rPr>
        <w:t>7</w:t>
      </w:r>
      <w:r w:rsidRPr="00C32C2E">
        <w:rPr>
          <w:sz w:val="26"/>
          <w:szCs w:val="26"/>
        </w:rPr>
        <w:t xml:space="preserve"> Final Annual Report</w:t>
      </w:r>
      <w:r>
        <w:rPr>
          <w:sz w:val="26"/>
          <w:szCs w:val="26"/>
        </w:rPr>
        <w:t>,</w:t>
      </w:r>
      <w:r w:rsidRPr="00C32C2E">
        <w:rPr>
          <w:sz w:val="26"/>
          <w:szCs w:val="26"/>
        </w:rPr>
        <w:t xml:space="preserve"> </w:t>
      </w:r>
      <w:r>
        <w:rPr>
          <w:sz w:val="26"/>
          <w:szCs w:val="26"/>
        </w:rPr>
        <w:t>that out of 40 measures offered across all sectors, six were offered to low-income customers</w:t>
      </w:r>
      <w:r w:rsidRPr="00C32C2E">
        <w:rPr>
          <w:sz w:val="26"/>
          <w:szCs w:val="26"/>
        </w:rPr>
        <w:t>.</w:t>
      </w:r>
      <w:r>
        <w:rPr>
          <w:sz w:val="26"/>
          <w:szCs w:val="26"/>
        </w:rPr>
        <w:t xml:space="preserve">  Penn Power states that this represented 15% of its measures.</w:t>
      </w:r>
      <w:r w:rsidRPr="00C32C2E">
        <w:rPr>
          <w:rStyle w:val="FootnoteReference"/>
          <w:sz w:val="26"/>
          <w:szCs w:val="26"/>
        </w:rPr>
        <w:footnoteReference w:id="71"/>
      </w:r>
      <w:r w:rsidRPr="00C32C2E">
        <w:rPr>
          <w:sz w:val="26"/>
          <w:szCs w:val="26"/>
        </w:rPr>
        <w:t xml:space="preserve">  </w:t>
      </w:r>
      <w:r w:rsidRPr="00A24AE4">
        <w:rPr>
          <w:sz w:val="26"/>
          <w:szCs w:val="26"/>
        </w:rPr>
        <w:t xml:space="preserve">In its </w:t>
      </w:r>
      <w:r w:rsidR="0066082E">
        <w:rPr>
          <w:sz w:val="26"/>
          <w:szCs w:val="26"/>
        </w:rPr>
        <w:t>Amended</w:t>
      </w:r>
      <w:r w:rsidR="00BD3FB1">
        <w:rPr>
          <w:sz w:val="26"/>
          <w:szCs w:val="26"/>
        </w:rPr>
        <w:t xml:space="preserve"> </w:t>
      </w:r>
      <w:r w:rsidRPr="00A24AE4">
        <w:rPr>
          <w:sz w:val="26"/>
          <w:szCs w:val="26"/>
        </w:rPr>
        <w:t>Phase I</w:t>
      </w:r>
      <w:r>
        <w:rPr>
          <w:sz w:val="26"/>
          <w:szCs w:val="26"/>
        </w:rPr>
        <w:t>I</w:t>
      </w:r>
      <w:r w:rsidRPr="00A24AE4">
        <w:rPr>
          <w:sz w:val="26"/>
          <w:szCs w:val="26"/>
        </w:rPr>
        <w:t xml:space="preserve"> Final Annual Report, the SWE validates </w:t>
      </w:r>
      <w:r>
        <w:rPr>
          <w:sz w:val="26"/>
          <w:szCs w:val="26"/>
        </w:rPr>
        <w:t>Penn Power</w:t>
      </w:r>
      <w:r w:rsidRPr="00A24AE4">
        <w:rPr>
          <w:sz w:val="26"/>
          <w:szCs w:val="26"/>
        </w:rPr>
        <w:t>’s reported proportion of measures offered to low-income customers</w:t>
      </w:r>
      <w:r w:rsidRPr="0075490A">
        <w:rPr>
          <w:sz w:val="26"/>
          <w:szCs w:val="26"/>
        </w:rPr>
        <w:t>.</w:t>
      </w:r>
      <w:r w:rsidRPr="0075490A">
        <w:rPr>
          <w:rStyle w:val="FootnoteReference"/>
          <w:sz w:val="26"/>
          <w:szCs w:val="26"/>
        </w:rPr>
        <w:footnoteReference w:id="72"/>
      </w:r>
      <w:r w:rsidRPr="00C32C2E">
        <w:rPr>
          <w:sz w:val="26"/>
          <w:szCs w:val="26"/>
        </w:rPr>
        <w:t xml:space="preserve"> </w:t>
      </w:r>
      <w:r w:rsidRPr="00A24AE4">
        <w:rPr>
          <w:sz w:val="26"/>
          <w:szCs w:val="26"/>
        </w:rPr>
        <w:t xml:space="preserve">The Commission agrees with the proportion of low-income offerings reported by </w:t>
      </w:r>
      <w:r>
        <w:rPr>
          <w:sz w:val="26"/>
          <w:szCs w:val="26"/>
        </w:rPr>
        <w:t>Penn Power</w:t>
      </w:r>
      <w:r w:rsidRPr="00A24AE4">
        <w:rPr>
          <w:sz w:val="26"/>
          <w:szCs w:val="26"/>
        </w:rPr>
        <w:t xml:space="preserve"> and confirmed by the SWE and deems </w:t>
      </w:r>
      <w:r>
        <w:rPr>
          <w:sz w:val="26"/>
          <w:szCs w:val="26"/>
        </w:rPr>
        <w:t xml:space="preserve">Penn Power </w:t>
      </w:r>
      <w:r w:rsidRPr="00A24AE4">
        <w:rPr>
          <w:sz w:val="26"/>
          <w:szCs w:val="26"/>
        </w:rPr>
        <w:t xml:space="preserve">to </w:t>
      </w:r>
      <w:proofErr w:type="gramStart"/>
      <w:r w:rsidRPr="00A24AE4">
        <w:rPr>
          <w:sz w:val="26"/>
          <w:szCs w:val="26"/>
        </w:rPr>
        <w:t>be in compliance with</w:t>
      </w:r>
      <w:proofErr w:type="gramEnd"/>
      <w:r w:rsidRPr="00A24AE4">
        <w:rPr>
          <w:sz w:val="26"/>
          <w:szCs w:val="26"/>
        </w:rPr>
        <w:t xml:space="preserve"> the low-income measure proportion requirement.</w:t>
      </w:r>
    </w:p>
    <w:p w:rsidR="00025B27" w:rsidRDefault="00025B27" w:rsidP="00025B27">
      <w:pPr>
        <w:pStyle w:val="p3"/>
        <w:tabs>
          <w:tab w:val="clear" w:pos="204"/>
        </w:tabs>
        <w:spacing w:line="360" w:lineRule="auto"/>
        <w:rPr>
          <w:sz w:val="26"/>
          <w:szCs w:val="26"/>
        </w:rPr>
      </w:pPr>
    </w:p>
    <w:p w:rsidR="00F71395" w:rsidRDefault="00F71395" w:rsidP="00025B27">
      <w:pPr>
        <w:pStyle w:val="p3"/>
        <w:tabs>
          <w:tab w:val="clear" w:pos="204"/>
        </w:tabs>
        <w:spacing w:line="360" w:lineRule="auto"/>
        <w:rPr>
          <w:sz w:val="26"/>
          <w:szCs w:val="26"/>
        </w:rPr>
      </w:pPr>
    </w:p>
    <w:p w:rsidR="00F71395" w:rsidRDefault="00F71395" w:rsidP="00025B27">
      <w:pPr>
        <w:pStyle w:val="p3"/>
        <w:tabs>
          <w:tab w:val="clear" w:pos="204"/>
        </w:tabs>
        <w:spacing w:line="360" w:lineRule="auto"/>
        <w:rPr>
          <w:sz w:val="26"/>
          <w:szCs w:val="26"/>
        </w:rPr>
      </w:pPr>
    </w:p>
    <w:p w:rsidR="00025B27" w:rsidRDefault="00025B27" w:rsidP="00025B27">
      <w:pPr>
        <w:pStyle w:val="p3"/>
        <w:tabs>
          <w:tab w:val="clear" w:pos="204"/>
        </w:tabs>
        <w:spacing w:line="360" w:lineRule="auto"/>
        <w:rPr>
          <w:sz w:val="26"/>
          <w:szCs w:val="26"/>
        </w:rPr>
      </w:pPr>
      <w:r>
        <w:rPr>
          <w:sz w:val="26"/>
          <w:szCs w:val="26"/>
        </w:rPr>
        <w:lastRenderedPageBreak/>
        <w:tab/>
      </w:r>
      <w:r>
        <w:rPr>
          <w:sz w:val="26"/>
          <w:szCs w:val="26"/>
        </w:rPr>
        <w:tab/>
      </w:r>
      <w:r>
        <w:rPr>
          <w:b/>
          <w:sz w:val="26"/>
          <w:szCs w:val="26"/>
        </w:rPr>
        <w:t>f.</w:t>
      </w:r>
      <w:r>
        <w:rPr>
          <w:b/>
          <w:sz w:val="26"/>
          <w:szCs w:val="26"/>
        </w:rPr>
        <w:tab/>
        <w:t>PPL</w:t>
      </w:r>
    </w:p>
    <w:p w:rsidR="00025B27" w:rsidRDefault="00025B27" w:rsidP="00EE0B71">
      <w:pPr>
        <w:pStyle w:val="p3"/>
        <w:widowControl/>
        <w:tabs>
          <w:tab w:val="clear" w:pos="204"/>
        </w:tabs>
        <w:spacing w:line="360" w:lineRule="auto"/>
        <w:rPr>
          <w:sz w:val="26"/>
          <w:szCs w:val="26"/>
        </w:rPr>
      </w:pPr>
      <w:r>
        <w:rPr>
          <w:sz w:val="26"/>
          <w:szCs w:val="26"/>
        </w:rPr>
        <w:tab/>
      </w:r>
      <w:r w:rsidR="00F52187">
        <w:rPr>
          <w:sz w:val="26"/>
          <w:szCs w:val="26"/>
        </w:rPr>
        <w:t>PPL was required to offer 9.950% of its measures to the low-income sector.</w:t>
      </w:r>
      <w:r w:rsidR="00F52187">
        <w:rPr>
          <w:rStyle w:val="FootnoteReference"/>
          <w:sz w:val="26"/>
          <w:szCs w:val="26"/>
        </w:rPr>
        <w:footnoteReference w:id="73"/>
      </w:r>
      <w:r w:rsidR="00F52187">
        <w:rPr>
          <w:sz w:val="26"/>
          <w:szCs w:val="26"/>
        </w:rPr>
        <w:t xml:space="preserve">  PPL</w:t>
      </w:r>
      <w:r w:rsidR="00F52187" w:rsidRPr="00C32C2E">
        <w:rPr>
          <w:sz w:val="26"/>
          <w:szCs w:val="26"/>
        </w:rPr>
        <w:t xml:space="preserve"> </w:t>
      </w:r>
      <w:r w:rsidR="00F52187">
        <w:rPr>
          <w:sz w:val="26"/>
          <w:szCs w:val="26"/>
        </w:rPr>
        <w:t>reports,</w:t>
      </w:r>
      <w:r w:rsidR="00F52187" w:rsidRPr="00C32C2E">
        <w:rPr>
          <w:sz w:val="26"/>
          <w:szCs w:val="26"/>
        </w:rPr>
        <w:t xml:space="preserve"> in its PY</w:t>
      </w:r>
      <w:r w:rsidR="00F52187">
        <w:rPr>
          <w:sz w:val="26"/>
          <w:szCs w:val="26"/>
        </w:rPr>
        <w:t>7</w:t>
      </w:r>
      <w:r w:rsidR="00F52187" w:rsidRPr="00C32C2E">
        <w:rPr>
          <w:sz w:val="26"/>
          <w:szCs w:val="26"/>
        </w:rPr>
        <w:t xml:space="preserve"> Final Annual Report</w:t>
      </w:r>
      <w:r w:rsidR="00F52187">
        <w:rPr>
          <w:sz w:val="26"/>
          <w:szCs w:val="26"/>
        </w:rPr>
        <w:t>,</w:t>
      </w:r>
      <w:r w:rsidR="00F52187" w:rsidRPr="00C32C2E">
        <w:rPr>
          <w:sz w:val="26"/>
          <w:szCs w:val="26"/>
        </w:rPr>
        <w:t xml:space="preserve"> </w:t>
      </w:r>
      <w:r w:rsidR="00F52187">
        <w:rPr>
          <w:sz w:val="26"/>
          <w:szCs w:val="26"/>
        </w:rPr>
        <w:t>that out of 134 measures offered across all sectors, 62 were offered to low-income customers</w:t>
      </w:r>
      <w:r w:rsidR="00F52187" w:rsidRPr="00C32C2E">
        <w:rPr>
          <w:sz w:val="26"/>
          <w:szCs w:val="26"/>
        </w:rPr>
        <w:t>.</w:t>
      </w:r>
      <w:r w:rsidR="00F52187">
        <w:rPr>
          <w:sz w:val="26"/>
          <w:szCs w:val="26"/>
        </w:rPr>
        <w:t xml:space="preserve">  PPL states that this represented 46% of its measures.</w:t>
      </w:r>
      <w:r w:rsidR="00F52187" w:rsidRPr="00C32C2E">
        <w:rPr>
          <w:rStyle w:val="FootnoteReference"/>
          <w:sz w:val="26"/>
          <w:szCs w:val="26"/>
        </w:rPr>
        <w:footnoteReference w:id="74"/>
      </w:r>
      <w:r w:rsidR="00F52187" w:rsidRPr="00C32C2E">
        <w:rPr>
          <w:sz w:val="26"/>
          <w:szCs w:val="26"/>
        </w:rPr>
        <w:t xml:space="preserve">  </w:t>
      </w:r>
      <w:r w:rsidR="00F52187" w:rsidRPr="00A24AE4">
        <w:rPr>
          <w:sz w:val="26"/>
          <w:szCs w:val="26"/>
        </w:rPr>
        <w:t xml:space="preserve">In its </w:t>
      </w:r>
      <w:r w:rsidR="0066082E">
        <w:rPr>
          <w:sz w:val="26"/>
          <w:szCs w:val="26"/>
        </w:rPr>
        <w:t>Amended</w:t>
      </w:r>
      <w:r w:rsidR="00BD3FB1">
        <w:rPr>
          <w:sz w:val="26"/>
          <w:szCs w:val="26"/>
        </w:rPr>
        <w:t xml:space="preserve"> </w:t>
      </w:r>
      <w:r w:rsidR="00F52187" w:rsidRPr="00A24AE4">
        <w:rPr>
          <w:sz w:val="26"/>
          <w:szCs w:val="26"/>
        </w:rPr>
        <w:t>Phase I</w:t>
      </w:r>
      <w:r w:rsidR="00F52187">
        <w:rPr>
          <w:sz w:val="26"/>
          <w:szCs w:val="26"/>
        </w:rPr>
        <w:t>I</w:t>
      </w:r>
      <w:r w:rsidR="00F52187" w:rsidRPr="00A24AE4">
        <w:rPr>
          <w:sz w:val="26"/>
          <w:szCs w:val="26"/>
        </w:rPr>
        <w:t xml:space="preserve"> Final Annual Report, the SWE validates </w:t>
      </w:r>
      <w:r w:rsidR="00F52187">
        <w:rPr>
          <w:sz w:val="26"/>
          <w:szCs w:val="26"/>
        </w:rPr>
        <w:t>PPL</w:t>
      </w:r>
      <w:r w:rsidR="00F52187" w:rsidRPr="00A24AE4">
        <w:rPr>
          <w:sz w:val="26"/>
          <w:szCs w:val="26"/>
        </w:rPr>
        <w:t>’s reported proportion of measures offered to low-income customers</w:t>
      </w:r>
      <w:r w:rsidR="00F52187">
        <w:rPr>
          <w:sz w:val="26"/>
          <w:szCs w:val="26"/>
        </w:rPr>
        <w:t>.</w:t>
      </w:r>
      <w:r w:rsidR="00A12CEC">
        <w:rPr>
          <w:rStyle w:val="FootnoteReference"/>
          <w:sz w:val="26"/>
          <w:szCs w:val="26"/>
        </w:rPr>
        <w:footnoteReference w:id="75"/>
      </w:r>
      <w:r w:rsidR="00F52187" w:rsidRPr="00C32C2E">
        <w:rPr>
          <w:sz w:val="26"/>
          <w:szCs w:val="26"/>
        </w:rPr>
        <w:t xml:space="preserve">  </w:t>
      </w:r>
      <w:r w:rsidR="00F52187" w:rsidRPr="00A24AE4">
        <w:rPr>
          <w:sz w:val="26"/>
          <w:szCs w:val="26"/>
        </w:rPr>
        <w:t xml:space="preserve">The Commission agrees with the proportion of low-income offerings reported by </w:t>
      </w:r>
      <w:r w:rsidR="00F52187">
        <w:rPr>
          <w:sz w:val="26"/>
          <w:szCs w:val="26"/>
        </w:rPr>
        <w:t>PPL</w:t>
      </w:r>
      <w:r w:rsidR="00F52187" w:rsidRPr="00A24AE4">
        <w:rPr>
          <w:sz w:val="26"/>
          <w:szCs w:val="26"/>
        </w:rPr>
        <w:t xml:space="preserve"> and confirmed by the SWE and deems </w:t>
      </w:r>
      <w:r w:rsidR="00F52187">
        <w:rPr>
          <w:sz w:val="26"/>
          <w:szCs w:val="26"/>
        </w:rPr>
        <w:t>PPL</w:t>
      </w:r>
      <w:r w:rsidR="00F52187" w:rsidRPr="00A24AE4">
        <w:rPr>
          <w:sz w:val="26"/>
          <w:szCs w:val="26"/>
        </w:rPr>
        <w:t xml:space="preserve"> to </w:t>
      </w:r>
      <w:proofErr w:type="gramStart"/>
      <w:r w:rsidR="00F52187" w:rsidRPr="00A24AE4">
        <w:rPr>
          <w:sz w:val="26"/>
          <w:szCs w:val="26"/>
        </w:rPr>
        <w:t>be in compliance with</w:t>
      </w:r>
      <w:proofErr w:type="gramEnd"/>
      <w:r w:rsidR="00F52187" w:rsidRPr="00A24AE4">
        <w:rPr>
          <w:sz w:val="26"/>
          <w:szCs w:val="26"/>
        </w:rPr>
        <w:t xml:space="preserve"> the low-income measure proportion requirement.</w:t>
      </w:r>
    </w:p>
    <w:p w:rsidR="00025B27" w:rsidRDefault="00025B27" w:rsidP="00025B27">
      <w:pPr>
        <w:pStyle w:val="p3"/>
        <w:tabs>
          <w:tab w:val="clear" w:pos="204"/>
        </w:tabs>
        <w:spacing w:line="360" w:lineRule="auto"/>
        <w:rPr>
          <w:sz w:val="26"/>
          <w:szCs w:val="26"/>
        </w:rPr>
      </w:pPr>
    </w:p>
    <w:p w:rsidR="00025B27" w:rsidRDefault="00025B27" w:rsidP="00025B27">
      <w:pPr>
        <w:pStyle w:val="p3"/>
        <w:tabs>
          <w:tab w:val="clear" w:pos="204"/>
        </w:tabs>
        <w:spacing w:line="360" w:lineRule="auto"/>
        <w:rPr>
          <w:sz w:val="26"/>
          <w:szCs w:val="26"/>
        </w:rPr>
      </w:pPr>
      <w:r>
        <w:rPr>
          <w:sz w:val="26"/>
          <w:szCs w:val="26"/>
        </w:rPr>
        <w:tab/>
      </w:r>
      <w:r>
        <w:rPr>
          <w:sz w:val="26"/>
          <w:szCs w:val="26"/>
        </w:rPr>
        <w:tab/>
      </w:r>
      <w:r>
        <w:rPr>
          <w:b/>
          <w:sz w:val="26"/>
          <w:szCs w:val="26"/>
        </w:rPr>
        <w:t>g.</w:t>
      </w:r>
      <w:r>
        <w:rPr>
          <w:b/>
          <w:sz w:val="26"/>
          <w:szCs w:val="26"/>
        </w:rPr>
        <w:tab/>
        <w:t>West Penn</w:t>
      </w:r>
    </w:p>
    <w:p w:rsidR="00025B27" w:rsidRDefault="00025B27" w:rsidP="00025B27">
      <w:pPr>
        <w:pStyle w:val="p3"/>
        <w:tabs>
          <w:tab w:val="clear" w:pos="204"/>
        </w:tabs>
        <w:spacing w:line="360" w:lineRule="auto"/>
        <w:rPr>
          <w:sz w:val="26"/>
          <w:szCs w:val="26"/>
        </w:rPr>
      </w:pPr>
      <w:r>
        <w:rPr>
          <w:sz w:val="26"/>
          <w:szCs w:val="26"/>
        </w:rPr>
        <w:tab/>
      </w:r>
      <w:r w:rsidR="00F52187">
        <w:rPr>
          <w:sz w:val="26"/>
          <w:szCs w:val="26"/>
        </w:rPr>
        <w:t>West Penn was required to offer 8.794% of its measures to the low-income sector.</w:t>
      </w:r>
      <w:r w:rsidR="00F52187">
        <w:rPr>
          <w:rStyle w:val="FootnoteReference"/>
          <w:sz w:val="26"/>
          <w:szCs w:val="26"/>
        </w:rPr>
        <w:footnoteReference w:id="76"/>
      </w:r>
      <w:r w:rsidR="00F52187">
        <w:rPr>
          <w:sz w:val="26"/>
          <w:szCs w:val="26"/>
        </w:rPr>
        <w:t xml:space="preserve">  West Penn</w:t>
      </w:r>
      <w:r w:rsidR="00F52187" w:rsidRPr="00C32C2E">
        <w:rPr>
          <w:sz w:val="26"/>
          <w:szCs w:val="26"/>
        </w:rPr>
        <w:t xml:space="preserve"> </w:t>
      </w:r>
      <w:r w:rsidR="00F52187">
        <w:rPr>
          <w:sz w:val="26"/>
          <w:szCs w:val="26"/>
        </w:rPr>
        <w:t>reports,</w:t>
      </w:r>
      <w:r w:rsidR="00F52187" w:rsidRPr="00C32C2E">
        <w:rPr>
          <w:sz w:val="26"/>
          <w:szCs w:val="26"/>
        </w:rPr>
        <w:t xml:space="preserve"> in its PY</w:t>
      </w:r>
      <w:r w:rsidR="00F52187">
        <w:rPr>
          <w:sz w:val="26"/>
          <w:szCs w:val="26"/>
        </w:rPr>
        <w:t>7</w:t>
      </w:r>
      <w:r w:rsidR="00F52187" w:rsidRPr="00C32C2E">
        <w:rPr>
          <w:sz w:val="26"/>
          <w:szCs w:val="26"/>
        </w:rPr>
        <w:t xml:space="preserve"> Final Annual Report</w:t>
      </w:r>
      <w:r w:rsidR="00F52187">
        <w:rPr>
          <w:sz w:val="26"/>
          <w:szCs w:val="26"/>
        </w:rPr>
        <w:t>,</w:t>
      </w:r>
      <w:r w:rsidR="00F52187" w:rsidRPr="00C32C2E">
        <w:rPr>
          <w:sz w:val="26"/>
          <w:szCs w:val="26"/>
        </w:rPr>
        <w:t xml:space="preserve"> </w:t>
      </w:r>
      <w:r w:rsidR="00F52187">
        <w:rPr>
          <w:sz w:val="26"/>
          <w:szCs w:val="26"/>
        </w:rPr>
        <w:t>that out of 40 measures offered across all sectors, six were offered to low-income customers</w:t>
      </w:r>
      <w:r w:rsidR="00F52187" w:rsidRPr="00C32C2E">
        <w:rPr>
          <w:sz w:val="26"/>
          <w:szCs w:val="26"/>
        </w:rPr>
        <w:t>.</w:t>
      </w:r>
      <w:r w:rsidR="00F52187">
        <w:rPr>
          <w:sz w:val="26"/>
          <w:szCs w:val="26"/>
        </w:rPr>
        <w:t xml:space="preserve">  West Penn states that this represented 15% of its measures.</w:t>
      </w:r>
      <w:r w:rsidR="00F52187" w:rsidRPr="00C32C2E">
        <w:rPr>
          <w:rStyle w:val="FootnoteReference"/>
          <w:sz w:val="26"/>
          <w:szCs w:val="26"/>
        </w:rPr>
        <w:footnoteReference w:id="77"/>
      </w:r>
      <w:r w:rsidR="00F52187" w:rsidRPr="00C32C2E">
        <w:rPr>
          <w:sz w:val="26"/>
          <w:szCs w:val="26"/>
        </w:rPr>
        <w:t xml:space="preserve">  </w:t>
      </w:r>
      <w:r w:rsidR="00F52187" w:rsidRPr="00A24AE4">
        <w:rPr>
          <w:sz w:val="26"/>
          <w:szCs w:val="26"/>
        </w:rPr>
        <w:t xml:space="preserve">In its </w:t>
      </w:r>
      <w:r w:rsidR="0066082E">
        <w:rPr>
          <w:sz w:val="26"/>
          <w:szCs w:val="26"/>
        </w:rPr>
        <w:t>Amended</w:t>
      </w:r>
      <w:r w:rsidR="00BD3FB1">
        <w:rPr>
          <w:sz w:val="26"/>
          <w:szCs w:val="26"/>
        </w:rPr>
        <w:t xml:space="preserve"> </w:t>
      </w:r>
      <w:r w:rsidR="00F52187" w:rsidRPr="00A24AE4">
        <w:rPr>
          <w:sz w:val="26"/>
          <w:szCs w:val="26"/>
        </w:rPr>
        <w:t>Phase I</w:t>
      </w:r>
      <w:r w:rsidR="00F52187">
        <w:rPr>
          <w:sz w:val="26"/>
          <w:szCs w:val="26"/>
        </w:rPr>
        <w:t>I</w:t>
      </w:r>
      <w:r w:rsidR="00F52187" w:rsidRPr="00A24AE4">
        <w:rPr>
          <w:sz w:val="26"/>
          <w:szCs w:val="26"/>
        </w:rPr>
        <w:t xml:space="preserve"> Final Annual Report, the SWE validates </w:t>
      </w:r>
      <w:r w:rsidR="00F52187">
        <w:rPr>
          <w:sz w:val="26"/>
          <w:szCs w:val="26"/>
        </w:rPr>
        <w:t>West Penn</w:t>
      </w:r>
      <w:r w:rsidR="00F52187" w:rsidRPr="00A24AE4">
        <w:rPr>
          <w:sz w:val="26"/>
          <w:szCs w:val="26"/>
        </w:rPr>
        <w:t>’s reported proportion of measures offered to low-income customers.</w:t>
      </w:r>
      <w:r w:rsidR="008B7846">
        <w:rPr>
          <w:rStyle w:val="FootnoteReference"/>
          <w:sz w:val="26"/>
          <w:szCs w:val="26"/>
        </w:rPr>
        <w:footnoteReference w:id="78"/>
      </w:r>
      <w:r w:rsidR="00F52187" w:rsidRPr="00C32C2E">
        <w:rPr>
          <w:sz w:val="26"/>
          <w:szCs w:val="26"/>
        </w:rPr>
        <w:t xml:space="preserve">  </w:t>
      </w:r>
      <w:r w:rsidR="00F52187" w:rsidRPr="00A24AE4">
        <w:rPr>
          <w:sz w:val="26"/>
          <w:szCs w:val="26"/>
        </w:rPr>
        <w:t xml:space="preserve">The Commission agrees with the proportion of low-income offerings reported by </w:t>
      </w:r>
      <w:r w:rsidR="00F52187">
        <w:rPr>
          <w:sz w:val="26"/>
          <w:szCs w:val="26"/>
        </w:rPr>
        <w:t>West Penn</w:t>
      </w:r>
      <w:r w:rsidR="00F52187" w:rsidRPr="00A24AE4">
        <w:rPr>
          <w:sz w:val="26"/>
          <w:szCs w:val="26"/>
        </w:rPr>
        <w:t xml:space="preserve"> and confirmed by the SWE and deems </w:t>
      </w:r>
      <w:r w:rsidR="00F52187">
        <w:rPr>
          <w:sz w:val="26"/>
          <w:szCs w:val="26"/>
        </w:rPr>
        <w:t>West Penn</w:t>
      </w:r>
      <w:r w:rsidR="00F52187" w:rsidRPr="00A24AE4">
        <w:rPr>
          <w:sz w:val="26"/>
          <w:szCs w:val="26"/>
        </w:rPr>
        <w:t xml:space="preserve"> to </w:t>
      </w:r>
      <w:proofErr w:type="gramStart"/>
      <w:r w:rsidR="00F52187" w:rsidRPr="00A24AE4">
        <w:rPr>
          <w:sz w:val="26"/>
          <w:szCs w:val="26"/>
        </w:rPr>
        <w:t>be in compliance with</w:t>
      </w:r>
      <w:proofErr w:type="gramEnd"/>
      <w:r w:rsidR="00F52187" w:rsidRPr="00A24AE4">
        <w:rPr>
          <w:sz w:val="26"/>
          <w:szCs w:val="26"/>
        </w:rPr>
        <w:t xml:space="preserve"> the low-income measure proportion requirement.</w:t>
      </w:r>
    </w:p>
    <w:p w:rsidR="00025B27" w:rsidRDefault="00025B27" w:rsidP="00415B77">
      <w:pPr>
        <w:pStyle w:val="p3"/>
        <w:tabs>
          <w:tab w:val="clear" w:pos="204"/>
        </w:tabs>
        <w:spacing w:line="360" w:lineRule="auto"/>
        <w:rPr>
          <w:b/>
          <w:sz w:val="26"/>
          <w:szCs w:val="26"/>
        </w:rPr>
      </w:pPr>
    </w:p>
    <w:p w:rsidR="00074690" w:rsidRDefault="00715209" w:rsidP="00F71395">
      <w:pPr>
        <w:pStyle w:val="p3"/>
        <w:keepNext/>
        <w:tabs>
          <w:tab w:val="clear" w:pos="204"/>
        </w:tabs>
        <w:spacing w:line="360" w:lineRule="auto"/>
        <w:ind w:firstLine="720"/>
        <w:rPr>
          <w:b/>
          <w:sz w:val="26"/>
          <w:szCs w:val="26"/>
        </w:rPr>
      </w:pPr>
      <w:r>
        <w:rPr>
          <w:b/>
          <w:sz w:val="26"/>
          <w:szCs w:val="26"/>
        </w:rPr>
        <w:lastRenderedPageBreak/>
        <w:t>5</w:t>
      </w:r>
      <w:r w:rsidR="00222D4F">
        <w:rPr>
          <w:b/>
          <w:sz w:val="26"/>
          <w:szCs w:val="26"/>
        </w:rPr>
        <w:t>.</w:t>
      </w:r>
      <w:r w:rsidR="00074690">
        <w:rPr>
          <w:b/>
          <w:sz w:val="26"/>
          <w:szCs w:val="26"/>
        </w:rPr>
        <w:tab/>
        <w:t>Low-Income Carve-Out</w:t>
      </w:r>
      <w:r>
        <w:rPr>
          <w:b/>
          <w:sz w:val="26"/>
          <w:szCs w:val="26"/>
        </w:rPr>
        <w:t xml:space="preserve"> – Consumption Reduction Requirement</w:t>
      </w:r>
    </w:p>
    <w:p w:rsidR="009979F0" w:rsidRDefault="005F5200" w:rsidP="00F71395">
      <w:pPr>
        <w:pStyle w:val="p3"/>
        <w:widowControl/>
        <w:tabs>
          <w:tab w:val="clear" w:pos="204"/>
        </w:tabs>
        <w:spacing w:line="360" w:lineRule="auto"/>
        <w:rPr>
          <w:sz w:val="26"/>
          <w:szCs w:val="26"/>
        </w:rPr>
      </w:pPr>
      <w:r>
        <w:rPr>
          <w:sz w:val="26"/>
          <w:szCs w:val="26"/>
        </w:rPr>
        <w:tab/>
      </w:r>
      <w:r w:rsidR="00DD0141" w:rsidRPr="00DD0141">
        <w:rPr>
          <w:sz w:val="26"/>
          <w:szCs w:val="26"/>
        </w:rPr>
        <w:t>In addition</w:t>
      </w:r>
      <w:r w:rsidR="00715209">
        <w:rPr>
          <w:sz w:val="26"/>
          <w:szCs w:val="26"/>
        </w:rPr>
        <w:t xml:space="preserve"> to the low</w:t>
      </w:r>
      <w:r w:rsidR="00715209">
        <w:rPr>
          <w:sz w:val="26"/>
          <w:szCs w:val="26"/>
        </w:rPr>
        <w:noBreakHyphen/>
        <w:t>income number of measures requirement</w:t>
      </w:r>
      <w:r w:rsidR="00DD0141" w:rsidRPr="00DD0141">
        <w:rPr>
          <w:sz w:val="26"/>
          <w:szCs w:val="26"/>
        </w:rPr>
        <w:t xml:space="preserve">, the Commission requires that each EDC obtains a minimum of four-and-a-half percent (4.5%) of its consumption reduction requirements from </w:t>
      </w:r>
      <w:r w:rsidR="00272B1C">
        <w:rPr>
          <w:sz w:val="26"/>
          <w:szCs w:val="26"/>
        </w:rPr>
        <w:t>the low-income sector</w:t>
      </w:r>
      <w:r w:rsidR="00DD0141" w:rsidRPr="00DD0141">
        <w:rPr>
          <w:sz w:val="26"/>
          <w:szCs w:val="26"/>
        </w:rPr>
        <w:t>.</w:t>
      </w:r>
      <w:r w:rsidR="00715209">
        <w:rPr>
          <w:rStyle w:val="FootnoteReference"/>
          <w:sz w:val="26"/>
          <w:szCs w:val="26"/>
        </w:rPr>
        <w:footnoteReference w:id="79"/>
      </w:r>
      <w:r w:rsidR="00DD0141" w:rsidRPr="00DD0141">
        <w:rPr>
          <w:sz w:val="26"/>
          <w:szCs w:val="26"/>
        </w:rPr>
        <w:t xml:space="preserve"> </w:t>
      </w:r>
      <w:r w:rsidRPr="00F46E32">
        <w:rPr>
          <w:sz w:val="26"/>
          <w:szCs w:val="26"/>
        </w:rPr>
        <w:t xml:space="preserve"> </w:t>
      </w:r>
      <w:r w:rsidR="0061640C">
        <w:rPr>
          <w:sz w:val="26"/>
          <w:szCs w:val="26"/>
        </w:rPr>
        <w:t>The Commission’s determination of compliance with the low</w:t>
      </w:r>
      <w:r w:rsidR="00715209">
        <w:rPr>
          <w:sz w:val="26"/>
          <w:szCs w:val="26"/>
        </w:rPr>
        <w:noBreakHyphen/>
      </w:r>
      <w:r w:rsidR="0061640C">
        <w:rPr>
          <w:sz w:val="26"/>
          <w:szCs w:val="26"/>
        </w:rPr>
        <w:t>income consumption reduction carve-out for each EDC follows.</w:t>
      </w:r>
    </w:p>
    <w:p w:rsidR="00D6455E" w:rsidRDefault="00D6455E" w:rsidP="00316EEE">
      <w:pPr>
        <w:pStyle w:val="p3"/>
        <w:tabs>
          <w:tab w:val="clear" w:pos="204"/>
        </w:tabs>
        <w:spacing w:line="360" w:lineRule="auto"/>
        <w:rPr>
          <w:sz w:val="26"/>
          <w:szCs w:val="26"/>
        </w:rPr>
      </w:pPr>
    </w:p>
    <w:p w:rsidR="00412E46" w:rsidRDefault="00412E46" w:rsidP="00316EEE">
      <w:pPr>
        <w:pStyle w:val="p3"/>
        <w:tabs>
          <w:tab w:val="clear" w:pos="204"/>
        </w:tabs>
        <w:spacing w:line="360" w:lineRule="auto"/>
        <w:rPr>
          <w:b/>
          <w:sz w:val="26"/>
          <w:szCs w:val="26"/>
        </w:rPr>
      </w:pPr>
      <w:r>
        <w:rPr>
          <w:sz w:val="26"/>
          <w:szCs w:val="26"/>
        </w:rPr>
        <w:tab/>
      </w:r>
      <w:r>
        <w:rPr>
          <w:sz w:val="26"/>
          <w:szCs w:val="26"/>
        </w:rPr>
        <w:tab/>
      </w:r>
      <w:r>
        <w:rPr>
          <w:b/>
          <w:sz w:val="26"/>
          <w:szCs w:val="26"/>
        </w:rPr>
        <w:t>a.</w:t>
      </w:r>
      <w:r>
        <w:rPr>
          <w:b/>
          <w:sz w:val="26"/>
          <w:szCs w:val="26"/>
        </w:rPr>
        <w:tab/>
        <w:t>Duquesne</w:t>
      </w:r>
    </w:p>
    <w:p w:rsidR="00C060FF" w:rsidRDefault="00EB0AF1" w:rsidP="00C060FF">
      <w:pPr>
        <w:spacing w:line="360" w:lineRule="auto"/>
        <w:rPr>
          <w:sz w:val="26"/>
          <w:szCs w:val="26"/>
        </w:rPr>
      </w:pPr>
      <w:r>
        <w:rPr>
          <w:sz w:val="26"/>
          <w:szCs w:val="26"/>
        </w:rPr>
        <w:tab/>
      </w:r>
      <w:r w:rsidR="00C060FF" w:rsidRPr="00C060FF">
        <w:rPr>
          <w:sz w:val="26"/>
          <w:szCs w:val="26"/>
        </w:rPr>
        <w:t>Duquesne was required to obtain 12,452 MWh of its total electric consumption reduction from the low</w:t>
      </w:r>
      <w:r w:rsidR="00715209">
        <w:rPr>
          <w:sz w:val="26"/>
          <w:szCs w:val="26"/>
        </w:rPr>
        <w:noBreakHyphen/>
      </w:r>
      <w:r w:rsidR="00C060FF" w:rsidRPr="00C060FF">
        <w:rPr>
          <w:sz w:val="26"/>
          <w:szCs w:val="26"/>
        </w:rPr>
        <w:t>income sector in its service territory.</w:t>
      </w:r>
      <w:r w:rsidR="00C060FF" w:rsidRPr="00C060FF">
        <w:rPr>
          <w:sz w:val="26"/>
          <w:szCs w:val="26"/>
          <w:vertAlign w:val="superscript"/>
        </w:rPr>
        <w:footnoteReference w:id="80"/>
      </w:r>
      <w:r w:rsidR="00C060FF" w:rsidRPr="00C060FF">
        <w:rPr>
          <w:sz w:val="26"/>
          <w:szCs w:val="26"/>
        </w:rPr>
        <w:t xml:space="preserve">  Duquesne reports, in its PY7 Final Annual Report, it attained a TRM-verified reduction of </w:t>
      </w:r>
      <w:r w:rsidR="005E753F">
        <w:rPr>
          <w:sz w:val="26"/>
          <w:szCs w:val="26"/>
        </w:rPr>
        <w:t>23,173</w:t>
      </w:r>
      <w:r w:rsidR="00C060FF" w:rsidRPr="00C060FF">
        <w:rPr>
          <w:sz w:val="26"/>
          <w:szCs w:val="26"/>
        </w:rPr>
        <w:t xml:space="preserve"> MWh from the low</w:t>
      </w:r>
      <w:r w:rsidR="00715209">
        <w:rPr>
          <w:sz w:val="26"/>
          <w:szCs w:val="26"/>
        </w:rPr>
        <w:noBreakHyphen/>
      </w:r>
      <w:r w:rsidR="00C060FF" w:rsidRPr="00C060FF">
        <w:rPr>
          <w:sz w:val="26"/>
          <w:szCs w:val="26"/>
        </w:rPr>
        <w:t>income sector.</w:t>
      </w:r>
      <w:r w:rsidR="00C060FF" w:rsidRPr="00C060FF">
        <w:rPr>
          <w:sz w:val="26"/>
          <w:szCs w:val="26"/>
          <w:vertAlign w:val="superscript"/>
        </w:rPr>
        <w:footnoteReference w:id="81"/>
      </w:r>
      <w:r w:rsidR="00C060FF" w:rsidRPr="00C060FF">
        <w:rPr>
          <w:sz w:val="26"/>
          <w:szCs w:val="26"/>
        </w:rPr>
        <w:t xml:space="preserve"> </w:t>
      </w:r>
      <w:r w:rsidR="006C0E50">
        <w:rPr>
          <w:sz w:val="26"/>
          <w:szCs w:val="26"/>
        </w:rPr>
        <w:t xml:space="preserve"> </w:t>
      </w:r>
      <w:r w:rsidR="00C060FF" w:rsidRPr="00C060FF">
        <w:rPr>
          <w:sz w:val="26"/>
          <w:szCs w:val="26"/>
        </w:rPr>
        <w:t>In its Phase II Final Annual Report, the SWE validate</w:t>
      </w:r>
      <w:r w:rsidR="00BE5C24">
        <w:rPr>
          <w:sz w:val="26"/>
          <w:szCs w:val="26"/>
        </w:rPr>
        <w:t>d</w:t>
      </w:r>
      <w:r w:rsidR="00C060FF" w:rsidRPr="00C060FF">
        <w:rPr>
          <w:sz w:val="26"/>
          <w:szCs w:val="26"/>
        </w:rPr>
        <w:t xml:space="preserve"> Duquesne’s reported TRM-verified savings of </w:t>
      </w:r>
      <w:r w:rsidR="005E753F">
        <w:rPr>
          <w:sz w:val="26"/>
          <w:szCs w:val="26"/>
        </w:rPr>
        <w:t>23,173</w:t>
      </w:r>
      <w:r w:rsidR="00C060FF" w:rsidRPr="00C060FF">
        <w:rPr>
          <w:sz w:val="26"/>
          <w:szCs w:val="26"/>
        </w:rPr>
        <w:t xml:space="preserve"> MWh and note</w:t>
      </w:r>
      <w:r w:rsidR="00BE5C24">
        <w:rPr>
          <w:sz w:val="26"/>
          <w:szCs w:val="26"/>
        </w:rPr>
        <w:t>d</w:t>
      </w:r>
      <w:r w:rsidR="00C060FF" w:rsidRPr="00C060FF">
        <w:rPr>
          <w:sz w:val="26"/>
          <w:szCs w:val="26"/>
        </w:rPr>
        <w:t xml:space="preserve"> that this amounts to </w:t>
      </w:r>
      <w:r w:rsidR="005E753F">
        <w:rPr>
          <w:sz w:val="26"/>
          <w:szCs w:val="26"/>
        </w:rPr>
        <w:t>186</w:t>
      </w:r>
      <w:r w:rsidR="00C060FF" w:rsidRPr="00C060FF">
        <w:rPr>
          <w:sz w:val="26"/>
          <w:szCs w:val="26"/>
        </w:rPr>
        <w:t>% of Duquesne’s low</w:t>
      </w:r>
      <w:r w:rsidR="00715209">
        <w:rPr>
          <w:sz w:val="26"/>
          <w:szCs w:val="26"/>
        </w:rPr>
        <w:noBreakHyphen/>
      </w:r>
      <w:r w:rsidR="00C060FF" w:rsidRPr="00C060FF">
        <w:rPr>
          <w:sz w:val="26"/>
          <w:szCs w:val="26"/>
        </w:rPr>
        <w:t>income consumption reduction requirement.</w:t>
      </w:r>
      <w:r w:rsidR="00C060FF" w:rsidRPr="00C060FF">
        <w:rPr>
          <w:sz w:val="26"/>
          <w:szCs w:val="26"/>
          <w:vertAlign w:val="superscript"/>
        </w:rPr>
        <w:footnoteReference w:id="82"/>
      </w:r>
      <w:r w:rsidR="00C060FF" w:rsidRPr="00C060FF">
        <w:rPr>
          <w:sz w:val="26"/>
          <w:szCs w:val="26"/>
        </w:rPr>
        <w:t xml:space="preserve">  </w:t>
      </w:r>
      <w:r w:rsidR="00BE5C24">
        <w:rPr>
          <w:sz w:val="26"/>
          <w:szCs w:val="26"/>
        </w:rPr>
        <w:t>In the April 6, 2017 Order, t</w:t>
      </w:r>
      <w:r w:rsidR="00C060FF" w:rsidRPr="00C060FF">
        <w:rPr>
          <w:sz w:val="26"/>
          <w:szCs w:val="26"/>
        </w:rPr>
        <w:t>he Commission agree</w:t>
      </w:r>
      <w:r w:rsidR="00BE5C24">
        <w:rPr>
          <w:sz w:val="26"/>
          <w:szCs w:val="26"/>
        </w:rPr>
        <w:t>d</w:t>
      </w:r>
      <w:r w:rsidR="00C060FF" w:rsidRPr="00C060FF">
        <w:rPr>
          <w:sz w:val="26"/>
          <w:szCs w:val="26"/>
        </w:rPr>
        <w:t xml:space="preserve"> with the TRM-verified savings from the low</w:t>
      </w:r>
      <w:r w:rsidR="00715209">
        <w:rPr>
          <w:sz w:val="26"/>
          <w:szCs w:val="26"/>
        </w:rPr>
        <w:noBreakHyphen/>
      </w:r>
      <w:r w:rsidR="00C060FF" w:rsidRPr="00C060FF">
        <w:rPr>
          <w:sz w:val="26"/>
          <w:szCs w:val="26"/>
        </w:rPr>
        <w:t>income sector reported by Duquesne and confirmed by the SWE and initially deem</w:t>
      </w:r>
      <w:r w:rsidR="00BE5C24">
        <w:rPr>
          <w:sz w:val="26"/>
          <w:szCs w:val="26"/>
        </w:rPr>
        <w:t>ed</w:t>
      </w:r>
      <w:r w:rsidR="00C060FF" w:rsidRPr="00C060FF">
        <w:rPr>
          <w:sz w:val="26"/>
          <w:szCs w:val="26"/>
        </w:rPr>
        <w:t xml:space="preserve"> Duquesne to be in compliance with the low</w:t>
      </w:r>
      <w:r w:rsidR="00715209">
        <w:rPr>
          <w:sz w:val="26"/>
          <w:szCs w:val="26"/>
        </w:rPr>
        <w:noBreakHyphen/>
      </w:r>
      <w:r w:rsidR="00C060FF" w:rsidRPr="00C060FF">
        <w:rPr>
          <w:sz w:val="26"/>
          <w:szCs w:val="26"/>
        </w:rPr>
        <w:t>income consumption reduction requirement.</w:t>
      </w:r>
    </w:p>
    <w:p w:rsidR="00BE5C24" w:rsidRDefault="00BE5C24" w:rsidP="00C060FF">
      <w:pPr>
        <w:spacing w:line="360" w:lineRule="auto"/>
        <w:rPr>
          <w:sz w:val="26"/>
          <w:szCs w:val="26"/>
        </w:rPr>
      </w:pPr>
    </w:p>
    <w:p w:rsidR="00BE5C24" w:rsidRDefault="00BE5C24" w:rsidP="00BE5C24">
      <w:pPr>
        <w:spacing w:line="360" w:lineRule="auto"/>
        <w:rPr>
          <w:sz w:val="26"/>
          <w:szCs w:val="26"/>
        </w:rPr>
      </w:pPr>
      <w:r>
        <w:rPr>
          <w:sz w:val="26"/>
          <w:szCs w:val="26"/>
        </w:rPr>
        <w:tab/>
        <w:t xml:space="preserve">However, on April 28, 2017, Duquesne filed a Petition for Reconsideration </w:t>
      </w:r>
      <w:r>
        <w:rPr>
          <w:i/>
          <w:sz w:val="26"/>
          <w:szCs w:val="26"/>
        </w:rPr>
        <w:t xml:space="preserve">Nunc Pro </w:t>
      </w:r>
      <w:proofErr w:type="spellStart"/>
      <w:r>
        <w:rPr>
          <w:i/>
          <w:sz w:val="26"/>
          <w:szCs w:val="26"/>
        </w:rPr>
        <w:t>T</w:t>
      </w:r>
      <w:r w:rsidRPr="00F51A3C">
        <w:rPr>
          <w:i/>
          <w:sz w:val="26"/>
          <w:szCs w:val="26"/>
        </w:rPr>
        <w:t>un</w:t>
      </w:r>
      <w:r>
        <w:rPr>
          <w:i/>
          <w:sz w:val="26"/>
          <w:szCs w:val="26"/>
        </w:rPr>
        <w:t>c</w:t>
      </w:r>
      <w:proofErr w:type="spellEnd"/>
      <w:r>
        <w:rPr>
          <w:i/>
          <w:sz w:val="26"/>
          <w:szCs w:val="26"/>
        </w:rPr>
        <w:t xml:space="preserve"> </w:t>
      </w:r>
      <w:r>
        <w:rPr>
          <w:sz w:val="26"/>
          <w:szCs w:val="26"/>
        </w:rPr>
        <w:t>to contest initial determinations of a portion of this Order</w:t>
      </w:r>
      <w:r w:rsidR="00D6455E">
        <w:rPr>
          <w:sz w:val="26"/>
          <w:szCs w:val="26"/>
        </w:rPr>
        <w:t xml:space="preserve"> (Duquesne Petition)</w:t>
      </w:r>
      <w:r>
        <w:rPr>
          <w:sz w:val="26"/>
          <w:szCs w:val="26"/>
        </w:rPr>
        <w:t>.</w:t>
      </w:r>
      <w:r w:rsidR="00D6455E">
        <w:rPr>
          <w:rStyle w:val="FootnoteReference"/>
          <w:sz w:val="26"/>
          <w:szCs w:val="26"/>
        </w:rPr>
        <w:footnoteReference w:id="83"/>
      </w:r>
      <w:r>
        <w:rPr>
          <w:sz w:val="26"/>
          <w:szCs w:val="26"/>
        </w:rPr>
        <w:t xml:space="preserve">  Duquesne states in its petition that it identified a small error in its calculations of one of its low-income program realization rates.  Correcting this error decreases the “Low Income Verified Gross Savings from Low Income Programs” by 59 MWh from 5,495 MWh to 5,436 MWh.</w:t>
      </w:r>
      <w:r w:rsidRPr="008B3978">
        <w:rPr>
          <w:rStyle w:val="FootnoteReference"/>
          <w:i/>
          <w:sz w:val="26"/>
          <w:szCs w:val="26"/>
        </w:rPr>
        <w:t xml:space="preserve"> </w:t>
      </w:r>
      <w:r>
        <w:rPr>
          <w:rStyle w:val="FootnoteReference"/>
          <w:i/>
          <w:sz w:val="26"/>
          <w:szCs w:val="26"/>
        </w:rPr>
        <w:footnoteReference w:id="84"/>
      </w:r>
      <w:r>
        <w:rPr>
          <w:sz w:val="26"/>
          <w:szCs w:val="26"/>
        </w:rPr>
        <w:t xml:space="preserve">  </w:t>
      </w:r>
      <w:r w:rsidRPr="00902C1B">
        <w:rPr>
          <w:sz w:val="26"/>
          <w:szCs w:val="26"/>
        </w:rPr>
        <w:t>In its</w:t>
      </w:r>
      <w:r>
        <w:rPr>
          <w:sz w:val="26"/>
          <w:szCs w:val="26"/>
        </w:rPr>
        <w:t xml:space="preserve"> </w:t>
      </w:r>
      <w:r w:rsidRPr="005660E9">
        <w:rPr>
          <w:sz w:val="26"/>
          <w:szCs w:val="26"/>
        </w:rPr>
        <w:t>Amended Phase II Final Annual Report</w:t>
      </w:r>
      <w:r>
        <w:rPr>
          <w:sz w:val="26"/>
          <w:szCs w:val="26"/>
        </w:rPr>
        <w:t>,</w:t>
      </w:r>
      <w:r w:rsidRPr="00902C1B">
        <w:rPr>
          <w:sz w:val="26"/>
          <w:szCs w:val="26"/>
        </w:rPr>
        <w:t xml:space="preserve"> </w:t>
      </w:r>
      <w:r w:rsidRPr="00902C1B">
        <w:rPr>
          <w:sz w:val="26"/>
          <w:szCs w:val="26"/>
        </w:rPr>
        <w:lastRenderedPageBreak/>
        <w:t>the SWE validates Duquesne’s</w:t>
      </w:r>
      <w:r>
        <w:rPr>
          <w:sz w:val="26"/>
          <w:szCs w:val="26"/>
        </w:rPr>
        <w:t xml:space="preserve"> “Low Income Verified Gross Savings from Low Income Programs” of 5,436 MWh, which consequentially reduces </w:t>
      </w:r>
      <w:r w:rsidRPr="00C060FF">
        <w:rPr>
          <w:sz w:val="26"/>
          <w:szCs w:val="26"/>
        </w:rPr>
        <w:t xml:space="preserve">Duquesne’s TRM-verified savings </w:t>
      </w:r>
      <w:r>
        <w:rPr>
          <w:sz w:val="26"/>
          <w:szCs w:val="26"/>
        </w:rPr>
        <w:t xml:space="preserve">from </w:t>
      </w:r>
      <w:r w:rsidRPr="00C060FF">
        <w:rPr>
          <w:sz w:val="26"/>
          <w:szCs w:val="26"/>
        </w:rPr>
        <w:t>the low</w:t>
      </w:r>
      <w:r>
        <w:rPr>
          <w:sz w:val="26"/>
          <w:szCs w:val="26"/>
        </w:rPr>
        <w:noBreakHyphen/>
        <w:t xml:space="preserve">income </w:t>
      </w:r>
      <w:r w:rsidRPr="00C060FF">
        <w:rPr>
          <w:sz w:val="26"/>
          <w:szCs w:val="26"/>
        </w:rPr>
        <w:t xml:space="preserve">sector </w:t>
      </w:r>
      <w:r>
        <w:rPr>
          <w:sz w:val="26"/>
          <w:szCs w:val="26"/>
        </w:rPr>
        <w:t>from 23,173</w:t>
      </w:r>
      <w:r w:rsidRPr="00C060FF">
        <w:rPr>
          <w:sz w:val="26"/>
          <w:szCs w:val="26"/>
        </w:rPr>
        <w:t xml:space="preserve"> MWh</w:t>
      </w:r>
      <w:r>
        <w:rPr>
          <w:sz w:val="26"/>
          <w:szCs w:val="26"/>
        </w:rPr>
        <w:t xml:space="preserve"> to 23,114 </w:t>
      </w:r>
      <w:r w:rsidRPr="008B3978">
        <w:rPr>
          <w:sz w:val="26"/>
          <w:szCs w:val="26"/>
        </w:rPr>
        <w:t>MWh.</w:t>
      </w:r>
      <w:r w:rsidRPr="008B3978">
        <w:rPr>
          <w:rStyle w:val="FootnoteReference"/>
          <w:sz w:val="26"/>
          <w:szCs w:val="26"/>
        </w:rPr>
        <w:t xml:space="preserve"> </w:t>
      </w:r>
      <w:r w:rsidRPr="008B3978">
        <w:rPr>
          <w:rStyle w:val="FootnoteReference"/>
          <w:sz w:val="26"/>
          <w:szCs w:val="26"/>
        </w:rPr>
        <w:footnoteReference w:id="85"/>
      </w:r>
      <w:r>
        <w:rPr>
          <w:sz w:val="26"/>
          <w:szCs w:val="26"/>
        </w:rPr>
        <w:t xml:space="preserve">  The Commission agrees with the TRM</w:t>
      </w:r>
      <w:r>
        <w:rPr>
          <w:sz w:val="26"/>
          <w:szCs w:val="26"/>
        </w:rPr>
        <w:noBreakHyphen/>
        <w:t xml:space="preserve">verified savings from the low-income sector as reported and corrected by Duquesne in its petition, confirmed by the SWE and deems Duquesne to be in compliance with the low-income consumption reduction requirement. </w:t>
      </w:r>
    </w:p>
    <w:p w:rsidR="00BE5C24" w:rsidRPr="00C060FF" w:rsidRDefault="00BE5C24" w:rsidP="00C060FF">
      <w:pPr>
        <w:spacing w:line="360" w:lineRule="auto"/>
        <w:rPr>
          <w:rFonts w:ascii="Calibri" w:eastAsia="Calibri" w:hAnsi="Calibri"/>
          <w:sz w:val="22"/>
          <w:szCs w:val="22"/>
        </w:rPr>
      </w:pPr>
    </w:p>
    <w:p w:rsidR="00412E46" w:rsidRDefault="00412E46" w:rsidP="00EB0AF1">
      <w:pPr>
        <w:pStyle w:val="p3"/>
        <w:tabs>
          <w:tab w:val="clear" w:pos="204"/>
        </w:tabs>
        <w:spacing w:line="360" w:lineRule="auto"/>
        <w:rPr>
          <w:sz w:val="26"/>
          <w:szCs w:val="26"/>
        </w:rPr>
      </w:pPr>
      <w:r>
        <w:rPr>
          <w:sz w:val="26"/>
          <w:szCs w:val="26"/>
        </w:rPr>
        <w:tab/>
      </w:r>
      <w:r>
        <w:rPr>
          <w:sz w:val="26"/>
          <w:szCs w:val="26"/>
        </w:rPr>
        <w:tab/>
      </w:r>
      <w:r>
        <w:rPr>
          <w:b/>
          <w:sz w:val="26"/>
          <w:szCs w:val="26"/>
        </w:rPr>
        <w:t>b.</w:t>
      </w:r>
      <w:r>
        <w:rPr>
          <w:b/>
          <w:sz w:val="26"/>
          <w:szCs w:val="26"/>
        </w:rPr>
        <w:tab/>
        <w:t>Met-Ed</w:t>
      </w:r>
    </w:p>
    <w:p w:rsidR="001536F3" w:rsidRDefault="003F5CA3" w:rsidP="003F5CA3">
      <w:pPr>
        <w:pStyle w:val="p3"/>
        <w:tabs>
          <w:tab w:val="clear" w:pos="204"/>
        </w:tabs>
        <w:spacing w:line="360" w:lineRule="auto"/>
        <w:rPr>
          <w:sz w:val="26"/>
          <w:szCs w:val="26"/>
        </w:rPr>
      </w:pPr>
      <w:r>
        <w:rPr>
          <w:sz w:val="26"/>
          <w:szCs w:val="26"/>
        </w:rPr>
        <w:tab/>
      </w:r>
      <w:r w:rsidR="001536F3">
        <w:rPr>
          <w:sz w:val="26"/>
          <w:szCs w:val="26"/>
        </w:rPr>
        <w:t>Met-Ed</w:t>
      </w:r>
      <w:r w:rsidR="001536F3" w:rsidRPr="00C060FF">
        <w:rPr>
          <w:sz w:val="26"/>
          <w:szCs w:val="26"/>
        </w:rPr>
        <w:t xml:space="preserve"> was required to obtain </w:t>
      </w:r>
      <w:r w:rsidR="001536F3">
        <w:rPr>
          <w:sz w:val="26"/>
          <w:szCs w:val="26"/>
        </w:rPr>
        <w:t>15,199</w:t>
      </w:r>
      <w:r w:rsidR="001536F3" w:rsidRPr="00C060FF">
        <w:rPr>
          <w:sz w:val="26"/>
          <w:szCs w:val="26"/>
        </w:rPr>
        <w:t xml:space="preserve"> MWh of its total electric consumption reduction from the low</w:t>
      </w:r>
      <w:r w:rsidR="00715209">
        <w:rPr>
          <w:sz w:val="26"/>
          <w:szCs w:val="26"/>
        </w:rPr>
        <w:noBreakHyphen/>
      </w:r>
      <w:r w:rsidR="001536F3" w:rsidRPr="00C060FF">
        <w:rPr>
          <w:sz w:val="26"/>
          <w:szCs w:val="26"/>
        </w:rPr>
        <w:t>income sector in its service territory.</w:t>
      </w:r>
      <w:r w:rsidR="001536F3" w:rsidRPr="00C060FF">
        <w:rPr>
          <w:sz w:val="26"/>
          <w:szCs w:val="26"/>
          <w:vertAlign w:val="superscript"/>
        </w:rPr>
        <w:footnoteReference w:id="86"/>
      </w:r>
      <w:r w:rsidR="001536F3" w:rsidRPr="00C060FF">
        <w:rPr>
          <w:sz w:val="26"/>
          <w:szCs w:val="26"/>
        </w:rPr>
        <w:t xml:space="preserve">  </w:t>
      </w:r>
      <w:r w:rsidR="001536F3">
        <w:rPr>
          <w:sz w:val="26"/>
          <w:szCs w:val="26"/>
        </w:rPr>
        <w:t>Met-Ed</w:t>
      </w:r>
      <w:r w:rsidR="001536F3" w:rsidRPr="00C060FF">
        <w:rPr>
          <w:sz w:val="26"/>
          <w:szCs w:val="26"/>
        </w:rPr>
        <w:t xml:space="preserve"> reports, in its PY7 Final Annual Report, it attained a TRM-verified reduction of </w:t>
      </w:r>
      <w:r w:rsidR="001536F3">
        <w:rPr>
          <w:sz w:val="26"/>
          <w:szCs w:val="26"/>
        </w:rPr>
        <w:t>45,839</w:t>
      </w:r>
      <w:r w:rsidR="001536F3" w:rsidRPr="00C060FF">
        <w:rPr>
          <w:sz w:val="26"/>
          <w:szCs w:val="26"/>
        </w:rPr>
        <w:t xml:space="preserve"> MWh from the low</w:t>
      </w:r>
      <w:r w:rsidR="00715209">
        <w:rPr>
          <w:sz w:val="26"/>
          <w:szCs w:val="26"/>
        </w:rPr>
        <w:noBreakHyphen/>
      </w:r>
      <w:r w:rsidR="001536F3" w:rsidRPr="00C060FF">
        <w:rPr>
          <w:sz w:val="26"/>
          <w:szCs w:val="26"/>
        </w:rPr>
        <w:t>income sector.</w:t>
      </w:r>
      <w:r w:rsidR="001536F3" w:rsidRPr="00C060FF">
        <w:rPr>
          <w:sz w:val="26"/>
          <w:szCs w:val="26"/>
          <w:vertAlign w:val="superscript"/>
        </w:rPr>
        <w:footnoteReference w:id="87"/>
      </w:r>
      <w:r w:rsidR="001536F3" w:rsidRPr="00C060FF">
        <w:rPr>
          <w:sz w:val="26"/>
          <w:szCs w:val="26"/>
        </w:rPr>
        <w:t xml:space="preserve"> </w:t>
      </w:r>
      <w:r w:rsidR="003B63F6">
        <w:rPr>
          <w:sz w:val="26"/>
          <w:szCs w:val="26"/>
        </w:rPr>
        <w:t xml:space="preserve"> </w:t>
      </w:r>
      <w:r w:rsidR="001536F3" w:rsidRPr="00C060FF">
        <w:rPr>
          <w:sz w:val="26"/>
          <w:szCs w:val="26"/>
        </w:rPr>
        <w:t xml:space="preserve">In its </w:t>
      </w:r>
      <w:r w:rsidR="0066082E">
        <w:rPr>
          <w:sz w:val="26"/>
          <w:szCs w:val="26"/>
        </w:rPr>
        <w:t>Amended</w:t>
      </w:r>
      <w:r w:rsidR="00BD3FB1">
        <w:rPr>
          <w:sz w:val="26"/>
          <w:szCs w:val="26"/>
        </w:rPr>
        <w:t xml:space="preserve"> </w:t>
      </w:r>
      <w:r w:rsidR="001536F3" w:rsidRPr="00C060FF">
        <w:rPr>
          <w:sz w:val="26"/>
          <w:szCs w:val="26"/>
        </w:rPr>
        <w:t xml:space="preserve">Phase II Final Annual Report, the SWE validates </w:t>
      </w:r>
      <w:r w:rsidR="001536F3">
        <w:rPr>
          <w:sz w:val="26"/>
          <w:szCs w:val="26"/>
        </w:rPr>
        <w:t>Met-Ed</w:t>
      </w:r>
      <w:r w:rsidR="001536F3" w:rsidRPr="00C060FF">
        <w:rPr>
          <w:sz w:val="26"/>
          <w:szCs w:val="26"/>
        </w:rPr>
        <w:t xml:space="preserve">’s reported TRM-verified savings of </w:t>
      </w:r>
      <w:r w:rsidR="001536F3">
        <w:rPr>
          <w:sz w:val="26"/>
          <w:szCs w:val="26"/>
        </w:rPr>
        <w:t>45,839</w:t>
      </w:r>
      <w:r w:rsidR="001536F3" w:rsidRPr="00C060FF">
        <w:rPr>
          <w:sz w:val="26"/>
          <w:szCs w:val="26"/>
        </w:rPr>
        <w:t xml:space="preserve"> MWh and notes that this amounts to </w:t>
      </w:r>
      <w:r w:rsidR="001536F3">
        <w:rPr>
          <w:sz w:val="26"/>
          <w:szCs w:val="26"/>
        </w:rPr>
        <w:t>302</w:t>
      </w:r>
      <w:r w:rsidR="001536F3" w:rsidRPr="00C060FF">
        <w:rPr>
          <w:sz w:val="26"/>
          <w:szCs w:val="26"/>
        </w:rPr>
        <w:t xml:space="preserve">% of </w:t>
      </w:r>
      <w:r w:rsidR="001536F3">
        <w:rPr>
          <w:sz w:val="26"/>
          <w:szCs w:val="26"/>
        </w:rPr>
        <w:t>Met-Ed</w:t>
      </w:r>
      <w:r w:rsidR="001536F3" w:rsidRPr="00C060FF">
        <w:rPr>
          <w:sz w:val="26"/>
          <w:szCs w:val="26"/>
        </w:rPr>
        <w:t>’s low</w:t>
      </w:r>
      <w:r w:rsidR="00715209">
        <w:rPr>
          <w:sz w:val="26"/>
          <w:szCs w:val="26"/>
        </w:rPr>
        <w:noBreakHyphen/>
      </w:r>
      <w:r w:rsidR="001536F3" w:rsidRPr="00C060FF">
        <w:rPr>
          <w:sz w:val="26"/>
          <w:szCs w:val="26"/>
        </w:rPr>
        <w:t>income consumption reduction requirement.</w:t>
      </w:r>
      <w:r w:rsidR="001536F3" w:rsidRPr="00C060FF">
        <w:rPr>
          <w:sz w:val="26"/>
          <w:szCs w:val="26"/>
          <w:vertAlign w:val="superscript"/>
        </w:rPr>
        <w:footnoteReference w:id="88"/>
      </w:r>
      <w:r w:rsidR="001536F3" w:rsidRPr="00C060FF">
        <w:rPr>
          <w:sz w:val="26"/>
          <w:szCs w:val="26"/>
        </w:rPr>
        <w:t xml:space="preserve">  The Commission agrees with the TRM-verified savings from the low</w:t>
      </w:r>
      <w:r w:rsidR="00715209">
        <w:rPr>
          <w:sz w:val="26"/>
          <w:szCs w:val="26"/>
        </w:rPr>
        <w:noBreakHyphen/>
      </w:r>
      <w:r w:rsidR="001536F3" w:rsidRPr="00C060FF">
        <w:rPr>
          <w:sz w:val="26"/>
          <w:szCs w:val="26"/>
        </w:rPr>
        <w:t xml:space="preserve">income sector reported by </w:t>
      </w:r>
      <w:r w:rsidR="001536F3">
        <w:rPr>
          <w:sz w:val="26"/>
          <w:szCs w:val="26"/>
        </w:rPr>
        <w:t>Met-Ed</w:t>
      </w:r>
      <w:r w:rsidR="001536F3" w:rsidRPr="00C060FF">
        <w:rPr>
          <w:sz w:val="26"/>
          <w:szCs w:val="26"/>
        </w:rPr>
        <w:t xml:space="preserve"> and confirmed by the SWE and deems </w:t>
      </w:r>
      <w:r w:rsidR="001536F3">
        <w:rPr>
          <w:sz w:val="26"/>
          <w:szCs w:val="26"/>
        </w:rPr>
        <w:t>Met-Ed</w:t>
      </w:r>
      <w:r w:rsidR="001536F3" w:rsidRPr="00C060FF">
        <w:rPr>
          <w:sz w:val="26"/>
          <w:szCs w:val="26"/>
        </w:rPr>
        <w:t xml:space="preserve"> to be in compliance with the low</w:t>
      </w:r>
      <w:r w:rsidR="00715209">
        <w:rPr>
          <w:sz w:val="26"/>
          <w:szCs w:val="26"/>
        </w:rPr>
        <w:noBreakHyphen/>
      </w:r>
      <w:r w:rsidR="001536F3" w:rsidRPr="00C060FF">
        <w:rPr>
          <w:sz w:val="26"/>
          <w:szCs w:val="26"/>
        </w:rPr>
        <w:t>income consumption reduction requirement.</w:t>
      </w:r>
    </w:p>
    <w:p w:rsidR="003273FC" w:rsidRDefault="003273FC" w:rsidP="003F5CA3">
      <w:pPr>
        <w:pStyle w:val="p3"/>
        <w:tabs>
          <w:tab w:val="clear" w:pos="204"/>
        </w:tabs>
        <w:spacing w:line="360" w:lineRule="auto"/>
        <w:rPr>
          <w:sz w:val="26"/>
          <w:szCs w:val="26"/>
        </w:rPr>
      </w:pPr>
    </w:p>
    <w:p w:rsidR="00412E46" w:rsidRDefault="00412E46" w:rsidP="003F5CA3">
      <w:pPr>
        <w:pStyle w:val="p3"/>
        <w:tabs>
          <w:tab w:val="clear" w:pos="204"/>
        </w:tabs>
        <w:spacing w:line="360" w:lineRule="auto"/>
        <w:rPr>
          <w:sz w:val="26"/>
          <w:szCs w:val="26"/>
        </w:rPr>
      </w:pPr>
      <w:r>
        <w:rPr>
          <w:sz w:val="26"/>
          <w:szCs w:val="26"/>
        </w:rPr>
        <w:tab/>
      </w:r>
      <w:r>
        <w:rPr>
          <w:sz w:val="26"/>
          <w:szCs w:val="26"/>
        </w:rPr>
        <w:tab/>
      </w:r>
      <w:r>
        <w:rPr>
          <w:b/>
          <w:sz w:val="26"/>
          <w:szCs w:val="26"/>
        </w:rPr>
        <w:t>c.</w:t>
      </w:r>
      <w:r>
        <w:rPr>
          <w:b/>
          <w:sz w:val="26"/>
          <w:szCs w:val="26"/>
        </w:rPr>
        <w:tab/>
        <w:t>PECO</w:t>
      </w:r>
    </w:p>
    <w:p w:rsidR="00987EEC" w:rsidRDefault="00987EEC" w:rsidP="00415B77">
      <w:pPr>
        <w:pStyle w:val="p3"/>
        <w:tabs>
          <w:tab w:val="clear" w:pos="204"/>
        </w:tabs>
        <w:spacing w:line="360" w:lineRule="auto"/>
        <w:rPr>
          <w:sz w:val="26"/>
          <w:szCs w:val="26"/>
        </w:rPr>
      </w:pPr>
      <w:r>
        <w:rPr>
          <w:sz w:val="26"/>
          <w:szCs w:val="26"/>
        </w:rPr>
        <w:tab/>
      </w:r>
      <w:r w:rsidR="001536F3">
        <w:rPr>
          <w:sz w:val="26"/>
          <w:szCs w:val="26"/>
        </w:rPr>
        <w:t>PECO</w:t>
      </w:r>
      <w:r w:rsidR="001536F3" w:rsidRPr="00C060FF">
        <w:rPr>
          <w:sz w:val="26"/>
          <w:szCs w:val="26"/>
        </w:rPr>
        <w:t xml:space="preserve"> was required to obtain </w:t>
      </w:r>
      <w:r w:rsidR="001536F3">
        <w:rPr>
          <w:sz w:val="26"/>
          <w:szCs w:val="26"/>
        </w:rPr>
        <w:t>50,663</w:t>
      </w:r>
      <w:r w:rsidR="001536F3" w:rsidRPr="00C060FF">
        <w:rPr>
          <w:sz w:val="26"/>
          <w:szCs w:val="26"/>
        </w:rPr>
        <w:t xml:space="preserve"> MWh of its total electric consumption reduction from the low</w:t>
      </w:r>
      <w:r w:rsidR="003B63F6">
        <w:rPr>
          <w:sz w:val="26"/>
          <w:szCs w:val="26"/>
        </w:rPr>
        <w:noBreakHyphen/>
      </w:r>
      <w:r w:rsidR="001536F3" w:rsidRPr="00C060FF">
        <w:rPr>
          <w:sz w:val="26"/>
          <w:szCs w:val="26"/>
        </w:rPr>
        <w:t>income sector in its service territory.</w:t>
      </w:r>
      <w:r w:rsidR="001536F3" w:rsidRPr="00C060FF">
        <w:rPr>
          <w:sz w:val="26"/>
          <w:szCs w:val="26"/>
          <w:vertAlign w:val="superscript"/>
        </w:rPr>
        <w:footnoteReference w:id="89"/>
      </w:r>
      <w:r w:rsidR="001536F3" w:rsidRPr="00C060FF">
        <w:rPr>
          <w:sz w:val="26"/>
          <w:szCs w:val="26"/>
        </w:rPr>
        <w:t xml:space="preserve">  </w:t>
      </w:r>
      <w:r w:rsidR="001536F3">
        <w:rPr>
          <w:sz w:val="26"/>
          <w:szCs w:val="26"/>
        </w:rPr>
        <w:t>PECO</w:t>
      </w:r>
      <w:r w:rsidR="001536F3" w:rsidRPr="00C060FF">
        <w:rPr>
          <w:sz w:val="26"/>
          <w:szCs w:val="26"/>
        </w:rPr>
        <w:t xml:space="preserve"> reports, in its PY7 Final Annual Report, it attained a TRM-verified reduction of</w:t>
      </w:r>
      <w:r w:rsidR="000E4615">
        <w:rPr>
          <w:sz w:val="26"/>
          <w:szCs w:val="26"/>
        </w:rPr>
        <w:t xml:space="preserve"> </w:t>
      </w:r>
      <w:r w:rsidR="001536F3">
        <w:rPr>
          <w:sz w:val="26"/>
          <w:szCs w:val="26"/>
        </w:rPr>
        <w:t>91,673</w:t>
      </w:r>
      <w:r w:rsidR="001536F3" w:rsidRPr="00C060FF">
        <w:rPr>
          <w:sz w:val="26"/>
          <w:szCs w:val="26"/>
        </w:rPr>
        <w:t xml:space="preserve"> MWh from the low</w:t>
      </w:r>
      <w:r w:rsidR="003B63F6">
        <w:rPr>
          <w:sz w:val="26"/>
          <w:szCs w:val="26"/>
        </w:rPr>
        <w:noBreakHyphen/>
      </w:r>
      <w:r w:rsidR="001536F3" w:rsidRPr="00C060FF">
        <w:rPr>
          <w:sz w:val="26"/>
          <w:szCs w:val="26"/>
        </w:rPr>
        <w:t>income sector.</w:t>
      </w:r>
      <w:r w:rsidR="001536F3" w:rsidRPr="00C060FF">
        <w:rPr>
          <w:sz w:val="26"/>
          <w:szCs w:val="26"/>
          <w:vertAlign w:val="superscript"/>
        </w:rPr>
        <w:footnoteReference w:id="90"/>
      </w:r>
      <w:r w:rsidR="001536F3" w:rsidRPr="00C060FF">
        <w:rPr>
          <w:sz w:val="26"/>
          <w:szCs w:val="26"/>
        </w:rPr>
        <w:t xml:space="preserve"> </w:t>
      </w:r>
      <w:r w:rsidR="003B63F6">
        <w:rPr>
          <w:sz w:val="26"/>
          <w:szCs w:val="26"/>
        </w:rPr>
        <w:t xml:space="preserve"> </w:t>
      </w:r>
      <w:r w:rsidR="001536F3" w:rsidRPr="00C060FF">
        <w:rPr>
          <w:sz w:val="26"/>
          <w:szCs w:val="26"/>
        </w:rPr>
        <w:t xml:space="preserve">In its </w:t>
      </w:r>
      <w:r w:rsidR="0066082E">
        <w:rPr>
          <w:sz w:val="26"/>
          <w:szCs w:val="26"/>
        </w:rPr>
        <w:t>Amended</w:t>
      </w:r>
      <w:r w:rsidR="00BD3FB1">
        <w:rPr>
          <w:sz w:val="26"/>
          <w:szCs w:val="26"/>
        </w:rPr>
        <w:t xml:space="preserve"> </w:t>
      </w:r>
      <w:r w:rsidR="001536F3" w:rsidRPr="00C060FF">
        <w:rPr>
          <w:sz w:val="26"/>
          <w:szCs w:val="26"/>
        </w:rPr>
        <w:t xml:space="preserve">Phase II Final Annual Report, the SWE validates </w:t>
      </w:r>
      <w:r w:rsidR="001536F3">
        <w:rPr>
          <w:sz w:val="26"/>
          <w:szCs w:val="26"/>
        </w:rPr>
        <w:lastRenderedPageBreak/>
        <w:t>PECO’s</w:t>
      </w:r>
      <w:r w:rsidR="001536F3" w:rsidRPr="00C060FF">
        <w:rPr>
          <w:sz w:val="26"/>
          <w:szCs w:val="26"/>
        </w:rPr>
        <w:t xml:space="preserve"> reported TRM-verified savings of </w:t>
      </w:r>
      <w:r w:rsidR="001536F3">
        <w:rPr>
          <w:sz w:val="26"/>
          <w:szCs w:val="26"/>
        </w:rPr>
        <w:t>91,673</w:t>
      </w:r>
      <w:r w:rsidR="001536F3" w:rsidRPr="00C060FF">
        <w:rPr>
          <w:sz w:val="26"/>
          <w:szCs w:val="26"/>
        </w:rPr>
        <w:t xml:space="preserve"> MWh and notes that this amounts to </w:t>
      </w:r>
      <w:r w:rsidR="001536F3">
        <w:rPr>
          <w:sz w:val="26"/>
          <w:szCs w:val="26"/>
        </w:rPr>
        <w:t>181</w:t>
      </w:r>
      <w:r w:rsidR="001536F3" w:rsidRPr="00C060FF">
        <w:rPr>
          <w:sz w:val="26"/>
          <w:szCs w:val="26"/>
        </w:rPr>
        <w:t xml:space="preserve">% of </w:t>
      </w:r>
      <w:r w:rsidR="001536F3">
        <w:rPr>
          <w:sz w:val="26"/>
          <w:szCs w:val="26"/>
        </w:rPr>
        <w:t>PECO</w:t>
      </w:r>
      <w:r w:rsidR="001536F3" w:rsidRPr="00C060FF">
        <w:rPr>
          <w:sz w:val="26"/>
          <w:szCs w:val="26"/>
        </w:rPr>
        <w:t>’s low</w:t>
      </w:r>
      <w:r w:rsidR="003B63F6">
        <w:rPr>
          <w:sz w:val="26"/>
          <w:szCs w:val="26"/>
        </w:rPr>
        <w:noBreakHyphen/>
      </w:r>
      <w:r w:rsidR="001536F3" w:rsidRPr="00C060FF">
        <w:rPr>
          <w:sz w:val="26"/>
          <w:szCs w:val="26"/>
        </w:rPr>
        <w:t>income consumption reduction requirement.</w:t>
      </w:r>
      <w:r w:rsidR="001536F3" w:rsidRPr="00C060FF">
        <w:rPr>
          <w:sz w:val="26"/>
          <w:szCs w:val="26"/>
          <w:vertAlign w:val="superscript"/>
        </w:rPr>
        <w:footnoteReference w:id="91"/>
      </w:r>
      <w:r w:rsidR="001536F3" w:rsidRPr="00C060FF">
        <w:rPr>
          <w:sz w:val="26"/>
          <w:szCs w:val="26"/>
        </w:rPr>
        <w:t xml:space="preserve">  The Commission agrees with the TRM-verified savings from the low</w:t>
      </w:r>
      <w:r w:rsidR="003B63F6">
        <w:rPr>
          <w:sz w:val="26"/>
          <w:szCs w:val="26"/>
        </w:rPr>
        <w:noBreakHyphen/>
      </w:r>
      <w:r w:rsidR="001536F3" w:rsidRPr="00C060FF">
        <w:rPr>
          <w:sz w:val="26"/>
          <w:szCs w:val="26"/>
        </w:rPr>
        <w:t xml:space="preserve">income sector reported by </w:t>
      </w:r>
      <w:r w:rsidR="001536F3">
        <w:rPr>
          <w:sz w:val="26"/>
          <w:szCs w:val="26"/>
        </w:rPr>
        <w:t>PECO</w:t>
      </w:r>
      <w:r w:rsidR="001536F3" w:rsidRPr="00C060FF">
        <w:rPr>
          <w:sz w:val="26"/>
          <w:szCs w:val="26"/>
        </w:rPr>
        <w:t xml:space="preserve"> and confirmed by the SWE and deems </w:t>
      </w:r>
      <w:r w:rsidR="001536F3">
        <w:rPr>
          <w:sz w:val="26"/>
          <w:szCs w:val="26"/>
        </w:rPr>
        <w:t>PECO</w:t>
      </w:r>
      <w:r w:rsidR="001536F3" w:rsidRPr="00C060FF">
        <w:rPr>
          <w:sz w:val="26"/>
          <w:szCs w:val="26"/>
        </w:rPr>
        <w:t xml:space="preserve"> to be in compliance with the low</w:t>
      </w:r>
      <w:r w:rsidR="003B63F6">
        <w:rPr>
          <w:sz w:val="26"/>
          <w:szCs w:val="26"/>
        </w:rPr>
        <w:noBreakHyphen/>
      </w:r>
      <w:r w:rsidR="001536F3" w:rsidRPr="00C060FF">
        <w:rPr>
          <w:sz w:val="26"/>
          <w:szCs w:val="26"/>
        </w:rPr>
        <w:t>income consumption reduction requirement.</w:t>
      </w:r>
    </w:p>
    <w:p w:rsidR="003273FC" w:rsidRDefault="003273FC" w:rsidP="00415B77">
      <w:pPr>
        <w:pStyle w:val="p3"/>
        <w:tabs>
          <w:tab w:val="clear" w:pos="204"/>
        </w:tabs>
        <w:spacing w:line="360" w:lineRule="auto"/>
        <w:rPr>
          <w:sz w:val="26"/>
          <w:szCs w:val="26"/>
        </w:rPr>
      </w:pPr>
    </w:p>
    <w:p w:rsidR="00412E46" w:rsidRDefault="00412E46" w:rsidP="00415B77">
      <w:pPr>
        <w:pStyle w:val="p3"/>
        <w:tabs>
          <w:tab w:val="clear" w:pos="204"/>
        </w:tabs>
        <w:spacing w:line="360" w:lineRule="auto"/>
        <w:rPr>
          <w:sz w:val="26"/>
          <w:szCs w:val="26"/>
        </w:rPr>
      </w:pPr>
      <w:r>
        <w:rPr>
          <w:sz w:val="26"/>
          <w:szCs w:val="26"/>
        </w:rPr>
        <w:tab/>
      </w:r>
      <w:r>
        <w:rPr>
          <w:sz w:val="26"/>
          <w:szCs w:val="26"/>
        </w:rPr>
        <w:tab/>
      </w:r>
      <w:r>
        <w:rPr>
          <w:b/>
          <w:sz w:val="26"/>
          <w:szCs w:val="26"/>
        </w:rPr>
        <w:t>d.</w:t>
      </w:r>
      <w:r>
        <w:rPr>
          <w:b/>
          <w:sz w:val="26"/>
          <w:szCs w:val="26"/>
        </w:rPr>
        <w:tab/>
        <w:t>Penelec</w:t>
      </w:r>
    </w:p>
    <w:p w:rsidR="00566158" w:rsidRDefault="00987EEC" w:rsidP="00415B77">
      <w:pPr>
        <w:pStyle w:val="p3"/>
        <w:tabs>
          <w:tab w:val="clear" w:pos="204"/>
        </w:tabs>
        <w:spacing w:line="360" w:lineRule="auto"/>
        <w:rPr>
          <w:sz w:val="26"/>
          <w:szCs w:val="26"/>
        </w:rPr>
      </w:pPr>
      <w:r>
        <w:rPr>
          <w:sz w:val="26"/>
          <w:szCs w:val="26"/>
        </w:rPr>
        <w:tab/>
      </w:r>
      <w:r w:rsidR="001536F3" w:rsidRPr="001536F3">
        <w:rPr>
          <w:sz w:val="26"/>
          <w:szCs w:val="26"/>
        </w:rPr>
        <w:t xml:space="preserve"> </w:t>
      </w:r>
      <w:r w:rsidR="001536F3">
        <w:rPr>
          <w:sz w:val="26"/>
          <w:szCs w:val="26"/>
        </w:rPr>
        <w:t>Penelec</w:t>
      </w:r>
      <w:r w:rsidR="001536F3" w:rsidRPr="00C060FF">
        <w:rPr>
          <w:sz w:val="26"/>
          <w:szCs w:val="26"/>
        </w:rPr>
        <w:t xml:space="preserve"> was required to obtain </w:t>
      </w:r>
      <w:r w:rsidR="001536F3">
        <w:rPr>
          <w:sz w:val="26"/>
          <w:szCs w:val="26"/>
        </w:rPr>
        <w:t>14,347</w:t>
      </w:r>
      <w:r w:rsidR="001536F3" w:rsidRPr="00C060FF">
        <w:rPr>
          <w:sz w:val="26"/>
          <w:szCs w:val="26"/>
        </w:rPr>
        <w:t xml:space="preserve"> MWh of its total electric consumption reduction from the low</w:t>
      </w:r>
      <w:r w:rsidR="003B63F6">
        <w:rPr>
          <w:sz w:val="26"/>
          <w:szCs w:val="26"/>
        </w:rPr>
        <w:noBreakHyphen/>
      </w:r>
      <w:r w:rsidR="001536F3" w:rsidRPr="00C060FF">
        <w:rPr>
          <w:sz w:val="26"/>
          <w:szCs w:val="26"/>
        </w:rPr>
        <w:t>income sector in its service territory.</w:t>
      </w:r>
      <w:r w:rsidR="001536F3" w:rsidRPr="00C060FF">
        <w:rPr>
          <w:sz w:val="26"/>
          <w:szCs w:val="26"/>
          <w:vertAlign w:val="superscript"/>
        </w:rPr>
        <w:footnoteReference w:id="92"/>
      </w:r>
      <w:r w:rsidR="003A5121">
        <w:rPr>
          <w:sz w:val="26"/>
          <w:szCs w:val="26"/>
        </w:rPr>
        <w:t xml:space="preserve">  </w:t>
      </w:r>
      <w:r w:rsidR="001536F3">
        <w:rPr>
          <w:sz w:val="26"/>
          <w:szCs w:val="26"/>
        </w:rPr>
        <w:t>Penelec</w:t>
      </w:r>
      <w:r w:rsidR="001536F3" w:rsidRPr="00C060FF">
        <w:rPr>
          <w:sz w:val="26"/>
          <w:szCs w:val="26"/>
        </w:rPr>
        <w:t xml:space="preserve"> reports, in its PY7 Final Annual Report, it attained a TRM-verified reduction of </w:t>
      </w:r>
      <w:r w:rsidR="00E02D6B">
        <w:rPr>
          <w:sz w:val="26"/>
          <w:szCs w:val="26"/>
        </w:rPr>
        <w:t>55,255</w:t>
      </w:r>
      <w:r w:rsidR="001536F3" w:rsidRPr="00C060FF">
        <w:rPr>
          <w:sz w:val="26"/>
          <w:szCs w:val="26"/>
        </w:rPr>
        <w:t xml:space="preserve"> MWh from the low</w:t>
      </w:r>
      <w:r w:rsidR="003B63F6">
        <w:rPr>
          <w:sz w:val="26"/>
          <w:szCs w:val="26"/>
        </w:rPr>
        <w:noBreakHyphen/>
      </w:r>
      <w:r w:rsidR="001536F3" w:rsidRPr="00C060FF">
        <w:rPr>
          <w:sz w:val="26"/>
          <w:szCs w:val="26"/>
        </w:rPr>
        <w:t>income sector.</w:t>
      </w:r>
      <w:r w:rsidR="001536F3" w:rsidRPr="00C060FF">
        <w:rPr>
          <w:sz w:val="26"/>
          <w:szCs w:val="26"/>
          <w:vertAlign w:val="superscript"/>
        </w:rPr>
        <w:footnoteReference w:id="93"/>
      </w:r>
      <w:r w:rsidR="001536F3" w:rsidRPr="00C060FF">
        <w:rPr>
          <w:sz w:val="26"/>
          <w:szCs w:val="26"/>
        </w:rPr>
        <w:t xml:space="preserve"> </w:t>
      </w:r>
      <w:r w:rsidR="003B63F6">
        <w:rPr>
          <w:sz w:val="26"/>
          <w:szCs w:val="26"/>
        </w:rPr>
        <w:t xml:space="preserve"> </w:t>
      </w:r>
      <w:r w:rsidR="001536F3" w:rsidRPr="00C060FF">
        <w:rPr>
          <w:sz w:val="26"/>
          <w:szCs w:val="26"/>
        </w:rPr>
        <w:t xml:space="preserve">In its </w:t>
      </w:r>
      <w:r w:rsidR="0066082E">
        <w:rPr>
          <w:sz w:val="26"/>
          <w:szCs w:val="26"/>
        </w:rPr>
        <w:t>Amended</w:t>
      </w:r>
      <w:r w:rsidR="00BD3FB1">
        <w:rPr>
          <w:sz w:val="26"/>
          <w:szCs w:val="26"/>
        </w:rPr>
        <w:t xml:space="preserve"> </w:t>
      </w:r>
      <w:r w:rsidR="001536F3" w:rsidRPr="00C060FF">
        <w:rPr>
          <w:sz w:val="26"/>
          <w:szCs w:val="26"/>
        </w:rPr>
        <w:t xml:space="preserve">Phase II Final Annual Report, the SWE validates </w:t>
      </w:r>
      <w:proofErr w:type="spellStart"/>
      <w:r w:rsidR="00E02D6B">
        <w:rPr>
          <w:sz w:val="26"/>
          <w:szCs w:val="26"/>
        </w:rPr>
        <w:t>Penelec</w:t>
      </w:r>
      <w:r w:rsidR="001536F3">
        <w:rPr>
          <w:sz w:val="26"/>
          <w:szCs w:val="26"/>
        </w:rPr>
        <w:t>’s</w:t>
      </w:r>
      <w:proofErr w:type="spellEnd"/>
      <w:r w:rsidR="001536F3" w:rsidRPr="00C060FF">
        <w:rPr>
          <w:sz w:val="26"/>
          <w:szCs w:val="26"/>
        </w:rPr>
        <w:t xml:space="preserve"> reported TRM-verified savings of </w:t>
      </w:r>
      <w:r w:rsidR="00E02D6B">
        <w:rPr>
          <w:sz w:val="26"/>
          <w:szCs w:val="26"/>
        </w:rPr>
        <w:t>55,255</w:t>
      </w:r>
      <w:r w:rsidR="001536F3" w:rsidRPr="00C060FF">
        <w:rPr>
          <w:sz w:val="26"/>
          <w:szCs w:val="26"/>
        </w:rPr>
        <w:t xml:space="preserve"> MWh and notes that this amounts to </w:t>
      </w:r>
      <w:r w:rsidR="00E02D6B">
        <w:rPr>
          <w:sz w:val="26"/>
          <w:szCs w:val="26"/>
        </w:rPr>
        <w:t>385</w:t>
      </w:r>
      <w:r w:rsidR="001536F3" w:rsidRPr="00C060FF">
        <w:rPr>
          <w:sz w:val="26"/>
          <w:szCs w:val="26"/>
        </w:rPr>
        <w:t xml:space="preserve">% of </w:t>
      </w:r>
      <w:proofErr w:type="spellStart"/>
      <w:r w:rsidR="001536F3">
        <w:rPr>
          <w:sz w:val="26"/>
          <w:szCs w:val="26"/>
        </w:rPr>
        <w:t>P</w:t>
      </w:r>
      <w:r w:rsidR="00E02D6B">
        <w:rPr>
          <w:sz w:val="26"/>
          <w:szCs w:val="26"/>
        </w:rPr>
        <w:t>enelec</w:t>
      </w:r>
      <w:r w:rsidR="001536F3" w:rsidRPr="00C060FF">
        <w:rPr>
          <w:sz w:val="26"/>
          <w:szCs w:val="26"/>
        </w:rPr>
        <w:t>’s</w:t>
      </w:r>
      <w:proofErr w:type="spellEnd"/>
      <w:r w:rsidR="001536F3" w:rsidRPr="00C060FF">
        <w:rPr>
          <w:sz w:val="26"/>
          <w:szCs w:val="26"/>
        </w:rPr>
        <w:t xml:space="preserve"> low</w:t>
      </w:r>
      <w:r w:rsidR="003B63F6">
        <w:rPr>
          <w:sz w:val="26"/>
          <w:szCs w:val="26"/>
        </w:rPr>
        <w:noBreakHyphen/>
      </w:r>
      <w:r w:rsidR="001536F3" w:rsidRPr="00C060FF">
        <w:rPr>
          <w:sz w:val="26"/>
          <w:szCs w:val="26"/>
        </w:rPr>
        <w:t>income consumption reduction requirement.</w:t>
      </w:r>
      <w:r w:rsidR="001536F3" w:rsidRPr="00C060FF">
        <w:rPr>
          <w:sz w:val="26"/>
          <w:szCs w:val="26"/>
          <w:vertAlign w:val="superscript"/>
        </w:rPr>
        <w:footnoteReference w:id="94"/>
      </w:r>
      <w:r w:rsidR="001536F3" w:rsidRPr="00C060FF">
        <w:rPr>
          <w:sz w:val="26"/>
          <w:szCs w:val="26"/>
        </w:rPr>
        <w:t xml:space="preserve">  The Commission agrees with the TRM-verified savings from the low</w:t>
      </w:r>
      <w:r w:rsidR="003B63F6">
        <w:rPr>
          <w:sz w:val="26"/>
          <w:szCs w:val="26"/>
        </w:rPr>
        <w:noBreakHyphen/>
      </w:r>
      <w:r w:rsidR="001536F3" w:rsidRPr="00C060FF">
        <w:rPr>
          <w:sz w:val="26"/>
          <w:szCs w:val="26"/>
        </w:rPr>
        <w:t xml:space="preserve">income sector reported by </w:t>
      </w:r>
      <w:r w:rsidR="00E02D6B">
        <w:rPr>
          <w:sz w:val="26"/>
          <w:szCs w:val="26"/>
        </w:rPr>
        <w:t>Penelec</w:t>
      </w:r>
      <w:r w:rsidR="001536F3" w:rsidRPr="00C060FF">
        <w:rPr>
          <w:sz w:val="26"/>
          <w:szCs w:val="26"/>
        </w:rPr>
        <w:t xml:space="preserve"> and confirmed by the SWE and deems </w:t>
      </w:r>
      <w:r w:rsidR="00E02D6B">
        <w:rPr>
          <w:sz w:val="26"/>
          <w:szCs w:val="26"/>
        </w:rPr>
        <w:t>Penelec</w:t>
      </w:r>
      <w:r w:rsidR="001536F3" w:rsidRPr="00C060FF">
        <w:rPr>
          <w:sz w:val="26"/>
          <w:szCs w:val="26"/>
        </w:rPr>
        <w:t xml:space="preserve"> to be in compliance with the low</w:t>
      </w:r>
      <w:r w:rsidR="003B63F6">
        <w:rPr>
          <w:sz w:val="26"/>
          <w:szCs w:val="26"/>
        </w:rPr>
        <w:noBreakHyphen/>
      </w:r>
      <w:r w:rsidR="001536F3" w:rsidRPr="00C060FF">
        <w:rPr>
          <w:sz w:val="26"/>
          <w:szCs w:val="26"/>
        </w:rPr>
        <w:t>income consumption reduction requirement.</w:t>
      </w:r>
    </w:p>
    <w:p w:rsidR="008003E5" w:rsidRDefault="008003E5" w:rsidP="00415B77">
      <w:pPr>
        <w:pStyle w:val="p3"/>
        <w:tabs>
          <w:tab w:val="clear" w:pos="204"/>
        </w:tabs>
        <w:spacing w:line="360" w:lineRule="auto"/>
        <w:rPr>
          <w:sz w:val="26"/>
          <w:szCs w:val="26"/>
        </w:rPr>
      </w:pPr>
    </w:p>
    <w:p w:rsidR="00E56256" w:rsidRDefault="00E56256" w:rsidP="00415B77">
      <w:pPr>
        <w:pStyle w:val="p3"/>
        <w:tabs>
          <w:tab w:val="clear" w:pos="204"/>
        </w:tabs>
        <w:spacing w:line="360" w:lineRule="auto"/>
        <w:rPr>
          <w:sz w:val="26"/>
          <w:szCs w:val="26"/>
        </w:rPr>
      </w:pPr>
      <w:r>
        <w:rPr>
          <w:sz w:val="26"/>
          <w:szCs w:val="26"/>
        </w:rPr>
        <w:tab/>
      </w:r>
      <w:r>
        <w:rPr>
          <w:sz w:val="26"/>
          <w:szCs w:val="26"/>
        </w:rPr>
        <w:tab/>
      </w:r>
      <w:r>
        <w:rPr>
          <w:b/>
          <w:sz w:val="26"/>
          <w:szCs w:val="26"/>
        </w:rPr>
        <w:t>e.</w:t>
      </w:r>
      <w:r>
        <w:rPr>
          <w:b/>
          <w:sz w:val="26"/>
          <w:szCs w:val="26"/>
        </w:rPr>
        <w:tab/>
        <w:t>Penn Power</w:t>
      </w:r>
    </w:p>
    <w:p w:rsidR="00E56256" w:rsidRDefault="00566158" w:rsidP="00415B77">
      <w:pPr>
        <w:pStyle w:val="p3"/>
        <w:tabs>
          <w:tab w:val="clear" w:pos="204"/>
        </w:tabs>
        <w:spacing w:line="360" w:lineRule="auto"/>
        <w:rPr>
          <w:sz w:val="26"/>
          <w:szCs w:val="26"/>
        </w:rPr>
      </w:pPr>
      <w:r>
        <w:rPr>
          <w:sz w:val="26"/>
          <w:szCs w:val="26"/>
        </w:rPr>
        <w:tab/>
      </w:r>
      <w:r w:rsidR="00E02D6B">
        <w:rPr>
          <w:sz w:val="26"/>
          <w:szCs w:val="26"/>
        </w:rPr>
        <w:t>Penn Power</w:t>
      </w:r>
      <w:r w:rsidR="00E02D6B" w:rsidRPr="00C060FF">
        <w:rPr>
          <w:sz w:val="26"/>
          <w:szCs w:val="26"/>
        </w:rPr>
        <w:t xml:space="preserve"> was required to obtain </w:t>
      </w:r>
      <w:r w:rsidR="00096F2B">
        <w:rPr>
          <w:sz w:val="26"/>
          <w:szCs w:val="26"/>
        </w:rPr>
        <w:t>4,298</w:t>
      </w:r>
      <w:r w:rsidR="00E02D6B" w:rsidRPr="00C060FF">
        <w:rPr>
          <w:sz w:val="26"/>
          <w:szCs w:val="26"/>
        </w:rPr>
        <w:t xml:space="preserve"> MWh of its total electric consumption reduction from the low</w:t>
      </w:r>
      <w:r w:rsidR="003B63F6">
        <w:rPr>
          <w:sz w:val="26"/>
          <w:szCs w:val="26"/>
        </w:rPr>
        <w:noBreakHyphen/>
      </w:r>
      <w:r w:rsidR="00E02D6B" w:rsidRPr="00C060FF">
        <w:rPr>
          <w:sz w:val="26"/>
          <w:szCs w:val="26"/>
        </w:rPr>
        <w:t>income sector in its service territory.</w:t>
      </w:r>
      <w:r w:rsidR="00E02D6B" w:rsidRPr="00C060FF">
        <w:rPr>
          <w:sz w:val="26"/>
          <w:szCs w:val="26"/>
          <w:vertAlign w:val="superscript"/>
        </w:rPr>
        <w:footnoteReference w:id="95"/>
      </w:r>
      <w:r w:rsidR="00E02D6B" w:rsidRPr="00C060FF">
        <w:rPr>
          <w:sz w:val="26"/>
          <w:szCs w:val="26"/>
        </w:rPr>
        <w:t xml:space="preserve">  </w:t>
      </w:r>
      <w:r w:rsidR="00E02D6B">
        <w:rPr>
          <w:sz w:val="26"/>
          <w:szCs w:val="26"/>
        </w:rPr>
        <w:t>P</w:t>
      </w:r>
      <w:r w:rsidR="00096F2B">
        <w:rPr>
          <w:sz w:val="26"/>
          <w:szCs w:val="26"/>
        </w:rPr>
        <w:t xml:space="preserve">enn Power </w:t>
      </w:r>
      <w:r w:rsidR="00E02D6B" w:rsidRPr="00C060FF">
        <w:rPr>
          <w:sz w:val="26"/>
          <w:szCs w:val="26"/>
        </w:rPr>
        <w:t xml:space="preserve">reports, in its PY7 Final Annual Report, it attained a TRM-verified reduction of </w:t>
      </w:r>
      <w:r w:rsidR="00096F2B">
        <w:rPr>
          <w:sz w:val="26"/>
          <w:szCs w:val="26"/>
        </w:rPr>
        <w:t>12,713</w:t>
      </w:r>
      <w:r w:rsidR="00E02D6B" w:rsidRPr="00C060FF">
        <w:rPr>
          <w:sz w:val="26"/>
          <w:szCs w:val="26"/>
        </w:rPr>
        <w:t xml:space="preserve"> MWh from the low</w:t>
      </w:r>
      <w:r w:rsidR="003B63F6">
        <w:rPr>
          <w:sz w:val="26"/>
          <w:szCs w:val="26"/>
        </w:rPr>
        <w:noBreakHyphen/>
      </w:r>
      <w:r w:rsidR="00E02D6B" w:rsidRPr="00C060FF">
        <w:rPr>
          <w:sz w:val="26"/>
          <w:szCs w:val="26"/>
        </w:rPr>
        <w:t>income sector.</w:t>
      </w:r>
      <w:r w:rsidR="00E02D6B" w:rsidRPr="00C060FF">
        <w:rPr>
          <w:sz w:val="26"/>
          <w:szCs w:val="26"/>
          <w:vertAlign w:val="superscript"/>
        </w:rPr>
        <w:footnoteReference w:id="96"/>
      </w:r>
      <w:r w:rsidR="00E02D6B" w:rsidRPr="00C060FF">
        <w:rPr>
          <w:sz w:val="26"/>
          <w:szCs w:val="26"/>
        </w:rPr>
        <w:t xml:space="preserve"> </w:t>
      </w:r>
      <w:r w:rsidR="003B63F6">
        <w:rPr>
          <w:sz w:val="26"/>
          <w:szCs w:val="26"/>
        </w:rPr>
        <w:t xml:space="preserve"> </w:t>
      </w:r>
      <w:r w:rsidR="00E02D6B" w:rsidRPr="00C060FF">
        <w:rPr>
          <w:sz w:val="26"/>
          <w:szCs w:val="26"/>
        </w:rPr>
        <w:t xml:space="preserve">In its </w:t>
      </w:r>
      <w:r w:rsidR="0066082E">
        <w:rPr>
          <w:sz w:val="26"/>
          <w:szCs w:val="26"/>
        </w:rPr>
        <w:t>Amended</w:t>
      </w:r>
      <w:r w:rsidR="00BD3FB1">
        <w:rPr>
          <w:sz w:val="26"/>
          <w:szCs w:val="26"/>
        </w:rPr>
        <w:t xml:space="preserve"> </w:t>
      </w:r>
      <w:r w:rsidR="00E02D6B" w:rsidRPr="00C060FF">
        <w:rPr>
          <w:sz w:val="26"/>
          <w:szCs w:val="26"/>
        </w:rPr>
        <w:t xml:space="preserve">Phase II Final Annual Report, the SWE validates </w:t>
      </w:r>
      <w:r w:rsidR="00E02D6B">
        <w:rPr>
          <w:sz w:val="26"/>
          <w:szCs w:val="26"/>
        </w:rPr>
        <w:t>P</w:t>
      </w:r>
      <w:r w:rsidR="00096F2B">
        <w:rPr>
          <w:sz w:val="26"/>
          <w:szCs w:val="26"/>
        </w:rPr>
        <w:t>enn Power</w:t>
      </w:r>
      <w:r w:rsidR="00E02D6B">
        <w:rPr>
          <w:sz w:val="26"/>
          <w:szCs w:val="26"/>
        </w:rPr>
        <w:t>’s</w:t>
      </w:r>
      <w:r w:rsidR="00E02D6B" w:rsidRPr="00C060FF">
        <w:rPr>
          <w:sz w:val="26"/>
          <w:szCs w:val="26"/>
        </w:rPr>
        <w:t xml:space="preserve"> reported TRM-verified savings of </w:t>
      </w:r>
      <w:r w:rsidR="00096F2B">
        <w:rPr>
          <w:sz w:val="26"/>
          <w:szCs w:val="26"/>
        </w:rPr>
        <w:t>12,713</w:t>
      </w:r>
      <w:r w:rsidR="00E02D6B" w:rsidRPr="00C060FF">
        <w:rPr>
          <w:sz w:val="26"/>
          <w:szCs w:val="26"/>
        </w:rPr>
        <w:t xml:space="preserve"> MWh and notes that this </w:t>
      </w:r>
      <w:r w:rsidR="00E02D6B" w:rsidRPr="00C060FF">
        <w:rPr>
          <w:sz w:val="26"/>
          <w:szCs w:val="26"/>
        </w:rPr>
        <w:lastRenderedPageBreak/>
        <w:t xml:space="preserve">amounts to </w:t>
      </w:r>
      <w:r w:rsidR="00096F2B">
        <w:rPr>
          <w:sz w:val="26"/>
          <w:szCs w:val="26"/>
        </w:rPr>
        <w:t>296</w:t>
      </w:r>
      <w:r w:rsidR="00E02D6B" w:rsidRPr="00C060FF">
        <w:rPr>
          <w:sz w:val="26"/>
          <w:szCs w:val="26"/>
        </w:rPr>
        <w:t xml:space="preserve">% of </w:t>
      </w:r>
      <w:r w:rsidR="00E02D6B">
        <w:rPr>
          <w:sz w:val="26"/>
          <w:szCs w:val="26"/>
        </w:rPr>
        <w:t>P</w:t>
      </w:r>
      <w:r w:rsidR="00096F2B">
        <w:rPr>
          <w:sz w:val="26"/>
          <w:szCs w:val="26"/>
        </w:rPr>
        <w:t>enn Power</w:t>
      </w:r>
      <w:r w:rsidR="00E02D6B" w:rsidRPr="00C060FF">
        <w:rPr>
          <w:sz w:val="26"/>
          <w:szCs w:val="26"/>
        </w:rPr>
        <w:t>’s low</w:t>
      </w:r>
      <w:r w:rsidR="003B63F6">
        <w:rPr>
          <w:sz w:val="26"/>
          <w:szCs w:val="26"/>
        </w:rPr>
        <w:noBreakHyphen/>
      </w:r>
      <w:r w:rsidR="00E02D6B" w:rsidRPr="00C060FF">
        <w:rPr>
          <w:sz w:val="26"/>
          <w:szCs w:val="26"/>
        </w:rPr>
        <w:t>income consumption reduction requirement.</w:t>
      </w:r>
      <w:r w:rsidR="00E02D6B" w:rsidRPr="00C060FF">
        <w:rPr>
          <w:sz w:val="26"/>
          <w:szCs w:val="26"/>
          <w:vertAlign w:val="superscript"/>
        </w:rPr>
        <w:footnoteReference w:id="97"/>
      </w:r>
      <w:r w:rsidR="00E02D6B" w:rsidRPr="00C060FF">
        <w:rPr>
          <w:sz w:val="26"/>
          <w:szCs w:val="26"/>
        </w:rPr>
        <w:t xml:space="preserve">  The Commission agrees with the TRM-verified savings from the low</w:t>
      </w:r>
      <w:r w:rsidR="003B63F6">
        <w:rPr>
          <w:sz w:val="26"/>
          <w:szCs w:val="26"/>
        </w:rPr>
        <w:noBreakHyphen/>
      </w:r>
      <w:r w:rsidR="00E02D6B" w:rsidRPr="00C060FF">
        <w:rPr>
          <w:sz w:val="26"/>
          <w:szCs w:val="26"/>
        </w:rPr>
        <w:t xml:space="preserve">income sector reported by </w:t>
      </w:r>
      <w:r w:rsidR="00E02D6B">
        <w:rPr>
          <w:sz w:val="26"/>
          <w:szCs w:val="26"/>
        </w:rPr>
        <w:t>P</w:t>
      </w:r>
      <w:r w:rsidR="00096F2B">
        <w:rPr>
          <w:sz w:val="26"/>
          <w:szCs w:val="26"/>
        </w:rPr>
        <w:t>enn Power</w:t>
      </w:r>
      <w:r w:rsidR="00E02D6B" w:rsidRPr="00C060FF">
        <w:rPr>
          <w:sz w:val="26"/>
          <w:szCs w:val="26"/>
        </w:rPr>
        <w:t xml:space="preserve"> and confirmed by the SWE and deems </w:t>
      </w:r>
      <w:r w:rsidR="00E02D6B">
        <w:rPr>
          <w:sz w:val="26"/>
          <w:szCs w:val="26"/>
        </w:rPr>
        <w:t>P</w:t>
      </w:r>
      <w:r w:rsidR="00096F2B">
        <w:rPr>
          <w:sz w:val="26"/>
          <w:szCs w:val="26"/>
        </w:rPr>
        <w:t>enn Power</w:t>
      </w:r>
      <w:r w:rsidR="00E02D6B" w:rsidRPr="00C060FF">
        <w:rPr>
          <w:sz w:val="26"/>
          <w:szCs w:val="26"/>
        </w:rPr>
        <w:t xml:space="preserve"> to be in compliance with the low</w:t>
      </w:r>
      <w:r w:rsidR="003B63F6">
        <w:rPr>
          <w:sz w:val="26"/>
          <w:szCs w:val="26"/>
        </w:rPr>
        <w:noBreakHyphen/>
      </w:r>
      <w:r w:rsidR="00E02D6B" w:rsidRPr="00C060FF">
        <w:rPr>
          <w:sz w:val="26"/>
          <w:szCs w:val="26"/>
        </w:rPr>
        <w:t>income consumption reduction requirement.</w:t>
      </w:r>
    </w:p>
    <w:p w:rsidR="00FC05AC" w:rsidRDefault="00FC05AC" w:rsidP="00415B77">
      <w:pPr>
        <w:pStyle w:val="p3"/>
        <w:tabs>
          <w:tab w:val="clear" w:pos="204"/>
        </w:tabs>
        <w:spacing w:line="360" w:lineRule="auto"/>
        <w:rPr>
          <w:sz w:val="26"/>
          <w:szCs w:val="26"/>
        </w:rPr>
      </w:pPr>
    </w:p>
    <w:p w:rsidR="00E56256" w:rsidRDefault="00E56256" w:rsidP="00415B77">
      <w:pPr>
        <w:pStyle w:val="p3"/>
        <w:tabs>
          <w:tab w:val="clear" w:pos="204"/>
        </w:tabs>
        <w:spacing w:line="360" w:lineRule="auto"/>
        <w:rPr>
          <w:sz w:val="26"/>
          <w:szCs w:val="26"/>
        </w:rPr>
      </w:pPr>
      <w:r>
        <w:rPr>
          <w:sz w:val="26"/>
          <w:szCs w:val="26"/>
        </w:rPr>
        <w:tab/>
      </w:r>
      <w:r>
        <w:rPr>
          <w:sz w:val="26"/>
          <w:szCs w:val="26"/>
        </w:rPr>
        <w:tab/>
      </w:r>
      <w:r>
        <w:rPr>
          <w:b/>
          <w:sz w:val="26"/>
          <w:szCs w:val="26"/>
        </w:rPr>
        <w:t>f.</w:t>
      </w:r>
      <w:r>
        <w:rPr>
          <w:b/>
          <w:sz w:val="26"/>
          <w:szCs w:val="26"/>
        </w:rPr>
        <w:tab/>
        <w:t>PPL</w:t>
      </w:r>
    </w:p>
    <w:p w:rsidR="0037160E" w:rsidRDefault="0037160E" w:rsidP="0037160E">
      <w:pPr>
        <w:pStyle w:val="p3"/>
        <w:tabs>
          <w:tab w:val="clear" w:pos="204"/>
        </w:tabs>
        <w:spacing w:line="360" w:lineRule="auto"/>
        <w:rPr>
          <w:sz w:val="26"/>
          <w:szCs w:val="26"/>
        </w:rPr>
      </w:pPr>
      <w:r>
        <w:rPr>
          <w:sz w:val="26"/>
          <w:szCs w:val="26"/>
        </w:rPr>
        <w:tab/>
      </w:r>
      <w:r w:rsidR="00096F2B">
        <w:rPr>
          <w:sz w:val="26"/>
          <w:szCs w:val="26"/>
        </w:rPr>
        <w:t>PPL</w:t>
      </w:r>
      <w:r w:rsidR="00096F2B" w:rsidRPr="00C060FF">
        <w:rPr>
          <w:sz w:val="26"/>
          <w:szCs w:val="26"/>
        </w:rPr>
        <w:t xml:space="preserve"> was required to obtain </w:t>
      </w:r>
      <w:r w:rsidR="00096F2B">
        <w:rPr>
          <w:sz w:val="26"/>
          <w:szCs w:val="26"/>
        </w:rPr>
        <w:t>36,948</w:t>
      </w:r>
      <w:r w:rsidR="00096F2B" w:rsidRPr="00C060FF">
        <w:rPr>
          <w:sz w:val="26"/>
          <w:szCs w:val="26"/>
        </w:rPr>
        <w:t xml:space="preserve"> MWh of its total electric consumption reduction from the low</w:t>
      </w:r>
      <w:r w:rsidR="003B63F6">
        <w:rPr>
          <w:sz w:val="26"/>
          <w:szCs w:val="26"/>
        </w:rPr>
        <w:noBreakHyphen/>
      </w:r>
      <w:r w:rsidR="00096F2B" w:rsidRPr="00C060FF">
        <w:rPr>
          <w:sz w:val="26"/>
          <w:szCs w:val="26"/>
        </w:rPr>
        <w:t>income sector in its service territory.</w:t>
      </w:r>
      <w:r w:rsidR="00096F2B" w:rsidRPr="00C060FF">
        <w:rPr>
          <w:sz w:val="26"/>
          <w:szCs w:val="26"/>
          <w:vertAlign w:val="superscript"/>
        </w:rPr>
        <w:footnoteReference w:id="98"/>
      </w:r>
      <w:r w:rsidR="00096F2B" w:rsidRPr="00C060FF">
        <w:rPr>
          <w:sz w:val="26"/>
          <w:szCs w:val="26"/>
        </w:rPr>
        <w:t xml:space="preserve">  </w:t>
      </w:r>
      <w:r w:rsidR="00096F2B">
        <w:rPr>
          <w:sz w:val="26"/>
          <w:szCs w:val="26"/>
        </w:rPr>
        <w:t>PPL</w:t>
      </w:r>
      <w:r w:rsidR="00096F2B" w:rsidRPr="00C060FF">
        <w:rPr>
          <w:sz w:val="26"/>
          <w:szCs w:val="26"/>
        </w:rPr>
        <w:t xml:space="preserve"> reports, in its PY7 Final Annual Report, it attained a TRM-verified reduction of </w:t>
      </w:r>
      <w:r w:rsidR="00B01933">
        <w:rPr>
          <w:sz w:val="26"/>
          <w:szCs w:val="26"/>
        </w:rPr>
        <w:t>58,</w:t>
      </w:r>
      <w:r w:rsidR="00096F2B">
        <w:rPr>
          <w:sz w:val="26"/>
          <w:szCs w:val="26"/>
        </w:rPr>
        <w:t>703</w:t>
      </w:r>
      <w:r w:rsidR="00096F2B" w:rsidRPr="00C060FF">
        <w:rPr>
          <w:sz w:val="26"/>
          <w:szCs w:val="26"/>
        </w:rPr>
        <w:t xml:space="preserve"> MWh from the low</w:t>
      </w:r>
      <w:r w:rsidR="003B63F6">
        <w:rPr>
          <w:sz w:val="26"/>
          <w:szCs w:val="26"/>
        </w:rPr>
        <w:noBreakHyphen/>
      </w:r>
      <w:r w:rsidR="00096F2B" w:rsidRPr="00C060FF">
        <w:rPr>
          <w:sz w:val="26"/>
          <w:szCs w:val="26"/>
        </w:rPr>
        <w:t>income sector.</w:t>
      </w:r>
      <w:r w:rsidR="00096F2B" w:rsidRPr="00C060FF">
        <w:rPr>
          <w:sz w:val="26"/>
          <w:szCs w:val="26"/>
          <w:vertAlign w:val="superscript"/>
        </w:rPr>
        <w:footnoteReference w:id="99"/>
      </w:r>
      <w:r w:rsidR="00096F2B" w:rsidRPr="00C060FF">
        <w:rPr>
          <w:sz w:val="26"/>
          <w:szCs w:val="26"/>
        </w:rPr>
        <w:t xml:space="preserve"> </w:t>
      </w:r>
      <w:r w:rsidR="003B63F6">
        <w:rPr>
          <w:sz w:val="26"/>
          <w:szCs w:val="26"/>
        </w:rPr>
        <w:t xml:space="preserve"> </w:t>
      </w:r>
      <w:r w:rsidR="00096F2B" w:rsidRPr="00C060FF">
        <w:rPr>
          <w:sz w:val="26"/>
          <w:szCs w:val="26"/>
        </w:rPr>
        <w:t xml:space="preserve">In its </w:t>
      </w:r>
      <w:r w:rsidR="0066082E">
        <w:rPr>
          <w:sz w:val="26"/>
          <w:szCs w:val="26"/>
        </w:rPr>
        <w:t>Amended</w:t>
      </w:r>
      <w:r w:rsidR="00FB4D8E">
        <w:rPr>
          <w:sz w:val="26"/>
          <w:szCs w:val="26"/>
        </w:rPr>
        <w:t xml:space="preserve"> </w:t>
      </w:r>
      <w:r w:rsidR="00096F2B" w:rsidRPr="00C060FF">
        <w:rPr>
          <w:sz w:val="26"/>
          <w:szCs w:val="26"/>
        </w:rPr>
        <w:t xml:space="preserve">Phase II Final Annual Report, the SWE validates </w:t>
      </w:r>
      <w:r w:rsidR="00096F2B">
        <w:rPr>
          <w:sz w:val="26"/>
          <w:szCs w:val="26"/>
        </w:rPr>
        <w:t>PPL’s</w:t>
      </w:r>
      <w:r w:rsidR="00096F2B" w:rsidRPr="00C060FF">
        <w:rPr>
          <w:sz w:val="26"/>
          <w:szCs w:val="26"/>
        </w:rPr>
        <w:t xml:space="preserve"> reported TRM-verified savings of </w:t>
      </w:r>
      <w:r w:rsidR="00096F2B">
        <w:rPr>
          <w:sz w:val="26"/>
          <w:szCs w:val="26"/>
        </w:rPr>
        <w:t>58,703</w:t>
      </w:r>
      <w:r w:rsidR="00096F2B" w:rsidRPr="00C060FF">
        <w:rPr>
          <w:sz w:val="26"/>
          <w:szCs w:val="26"/>
        </w:rPr>
        <w:t xml:space="preserve"> MWh and notes that this amounts to </w:t>
      </w:r>
      <w:r w:rsidR="00096F2B">
        <w:rPr>
          <w:sz w:val="26"/>
          <w:szCs w:val="26"/>
        </w:rPr>
        <w:t>159% of PPL</w:t>
      </w:r>
      <w:r w:rsidR="00096F2B" w:rsidRPr="00C060FF">
        <w:rPr>
          <w:sz w:val="26"/>
          <w:szCs w:val="26"/>
        </w:rPr>
        <w:t>’s low</w:t>
      </w:r>
      <w:r w:rsidR="003B63F6">
        <w:rPr>
          <w:sz w:val="26"/>
          <w:szCs w:val="26"/>
        </w:rPr>
        <w:noBreakHyphen/>
      </w:r>
      <w:r w:rsidR="00096F2B" w:rsidRPr="00C060FF">
        <w:rPr>
          <w:sz w:val="26"/>
          <w:szCs w:val="26"/>
        </w:rPr>
        <w:t>income consumption reduction requirement.</w:t>
      </w:r>
      <w:r w:rsidR="00096F2B" w:rsidRPr="00C060FF">
        <w:rPr>
          <w:sz w:val="26"/>
          <w:szCs w:val="26"/>
          <w:vertAlign w:val="superscript"/>
        </w:rPr>
        <w:footnoteReference w:id="100"/>
      </w:r>
      <w:r w:rsidR="00096F2B" w:rsidRPr="00C060FF">
        <w:rPr>
          <w:sz w:val="26"/>
          <w:szCs w:val="26"/>
        </w:rPr>
        <w:t xml:space="preserve">  The Commission agrees with the TRM-verified savings from the low</w:t>
      </w:r>
      <w:r w:rsidR="003B63F6">
        <w:rPr>
          <w:sz w:val="26"/>
          <w:szCs w:val="26"/>
        </w:rPr>
        <w:noBreakHyphen/>
      </w:r>
      <w:r w:rsidR="00096F2B" w:rsidRPr="00C060FF">
        <w:rPr>
          <w:sz w:val="26"/>
          <w:szCs w:val="26"/>
        </w:rPr>
        <w:t xml:space="preserve">income sector reported by </w:t>
      </w:r>
      <w:r w:rsidR="00096F2B">
        <w:rPr>
          <w:sz w:val="26"/>
          <w:szCs w:val="26"/>
        </w:rPr>
        <w:t>PPL</w:t>
      </w:r>
      <w:r w:rsidR="00096F2B" w:rsidRPr="00C060FF">
        <w:rPr>
          <w:sz w:val="26"/>
          <w:szCs w:val="26"/>
        </w:rPr>
        <w:t xml:space="preserve"> and confirmed by the SWE and deems </w:t>
      </w:r>
      <w:r w:rsidR="00096F2B">
        <w:rPr>
          <w:sz w:val="26"/>
          <w:szCs w:val="26"/>
        </w:rPr>
        <w:t>PPL</w:t>
      </w:r>
      <w:r w:rsidR="00096F2B" w:rsidRPr="00C060FF">
        <w:rPr>
          <w:sz w:val="26"/>
          <w:szCs w:val="26"/>
        </w:rPr>
        <w:t xml:space="preserve"> to be in compliance with the low</w:t>
      </w:r>
      <w:r w:rsidR="003B63F6">
        <w:rPr>
          <w:sz w:val="26"/>
          <w:szCs w:val="26"/>
        </w:rPr>
        <w:noBreakHyphen/>
      </w:r>
      <w:r w:rsidR="00096F2B" w:rsidRPr="00C060FF">
        <w:rPr>
          <w:sz w:val="26"/>
          <w:szCs w:val="26"/>
        </w:rPr>
        <w:t>income consumption reduction requirement.</w:t>
      </w:r>
    </w:p>
    <w:p w:rsidR="008003E5" w:rsidRDefault="008003E5" w:rsidP="0037160E">
      <w:pPr>
        <w:pStyle w:val="p3"/>
        <w:tabs>
          <w:tab w:val="clear" w:pos="204"/>
        </w:tabs>
        <w:spacing w:line="360" w:lineRule="auto"/>
        <w:rPr>
          <w:sz w:val="26"/>
          <w:szCs w:val="26"/>
        </w:rPr>
      </w:pPr>
    </w:p>
    <w:p w:rsidR="00E56256" w:rsidRDefault="00E56256" w:rsidP="0037160E">
      <w:pPr>
        <w:pStyle w:val="p3"/>
        <w:tabs>
          <w:tab w:val="clear" w:pos="204"/>
        </w:tabs>
        <w:spacing w:line="360" w:lineRule="auto"/>
        <w:rPr>
          <w:sz w:val="26"/>
          <w:szCs w:val="26"/>
        </w:rPr>
      </w:pPr>
      <w:r>
        <w:rPr>
          <w:sz w:val="26"/>
          <w:szCs w:val="26"/>
        </w:rPr>
        <w:tab/>
      </w:r>
      <w:r>
        <w:rPr>
          <w:sz w:val="26"/>
          <w:szCs w:val="26"/>
        </w:rPr>
        <w:tab/>
      </w:r>
      <w:r>
        <w:rPr>
          <w:b/>
          <w:sz w:val="26"/>
          <w:szCs w:val="26"/>
        </w:rPr>
        <w:t>g.</w:t>
      </w:r>
      <w:r>
        <w:rPr>
          <w:b/>
          <w:sz w:val="26"/>
          <w:szCs w:val="26"/>
        </w:rPr>
        <w:tab/>
        <w:t>West Penn</w:t>
      </w:r>
    </w:p>
    <w:p w:rsidR="00B1370E" w:rsidRDefault="005516EC" w:rsidP="00415B77">
      <w:pPr>
        <w:pStyle w:val="p3"/>
        <w:tabs>
          <w:tab w:val="clear" w:pos="204"/>
        </w:tabs>
        <w:spacing w:line="360" w:lineRule="auto"/>
        <w:rPr>
          <w:sz w:val="26"/>
          <w:szCs w:val="26"/>
        </w:rPr>
      </w:pPr>
      <w:r>
        <w:rPr>
          <w:sz w:val="26"/>
          <w:szCs w:val="26"/>
        </w:rPr>
        <w:tab/>
      </w:r>
      <w:r w:rsidR="00096F2B">
        <w:rPr>
          <w:sz w:val="26"/>
          <w:szCs w:val="26"/>
        </w:rPr>
        <w:t>West Penn</w:t>
      </w:r>
      <w:r w:rsidR="00096F2B" w:rsidRPr="00C060FF">
        <w:rPr>
          <w:sz w:val="26"/>
          <w:szCs w:val="26"/>
        </w:rPr>
        <w:t xml:space="preserve"> was required to obtain </w:t>
      </w:r>
      <w:r w:rsidR="00B01933">
        <w:rPr>
          <w:sz w:val="26"/>
          <w:szCs w:val="26"/>
        </w:rPr>
        <w:t>15,189</w:t>
      </w:r>
      <w:r w:rsidR="00096F2B" w:rsidRPr="00C060FF">
        <w:rPr>
          <w:sz w:val="26"/>
          <w:szCs w:val="26"/>
        </w:rPr>
        <w:t xml:space="preserve"> MWh of its total electric consumption reduction from the low</w:t>
      </w:r>
      <w:r w:rsidR="003B63F6">
        <w:rPr>
          <w:sz w:val="26"/>
          <w:szCs w:val="26"/>
        </w:rPr>
        <w:noBreakHyphen/>
      </w:r>
      <w:r w:rsidR="00096F2B" w:rsidRPr="00C060FF">
        <w:rPr>
          <w:sz w:val="26"/>
          <w:szCs w:val="26"/>
        </w:rPr>
        <w:t>income sector in its service territory.</w:t>
      </w:r>
      <w:r w:rsidR="00096F2B" w:rsidRPr="00C060FF">
        <w:rPr>
          <w:sz w:val="26"/>
          <w:szCs w:val="26"/>
          <w:vertAlign w:val="superscript"/>
        </w:rPr>
        <w:footnoteReference w:id="101"/>
      </w:r>
      <w:r w:rsidR="00096F2B" w:rsidRPr="00C060FF">
        <w:rPr>
          <w:sz w:val="26"/>
          <w:szCs w:val="26"/>
        </w:rPr>
        <w:t xml:space="preserve">  </w:t>
      </w:r>
      <w:r w:rsidR="00096F2B">
        <w:rPr>
          <w:sz w:val="26"/>
          <w:szCs w:val="26"/>
        </w:rPr>
        <w:t>West Penn</w:t>
      </w:r>
      <w:r w:rsidR="00096F2B" w:rsidRPr="00C060FF">
        <w:rPr>
          <w:sz w:val="26"/>
          <w:szCs w:val="26"/>
        </w:rPr>
        <w:t xml:space="preserve"> reports, in its PY7 Final Annual Report, it attained a TRM-verified reduction of </w:t>
      </w:r>
      <w:r w:rsidR="00B01933">
        <w:rPr>
          <w:sz w:val="26"/>
          <w:szCs w:val="26"/>
        </w:rPr>
        <w:t>37,513</w:t>
      </w:r>
      <w:r w:rsidR="00096F2B" w:rsidRPr="00C060FF">
        <w:rPr>
          <w:sz w:val="26"/>
          <w:szCs w:val="26"/>
        </w:rPr>
        <w:t xml:space="preserve"> MWh from the low</w:t>
      </w:r>
      <w:r w:rsidR="003B63F6">
        <w:rPr>
          <w:sz w:val="26"/>
          <w:szCs w:val="26"/>
        </w:rPr>
        <w:noBreakHyphen/>
      </w:r>
      <w:r w:rsidR="00096F2B" w:rsidRPr="00C060FF">
        <w:rPr>
          <w:sz w:val="26"/>
          <w:szCs w:val="26"/>
        </w:rPr>
        <w:t>income sector.</w:t>
      </w:r>
      <w:r w:rsidR="00096F2B" w:rsidRPr="00C060FF">
        <w:rPr>
          <w:sz w:val="26"/>
          <w:szCs w:val="26"/>
          <w:vertAlign w:val="superscript"/>
        </w:rPr>
        <w:footnoteReference w:id="102"/>
      </w:r>
      <w:r w:rsidR="00096F2B" w:rsidRPr="00C060FF">
        <w:rPr>
          <w:sz w:val="26"/>
          <w:szCs w:val="26"/>
        </w:rPr>
        <w:t xml:space="preserve"> </w:t>
      </w:r>
      <w:r w:rsidR="003B63F6">
        <w:rPr>
          <w:sz w:val="26"/>
          <w:szCs w:val="26"/>
        </w:rPr>
        <w:t xml:space="preserve"> </w:t>
      </w:r>
      <w:r w:rsidR="00096F2B" w:rsidRPr="00C060FF">
        <w:rPr>
          <w:sz w:val="26"/>
          <w:szCs w:val="26"/>
        </w:rPr>
        <w:t xml:space="preserve">In its </w:t>
      </w:r>
      <w:r w:rsidR="0066082E">
        <w:rPr>
          <w:sz w:val="26"/>
          <w:szCs w:val="26"/>
        </w:rPr>
        <w:t>Amended</w:t>
      </w:r>
      <w:r w:rsidR="00FB4D8E">
        <w:rPr>
          <w:sz w:val="26"/>
          <w:szCs w:val="26"/>
        </w:rPr>
        <w:t xml:space="preserve"> </w:t>
      </w:r>
      <w:r w:rsidR="00096F2B" w:rsidRPr="00C060FF">
        <w:rPr>
          <w:sz w:val="26"/>
          <w:szCs w:val="26"/>
        </w:rPr>
        <w:t xml:space="preserve">Phase II Final Annual Report, the SWE validates </w:t>
      </w:r>
      <w:r w:rsidR="00096F2B">
        <w:rPr>
          <w:sz w:val="26"/>
          <w:szCs w:val="26"/>
        </w:rPr>
        <w:t>West Penn’s</w:t>
      </w:r>
      <w:r w:rsidR="00096F2B" w:rsidRPr="00C060FF">
        <w:rPr>
          <w:sz w:val="26"/>
          <w:szCs w:val="26"/>
        </w:rPr>
        <w:t xml:space="preserve"> reported TRM-verified savings of </w:t>
      </w:r>
      <w:r w:rsidR="00B01933">
        <w:rPr>
          <w:sz w:val="26"/>
          <w:szCs w:val="26"/>
        </w:rPr>
        <w:t>37,513</w:t>
      </w:r>
      <w:r w:rsidR="00096F2B" w:rsidRPr="00C060FF">
        <w:rPr>
          <w:sz w:val="26"/>
          <w:szCs w:val="26"/>
        </w:rPr>
        <w:t xml:space="preserve"> MWh and notes that this amounts </w:t>
      </w:r>
      <w:r w:rsidR="00096F2B" w:rsidRPr="00C060FF">
        <w:rPr>
          <w:sz w:val="26"/>
          <w:szCs w:val="26"/>
        </w:rPr>
        <w:lastRenderedPageBreak/>
        <w:t xml:space="preserve">to </w:t>
      </w:r>
      <w:r w:rsidR="00B01933">
        <w:rPr>
          <w:sz w:val="26"/>
          <w:szCs w:val="26"/>
        </w:rPr>
        <w:t>247</w:t>
      </w:r>
      <w:r w:rsidR="00096F2B">
        <w:rPr>
          <w:sz w:val="26"/>
          <w:szCs w:val="26"/>
        </w:rPr>
        <w:t>% of West Penn</w:t>
      </w:r>
      <w:r w:rsidR="00096F2B" w:rsidRPr="00C060FF">
        <w:rPr>
          <w:sz w:val="26"/>
          <w:szCs w:val="26"/>
        </w:rPr>
        <w:t>’s low</w:t>
      </w:r>
      <w:r w:rsidR="003B63F6">
        <w:rPr>
          <w:sz w:val="26"/>
          <w:szCs w:val="26"/>
        </w:rPr>
        <w:noBreakHyphen/>
      </w:r>
      <w:r w:rsidR="00096F2B" w:rsidRPr="00C060FF">
        <w:rPr>
          <w:sz w:val="26"/>
          <w:szCs w:val="26"/>
        </w:rPr>
        <w:t>income consumption reduction requirement.</w:t>
      </w:r>
      <w:r w:rsidR="00096F2B" w:rsidRPr="00C060FF">
        <w:rPr>
          <w:sz w:val="26"/>
          <w:szCs w:val="26"/>
          <w:vertAlign w:val="superscript"/>
        </w:rPr>
        <w:footnoteReference w:id="103"/>
      </w:r>
      <w:r w:rsidR="00096F2B" w:rsidRPr="00C060FF">
        <w:rPr>
          <w:sz w:val="26"/>
          <w:szCs w:val="26"/>
        </w:rPr>
        <w:t xml:space="preserve">  The Commission agrees with the TRM-verified savings from the low</w:t>
      </w:r>
      <w:r w:rsidR="003B63F6">
        <w:rPr>
          <w:sz w:val="26"/>
          <w:szCs w:val="26"/>
        </w:rPr>
        <w:noBreakHyphen/>
      </w:r>
      <w:r w:rsidR="00096F2B" w:rsidRPr="00C060FF">
        <w:rPr>
          <w:sz w:val="26"/>
          <w:szCs w:val="26"/>
        </w:rPr>
        <w:t xml:space="preserve">income sector reported by </w:t>
      </w:r>
      <w:r w:rsidR="00096F2B">
        <w:rPr>
          <w:sz w:val="26"/>
          <w:szCs w:val="26"/>
        </w:rPr>
        <w:t>West Penn</w:t>
      </w:r>
      <w:r w:rsidR="00096F2B" w:rsidRPr="00C060FF">
        <w:rPr>
          <w:sz w:val="26"/>
          <w:szCs w:val="26"/>
        </w:rPr>
        <w:t xml:space="preserve"> and confirmed by the SWE and deems </w:t>
      </w:r>
      <w:r w:rsidR="00096F2B">
        <w:rPr>
          <w:sz w:val="26"/>
          <w:szCs w:val="26"/>
        </w:rPr>
        <w:t>West Penn</w:t>
      </w:r>
      <w:r w:rsidR="00096F2B" w:rsidRPr="00C060FF">
        <w:rPr>
          <w:sz w:val="26"/>
          <w:szCs w:val="26"/>
        </w:rPr>
        <w:t xml:space="preserve"> to be in compliance with the low</w:t>
      </w:r>
      <w:r w:rsidR="003B63F6">
        <w:rPr>
          <w:sz w:val="26"/>
          <w:szCs w:val="26"/>
        </w:rPr>
        <w:noBreakHyphen/>
      </w:r>
      <w:r w:rsidR="00096F2B" w:rsidRPr="00C060FF">
        <w:rPr>
          <w:sz w:val="26"/>
          <w:szCs w:val="26"/>
        </w:rPr>
        <w:t>income consumption reduction requirement.</w:t>
      </w:r>
    </w:p>
    <w:p w:rsidR="00B1370E" w:rsidRDefault="00B1370E" w:rsidP="00415B77">
      <w:pPr>
        <w:pStyle w:val="p3"/>
        <w:tabs>
          <w:tab w:val="clear" w:pos="204"/>
        </w:tabs>
        <w:spacing w:line="360" w:lineRule="auto"/>
        <w:rPr>
          <w:sz w:val="26"/>
          <w:szCs w:val="26"/>
        </w:rPr>
      </w:pPr>
    </w:p>
    <w:p w:rsidR="00B1370E" w:rsidRDefault="00B1370E" w:rsidP="00415B77">
      <w:pPr>
        <w:pStyle w:val="p3"/>
        <w:tabs>
          <w:tab w:val="clear" w:pos="204"/>
        </w:tabs>
        <w:spacing w:line="360" w:lineRule="auto"/>
        <w:rPr>
          <w:i/>
          <w:color w:val="FF0000"/>
          <w:sz w:val="26"/>
          <w:szCs w:val="26"/>
        </w:rPr>
      </w:pPr>
      <w:r>
        <w:rPr>
          <w:sz w:val="26"/>
          <w:szCs w:val="26"/>
        </w:rPr>
        <w:tab/>
      </w:r>
      <w:r w:rsidR="007A40CD">
        <w:rPr>
          <w:b/>
          <w:sz w:val="26"/>
          <w:szCs w:val="26"/>
        </w:rPr>
        <w:t>5</w:t>
      </w:r>
      <w:r>
        <w:rPr>
          <w:b/>
          <w:sz w:val="26"/>
          <w:szCs w:val="26"/>
        </w:rPr>
        <w:t>.</w:t>
      </w:r>
      <w:r>
        <w:rPr>
          <w:b/>
          <w:sz w:val="26"/>
          <w:szCs w:val="26"/>
        </w:rPr>
        <w:tab/>
      </w:r>
      <w:r w:rsidR="00E56256">
        <w:rPr>
          <w:b/>
          <w:sz w:val="26"/>
          <w:szCs w:val="26"/>
        </w:rPr>
        <w:t xml:space="preserve">Challenges </w:t>
      </w:r>
      <w:proofErr w:type="gramStart"/>
      <w:r w:rsidR="002A03AC">
        <w:rPr>
          <w:b/>
          <w:sz w:val="26"/>
          <w:szCs w:val="26"/>
        </w:rPr>
        <w:t>T</w:t>
      </w:r>
      <w:r w:rsidR="00E56256">
        <w:rPr>
          <w:b/>
          <w:sz w:val="26"/>
          <w:szCs w:val="26"/>
        </w:rPr>
        <w:t>o</w:t>
      </w:r>
      <w:proofErr w:type="gramEnd"/>
      <w:r w:rsidR="00E56256">
        <w:rPr>
          <w:b/>
          <w:sz w:val="26"/>
          <w:szCs w:val="26"/>
        </w:rPr>
        <w:t xml:space="preserve"> </w:t>
      </w:r>
      <w:r w:rsidR="002A03AC">
        <w:rPr>
          <w:b/>
          <w:sz w:val="26"/>
          <w:szCs w:val="26"/>
        </w:rPr>
        <w:t>T</w:t>
      </w:r>
      <w:r w:rsidR="00E56256">
        <w:rPr>
          <w:b/>
          <w:sz w:val="26"/>
          <w:szCs w:val="26"/>
        </w:rPr>
        <w:t>he Phase I</w:t>
      </w:r>
      <w:r w:rsidR="003A5121">
        <w:rPr>
          <w:b/>
          <w:sz w:val="26"/>
          <w:szCs w:val="26"/>
        </w:rPr>
        <w:t>I</w:t>
      </w:r>
      <w:r w:rsidR="00E56256">
        <w:rPr>
          <w:b/>
          <w:sz w:val="26"/>
          <w:szCs w:val="26"/>
        </w:rPr>
        <w:t xml:space="preserve"> Results</w:t>
      </w:r>
    </w:p>
    <w:p w:rsidR="00524EA5" w:rsidRDefault="00B1370E" w:rsidP="00415B77">
      <w:pPr>
        <w:pStyle w:val="p3"/>
        <w:tabs>
          <w:tab w:val="clear" w:pos="204"/>
        </w:tabs>
        <w:spacing w:line="360" w:lineRule="auto"/>
        <w:rPr>
          <w:sz w:val="26"/>
          <w:szCs w:val="26"/>
        </w:rPr>
      </w:pPr>
      <w:r>
        <w:rPr>
          <w:sz w:val="26"/>
          <w:szCs w:val="26"/>
        </w:rPr>
        <w:tab/>
      </w:r>
      <w:r w:rsidR="008301DE">
        <w:rPr>
          <w:sz w:val="26"/>
          <w:szCs w:val="26"/>
        </w:rPr>
        <w:t>In the April 6, 2017 Order, the Commission directed that i</w:t>
      </w:r>
      <w:r>
        <w:rPr>
          <w:sz w:val="26"/>
          <w:szCs w:val="26"/>
        </w:rPr>
        <w:t>f any party desire</w:t>
      </w:r>
      <w:r w:rsidR="008301DE">
        <w:rPr>
          <w:sz w:val="26"/>
          <w:szCs w:val="26"/>
        </w:rPr>
        <w:t>d</w:t>
      </w:r>
      <w:r>
        <w:rPr>
          <w:sz w:val="26"/>
          <w:szCs w:val="26"/>
        </w:rPr>
        <w:t xml:space="preserve"> to contest the facts the Commission relied upon in making its determinations of compliance contained </w:t>
      </w:r>
      <w:r w:rsidR="008301DE">
        <w:rPr>
          <w:sz w:val="26"/>
          <w:szCs w:val="26"/>
        </w:rPr>
        <w:t>in that Order</w:t>
      </w:r>
      <w:r>
        <w:rPr>
          <w:sz w:val="26"/>
          <w:szCs w:val="26"/>
        </w:rPr>
        <w:t xml:space="preserve">, </w:t>
      </w:r>
      <w:r w:rsidR="00E56256">
        <w:rPr>
          <w:sz w:val="26"/>
          <w:szCs w:val="26"/>
        </w:rPr>
        <w:t>they ha</w:t>
      </w:r>
      <w:r w:rsidR="008301DE">
        <w:rPr>
          <w:sz w:val="26"/>
          <w:szCs w:val="26"/>
        </w:rPr>
        <w:t>d</w:t>
      </w:r>
      <w:r w:rsidRPr="00E56256">
        <w:rPr>
          <w:sz w:val="26"/>
          <w:szCs w:val="26"/>
        </w:rPr>
        <w:t xml:space="preserve"> </w:t>
      </w:r>
      <w:r w:rsidR="00524EA5" w:rsidRPr="00E56256">
        <w:rPr>
          <w:sz w:val="26"/>
          <w:szCs w:val="26"/>
        </w:rPr>
        <w:t>20</w:t>
      </w:r>
      <w:r w:rsidRPr="00E56256">
        <w:rPr>
          <w:sz w:val="26"/>
          <w:szCs w:val="26"/>
        </w:rPr>
        <w:t xml:space="preserve"> days, from the date th</w:t>
      </w:r>
      <w:r w:rsidR="008301DE">
        <w:rPr>
          <w:sz w:val="26"/>
          <w:szCs w:val="26"/>
        </w:rPr>
        <w:t>at</w:t>
      </w:r>
      <w:r w:rsidRPr="00E56256">
        <w:rPr>
          <w:sz w:val="26"/>
          <w:szCs w:val="26"/>
        </w:rPr>
        <w:t xml:space="preserve"> order</w:t>
      </w:r>
      <w:r w:rsidR="00E56256">
        <w:rPr>
          <w:sz w:val="26"/>
          <w:szCs w:val="26"/>
        </w:rPr>
        <w:t xml:space="preserve"> </w:t>
      </w:r>
      <w:r w:rsidR="008301DE">
        <w:rPr>
          <w:sz w:val="26"/>
          <w:szCs w:val="26"/>
        </w:rPr>
        <w:t>wa</w:t>
      </w:r>
      <w:r w:rsidR="00E56256">
        <w:rPr>
          <w:sz w:val="26"/>
          <w:szCs w:val="26"/>
        </w:rPr>
        <w:t>s entered</w:t>
      </w:r>
      <w:r>
        <w:rPr>
          <w:sz w:val="26"/>
          <w:szCs w:val="26"/>
        </w:rPr>
        <w:t xml:space="preserve">, to file a petition </w:t>
      </w:r>
      <w:r w:rsidR="00F356FC">
        <w:rPr>
          <w:sz w:val="26"/>
          <w:szCs w:val="26"/>
        </w:rPr>
        <w:t>in accordance with Section 5.41 of the Commission’s Regulations, 52 Pa. Code §</w:t>
      </w:r>
      <w:r w:rsidR="008301DE">
        <w:rPr>
          <w:sz w:val="26"/>
          <w:szCs w:val="26"/>
        </w:rPr>
        <w:t> </w:t>
      </w:r>
      <w:r w:rsidR="00F356FC">
        <w:rPr>
          <w:sz w:val="26"/>
          <w:szCs w:val="26"/>
        </w:rPr>
        <w:t>5.41.</w:t>
      </w:r>
      <w:r>
        <w:rPr>
          <w:sz w:val="26"/>
          <w:szCs w:val="26"/>
        </w:rPr>
        <w:t xml:space="preserve">  </w:t>
      </w:r>
      <w:r w:rsidR="00F356FC">
        <w:rPr>
          <w:sz w:val="26"/>
          <w:szCs w:val="26"/>
        </w:rPr>
        <w:t xml:space="preserve">Such petitions </w:t>
      </w:r>
      <w:r w:rsidR="008301DE">
        <w:rPr>
          <w:sz w:val="26"/>
          <w:szCs w:val="26"/>
        </w:rPr>
        <w:t>were</w:t>
      </w:r>
      <w:r w:rsidR="00F356FC">
        <w:rPr>
          <w:sz w:val="26"/>
          <w:szCs w:val="26"/>
        </w:rPr>
        <w:t xml:space="preserve"> to reference Docket Nos. </w:t>
      </w:r>
      <w:r w:rsidR="00F356FC" w:rsidRPr="00806EF2">
        <w:rPr>
          <w:sz w:val="26"/>
          <w:szCs w:val="26"/>
        </w:rPr>
        <w:t>M</w:t>
      </w:r>
      <w:r w:rsidR="00090972">
        <w:rPr>
          <w:sz w:val="26"/>
          <w:szCs w:val="26"/>
        </w:rPr>
        <w:noBreakHyphen/>
      </w:r>
      <w:r w:rsidR="00B01933">
        <w:rPr>
          <w:sz w:val="26"/>
          <w:szCs w:val="26"/>
        </w:rPr>
        <w:t>2012</w:t>
      </w:r>
      <w:r w:rsidR="00090972">
        <w:rPr>
          <w:sz w:val="26"/>
          <w:szCs w:val="26"/>
        </w:rPr>
        <w:noBreakHyphen/>
      </w:r>
      <w:r w:rsidR="00B01933">
        <w:rPr>
          <w:sz w:val="26"/>
          <w:szCs w:val="26"/>
        </w:rPr>
        <w:t>2289411</w:t>
      </w:r>
      <w:r w:rsidR="00F356FC">
        <w:rPr>
          <w:sz w:val="26"/>
          <w:szCs w:val="26"/>
        </w:rPr>
        <w:t xml:space="preserve"> and the applicable EDC EE&amp;C plan Phase I</w:t>
      </w:r>
      <w:r w:rsidR="00B01933">
        <w:rPr>
          <w:sz w:val="26"/>
          <w:szCs w:val="26"/>
        </w:rPr>
        <w:t>I</w:t>
      </w:r>
      <w:r w:rsidR="00F356FC">
        <w:rPr>
          <w:sz w:val="26"/>
          <w:szCs w:val="26"/>
        </w:rPr>
        <w:t xml:space="preserve"> Docket.  </w:t>
      </w:r>
      <w:r>
        <w:rPr>
          <w:sz w:val="26"/>
          <w:szCs w:val="26"/>
        </w:rPr>
        <w:t xml:space="preserve">The party contesting the Commission’s </w:t>
      </w:r>
      <w:r w:rsidR="00F356FC">
        <w:rPr>
          <w:sz w:val="26"/>
          <w:szCs w:val="26"/>
        </w:rPr>
        <w:t xml:space="preserve">initial </w:t>
      </w:r>
      <w:r>
        <w:rPr>
          <w:sz w:val="26"/>
          <w:szCs w:val="26"/>
        </w:rPr>
        <w:t xml:space="preserve">compliance determination </w:t>
      </w:r>
      <w:r w:rsidR="008301DE">
        <w:rPr>
          <w:sz w:val="26"/>
          <w:szCs w:val="26"/>
        </w:rPr>
        <w:t>had</w:t>
      </w:r>
      <w:r w:rsidR="00524EA5">
        <w:rPr>
          <w:sz w:val="26"/>
          <w:szCs w:val="26"/>
        </w:rPr>
        <w:t xml:space="preserve"> the burden of proof in accordance with 66 Pa.</w:t>
      </w:r>
      <w:r w:rsidR="00090972">
        <w:rPr>
          <w:sz w:val="26"/>
          <w:szCs w:val="26"/>
        </w:rPr>
        <w:t xml:space="preserve"> </w:t>
      </w:r>
      <w:r w:rsidR="00524EA5">
        <w:rPr>
          <w:sz w:val="26"/>
          <w:szCs w:val="26"/>
        </w:rPr>
        <w:t>C.S. §</w:t>
      </w:r>
      <w:r w:rsidR="00CD381E">
        <w:rPr>
          <w:sz w:val="26"/>
          <w:szCs w:val="26"/>
        </w:rPr>
        <w:t>§ 315 and</w:t>
      </w:r>
      <w:r w:rsidR="00F356FC">
        <w:rPr>
          <w:sz w:val="26"/>
          <w:szCs w:val="26"/>
        </w:rPr>
        <w:t xml:space="preserve"> </w:t>
      </w:r>
      <w:r w:rsidR="00524EA5">
        <w:rPr>
          <w:sz w:val="26"/>
          <w:szCs w:val="26"/>
        </w:rPr>
        <w:t>332(a).  If no parties file</w:t>
      </w:r>
      <w:r w:rsidR="008301DE">
        <w:rPr>
          <w:sz w:val="26"/>
          <w:szCs w:val="26"/>
        </w:rPr>
        <w:t>d</w:t>
      </w:r>
      <w:r w:rsidR="00524EA5">
        <w:rPr>
          <w:sz w:val="26"/>
          <w:szCs w:val="26"/>
        </w:rPr>
        <w:t xml:space="preserve"> a petition within </w:t>
      </w:r>
      <w:r w:rsidR="00524EA5" w:rsidRPr="00F356FC">
        <w:rPr>
          <w:sz w:val="26"/>
          <w:szCs w:val="26"/>
        </w:rPr>
        <w:t xml:space="preserve">20 days of the date </w:t>
      </w:r>
      <w:r w:rsidR="008301DE">
        <w:rPr>
          <w:sz w:val="26"/>
          <w:szCs w:val="26"/>
        </w:rPr>
        <w:t>the April 6, 2017</w:t>
      </w:r>
      <w:r w:rsidR="00524EA5" w:rsidRPr="00F356FC">
        <w:rPr>
          <w:sz w:val="26"/>
          <w:szCs w:val="26"/>
        </w:rPr>
        <w:t xml:space="preserve"> order</w:t>
      </w:r>
      <w:r w:rsidR="00F356FC">
        <w:rPr>
          <w:sz w:val="26"/>
          <w:szCs w:val="26"/>
        </w:rPr>
        <w:t xml:space="preserve"> </w:t>
      </w:r>
      <w:r w:rsidR="008301DE">
        <w:rPr>
          <w:sz w:val="26"/>
          <w:szCs w:val="26"/>
        </w:rPr>
        <w:t>wa</w:t>
      </w:r>
      <w:r w:rsidR="00F356FC">
        <w:rPr>
          <w:sz w:val="26"/>
          <w:szCs w:val="26"/>
        </w:rPr>
        <w:t>s entered</w:t>
      </w:r>
      <w:r w:rsidR="00524EA5">
        <w:rPr>
          <w:sz w:val="26"/>
          <w:szCs w:val="26"/>
        </w:rPr>
        <w:t xml:space="preserve">, the Commission’s </w:t>
      </w:r>
      <w:r w:rsidR="00F356FC">
        <w:rPr>
          <w:sz w:val="26"/>
          <w:szCs w:val="26"/>
        </w:rPr>
        <w:t xml:space="preserve">initial </w:t>
      </w:r>
      <w:r w:rsidR="00524EA5">
        <w:rPr>
          <w:sz w:val="26"/>
          <w:szCs w:val="26"/>
        </w:rPr>
        <w:t xml:space="preserve">compliance determinations for each EDC </w:t>
      </w:r>
      <w:r w:rsidR="008301DE">
        <w:rPr>
          <w:sz w:val="26"/>
          <w:szCs w:val="26"/>
        </w:rPr>
        <w:t>were to</w:t>
      </w:r>
      <w:r w:rsidR="00524EA5">
        <w:rPr>
          <w:sz w:val="26"/>
          <w:szCs w:val="26"/>
        </w:rPr>
        <w:t xml:space="preserve"> be considered final.</w:t>
      </w:r>
      <w:r w:rsidR="008301DE">
        <w:rPr>
          <w:sz w:val="26"/>
          <w:szCs w:val="26"/>
        </w:rPr>
        <w:t xml:space="preserve">  As noted previously, no party filed a petition challenging the Commission’s determination that all the EDC’s meet the Phase II compliance requirements.</w:t>
      </w:r>
    </w:p>
    <w:p w:rsidR="00C52E91" w:rsidRDefault="00C52E91" w:rsidP="00415B77">
      <w:pPr>
        <w:pStyle w:val="p3"/>
        <w:tabs>
          <w:tab w:val="clear" w:pos="204"/>
        </w:tabs>
        <w:spacing w:line="360" w:lineRule="auto"/>
        <w:rPr>
          <w:sz w:val="26"/>
          <w:szCs w:val="26"/>
        </w:rPr>
      </w:pPr>
    </w:p>
    <w:p w:rsidR="00291C7D" w:rsidRDefault="00291C7D" w:rsidP="00415B77">
      <w:pPr>
        <w:pStyle w:val="p3"/>
        <w:tabs>
          <w:tab w:val="clear" w:pos="204"/>
        </w:tabs>
        <w:spacing w:line="360" w:lineRule="auto"/>
        <w:rPr>
          <w:sz w:val="26"/>
          <w:szCs w:val="26"/>
        </w:rPr>
      </w:pPr>
      <w:r>
        <w:rPr>
          <w:b/>
          <w:sz w:val="26"/>
          <w:szCs w:val="26"/>
        </w:rPr>
        <w:t>B.</w:t>
      </w:r>
      <w:r>
        <w:rPr>
          <w:b/>
          <w:sz w:val="26"/>
          <w:szCs w:val="26"/>
        </w:rPr>
        <w:tab/>
        <w:t xml:space="preserve">Accumulated Savings </w:t>
      </w:r>
      <w:proofErr w:type="gramStart"/>
      <w:r w:rsidR="002A03AC">
        <w:rPr>
          <w:b/>
          <w:sz w:val="26"/>
          <w:szCs w:val="26"/>
        </w:rPr>
        <w:t>I</w:t>
      </w:r>
      <w:r>
        <w:rPr>
          <w:b/>
          <w:sz w:val="26"/>
          <w:szCs w:val="26"/>
        </w:rPr>
        <w:t>n</w:t>
      </w:r>
      <w:proofErr w:type="gramEnd"/>
      <w:r>
        <w:rPr>
          <w:b/>
          <w:sz w:val="26"/>
          <w:szCs w:val="26"/>
        </w:rPr>
        <w:t xml:space="preserve"> Excess </w:t>
      </w:r>
      <w:r w:rsidR="002A03AC">
        <w:rPr>
          <w:b/>
          <w:sz w:val="26"/>
          <w:szCs w:val="26"/>
        </w:rPr>
        <w:t>O</w:t>
      </w:r>
      <w:r>
        <w:rPr>
          <w:b/>
          <w:sz w:val="26"/>
          <w:szCs w:val="26"/>
        </w:rPr>
        <w:t>f Reduction Requirements</w:t>
      </w:r>
    </w:p>
    <w:p w:rsidR="00B01933" w:rsidRPr="006D1A7A" w:rsidRDefault="00DF785C" w:rsidP="00415B77">
      <w:pPr>
        <w:pStyle w:val="p3"/>
        <w:tabs>
          <w:tab w:val="clear" w:pos="204"/>
        </w:tabs>
        <w:spacing w:line="360" w:lineRule="auto"/>
        <w:rPr>
          <w:sz w:val="26"/>
          <w:szCs w:val="26"/>
        </w:rPr>
      </w:pPr>
      <w:r>
        <w:rPr>
          <w:sz w:val="26"/>
          <w:szCs w:val="26"/>
        </w:rPr>
        <w:tab/>
        <w:t xml:space="preserve">In its </w:t>
      </w:r>
      <w:r>
        <w:rPr>
          <w:i/>
          <w:sz w:val="26"/>
          <w:szCs w:val="26"/>
        </w:rPr>
        <w:t>Phase II Implementation Order</w:t>
      </w:r>
      <w:r>
        <w:rPr>
          <w:sz w:val="26"/>
          <w:szCs w:val="26"/>
        </w:rPr>
        <w:t xml:space="preserve">, the Commission recognized the importance of the continued implementation of cost-effective Phase I programs until the </w:t>
      </w:r>
      <w:r w:rsidR="00070177">
        <w:rPr>
          <w:sz w:val="26"/>
          <w:szCs w:val="26"/>
        </w:rPr>
        <w:t xml:space="preserve">beginning </w:t>
      </w:r>
      <w:r>
        <w:rPr>
          <w:sz w:val="26"/>
          <w:szCs w:val="26"/>
        </w:rPr>
        <w:t xml:space="preserve">of Phase </w:t>
      </w:r>
      <w:r w:rsidR="00070177">
        <w:rPr>
          <w:sz w:val="26"/>
          <w:szCs w:val="26"/>
        </w:rPr>
        <w:t>I</w:t>
      </w:r>
      <w:r>
        <w:rPr>
          <w:sz w:val="26"/>
          <w:szCs w:val="26"/>
        </w:rPr>
        <w:t>I.</w:t>
      </w:r>
      <w:r>
        <w:rPr>
          <w:rStyle w:val="FootnoteReference"/>
          <w:sz w:val="26"/>
          <w:szCs w:val="26"/>
        </w:rPr>
        <w:footnoteReference w:id="104"/>
      </w:r>
      <w:r w:rsidR="009E177B">
        <w:rPr>
          <w:sz w:val="26"/>
          <w:szCs w:val="26"/>
        </w:rPr>
        <w:t xml:space="preserve"> </w:t>
      </w:r>
      <w:r w:rsidR="009443EE">
        <w:rPr>
          <w:sz w:val="26"/>
          <w:szCs w:val="26"/>
        </w:rPr>
        <w:t xml:space="preserve"> </w:t>
      </w:r>
      <w:r w:rsidR="009E177B">
        <w:rPr>
          <w:sz w:val="26"/>
          <w:szCs w:val="26"/>
        </w:rPr>
        <w:t>However, i</w:t>
      </w:r>
      <w:r w:rsidR="00B01933" w:rsidRPr="006D1A7A">
        <w:rPr>
          <w:sz w:val="26"/>
          <w:szCs w:val="26"/>
        </w:rPr>
        <w:t xml:space="preserve">n its </w:t>
      </w:r>
      <w:r w:rsidR="00B01933" w:rsidRPr="006D1A7A">
        <w:rPr>
          <w:i/>
          <w:sz w:val="26"/>
          <w:szCs w:val="26"/>
        </w:rPr>
        <w:t>Phase III Implementation Order</w:t>
      </w:r>
      <w:r w:rsidR="00B01933" w:rsidRPr="006D1A7A">
        <w:rPr>
          <w:sz w:val="26"/>
          <w:szCs w:val="26"/>
        </w:rPr>
        <w:t xml:space="preserve">, the Commission </w:t>
      </w:r>
      <w:r w:rsidR="006D1A7A" w:rsidRPr="006D1A7A">
        <w:rPr>
          <w:sz w:val="26"/>
          <w:szCs w:val="26"/>
        </w:rPr>
        <w:t xml:space="preserve">expressed concerns that continued carryover of all excess savings from phase to phase will lead to a scenario in which an EDC meets most, if not all, of its reduction target simply with carryover savings.  Therefore, EDCs </w:t>
      </w:r>
      <w:proofErr w:type="gramStart"/>
      <w:r w:rsidR="006D1A7A">
        <w:rPr>
          <w:sz w:val="26"/>
          <w:szCs w:val="26"/>
        </w:rPr>
        <w:t>are</w:t>
      </w:r>
      <w:r w:rsidR="006D1A7A" w:rsidRPr="006D1A7A">
        <w:rPr>
          <w:sz w:val="26"/>
          <w:szCs w:val="26"/>
        </w:rPr>
        <w:t xml:space="preserve"> allowed to</w:t>
      </w:r>
      <w:proofErr w:type="gramEnd"/>
      <w:r w:rsidR="006D1A7A" w:rsidRPr="006D1A7A">
        <w:rPr>
          <w:sz w:val="26"/>
          <w:szCs w:val="26"/>
        </w:rPr>
        <w:t xml:space="preserve"> bank only those savings attained in </w:t>
      </w:r>
      <w:r w:rsidR="006D1A7A" w:rsidRPr="006D1A7A">
        <w:rPr>
          <w:sz w:val="26"/>
          <w:szCs w:val="26"/>
        </w:rPr>
        <w:lastRenderedPageBreak/>
        <w:t xml:space="preserve">Phase II </w:t>
      </w:r>
      <w:r w:rsidR="002365AF">
        <w:rPr>
          <w:sz w:val="26"/>
          <w:szCs w:val="26"/>
        </w:rPr>
        <w:t xml:space="preserve">that are </w:t>
      </w:r>
      <w:r w:rsidR="006D1A7A" w:rsidRPr="006D1A7A">
        <w:rPr>
          <w:sz w:val="26"/>
          <w:szCs w:val="26"/>
        </w:rPr>
        <w:t xml:space="preserve">in excess of their </w:t>
      </w:r>
      <w:r w:rsidR="002365AF">
        <w:rPr>
          <w:sz w:val="26"/>
          <w:szCs w:val="26"/>
        </w:rPr>
        <w:t xml:space="preserve">Phase II </w:t>
      </w:r>
      <w:r w:rsidR="006D1A7A" w:rsidRPr="006D1A7A">
        <w:rPr>
          <w:sz w:val="26"/>
          <w:szCs w:val="26"/>
        </w:rPr>
        <w:t>targets for application towards Phase III targets.</w:t>
      </w:r>
      <w:r w:rsidR="006D1A7A">
        <w:rPr>
          <w:rStyle w:val="FootnoteReference"/>
          <w:sz w:val="26"/>
          <w:szCs w:val="26"/>
        </w:rPr>
        <w:footnoteReference w:id="105"/>
      </w:r>
      <w:r w:rsidR="006D1A7A" w:rsidRPr="006D1A7A">
        <w:rPr>
          <w:sz w:val="26"/>
          <w:szCs w:val="26"/>
        </w:rPr>
        <w:t xml:space="preserve"> </w:t>
      </w:r>
    </w:p>
    <w:p w:rsidR="00EE0B71" w:rsidRDefault="00EE0B71" w:rsidP="00415B77">
      <w:pPr>
        <w:pStyle w:val="p3"/>
        <w:tabs>
          <w:tab w:val="clear" w:pos="204"/>
        </w:tabs>
        <w:spacing w:line="360" w:lineRule="auto"/>
        <w:rPr>
          <w:sz w:val="26"/>
          <w:szCs w:val="26"/>
        </w:rPr>
      </w:pPr>
    </w:p>
    <w:p w:rsidR="00976AF2" w:rsidRPr="00976AF2" w:rsidRDefault="00976AF2" w:rsidP="00415B77">
      <w:pPr>
        <w:pStyle w:val="p3"/>
        <w:tabs>
          <w:tab w:val="clear" w:pos="204"/>
        </w:tabs>
        <w:spacing w:line="360" w:lineRule="auto"/>
        <w:rPr>
          <w:b/>
          <w:sz w:val="26"/>
          <w:szCs w:val="26"/>
        </w:rPr>
      </w:pPr>
      <w:r>
        <w:rPr>
          <w:sz w:val="26"/>
          <w:szCs w:val="26"/>
        </w:rPr>
        <w:tab/>
      </w:r>
      <w:r>
        <w:rPr>
          <w:b/>
          <w:sz w:val="26"/>
          <w:szCs w:val="26"/>
        </w:rPr>
        <w:t>1.</w:t>
      </w:r>
      <w:r>
        <w:rPr>
          <w:b/>
          <w:sz w:val="26"/>
          <w:szCs w:val="26"/>
        </w:rPr>
        <w:tab/>
        <w:t xml:space="preserve">Carryover </w:t>
      </w:r>
      <w:proofErr w:type="gramStart"/>
      <w:r w:rsidR="002A03AC">
        <w:rPr>
          <w:b/>
          <w:sz w:val="26"/>
          <w:szCs w:val="26"/>
        </w:rPr>
        <w:t>A</w:t>
      </w:r>
      <w:r w:rsidR="00DD2A70">
        <w:rPr>
          <w:b/>
          <w:sz w:val="26"/>
          <w:szCs w:val="26"/>
        </w:rPr>
        <w:t>nd</w:t>
      </w:r>
      <w:proofErr w:type="gramEnd"/>
      <w:r w:rsidR="00DD2A70">
        <w:rPr>
          <w:b/>
          <w:sz w:val="26"/>
          <w:szCs w:val="26"/>
        </w:rPr>
        <w:t xml:space="preserve"> Excess </w:t>
      </w:r>
      <w:r>
        <w:rPr>
          <w:b/>
          <w:sz w:val="26"/>
          <w:szCs w:val="26"/>
        </w:rPr>
        <w:t>Savings</w:t>
      </w:r>
    </w:p>
    <w:p w:rsidR="00A43D1D" w:rsidRDefault="00A43D1D" w:rsidP="00A43D1D">
      <w:pPr>
        <w:pStyle w:val="p3"/>
        <w:tabs>
          <w:tab w:val="clear" w:pos="204"/>
        </w:tabs>
        <w:spacing w:line="360" w:lineRule="auto"/>
        <w:ind w:firstLine="720"/>
        <w:rPr>
          <w:sz w:val="26"/>
          <w:szCs w:val="26"/>
        </w:rPr>
      </w:pPr>
      <w:r>
        <w:rPr>
          <w:sz w:val="26"/>
          <w:szCs w:val="26"/>
        </w:rPr>
        <w:t xml:space="preserve">The EDCs, in their </w:t>
      </w:r>
      <w:r w:rsidR="006D1A7A">
        <w:rPr>
          <w:sz w:val="26"/>
          <w:szCs w:val="26"/>
        </w:rPr>
        <w:t>PY7</w:t>
      </w:r>
      <w:r>
        <w:rPr>
          <w:sz w:val="26"/>
          <w:szCs w:val="26"/>
        </w:rPr>
        <w:t xml:space="preserve"> Final Annual Reports, have provided the amount of carryover </w:t>
      </w:r>
      <w:r w:rsidR="00DD2A70">
        <w:rPr>
          <w:sz w:val="26"/>
          <w:szCs w:val="26"/>
        </w:rPr>
        <w:t xml:space="preserve">and excess </w:t>
      </w:r>
      <w:r>
        <w:rPr>
          <w:sz w:val="26"/>
          <w:szCs w:val="26"/>
        </w:rPr>
        <w:t>savings resulting from the Phase I</w:t>
      </w:r>
      <w:r w:rsidR="006D1A7A">
        <w:rPr>
          <w:sz w:val="26"/>
          <w:szCs w:val="26"/>
        </w:rPr>
        <w:t>I</w:t>
      </w:r>
      <w:r>
        <w:rPr>
          <w:sz w:val="26"/>
          <w:szCs w:val="26"/>
        </w:rPr>
        <w:t xml:space="preserve"> EE&amp;C Program.  The Commission’s determination regarding the accuracy of these values for each EDC follows.</w:t>
      </w:r>
    </w:p>
    <w:p w:rsidR="00A43D1D" w:rsidRDefault="00A43D1D" w:rsidP="00A43D1D">
      <w:pPr>
        <w:pStyle w:val="p3"/>
        <w:tabs>
          <w:tab w:val="clear" w:pos="204"/>
        </w:tabs>
        <w:spacing w:line="360" w:lineRule="auto"/>
        <w:ind w:firstLine="720"/>
        <w:rPr>
          <w:sz w:val="26"/>
          <w:szCs w:val="26"/>
        </w:rPr>
      </w:pPr>
      <w:r>
        <w:rPr>
          <w:sz w:val="26"/>
          <w:szCs w:val="26"/>
        </w:rPr>
        <w:tab/>
      </w:r>
      <w:r>
        <w:rPr>
          <w:b/>
          <w:sz w:val="26"/>
          <w:szCs w:val="26"/>
        </w:rPr>
        <w:t>a.</w:t>
      </w:r>
      <w:r>
        <w:rPr>
          <w:b/>
          <w:sz w:val="26"/>
          <w:szCs w:val="26"/>
        </w:rPr>
        <w:tab/>
        <w:t>Duquesne</w:t>
      </w:r>
    </w:p>
    <w:p w:rsidR="009F1675" w:rsidRDefault="009443EE" w:rsidP="00CC5039">
      <w:pPr>
        <w:spacing w:line="360" w:lineRule="auto"/>
        <w:rPr>
          <w:sz w:val="26"/>
          <w:szCs w:val="26"/>
        </w:rPr>
      </w:pPr>
      <w:r>
        <w:rPr>
          <w:sz w:val="26"/>
          <w:szCs w:val="26"/>
        </w:rPr>
        <w:tab/>
      </w:r>
      <w:r w:rsidR="00902C1B" w:rsidRPr="00902C1B">
        <w:rPr>
          <w:sz w:val="26"/>
          <w:szCs w:val="26"/>
        </w:rPr>
        <w:t>In its PY7 Final Annual Report, D</w:t>
      </w:r>
      <w:r w:rsidR="009E177B">
        <w:rPr>
          <w:sz w:val="26"/>
          <w:szCs w:val="26"/>
        </w:rPr>
        <w:t xml:space="preserve">uquesne reports it attained </w:t>
      </w:r>
      <w:r w:rsidR="00501A14">
        <w:rPr>
          <w:sz w:val="26"/>
          <w:szCs w:val="26"/>
        </w:rPr>
        <w:t>portfolio</w:t>
      </w:r>
      <w:r w:rsidR="00501A14">
        <w:rPr>
          <w:sz w:val="26"/>
          <w:szCs w:val="26"/>
        </w:rPr>
        <w:noBreakHyphen/>
        <w:t xml:space="preserve">level </w:t>
      </w:r>
      <w:r w:rsidR="005F20BE">
        <w:rPr>
          <w:sz w:val="26"/>
          <w:szCs w:val="26"/>
        </w:rPr>
        <w:t>Technical Reference Manual</w:t>
      </w:r>
      <w:r w:rsidR="005F20BE">
        <w:rPr>
          <w:sz w:val="26"/>
          <w:szCs w:val="26"/>
        </w:rPr>
        <w:noBreakHyphen/>
        <w:t>verified (</w:t>
      </w:r>
      <w:r w:rsidR="00902C1B" w:rsidRPr="00902C1B">
        <w:rPr>
          <w:sz w:val="26"/>
          <w:szCs w:val="26"/>
        </w:rPr>
        <w:t>TRM</w:t>
      </w:r>
      <w:r w:rsidR="00501A14">
        <w:rPr>
          <w:sz w:val="26"/>
          <w:szCs w:val="26"/>
        </w:rPr>
        <w:noBreakHyphen/>
      </w:r>
      <w:r w:rsidR="00902C1B" w:rsidRPr="00902C1B">
        <w:rPr>
          <w:sz w:val="26"/>
          <w:szCs w:val="26"/>
        </w:rPr>
        <w:t>verified</w:t>
      </w:r>
      <w:r w:rsidR="005F20BE">
        <w:rPr>
          <w:sz w:val="26"/>
          <w:szCs w:val="26"/>
        </w:rPr>
        <w:t>)</w:t>
      </w:r>
      <w:r w:rsidR="00902C1B" w:rsidRPr="00902C1B">
        <w:rPr>
          <w:sz w:val="26"/>
          <w:szCs w:val="26"/>
        </w:rPr>
        <w:t xml:space="preserve"> electric consumption c</w:t>
      </w:r>
      <w:r w:rsidR="009E177B">
        <w:rPr>
          <w:sz w:val="26"/>
          <w:szCs w:val="26"/>
        </w:rPr>
        <w:t>arryover savings of 100,526 MWh</w:t>
      </w:r>
      <w:r w:rsidR="00902C1B" w:rsidRPr="00902C1B">
        <w:rPr>
          <w:sz w:val="26"/>
          <w:szCs w:val="26"/>
        </w:rPr>
        <w:t xml:space="preserve"> and low</w:t>
      </w:r>
      <w:r w:rsidR="00501A14">
        <w:rPr>
          <w:sz w:val="26"/>
          <w:szCs w:val="26"/>
        </w:rPr>
        <w:noBreakHyphen/>
      </w:r>
      <w:r w:rsidR="00902C1B" w:rsidRPr="00902C1B">
        <w:rPr>
          <w:sz w:val="26"/>
          <w:szCs w:val="26"/>
        </w:rPr>
        <w:t xml:space="preserve">income </w:t>
      </w:r>
      <w:r w:rsidR="009E177B">
        <w:rPr>
          <w:sz w:val="26"/>
          <w:szCs w:val="26"/>
        </w:rPr>
        <w:t>reduction requirement excess savings of 3,431 MWh</w:t>
      </w:r>
      <w:r w:rsidR="00643511">
        <w:rPr>
          <w:sz w:val="26"/>
          <w:szCs w:val="26"/>
        </w:rPr>
        <w:t>; however, it was not able to attain excess savings from the G/E/NP reduction requirement</w:t>
      </w:r>
      <w:r w:rsidR="00902C1B" w:rsidRPr="00902C1B">
        <w:rPr>
          <w:sz w:val="26"/>
          <w:szCs w:val="26"/>
        </w:rPr>
        <w:t>.</w:t>
      </w:r>
      <w:r w:rsidR="00902C1B" w:rsidRPr="00902C1B">
        <w:rPr>
          <w:sz w:val="26"/>
          <w:szCs w:val="26"/>
          <w:vertAlign w:val="superscript"/>
        </w:rPr>
        <w:footnoteReference w:id="106"/>
      </w:r>
      <w:r w:rsidR="00902C1B" w:rsidRPr="00902C1B">
        <w:rPr>
          <w:sz w:val="26"/>
          <w:szCs w:val="26"/>
        </w:rPr>
        <w:t xml:space="preserve">  In its Phase II Final Annual Report, the SWE validate</w:t>
      </w:r>
      <w:r w:rsidR="00C51180">
        <w:rPr>
          <w:sz w:val="26"/>
          <w:szCs w:val="26"/>
        </w:rPr>
        <w:t>d</w:t>
      </w:r>
      <w:r w:rsidR="00902C1B" w:rsidRPr="00902C1B">
        <w:rPr>
          <w:sz w:val="26"/>
          <w:szCs w:val="26"/>
        </w:rPr>
        <w:t xml:space="preserve"> Duquesne’s </w:t>
      </w:r>
      <w:r w:rsidR="002D616A">
        <w:rPr>
          <w:sz w:val="26"/>
          <w:szCs w:val="26"/>
        </w:rPr>
        <w:t>portfolio</w:t>
      </w:r>
      <w:r w:rsidR="002D616A">
        <w:rPr>
          <w:sz w:val="26"/>
          <w:szCs w:val="26"/>
        </w:rPr>
        <w:noBreakHyphen/>
        <w:t xml:space="preserve">level </w:t>
      </w:r>
      <w:r w:rsidR="009E177B">
        <w:rPr>
          <w:sz w:val="26"/>
          <w:szCs w:val="26"/>
        </w:rPr>
        <w:t>electric consumption carryover</w:t>
      </w:r>
      <w:r w:rsidR="00902C1B" w:rsidRPr="00902C1B">
        <w:rPr>
          <w:sz w:val="26"/>
          <w:szCs w:val="26"/>
        </w:rPr>
        <w:t xml:space="preserve"> savings of 100,526 MWh</w:t>
      </w:r>
      <w:r w:rsidR="00643511">
        <w:rPr>
          <w:sz w:val="26"/>
          <w:szCs w:val="26"/>
        </w:rPr>
        <w:t>; and that Duquesne is not able to carry over G/E/NP reduction requirement excess savings.</w:t>
      </w:r>
      <w:r w:rsidR="00814360">
        <w:rPr>
          <w:rStyle w:val="FootnoteReference"/>
          <w:sz w:val="26"/>
          <w:szCs w:val="26"/>
        </w:rPr>
        <w:footnoteReference w:id="107"/>
      </w:r>
      <w:r w:rsidR="00902C1B" w:rsidRPr="00902C1B">
        <w:rPr>
          <w:sz w:val="26"/>
          <w:szCs w:val="26"/>
        </w:rPr>
        <w:t xml:space="preserve"> </w:t>
      </w:r>
      <w:r w:rsidR="00643511">
        <w:rPr>
          <w:sz w:val="26"/>
          <w:szCs w:val="26"/>
        </w:rPr>
        <w:t xml:space="preserve"> The SWE</w:t>
      </w:r>
      <w:r w:rsidR="00902C1B" w:rsidRPr="00902C1B">
        <w:rPr>
          <w:sz w:val="26"/>
          <w:szCs w:val="26"/>
        </w:rPr>
        <w:t xml:space="preserve"> </w:t>
      </w:r>
      <w:r w:rsidR="00BF6FEE">
        <w:rPr>
          <w:sz w:val="26"/>
          <w:szCs w:val="26"/>
        </w:rPr>
        <w:t>was not able to verify the</w:t>
      </w:r>
      <w:r w:rsidR="00902C1B" w:rsidRPr="00902C1B">
        <w:rPr>
          <w:sz w:val="26"/>
          <w:szCs w:val="26"/>
        </w:rPr>
        <w:t xml:space="preserve"> low</w:t>
      </w:r>
      <w:r w:rsidR="00501A14">
        <w:rPr>
          <w:sz w:val="26"/>
          <w:szCs w:val="26"/>
        </w:rPr>
        <w:noBreakHyphen/>
      </w:r>
      <w:r w:rsidR="00902C1B" w:rsidRPr="00902C1B">
        <w:rPr>
          <w:sz w:val="26"/>
          <w:szCs w:val="26"/>
        </w:rPr>
        <w:t>income</w:t>
      </w:r>
      <w:r w:rsidR="009E177B">
        <w:rPr>
          <w:sz w:val="26"/>
          <w:szCs w:val="26"/>
        </w:rPr>
        <w:t xml:space="preserve"> reduction requirement excess savings of</w:t>
      </w:r>
      <w:r w:rsidR="00902C1B" w:rsidRPr="00902C1B">
        <w:rPr>
          <w:sz w:val="26"/>
          <w:szCs w:val="26"/>
        </w:rPr>
        <w:t xml:space="preserve"> 3,431 MWh. </w:t>
      </w:r>
      <w:r w:rsidR="00F23BF2">
        <w:rPr>
          <w:sz w:val="26"/>
          <w:szCs w:val="26"/>
        </w:rPr>
        <w:t xml:space="preserve"> </w:t>
      </w:r>
      <w:r w:rsidR="00CC5039">
        <w:rPr>
          <w:sz w:val="26"/>
          <w:szCs w:val="26"/>
        </w:rPr>
        <w:t>T</w:t>
      </w:r>
      <w:r w:rsidR="00F23BF2">
        <w:rPr>
          <w:sz w:val="26"/>
          <w:szCs w:val="26"/>
        </w:rPr>
        <w:t>he</w:t>
      </w:r>
      <w:r w:rsidR="007C5E6A">
        <w:rPr>
          <w:sz w:val="26"/>
          <w:szCs w:val="26"/>
        </w:rPr>
        <w:t xml:space="preserve"> </w:t>
      </w:r>
      <w:r w:rsidR="00B97A96">
        <w:rPr>
          <w:sz w:val="26"/>
          <w:szCs w:val="26"/>
        </w:rPr>
        <w:t>SWE note</w:t>
      </w:r>
      <w:r w:rsidR="00C51180">
        <w:rPr>
          <w:sz w:val="26"/>
          <w:szCs w:val="26"/>
        </w:rPr>
        <w:t>d that</w:t>
      </w:r>
      <w:r w:rsidR="009E177B">
        <w:rPr>
          <w:sz w:val="26"/>
          <w:szCs w:val="26"/>
        </w:rPr>
        <w:t>,</w:t>
      </w:r>
      <w:r w:rsidR="00B97A96">
        <w:rPr>
          <w:sz w:val="26"/>
          <w:szCs w:val="26"/>
        </w:rPr>
        <w:t xml:space="preserve"> </w:t>
      </w:r>
      <w:r w:rsidR="00F23BF2">
        <w:rPr>
          <w:sz w:val="26"/>
          <w:szCs w:val="26"/>
        </w:rPr>
        <w:t>l</w:t>
      </w:r>
      <w:r w:rsidR="00B97A96">
        <w:rPr>
          <w:sz w:val="26"/>
          <w:szCs w:val="26"/>
        </w:rPr>
        <w:t>ow</w:t>
      </w:r>
      <w:r w:rsidR="00501A14">
        <w:rPr>
          <w:sz w:val="26"/>
          <w:szCs w:val="26"/>
        </w:rPr>
        <w:noBreakHyphen/>
      </w:r>
      <w:r w:rsidR="00B97A96">
        <w:rPr>
          <w:sz w:val="26"/>
          <w:szCs w:val="26"/>
        </w:rPr>
        <w:t xml:space="preserve">income </w:t>
      </w:r>
      <w:r w:rsidR="00E711B5">
        <w:rPr>
          <w:sz w:val="26"/>
          <w:szCs w:val="26"/>
        </w:rPr>
        <w:t>excess savings for Phase III are</w:t>
      </w:r>
      <w:r w:rsidR="00B97A96">
        <w:rPr>
          <w:sz w:val="26"/>
          <w:szCs w:val="26"/>
        </w:rPr>
        <w:t xml:space="preserve"> based on an allocation factor determined by the ratio of savings from low</w:t>
      </w:r>
      <w:r w:rsidR="00501A14">
        <w:rPr>
          <w:sz w:val="26"/>
          <w:szCs w:val="26"/>
        </w:rPr>
        <w:noBreakHyphen/>
      </w:r>
      <w:r w:rsidR="00B97A96">
        <w:rPr>
          <w:sz w:val="26"/>
          <w:szCs w:val="26"/>
        </w:rPr>
        <w:t xml:space="preserve">income specific programs to </w:t>
      </w:r>
      <w:r w:rsidR="00CC5039">
        <w:rPr>
          <w:sz w:val="26"/>
          <w:szCs w:val="26"/>
        </w:rPr>
        <w:t>non-low</w:t>
      </w:r>
      <w:r w:rsidR="00501A14">
        <w:rPr>
          <w:sz w:val="26"/>
          <w:szCs w:val="26"/>
        </w:rPr>
        <w:noBreakHyphen/>
      </w:r>
      <w:r w:rsidR="00CC5039">
        <w:rPr>
          <w:sz w:val="26"/>
          <w:szCs w:val="26"/>
        </w:rPr>
        <w:t>income specific program</w:t>
      </w:r>
      <w:r w:rsidR="00501A14">
        <w:rPr>
          <w:sz w:val="26"/>
          <w:szCs w:val="26"/>
        </w:rPr>
        <w:t>s</w:t>
      </w:r>
      <w:r w:rsidR="00CC5039">
        <w:rPr>
          <w:sz w:val="26"/>
          <w:szCs w:val="26"/>
        </w:rPr>
        <w:t>;</w:t>
      </w:r>
      <w:r w:rsidR="00AD4015">
        <w:rPr>
          <w:sz w:val="26"/>
          <w:szCs w:val="26"/>
        </w:rPr>
        <w:t xml:space="preserve"> therefore</w:t>
      </w:r>
      <w:r w:rsidR="00CC5039">
        <w:rPr>
          <w:sz w:val="26"/>
          <w:szCs w:val="26"/>
        </w:rPr>
        <w:t>,</w:t>
      </w:r>
      <w:r w:rsidR="00AD4015">
        <w:rPr>
          <w:sz w:val="26"/>
          <w:szCs w:val="26"/>
        </w:rPr>
        <w:t xml:space="preserve"> </w:t>
      </w:r>
      <w:r w:rsidR="007B7B71">
        <w:rPr>
          <w:sz w:val="26"/>
          <w:szCs w:val="26"/>
        </w:rPr>
        <w:t>Duquesne’s</w:t>
      </w:r>
      <w:r w:rsidR="009E177B">
        <w:rPr>
          <w:sz w:val="26"/>
          <w:szCs w:val="26"/>
        </w:rPr>
        <w:t xml:space="preserve"> </w:t>
      </w:r>
      <w:r w:rsidR="00BF6FEE">
        <w:rPr>
          <w:sz w:val="26"/>
          <w:szCs w:val="26"/>
        </w:rPr>
        <w:t>verified</w:t>
      </w:r>
      <w:r w:rsidR="00B97A96">
        <w:rPr>
          <w:sz w:val="26"/>
          <w:szCs w:val="26"/>
        </w:rPr>
        <w:t xml:space="preserve"> </w:t>
      </w:r>
      <w:r w:rsidR="007B7B71">
        <w:rPr>
          <w:sz w:val="26"/>
          <w:szCs w:val="26"/>
        </w:rPr>
        <w:t>low</w:t>
      </w:r>
      <w:r w:rsidR="00501A14">
        <w:rPr>
          <w:sz w:val="26"/>
          <w:szCs w:val="26"/>
        </w:rPr>
        <w:noBreakHyphen/>
      </w:r>
      <w:r w:rsidR="007B7B71">
        <w:rPr>
          <w:sz w:val="26"/>
          <w:szCs w:val="26"/>
        </w:rPr>
        <w:t>income reduction requirement excess</w:t>
      </w:r>
      <w:r w:rsidR="00B97A96">
        <w:rPr>
          <w:sz w:val="26"/>
          <w:szCs w:val="26"/>
        </w:rPr>
        <w:t xml:space="preserve"> savings </w:t>
      </w:r>
      <w:r w:rsidR="00E711B5">
        <w:rPr>
          <w:sz w:val="26"/>
          <w:szCs w:val="26"/>
        </w:rPr>
        <w:t xml:space="preserve">total </w:t>
      </w:r>
      <w:r w:rsidR="00C51180">
        <w:rPr>
          <w:sz w:val="26"/>
          <w:szCs w:val="26"/>
        </w:rPr>
        <w:t xml:space="preserve">as reported by the SWE </w:t>
      </w:r>
      <w:r w:rsidR="00C602F8">
        <w:rPr>
          <w:sz w:val="26"/>
          <w:szCs w:val="26"/>
        </w:rPr>
        <w:t>decreased from</w:t>
      </w:r>
      <w:r w:rsidR="00BF6FEE">
        <w:rPr>
          <w:sz w:val="26"/>
          <w:szCs w:val="26"/>
        </w:rPr>
        <w:t xml:space="preserve"> </w:t>
      </w:r>
      <w:r w:rsidR="00F23BF2">
        <w:rPr>
          <w:sz w:val="26"/>
          <w:szCs w:val="26"/>
        </w:rPr>
        <w:t>3,431 MWh</w:t>
      </w:r>
      <w:r w:rsidR="00BF6FEE" w:rsidRPr="00BF6FEE">
        <w:rPr>
          <w:sz w:val="26"/>
          <w:szCs w:val="26"/>
        </w:rPr>
        <w:t xml:space="preserve"> </w:t>
      </w:r>
      <w:r w:rsidR="00BF6FEE">
        <w:rPr>
          <w:sz w:val="26"/>
          <w:szCs w:val="26"/>
        </w:rPr>
        <w:t>to 2,542 MWh</w:t>
      </w:r>
      <w:r w:rsidR="00F23BF2">
        <w:rPr>
          <w:sz w:val="26"/>
          <w:szCs w:val="26"/>
        </w:rPr>
        <w:t>.</w:t>
      </w:r>
      <w:r w:rsidR="00814360">
        <w:rPr>
          <w:rStyle w:val="FootnoteReference"/>
          <w:sz w:val="26"/>
          <w:szCs w:val="26"/>
        </w:rPr>
        <w:footnoteReference w:id="108"/>
      </w:r>
      <w:r w:rsidR="00814360">
        <w:rPr>
          <w:sz w:val="26"/>
          <w:szCs w:val="26"/>
        </w:rPr>
        <w:t xml:space="preserve">  </w:t>
      </w:r>
    </w:p>
    <w:p w:rsidR="009F1675" w:rsidRDefault="009F1675" w:rsidP="009F1675">
      <w:pPr>
        <w:spacing w:line="360" w:lineRule="auto"/>
        <w:ind w:firstLine="720"/>
        <w:rPr>
          <w:sz w:val="26"/>
          <w:szCs w:val="26"/>
        </w:rPr>
      </w:pPr>
    </w:p>
    <w:p w:rsidR="00BF6FEE" w:rsidRDefault="009F1675" w:rsidP="009F1675">
      <w:pPr>
        <w:spacing w:line="360" w:lineRule="auto"/>
        <w:ind w:firstLine="720"/>
        <w:rPr>
          <w:sz w:val="26"/>
          <w:szCs w:val="26"/>
        </w:rPr>
      </w:pPr>
      <w:r>
        <w:rPr>
          <w:sz w:val="26"/>
          <w:szCs w:val="26"/>
        </w:rPr>
        <w:t>In the April 6, 2017 Order, t</w:t>
      </w:r>
      <w:r w:rsidR="00F23BF2">
        <w:rPr>
          <w:sz w:val="26"/>
          <w:szCs w:val="26"/>
        </w:rPr>
        <w:t>he Co</w:t>
      </w:r>
      <w:r w:rsidR="00B05260">
        <w:rPr>
          <w:sz w:val="26"/>
          <w:szCs w:val="26"/>
        </w:rPr>
        <w:t xml:space="preserve">mmission </w:t>
      </w:r>
      <w:r w:rsidR="00F23BF2">
        <w:rPr>
          <w:sz w:val="26"/>
          <w:szCs w:val="26"/>
        </w:rPr>
        <w:t>agree</w:t>
      </w:r>
      <w:r>
        <w:rPr>
          <w:sz w:val="26"/>
          <w:szCs w:val="26"/>
        </w:rPr>
        <w:t>d</w:t>
      </w:r>
      <w:r w:rsidR="00F23BF2">
        <w:rPr>
          <w:sz w:val="26"/>
          <w:szCs w:val="26"/>
        </w:rPr>
        <w:t xml:space="preserve"> with the </w:t>
      </w:r>
      <w:r w:rsidR="00BF6FEE">
        <w:rPr>
          <w:sz w:val="26"/>
          <w:szCs w:val="26"/>
        </w:rPr>
        <w:t>SWE verified</w:t>
      </w:r>
      <w:r w:rsidR="00C602F8">
        <w:rPr>
          <w:sz w:val="26"/>
          <w:szCs w:val="26"/>
        </w:rPr>
        <w:t xml:space="preserve"> and </w:t>
      </w:r>
      <w:r w:rsidR="00CC5039">
        <w:rPr>
          <w:sz w:val="26"/>
          <w:szCs w:val="26"/>
        </w:rPr>
        <w:t>adjusted</w:t>
      </w:r>
      <w:r w:rsidR="00C602F8">
        <w:rPr>
          <w:sz w:val="26"/>
          <w:szCs w:val="26"/>
        </w:rPr>
        <w:t xml:space="preserve"> </w:t>
      </w:r>
      <w:r w:rsidR="007B7B71">
        <w:rPr>
          <w:sz w:val="26"/>
          <w:szCs w:val="26"/>
        </w:rPr>
        <w:t>low</w:t>
      </w:r>
      <w:r w:rsidR="00501A14">
        <w:rPr>
          <w:sz w:val="26"/>
          <w:szCs w:val="26"/>
        </w:rPr>
        <w:noBreakHyphen/>
      </w:r>
      <w:r w:rsidR="007B7B71">
        <w:rPr>
          <w:sz w:val="26"/>
          <w:szCs w:val="26"/>
        </w:rPr>
        <w:t>income reduction requirement excess</w:t>
      </w:r>
      <w:r w:rsidR="00F23BF2">
        <w:rPr>
          <w:sz w:val="26"/>
          <w:szCs w:val="26"/>
        </w:rPr>
        <w:t xml:space="preserve"> savings</w:t>
      </w:r>
      <w:r w:rsidR="007B7B71">
        <w:rPr>
          <w:sz w:val="26"/>
          <w:szCs w:val="26"/>
        </w:rPr>
        <w:t xml:space="preserve"> </w:t>
      </w:r>
      <w:r w:rsidR="00F23BF2">
        <w:rPr>
          <w:sz w:val="26"/>
          <w:szCs w:val="26"/>
        </w:rPr>
        <w:t>and initially accept</w:t>
      </w:r>
      <w:r>
        <w:rPr>
          <w:sz w:val="26"/>
          <w:szCs w:val="26"/>
        </w:rPr>
        <w:t>ed</w:t>
      </w:r>
      <w:r w:rsidR="00F23BF2">
        <w:rPr>
          <w:sz w:val="26"/>
          <w:szCs w:val="26"/>
        </w:rPr>
        <w:t xml:space="preserve"> a</w:t>
      </w:r>
      <w:r w:rsidR="00BF6FEE">
        <w:rPr>
          <w:sz w:val="26"/>
          <w:szCs w:val="26"/>
        </w:rPr>
        <w:t>n</w:t>
      </w:r>
      <w:r w:rsidR="00F23BF2">
        <w:rPr>
          <w:sz w:val="26"/>
          <w:szCs w:val="26"/>
        </w:rPr>
        <w:t xml:space="preserve"> </w:t>
      </w:r>
      <w:r w:rsidR="00E711B5">
        <w:rPr>
          <w:sz w:val="26"/>
          <w:szCs w:val="26"/>
        </w:rPr>
        <w:lastRenderedPageBreak/>
        <w:t xml:space="preserve">excess savings </w:t>
      </w:r>
      <w:r w:rsidR="00F23BF2">
        <w:rPr>
          <w:sz w:val="26"/>
          <w:szCs w:val="26"/>
        </w:rPr>
        <w:t>total of 2,542 MWh to be credited against Duquesne’s Phase III low</w:t>
      </w:r>
      <w:r w:rsidR="00501A14">
        <w:rPr>
          <w:sz w:val="26"/>
          <w:szCs w:val="26"/>
        </w:rPr>
        <w:noBreakHyphen/>
      </w:r>
      <w:r w:rsidR="00F23BF2">
        <w:rPr>
          <w:sz w:val="26"/>
          <w:szCs w:val="26"/>
        </w:rPr>
        <w:t xml:space="preserve">income reduction requirements.  </w:t>
      </w:r>
      <w:r>
        <w:rPr>
          <w:sz w:val="26"/>
          <w:szCs w:val="26"/>
        </w:rPr>
        <w:t>In addition</w:t>
      </w:r>
      <w:r w:rsidR="00BF6FEE">
        <w:rPr>
          <w:sz w:val="26"/>
          <w:szCs w:val="26"/>
        </w:rPr>
        <w:t>, t</w:t>
      </w:r>
      <w:r w:rsidR="00BF6FEE" w:rsidRPr="00902C1B">
        <w:rPr>
          <w:sz w:val="26"/>
          <w:szCs w:val="26"/>
        </w:rPr>
        <w:t>he Commission agree</w:t>
      </w:r>
      <w:r>
        <w:rPr>
          <w:sz w:val="26"/>
          <w:szCs w:val="26"/>
        </w:rPr>
        <w:t>d</w:t>
      </w:r>
      <w:r w:rsidR="00BF6FEE" w:rsidRPr="00902C1B">
        <w:rPr>
          <w:sz w:val="26"/>
          <w:szCs w:val="26"/>
        </w:rPr>
        <w:t xml:space="preserve"> with the TRM</w:t>
      </w:r>
      <w:r>
        <w:rPr>
          <w:sz w:val="26"/>
          <w:szCs w:val="26"/>
        </w:rPr>
        <w:noBreakHyphen/>
      </w:r>
      <w:r w:rsidR="00BF6FEE" w:rsidRPr="00902C1B">
        <w:rPr>
          <w:sz w:val="26"/>
          <w:szCs w:val="26"/>
        </w:rPr>
        <w:t xml:space="preserve">verified carryover savings reported by </w:t>
      </w:r>
      <w:r w:rsidR="005F20BE" w:rsidRPr="00902C1B">
        <w:rPr>
          <w:sz w:val="26"/>
          <w:szCs w:val="26"/>
        </w:rPr>
        <w:t>Duquesne, confirmed by the SWE,</w:t>
      </w:r>
      <w:r w:rsidR="00BF6FEE" w:rsidRPr="00902C1B">
        <w:rPr>
          <w:sz w:val="26"/>
          <w:szCs w:val="26"/>
        </w:rPr>
        <w:t xml:space="preserve"> and initially accept</w:t>
      </w:r>
      <w:r>
        <w:rPr>
          <w:sz w:val="26"/>
          <w:szCs w:val="26"/>
        </w:rPr>
        <w:t>ed</w:t>
      </w:r>
      <w:r w:rsidR="00BF6FEE" w:rsidRPr="00902C1B">
        <w:rPr>
          <w:sz w:val="26"/>
          <w:szCs w:val="26"/>
        </w:rPr>
        <w:t xml:space="preserve"> a </w:t>
      </w:r>
      <w:r w:rsidR="002D616A">
        <w:rPr>
          <w:sz w:val="26"/>
          <w:szCs w:val="26"/>
        </w:rPr>
        <w:t>portfolio</w:t>
      </w:r>
      <w:r w:rsidR="002D616A">
        <w:rPr>
          <w:sz w:val="26"/>
          <w:szCs w:val="26"/>
        </w:rPr>
        <w:noBreakHyphen/>
        <w:t xml:space="preserve">level </w:t>
      </w:r>
      <w:r w:rsidR="00BF6FEE" w:rsidRPr="00902C1B">
        <w:rPr>
          <w:sz w:val="26"/>
          <w:szCs w:val="26"/>
        </w:rPr>
        <w:t xml:space="preserve">carryover total of 100,526 MWh to be credited against Duquesne’s Phase III </w:t>
      </w:r>
      <w:r w:rsidR="002D616A">
        <w:rPr>
          <w:sz w:val="26"/>
          <w:szCs w:val="26"/>
        </w:rPr>
        <w:t>portfolio</w:t>
      </w:r>
      <w:r w:rsidR="002D616A">
        <w:rPr>
          <w:sz w:val="26"/>
          <w:szCs w:val="26"/>
        </w:rPr>
        <w:noBreakHyphen/>
        <w:t xml:space="preserve">level </w:t>
      </w:r>
      <w:r w:rsidR="00BF6FEE" w:rsidRPr="00902C1B">
        <w:rPr>
          <w:sz w:val="26"/>
          <w:szCs w:val="26"/>
        </w:rPr>
        <w:t>electric consumption reduction requirements.</w:t>
      </w:r>
      <w:r w:rsidR="00BF6FEE">
        <w:rPr>
          <w:sz w:val="26"/>
          <w:szCs w:val="26"/>
        </w:rPr>
        <w:t xml:space="preserve">  </w:t>
      </w:r>
    </w:p>
    <w:p w:rsidR="009F1675" w:rsidRDefault="009F1675" w:rsidP="009F1675">
      <w:pPr>
        <w:spacing w:line="360" w:lineRule="auto"/>
        <w:ind w:firstLine="720"/>
        <w:rPr>
          <w:sz w:val="26"/>
          <w:szCs w:val="26"/>
        </w:rPr>
      </w:pPr>
    </w:p>
    <w:p w:rsidR="00F642D9" w:rsidRDefault="009F1675" w:rsidP="009F1675">
      <w:pPr>
        <w:spacing w:line="360" w:lineRule="auto"/>
        <w:ind w:firstLine="720"/>
        <w:rPr>
          <w:sz w:val="26"/>
          <w:szCs w:val="26"/>
        </w:rPr>
      </w:pPr>
      <w:r w:rsidRPr="00C44A4F">
        <w:rPr>
          <w:sz w:val="26"/>
          <w:szCs w:val="26"/>
        </w:rPr>
        <w:t xml:space="preserve">However, </w:t>
      </w:r>
      <w:r w:rsidR="00762029">
        <w:rPr>
          <w:sz w:val="26"/>
          <w:szCs w:val="26"/>
        </w:rPr>
        <w:t xml:space="preserve">as noted in section A. 5. a. above, </w:t>
      </w:r>
      <w:r w:rsidRPr="00C44A4F">
        <w:rPr>
          <w:sz w:val="26"/>
          <w:szCs w:val="26"/>
        </w:rPr>
        <w:t xml:space="preserve">on </w:t>
      </w:r>
      <w:r>
        <w:rPr>
          <w:sz w:val="26"/>
          <w:szCs w:val="26"/>
        </w:rPr>
        <w:t xml:space="preserve">April </w:t>
      </w:r>
      <w:r w:rsidRPr="0026750B">
        <w:rPr>
          <w:sz w:val="26"/>
          <w:szCs w:val="26"/>
        </w:rPr>
        <w:t>28</w:t>
      </w:r>
      <w:r>
        <w:rPr>
          <w:sz w:val="26"/>
          <w:szCs w:val="26"/>
        </w:rPr>
        <w:t xml:space="preserve">, </w:t>
      </w:r>
      <w:r w:rsidRPr="0026750B">
        <w:rPr>
          <w:sz w:val="26"/>
          <w:szCs w:val="26"/>
        </w:rPr>
        <w:t>2017</w:t>
      </w:r>
      <w:r>
        <w:rPr>
          <w:sz w:val="26"/>
          <w:szCs w:val="26"/>
        </w:rPr>
        <w:t>,</w:t>
      </w:r>
      <w:r w:rsidRPr="0026750B">
        <w:rPr>
          <w:sz w:val="26"/>
          <w:szCs w:val="26"/>
        </w:rPr>
        <w:t xml:space="preserve"> Duquesne </w:t>
      </w:r>
      <w:r>
        <w:rPr>
          <w:sz w:val="26"/>
          <w:szCs w:val="26"/>
        </w:rPr>
        <w:t xml:space="preserve">filed a Petition for Reconsideration </w:t>
      </w:r>
      <w:r>
        <w:rPr>
          <w:i/>
          <w:sz w:val="26"/>
          <w:szCs w:val="26"/>
        </w:rPr>
        <w:t xml:space="preserve">Nunc Pro </w:t>
      </w:r>
      <w:proofErr w:type="spellStart"/>
      <w:r>
        <w:rPr>
          <w:i/>
          <w:sz w:val="26"/>
          <w:szCs w:val="26"/>
        </w:rPr>
        <w:t>T</w:t>
      </w:r>
      <w:r w:rsidRPr="00F51A3C">
        <w:rPr>
          <w:i/>
          <w:sz w:val="26"/>
          <w:szCs w:val="26"/>
        </w:rPr>
        <w:t>un</w:t>
      </w:r>
      <w:r>
        <w:rPr>
          <w:i/>
          <w:sz w:val="26"/>
          <w:szCs w:val="26"/>
        </w:rPr>
        <w:t>c</w:t>
      </w:r>
      <w:proofErr w:type="spellEnd"/>
      <w:r>
        <w:rPr>
          <w:i/>
          <w:sz w:val="26"/>
          <w:szCs w:val="26"/>
        </w:rPr>
        <w:t xml:space="preserve">, </w:t>
      </w:r>
      <w:r>
        <w:rPr>
          <w:sz w:val="26"/>
          <w:szCs w:val="26"/>
        </w:rPr>
        <w:t>to contest the Commission’s initial determinations related to the amount of low</w:t>
      </w:r>
      <w:r>
        <w:rPr>
          <w:sz w:val="26"/>
          <w:szCs w:val="26"/>
        </w:rPr>
        <w:noBreakHyphen/>
        <w:t>income carryover.  Duquesne states in its petition that the SWE’s calculations of low</w:t>
      </w:r>
      <w:r>
        <w:rPr>
          <w:sz w:val="26"/>
          <w:szCs w:val="26"/>
        </w:rPr>
        <w:noBreakHyphen/>
        <w:t>income reduction requirement excess savings stem from a minor difference in construction of one value in Duquesne’s PY7 Final Annual Report; Table 1-6 of the report lists a value of 5,495 MWh for “Low Income Verified Gross Savings from Low Income Programs”.</w:t>
      </w:r>
      <w:r w:rsidRPr="0078146A">
        <w:rPr>
          <w:rStyle w:val="FootnoteReference"/>
          <w:sz w:val="26"/>
          <w:szCs w:val="26"/>
        </w:rPr>
        <w:t xml:space="preserve"> </w:t>
      </w:r>
      <w:r>
        <w:rPr>
          <w:rStyle w:val="FootnoteReference"/>
          <w:sz w:val="26"/>
          <w:szCs w:val="26"/>
        </w:rPr>
        <w:footnoteReference w:id="109"/>
      </w:r>
      <w:r>
        <w:rPr>
          <w:sz w:val="26"/>
          <w:szCs w:val="26"/>
        </w:rPr>
        <w:t xml:space="preserve">  </w:t>
      </w:r>
    </w:p>
    <w:p w:rsidR="00F642D9" w:rsidRDefault="00F642D9" w:rsidP="009F1675">
      <w:pPr>
        <w:spacing w:line="360" w:lineRule="auto"/>
        <w:ind w:firstLine="720"/>
        <w:rPr>
          <w:sz w:val="26"/>
          <w:szCs w:val="26"/>
        </w:rPr>
      </w:pPr>
    </w:p>
    <w:p w:rsidR="00F642D9" w:rsidRDefault="009F1675" w:rsidP="009F1675">
      <w:pPr>
        <w:spacing w:line="360" w:lineRule="auto"/>
        <w:ind w:firstLine="720"/>
        <w:rPr>
          <w:sz w:val="26"/>
          <w:szCs w:val="26"/>
        </w:rPr>
      </w:pPr>
      <w:r>
        <w:rPr>
          <w:sz w:val="26"/>
          <w:szCs w:val="26"/>
        </w:rPr>
        <w:t>The SWE expressed to Duquesne that when the SWE verified Duquesne’s low</w:t>
      </w:r>
      <w:r>
        <w:rPr>
          <w:sz w:val="26"/>
          <w:szCs w:val="26"/>
        </w:rPr>
        <w:noBreakHyphen/>
        <w:t xml:space="preserve">income reduction requirement excess savings, the SWE believed this value to comprise </w:t>
      </w:r>
      <w:r w:rsidRPr="008E63DD">
        <w:rPr>
          <w:i/>
          <w:sz w:val="26"/>
          <w:szCs w:val="26"/>
        </w:rPr>
        <w:t>all</w:t>
      </w:r>
      <w:r>
        <w:rPr>
          <w:sz w:val="26"/>
          <w:szCs w:val="26"/>
        </w:rPr>
        <w:t xml:space="preserve"> savings from program activities targeted specifically to low-income customers.  </w:t>
      </w:r>
      <w:proofErr w:type="gramStart"/>
      <w:r>
        <w:rPr>
          <w:sz w:val="26"/>
          <w:szCs w:val="26"/>
        </w:rPr>
        <w:t>In actuality, this</w:t>
      </w:r>
      <w:proofErr w:type="gramEnd"/>
      <w:r>
        <w:rPr>
          <w:sz w:val="26"/>
          <w:szCs w:val="26"/>
        </w:rPr>
        <w:t xml:space="preserve"> value includes 2,461 MWh in savings from activities not targeted specifically to low-income customers, and does </w:t>
      </w:r>
      <w:r w:rsidRPr="008E63DD">
        <w:rPr>
          <w:i/>
          <w:sz w:val="26"/>
          <w:szCs w:val="26"/>
        </w:rPr>
        <w:t>not</w:t>
      </w:r>
      <w:r>
        <w:rPr>
          <w:sz w:val="26"/>
          <w:szCs w:val="26"/>
        </w:rPr>
        <w:t xml:space="preserve"> include savings from Duquesne’s multifamily retro-fit program, of which 96%, or 4,105 MWh, represent low</w:t>
      </w:r>
      <w:r w:rsidR="00307BE8">
        <w:rPr>
          <w:sz w:val="26"/>
          <w:szCs w:val="26"/>
        </w:rPr>
        <w:noBreakHyphen/>
      </w:r>
      <w:r>
        <w:rPr>
          <w:sz w:val="26"/>
          <w:szCs w:val="26"/>
        </w:rPr>
        <w:t xml:space="preserve">income savings.  Re-including these adjustments accounts for the difference between Duquesne’s and the SWE’s results.  </w:t>
      </w:r>
      <w:r w:rsidR="00942CD7">
        <w:rPr>
          <w:sz w:val="26"/>
          <w:szCs w:val="26"/>
        </w:rPr>
        <w:t>In addition, Duquesne acknowledged that it identified a small error in its calculation of one of its low</w:t>
      </w:r>
      <w:r w:rsidR="00942CD7">
        <w:rPr>
          <w:sz w:val="26"/>
          <w:szCs w:val="26"/>
        </w:rPr>
        <w:noBreakHyphen/>
        <w:t>income program realization rates.  Duquesne further states that correcting this error decreases the savings by 59 MWh, from 5,495 to 5,436 MWh.  Duquesne states, t</w:t>
      </w:r>
      <w:r>
        <w:rPr>
          <w:sz w:val="26"/>
          <w:szCs w:val="26"/>
        </w:rPr>
        <w:t xml:space="preserve">herefore, </w:t>
      </w:r>
      <w:r w:rsidR="00942CD7">
        <w:rPr>
          <w:sz w:val="26"/>
          <w:szCs w:val="26"/>
        </w:rPr>
        <w:t xml:space="preserve">by </w:t>
      </w:r>
      <w:r>
        <w:rPr>
          <w:sz w:val="26"/>
          <w:szCs w:val="26"/>
        </w:rPr>
        <w:t xml:space="preserve">using the Commission’s prescribed calculation methodology, with this corrected value of 5,436 </w:t>
      </w:r>
      <w:r>
        <w:rPr>
          <w:sz w:val="26"/>
          <w:szCs w:val="26"/>
        </w:rPr>
        <w:lastRenderedPageBreak/>
        <w:t>MWh, Duquesne’s program yields 3,266 MWh in low</w:t>
      </w:r>
      <w:r>
        <w:rPr>
          <w:sz w:val="26"/>
          <w:szCs w:val="26"/>
        </w:rPr>
        <w:noBreakHyphen/>
        <w:t>income reduction requirement excess savings eligible for carryover into Phase III.</w:t>
      </w:r>
      <w:r>
        <w:rPr>
          <w:rStyle w:val="FootnoteReference"/>
          <w:i/>
          <w:sz w:val="26"/>
          <w:szCs w:val="26"/>
        </w:rPr>
        <w:footnoteReference w:id="110"/>
      </w:r>
      <w:r>
        <w:rPr>
          <w:sz w:val="26"/>
          <w:szCs w:val="26"/>
        </w:rPr>
        <w:t xml:space="preserve">  </w:t>
      </w:r>
    </w:p>
    <w:p w:rsidR="00F642D9" w:rsidRDefault="00F642D9" w:rsidP="009F1675">
      <w:pPr>
        <w:spacing w:line="360" w:lineRule="auto"/>
        <w:ind w:firstLine="720"/>
        <w:rPr>
          <w:sz w:val="26"/>
          <w:szCs w:val="26"/>
        </w:rPr>
      </w:pPr>
    </w:p>
    <w:p w:rsidR="009F1675" w:rsidRDefault="00710D9B" w:rsidP="009F1675">
      <w:pPr>
        <w:spacing w:line="360" w:lineRule="auto"/>
        <w:ind w:firstLine="720"/>
        <w:rPr>
          <w:sz w:val="26"/>
          <w:szCs w:val="26"/>
        </w:rPr>
      </w:pPr>
      <w:r w:rsidRPr="009D72C1">
        <w:rPr>
          <w:sz w:val="26"/>
          <w:szCs w:val="26"/>
        </w:rPr>
        <w:t xml:space="preserve">In its </w:t>
      </w:r>
      <w:r w:rsidRPr="005B5E2A">
        <w:rPr>
          <w:sz w:val="26"/>
          <w:szCs w:val="26"/>
        </w:rPr>
        <w:t>Amended Phase II Final Annual Report</w:t>
      </w:r>
      <w:r w:rsidRPr="009D72C1">
        <w:rPr>
          <w:sz w:val="26"/>
          <w:szCs w:val="26"/>
        </w:rPr>
        <w:t xml:space="preserve">, the SWE validates </w:t>
      </w:r>
      <w:r w:rsidRPr="00902C1B">
        <w:rPr>
          <w:sz w:val="26"/>
          <w:szCs w:val="26"/>
        </w:rPr>
        <w:t>Duquesne’s</w:t>
      </w:r>
      <w:r>
        <w:rPr>
          <w:sz w:val="26"/>
          <w:szCs w:val="26"/>
        </w:rPr>
        <w:t xml:space="preserve"> </w:t>
      </w:r>
      <w:r w:rsidRPr="00902C1B">
        <w:rPr>
          <w:sz w:val="26"/>
          <w:szCs w:val="26"/>
        </w:rPr>
        <w:t>low</w:t>
      </w:r>
      <w:r>
        <w:rPr>
          <w:sz w:val="26"/>
          <w:szCs w:val="26"/>
        </w:rPr>
        <w:noBreakHyphen/>
        <w:t>income reduction requirement excess savings of 3,266 MWh and</w:t>
      </w:r>
      <w:r w:rsidRPr="009D72C1">
        <w:rPr>
          <w:sz w:val="26"/>
          <w:szCs w:val="26"/>
        </w:rPr>
        <w:t xml:space="preserve"> Duquesne’s</w:t>
      </w:r>
      <w:r>
        <w:rPr>
          <w:sz w:val="26"/>
          <w:szCs w:val="26"/>
        </w:rPr>
        <w:t xml:space="preserve"> “Low Income Verified Gross Savings from Low Income Programs” of 5,436 MWh, which </w:t>
      </w:r>
      <w:r w:rsidRPr="009D72C1">
        <w:rPr>
          <w:sz w:val="26"/>
          <w:szCs w:val="26"/>
        </w:rPr>
        <w:t>consequentially reduces Duquesne’s portfolio</w:t>
      </w:r>
      <w:r w:rsidRPr="009D72C1">
        <w:rPr>
          <w:sz w:val="26"/>
          <w:szCs w:val="26"/>
        </w:rPr>
        <w:noBreakHyphen/>
        <w:t>level electric consumption carryover savings of 100,526 MWh to 100,467 MWh.</w:t>
      </w:r>
      <w:r w:rsidRPr="009D72C1">
        <w:rPr>
          <w:rStyle w:val="FootnoteReference"/>
          <w:sz w:val="26"/>
          <w:szCs w:val="26"/>
        </w:rPr>
        <w:footnoteReference w:id="111"/>
      </w:r>
    </w:p>
    <w:p w:rsidR="00510E6D" w:rsidRDefault="00510E6D" w:rsidP="009F1675">
      <w:pPr>
        <w:spacing w:line="360" w:lineRule="auto"/>
        <w:ind w:firstLine="720"/>
        <w:rPr>
          <w:sz w:val="26"/>
          <w:szCs w:val="26"/>
        </w:rPr>
      </w:pPr>
    </w:p>
    <w:p w:rsidR="00510E6D" w:rsidRDefault="00510E6D" w:rsidP="009F1675">
      <w:pPr>
        <w:spacing w:line="360" w:lineRule="auto"/>
        <w:ind w:firstLine="720"/>
        <w:rPr>
          <w:sz w:val="26"/>
          <w:szCs w:val="26"/>
        </w:rPr>
      </w:pPr>
      <w:r>
        <w:rPr>
          <w:sz w:val="26"/>
          <w:szCs w:val="26"/>
        </w:rPr>
        <w:t>The Commission agrees with the MWh reductions associated with the programs not targeted specifically to low</w:t>
      </w:r>
      <w:r>
        <w:rPr>
          <w:sz w:val="26"/>
          <w:szCs w:val="26"/>
        </w:rPr>
        <w:noBreakHyphen/>
        <w:t>income customers and the low</w:t>
      </w:r>
      <w:r>
        <w:rPr>
          <w:sz w:val="26"/>
          <w:szCs w:val="26"/>
        </w:rPr>
        <w:noBreakHyphen/>
        <w:t>income program realization rate error.  The Commission also agrees with the addition of MWh’s associated with the multifamily retro</w:t>
      </w:r>
      <w:r>
        <w:rPr>
          <w:sz w:val="26"/>
          <w:szCs w:val="26"/>
        </w:rPr>
        <w:noBreakHyphen/>
        <w:t>fit program</w:t>
      </w:r>
      <w:r w:rsidR="001D787E">
        <w:rPr>
          <w:sz w:val="26"/>
          <w:szCs w:val="26"/>
        </w:rPr>
        <w:t xml:space="preserve"> attributable to the low</w:t>
      </w:r>
      <w:r w:rsidR="001D787E">
        <w:rPr>
          <w:sz w:val="26"/>
          <w:szCs w:val="26"/>
        </w:rPr>
        <w:noBreakHyphen/>
        <w:t xml:space="preserve">income program.  Therefore, </w:t>
      </w:r>
      <w:r w:rsidR="00710D9B">
        <w:rPr>
          <w:sz w:val="26"/>
          <w:szCs w:val="26"/>
        </w:rPr>
        <w:t>the Commission accepts a portfolio</w:t>
      </w:r>
      <w:r w:rsidR="00710D9B">
        <w:rPr>
          <w:sz w:val="26"/>
          <w:szCs w:val="26"/>
        </w:rPr>
        <w:noBreakHyphen/>
        <w:t>level carryover total of 100,467 MWh to be credited</w:t>
      </w:r>
      <w:r w:rsidR="00E10DAB">
        <w:rPr>
          <w:sz w:val="26"/>
          <w:szCs w:val="26"/>
        </w:rPr>
        <w:t xml:space="preserve"> against Duquesne’s Phase III portfolio</w:t>
      </w:r>
      <w:r w:rsidR="00E10DAB">
        <w:rPr>
          <w:sz w:val="26"/>
          <w:szCs w:val="26"/>
        </w:rPr>
        <w:noBreakHyphen/>
        <w:t xml:space="preserve">level electric consumption reduction requirements and accepts </w:t>
      </w:r>
      <w:r w:rsidR="001D787E">
        <w:rPr>
          <w:sz w:val="26"/>
          <w:szCs w:val="26"/>
        </w:rPr>
        <w:t>an excess savings total of 3,266 MWh will be credited against Duquesne’s Phase III low</w:t>
      </w:r>
      <w:r w:rsidR="001D787E">
        <w:rPr>
          <w:sz w:val="26"/>
          <w:szCs w:val="26"/>
        </w:rPr>
        <w:noBreakHyphen/>
        <w:t>income reduction requirements.</w:t>
      </w:r>
    </w:p>
    <w:p w:rsidR="00D14F60" w:rsidRDefault="00D14F60" w:rsidP="009F1675">
      <w:pPr>
        <w:spacing w:line="360" w:lineRule="auto"/>
        <w:ind w:firstLine="720"/>
        <w:rPr>
          <w:sz w:val="26"/>
          <w:szCs w:val="26"/>
        </w:rPr>
      </w:pPr>
    </w:p>
    <w:p w:rsidR="00A43D1D" w:rsidRDefault="00A43D1D" w:rsidP="00415B77">
      <w:pPr>
        <w:pStyle w:val="p3"/>
        <w:tabs>
          <w:tab w:val="clear" w:pos="204"/>
        </w:tabs>
        <w:spacing w:line="360" w:lineRule="auto"/>
        <w:rPr>
          <w:sz w:val="26"/>
          <w:szCs w:val="26"/>
        </w:rPr>
      </w:pPr>
      <w:r>
        <w:rPr>
          <w:sz w:val="26"/>
          <w:szCs w:val="26"/>
        </w:rPr>
        <w:tab/>
      </w:r>
      <w:r>
        <w:rPr>
          <w:sz w:val="26"/>
          <w:szCs w:val="26"/>
        </w:rPr>
        <w:tab/>
      </w:r>
      <w:r>
        <w:rPr>
          <w:b/>
          <w:sz w:val="26"/>
          <w:szCs w:val="26"/>
        </w:rPr>
        <w:t>b.</w:t>
      </w:r>
      <w:r>
        <w:rPr>
          <w:b/>
          <w:sz w:val="26"/>
          <w:szCs w:val="26"/>
        </w:rPr>
        <w:tab/>
        <w:t>Met-Ed</w:t>
      </w:r>
    </w:p>
    <w:p w:rsidR="007C5E6A" w:rsidRPr="002D78BB" w:rsidRDefault="00D31E5F" w:rsidP="007C5E6A">
      <w:pPr>
        <w:widowControl w:val="0"/>
        <w:spacing w:line="360" w:lineRule="auto"/>
        <w:rPr>
          <w:sz w:val="26"/>
          <w:szCs w:val="26"/>
        </w:rPr>
      </w:pPr>
      <w:r>
        <w:rPr>
          <w:sz w:val="26"/>
          <w:szCs w:val="26"/>
        </w:rPr>
        <w:tab/>
      </w:r>
      <w:r w:rsidR="007C5E6A" w:rsidRPr="007C5E6A">
        <w:rPr>
          <w:sz w:val="26"/>
          <w:szCs w:val="26"/>
        </w:rPr>
        <w:t xml:space="preserve"> </w:t>
      </w:r>
      <w:r w:rsidR="007C5E6A" w:rsidRPr="002D78BB">
        <w:rPr>
          <w:sz w:val="26"/>
          <w:szCs w:val="26"/>
        </w:rPr>
        <w:t xml:space="preserve">In its PY7 Final Annual Report, Met-Ed reports it attained the </w:t>
      </w:r>
      <w:r w:rsidR="002D616A">
        <w:rPr>
          <w:sz w:val="26"/>
          <w:szCs w:val="26"/>
        </w:rPr>
        <w:t>portfolio</w:t>
      </w:r>
      <w:r w:rsidR="002D616A">
        <w:rPr>
          <w:sz w:val="26"/>
          <w:szCs w:val="26"/>
        </w:rPr>
        <w:noBreakHyphen/>
        <w:t xml:space="preserve">level </w:t>
      </w:r>
      <w:r w:rsidR="007C5E6A" w:rsidRPr="002D78BB">
        <w:rPr>
          <w:sz w:val="26"/>
          <w:szCs w:val="26"/>
        </w:rPr>
        <w:t xml:space="preserve">TRM-verified </w:t>
      </w:r>
      <w:r w:rsidR="007C5E6A" w:rsidRPr="007C5E6A">
        <w:rPr>
          <w:sz w:val="26"/>
          <w:szCs w:val="26"/>
        </w:rPr>
        <w:t xml:space="preserve">electric consumption </w:t>
      </w:r>
      <w:r w:rsidR="007C5E6A" w:rsidRPr="002D78BB">
        <w:rPr>
          <w:sz w:val="26"/>
          <w:szCs w:val="26"/>
        </w:rPr>
        <w:t>carryover savings amount of 30,482 MWh</w:t>
      </w:r>
      <w:r w:rsidR="007C5E6A" w:rsidRPr="007C5E6A">
        <w:rPr>
          <w:sz w:val="26"/>
          <w:szCs w:val="26"/>
        </w:rPr>
        <w:t xml:space="preserve"> and </w:t>
      </w:r>
      <w:r w:rsidR="00E711B5" w:rsidRPr="00902C1B">
        <w:rPr>
          <w:sz w:val="26"/>
          <w:szCs w:val="26"/>
        </w:rPr>
        <w:t>low</w:t>
      </w:r>
      <w:r w:rsidR="002D616A">
        <w:rPr>
          <w:sz w:val="26"/>
          <w:szCs w:val="26"/>
        </w:rPr>
        <w:noBreakHyphen/>
      </w:r>
      <w:r w:rsidR="00E711B5" w:rsidRPr="00902C1B">
        <w:rPr>
          <w:sz w:val="26"/>
          <w:szCs w:val="26"/>
        </w:rPr>
        <w:t xml:space="preserve">income </w:t>
      </w:r>
      <w:r w:rsidR="00E711B5">
        <w:rPr>
          <w:sz w:val="26"/>
          <w:szCs w:val="26"/>
        </w:rPr>
        <w:t>reduction requirement excess savings of 5,025 MWh</w:t>
      </w:r>
      <w:r w:rsidR="00643511">
        <w:rPr>
          <w:sz w:val="26"/>
          <w:szCs w:val="26"/>
        </w:rPr>
        <w:t>; however, it was not able to attain excess savings from the G/E/NP reduction requirement</w:t>
      </w:r>
      <w:r w:rsidR="007C5E6A" w:rsidRPr="002D78BB">
        <w:rPr>
          <w:sz w:val="26"/>
          <w:szCs w:val="26"/>
        </w:rPr>
        <w:t>.</w:t>
      </w:r>
      <w:r w:rsidR="007C5E6A" w:rsidRPr="007C5E6A">
        <w:rPr>
          <w:sz w:val="26"/>
          <w:szCs w:val="26"/>
          <w:vertAlign w:val="superscript"/>
        </w:rPr>
        <w:footnoteReference w:id="112"/>
      </w:r>
      <w:r w:rsidR="007C5E6A" w:rsidRPr="002D78BB">
        <w:rPr>
          <w:sz w:val="26"/>
          <w:szCs w:val="26"/>
        </w:rPr>
        <w:t xml:space="preserve">  In its </w:t>
      </w:r>
      <w:r w:rsidR="00942CD7">
        <w:rPr>
          <w:sz w:val="26"/>
          <w:szCs w:val="26"/>
        </w:rPr>
        <w:t xml:space="preserve">Amended </w:t>
      </w:r>
      <w:r w:rsidR="007C5E6A" w:rsidRPr="002D78BB">
        <w:rPr>
          <w:sz w:val="26"/>
          <w:szCs w:val="26"/>
        </w:rPr>
        <w:t xml:space="preserve">Phase II Final Annual Report, the SWE validates Met-Ed’s </w:t>
      </w:r>
      <w:r w:rsidR="002D616A">
        <w:rPr>
          <w:sz w:val="26"/>
          <w:szCs w:val="26"/>
        </w:rPr>
        <w:t>portfolio</w:t>
      </w:r>
      <w:r w:rsidR="002D616A">
        <w:rPr>
          <w:sz w:val="26"/>
          <w:szCs w:val="26"/>
        </w:rPr>
        <w:noBreakHyphen/>
        <w:t xml:space="preserve">level </w:t>
      </w:r>
      <w:r w:rsidR="007C5E6A" w:rsidRPr="002D78BB">
        <w:rPr>
          <w:sz w:val="26"/>
          <w:szCs w:val="26"/>
        </w:rPr>
        <w:t xml:space="preserve">carryover of </w:t>
      </w:r>
      <w:r w:rsidR="007C5E6A" w:rsidRPr="007C5E6A">
        <w:rPr>
          <w:sz w:val="26"/>
          <w:szCs w:val="26"/>
        </w:rPr>
        <w:t xml:space="preserve">electric consumption in the amount of </w:t>
      </w:r>
      <w:r w:rsidR="007C5E6A" w:rsidRPr="002D78BB">
        <w:rPr>
          <w:sz w:val="26"/>
          <w:szCs w:val="26"/>
        </w:rPr>
        <w:t>30,482 MWh</w:t>
      </w:r>
      <w:r w:rsidR="007C5E6A" w:rsidRPr="007C5E6A">
        <w:rPr>
          <w:sz w:val="26"/>
          <w:szCs w:val="26"/>
        </w:rPr>
        <w:t xml:space="preserve"> and </w:t>
      </w:r>
      <w:r w:rsidR="00E711B5" w:rsidRPr="00902C1B">
        <w:rPr>
          <w:sz w:val="26"/>
          <w:szCs w:val="26"/>
        </w:rPr>
        <w:t>low</w:t>
      </w:r>
      <w:r w:rsidR="002D616A">
        <w:rPr>
          <w:sz w:val="26"/>
          <w:szCs w:val="26"/>
        </w:rPr>
        <w:noBreakHyphen/>
      </w:r>
      <w:r w:rsidR="00E711B5" w:rsidRPr="00902C1B">
        <w:rPr>
          <w:sz w:val="26"/>
          <w:szCs w:val="26"/>
        </w:rPr>
        <w:t xml:space="preserve">income </w:t>
      </w:r>
      <w:r w:rsidR="00E711B5">
        <w:rPr>
          <w:sz w:val="26"/>
          <w:szCs w:val="26"/>
        </w:rPr>
        <w:t xml:space="preserve">reduction requirement excess savings of </w:t>
      </w:r>
      <w:r w:rsidR="007C5E6A" w:rsidRPr="007C5E6A">
        <w:rPr>
          <w:sz w:val="26"/>
          <w:szCs w:val="26"/>
        </w:rPr>
        <w:t>5,025 MWh</w:t>
      </w:r>
      <w:r w:rsidR="00643511">
        <w:rPr>
          <w:sz w:val="26"/>
          <w:szCs w:val="26"/>
        </w:rPr>
        <w:t>; and that Met</w:t>
      </w:r>
      <w:r w:rsidR="00643511">
        <w:rPr>
          <w:sz w:val="26"/>
          <w:szCs w:val="26"/>
        </w:rPr>
        <w:noBreakHyphen/>
        <w:t xml:space="preserve">Ed is not able to carry over </w:t>
      </w:r>
      <w:r w:rsidR="00643511">
        <w:rPr>
          <w:sz w:val="26"/>
          <w:szCs w:val="26"/>
        </w:rPr>
        <w:lastRenderedPageBreak/>
        <w:t>G/E/NP reduction requirement excess savings</w:t>
      </w:r>
      <w:r w:rsidR="007C5E6A" w:rsidRPr="002D78BB">
        <w:rPr>
          <w:sz w:val="26"/>
          <w:szCs w:val="26"/>
        </w:rPr>
        <w:t>.</w:t>
      </w:r>
      <w:r w:rsidR="007C5E6A" w:rsidRPr="007C5E6A">
        <w:rPr>
          <w:sz w:val="26"/>
          <w:szCs w:val="26"/>
          <w:vertAlign w:val="superscript"/>
        </w:rPr>
        <w:footnoteReference w:id="113"/>
      </w:r>
      <w:r w:rsidR="007C5E6A" w:rsidRPr="002D78BB">
        <w:rPr>
          <w:sz w:val="26"/>
          <w:szCs w:val="26"/>
        </w:rPr>
        <w:t xml:space="preserve">  The Commission agrees with the TRM-verified carryover </w:t>
      </w:r>
      <w:r w:rsidR="00E711B5">
        <w:rPr>
          <w:sz w:val="26"/>
          <w:szCs w:val="26"/>
        </w:rPr>
        <w:t xml:space="preserve">and excess </w:t>
      </w:r>
      <w:r w:rsidR="007C5E6A" w:rsidRPr="002D78BB">
        <w:rPr>
          <w:sz w:val="26"/>
          <w:szCs w:val="26"/>
        </w:rPr>
        <w:t xml:space="preserve">savings reported by </w:t>
      </w:r>
      <w:r w:rsidR="005F20BE" w:rsidRPr="002D78BB">
        <w:rPr>
          <w:sz w:val="26"/>
          <w:szCs w:val="26"/>
        </w:rPr>
        <w:t>Met-Ed, confirmed by the SWE,</w:t>
      </w:r>
      <w:r w:rsidR="007C5E6A" w:rsidRPr="002D78BB">
        <w:rPr>
          <w:sz w:val="26"/>
          <w:szCs w:val="26"/>
        </w:rPr>
        <w:t xml:space="preserve"> and accepts a </w:t>
      </w:r>
      <w:r w:rsidR="002D616A">
        <w:rPr>
          <w:sz w:val="26"/>
          <w:szCs w:val="26"/>
        </w:rPr>
        <w:t>portfolio</w:t>
      </w:r>
      <w:r w:rsidR="002D616A">
        <w:rPr>
          <w:sz w:val="26"/>
          <w:szCs w:val="26"/>
        </w:rPr>
        <w:noBreakHyphen/>
        <w:t xml:space="preserve">level </w:t>
      </w:r>
      <w:r w:rsidR="007C5E6A" w:rsidRPr="002D78BB">
        <w:rPr>
          <w:sz w:val="26"/>
          <w:szCs w:val="26"/>
        </w:rPr>
        <w:t>carryover total of 30,482 MWh to be credited against Met</w:t>
      </w:r>
      <w:r w:rsidR="00942CD7">
        <w:rPr>
          <w:sz w:val="26"/>
          <w:szCs w:val="26"/>
        </w:rPr>
        <w:noBreakHyphen/>
      </w:r>
      <w:r w:rsidR="007C5E6A" w:rsidRPr="002D78BB">
        <w:rPr>
          <w:sz w:val="26"/>
          <w:szCs w:val="26"/>
        </w:rPr>
        <w:t xml:space="preserve">Ed’s Phase III </w:t>
      </w:r>
      <w:r w:rsidR="002D616A">
        <w:rPr>
          <w:sz w:val="26"/>
          <w:szCs w:val="26"/>
        </w:rPr>
        <w:t>portfolio</w:t>
      </w:r>
      <w:r w:rsidR="002D616A">
        <w:rPr>
          <w:sz w:val="26"/>
          <w:szCs w:val="26"/>
        </w:rPr>
        <w:noBreakHyphen/>
        <w:t xml:space="preserve">level </w:t>
      </w:r>
      <w:r w:rsidR="007C5E6A" w:rsidRPr="002D78BB">
        <w:rPr>
          <w:sz w:val="26"/>
          <w:szCs w:val="26"/>
        </w:rPr>
        <w:t>electric consumption reduction requirements</w:t>
      </w:r>
      <w:r w:rsidR="007C5E6A" w:rsidRPr="007C5E6A">
        <w:rPr>
          <w:sz w:val="26"/>
          <w:szCs w:val="26"/>
        </w:rPr>
        <w:t xml:space="preserve"> and a</w:t>
      </w:r>
      <w:r w:rsidR="00CE4DBC">
        <w:rPr>
          <w:sz w:val="26"/>
          <w:szCs w:val="26"/>
        </w:rPr>
        <w:t>n excess savings</w:t>
      </w:r>
      <w:r w:rsidR="007C5E6A" w:rsidRPr="007C5E6A">
        <w:rPr>
          <w:sz w:val="26"/>
          <w:szCs w:val="26"/>
        </w:rPr>
        <w:t xml:space="preserve"> total of 5,025 MWh to be credited against Met-Ed’s Phase III low</w:t>
      </w:r>
      <w:r w:rsidR="002D616A">
        <w:rPr>
          <w:sz w:val="26"/>
          <w:szCs w:val="26"/>
        </w:rPr>
        <w:noBreakHyphen/>
      </w:r>
      <w:r w:rsidR="007C5E6A" w:rsidRPr="007C5E6A">
        <w:rPr>
          <w:sz w:val="26"/>
          <w:szCs w:val="26"/>
        </w:rPr>
        <w:t>income reduction requirements</w:t>
      </w:r>
      <w:r w:rsidR="007C5E6A" w:rsidRPr="002D78BB">
        <w:rPr>
          <w:sz w:val="26"/>
          <w:szCs w:val="26"/>
        </w:rPr>
        <w:t>.</w:t>
      </w:r>
    </w:p>
    <w:p w:rsidR="00543ED4" w:rsidRDefault="00543ED4" w:rsidP="00D31E5F">
      <w:pPr>
        <w:pStyle w:val="p3"/>
        <w:tabs>
          <w:tab w:val="clear" w:pos="204"/>
        </w:tabs>
        <w:spacing w:line="360" w:lineRule="auto"/>
        <w:rPr>
          <w:sz w:val="26"/>
          <w:szCs w:val="26"/>
        </w:rPr>
      </w:pPr>
    </w:p>
    <w:p w:rsidR="0087726B" w:rsidRDefault="0087726B" w:rsidP="00D31E5F">
      <w:pPr>
        <w:pStyle w:val="p3"/>
        <w:tabs>
          <w:tab w:val="clear" w:pos="204"/>
        </w:tabs>
        <w:spacing w:line="360" w:lineRule="auto"/>
        <w:rPr>
          <w:sz w:val="26"/>
          <w:szCs w:val="26"/>
        </w:rPr>
      </w:pPr>
      <w:r>
        <w:rPr>
          <w:sz w:val="26"/>
          <w:szCs w:val="26"/>
        </w:rPr>
        <w:tab/>
      </w:r>
      <w:r>
        <w:rPr>
          <w:sz w:val="26"/>
          <w:szCs w:val="26"/>
        </w:rPr>
        <w:tab/>
      </w:r>
      <w:r>
        <w:rPr>
          <w:b/>
          <w:sz w:val="26"/>
          <w:szCs w:val="26"/>
        </w:rPr>
        <w:t>c.</w:t>
      </w:r>
      <w:r>
        <w:rPr>
          <w:b/>
          <w:sz w:val="26"/>
          <w:szCs w:val="26"/>
        </w:rPr>
        <w:tab/>
        <w:t>PECO</w:t>
      </w:r>
    </w:p>
    <w:p w:rsidR="00095070" w:rsidRDefault="00D31E5F" w:rsidP="00CE4DBC">
      <w:pPr>
        <w:pStyle w:val="p3"/>
        <w:tabs>
          <w:tab w:val="clear" w:pos="204"/>
        </w:tabs>
        <w:spacing w:line="360" w:lineRule="auto"/>
        <w:rPr>
          <w:sz w:val="26"/>
          <w:szCs w:val="26"/>
        </w:rPr>
      </w:pPr>
      <w:r>
        <w:rPr>
          <w:sz w:val="26"/>
          <w:szCs w:val="26"/>
        </w:rPr>
        <w:tab/>
      </w:r>
      <w:r w:rsidRPr="00F2122C">
        <w:rPr>
          <w:sz w:val="26"/>
          <w:szCs w:val="26"/>
        </w:rPr>
        <w:t xml:space="preserve">In its </w:t>
      </w:r>
      <w:r w:rsidR="00F2122C" w:rsidRPr="00F2122C">
        <w:rPr>
          <w:sz w:val="26"/>
          <w:szCs w:val="26"/>
        </w:rPr>
        <w:t>PY7</w:t>
      </w:r>
      <w:r w:rsidRPr="00F2122C">
        <w:rPr>
          <w:sz w:val="26"/>
          <w:szCs w:val="26"/>
        </w:rPr>
        <w:t xml:space="preserve"> Final Annual Report, PECO </w:t>
      </w:r>
      <w:r w:rsidR="0087726B" w:rsidRPr="00F2122C">
        <w:rPr>
          <w:sz w:val="26"/>
          <w:szCs w:val="26"/>
        </w:rPr>
        <w:t>reports it</w:t>
      </w:r>
      <w:r w:rsidR="00CE4DBC" w:rsidRPr="009D3C22">
        <w:rPr>
          <w:sz w:val="26"/>
          <w:szCs w:val="26"/>
        </w:rPr>
        <w:t xml:space="preserve"> is not eligible to carryover </w:t>
      </w:r>
      <w:r w:rsidR="002D616A">
        <w:rPr>
          <w:sz w:val="26"/>
          <w:szCs w:val="26"/>
        </w:rPr>
        <w:t>portfolio</w:t>
      </w:r>
      <w:r w:rsidR="002D616A">
        <w:rPr>
          <w:sz w:val="26"/>
          <w:szCs w:val="26"/>
        </w:rPr>
        <w:noBreakHyphen/>
        <w:t xml:space="preserve">level </w:t>
      </w:r>
      <w:r w:rsidR="00CE4DBC" w:rsidRPr="009D3C22">
        <w:rPr>
          <w:sz w:val="26"/>
          <w:szCs w:val="26"/>
        </w:rPr>
        <w:t>TRM-verified electric consumption savings</w:t>
      </w:r>
      <w:r w:rsidR="00CC5039">
        <w:rPr>
          <w:sz w:val="26"/>
          <w:szCs w:val="26"/>
        </w:rPr>
        <w:t>;</w:t>
      </w:r>
      <w:r w:rsidR="00CE4DBC">
        <w:rPr>
          <w:sz w:val="26"/>
          <w:szCs w:val="26"/>
        </w:rPr>
        <w:t xml:space="preserve"> however</w:t>
      </w:r>
      <w:r w:rsidR="00CC5039">
        <w:rPr>
          <w:sz w:val="26"/>
          <w:szCs w:val="26"/>
        </w:rPr>
        <w:t>,</w:t>
      </w:r>
      <w:r w:rsidR="00CE4DBC">
        <w:rPr>
          <w:sz w:val="26"/>
          <w:szCs w:val="26"/>
        </w:rPr>
        <w:t xml:space="preserve"> it </w:t>
      </w:r>
      <w:r w:rsidR="00C64666" w:rsidRPr="00B257EC">
        <w:rPr>
          <w:sz w:val="26"/>
          <w:szCs w:val="26"/>
        </w:rPr>
        <w:t>attained</w:t>
      </w:r>
      <w:r w:rsidR="00C64666">
        <w:rPr>
          <w:sz w:val="26"/>
          <w:szCs w:val="26"/>
        </w:rPr>
        <w:t xml:space="preserve"> </w:t>
      </w:r>
      <w:r w:rsidR="00C64666" w:rsidRPr="00B257EC">
        <w:rPr>
          <w:sz w:val="26"/>
          <w:szCs w:val="26"/>
        </w:rPr>
        <w:t xml:space="preserve">G/E/NP </w:t>
      </w:r>
      <w:r w:rsidR="00C64666">
        <w:rPr>
          <w:sz w:val="26"/>
          <w:szCs w:val="26"/>
        </w:rPr>
        <w:t>reduction requirement excess savings of 115,400</w:t>
      </w:r>
      <w:r w:rsidR="00C64666" w:rsidRPr="00B257EC">
        <w:rPr>
          <w:sz w:val="26"/>
          <w:szCs w:val="26"/>
        </w:rPr>
        <w:t xml:space="preserve"> MWh</w:t>
      </w:r>
      <w:r w:rsidR="00C64666">
        <w:rPr>
          <w:sz w:val="26"/>
          <w:szCs w:val="26"/>
        </w:rPr>
        <w:t xml:space="preserve"> and </w:t>
      </w:r>
      <w:r w:rsidR="00C64666" w:rsidRPr="00B257EC">
        <w:rPr>
          <w:sz w:val="26"/>
          <w:szCs w:val="26"/>
        </w:rPr>
        <w:t>low</w:t>
      </w:r>
      <w:r w:rsidR="00B05905">
        <w:rPr>
          <w:sz w:val="26"/>
          <w:szCs w:val="26"/>
        </w:rPr>
        <w:noBreakHyphen/>
      </w:r>
      <w:r w:rsidR="00C64666" w:rsidRPr="00B257EC">
        <w:rPr>
          <w:sz w:val="26"/>
          <w:szCs w:val="26"/>
        </w:rPr>
        <w:t xml:space="preserve">income </w:t>
      </w:r>
      <w:r w:rsidR="00C64666">
        <w:rPr>
          <w:sz w:val="26"/>
          <w:szCs w:val="26"/>
        </w:rPr>
        <w:t>reduction requirement excess savings</w:t>
      </w:r>
      <w:r w:rsidR="00C64666" w:rsidRPr="00B257EC">
        <w:rPr>
          <w:sz w:val="26"/>
          <w:szCs w:val="26"/>
        </w:rPr>
        <w:t xml:space="preserve"> of </w:t>
      </w:r>
      <w:r w:rsidR="00C64666">
        <w:rPr>
          <w:sz w:val="26"/>
          <w:szCs w:val="26"/>
        </w:rPr>
        <w:t>3,729</w:t>
      </w:r>
      <w:r w:rsidR="00C64666" w:rsidRPr="00B257EC">
        <w:rPr>
          <w:sz w:val="26"/>
          <w:szCs w:val="26"/>
        </w:rPr>
        <w:t xml:space="preserve"> MWh</w:t>
      </w:r>
      <w:r w:rsidR="00CE4DBC">
        <w:rPr>
          <w:sz w:val="26"/>
          <w:szCs w:val="26"/>
        </w:rPr>
        <w:t>.</w:t>
      </w:r>
      <w:r w:rsidR="006F12D3">
        <w:rPr>
          <w:rStyle w:val="FootnoteReference"/>
          <w:sz w:val="26"/>
          <w:szCs w:val="26"/>
        </w:rPr>
        <w:footnoteReference w:id="114"/>
      </w:r>
      <w:r w:rsidR="00012A72">
        <w:rPr>
          <w:sz w:val="26"/>
          <w:szCs w:val="26"/>
        </w:rPr>
        <w:t xml:space="preserve">  </w:t>
      </w:r>
      <w:r w:rsidR="00C64666" w:rsidRPr="00C32C2E">
        <w:rPr>
          <w:sz w:val="26"/>
          <w:szCs w:val="26"/>
        </w:rPr>
        <w:t xml:space="preserve">In its </w:t>
      </w:r>
      <w:r w:rsidR="0066082E">
        <w:rPr>
          <w:sz w:val="26"/>
          <w:szCs w:val="26"/>
        </w:rPr>
        <w:t xml:space="preserve">Amended </w:t>
      </w:r>
      <w:r w:rsidR="00C64666" w:rsidRPr="00C32C2E">
        <w:rPr>
          <w:sz w:val="26"/>
          <w:szCs w:val="26"/>
        </w:rPr>
        <w:t>Phase I</w:t>
      </w:r>
      <w:r w:rsidR="00C64666">
        <w:rPr>
          <w:sz w:val="26"/>
          <w:szCs w:val="26"/>
        </w:rPr>
        <w:t>I</w:t>
      </w:r>
      <w:r w:rsidR="00C64666" w:rsidRPr="00C32C2E">
        <w:rPr>
          <w:sz w:val="26"/>
          <w:szCs w:val="26"/>
        </w:rPr>
        <w:t xml:space="preserve"> Final Annual Report, </w:t>
      </w:r>
      <w:r w:rsidR="004A13D8">
        <w:rPr>
          <w:sz w:val="26"/>
          <w:szCs w:val="26"/>
        </w:rPr>
        <w:t xml:space="preserve">the </w:t>
      </w:r>
      <w:r w:rsidR="004A13D8" w:rsidRPr="00C32C2E">
        <w:rPr>
          <w:sz w:val="26"/>
          <w:szCs w:val="26"/>
        </w:rPr>
        <w:t xml:space="preserve">SWE </w:t>
      </w:r>
      <w:r w:rsidR="004A13D8">
        <w:rPr>
          <w:sz w:val="26"/>
          <w:szCs w:val="26"/>
        </w:rPr>
        <w:t xml:space="preserve">validates that PECO is not eligible to carryover </w:t>
      </w:r>
      <w:r w:rsidR="00B05905">
        <w:rPr>
          <w:sz w:val="26"/>
          <w:szCs w:val="26"/>
        </w:rPr>
        <w:t>portfolio</w:t>
      </w:r>
      <w:r w:rsidR="00B05905">
        <w:rPr>
          <w:sz w:val="26"/>
          <w:szCs w:val="26"/>
        </w:rPr>
        <w:noBreakHyphen/>
        <w:t xml:space="preserve">level </w:t>
      </w:r>
      <w:r w:rsidR="004A13D8">
        <w:rPr>
          <w:sz w:val="26"/>
          <w:szCs w:val="26"/>
        </w:rPr>
        <w:t xml:space="preserve">savings towards its Phase III </w:t>
      </w:r>
      <w:r w:rsidR="00B05905">
        <w:rPr>
          <w:sz w:val="26"/>
          <w:szCs w:val="26"/>
        </w:rPr>
        <w:t>portfolio</w:t>
      </w:r>
      <w:r w:rsidR="00B05905">
        <w:rPr>
          <w:sz w:val="26"/>
          <w:szCs w:val="26"/>
        </w:rPr>
        <w:noBreakHyphen/>
        <w:t xml:space="preserve">level </w:t>
      </w:r>
      <w:r w:rsidR="004A13D8">
        <w:rPr>
          <w:sz w:val="26"/>
          <w:szCs w:val="26"/>
        </w:rPr>
        <w:t>electric consumption reduction requirement, but is eligible to carryover</w:t>
      </w:r>
      <w:r w:rsidR="004A13D8" w:rsidRPr="00B257EC">
        <w:rPr>
          <w:sz w:val="26"/>
          <w:szCs w:val="26"/>
        </w:rPr>
        <w:t xml:space="preserve"> </w:t>
      </w:r>
      <w:r w:rsidR="00C64666" w:rsidRPr="00B257EC">
        <w:rPr>
          <w:sz w:val="26"/>
          <w:szCs w:val="26"/>
        </w:rPr>
        <w:t xml:space="preserve">G/E/NP </w:t>
      </w:r>
      <w:r w:rsidR="00C64666">
        <w:rPr>
          <w:sz w:val="26"/>
          <w:szCs w:val="26"/>
        </w:rPr>
        <w:t>reduction requirement excess savings of 115,400</w:t>
      </w:r>
      <w:r w:rsidR="00C64666" w:rsidRPr="00B257EC">
        <w:rPr>
          <w:sz w:val="26"/>
          <w:szCs w:val="26"/>
        </w:rPr>
        <w:t xml:space="preserve"> MWh</w:t>
      </w:r>
      <w:r w:rsidR="00C64666">
        <w:rPr>
          <w:sz w:val="26"/>
          <w:szCs w:val="26"/>
        </w:rPr>
        <w:t>.</w:t>
      </w:r>
      <w:r w:rsidR="00CB0F9F">
        <w:rPr>
          <w:rStyle w:val="FootnoteReference"/>
          <w:sz w:val="26"/>
          <w:szCs w:val="26"/>
        </w:rPr>
        <w:footnoteReference w:id="115"/>
      </w:r>
      <w:r w:rsidR="00CB0F9F">
        <w:rPr>
          <w:sz w:val="26"/>
          <w:szCs w:val="26"/>
        </w:rPr>
        <w:t xml:space="preserve"> </w:t>
      </w:r>
      <w:r w:rsidR="00012A72">
        <w:rPr>
          <w:sz w:val="26"/>
          <w:szCs w:val="26"/>
        </w:rPr>
        <w:t xml:space="preserve"> </w:t>
      </w:r>
      <w:r w:rsidR="00C64666">
        <w:rPr>
          <w:sz w:val="26"/>
          <w:szCs w:val="26"/>
        </w:rPr>
        <w:t xml:space="preserve">However, the SWE </w:t>
      </w:r>
      <w:r w:rsidR="00B05905">
        <w:rPr>
          <w:sz w:val="26"/>
          <w:szCs w:val="26"/>
        </w:rPr>
        <w:t>has calculated TRM</w:t>
      </w:r>
      <w:r w:rsidR="00B05905">
        <w:rPr>
          <w:sz w:val="26"/>
          <w:szCs w:val="26"/>
        </w:rPr>
        <w:noBreakHyphen/>
        <w:t xml:space="preserve">verified </w:t>
      </w:r>
      <w:r w:rsidR="00C64666">
        <w:rPr>
          <w:sz w:val="26"/>
          <w:szCs w:val="26"/>
        </w:rPr>
        <w:t>low</w:t>
      </w:r>
      <w:r w:rsidR="00B05905">
        <w:rPr>
          <w:sz w:val="26"/>
          <w:szCs w:val="26"/>
        </w:rPr>
        <w:noBreakHyphen/>
      </w:r>
      <w:r w:rsidR="00C64666">
        <w:rPr>
          <w:sz w:val="26"/>
          <w:szCs w:val="26"/>
        </w:rPr>
        <w:t>income reduction requirement e</w:t>
      </w:r>
      <w:r w:rsidR="00272DF7">
        <w:rPr>
          <w:sz w:val="26"/>
          <w:szCs w:val="26"/>
        </w:rPr>
        <w:t xml:space="preserve">xcess savings </w:t>
      </w:r>
      <w:r w:rsidR="00B05905">
        <w:rPr>
          <w:sz w:val="26"/>
          <w:szCs w:val="26"/>
        </w:rPr>
        <w:t xml:space="preserve">that are significantly different than PECO’s verified </w:t>
      </w:r>
      <w:r w:rsidR="00272DF7">
        <w:rPr>
          <w:sz w:val="26"/>
          <w:szCs w:val="26"/>
        </w:rPr>
        <w:t xml:space="preserve">total of 3,729 MWh. </w:t>
      </w:r>
      <w:r w:rsidR="00B05905">
        <w:rPr>
          <w:sz w:val="26"/>
          <w:szCs w:val="26"/>
        </w:rPr>
        <w:t xml:space="preserve"> </w:t>
      </w:r>
      <w:r w:rsidR="00C602F8">
        <w:rPr>
          <w:sz w:val="26"/>
          <w:szCs w:val="26"/>
        </w:rPr>
        <w:t>T</w:t>
      </w:r>
      <w:r w:rsidR="00272DF7">
        <w:rPr>
          <w:sz w:val="26"/>
          <w:szCs w:val="26"/>
        </w:rPr>
        <w:t>he SWE notes,</w:t>
      </w:r>
      <w:r w:rsidR="00AD4015">
        <w:rPr>
          <w:sz w:val="26"/>
          <w:szCs w:val="26"/>
        </w:rPr>
        <w:t xml:space="preserve"> that</w:t>
      </w:r>
      <w:r w:rsidR="00272DF7">
        <w:rPr>
          <w:sz w:val="26"/>
          <w:szCs w:val="26"/>
        </w:rPr>
        <w:t xml:space="preserve"> low</w:t>
      </w:r>
      <w:r w:rsidR="00B05905">
        <w:rPr>
          <w:sz w:val="26"/>
          <w:szCs w:val="26"/>
        </w:rPr>
        <w:noBreakHyphen/>
      </w:r>
      <w:r w:rsidR="00272DF7">
        <w:rPr>
          <w:sz w:val="26"/>
          <w:szCs w:val="26"/>
        </w:rPr>
        <w:t>income excess savings for Phase III are based on an allocation factor determined by the ratio of savings from low</w:t>
      </w:r>
      <w:r w:rsidR="00B05905">
        <w:rPr>
          <w:sz w:val="26"/>
          <w:szCs w:val="26"/>
        </w:rPr>
        <w:noBreakHyphen/>
      </w:r>
      <w:r w:rsidR="00272DF7">
        <w:rPr>
          <w:sz w:val="26"/>
          <w:szCs w:val="26"/>
        </w:rPr>
        <w:t>income specific programs to non-low</w:t>
      </w:r>
      <w:r w:rsidR="00B05905">
        <w:rPr>
          <w:sz w:val="26"/>
          <w:szCs w:val="26"/>
        </w:rPr>
        <w:noBreakHyphen/>
      </w:r>
      <w:r w:rsidR="00272DF7">
        <w:rPr>
          <w:sz w:val="26"/>
          <w:szCs w:val="26"/>
        </w:rPr>
        <w:t>income specific programs</w:t>
      </w:r>
      <w:r w:rsidR="00CC5039">
        <w:rPr>
          <w:sz w:val="26"/>
          <w:szCs w:val="26"/>
        </w:rPr>
        <w:t xml:space="preserve">; </w:t>
      </w:r>
      <w:r w:rsidR="00AD4015">
        <w:rPr>
          <w:sz w:val="26"/>
          <w:szCs w:val="26"/>
        </w:rPr>
        <w:t>therefore</w:t>
      </w:r>
      <w:r w:rsidR="00CC5039">
        <w:rPr>
          <w:sz w:val="26"/>
          <w:szCs w:val="26"/>
        </w:rPr>
        <w:t>,</w:t>
      </w:r>
      <w:r w:rsidR="00AD4015">
        <w:rPr>
          <w:sz w:val="26"/>
          <w:szCs w:val="26"/>
        </w:rPr>
        <w:t xml:space="preserve"> </w:t>
      </w:r>
      <w:r w:rsidR="00272DF7">
        <w:rPr>
          <w:sz w:val="26"/>
          <w:szCs w:val="26"/>
        </w:rPr>
        <w:t>PECO’s low</w:t>
      </w:r>
      <w:r w:rsidR="00B05905">
        <w:rPr>
          <w:sz w:val="26"/>
          <w:szCs w:val="26"/>
        </w:rPr>
        <w:noBreakHyphen/>
      </w:r>
      <w:r w:rsidR="00272DF7">
        <w:rPr>
          <w:sz w:val="26"/>
          <w:szCs w:val="26"/>
        </w:rPr>
        <w:t>income reduction requirement excess savings total</w:t>
      </w:r>
      <w:r w:rsidR="00C602F8">
        <w:rPr>
          <w:sz w:val="26"/>
          <w:szCs w:val="26"/>
        </w:rPr>
        <w:t xml:space="preserve"> amount </w:t>
      </w:r>
      <w:r w:rsidR="00AD4015">
        <w:rPr>
          <w:sz w:val="26"/>
          <w:szCs w:val="26"/>
        </w:rPr>
        <w:t>increased from</w:t>
      </w:r>
      <w:r w:rsidR="00C602F8">
        <w:rPr>
          <w:sz w:val="26"/>
          <w:szCs w:val="26"/>
        </w:rPr>
        <w:t xml:space="preserve"> 3,729 </w:t>
      </w:r>
      <w:r w:rsidR="00AD4015">
        <w:rPr>
          <w:sz w:val="26"/>
          <w:szCs w:val="26"/>
        </w:rPr>
        <w:t xml:space="preserve">MWh </w:t>
      </w:r>
      <w:r w:rsidR="00C602F8">
        <w:rPr>
          <w:sz w:val="26"/>
          <w:szCs w:val="26"/>
        </w:rPr>
        <w:t xml:space="preserve">to </w:t>
      </w:r>
      <w:r w:rsidR="00272DF7">
        <w:rPr>
          <w:sz w:val="26"/>
          <w:szCs w:val="26"/>
        </w:rPr>
        <w:t>24,332</w:t>
      </w:r>
      <w:r w:rsidR="00C602F8">
        <w:rPr>
          <w:sz w:val="26"/>
          <w:szCs w:val="26"/>
        </w:rPr>
        <w:t xml:space="preserve"> MWh</w:t>
      </w:r>
      <w:r w:rsidR="004F1974">
        <w:rPr>
          <w:sz w:val="26"/>
          <w:szCs w:val="26"/>
        </w:rPr>
        <w:t>.</w:t>
      </w:r>
      <w:r w:rsidR="00CB0F9F">
        <w:rPr>
          <w:rStyle w:val="FootnoteReference"/>
          <w:sz w:val="26"/>
          <w:szCs w:val="26"/>
        </w:rPr>
        <w:footnoteReference w:id="116"/>
      </w:r>
      <w:r w:rsidR="00FA7F05">
        <w:rPr>
          <w:sz w:val="26"/>
          <w:szCs w:val="26"/>
        </w:rPr>
        <w:t xml:space="preserve"> </w:t>
      </w:r>
      <w:r w:rsidR="00B05905">
        <w:rPr>
          <w:sz w:val="26"/>
          <w:szCs w:val="26"/>
        </w:rPr>
        <w:t xml:space="preserve"> </w:t>
      </w:r>
    </w:p>
    <w:p w:rsidR="00095070" w:rsidRDefault="00095070" w:rsidP="00CE4DBC">
      <w:pPr>
        <w:pStyle w:val="p3"/>
        <w:tabs>
          <w:tab w:val="clear" w:pos="204"/>
        </w:tabs>
        <w:spacing w:line="360" w:lineRule="auto"/>
        <w:rPr>
          <w:sz w:val="26"/>
          <w:szCs w:val="26"/>
        </w:rPr>
      </w:pPr>
    </w:p>
    <w:p w:rsidR="00272DF7" w:rsidRDefault="00984D74" w:rsidP="00065FB4">
      <w:pPr>
        <w:pStyle w:val="p3"/>
        <w:tabs>
          <w:tab w:val="clear" w:pos="204"/>
        </w:tabs>
        <w:spacing w:line="360" w:lineRule="auto"/>
        <w:ind w:firstLine="720"/>
        <w:rPr>
          <w:sz w:val="26"/>
          <w:szCs w:val="26"/>
        </w:rPr>
      </w:pPr>
      <w:r>
        <w:rPr>
          <w:sz w:val="26"/>
          <w:szCs w:val="26"/>
        </w:rPr>
        <w:t>In the April 6, 2017 Order, t</w:t>
      </w:r>
      <w:r w:rsidR="00AD4015">
        <w:rPr>
          <w:sz w:val="26"/>
          <w:szCs w:val="26"/>
        </w:rPr>
        <w:t xml:space="preserve">he Commission </w:t>
      </w:r>
      <w:r w:rsidR="00D82567">
        <w:rPr>
          <w:sz w:val="26"/>
          <w:szCs w:val="26"/>
        </w:rPr>
        <w:t>commend</w:t>
      </w:r>
      <w:r>
        <w:rPr>
          <w:sz w:val="26"/>
          <w:szCs w:val="26"/>
        </w:rPr>
        <w:t>ed</w:t>
      </w:r>
      <w:r w:rsidR="00D82567">
        <w:rPr>
          <w:sz w:val="26"/>
          <w:szCs w:val="26"/>
        </w:rPr>
        <w:t xml:space="preserve"> PECO for its efforts to obtain savings </w:t>
      </w:r>
      <w:proofErr w:type="gramStart"/>
      <w:r w:rsidR="00D82567">
        <w:rPr>
          <w:sz w:val="26"/>
          <w:szCs w:val="26"/>
        </w:rPr>
        <w:t>in excess of</w:t>
      </w:r>
      <w:proofErr w:type="gramEnd"/>
      <w:r w:rsidR="00D82567">
        <w:rPr>
          <w:sz w:val="26"/>
          <w:szCs w:val="26"/>
        </w:rPr>
        <w:t xml:space="preserve"> its </w:t>
      </w:r>
      <w:r w:rsidR="003A4F6B">
        <w:rPr>
          <w:sz w:val="26"/>
          <w:szCs w:val="26"/>
        </w:rPr>
        <w:t>carve-outs</w:t>
      </w:r>
      <w:r w:rsidR="00D82567">
        <w:rPr>
          <w:sz w:val="26"/>
          <w:szCs w:val="26"/>
        </w:rPr>
        <w:t xml:space="preserve"> for low</w:t>
      </w:r>
      <w:r w:rsidR="00D82567">
        <w:rPr>
          <w:sz w:val="26"/>
          <w:szCs w:val="26"/>
        </w:rPr>
        <w:noBreakHyphen/>
        <w:t xml:space="preserve">income and G/E/NP customers.  </w:t>
      </w:r>
      <w:r>
        <w:rPr>
          <w:sz w:val="26"/>
          <w:szCs w:val="26"/>
        </w:rPr>
        <w:t xml:space="preserve">The Commission continued by noting that </w:t>
      </w:r>
      <w:r w:rsidR="00D82567">
        <w:rPr>
          <w:sz w:val="26"/>
          <w:szCs w:val="26"/>
        </w:rPr>
        <w:t>as PECO did not obtain portfolio</w:t>
      </w:r>
      <w:r w:rsidR="00D82567">
        <w:rPr>
          <w:sz w:val="26"/>
          <w:szCs w:val="26"/>
        </w:rPr>
        <w:noBreakHyphen/>
        <w:t xml:space="preserve">level </w:t>
      </w:r>
      <w:r w:rsidR="00D82567">
        <w:rPr>
          <w:sz w:val="26"/>
          <w:szCs w:val="26"/>
        </w:rPr>
        <w:lastRenderedPageBreak/>
        <w:t>TRM</w:t>
      </w:r>
      <w:r w:rsidR="00D82567">
        <w:rPr>
          <w:sz w:val="26"/>
          <w:szCs w:val="26"/>
        </w:rPr>
        <w:noBreakHyphen/>
        <w:t xml:space="preserve">verified electric consumption savings </w:t>
      </w:r>
      <w:proofErr w:type="gramStart"/>
      <w:r w:rsidR="00D82567">
        <w:rPr>
          <w:sz w:val="26"/>
          <w:szCs w:val="26"/>
        </w:rPr>
        <w:t>in excess of</w:t>
      </w:r>
      <w:proofErr w:type="gramEnd"/>
      <w:r w:rsidR="00D82567">
        <w:rPr>
          <w:sz w:val="26"/>
          <w:szCs w:val="26"/>
        </w:rPr>
        <w:t xml:space="preserve"> its portfolio</w:t>
      </w:r>
      <w:r w:rsidR="00D82567">
        <w:rPr>
          <w:sz w:val="26"/>
          <w:szCs w:val="26"/>
        </w:rPr>
        <w:noBreakHyphen/>
        <w:t xml:space="preserve">level requirements, PECO </w:t>
      </w:r>
      <w:r>
        <w:rPr>
          <w:sz w:val="26"/>
          <w:szCs w:val="26"/>
        </w:rPr>
        <w:t>could not</w:t>
      </w:r>
      <w:r w:rsidR="00D82567">
        <w:rPr>
          <w:sz w:val="26"/>
          <w:szCs w:val="26"/>
        </w:rPr>
        <w:t xml:space="preserve"> carryover the low</w:t>
      </w:r>
      <w:r w:rsidR="00D82567">
        <w:rPr>
          <w:sz w:val="26"/>
          <w:szCs w:val="26"/>
        </w:rPr>
        <w:noBreakHyphen/>
        <w:t xml:space="preserve">income or G/E/NP excess savings.  </w:t>
      </w:r>
      <w:r>
        <w:rPr>
          <w:sz w:val="26"/>
          <w:szCs w:val="26"/>
        </w:rPr>
        <w:t>The Commission continued by noting that b</w:t>
      </w:r>
      <w:r w:rsidR="00D82567">
        <w:rPr>
          <w:sz w:val="26"/>
          <w:szCs w:val="26"/>
        </w:rPr>
        <w:t>oth the low</w:t>
      </w:r>
      <w:r w:rsidR="00D82567">
        <w:rPr>
          <w:sz w:val="26"/>
          <w:szCs w:val="26"/>
        </w:rPr>
        <w:noBreakHyphen/>
        <w:t xml:space="preserve">income and G/E/NP savings are a carve-out or subset of the whole, accordingly, </w:t>
      </w:r>
      <w:r w:rsidR="00A954CD">
        <w:rPr>
          <w:sz w:val="26"/>
          <w:szCs w:val="26"/>
        </w:rPr>
        <w:t>to allow a carryover for these carve-outs into Phase III, would</w:t>
      </w:r>
      <w:proofErr w:type="gramStart"/>
      <w:r w:rsidR="00A954CD">
        <w:rPr>
          <w:sz w:val="26"/>
          <w:szCs w:val="26"/>
        </w:rPr>
        <w:t>, in essence, permit</w:t>
      </w:r>
      <w:proofErr w:type="gramEnd"/>
      <w:r w:rsidR="00A954CD">
        <w:rPr>
          <w:sz w:val="26"/>
          <w:szCs w:val="26"/>
        </w:rPr>
        <w:t xml:space="preserve"> a carryover for the total Phase III consumption reduction requirement.  As </w:t>
      </w:r>
      <w:proofErr w:type="gramStart"/>
      <w:r w:rsidR="00A954CD">
        <w:rPr>
          <w:sz w:val="26"/>
          <w:szCs w:val="26"/>
        </w:rPr>
        <w:t>PECO</w:t>
      </w:r>
      <w:proofErr w:type="gramEnd"/>
      <w:r w:rsidR="00A954CD">
        <w:rPr>
          <w:sz w:val="26"/>
          <w:szCs w:val="26"/>
        </w:rPr>
        <w:t xml:space="preserve"> did not obtain Phase II savings in excess of its Phase II consumption reduction requirement, </w:t>
      </w:r>
      <w:r>
        <w:rPr>
          <w:sz w:val="26"/>
          <w:szCs w:val="26"/>
        </w:rPr>
        <w:t xml:space="preserve">the Commission determined that PECO was </w:t>
      </w:r>
      <w:r w:rsidR="00A954CD">
        <w:rPr>
          <w:sz w:val="26"/>
          <w:szCs w:val="26"/>
        </w:rPr>
        <w:t>not entitled to any carryover savings into Phase III</w:t>
      </w:r>
      <w:r w:rsidR="00AD4015" w:rsidRPr="00902C1B">
        <w:rPr>
          <w:sz w:val="26"/>
          <w:szCs w:val="26"/>
        </w:rPr>
        <w:t>.</w:t>
      </w:r>
      <w:r w:rsidR="00A954CD">
        <w:rPr>
          <w:sz w:val="26"/>
          <w:szCs w:val="26"/>
        </w:rPr>
        <w:t xml:space="preserve">  As such, the Commission initially </w:t>
      </w:r>
      <w:r>
        <w:rPr>
          <w:sz w:val="26"/>
          <w:szCs w:val="26"/>
        </w:rPr>
        <w:t>denied</w:t>
      </w:r>
      <w:r w:rsidR="00A954CD">
        <w:rPr>
          <w:sz w:val="26"/>
          <w:szCs w:val="26"/>
        </w:rPr>
        <w:t xml:space="preserve"> PECO any carryover savings to be credited against its Phase III consumption reduction requirements.</w:t>
      </w:r>
      <w:r w:rsidR="00DA673C">
        <w:rPr>
          <w:rStyle w:val="FootnoteReference"/>
          <w:sz w:val="26"/>
          <w:szCs w:val="26"/>
        </w:rPr>
        <w:footnoteReference w:id="117"/>
      </w:r>
      <w:r w:rsidR="00AD4015">
        <w:rPr>
          <w:sz w:val="26"/>
          <w:szCs w:val="26"/>
        </w:rPr>
        <w:t xml:space="preserve">  </w:t>
      </w:r>
    </w:p>
    <w:p w:rsidR="00984D74" w:rsidRDefault="00984D74" w:rsidP="00065FB4">
      <w:pPr>
        <w:pStyle w:val="p3"/>
        <w:tabs>
          <w:tab w:val="clear" w:pos="204"/>
        </w:tabs>
        <w:spacing w:line="360" w:lineRule="auto"/>
        <w:ind w:firstLine="720"/>
        <w:rPr>
          <w:sz w:val="26"/>
          <w:szCs w:val="26"/>
        </w:rPr>
      </w:pPr>
    </w:p>
    <w:p w:rsidR="00C221D0" w:rsidRDefault="00D6455E" w:rsidP="00065FB4">
      <w:pPr>
        <w:pStyle w:val="p3"/>
        <w:tabs>
          <w:tab w:val="clear" w:pos="204"/>
        </w:tabs>
        <w:spacing w:line="360" w:lineRule="auto"/>
        <w:ind w:firstLine="720"/>
        <w:rPr>
          <w:sz w:val="26"/>
          <w:szCs w:val="26"/>
        </w:rPr>
      </w:pPr>
      <w:r>
        <w:rPr>
          <w:sz w:val="26"/>
          <w:szCs w:val="26"/>
        </w:rPr>
        <w:t xml:space="preserve">On April 21, 2017, PECO filed a Petition regarding the initial determination in the Phase II </w:t>
      </w:r>
      <w:r w:rsidR="00547217">
        <w:rPr>
          <w:sz w:val="26"/>
          <w:szCs w:val="26"/>
        </w:rPr>
        <w:t>C</w:t>
      </w:r>
      <w:r>
        <w:rPr>
          <w:sz w:val="26"/>
          <w:szCs w:val="26"/>
        </w:rPr>
        <w:t>ompliance Order (PECO Petition).</w:t>
      </w:r>
      <w:r w:rsidR="00762029">
        <w:rPr>
          <w:rStyle w:val="FootnoteReference"/>
          <w:sz w:val="26"/>
          <w:szCs w:val="26"/>
        </w:rPr>
        <w:footnoteReference w:id="118"/>
      </w:r>
      <w:r>
        <w:rPr>
          <w:sz w:val="26"/>
          <w:szCs w:val="26"/>
        </w:rPr>
        <w:t xml:space="preserve">  </w:t>
      </w:r>
      <w:r w:rsidR="00762029">
        <w:rPr>
          <w:sz w:val="26"/>
          <w:szCs w:val="26"/>
        </w:rPr>
        <w:t>Specifically, PECO is contesting the Commission’s initial determination that precludes PECO from using savings in excess of its Phase II EE&amp;C plan carve</w:t>
      </w:r>
      <w:r w:rsidR="00762029">
        <w:rPr>
          <w:sz w:val="26"/>
          <w:szCs w:val="26"/>
        </w:rPr>
        <w:noBreakHyphen/>
        <w:t>outs for low</w:t>
      </w:r>
      <w:r w:rsidR="00762029">
        <w:rPr>
          <w:sz w:val="26"/>
          <w:szCs w:val="26"/>
        </w:rPr>
        <w:noBreakHyphen/>
        <w:t>income and government, educational and non</w:t>
      </w:r>
      <w:r w:rsidR="00762029">
        <w:rPr>
          <w:sz w:val="26"/>
          <w:szCs w:val="26"/>
        </w:rPr>
        <w:noBreakHyphen/>
        <w:t>profit customers to meet Phase III carve</w:t>
      </w:r>
      <w:r w:rsidR="00762029">
        <w:rPr>
          <w:sz w:val="26"/>
          <w:szCs w:val="26"/>
        </w:rPr>
        <w:noBreakHyphen/>
        <w:t>out requirements.</w:t>
      </w:r>
      <w:r w:rsidR="001B6D7E">
        <w:rPr>
          <w:rStyle w:val="FootnoteReference"/>
          <w:sz w:val="26"/>
          <w:szCs w:val="26"/>
        </w:rPr>
        <w:footnoteReference w:id="119"/>
      </w:r>
      <w:r w:rsidR="001B6D7E">
        <w:rPr>
          <w:sz w:val="26"/>
          <w:szCs w:val="26"/>
        </w:rPr>
        <w:t xml:space="preserve">  PECO states that it is only seeking to carryover excess Phase II carve</w:t>
      </w:r>
      <w:r w:rsidR="001B6D7E">
        <w:rPr>
          <w:sz w:val="26"/>
          <w:szCs w:val="26"/>
        </w:rPr>
        <w:noBreakHyphen/>
        <w:t>out savings for credit against its Phase III carve</w:t>
      </w:r>
      <w:r w:rsidR="001B6D7E">
        <w:rPr>
          <w:sz w:val="26"/>
          <w:szCs w:val="26"/>
        </w:rPr>
        <w:noBreakHyphen/>
        <w:t>out requirements, and not its overall Phase III consumption reduction target.</w:t>
      </w:r>
      <w:r w:rsidR="001B6D7E">
        <w:rPr>
          <w:rStyle w:val="FootnoteReference"/>
          <w:sz w:val="26"/>
          <w:szCs w:val="26"/>
        </w:rPr>
        <w:footnoteReference w:id="120"/>
      </w:r>
      <w:r w:rsidR="001B6D7E">
        <w:rPr>
          <w:sz w:val="26"/>
          <w:szCs w:val="26"/>
        </w:rPr>
        <w:t xml:space="preserve">  </w:t>
      </w:r>
    </w:p>
    <w:p w:rsidR="00C221D0" w:rsidRDefault="00C221D0" w:rsidP="00065FB4">
      <w:pPr>
        <w:pStyle w:val="p3"/>
        <w:tabs>
          <w:tab w:val="clear" w:pos="204"/>
        </w:tabs>
        <w:spacing w:line="360" w:lineRule="auto"/>
        <w:ind w:firstLine="720"/>
        <w:rPr>
          <w:sz w:val="26"/>
          <w:szCs w:val="26"/>
        </w:rPr>
      </w:pPr>
    </w:p>
    <w:p w:rsidR="00984D74" w:rsidRDefault="001B6D7E" w:rsidP="00065FB4">
      <w:pPr>
        <w:pStyle w:val="p3"/>
        <w:tabs>
          <w:tab w:val="clear" w:pos="204"/>
        </w:tabs>
        <w:spacing w:line="360" w:lineRule="auto"/>
        <w:ind w:firstLine="720"/>
        <w:rPr>
          <w:sz w:val="26"/>
          <w:szCs w:val="26"/>
        </w:rPr>
      </w:pPr>
      <w:r>
        <w:rPr>
          <w:sz w:val="26"/>
          <w:szCs w:val="26"/>
        </w:rPr>
        <w:t xml:space="preserve">PECO notes that in the Phase III Implementation Order, the Commission found that an EDC could only bank those savings </w:t>
      </w:r>
      <w:proofErr w:type="gramStart"/>
      <w:r>
        <w:rPr>
          <w:sz w:val="26"/>
          <w:szCs w:val="26"/>
        </w:rPr>
        <w:t>actually attained</w:t>
      </w:r>
      <w:proofErr w:type="gramEnd"/>
      <w:r>
        <w:rPr>
          <w:sz w:val="26"/>
          <w:szCs w:val="26"/>
        </w:rPr>
        <w:t xml:space="preserve"> in Phase II in excess of its target to apply towards the Phase III target.  PECO states that it understood the Commission’s directive regarding the G/E/NP carve</w:t>
      </w:r>
      <w:r>
        <w:rPr>
          <w:sz w:val="26"/>
          <w:szCs w:val="26"/>
        </w:rPr>
        <w:noBreakHyphen/>
        <w:t>out to apply similarly, requiring the G/E/NP carve</w:t>
      </w:r>
      <w:r>
        <w:rPr>
          <w:sz w:val="26"/>
          <w:szCs w:val="26"/>
        </w:rPr>
        <w:noBreakHyphen/>
        <w:t xml:space="preserve">out to be exceeded in Phase II </w:t>
      </w:r>
      <w:proofErr w:type="gramStart"/>
      <w:r>
        <w:rPr>
          <w:sz w:val="26"/>
          <w:szCs w:val="26"/>
        </w:rPr>
        <w:t>in order to</w:t>
      </w:r>
      <w:proofErr w:type="gramEnd"/>
      <w:r>
        <w:rPr>
          <w:sz w:val="26"/>
          <w:szCs w:val="26"/>
        </w:rPr>
        <w:t xml:space="preserve"> carry over excess G/E/NP savings to Phase III but not incorporating the overall Phase II consumption reduction target.  </w:t>
      </w:r>
      <w:r w:rsidR="003234D5">
        <w:rPr>
          <w:sz w:val="26"/>
          <w:szCs w:val="26"/>
        </w:rPr>
        <w:t xml:space="preserve">PECO also states that the Commission </w:t>
      </w:r>
      <w:proofErr w:type="gramStart"/>
      <w:r w:rsidR="003234D5">
        <w:rPr>
          <w:sz w:val="26"/>
          <w:szCs w:val="26"/>
        </w:rPr>
        <w:t>provided that</w:t>
      </w:r>
      <w:proofErr w:type="gramEnd"/>
      <w:r w:rsidR="003234D5">
        <w:rPr>
          <w:sz w:val="26"/>
          <w:szCs w:val="26"/>
        </w:rPr>
        <w:t xml:space="preserve"> excess savings to be applied </w:t>
      </w:r>
      <w:r w:rsidR="003234D5">
        <w:rPr>
          <w:sz w:val="26"/>
          <w:szCs w:val="26"/>
        </w:rPr>
        <w:lastRenderedPageBreak/>
        <w:t>toward the Phase III low</w:t>
      </w:r>
      <w:r w:rsidR="003234D5">
        <w:rPr>
          <w:sz w:val="26"/>
          <w:szCs w:val="26"/>
        </w:rPr>
        <w:noBreakHyphen/>
        <w:t>income carve</w:t>
      </w:r>
      <w:r w:rsidR="003234D5">
        <w:rPr>
          <w:sz w:val="26"/>
          <w:szCs w:val="26"/>
        </w:rPr>
        <w:noBreakHyphen/>
        <w:t>out in accordance with an allocation factor based on the ratio of low</w:t>
      </w:r>
      <w:r w:rsidR="003234D5">
        <w:rPr>
          <w:sz w:val="26"/>
          <w:szCs w:val="26"/>
        </w:rPr>
        <w:noBreakHyphen/>
        <w:t>income specific program savings to savings from non</w:t>
      </w:r>
      <w:r w:rsidR="003234D5">
        <w:rPr>
          <w:sz w:val="26"/>
          <w:szCs w:val="26"/>
        </w:rPr>
        <w:noBreakHyphen/>
        <w:t>low</w:t>
      </w:r>
      <w:r w:rsidR="003234D5">
        <w:rPr>
          <w:sz w:val="26"/>
          <w:szCs w:val="26"/>
        </w:rPr>
        <w:noBreakHyphen/>
        <w:t>income programs.  PECO further noted that the Commission stated that the timing of its direction would allow EDCs that had already exceeded their Phase II 4.5% low</w:t>
      </w:r>
      <w:r w:rsidR="003234D5">
        <w:rPr>
          <w:sz w:val="26"/>
          <w:szCs w:val="26"/>
        </w:rPr>
        <w:noBreakHyphen/>
        <w:t>income carve</w:t>
      </w:r>
      <w:r w:rsidR="003234D5">
        <w:rPr>
          <w:sz w:val="26"/>
          <w:szCs w:val="26"/>
        </w:rPr>
        <w:noBreakHyphen/>
        <w:t>out to enhance their ratios rather than stopping or significantly reducing their low</w:t>
      </w:r>
      <w:r w:rsidR="003234D5">
        <w:rPr>
          <w:sz w:val="26"/>
          <w:szCs w:val="26"/>
        </w:rPr>
        <w:noBreakHyphen/>
        <w:t>income programs until the beginning of Phase III.  Finally, PECO asserts that the Commission did not state that excess low</w:t>
      </w:r>
      <w:r w:rsidR="003234D5">
        <w:rPr>
          <w:sz w:val="26"/>
          <w:szCs w:val="26"/>
        </w:rPr>
        <w:noBreakHyphen/>
        <w:t xml:space="preserve">income savings could only be carried over if an EDC first demonstrated that its overall savings </w:t>
      </w:r>
      <w:proofErr w:type="gramStart"/>
      <w:r w:rsidR="003234D5">
        <w:rPr>
          <w:sz w:val="26"/>
          <w:szCs w:val="26"/>
        </w:rPr>
        <w:t>actually attained</w:t>
      </w:r>
      <w:proofErr w:type="gramEnd"/>
      <w:r w:rsidR="003234D5">
        <w:rPr>
          <w:sz w:val="26"/>
          <w:szCs w:val="26"/>
        </w:rPr>
        <w:t xml:space="preserve"> in Phase II exceeded its overall Phase II consumption reduction target.</w:t>
      </w:r>
      <w:r w:rsidR="003234D5">
        <w:rPr>
          <w:rStyle w:val="FootnoteReference"/>
          <w:sz w:val="26"/>
          <w:szCs w:val="26"/>
        </w:rPr>
        <w:footnoteReference w:id="121"/>
      </w:r>
    </w:p>
    <w:p w:rsidR="003234D5" w:rsidRDefault="003234D5" w:rsidP="00065FB4">
      <w:pPr>
        <w:pStyle w:val="p3"/>
        <w:tabs>
          <w:tab w:val="clear" w:pos="204"/>
        </w:tabs>
        <w:spacing w:line="360" w:lineRule="auto"/>
        <w:ind w:firstLine="720"/>
        <w:rPr>
          <w:sz w:val="26"/>
          <w:szCs w:val="26"/>
        </w:rPr>
      </w:pPr>
    </w:p>
    <w:p w:rsidR="003234D5" w:rsidRDefault="003234D5" w:rsidP="00065FB4">
      <w:pPr>
        <w:pStyle w:val="p3"/>
        <w:tabs>
          <w:tab w:val="clear" w:pos="204"/>
        </w:tabs>
        <w:spacing w:line="360" w:lineRule="auto"/>
        <w:ind w:firstLine="720"/>
        <w:rPr>
          <w:sz w:val="26"/>
          <w:szCs w:val="26"/>
        </w:rPr>
      </w:pPr>
      <w:r>
        <w:rPr>
          <w:sz w:val="26"/>
          <w:szCs w:val="26"/>
        </w:rPr>
        <w:t>PECO is seeking to apply its excess Phase II low</w:t>
      </w:r>
      <w:r>
        <w:rPr>
          <w:sz w:val="26"/>
          <w:szCs w:val="26"/>
        </w:rPr>
        <w:noBreakHyphen/>
        <w:t>income and G/E/NP savings towards their respective Phase III carve</w:t>
      </w:r>
      <w:r>
        <w:rPr>
          <w:sz w:val="26"/>
          <w:szCs w:val="26"/>
        </w:rPr>
        <w:noBreakHyphen/>
        <w:t>outs.  PECO asserts that it will still have to obtain 1,962,659 MWh of savings during Phase III to meet its overall consumption reduction target, but may deduct 24,332 MWh from its Phase III low</w:t>
      </w:r>
      <w:r>
        <w:rPr>
          <w:sz w:val="26"/>
          <w:szCs w:val="26"/>
        </w:rPr>
        <w:noBreakHyphen/>
        <w:t xml:space="preserve">income savings requirement and 115,400 MWh from its Phase III G/E/NP savings requirement.  </w:t>
      </w:r>
      <w:r w:rsidR="003215FA">
        <w:rPr>
          <w:sz w:val="26"/>
          <w:szCs w:val="26"/>
        </w:rPr>
        <w:t>PECO asserts that these deductions are meaningful because they will provide it with additional flexibility in plan implementation, such as directing more resources towards comprehensive projects for low</w:t>
      </w:r>
      <w:r w:rsidR="003215FA">
        <w:rPr>
          <w:sz w:val="26"/>
          <w:szCs w:val="26"/>
        </w:rPr>
        <w:noBreakHyphen/>
        <w:t>income customers.  PECO notes that low</w:t>
      </w:r>
      <w:r w:rsidR="003215FA">
        <w:rPr>
          <w:sz w:val="26"/>
          <w:szCs w:val="26"/>
        </w:rPr>
        <w:noBreakHyphen/>
        <w:t>income savings programs are generally more expensive than other consumption savings programs.  PECO asserts that if the carryover of carve</w:t>
      </w:r>
      <w:r w:rsidR="003215FA">
        <w:rPr>
          <w:sz w:val="26"/>
          <w:szCs w:val="26"/>
        </w:rPr>
        <w:noBreakHyphen/>
        <w:t>out savings is dependent upon exceeding the consumption reduction target for an entire phase, EDCs will not be incentivized to continue costlier programs at normal levels if carve</w:t>
      </w:r>
      <w:r w:rsidR="003215FA">
        <w:rPr>
          <w:sz w:val="26"/>
          <w:szCs w:val="26"/>
        </w:rPr>
        <w:noBreakHyphen/>
        <w:t>out obligations are satisfied prior to the end of a phase.</w:t>
      </w:r>
      <w:r w:rsidR="003215FA">
        <w:rPr>
          <w:rStyle w:val="FootnoteReference"/>
          <w:sz w:val="26"/>
          <w:szCs w:val="26"/>
        </w:rPr>
        <w:footnoteReference w:id="122"/>
      </w:r>
    </w:p>
    <w:p w:rsidR="003215FA" w:rsidRDefault="003215FA" w:rsidP="00065FB4">
      <w:pPr>
        <w:pStyle w:val="p3"/>
        <w:tabs>
          <w:tab w:val="clear" w:pos="204"/>
        </w:tabs>
        <w:spacing w:line="360" w:lineRule="auto"/>
        <w:ind w:firstLine="720"/>
        <w:rPr>
          <w:sz w:val="26"/>
          <w:szCs w:val="26"/>
        </w:rPr>
      </w:pPr>
    </w:p>
    <w:p w:rsidR="003215FA" w:rsidRDefault="003215FA" w:rsidP="00065FB4">
      <w:pPr>
        <w:pStyle w:val="p3"/>
        <w:tabs>
          <w:tab w:val="clear" w:pos="204"/>
        </w:tabs>
        <w:spacing w:line="360" w:lineRule="auto"/>
        <w:ind w:firstLine="720"/>
        <w:rPr>
          <w:sz w:val="26"/>
          <w:szCs w:val="26"/>
        </w:rPr>
      </w:pPr>
      <w:r>
        <w:rPr>
          <w:sz w:val="26"/>
          <w:szCs w:val="26"/>
        </w:rPr>
        <w:t xml:space="preserve">On May 11, 2017, the OCA filed an Answer to the PECO Petition.  In its Answer, OCA </w:t>
      </w:r>
      <w:r w:rsidR="00293265">
        <w:rPr>
          <w:sz w:val="26"/>
          <w:szCs w:val="26"/>
        </w:rPr>
        <w:t xml:space="preserve">states that while supportive of achieving deeper savings </w:t>
      </w:r>
      <w:proofErr w:type="gramStart"/>
      <w:r w:rsidR="00293265">
        <w:rPr>
          <w:sz w:val="26"/>
          <w:szCs w:val="26"/>
        </w:rPr>
        <w:t>through the use of</w:t>
      </w:r>
      <w:proofErr w:type="gramEnd"/>
      <w:r w:rsidR="00293265">
        <w:rPr>
          <w:sz w:val="26"/>
          <w:szCs w:val="26"/>
        </w:rPr>
        <w:t xml:space="preserve"> whole house programs, the OCA is concerned with such a significant reduction in achieved </w:t>
      </w:r>
      <w:r w:rsidR="00293265">
        <w:rPr>
          <w:sz w:val="26"/>
          <w:szCs w:val="26"/>
        </w:rPr>
        <w:lastRenderedPageBreak/>
        <w:t>savings for low</w:t>
      </w:r>
      <w:r w:rsidR="00293265">
        <w:rPr>
          <w:sz w:val="26"/>
          <w:szCs w:val="26"/>
        </w:rPr>
        <w:noBreakHyphen/>
        <w:t>income customers in Phase III.  The OCA notes that if PECO is permitted to carry over its excess Phase II low</w:t>
      </w:r>
      <w:r w:rsidR="00293265">
        <w:rPr>
          <w:sz w:val="26"/>
          <w:szCs w:val="26"/>
        </w:rPr>
        <w:noBreakHyphen/>
        <w:t>income savings, low</w:t>
      </w:r>
      <w:r w:rsidR="00293265">
        <w:rPr>
          <w:sz w:val="26"/>
          <w:szCs w:val="26"/>
        </w:rPr>
        <w:noBreakHyphen/>
        <w:t>income customers may not obtain the full benefits intended in Phase III by increasing the savings requirement to 5.5%.  While allowing for more flexibility, the OCA suggests that such flexibility may prevent PECO’s low</w:t>
      </w:r>
      <w:r w:rsidR="00293265">
        <w:rPr>
          <w:sz w:val="26"/>
          <w:szCs w:val="26"/>
        </w:rPr>
        <w:noBreakHyphen/>
        <w:t>income customers from realizing the full benefits of the EE&amp;C program, noting that while the OCA is supportive of whole house programs, not all low</w:t>
      </w:r>
      <w:r w:rsidR="00293265">
        <w:rPr>
          <w:sz w:val="26"/>
          <w:szCs w:val="26"/>
        </w:rPr>
        <w:noBreakHyphen/>
        <w:t>income households are eligible for whole house treatment or could benefit from such treatment.  The OCA suggests that if the Commission were to grant PECO’s request, the Commission should direct PECO to continue applying the full amount of funding allocated to programs directed toward low</w:t>
      </w:r>
      <w:r w:rsidR="00293265">
        <w:rPr>
          <w:sz w:val="26"/>
          <w:szCs w:val="26"/>
        </w:rPr>
        <w:noBreakHyphen/>
        <w:t>income customers in Phase III.  In addition, PECO should be directed to work with the existing stakeholder group to develop an approach that will spend the entire budgeted amount on programs specifically benefitting low</w:t>
      </w:r>
      <w:r w:rsidR="00293265">
        <w:rPr>
          <w:sz w:val="26"/>
          <w:szCs w:val="26"/>
        </w:rPr>
        <w:noBreakHyphen/>
        <w:t xml:space="preserve">income customers, and will achieve the maximum </w:t>
      </w:r>
      <w:proofErr w:type="gramStart"/>
      <w:r w:rsidR="00293265">
        <w:rPr>
          <w:sz w:val="26"/>
          <w:szCs w:val="26"/>
        </w:rPr>
        <w:t>amount</w:t>
      </w:r>
      <w:proofErr w:type="gramEnd"/>
      <w:r w:rsidR="00293265">
        <w:rPr>
          <w:sz w:val="26"/>
          <w:szCs w:val="26"/>
        </w:rPr>
        <w:t xml:space="preserve"> of savings for the broadest low</w:t>
      </w:r>
      <w:r w:rsidR="00293265">
        <w:rPr>
          <w:sz w:val="26"/>
          <w:szCs w:val="26"/>
        </w:rPr>
        <w:noBreakHyphen/>
        <w:t>income customer base.  The OCA asserts that this will ensure that low</w:t>
      </w:r>
      <w:r w:rsidR="00293265">
        <w:rPr>
          <w:sz w:val="26"/>
          <w:szCs w:val="26"/>
        </w:rPr>
        <w:noBreakHyphen/>
        <w:t>income customers continue to receive the benefit of the program.</w:t>
      </w:r>
      <w:r w:rsidR="00293265">
        <w:rPr>
          <w:rStyle w:val="FootnoteReference"/>
          <w:sz w:val="26"/>
          <w:szCs w:val="26"/>
        </w:rPr>
        <w:footnoteReference w:id="123"/>
      </w:r>
    </w:p>
    <w:p w:rsidR="00F71395" w:rsidRDefault="00F71395" w:rsidP="00065FB4">
      <w:pPr>
        <w:pStyle w:val="p3"/>
        <w:tabs>
          <w:tab w:val="clear" w:pos="204"/>
        </w:tabs>
        <w:spacing w:line="360" w:lineRule="auto"/>
        <w:ind w:firstLine="720"/>
        <w:rPr>
          <w:sz w:val="26"/>
          <w:szCs w:val="26"/>
        </w:rPr>
      </w:pPr>
    </w:p>
    <w:p w:rsidR="00293265" w:rsidRDefault="00293265" w:rsidP="00D31E5F">
      <w:pPr>
        <w:pStyle w:val="p3"/>
        <w:tabs>
          <w:tab w:val="clear" w:pos="204"/>
        </w:tabs>
        <w:spacing w:line="360" w:lineRule="auto"/>
        <w:rPr>
          <w:sz w:val="26"/>
          <w:szCs w:val="26"/>
        </w:rPr>
      </w:pPr>
      <w:r>
        <w:rPr>
          <w:sz w:val="26"/>
          <w:szCs w:val="26"/>
        </w:rPr>
        <w:tab/>
        <w:t xml:space="preserve">The Commission denies PECO’s Petition.  </w:t>
      </w:r>
      <w:r w:rsidR="00C503DC">
        <w:rPr>
          <w:sz w:val="26"/>
          <w:szCs w:val="26"/>
        </w:rPr>
        <w:t>The Commission is not persuaded by PECO’s assertions.  The Commission again reiterates that the G/E/NP and low</w:t>
      </w:r>
      <w:r w:rsidR="00C503DC">
        <w:rPr>
          <w:sz w:val="26"/>
          <w:szCs w:val="26"/>
        </w:rPr>
        <w:noBreakHyphen/>
        <w:t>income requirements are subsets of the whole.  They are established as being a percent of the overall savings must come from G/E/NP and low</w:t>
      </w:r>
      <w:r w:rsidR="00C503DC">
        <w:rPr>
          <w:sz w:val="26"/>
          <w:szCs w:val="26"/>
        </w:rPr>
        <w:noBreakHyphen/>
        <w:t>income.  Specifically, Act 129 required that “[a] minimum of 10% of the required reductions in consumption under subsections (c) and (d) shall be obtained from units of Federal, State and local government, including municipalities, school districts, institutions of higher education and nonprofit entities.”  66 Pa. C.S. § 2806.1(b)(1)(</w:t>
      </w:r>
      <w:proofErr w:type="spellStart"/>
      <w:r w:rsidR="00C503DC">
        <w:rPr>
          <w:sz w:val="26"/>
          <w:szCs w:val="26"/>
        </w:rPr>
        <w:t>i</w:t>
      </w:r>
      <w:proofErr w:type="spellEnd"/>
      <w:r w:rsidR="00C503DC">
        <w:rPr>
          <w:sz w:val="26"/>
          <w:szCs w:val="26"/>
        </w:rPr>
        <w:t>)(B).  The Commission continued this requirement for Phase II,</w:t>
      </w:r>
      <w:r w:rsidR="00C503DC">
        <w:rPr>
          <w:rStyle w:val="FootnoteReference"/>
          <w:sz w:val="26"/>
          <w:szCs w:val="26"/>
        </w:rPr>
        <w:footnoteReference w:id="124"/>
      </w:r>
      <w:r w:rsidR="00C503DC">
        <w:rPr>
          <w:sz w:val="26"/>
          <w:szCs w:val="26"/>
        </w:rPr>
        <w:t xml:space="preserve"> as well as Phase III, with a reduced carve</w:t>
      </w:r>
      <w:r w:rsidR="00C503DC">
        <w:rPr>
          <w:sz w:val="26"/>
          <w:szCs w:val="26"/>
        </w:rPr>
        <w:noBreakHyphen/>
        <w:t xml:space="preserve">out of </w:t>
      </w:r>
      <w:r w:rsidR="002625C5">
        <w:rPr>
          <w:sz w:val="26"/>
          <w:szCs w:val="26"/>
        </w:rPr>
        <w:t>3.5% of the EDC’s consumption reduction requirements.</w:t>
      </w:r>
      <w:r w:rsidR="002625C5">
        <w:rPr>
          <w:rStyle w:val="FootnoteReference"/>
          <w:sz w:val="26"/>
          <w:szCs w:val="26"/>
        </w:rPr>
        <w:footnoteReference w:id="125"/>
      </w:r>
      <w:r w:rsidR="002625C5">
        <w:rPr>
          <w:sz w:val="26"/>
          <w:szCs w:val="26"/>
        </w:rPr>
        <w:t xml:space="preserve">  In particular, in the Phase III Implementation Order, the </w:t>
      </w:r>
      <w:r w:rsidR="002625C5">
        <w:rPr>
          <w:sz w:val="26"/>
          <w:szCs w:val="26"/>
        </w:rPr>
        <w:lastRenderedPageBreak/>
        <w:t>Commission specifically stated that “we direct all EDCs obtain 3.5% of their consumption reduction requirements from the G/E/NP sector.”</w:t>
      </w:r>
      <w:r w:rsidR="002625C5">
        <w:rPr>
          <w:rStyle w:val="FootnoteReference"/>
          <w:sz w:val="26"/>
          <w:szCs w:val="26"/>
        </w:rPr>
        <w:footnoteReference w:id="126"/>
      </w:r>
      <w:r w:rsidR="002625C5">
        <w:rPr>
          <w:sz w:val="26"/>
          <w:szCs w:val="26"/>
        </w:rPr>
        <w:t xml:space="preserve">  Regarding the low</w:t>
      </w:r>
      <w:r w:rsidR="002625C5">
        <w:rPr>
          <w:sz w:val="26"/>
          <w:szCs w:val="26"/>
        </w:rPr>
        <w:noBreakHyphen/>
        <w:t>income carve</w:t>
      </w:r>
      <w:r w:rsidR="002625C5">
        <w:rPr>
          <w:sz w:val="26"/>
          <w:szCs w:val="26"/>
        </w:rPr>
        <w:noBreakHyphen/>
        <w:t xml:space="preserve">out, </w:t>
      </w:r>
      <w:r w:rsidR="00173265">
        <w:rPr>
          <w:sz w:val="26"/>
          <w:szCs w:val="26"/>
        </w:rPr>
        <w:t>in the Phase II Implementation Order, the Commission “proposed that each EDC Phase II EE&amp;C Plan should obtain a minimum of four-and-a-half percent (4.5%) of its consumption reduction requirements from this sector.”</w:t>
      </w:r>
      <w:r w:rsidR="00173265">
        <w:rPr>
          <w:rStyle w:val="FootnoteReference"/>
          <w:sz w:val="26"/>
          <w:szCs w:val="26"/>
        </w:rPr>
        <w:footnoteReference w:id="127"/>
      </w:r>
      <w:r w:rsidR="00173265">
        <w:rPr>
          <w:sz w:val="26"/>
          <w:szCs w:val="26"/>
        </w:rPr>
        <w:t xml:space="preserve">   I</w:t>
      </w:r>
      <w:r w:rsidR="002625C5">
        <w:rPr>
          <w:sz w:val="26"/>
          <w:szCs w:val="26"/>
        </w:rPr>
        <w:t>n the Phase III Implementation Order, the Commission “proposed to require each EDC to obtain a minimum of 5.5% of their total consumption reduction target from the low</w:t>
      </w:r>
      <w:r w:rsidR="002625C5">
        <w:rPr>
          <w:sz w:val="26"/>
          <w:szCs w:val="26"/>
        </w:rPr>
        <w:noBreakHyphen/>
        <w:t>income sector</w:t>
      </w:r>
      <w:r w:rsidR="00173265">
        <w:rPr>
          <w:sz w:val="26"/>
          <w:szCs w:val="26"/>
        </w:rPr>
        <w:t>….”</w:t>
      </w:r>
      <w:r w:rsidR="00173265">
        <w:rPr>
          <w:rStyle w:val="FootnoteReference"/>
          <w:sz w:val="26"/>
          <w:szCs w:val="26"/>
        </w:rPr>
        <w:footnoteReference w:id="128"/>
      </w:r>
      <w:r w:rsidR="00173265">
        <w:rPr>
          <w:sz w:val="26"/>
          <w:szCs w:val="26"/>
        </w:rPr>
        <w:t xml:space="preserve">  These are clearly portions of the consumption reduction requirement.  If there are no consumption reduction requirement savings being carried</w:t>
      </w:r>
      <w:r w:rsidR="00173265">
        <w:rPr>
          <w:sz w:val="26"/>
          <w:szCs w:val="26"/>
        </w:rPr>
        <w:noBreakHyphen/>
      </w:r>
      <w:proofErr w:type="gramStart"/>
      <w:r w:rsidR="00173265">
        <w:rPr>
          <w:sz w:val="26"/>
          <w:szCs w:val="26"/>
        </w:rPr>
        <w:t>over</w:t>
      </w:r>
      <w:proofErr w:type="gramEnd"/>
      <w:r w:rsidR="00173265">
        <w:rPr>
          <w:sz w:val="26"/>
          <w:szCs w:val="26"/>
        </w:rPr>
        <w:t xml:space="preserve"> then there c</w:t>
      </w:r>
      <w:r w:rsidR="00DC0281">
        <w:rPr>
          <w:sz w:val="26"/>
          <w:szCs w:val="26"/>
        </w:rPr>
        <w:t>an be no subset or carve</w:t>
      </w:r>
      <w:r w:rsidR="00DC0281">
        <w:rPr>
          <w:sz w:val="26"/>
          <w:szCs w:val="26"/>
        </w:rPr>
        <w:noBreakHyphen/>
        <w:t>out of those savings to carry</w:t>
      </w:r>
      <w:r w:rsidR="00DC0281">
        <w:rPr>
          <w:sz w:val="26"/>
          <w:szCs w:val="26"/>
        </w:rPr>
        <w:noBreakHyphen/>
        <w:t xml:space="preserve">over.  </w:t>
      </w:r>
    </w:p>
    <w:p w:rsidR="00DC0281" w:rsidRDefault="00DC0281" w:rsidP="00D31E5F">
      <w:pPr>
        <w:pStyle w:val="p3"/>
        <w:tabs>
          <w:tab w:val="clear" w:pos="204"/>
        </w:tabs>
        <w:spacing w:line="360" w:lineRule="auto"/>
        <w:rPr>
          <w:sz w:val="26"/>
          <w:szCs w:val="26"/>
        </w:rPr>
      </w:pPr>
    </w:p>
    <w:p w:rsidR="009C787D" w:rsidRDefault="00DC0281" w:rsidP="00D31E5F">
      <w:pPr>
        <w:pStyle w:val="p3"/>
        <w:tabs>
          <w:tab w:val="clear" w:pos="204"/>
        </w:tabs>
        <w:spacing w:line="360" w:lineRule="auto"/>
        <w:rPr>
          <w:sz w:val="26"/>
          <w:szCs w:val="26"/>
        </w:rPr>
      </w:pPr>
      <w:r>
        <w:rPr>
          <w:sz w:val="26"/>
          <w:szCs w:val="26"/>
        </w:rPr>
        <w:tab/>
      </w:r>
      <w:r w:rsidRPr="00440159">
        <w:rPr>
          <w:sz w:val="26"/>
          <w:szCs w:val="26"/>
        </w:rPr>
        <w:t>The Commission’s Phase III Implementation Order did not alter this fact.  In the Phase III Implementation Order, the Commission stated that “the EDCs are allowed to bank only those savings obtained in Phase II in excess of their targets for application towards Phase III targets.</w:t>
      </w:r>
      <w:r w:rsidR="00440159" w:rsidRPr="00440159">
        <w:rPr>
          <w:sz w:val="26"/>
          <w:szCs w:val="26"/>
        </w:rPr>
        <w:t>”</w:t>
      </w:r>
      <w:r w:rsidR="00440159" w:rsidRPr="00440159">
        <w:rPr>
          <w:rStyle w:val="FootnoteReference"/>
          <w:sz w:val="26"/>
          <w:szCs w:val="26"/>
        </w:rPr>
        <w:footnoteReference w:id="129"/>
      </w:r>
      <w:r w:rsidRPr="00440159">
        <w:rPr>
          <w:sz w:val="26"/>
          <w:szCs w:val="26"/>
        </w:rPr>
        <w:t xml:space="preserve">  </w:t>
      </w:r>
      <w:r w:rsidR="00440159" w:rsidRPr="00440159">
        <w:rPr>
          <w:sz w:val="26"/>
          <w:szCs w:val="26"/>
        </w:rPr>
        <w:t>The Commission went on to state that [t]</w:t>
      </w:r>
      <w:proofErr w:type="spellStart"/>
      <w:r w:rsidRPr="00440159">
        <w:rPr>
          <w:sz w:val="26"/>
          <w:szCs w:val="26"/>
        </w:rPr>
        <w:t>hese</w:t>
      </w:r>
      <w:proofErr w:type="spellEnd"/>
      <w:r w:rsidRPr="00440159">
        <w:rPr>
          <w:sz w:val="26"/>
          <w:szCs w:val="26"/>
        </w:rPr>
        <w:t xml:space="preserve"> carryover savings may only be savings actually obtained in Phase II</w:t>
      </w:r>
      <w:r w:rsidR="00440159" w:rsidRPr="00440159">
        <w:rPr>
          <w:sz w:val="26"/>
          <w:szCs w:val="26"/>
        </w:rPr>
        <w:t>” and that “[t]his directive applies to excess savings in the G/E/NP sector, as well</w:t>
      </w:r>
      <w:r w:rsidRPr="00440159">
        <w:rPr>
          <w:sz w:val="26"/>
          <w:szCs w:val="26"/>
        </w:rPr>
        <w:t>.</w:t>
      </w:r>
      <w:r w:rsidR="00440159" w:rsidRPr="00440159">
        <w:rPr>
          <w:sz w:val="26"/>
          <w:szCs w:val="26"/>
        </w:rPr>
        <w:t>”</w:t>
      </w:r>
      <w:r w:rsidR="00440159" w:rsidRPr="00440159">
        <w:rPr>
          <w:rStyle w:val="FootnoteReference"/>
          <w:sz w:val="26"/>
          <w:szCs w:val="26"/>
        </w:rPr>
        <w:footnoteReference w:id="130"/>
      </w:r>
      <w:r w:rsidR="00440159">
        <w:rPr>
          <w:sz w:val="26"/>
          <w:szCs w:val="26"/>
        </w:rPr>
        <w:t xml:space="preserve">  For the low</w:t>
      </w:r>
      <w:r w:rsidR="00440159">
        <w:rPr>
          <w:sz w:val="26"/>
          <w:szCs w:val="26"/>
        </w:rPr>
        <w:noBreakHyphen/>
        <w:t>income carryover, the Commission established a ratio to be applied to any applicable low</w:t>
      </w:r>
      <w:r w:rsidR="00440159">
        <w:rPr>
          <w:sz w:val="26"/>
          <w:szCs w:val="26"/>
        </w:rPr>
        <w:noBreakHyphen/>
        <w:t>income excess to ensure that the savings being carried over into Phase III meet the Phase III low</w:t>
      </w:r>
      <w:r w:rsidR="00440159">
        <w:rPr>
          <w:sz w:val="26"/>
          <w:szCs w:val="26"/>
        </w:rPr>
        <w:noBreakHyphen/>
        <w:t>income carve</w:t>
      </w:r>
      <w:r w:rsidR="00440159">
        <w:rPr>
          <w:sz w:val="26"/>
          <w:szCs w:val="26"/>
        </w:rPr>
        <w:noBreakHyphen/>
        <w:t>out requirements.  This discussion in no way changed the fact that the two carve</w:t>
      </w:r>
      <w:r w:rsidR="00440159">
        <w:rPr>
          <w:sz w:val="26"/>
          <w:szCs w:val="26"/>
        </w:rPr>
        <w:noBreakHyphen/>
        <w:t xml:space="preserve">outs are to be a portion of the overall savings requirements.  </w:t>
      </w:r>
    </w:p>
    <w:p w:rsidR="009C787D" w:rsidRDefault="009C787D" w:rsidP="00D31E5F">
      <w:pPr>
        <w:pStyle w:val="p3"/>
        <w:tabs>
          <w:tab w:val="clear" w:pos="204"/>
        </w:tabs>
        <w:spacing w:line="360" w:lineRule="auto"/>
        <w:rPr>
          <w:sz w:val="26"/>
          <w:szCs w:val="26"/>
        </w:rPr>
      </w:pPr>
    </w:p>
    <w:p w:rsidR="00DC0281" w:rsidRDefault="001466F0" w:rsidP="009C787D">
      <w:pPr>
        <w:pStyle w:val="p3"/>
        <w:tabs>
          <w:tab w:val="clear" w:pos="204"/>
        </w:tabs>
        <w:spacing w:line="360" w:lineRule="auto"/>
        <w:ind w:firstLine="720"/>
        <w:rPr>
          <w:sz w:val="26"/>
          <w:szCs w:val="26"/>
        </w:rPr>
      </w:pPr>
      <w:r>
        <w:rPr>
          <w:sz w:val="26"/>
          <w:szCs w:val="26"/>
        </w:rPr>
        <w:t xml:space="preserve">In fact, PPL, in its comments to the Phase III Tentative Implementation Order, specifically asked the Commission to clarify “whether EDCs are permitted to apply Phase </w:t>
      </w:r>
      <w:r>
        <w:rPr>
          <w:sz w:val="26"/>
          <w:szCs w:val="26"/>
        </w:rPr>
        <w:lastRenderedPageBreak/>
        <w:t>II over</w:t>
      </w:r>
      <w:r>
        <w:rPr>
          <w:sz w:val="26"/>
          <w:szCs w:val="26"/>
        </w:rPr>
        <w:noBreakHyphen/>
        <w:t>compliance savings to Phase III at the customer sector level for low</w:t>
      </w:r>
      <w:r>
        <w:rPr>
          <w:sz w:val="26"/>
          <w:szCs w:val="26"/>
        </w:rPr>
        <w:noBreakHyphen/>
        <w:t>income and [G/E/NP] sector carve</w:t>
      </w:r>
      <w:r>
        <w:rPr>
          <w:sz w:val="26"/>
          <w:szCs w:val="26"/>
        </w:rPr>
        <w:noBreakHyphen/>
        <w:t>outs, even if there is no over</w:t>
      </w:r>
      <w:r>
        <w:rPr>
          <w:sz w:val="26"/>
          <w:szCs w:val="26"/>
        </w:rPr>
        <w:noBreakHyphen/>
        <w:t>compliance at the portfolio level.”</w:t>
      </w:r>
      <w:r>
        <w:rPr>
          <w:rStyle w:val="FootnoteReference"/>
          <w:sz w:val="26"/>
          <w:szCs w:val="26"/>
        </w:rPr>
        <w:footnoteReference w:id="131"/>
      </w:r>
      <w:r>
        <w:rPr>
          <w:sz w:val="26"/>
          <w:szCs w:val="26"/>
        </w:rPr>
        <w:t xml:space="preserve">  PPL, in its comments went on to give an example</w:t>
      </w:r>
      <w:r w:rsidR="00262E97">
        <w:rPr>
          <w:sz w:val="26"/>
          <w:szCs w:val="26"/>
        </w:rPr>
        <w:t xml:space="preserve"> of where the EDC had no portfolio level carryover, but had Phase II low</w:t>
      </w:r>
      <w:r w:rsidR="00262E97">
        <w:rPr>
          <w:sz w:val="26"/>
          <w:szCs w:val="26"/>
        </w:rPr>
        <w:noBreakHyphen/>
        <w:t>income excess savings of 20,000 MWh/</w:t>
      </w:r>
      <w:proofErr w:type="spellStart"/>
      <w:r w:rsidR="00262E97">
        <w:rPr>
          <w:sz w:val="26"/>
          <w:szCs w:val="26"/>
        </w:rPr>
        <w:t>yr</w:t>
      </w:r>
      <w:proofErr w:type="spellEnd"/>
      <w:r w:rsidR="00262E97">
        <w:rPr>
          <w:sz w:val="26"/>
          <w:szCs w:val="26"/>
        </w:rPr>
        <w:t xml:space="preserve"> savings and asked whether the EDC can carryover these excess savings into Phase III even though there is no carryover at the portfolio level.</w:t>
      </w:r>
      <w:r w:rsidR="00262E97">
        <w:rPr>
          <w:rStyle w:val="FootnoteReference"/>
          <w:sz w:val="26"/>
          <w:szCs w:val="26"/>
        </w:rPr>
        <w:footnoteReference w:id="132"/>
      </w:r>
      <w:r w:rsidR="00262E97">
        <w:rPr>
          <w:sz w:val="26"/>
          <w:szCs w:val="26"/>
        </w:rPr>
        <w:t xml:space="preserve">  Significantly, the Commission</w:t>
      </w:r>
      <w:r w:rsidR="00753437">
        <w:rPr>
          <w:sz w:val="26"/>
          <w:szCs w:val="26"/>
        </w:rPr>
        <w:t>, in the Phase III Implementation Order,</w:t>
      </w:r>
      <w:r w:rsidR="00262E97">
        <w:rPr>
          <w:sz w:val="26"/>
          <w:szCs w:val="26"/>
        </w:rPr>
        <w:t xml:space="preserve"> </w:t>
      </w:r>
      <w:r w:rsidR="009C787D">
        <w:rPr>
          <w:sz w:val="26"/>
          <w:szCs w:val="26"/>
        </w:rPr>
        <w:t>did</w:t>
      </w:r>
      <w:r w:rsidR="00262E97">
        <w:rPr>
          <w:sz w:val="26"/>
          <w:szCs w:val="26"/>
        </w:rPr>
        <w:t xml:space="preserve"> not </w:t>
      </w:r>
      <w:r w:rsidR="009C787D">
        <w:rPr>
          <w:sz w:val="26"/>
          <w:szCs w:val="26"/>
        </w:rPr>
        <w:t xml:space="preserve">specifically </w:t>
      </w:r>
      <w:r w:rsidR="00753437">
        <w:rPr>
          <w:sz w:val="26"/>
          <w:szCs w:val="26"/>
        </w:rPr>
        <w:t xml:space="preserve">adopt PPL’s proposal </w:t>
      </w:r>
      <w:r w:rsidR="009C787D">
        <w:rPr>
          <w:sz w:val="26"/>
          <w:szCs w:val="26"/>
        </w:rPr>
        <w:t xml:space="preserve"> </w:t>
      </w:r>
      <w:r w:rsidR="00753437">
        <w:rPr>
          <w:sz w:val="26"/>
          <w:szCs w:val="26"/>
        </w:rPr>
        <w:t>to allow</w:t>
      </w:r>
      <w:r w:rsidR="009C787D">
        <w:rPr>
          <w:sz w:val="26"/>
          <w:szCs w:val="26"/>
        </w:rPr>
        <w:t xml:space="preserve"> EDC</w:t>
      </w:r>
      <w:r w:rsidR="00753437">
        <w:rPr>
          <w:sz w:val="26"/>
          <w:szCs w:val="26"/>
        </w:rPr>
        <w:t>s</w:t>
      </w:r>
      <w:r w:rsidR="009C787D">
        <w:rPr>
          <w:sz w:val="26"/>
          <w:szCs w:val="26"/>
        </w:rPr>
        <w:t xml:space="preserve"> </w:t>
      </w:r>
      <w:r w:rsidR="00753437">
        <w:rPr>
          <w:sz w:val="26"/>
          <w:szCs w:val="26"/>
        </w:rPr>
        <w:t>to</w:t>
      </w:r>
      <w:r w:rsidR="009C787D">
        <w:rPr>
          <w:sz w:val="26"/>
          <w:szCs w:val="26"/>
        </w:rPr>
        <w:t xml:space="preserve"> apply Phase II </w:t>
      </w:r>
      <w:r w:rsidR="00753437">
        <w:rPr>
          <w:sz w:val="26"/>
          <w:szCs w:val="26"/>
        </w:rPr>
        <w:t>low</w:t>
      </w:r>
      <w:r w:rsidR="00753437">
        <w:rPr>
          <w:sz w:val="26"/>
          <w:szCs w:val="26"/>
        </w:rPr>
        <w:noBreakHyphen/>
        <w:t>income and G/E/NP carve</w:t>
      </w:r>
      <w:r w:rsidR="00753437">
        <w:rPr>
          <w:sz w:val="26"/>
          <w:szCs w:val="26"/>
        </w:rPr>
        <w:noBreakHyphen/>
        <w:t xml:space="preserve">out </w:t>
      </w:r>
      <w:r w:rsidR="009C787D">
        <w:rPr>
          <w:sz w:val="26"/>
          <w:szCs w:val="26"/>
        </w:rPr>
        <w:t>over</w:t>
      </w:r>
      <w:r w:rsidR="009C787D">
        <w:rPr>
          <w:sz w:val="26"/>
          <w:szCs w:val="26"/>
        </w:rPr>
        <w:noBreakHyphen/>
        <w:t>compliance savings to Phase III, even if there is no over</w:t>
      </w:r>
      <w:r w:rsidR="009C787D">
        <w:rPr>
          <w:sz w:val="26"/>
          <w:szCs w:val="26"/>
        </w:rPr>
        <w:noBreakHyphen/>
        <w:t>compliance at the portfolio level</w:t>
      </w:r>
      <w:r w:rsidR="00753437">
        <w:rPr>
          <w:sz w:val="26"/>
          <w:szCs w:val="26"/>
        </w:rPr>
        <w:t xml:space="preserve">.  Accordingly, PPL’s proposal was rejected by the Commission.  For these reasons, the Commission denies PECO’s Petition. </w:t>
      </w:r>
      <w:r w:rsidR="009C787D">
        <w:rPr>
          <w:sz w:val="26"/>
          <w:szCs w:val="26"/>
        </w:rPr>
        <w:t xml:space="preserve">  </w:t>
      </w:r>
    </w:p>
    <w:p w:rsidR="009C787D" w:rsidRDefault="009C787D" w:rsidP="00D31E5F">
      <w:pPr>
        <w:pStyle w:val="p3"/>
        <w:tabs>
          <w:tab w:val="clear" w:pos="204"/>
        </w:tabs>
        <w:spacing w:line="360" w:lineRule="auto"/>
        <w:rPr>
          <w:sz w:val="26"/>
          <w:szCs w:val="26"/>
        </w:rPr>
      </w:pPr>
    </w:p>
    <w:p w:rsidR="000C7760" w:rsidRDefault="000C7760" w:rsidP="00D31E5F">
      <w:pPr>
        <w:pStyle w:val="p3"/>
        <w:tabs>
          <w:tab w:val="clear" w:pos="204"/>
        </w:tabs>
        <w:spacing w:line="360" w:lineRule="auto"/>
        <w:rPr>
          <w:sz w:val="26"/>
          <w:szCs w:val="26"/>
        </w:rPr>
      </w:pPr>
      <w:r>
        <w:rPr>
          <w:sz w:val="26"/>
          <w:szCs w:val="26"/>
        </w:rPr>
        <w:tab/>
      </w:r>
      <w:r>
        <w:rPr>
          <w:sz w:val="26"/>
          <w:szCs w:val="26"/>
        </w:rPr>
        <w:tab/>
      </w:r>
      <w:r>
        <w:rPr>
          <w:b/>
          <w:sz w:val="26"/>
          <w:szCs w:val="26"/>
        </w:rPr>
        <w:t>d.</w:t>
      </w:r>
      <w:r>
        <w:rPr>
          <w:b/>
          <w:sz w:val="26"/>
          <w:szCs w:val="26"/>
        </w:rPr>
        <w:tab/>
        <w:t>Penelec</w:t>
      </w:r>
    </w:p>
    <w:p w:rsidR="00B257EC" w:rsidRPr="00B257EC" w:rsidRDefault="00916006" w:rsidP="00F71395">
      <w:pPr>
        <w:spacing w:line="360" w:lineRule="auto"/>
        <w:rPr>
          <w:sz w:val="26"/>
          <w:szCs w:val="26"/>
        </w:rPr>
      </w:pPr>
      <w:r>
        <w:rPr>
          <w:sz w:val="26"/>
          <w:szCs w:val="26"/>
        </w:rPr>
        <w:tab/>
      </w:r>
      <w:r w:rsidR="00B257EC" w:rsidRPr="00B257EC">
        <w:rPr>
          <w:sz w:val="26"/>
          <w:szCs w:val="26"/>
        </w:rPr>
        <w:t xml:space="preserve"> In its PY7 Final Annual Report, Penelec reports it attained the </w:t>
      </w:r>
      <w:r w:rsidR="00B05905">
        <w:rPr>
          <w:sz w:val="26"/>
          <w:szCs w:val="26"/>
        </w:rPr>
        <w:t>portfolio</w:t>
      </w:r>
      <w:r w:rsidR="00B05905">
        <w:rPr>
          <w:sz w:val="26"/>
          <w:szCs w:val="26"/>
        </w:rPr>
        <w:noBreakHyphen/>
        <w:t xml:space="preserve">level </w:t>
      </w:r>
      <w:r w:rsidR="00B257EC" w:rsidRPr="00B257EC">
        <w:rPr>
          <w:sz w:val="26"/>
          <w:szCs w:val="26"/>
        </w:rPr>
        <w:t xml:space="preserve">TRM-verified electric consumption carryover savings amount of 49,695 MWh, G/E/NP </w:t>
      </w:r>
      <w:r w:rsidR="00CE4DBC">
        <w:rPr>
          <w:sz w:val="26"/>
          <w:szCs w:val="26"/>
        </w:rPr>
        <w:t xml:space="preserve">reduction requirement excess </w:t>
      </w:r>
      <w:r w:rsidR="00CE4DBC" w:rsidRPr="00902C1B">
        <w:rPr>
          <w:sz w:val="26"/>
          <w:szCs w:val="26"/>
        </w:rPr>
        <w:t xml:space="preserve">savings </w:t>
      </w:r>
      <w:r w:rsidR="00B257EC" w:rsidRPr="00B257EC">
        <w:rPr>
          <w:sz w:val="26"/>
          <w:szCs w:val="26"/>
        </w:rPr>
        <w:t>of 83 MWh, and low</w:t>
      </w:r>
      <w:r w:rsidR="00B05905">
        <w:rPr>
          <w:sz w:val="26"/>
          <w:szCs w:val="26"/>
        </w:rPr>
        <w:noBreakHyphen/>
      </w:r>
      <w:r w:rsidR="00B257EC" w:rsidRPr="00B257EC">
        <w:rPr>
          <w:sz w:val="26"/>
          <w:szCs w:val="26"/>
        </w:rPr>
        <w:t xml:space="preserve">income </w:t>
      </w:r>
      <w:r w:rsidR="00CE4DBC">
        <w:rPr>
          <w:sz w:val="26"/>
          <w:szCs w:val="26"/>
        </w:rPr>
        <w:t xml:space="preserve">reduction  requirement excess </w:t>
      </w:r>
      <w:r w:rsidR="00CE4DBC" w:rsidRPr="00902C1B">
        <w:rPr>
          <w:sz w:val="26"/>
          <w:szCs w:val="26"/>
        </w:rPr>
        <w:t xml:space="preserve">savings </w:t>
      </w:r>
      <w:r w:rsidR="00CE4DBC">
        <w:rPr>
          <w:sz w:val="26"/>
          <w:szCs w:val="26"/>
        </w:rPr>
        <w:t xml:space="preserve">of </w:t>
      </w:r>
      <w:r w:rsidR="00B257EC" w:rsidRPr="00B257EC">
        <w:rPr>
          <w:sz w:val="26"/>
          <w:szCs w:val="26"/>
        </w:rPr>
        <w:t>7,872 MWh.</w:t>
      </w:r>
      <w:r w:rsidR="00B257EC" w:rsidRPr="00B257EC">
        <w:rPr>
          <w:sz w:val="26"/>
          <w:szCs w:val="26"/>
          <w:vertAlign w:val="superscript"/>
        </w:rPr>
        <w:footnoteReference w:id="133"/>
      </w:r>
      <w:r w:rsidR="00B257EC" w:rsidRPr="00B257EC">
        <w:rPr>
          <w:sz w:val="26"/>
          <w:szCs w:val="26"/>
        </w:rPr>
        <w:t xml:space="preserve">  In its </w:t>
      </w:r>
      <w:r w:rsidR="0066082E">
        <w:rPr>
          <w:sz w:val="26"/>
          <w:szCs w:val="26"/>
        </w:rPr>
        <w:t xml:space="preserve">Amended </w:t>
      </w:r>
      <w:r w:rsidR="00B257EC" w:rsidRPr="00B257EC">
        <w:rPr>
          <w:sz w:val="26"/>
          <w:szCs w:val="26"/>
        </w:rPr>
        <w:t xml:space="preserve">Phase II Final Annual Report, the SWE validates </w:t>
      </w:r>
      <w:proofErr w:type="spellStart"/>
      <w:r w:rsidR="00B257EC" w:rsidRPr="00B257EC">
        <w:rPr>
          <w:sz w:val="26"/>
          <w:szCs w:val="26"/>
        </w:rPr>
        <w:t>Penelec’s</w:t>
      </w:r>
      <w:proofErr w:type="spellEnd"/>
      <w:r w:rsidR="00B257EC" w:rsidRPr="00B257EC">
        <w:rPr>
          <w:sz w:val="26"/>
          <w:szCs w:val="26"/>
        </w:rPr>
        <w:t xml:space="preserve"> </w:t>
      </w:r>
      <w:r w:rsidR="00B05905">
        <w:rPr>
          <w:sz w:val="26"/>
          <w:szCs w:val="26"/>
        </w:rPr>
        <w:t>portfolio</w:t>
      </w:r>
      <w:r w:rsidR="00B05905">
        <w:rPr>
          <w:sz w:val="26"/>
          <w:szCs w:val="26"/>
        </w:rPr>
        <w:noBreakHyphen/>
        <w:t xml:space="preserve">level </w:t>
      </w:r>
      <w:r w:rsidR="00B257EC" w:rsidRPr="00B257EC">
        <w:rPr>
          <w:sz w:val="26"/>
          <w:szCs w:val="26"/>
        </w:rPr>
        <w:t xml:space="preserve">electric consumption carryover of 49,695 MWh, G/E/NP </w:t>
      </w:r>
      <w:r w:rsidR="00CE4DBC">
        <w:rPr>
          <w:sz w:val="26"/>
          <w:szCs w:val="26"/>
        </w:rPr>
        <w:t xml:space="preserve">reduction requirement excess </w:t>
      </w:r>
      <w:r w:rsidR="00CE4DBC" w:rsidRPr="00902C1B">
        <w:rPr>
          <w:sz w:val="26"/>
          <w:szCs w:val="26"/>
        </w:rPr>
        <w:t xml:space="preserve">savings </w:t>
      </w:r>
      <w:r w:rsidR="00B257EC" w:rsidRPr="00B257EC">
        <w:rPr>
          <w:sz w:val="26"/>
          <w:szCs w:val="26"/>
        </w:rPr>
        <w:t>of 83 MWh, and low</w:t>
      </w:r>
      <w:r w:rsidR="00DC62F2">
        <w:rPr>
          <w:sz w:val="26"/>
          <w:szCs w:val="26"/>
        </w:rPr>
        <w:noBreakHyphen/>
      </w:r>
      <w:r w:rsidR="00B257EC" w:rsidRPr="00B257EC">
        <w:rPr>
          <w:sz w:val="26"/>
          <w:szCs w:val="26"/>
        </w:rPr>
        <w:t xml:space="preserve">income </w:t>
      </w:r>
      <w:r w:rsidR="00CE4DBC">
        <w:rPr>
          <w:sz w:val="26"/>
          <w:szCs w:val="26"/>
        </w:rPr>
        <w:t xml:space="preserve">reduction  requirement excess </w:t>
      </w:r>
      <w:r w:rsidR="00CE4DBC" w:rsidRPr="00902C1B">
        <w:rPr>
          <w:sz w:val="26"/>
          <w:szCs w:val="26"/>
        </w:rPr>
        <w:t xml:space="preserve">savings </w:t>
      </w:r>
      <w:r w:rsidR="00B257EC">
        <w:rPr>
          <w:sz w:val="26"/>
          <w:szCs w:val="26"/>
        </w:rPr>
        <w:t xml:space="preserve">of </w:t>
      </w:r>
      <w:r w:rsidR="00B257EC" w:rsidRPr="00B257EC">
        <w:rPr>
          <w:sz w:val="26"/>
          <w:szCs w:val="26"/>
        </w:rPr>
        <w:t>7,872 MWh.</w:t>
      </w:r>
      <w:r w:rsidR="00B257EC" w:rsidRPr="00B257EC">
        <w:rPr>
          <w:sz w:val="26"/>
          <w:szCs w:val="26"/>
          <w:vertAlign w:val="superscript"/>
        </w:rPr>
        <w:footnoteReference w:id="134"/>
      </w:r>
      <w:r w:rsidR="00B257EC" w:rsidRPr="00B257EC">
        <w:rPr>
          <w:sz w:val="26"/>
          <w:szCs w:val="26"/>
        </w:rPr>
        <w:t xml:space="preserve">  The Commission agrees with the </w:t>
      </w:r>
      <w:r w:rsidR="00DC62F2">
        <w:rPr>
          <w:sz w:val="26"/>
          <w:szCs w:val="26"/>
        </w:rPr>
        <w:t>portfolio</w:t>
      </w:r>
      <w:r w:rsidR="00DC62F2">
        <w:rPr>
          <w:sz w:val="26"/>
          <w:szCs w:val="26"/>
        </w:rPr>
        <w:noBreakHyphen/>
        <w:t xml:space="preserve">level </w:t>
      </w:r>
      <w:r w:rsidR="00B257EC" w:rsidRPr="00B257EC">
        <w:rPr>
          <w:sz w:val="26"/>
          <w:szCs w:val="26"/>
        </w:rPr>
        <w:t xml:space="preserve">TRM-verified carryover savings reported by Penelec and confirmed by the SWE and accepts a </w:t>
      </w:r>
      <w:r w:rsidR="00DC62F2">
        <w:rPr>
          <w:sz w:val="26"/>
          <w:szCs w:val="26"/>
        </w:rPr>
        <w:t>portfolio</w:t>
      </w:r>
      <w:r w:rsidR="00DC62F2">
        <w:rPr>
          <w:sz w:val="26"/>
          <w:szCs w:val="26"/>
        </w:rPr>
        <w:noBreakHyphen/>
        <w:t xml:space="preserve">level </w:t>
      </w:r>
      <w:r w:rsidR="00B257EC" w:rsidRPr="00B257EC">
        <w:rPr>
          <w:sz w:val="26"/>
          <w:szCs w:val="26"/>
        </w:rPr>
        <w:t xml:space="preserve">carryover total of 49,695 MWh to be credited against </w:t>
      </w:r>
      <w:proofErr w:type="spellStart"/>
      <w:r w:rsidR="00B257EC" w:rsidRPr="00B257EC">
        <w:rPr>
          <w:sz w:val="26"/>
          <w:szCs w:val="26"/>
        </w:rPr>
        <w:t>Penelec’s</w:t>
      </w:r>
      <w:proofErr w:type="spellEnd"/>
      <w:r w:rsidR="00B257EC" w:rsidRPr="00B257EC">
        <w:rPr>
          <w:sz w:val="26"/>
          <w:szCs w:val="26"/>
        </w:rPr>
        <w:t xml:space="preserve"> Phase III </w:t>
      </w:r>
      <w:r w:rsidR="00DC62F2">
        <w:rPr>
          <w:sz w:val="26"/>
          <w:szCs w:val="26"/>
        </w:rPr>
        <w:t>portfolio</w:t>
      </w:r>
      <w:r w:rsidR="00DC62F2">
        <w:rPr>
          <w:sz w:val="26"/>
          <w:szCs w:val="26"/>
        </w:rPr>
        <w:noBreakHyphen/>
        <w:t xml:space="preserve">level </w:t>
      </w:r>
      <w:r w:rsidR="00B257EC" w:rsidRPr="00B257EC">
        <w:rPr>
          <w:sz w:val="26"/>
          <w:szCs w:val="26"/>
        </w:rPr>
        <w:t>electric consum</w:t>
      </w:r>
      <w:r w:rsidR="00CE4DBC">
        <w:rPr>
          <w:sz w:val="26"/>
          <w:szCs w:val="26"/>
        </w:rPr>
        <w:t xml:space="preserve">ption reduction requirements, an excess </w:t>
      </w:r>
      <w:r w:rsidR="00CE4DBC" w:rsidRPr="00902C1B">
        <w:rPr>
          <w:sz w:val="26"/>
          <w:szCs w:val="26"/>
        </w:rPr>
        <w:t xml:space="preserve">savings </w:t>
      </w:r>
      <w:r w:rsidR="00CE4DBC">
        <w:rPr>
          <w:sz w:val="26"/>
          <w:szCs w:val="26"/>
        </w:rPr>
        <w:t xml:space="preserve">total </w:t>
      </w:r>
      <w:r w:rsidR="00B257EC" w:rsidRPr="00B257EC">
        <w:rPr>
          <w:sz w:val="26"/>
          <w:szCs w:val="26"/>
        </w:rPr>
        <w:t xml:space="preserve">of 83 MWh to be credited against </w:t>
      </w:r>
      <w:proofErr w:type="spellStart"/>
      <w:r w:rsidR="00B257EC" w:rsidRPr="00B257EC">
        <w:rPr>
          <w:sz w:val="26"/>
          <w:szCs w:val="26"/>
        </w:rPr>
        <w:t>Penelec’s</w:t>
      </w:r>
      <w:proofErr w:type="spellEnd"/>
      <w:r w:rsidR="00B257EC" w:rsidRPr="00B257EC">
        <w:rPr>
          <w:sz w:val="26"/>
          <w:szCs w:val="26"/>
        </w:rPr>
        <w:t xml:space="preserve"> Phase </w:t>
      </w:r>
      <w:r w:rsidR="00B257EC" w:rsidRPr="00B257EC">
        <w:rPr>
          <w:sz w:val="26"/>
          <w:szCs w:val="26"/>
        </w:rPr>
        <w:lastRenderedPageBreak/>
        <w:t xml:space="preserve">III G/E/NP reduction requirements, and </w:t>
      </w:r>
      <w:r w:rsidR="00CE4DBC">
        <w:rPr>
          <w:sz w:val="26"/>
          <w:szCs w:val="26"/>
        </w:rPr>
        <w:t>an excess savings</w:t>
      </w:r>
      <w:r w:rsidR="00B257EC" w:rsidRPr="00B257EC">
        <w:rPr>
          <w:sz w:val="26"/>
          <w:szCs w:val="26"/>
        </w:rPr>
        <w:t xml:space="preserve"> </w:t>
      </w:r>
      <w:r w:rsidR="00CE4DBC">
        <w:rPr>
          <w:sz w:val="26"/>
          <w:szCs w:val="26"/>
        </w:rPr>
        <w:t xml:space="preserve">total </w:t>
      </w:r>
      <w:r w:rsidR="00B257EC" w:rsidRPr="00B257EC">
        <w:rPr>
          <w:sz w:val="26"/>
          <w:szCs w:val="26"/>
        </w:rPr>
        <w:t xml:space="preserve">of 7,872 MWh to be credited against </w:t>
      </w:r>
      <w:proofErr w:type="spellStart"/>
      <w:r w:rsidR="00B257EC" w:rsidRPr="00B257EC">
        <w:rPr>
          <w:sz w:val="26"/>
          <w:szCs w:val="26"/>
        </w:rPr>
        <w:t>Penelec’s</w:t>
      </w:r>
      <w:proofErr w:type="spellEnd"/>
      <w:r w:rsidR="00B257EC" w:rsidRPr="00B257EC">
        <w:rPr>
          <w:sz w:val="26"/>
          <w:szCs w:val="26"/>
        </w:rPr>
        <w:t xml:space="preserve"> Phase III low</w:t>
      </w:r>
      <w:r w:rsidR="00DC62F2">
        <w:rPr>
          <w:sz w:val="26"/>
          <w:szCs w:val="26"/>
        </w:rPr>
        <w:noBreakHyphen/>
      </w:r>
      <w:r w:rsidR="00B257EC" w:rsidRPr="00B257EC">
        <w:rPr>
          <w:sz w:val="26"/>
          <w:szCs w:val="26"/>
        </w:rPr>
        <w:t xml:space="preserve">income reduction requirements. </w:t>
      </w:r>
    </w:p>
    <w:p w:rsidR="000C7760" w:rsidRDefault="000C7760" w:rsidP="00415B77">
      <w:pPr>
        <w:pStyle w:val="p3"/>
        <w:tabs>
          <w:tab w:val="clear" w:pos="204"/>
        </w:tabs>
        <w:spacing w:line="360" w:lineRule="auto"/>
        <w:rPr>
          <w:sz w:val="26"/>
          <w:szCs w:val="26"/>
        </w:rPr>
      </w:pPr>
    </w:p>
    <w:p w:rsidR="000C7760" w:rsidRDefault="000C7760" w:rsidP="00415B77">
      <w:pPr>
        <w:pStyle w:val="p3"/>
        <w:tabs>
          <w:tab w:val="clear" w:pos="204"/>
        </w:tabs>
        <w:spacing w:line="360" w:lineRule="auto"/>
        <w:rPr>
          <w:sz w:val="26"/>
          <w:szCs w:val="26"/>
        </w:rPr>
      </w:pPr>
      <w:r>
        <w:rPr>
          <w:sz w:val="26"/>
          <w:szCs w:val="26"/>
        </w:rPr>
        <w:tab/>
      </w:r>
      <w:r>
        <w:rPr>
          <w:sz w:val="26"/>
          <w:szCs w:val="26"/>
        </w:rPr>
        <w:tab/>
      </w:r>
      <w:r>
        <w:rPr>
          <w:b/>
          <w:sz w:val="26"/>
          <w:szCs w:val="26"/>
        </w:rPr>
        <w:t>e.</w:t>
      </w:r>
      <w:r>
        <w:rPr>
          <w:b/>
          <w:sz w:val="26"/>
          <w:szCs w:val="26"/>
        </w:rPr>
        <w:tab/>
        <w:t>Penn Power</w:t>
      </w:r>
    </w:p>
    <w:p w:rsidR="009979F0" w:rsidRDefault="00916006" w:rsidP="009979F0">
      <w:pPr>
        <w:widowControl w:val="0"/>
        <w:spacing w:line="360" w:lineRule="auto"/>
        <w:rPr>
          <w:sz w:val="26"/>
          <w:szCs w:val="26"/>
        </w:rPr>
      </w:pPr>
      <w:r>
        <w:rPr>
          <w:sz w:val="26"/>
          <w:szCs w:val="26"/>
        </w:rPr>
        <w:tab/>
      </w:r>
      <w:r w:rsidR="00FC33C2" w:rsidRPr="00FC33C2">
        <w:rPr>
          <w:sz w:val="26"/>
          <w:szCs w:val="26"/>
        </w:rPr>
        <w:t xml:space="preserve">In its PY7 Final Annual Report, Penn Power reports it attained the </w:t>
      </w:r>
      <w:r w:rsidR="00DC62F2">
        <w:rPr>
          <w:sz w:val="26"/>
          <w:szCs w:val="26"/>
        </w:rPr>
        <w:t>portfolio</w:t>
      </w:r>
      <w:r w:rsidR="00DC62F2">
        <w:rPr>
          <w:sz w:val="26"/>
          <w:szCs w:val="26"/>
        </w:rPr>
        <w:noBreakHyphen/>
        <w:t xml:space="preserve">level </w:t>
      </w:r>
      <w:r w:rsidR="00FC33C2" w:rsidRPr="00FC33C2">
        <w:rPr>
          <w:sz w:val="26"/>
          <w:szCs w:val="26"/>
        </w:rPr>
        <w:t xml:space="preserve">TRM-verified electric consumption carryover savings amount of 13,866 MWh, G/E/NP </w:t>
      </w:r>
      <w:r w:rsidR="00CE4DBC">
        <w:rPr>
          <w:sz w:val="26"/>
          <w:szCs w:val="26"/>
        </w:rPr>
        <w:t xml:space="preserve">reduction requirement excess </w:t>
      </w:r>
      <w:r w:rsidR="00CE4DBC" w:rsidRPr="00902C1B">
        <w:rPr>
          <w:sz w:val="26"/>
          <w:szCs w:val="26"/>
        </w:rPr>
        <w:t xml:space="preserve">savings </w:t>
      </w:r>
      <w:r w:rsidR="00FC33C2" w:rsidRPr="00FC33C2">
        <w:rPr>
          <w:sz w:val="26"/>
          <w:szCs w:val="26"/>
        </w:rPr>
        <w:t>of 7,316 MWh, and low</w:t>
      </w:r>
      <w:r w:rsidR="00DC62F2">
        <w:rPr>
          <w:sz w:val="26"/>
          <w:szCs w:val="26"/>
        </w:rPr>
        <w:noBreakHyphen/>
      </w:r>
      <w:r w:rsidR="00FC33C2" w:rsidRPr="00FC33C2">
        <w:rPr>
          <w:sz w:val="26"/>
          <w:szCs w:val="26"/>
        </w:rPr>
        <w:t xml:space="preserve">income </w:t>
      </w:r>
      <w:r w:rsidR="00CE4DBC">
        <w:rPr>
          <w:sz w:val="26"/>
          <w:szCs w:val="26"/>
        </w:rPr>
        <w:t xml:space="preserve">reduction  requirement excess </w:t>
      </w:r>
      <w:r w:rsidR="00CE4DBC" w:rsidRPr="00902C1B">
        <w:rPr>
          <w:sz w:val="26"/>
          <w:szCs w:val="26"/>
        </w:rPr>
        <w:t xml:space="preserve">savings </w:t>
      </w:r>
      <w:r w:rsidR="00CE4DBC">
        <w:rPr>
          <w:sz w:val="26"/>
          <w:szCs w:val="26"/>
        </w:rPr>
        <w:t>of 1,805 MWh</w:t>
      </w:r>
      <w:r w:rsidR="00FC33C2" w:rsidRPr="00FC33C2">
        <w:rPr>
          <w:sz w:val="26"/>
          <w:szCs w:val="26"/>
        </w:rPr>
        <w:t>.</w:t>
      </w:r>
      <w:r w:rsidR="00FC33C2" w:rsidRPr="00FC33C2">
        <w:rPr>
          <w:sz w:val="26"/>
          <w:szCs w:val="26"/>
          <w:vertAlign w:val="superscript"/>
        </w:rPr>
        <w:footnoteReference w:id="135"/>
      </w:r>
      <w:r w:rsidR="00FC33C2" w:rsidRPr="00FC33C2">
        <w:rPr>
          <w:sz w:val="26"/>
          <w:szCs w:val="26"/>
        </w:rPr>
        <w:t xml:space="preserve">  In its </w:t>
      </w:r>
      <w:r w:rsidR="0066082E">
        <w:rPr>
          <w:sz w:val="26"/>
          <w:szCs w:val="26"/>
        </w:rPr>
        <w:t xml:space="preserve">Amended </w:t>
      </w:r>
      <w:r w:rsidR="00FC33C2" w:rsidRPr="00FC33C2">
        <w:rPr>
          <w:sz w:val="26"/>
          <w:szCs w:val="26"/>
        </w:rPr>
        <w:t xml:space="preserve">Phase II Final Annual Report, the SWE validates Penn Power’s </w:t>
      </w:r>
      <w:r w:rsidR="00DC62F2">
        <w:rPr>
          <w:sz w:val="26"/>
          <w:szCs w:val="26"/>
        </w:rPr>
        <w:t>portfolio</w:t>
      </w:r>
      <w:r w:rsidR="00DC62F2">
        <w:rPr>
          <w:sz w:val="26"/>
          <w:szCs w:val="26"/>
        </w:rPr>
        <w:noBreakHyphen/>
        <w:t xml:space="preserve">level </w:t>
      </w:r>
      <w:r w:rsidR="00FC33C2" w:rsidRPr="00FC33C2">
        <w:rPr>
          <w:sz w:val="26"/>
          <w:szCs w:val="26"/>
        </w:rPr>
        <w:t xml:space="preserve">electric consumption carryover of 13,866 MWh, G/E/NP </w:t>
      </w:r>
      <w:r w:rsidR="00CE4DBC">
        <w:rPr>
          <w:sz w:val="26"/>
          <w:szCs w:val="26"/>
        </w:rPr>
        <w:t xml:space="preserve">reduction requirement excess </w:t>
      </w:r>
      <w:r w:rsidR="00CE4DBC" w:rsidRPr="00902C1B">
        <w:rPr>
          <w:sz w:val="26"/>
          <w:szCs w:val="26"/>
        </w:rPr>
        <w:t xml:space="preserve">savings </w:t>
      </w:r>
      <w:r w:rsidR="00FC33C2" w:rsidRPr="00FC33C2">
        <w:rPr>
          <w:sz w:val="26"/>
          <w:szCs w:val="26"/>
        </w:rPr>
        <w:t>7,316 MWh, and low</w:t>
      </w:r>
      <w:r w:rsidR="00DC62F2">
        <w:rPr>
          <w:sz w:val="26"/>
          <w:szCs w:val="26"/>
        </w:rPr>
        <w:noBreakHyphen/>
      </w:r>
      <w:r w:rsidR="00FC33C2" w:rsidRPr="00FC33C2">
        <w:rPr>
          <w:sz w:val="26"/>
          <w:szCs w:val="26"/>
        </w:rPr>
        <w:t xml:space="preserve">income </w:t>
      </w:r>
      <w:r w:rsidR="00CE4DBC">
        <w:rPr>
          <w:sz w:val="26"/>
          <w:szCs w:val="26"/>
        </w:rPr>
        <w:t xml:space="preserve">reduction requirement excess </w:t>
      </w:r>
      <w:r w:rsidR="00CE4DBC" w:rsidRPr="00902C1B">
        <w:rPr>
          <w:sz w:val="26"/>
          <w:szCs w:val="26"/>
        </w:rPr>
        <w:t xml:space="preserve">savings </w:t>
      </w:r>
      <w:r w:rsidR="00FC33C2" w:rsidRPr="00FC33C2">
        <w:rPr>
          <w:sz w:val="26"/>
          <w:szCs w:val="26"/>
        </w:rPr>
        <w:t>of 1,805 MWh.</w:t>
      </w:r>
      <w:r w:rsidR="00FC33C2" w:rsidRPr="00FC33C2">
        <w:rPr>
          <w:sz w:val="26"/>
          <w:szCs w:val="26"/>
          <w:vertAlign w:val="superscript"/>
        </w:rPr>
        <w:footnoteReference w:id="136"/>
      </w:r>
      <w:r w:rsidR="00FC33C2" w:rsidRPr="00FC33C2">
        <w:rPr>
          <w:sz w:val="26"/>
          <w:szCs w:val="26"/>
        </w:rPr>
        <w:t xml:space="preserve">  The Commission agrees with the TRM-verified carryover savings reported by Penn Power and confirmed by the SWE and accepts a </w:t>
      </w:r>
      <w:r w:rsidR="00DC62F2">
        <w:rPr>
          <w:sz w:val="26"/>
          <w:szCs w:val="26"/>
        </w:rPr>
        <w:t>portfolio</w:t>
      </w:r>
      <w:r w:rsidR="00DC62F2">
        <w:rPr>
          <w:sz w:val="26"/>
          <w:szCs w:val="26"/>
        </w:rPr>
        <w:noBreakHyphen/>
        <w:t xml:space="preserve">level </w:t>
      </w:r>
      <w:r w:rsidR="00FC33C2" w:rsidRPr="00FC33C2">
        <w:rPr>
          <w:sz w:val="26"/>
          <w:szCs w:val="26"/>
        </w:rPr>
        <w:t xml:space="preserve">carryover total of 13,866 MWh to be credited against Penn Power’s Phase III </w:t>
      </w:r>
      <w:r w:rsidR="00DC62F2">
        <w:rPr>
          <w:sz w:val="26"/>
          <w:szCs w:val="26"/>
        </w:rPr>
        <w:t>portfolio</w:t>
      </w:r>
      <w:r w:rsidR="00DC62F2">
        <w:rPr>
          <w:sz w:val="26"/>
          <w:szCs w:val="26"/>
        </w:rPr>
        <w:noBreakHyphen/>
        <w:t xml:space="preserve">level </w:t>
      </w:r>
      <w:r w:rsidR="00FC33C2" w:rsidRPr="00FC33C2">
        <w:rPr>
          <w:sz w:val="26"/>
          <w:szCs w:val="26"/>
        </w:rPr>
        <w:t>electric consumption reduction requirement</w:t>
      </w:r>
      <w:r w:rsidR="00CE4DBC">
        <w:rPr>
          <w:sz w:val="26"/>
          <w:szCs w:val="26"/>
        </w:rPr>
        <w:t>s, an excess savings</w:t>
      </w:r>
      <w:r w:rsidR="00FC33C2" w:rsidRPr="00FC33C2">
        <w:rPr>
          <w:sz w:val="26"/>
          <w:szCs w:val="26"/>
        </w:rPr>
        <w:t xml:space="preserve"> total of 7,316 MWh to be credited against Penn Power’s Phase III G/E/NP reduction requirements, and a</w:t>
      </w:r>
      <w:r w:rsidR="00CE4DBC">
        <w:rPr>
          <w:sz w:val="26"/>
          <w:szCs w:val="26"/>
        </w:rPr>
        <w:t>n excess savings</w:t>
      </w:r>
      <w:r w:rsidR="00FC33C2" w:rsidRPr="00FC33C2">
        <w:rPr>
          <w:sz w:val="26"/>
          <w:szCs w:val="26"/>
        </w:rPr>
        <w:t xml:space="preserve"> total of 1,805 MWh to be credited against Penn Power’s Phase III low</w:t>
      </w:r>
      <w:r w:rsidR="00DC62F2">
        <w:rPr>
          <w:sz w:val="26"/>
          <w:szCs w:val="26"/>
        </w:rPr>
        <w:noBreakHyphen/>
      </w:r>
      <w:r w:rsidR="00FC33C2" w:rsidRPr="00FC33C2">
        <w:rPr>
          <w:sz w:val="26"/>
          <w:szCs w:val="26"/>
        </w:rPr>
        <w:t>income reduction requirements.</w:t>
      </w:r>
    </w:p>
    <w:p w:rsidR="00F71395" w:rsidRDefault="00F71395" w:rsidP="009979F0">
      <w:pPr>
        <w:widowControl w:val="0"/>
        <w:spacing w:line="360" w:lineRule="auto"/>
        <w:rPr>
          <w:sz w:val="26"/>
          <w:szCs w:val="26"/>
        </w:rPr>
      </w:pPr>
    </w:p>
    <w:p w:rsidR="000C7760" w:rsidRDefault="000C7760" w:rsidP="009979F0">
      <w:pPr>
        <w:widowControl w:val="0"/>
        <w:spacing w:line="360" w:lineRule="auto"/>
        <w:rPr>
          <w:sz w:val="26"/>
          <w:szCs w:val="26"/>
        </w:rPr>
      </w:pPr>
      <w:r>
        <w:rPr>
          <w:sz w:val="26"/>
          <w:szCs w:val="26"/>
        </w:rPr>
        <w:tab/>
      </w:r>
      <w:r>
        <w:rPr>
          <w:sz w:val="26"/>
          <w:szCs w:val="26"/>
        </w:rPr>
        <w:tab/>
      </w:r>
      <w:r>
        <w:rPr>
          <w:b/>
          <w:sz w:val="26"/>
          <w:szCs w:val="26"/>
        </w:rPr>
        <w:t>f.</w:t>
      </w:r>
      <w:r>
        <w:rPr>
          <w:b/>
          <w:sz w:val="26"/>
          <w:szCs w:val="26"/>
        </w:rPr>
        <w:tab/>
        <w:t>PPL</w:t>
      </w:r>
    </w:p>
    <w:p w:rsidR="00095070" w:rsidRDefault="009D3C22" w:rsidP="00EE0B71">
      <w:pPr>
        <w:overflowPunct/>
        <w:autoSpaceDE/>
        <w:autoSpaceDN/>
        <w:adjustRightInd/>
        <w:spacing w:line="360" w:lineRule="auto"/>
        <w:ind w:firstLine="720"/>
        <w:textAlignment w:val="auto"/>
        <w:rPr>
          <w:sz w:val="26"/>
          <w:szCs w:val="26"/>
        </w:rPr>
      </w:pPr>
      <w:r w:rsidRPr="009D3C22">
        <w:rPr>
          <w:sz w:val="26"/>
          <w:szCs w:val="26"/>
        </w:rPr>
        <w:t xml:space="preserve">In its PY7 Final Annual Report, PPL reports it is not eligible to carryover </w:t>
      </w:r>
      <w:r w:rsidR="00DC62F2">
        <w:rPr>
          <w:sz w:val="26"/>
          <w:szCs w:val="26"/>
        </w:rPr>
        <w:t>portfolio</w:t>
      </w:r>
      <w:r w:rsidR="00DC62F2">
        <w:rPr>
          <w:sz w:val="26"/>
          <w:szCs w:val="26"/>
        </w:rPr>
        <w:noBreakHyphen/>
        <w:t xml:space="preserve">level </w:t>
      </w:r>
      <w:r w:rsidRPr="009D3C22">
        <w:rPr>
          <w:sz w:val="26"/>
          <w:szCs w:val="26"/>
        </w:rPr>
        <w:t xml:space="preserve">TRM-verified electric consumption savings; however, it </w:t>
      </w:r>
      <w:r w:rsidR="00DC62F2">
        <w:rPr>
          <w:sz w:val="26"/>
          <w:szCs w:val="26"/>
        </w:rPr>
        <w:t>reported</w:t>
      </w:r>
      <w:r w:rsidR="00DC62F2" w:rsidRPr="009D3C22">
        <w:rPr>
          <w:sz w:val="26"/>
          <w:szCs w:val="26"/>
        </w:rPr>
        <w:t xml:space="preserve"> </w:t>
      </w:r>
      <w:r w:rsidRPr="009D3C22">
        <w:rPr>
          <w:sz w:val="26"/>
          <w:szCs w:val="26"/>
        </w:rPr>
        <w:t xml:space="preserve">11,141 MWh </w:t>
      </w:r>
      <w:r w:rsidR="004A13D8">
        <w:rPr>
          <w:sz w:val="26"/>
          <w:szCs w:val="26"/>
        </w:rPr>
        <w:t xml:space="preserve">of </w:t>
      </w:r>
      <w:r w:rsidR="00DC62F2">
        <w:rPr>
          <w:sz w:val="26"/>
          <w:szCs w:val="26"/>
        </w:rPr>
        <w:t>TRM</w:t>
      </w:r>
      <w:r w:rsidR="00DC62F2">
        <w:rPr>
          <w:sz w:val="26"/>
          <w:szCs w:val="26"/>
        </w:rPr>
        <w:noBreakHyphen/>
        <w:t xml:space="preserve">verified </w:t>
      </w:r>
      <w:r w:rsidRPr="009D3C22">
        <w:rPr>
          <w:sz w:val="26"/>
          <w:szCs w:val="26"/>
        </w:rPr>
        <w:t xml:space="preserve">G/E/NP </w:t>
      </w:r>
      <w:r w:rsidR="00CE4DBC">
        <w:rPr>
          <w:sz w:val="26"/>
          <w:szCs w:val="26"/>
        </w:rPr>
        <w:t xml:space="preserve">reduction requirement excess </w:t>
      </w:r>
      <w:r w:rsidR="00CE4DBC" w:rsidRPr="00902C1B">
        <w:rPr>
          <w:sz w:val="26"/>
          <w:szCs w:val="26"/>
        </w:rPr>
        <w:t>savings</w:t>
      </w:r>
      <w:r w:rsidR="00CE4DBC">
        <w:rPr>
          <w:sz w:val="26"/>
          <w:szCs w:val="26"/>
        </w:rPr>
        <w:t xml:space="preserve"> </w:t>
      </w:r>
      <w:r w:rsidRPr="009D3C22">
        <w:rPr>
          <w:sz w:val="26"/>
          <w:szCs w:val="26"/>
        </w:rPr>
        <w:t xml:space="preserve">and 10,299 MWh </w:t>
      </w:r>
      <w:r w:rsidR="004A13D8">
        <w:rPr>
          <w:sz w:val="26"/>
          <w:szCs w:val="26"/>
        </w:rPr>
        <w:t xml:space="preserve">of </w:t>
      </w:r>
      <w:r w:rsidRPr="009D3C22">
        <w:rPr>
          <w:sz w:val="26"/>
          <w:szCs w:val="26"/>
        </w:rPr>
        <w:t>low</w:t>
      </w:r>
      <w:r w:rsidR="00DC62F2">
        <w:rPr>
          <w:sz w:val="26"/>
          <w:szCs w:val="26"/>
        </w:rPr>
        <w:noBreakHyphen/>
      </w:r>
      <w:r w:rsidRPr="009D3C22">
        <w:rPr>
          <w:sz w:val="26"/>
          <w:szCs w:val="26"/>
        </w:rPr>
        <w:t xml:space="preserve">income </w:t>
      </w:r>
      <w:r w:rsidR="00CE4DBC">
        <w:rPr>
          <w:sz w:val="26"/>
          <w:szCs w:val="26"/>
        </w:rPr>
        <w:t xml:space="preserve">reduction requirement excess </w:t>
      </w:r>
      <w:r w:rsidR="00CE4DBC" w:rsidRPr="00902C1B">
        <w:rPr>
          <w:sz w:val="26"/>
          <w:szCs w:val="26"/>
        </w:rPr>
        <w:t>savings</w:t>
      </w:r>
      <w:r w:rsidRPr="009D3C22">
        <w:rPr>
          <w:sz w:val="26"/>
          <w:szCs w:val="26"/>
        </w:rPr>
        <w:t>.</w:t>
      </w:r>
      <w:r w:rsidRPr="009D3C22">
        <w:rPr>
          <w:sz w:val="26"/>
          <w:szCs w:val="26"/>
          <w:vertAlign w:val="superscript"/>
        </w:rPr>
        <w:footnoteReference w:id="137"/>
      </w:r>
      <w:r w:rsidR="00CE4DBC">
        <w:rPr>
          <w:sz w:val="26"/>
          <w:szCs w:val="26"/>
        </w:rPr>
        <w:t xml:space="preserve"> </w:t>
      </w:r>
      <w:r w:rsidR="004A13D8">
        <w:rPr>
          <w:sz w:val="26"/>
          <w:szCs w:val="26"/>
        </w:rPr>
        <w:t xml:space="preserve"> </w:t>
      </w:r>
      <w:r w:rsidR="00472B74" w:rsidRPr="00C32C2E">
        <w:rPr>
          <w:sz w:val="26"/>
          <w:szCs w:val="26"/>
        </w:rPr>
        <w:t>In its Phase I</w:t>
      </w:r>
      <w:r w:rsidR="00472B74">
        <w:rPr>
          <w:sz w:val="26"/>
          <w:szCs w:val="26"/>
        </w:rPr>
        <w:t>I</w:t>
      </w:r>
      <w:r w:rsidR="00472B74" w:rsidRPr="00C32C2E">
        <w:rPr>
          <w:sz w:val="26"/>
          <w:szCs w:val="26"/>
        </w:rPr>
        <w:t xml:space="preserve"> Final Annual Report, the SWE </w:t>
      </w:r>
      <w:r w:rsidR="00472B74">
        <w:rPr>
          <w:sz w:val="26"/>
          <w:szCs w:val="26"/>
        </w:rPr>
        <w:t xml:space="preserve">validates that PPL is not eligible to carryover savings towards its Phase III </w:t>
      </w:r>
      <w:r w:rsidR="00DC62F2">
        <w:rPr>
          <w:sz w:val="26"/>
          <w:szCs w:val="26"/>
        </w:rPr>
        <w:t>portfolio</w:t>
      </w:r>
      <w:r w:rsidR="00DC62F2">
        <w:rPr>
          <w:sz w:val="26"/>
          <w:szCs w:val="26"/>
        </w:rPr>
        <w:noBreakHyphen/>
        <w:t xml:space="preserve">level </w:t>
      </w:r>
      <w:r w:rsidR="00472B74">
        <w:rPr>
          <w:sz w:val="26"/>
          <w:szCs w:val="26"/>
        </w:rPr>
        <w:t>electric co</w:t>
      </w:r>
      <w:r w:rsidR="00F8602F">
        <w:rPr>
          <w:sz w:val="26"/>
          <w:szCs w:val="26"/>
        </w:rPr>
        <w:t>nsumption reduction requirement</w:t>
      </w:r>
      <w:r w:rsidR="0001575E">
        <w:rPr>
          <w:sz w:val="26"/>
          <w:szCs w:val="26"/>
        </w:rPr>
        <w:t>,</w:t>
      </w:r>
      <w:r w:rsidR="00FD21C8">
        <w:rPr>
          <w:rStyle w:val="FootnoteReference"/>
          <w:sz w:val="26"/>
          <w:szCs w:val="26"/>
        </w:rPr>
        <w:footnoteReference w:id="138"/>
      </w:r>
      <w:r w:rsidR="00F8602F">
        <w:rPr>
          <w:sz w:val="26"/>
          <w:szCs w:val="26"/>
        </w:rPr>
        <w:t xml:space="preserve"> </w:t>
      </w:r>
      <w:r w:rsidR="004A13D8">
        <w:rPr>
          <w:sz w:val="26"/>
          <w:szCs w:val="26"/>
        </w:rPr>
        <w:t>but</w:t>
      </w:r>
      <w:r w:rsidR="00F8602F">
        <w:rPr>
          <w:sz w:val="26"/>
          <w:szCs w:val="26"/>
        </w:rPr>
        <w:t xml:space="preserve"> is eligible to</w:t>
      </w:r>
      <w:r w:rsidR="00472B74">
        <w:rPr>
          <w:sz w:val="26"/>
          <w:szCs w:val="26"/>
        </w:rPr>
        <w:t xml:space="preserve"> </w:t>
      </w:r>
      <w:r w:rsidR="00F8602F">
        <w:rPr>
          <w:sz w:val="26"/>
          <w:szCs w:val="26"/>
        </w:rPr>
        <w:lastRenderedPageBreak/>
        <w:t xml:space="preserve">carryover </w:t>
      </w:r>
      <w:r w:rsidRPr="009D3C22">
        <w:rPr>
          <w:sz w:val="26"/>
          <w:szCs w:val="26"/>
        </w:rPr>
        <w:t xml:space="preserve">11,141 MWh </w:t>
      </w:r>
      <w:r w:rsidR="00F8602F">
        <w:rPr>
          <w:sz w:val="26"/>
          <w:szCs w:val="26"/>
        </w:rPr>
        <w:t xml:space="preserve">of </w:t>
      </w:r>
      <w:r>
        <w:rPr>
          <w:sz w:val="26"/>
          <w:szCs w:val="26"/>
        </w:rPr>
        <w:t xml:space="preserve">G/E/NP </w:t>
      </w:r>
      <w:r w:rsidR="00CE4DBC">
        <w:rPr>
          <w:sz w:val="26"/>
          <w:szCs w:val="26"/>
        </w:rPr>
        <w:t xml:space="preserve">reduction requirement excess </w:t>
      </w:r>
      <w:r w:rsidR="00CE4DBC" w:rsidRPr="00902C1B">
        <w:rPr>
          <w:sz w:val="26"/>
          <w:szCs w:val="26"/>
        </w:rPr>
        <w:t>savings</w:t>
      </w:r>
      <w:r w:rsidR="00F8602F">
        <w:rPr>
          <w:sz w:val="26"/>
          <w:szCs w:val="26"/>
        </w:rPr>
        <w:t>.</w:t>
      </w:r>
      <w:r w:rsidR="00012A72">
        <w:rPr>
          <w:rStyle w:val="FootnoteReference"/>
          <w:sz w:val="26"/>
          <w:szCs w:val="26"/>
        </w:rPr>
        <w:footnoteReference w:id="139"/>
      </w:r>
      <w:r w:rsidR="00F8602F">
        <w:rPr>
          <w:sz w:val="26"/>
          <w:szCs w:val="26"/>
        </w:rPr>
        <w:t xml:space="preserve"> </w:t>
      </w:r>
      <w:r w:rsidR="003B0CD4">
        <w:rPr>
          <w:sz w:val="26"/>
          <w:szCs w:val="26"/>
        </w:rPr>
        <w:t xml:space="preserve"> </w:t>
      </w:r>
      <w:r w:rsidR="004A13D8">
        <w:rPr>
          <w:sz w:val="26"/>
          <w:szCs w:val="26"/>
        </w:rPr>
        <w:t xml:space="preserve">However, the SWE </w:t>
      </w:r>
      <w:r w:rsidR="0001575E">
        <w:rPr>
          <w:sz w:val="26"/>
          <w:szCs w:val="26"/>
        </w:rPr>
        <w:t>has calculated TRM</w:t>
      </w:r>
      <w:r w:rsidR="0001575E">
        <w:rPr>
          <w:sz w:val="26"/>
          <w:szCs w:val="26"/>
        </w:rPr>
        <w:noBreakHyphen/>
        <w:t>verified</w:t>
      </w:r>
      <w:r w:rsidR="004A13D8">
        <w:rPr>
          <w:sz w:val="26"/>
          <w:szCs w:val="26"/>
        </w:rPr>
        <w:t xml:space="preserve"> low</w:t>
      </w:r>
      <w:r w:rsidR="0001575E">
        <w:rPr>
          <w:sz w:val="26"/>
          <w:szCs w:val="26"/>
        </w:rPr>
        <w:noBreakHyphen/>
      </w:r>
      <w:r w:rsidR="004A13D8">
        <w:rPr>
          <w:sz w:val="26"/>
          <w:szCs w:val="26"/>
        </w:rPr>
        <w:t xml:space="preserve">income reduction requirement excess savings </w:t>
      </w:r>
      <w:r w:rsidR="0001575E">
        <w:rPr>
          <w:sz w:val="26"/>
          <w:szCs w:val="26"/>
        </w:rPr>
        <w:t xml:space="preserve">that differ from PPL’s </w:t>
      </w:r>
      <w:r w:rsidR="004A13D8">
        <w:rPr>
          <w:sz w:val="26"/>
          <w:szCs w:val="26"/>
        </w:rPr>
        <w:t xml:space="preserve">total of 10,299 MWh. </w:t>
      </w:r>
      <w:r w:rsidR="0001575E">
        <w:rPr>
          <w:sz w:val="26"/>
          <w:szCs w:val="26"/>
        </w:rPr>
        <w:t xml:space="preserve"> </w:t>
      </w:r>
      <w:r w:rsidR="004A13D8">
        <w:rPr>
          <w:sz w:val="26"/>
          <w:szCs w:val="26"/>
        </w:rPr>
        <w:t>The SWE notes, that low</w:t>
      </w:r>
      <w:r w:rsidR="0001575E">
        <w:rPr>
          <w:sz w:val="26"/>
          <w:szCs w:val="26"/>
        </w:rPr>
        <w:noBreakHyphen/>
      </w:r>
      <w:r w:rsidR="004A13D8">
        <w:rPr>
          <w:sz w:val="26"/>
          <w:szCs w:val="26"/>
        </w:rPr>
        <w:t>income excess savings for Phase III are based on an allocation factor determined by the ratio of savings from low</w:t>
      </w:r>
      <w:r w:rsidR="0001575E">
        <w:rPr>
          <w:sz w:val="26"/>
          <w:szCs w:val="26"/>
        </w:rPr>
        <w:noBreakHyphen/>
      </w:r>
      <w:r w:rsidR="004A13D8">
        <w:rPr>
          <w:sz w:val="26"/>
          <w:szCs w:val="26"/>
        </w:rPr>
        <w:t>income specific programs to non-low</w:t>
      </w:r>
      <w:r w:rsidR="0001575E">
        <w:rPr>
          <w:sz w:val="26"/>
          <w:szCs w:val="26"/>
        </w:rPr>
        <w:noBreakHyphen/>
      </w:r>
      <w:r w:rsidR="004A13D8">
        <w:rPr>
          <w:sz w:val="26"/>
          <w:szCs w:val="26"/>
        </w:rPr>
        <w:t>income specific programs</w:t>
      </w:r>
      <w:r w:rsidR="00B46654">
        <w:rPr>
          <w:sz w:val="26"/>
          <w:szCs w:val="26"/>
        </w:rPr>
        <w:t>;</w:t>
      </w:r>
      <w:r w:rsidR="004A13D8">
        <w:rPr>
          <w:sz w:val="26"/>
          <w:szCs w:val="26"/>
        </w:rPr>
        <w:t xml:space="preserve"> therefore</w:t>
      </w:r>
      <w:r w:rsidR="00B46654">
        <w:rPr>
          <w:sz w:val="26"/>
          <w:szCs w:val="26"/>
        </w:rPr>
        <w:t>,</w:t>
      </w:r>
      <w:r w:rsidR="004A13D8">
        <w:rPr>
          <w:sz w:val="26"/>
          <w:szCs w:val="26"/>
        </w:rPr>
        <w:t xml:space="preserve"> PPL’s low</w:t>
      </w:r>
      <w:r w:rsidR="0001575E">
        <w:rPr>
          <w:sz w:val="26"/>
          <w:szCs w:val="26"/>
        </w:rPr>
        <w:noBreakHyphen/>
      </w:r>
      <w:r w:rsidR="004A13D8">
        <w:rPr>
          <w:sz w:val="26"/>
          <w:szCs w:val="26"/>
        </w:rPr>
        <w:t>income reduction requirement excess savings total amount increased from 10,299 MWh to 10,520 MWh</w:t>
      </w:r>
      <w:r w:rsidR="00FD21C8">
        <w:rPr>
          <w:sz w:val="26"/>
          <w:szCs w:val="26"/>
        </w:rPr>
        <w:t>.</w:t>
      </w:r>
      <w:r w:rsidRPr="009D3C22">
        <w:rPr>
          <w:sz w:val="26"/>
          <w:szCs w:val="26"/>
          <w:vertAlign w:val="superscript"/>
        </w:rPr>
        <w:footnoteReference w:id="140"/>
      </w:r>
      <w:r w:rsidRPr="009D3C22">
        <w:rPr>
          <w:sz w:val="26"/>
          <w:szCs w:val="26"/>
        </w:rPr>
        <w:t xml:space="preserve">  </w:t>
      </w:r>
    </w:p>
    <w:p w:rsidR="00EE0B71" w:rsidRDefault="00EE0B71" w:rsidP="00EE0B71">
      <w:pPr>
        <w:overflowPunct/>
        <w:autoSpaceDE/>
        <w:autoSpaceDN/>
        <w:adjustRightInd/>
        <w:spacing w:line="360" w:lineRule="auto"/>
        <w:ind w:firstLine="720"/>
        <w:textAlignment w:val="auto"/>
        <w:rPr>
          <w:sz w:val="26"/>
          <w:szCs w:val="26"/>
        </w:rPr>
      </w:pPr>
    </w:p>
    <w:p w:rsidR="000C7760" w:rsidRDefault="00DA673C" w:rsidP="00EE0B71">
      <w:pPr>
        <w:overflowPunct/>
        <w:autoSpaceDE/>
        <w:autoSpaceDN/>
        <w:adjustRightInd/>
        <w:spacing w:line="360" w:lineRule="auto"/>
        <w:ind w:firstLine="720"/>
        <w:textAlignment w:val="auto"/>
        <w:rPr>
          <w:sz w:val="26"/>
          <w:szCs w:val="26"/>
        </w:rPr>
      </w:pPr>
      <w:r>
        <w:rPr>
          <w:sz w:val="26"/>
          <w:szCs w:val="26"/>
        </w:rPr>
        <w:t>In the April 6, 2017 Order, the Commission commended</w:t>
      </w:r>
      <w:r w:rsidR="003A4F6B">
        <w:rPr>
          <w:sz w:val="26"/>
          <w:szCs w:val="26"/>
        </w:rPr>
        <w:t xml:space="preserve"> PPL for its efforts to obtain savings </w:t>
      </w:r>
      <w:proofErr w:type="gramStart"/>
      <w:r w:rsidR="003A4F6B">
        <w:rPr>
          <w:sz w:val="26"/>
          <w:szCs w:val="26"/>
        </w:rPr>
        <w:t>in excess of</w:t>
      </w:r>
      <w:proofErr w:type="gramEnd"/>
      <w:r w:rsidR="003A4F6B">
        <w:rPr>
          <w:sz w:val="26"/>
          <w:szCs w:val="26"/>
        </w:rPr>
        <w:t xml:space="preserve"> its carve-out</w:t>
      </w:r>
      <w:r w:rsidR="00753437">
        <w:rPr>
          <w:sz w:val="26"/>
          <w:szCs w:val="26"/>
        </w:rPr>
        <w:t xml:space="preserve"> requirements</w:t>
      </w:r>
      <w:r w:rsidR="003A4F6B">
        <w:rPr>
          <w:sz w:val="26"/>
          <w:szCs w:val="26"/>
        </w:rPr>
        <w:t xml:space="preserve"> for low</w:t>
      </w:r>
      <w:r w:rsidR="003A4F6B">
        <w:rPr>
          <w:sz w:val="26"/>
          <w:szCs w:val="26"/>
        </w:rPr>
        <w:noBreakHyphen/>
        <w:t xml:space="preserve">income and G/E/NP customers.  </w:t>
      </w:r>
      <w:r>
        <w:rPr>
          <w:sz w:val="26"/>
          <w:szCs w:val="26"/>
        </w:rPr>
        <w:t xml:space="preserve">The Commission continued by noting that as </w:t>
      </w:r>
      <w:r w:rsidR="003A4F6B">
        <w:rPr>
          <w:sz w:val="26"/>
          <w:szCs w:val="26"/>
        </w:rPr>
        <w:t>PPL did not obtain portfolio</w:t>
      </w:r>
      <w:r w:rsidR="003A4F6B">
        <w:rPr>
          <w:sz w:val="26"/>
          <w:szCs w:val="26"/>
        </w:rPr>
        <w:noBreakHyphen/>
        <w:t>level TRM</w:t>
      </w:r>
      <w:r w:rsidR="003A4F6B">
        <w:rPr>
          <w:sz w:val="26"/>
          <w:szCs w:val="26"/>
        </w:rPr>
        <w:noBreakHyphen/>
        <w:t xml:space="preserve">verified electric consumption savings </w:t>
      </w:r>
      <w:proofErr w:type="gramStart"/>
      <w:r w:rsidR="003A4F6B">
        <w:rPr>
          <w:sz w:val="26"/>
          <w:szCs w:val="26"/>
        </w:rPr>
        <w:t>in excess of</w:t>
      </w:r>
      <w:proofErr w:type="gramEnd"/>
      <w:r w:rsidR="003A4F6B">
        <w:rPr>
          <w:sz w:val="26"/>
          <w:szCs w:val="26"/>
        </w:rPr>
        <w:t xml:space="preserve"> its portfolio</w:t>
      </w:r>
      <w:r w:rsidR="003A4F6B">
        <w:rPr>
          <w:sz w:val="26"/>
          <w:szCs w:val="26"/>
        </w:rPr>
        <w:noBreakHyphen/>
        <w:t xml:space="preserve">level requirements, PPL </w:t>
      </w:r>
      <w:r>
        <w:rPr>
          <w:sz w:val="26"/>
          <w:szCs w:val="26"/>
        </w:rPr>
        <w:t>could not</w:t>
      </w:r>
      <w:r w:rsidR="003A4F6B">
        <w:rPr>
          <w:sz w:val="26"/>
          <w:szCs w:val="26"/>
        </w:rPr>
        <w:t xml:space="preserve"> carryover the low</w:t>
      </w:r>
      <w:r w:rsidR="003A4F6B">
        <w:rPr>
          <w:sz w:val="26"/>
          <w:szCs w:val="26"/>
        </w:rPr>
        <w:noBreakHyphen/>
        <w:t xml:space="preserve">income or G/E/NP carve-out excess savings.  </w:t>
      </w:r>
      <w:r w:rsidR="00584064">
        <w:rPr>
          <w:sz w:val="26"/>
          <w:szCs w:val="26"/>
        </w:rPr>
        <w:t>The Commission continued by noting that both the low</w:t>
      </w:r>
      <w:r w:rsidR="00584064">
        <w:rPr>
          <w:sz w:val="26"/>
          <w:szCs w:val="26"/>
        </w:rPr>
        <w:noBreakHyphen/>
        <w:t>income and G/E/NP savings are a carve-out or subset of the whole, accordingly, to allow a carryover for these carve-outs into Phase III, would</w:t>
      </w:r>
      <w:proofErr w:type="gramStart"/>
      <w:r w:rsidR="00584064">
        <w:rPr>
          <w:sz w:val="26"/>
          <w:szCs w:val="26"/>
        </w:rPr>
        <w:t>, in essence, permit</w:t>
      </w:r>
      <w:proofErr w:type="gramEnd"/>
      <w:r w:rsidR="00584064">
        <w:rPr>
          <w:sz w:val="26"/>
          <w:szCs w:val="26"/>
        </w:rPr>
        <w:t xml:space="preserve"> a carryover for the total Phase III consumption reduction requirement.</w:t>
      </w:r>
      <w:r w:rsidR="003A4F6B">
        <w:rPr>
          <w:sz w:val="26"/>
          <w:szCs w:val="26"/>
        </w:rPr>
        <w:t xml:space="preserve">  </w:t>
      </w:r>
      <w:r w:rsidR="00584064">
        <w:rPr>
          <w:sz w:val="26"/>
          <w:szCs w:val="26"/>
        </w:rPr>
        <w:t xml:space="preserve">As PPL did not obtain Phase II savings </w:t>
      </w:r>
      <w:proofErr w:type="gramStart"/>
      <w:r w:rsidR="00584064">
        <w:rPr>
          <w:sz w:val="26"/>
          <w:szCs w:val="26"/>
        </w:rPr>
        <w:t>in excess of</w:t>
      </w:r>
      <w:proofErr w:type="gramEnd"/>
      <w:r w:rsidR="00584064">
        <w:rPr>
          <w:sz w:val="26"/>
          <w:szCs w:val="26"/>
        </w:rPr>
        <w:t xml:space="preserve"> its Phase II consumption reduction requirement, the Commission determined that PPL was not entitled to any carryover savings into Phase III</w:t>
      </w:r>
      <w:r w:rsidR="00584064" w:rsidRPr="00902C1B">
        <w:rPr>
          <w:sz w:val="26"/>
          <w:szCs w:val="26"/>
        </w:rPr>
        <w:t>.</w:t>
      </w:r>
      <w:r w:rsidR="00584064">
        <w:rPr>
          <w:sz w:val="26"/>
          <w:szCs w:val="26"/>
        </w:rPr>
        <w:t xml:space="preserve">  </w:t>
      </w:r>
      <w:r w:rsidR="003A4F6B">
        <w:rPr>
          <w:sz w:val="26"/>
          <w:szCs w:val="26"/>
        </w:rPr>
        <w:t xml:space="preserve">  As such, the Commission initially </w:t>
      </w:r>
      <w:r w:rsidR="00584064">
        <w:rPr>
          <w:sz w:val="26"/>
          <w:szCs w:val="26"/>
        </w:rPr>
        <w:t>denied</w:t>
      </w:r>
      <w:r w:rsidR="003A4F6B">
        <w:rPr>
          <w:sz w:val="26"/>
          <w:szCs w:val="26"/>
        </w:rPr>
        <w:t xml:space="preserve"> PPL any carryover savings to be credited against its Phase III consumption reduction requirements.</w:t>
      </w:r>
      <w:r w:rsidR="00584064">
        <w:rPr>
          <w:rStyle w:val="FootnoteReference"/>
          <w:sz w:val="26"/>
          <w:szCs w:val="26"/>
        </w:rPr>
        <w:footnoteReference w:id="141"/>
      </w:r>
      <w:r w:rsidR="003B0CD4">
        <w:rPr>
          <w:sz w:val="26"/>
          <w:szCs w:val="26"/>
        </w:rPr>
        <w:t xml:space="preserve"> </w:t>
      </w:r>
    </w:p>
    <w:p w:rsidR="00E74AFE" w:rsidRDefault="00E74AFE" w:rsidP="00EE0B71">
      <w:pPr>
        <w:overflowPunct/>
        <w:autoSpaceDE/>
        <w:autoSpaceDN/>
        <w:adjustRightInd/>
        <w:spacing w:line="360" w:lineRule="auto"/>
        <w:ind w:firstLine="720"/>
        <w:textAlignment w:val="auto"/>
        <w:rPr>
          <w:sz w:val="26"/>
          <w:szCs w:val="26"/>
        </w:rPr>
      </w:pPr>
    </w:p>
    <w:p w:rsidR="00E74AFE" w:rsidRDefault="00E74AFE" w:rsidP="00EE0B71">
      <w:pPr>
        <w:overflowPunct/>
        <w:autoSpaceDE/>
        <w:autoSpaceDN/>
        <w:adjustRightInd/>
        <w:spacing w:line="360" w:lineRule="auto"/>
        <w:ind w:firstLine="720"/>
        <w:textAlignment w:val="auto"/>
        <w:rPr>
          <w:sz w:val="26"/>
          <w:szCs w:val="26"/>
        </w:rPr>
      </w:pPr>
      <w:r>
        <w:rPr>
          <w:sz w:val="26"/>
          <w:szCs w:val="26"/>
        </w:rPr>
        <w:t xml:space="preserve">On April 21, 2017, PPL filed a Petition for reconsideration of a portion of the Commission’s April 6, 2017 Compliance Order at this Docket (PPL Petition).  Specifically, PPL requests that the Commission reconsider the determination that PPL is not entitled to any carryover savings into Phase III.  PPL states that it is not arguing that </w:t>
      </w:r>
      <w:r>
        <w:rPr>
          <w:sz w:val="26"/>
          <w:szCs w:val="26"/>
        </w:rPr>
        <w:lastRenderedPageBreak/>
        <w:t xml:space="preserve">the Phase II savings </w:t>
      </w:r>
      <w:proofErr w:type="gramStart"/>
      <w:r>
        <w:rPr>
          <w:sz w:val="26"/>
          <w:szCs w:val="26"/>
        </w:rPr>
        <w:t>in excess of</w:t>
      </w:r>
      <w:proofErr w:type="gramEnd"/>
      <w:r>
        <w:rPr>
          <w:sz w:val="26"/>
          <w:szCs w:val="26"/>
        </w:rPr>
        <w:t xml:space="preserve"> the G/E/NP and low</w:t>
      </w:r>
      <w:r>
        <w:rPr>
          <w:sz w:val="26"/>
          <w:szCs w:val="26"/>
        </w:rPr>
        <w:noBreakHyphen/>
        <w:t>income carve</w:t>
      </w:r>
      <w:r>
        <w:rPr>
          <w:sz w:val="26"/>
          <w:szCs w:val="26"/>
        </w:rPr>
        <w:noBreakHyphen/>
        <w:t>outs be counted toward the overall Phase III energy consumption reduction requirement, it only seeks to apply the Phase II G/E/NP and low</w:t>
      </w:r>
      <w:r>
        <w:rPr>
          <w:sz w:val="26"/>
          <w:szCs w:val="26"/>
        </w:rPr>
        <w:noBreakHyphen/>
        <w:t>income excess savings toward the Phase III G/E/NP and low</w:t>
      </w:r>
      <w:r>
        <w:rPr>
          <w:sz w:val="26"/>
          <w:szCs w:val="26"/>
        </w:rPr>
        <w:noBreakHyphen/>
        <w:t>income carve</w:t>
      </w:r>
      <w:r>
        <w:rPr>
          <w:sz w:val="26"/>
          <w:szCs w:val="26"/>
        </w:rPr>
        <w:noBreakHyphen/>
        <w:t>outs.  PPL submits that counting these Phase II excess savings toward the Phase III carve</w:t>
      </w:r>
      <w:r>
        <w:rPr>
          <w:sz w:val="26"/>
          <w:szCs w:val="26"/>
        </w:rPr>
        <w:noBreakHyphen/>
        <w:t>outs is consistent with the Commissions orders and PPL’s approved Phase III EE&amp;C Plan.  PPL asserts that the Commission’s initial determination is poor public policy that would lead to arbitrary outcomes.  For these reasons, PPL requests that the Commission reconsider its Phase II Compliance Order and permit PPL to carry over its Phase II G/E/NP and low</w:t>
      </w:r>
      <w:r>
        <w:rPr>
          <w:sz w:val="26"/>
          <w:szCs w:val="26"/>
        </w:rPr>
        <w:noBreakHyphen/>
        <w:t xml:space="preserve">income excess savings only </w:t>
      </w:r>
      <w:proofErr w:type="gramStart"/>
      <w:r>
        <w:rPr>
          <w:sz w:val="26"/>
          <w:szCs w:val="26"/>
        </w:rPr>
        <w:t>for the purpose of</w:t>
      </w:r>
      <w:proofErr w:type="gramEnd"/>
      <w:r>
        <w:rPr>
          <w:sz w:val="26"/>
          <w:szCs w:val="26"/>
        </w:rPr>
        <w:t xml:space="preserve"> meeting the Phase III G/E/NP and low</w:t>
      </w:r>
      <w:r>
        <w:rPr>
          <w:sz w:val="26"/>
          <w:szCs w:val="26"/>
        </w:rPr>
        <w:noBreakHyphen/>
        <w:t>income carve</w:t>
      </w:r>
      <w:r>
        <w:rPr>
          <w:sz w:val="26"/>
          <w:szCs w:val="26"/>
        </w:rPr>
        <w:noBreakHyphen/>
        <w:t>outs.</w:t>
      </w:r>
      <w:r>
        <w:rPr>
          <w:rStyle w:val="FootnoteReference"/>
          <w:sz w:val="26"/>
          <w:szCs w:val="26"/>
        </w:rPr>
        <w:footnoteReference w:id="142"/>
      </w:r>
    </w:p>
    <w:p w:rsidR="00316FC8" w:rsidRDefault="00316FC8" w:rsidP="00EE0B71">
      <w:pPr>
        <w:overflowPunct/>
        <w:autoSpaceDE/>
        <w:autoSpaceDN/>
        <w:adjustRightInd/>
        <w:spacing w:line="360" w:lineRule="auto"/>
        <w:ind w:firstLine="720"/>
        <w:textAlignment w:val="auto"/>
        <w:rPr>
          <w:sz w:val="26"/>
          <w:szCs w:val="26"/>
        </w:rPr>
      </w:pPr>
    </w:p>
    <w:p w:rsidR="00AD54CA" w:rsidRDefault="00316FC8" w:rsidP="00EE0B71">
      <w:pPr>
        <w:overflowPunct/>
        <w:autoSpaceDE/>
        <w:autoSpaceDN/>
        <w:adjustRightInd/>
        <w:spacing w:line="360" w:lineRule="auto"/>
        <w:ind w:firstLine="720"/>
        <w:textAlignment w:val="auto"/>
        <w:rPr>
          <w:sz w:val="26"/>
          <w:szCs w:val="26"/>
        </w:rPr>
      </w:pPr>
      <w:r>
        <w:rPr>
          <w:sz w:val="26"/>
          <w:szCs w:val="26"/>
        </w:rPr>
        <w:t>In support of its Petition, PPL asserts that nothing in the Commission’s EE&amp;C Orders states that an EDC is prohibited from carrying over G/E/NP and low</w:t>
      </w:r>
      <w:r>
        <w:rPr>
          <w:sz w:val="26"/>
          <w:szCs w:val="26"/>
        </w:rPr>
        <w:noBreakHyphen/>
        <w:t xml:space="preserve">income excess savings if the EDC fails to achieve its overall savings requirement without carryover savings.  PPL further asserts that the only requirement is that carryover savings may only be savings </w:t>
      </w:r>
      <w:proofErr w:type="gramStart"/>
      <w:r>
        <w:rPr>
          <w:sz w:val="26"/>
          <w:szCs w:val="26"/>
        </w:rPr>
        <w:t>actually obtained</w:t>
      </w:r>
      <w:proofErr w:type="gramEnd"/>
      <w:r>
        <w:rPr>
          <w:sz w:val="26"/>
          <w:szCs w:val="26"/>
        </w:rPr>
        <w:t xml:space="preserve"> in Phase II and that low</w:t>
      </w:r>
      <w:r>
        <w:rPr>
          <w:sz w:val="26"/>
          <w:szCs w:val="26"/>
        </w:rPr>
        <w:noBreakHyphen/>
        <w:t>income carryover savings would be based on an allocation factor determined by the ratio of savings from low</w:t>
      </w:r>
      <w:r>
        <w:rPr>
          <w:sz w:val="26"/>
          <w:szCs w:val="26"/>
        </w:rPr>
        <w:noBreakHyphen/>
        <w:t xml:space="preserve">income specific programs (citing the Phase III Implementation Order at 84-85).  </w:t>
      </w:r>
      <w:r w:rsidR="00B4177E">
        <w:rPr>
          <w:sz w:val="26"/>
          <w:szCs w:val="26"/>
        </w:rPr>
        <w:t xml:space="preserve">PPL also cites in support that the Commission has previously stated that the savings achieved in Phase I should be applied in Phase II at the </w:t>
      </w:r>
      <w:proofErr w:type="gramStart"/>
      <w:r w:rsidR="00B4177E">
        <w:rPr>
          <w:sz w:val="26"/>
          <w:szCs w:val="26"/>
        </w:rPr>
        <w:t>particular customer</w:t>
      </w:r>
      <w:proofErr w:type="gramEnd"/>
      <w:r w:rsidR="00B4177E">
        <w:rPr>
          <w:sz w:val="26"/>
          <w:szCs w:val="26"/>
        </w:rPr>
        <w:t xml:space="preserve"> sector level (citing the Phase II Implementation Order at 59).  Next, PPL notes that the Commission has repeatedly treated the overall savings requirement, the G/E/NP savings carve</w:t>
      </w:r>
      <w:r w:rsidR="00B4177E">
        <w:rPr>
          <w:sz w:val="26"/>
          <w:szCs w:val="26"/>
        </w:rPr>
        <w:noBreakHyphen/>
        <w:t>out, and low</w:t>
      </w:r>
      <w:r w:rsidR="00B4177E">
        <w:rPr>
          <w:sz w:val="26"/>
          <w:szCs w:val="26"/>
        </w:rPr>
        <w:noBreakHyphen/>
        <w:t>income savings carve</w:t>
      </w:r>
      <w:r w:rsidR="00B4177E">
        <w:rPr>
          <w:sz w:val="26"/>
          <w:szCs w:val="26"/>
        </w:rPr>
        <w:noBreakHyphen/>
        <w:t>out as three separate compliance obligations (citing the Phase II Implementation Order at 45-46 and the Phase III Implementation Order at 70, 72).  PPL asserts therefore, that it is logical to treat their carryover savings similarly and apply Phase II G/E/NP and low</w:t>
      </w:r>
      <w:r w:rsidR="00B4177E">
        <w:rPr>
          <w:sz w:val="26"/>
          <w:szCs w:val="26"/>
        </w:rPr>
        <w:noBreakHyphen/>
        <w:t>income excess savings to the Phase III G/E/NP and low</w:t>
      </w:r>
      <w:r w:rsidR="00B4177E">
        <w:rPr>
          <w:sz w:val="26"/>
          <w:szCs w:val="26"/>
        </w:rPr>
        <w:noBreakHyphen/>
        <w:t>income carve</w:t>
      </w:r>
      <w:r w:rsidR="00B4177E">
        <w:rPr>
          <w:sz w:val="26"/>
          <w:szCs w:val="26"/>
        </w:rPr>
        <w:noBreakHyphen/>
        <w:t>outs.</w:t>
      </w:r>
      <w:r w:rsidR="00AD54CA">
        <w:rPr>
          <w:rStyle w:val="FootnoteReference"/>
          <w:sz w:val="26"/>
          <w:szCs w:val="26"/>
        </w:rPr>
        <w:footnoteReference w:id="143"/>
      </w:r>
      <w:r w:rsidR="00B4177E">
        <w:rPr>
          <w:sz w:val="26"/>
          <w:szCs w:val="26"/>
        </w:rPr>
        <w:t xml:space="preserve">  </w:t>
      </w:r>
    </w:p>
    <w:p w:rsidR="00316FC8" w:rsidRDefault="00B4177E" w:rsidP="00EE0B71">
      <w:pPr>
        <w:overflowPunct/>
        <w:autoSpaceDE/>
        <w:autoSpaceDN/>
        <w:adjustRightInd/>
        <w:spacing w:line="360" w:lineRule="auto"/>
        <w:ind w:firstLine="720"/>
        <w:textAlignment w:val="auto"/>
        <w:rPr>
          <w:sz w:val="26"/>
          <w:szCs w:val="26"/>
        </w:rPr>
      </w:pPr>
      <w:r>
        <w:rPr>
          <w:sz w:val="26"/>
          <w:szCs w:val="26"/>
        </w:rPr>
        <w:lastRenderedPageBreak/>
        <w:t>Next, PPL notes that although PPL asked for clarification of this issue in its comments to the Phase III Tentative Order, PPL asserts that the Commission’s Phase III Implementation Order did not state anything contradicting the Company’</w:t>
      </w:r>
      <w:r w:rsidR="00AD54CA">
        <w:rPr>
          <w:sz w:val="26"/>
          <w:szCs w:val="26"/>
        </w:rPr>
        <w:t>s position.  Although PPL also acknowledges that nothing in the Phase III implementation Order explicitly addressed its request for clarification.  PPL posits that therefore, it had no reason to believe that its planned carryover of the Phase II G/E/NP and low</w:t>
      </w:r>
      <w:r w:rsidR="00AD54CA">
        <w:rPr>
          <w:sz w:val="26"/>
          <w:szCs w:val="26"/>
        </w:rPr>
        <w:noBreakHyphen/>
        <w:t xml:space="preserve">income excess savings would be rejected.  PPL acknowledges that the Commission simply stated that “EDCs </w:t>
      </w:r>
      <w:proofErr w:type="gramStart"/>
      <w:r w:rsidR="00AD54CA">
        <w:rPr>
          <w:sz w:val="26"/>
          <w:szCs w:val="26"/>
        </w:rPr>
        <w:t>are allowed to</w:t>
      </w:r>
      <w:proofErr w:type="gramEnd"/>
      <w:r w:rsidR="00AD54CA">
        <w:rPr>
          <w:sz w:val="26"/>
          <w:szCs w:val="26"/>
        </w:rPr>
        <w:t xml:space="preserve"> bank only those savings obtained in Phase II in excess of their targets for application towards Phase III targets” and that “[t]his directive applies to excess savings in the G/E/NP sector, as well.”  (Citing the Phase III Implementation Order at 85.)  PPL goes on to note that concerning the low</w:t>
      </w:r>
      <w:r w:rsidR="00AD54CA">
        <w:rPr>
          <w:sz w:val="26"/>
          <w:szCs w:val="26"/>
        </w:rPr>
        <w:noBreakHyphen/>
        <w:t>income carryover savings, the Commission found that EDCs will only be allowed to carry over excess low</w:t>
      </w:r>
      <w:r w:rsidR="00AD54CA">
        <w:rPr>
          <w:sz w:val="26"/>
          <w:szCs w:val="26"/>
        </w:rPr>
        <w:noBreakHyphen/>
        <w:t>income savings into Phase III based on an allocation factor determined by the ratio of savings from low</w:t>
      </w:r>
      <w:r w:rsidR="00AD54CA">
        <w:rPr>
          <w:sz w:val="26"/>
          <w:szCs w:val="26"/>
        </w:rPr>
        <w:noBreakHyphen/>
        <w:t>income specific programs (citing the Phase III Implementation Order at 85.  PPL asserts that nothing in the Phase III Implementation Order prohibits PPL from carrying over these excess savings.</w:t>
      </w:r>
      <w:r w:rsidR="00297230">
        <w:rPr>
          <w:rStyle w:val="FootnoteReference"/>
          <w:sz w:val="26"/>
          <w:szCs w:val="26"/>
        </w:rPr>
        <w:footnoteReference w:id="144"/>
      </w:r>
    </w:p>
    <w:p w:rsidR="00297230" w:rsidRDefault="00297230" w:rsidP="00EE0B71">
      <w:pPr>
        <w:overflowPunct/>
        <w:autoSpaceDE/>
        <w:autoSpaceDN/>
        <w:adjustRightInd/>
        <w:spacing w:line="360" w:lineRule="auto"/>
        <w:ind w:firstLine="720"/>
        <w:textAlignment w:val="auto"/>
        <w:rPr>
          <w:sz w:val="26"/>
          <w:szCs w:val="26"/>
        </w:rPr>
      </w:pPr>
    </w:p>
    <w:p w:rsidR="00297230" w:rsidRDefault="00297230" w:rsidP="00EE0B71">
      <w:pPr>
        <w:overflowPunct/>
        <w:autoSpaceDE/>
        <w:autoSpaceDN/>
        <w:adjustRightInd/>
        <w:spacing w:line="360" w:lineRule="auto"/>
        <w:ind w:firstLine="720"/>
        <w:textAlignment w:val="auto"/>
        <w:rPr>
          <w:sz w:val="26"/>
          <w:szCs w:val="26"/>
        </w:rPr>
      </w:pPr>
      <w:r>
        <w:rPr>
          <w:sz w:val="26"/>
          <w:szCs w:val="26"/>
        </w:rPr>
        <w:t>Next, PPL asserts that it specifically detailed in its Phase III EE&amp;C Plan that it was planning to count Phase II G/E/NP and low</w:t>
      </w:r>
      <w:r>
        <w:rPr>
          <w:sz w:val="26"/>
          <w:szCs w:val="26"/>
        </w:rPr>
        <w:noBreakHyphen/>
        <w:t>income excess savings toward the Phase III G/E/NP and low</w:t>
      </w:r>
      <w:r>
        <w:rPr>
          <w:sz w:val="26"/>
          <w:szCs w:val="26"/>
        </w:rPr>
        <w:noBreakHyphen/>
        <w:t>income carve</w:t>
      </w:r>
      <w:r>
        <w:rPr>
          <w:sz w:val="26"/>
          <w:szCs w:val="26"/>
        </w:rPr>
        <w:noBreakHyphen/>
        <w:t>outs but not the overall energy savings requirement (citing PPL’s Phase III EE&amp;C Plan, Tables 2 and 10).  PPL asserts that by not disputing PPL’s treatment of the G/E/NP and low</w:t>
      </w:r>
      <w:r>
        <w:rPr>
          <w:sz w:val="26"/>
          <w:szCs w:val="26"/>
        </w:rPr>
        <w:noBreakHyphen/>
        <w:t>income excess savings in the Order approving PPL’s Phase III EE&amp;C Plan, the Commission tacitly approved such treatment.  PPL goes on to assert that since its Phase III plan included these excess savings, PPL would be required to file for approval a change to its plan that excludes these excess savings.  PPL next asserts that the Commission’s decision could negatively affect its ability to meet its Phase III G/E/NP and low</w:t>
      </w:r>
      <w:r>
        <w:rPr>
          <w:sz w:val="26"/>
          <w:szCs w:val="26"/>
        </w:rPr>
        <w:noBreakHyphen/>
        <w:t xml:space="preserve">income savings targets.  Although PPL also notes that its </w:t>
      </w:r>
      <w:r>
        <w:rPr>
          <w:sz w:val="26"/>
          <w:szCs w:val="26"/>
        </w:rPr>
        <w:lastRenderedPageBreak/>
        <w:t>Phase III EE&amp;C Plan is designed to achieve the G/E/NP and low</w:t>
      </w:r>
      <w:r>
        <w:rPr>
          <w:sz w:val="26"/>
          <w:szCs w:val="26"/>
        </w:rPr>
        <w:noBreakHyphen/>
        <w:t>income carve</w:t>
      </w:r>
      <w:r>
        <w:rPr>
          <w:sz w:val="26"/>
          <w:szCs w:val="26"/>
        </w:rPr>
        <w:noBreakHyphen/>
        <w:t>outs without any Phase II carryover.</w:t>
      </w:r>
      <w:r w:rsidR="00197161">
        <w:rPr>
          <w:rStyle w:val="FootnoteReference"/>
          <w:sz w:val="26"/>
          <w:szCs w:val="26"/>
        </w:rPr>
        <w:footnoteReference w:id="145"/>
      </w:r>
    </w:p>
    <w:p w:rsidR="00197161" w:rsidRDefault="00197161" w:rsidP="00EE0B71">
      <w:pPr>
        <w:overflowPunct/>
        <w:autoSpaceDE/>
        <w:autoSpaceDN/>
        <w:adjustRightInd/>
        <w:spacing w:line="360" w:lineRule="auto"/>
        <w:ind w:firstLine="720"/>
        <w:textAlignment w:val="auto"/>
        <w:rPr>
          <w:sz w:val="26"/>
          <w:szCs w:val="26"/>
        </w:rPr>
      </w:pPr>
    </w:p>
    <w:p w:rsidR="00197161" w:rsidRDefault="00197161" w:rsidP="00EE0B71">
      <w:pPr>
        <w:overflowPunct/>
        <w:autoSpaceDE/>
        <w:autoSpaceDN/>
        <w:adjustRightInd/>
        <w:spacing w:line="360" w:lineRule="auto"/>
        <w:ind w:firstLine="720"/>
        <w:textAlignment w:val="auto"/>
        <w:rPr>
          <w:sz w:val="26"/>
          <w:szCs w:val="26"/>
        </w:rPr>
      </w:pPr>
      <w:r>
        <w:rPr>
          <w:sz w:val="26"/>
          <w:szCs w:val="26"/>
        </w:rPr>
        <w:t>Finally, PPL posits that the Commission’s decision to deny carryover is poor public policy.  PPL asserts that the Commission’s decision would encourage an EDC to slow down its G/E/NP and low</w:t>
      </w:r>
      <w:r>
        <w:rPr>
          <w:sz w:val="26"/>
          <w:szCs w:val="26"/>
        </w:rPr>
        <w:noBreakHyphen/>
        <w:t>income programs toward the end of an EE&amp;C Phase to avoid excess savings in those categories as EDCs would better position itself to meet the G/E/NP and low</w:t>
      </w:r>
      <w:r>
        <w:rPr>
          <w:sz w:val="26"/>
          <w:szCs w:val="26"/>
        </w:rPr>
        <w:noBreakHyphen/>
        <w:t>income carve</w:t>
      </w:r>
      <w:r>
        <w:rPr>
          <w:sz w:val="26"/>
          <w:szCs w:val="26"/>
        </w:rPr>
        <w:noBreakHyphen/>
        <w:t xml:space="preserve">outs in the upcoming </w:t>
      </w:r>
      <w:r w:rsidR="00862C9A">
        <w:rPr>
          <w:sz w:val="26"/>
          <w:szCs w:val="26"/>
        </w:rPr>
        <w:t xml:space="preserve">phase and letting programs go dark.  Next PPL asserts that EDCs would reallocate resources from the </w:t>
      </w:r>
      <w:proofErr w:type="gramStart"/>
      <w:r w:rsidR="00862C9A">
        <w:rPr>
          <w:sz w:val="26"/>
          <w:szCs w:val="26"/>
        </w:rPr>
        <w:t>more costly</w:t>
      </w:r>
      <w:proofErr w:type="gramEnd"/>
      <w:r w:rsidR="00862C9A">
        <w:rPr>
          <w:sz w:val="26"/>
          <w:szCs w:val="26"/>
        </w:rPr>
        <w:t xml:space="preserve"> G/E/NP and low</w:t>
      </w:r>
      <w:r w:rsidR="00862C9A">
        <w:rPr>
          <w:sz w:val="26"/>
          <w:szCs w:val="26"/>
        </w:rPr>
        <w:noBreakHyphen/>
        <w:t>income programs to meet the overall savings requirement.  Finally, PPL asserts that the Commission’s decision would lead to arbitrary outcomes, noting that if PPL exceeded its overall Phase II savings requirement by 1 MWh/</w:t>
      </w:r>
      <w:proofErr w:type="spellStart"/>
      <w:r w:rsidR="00862C9A">
        <w:rPr>
          <w:sz w:val="26"/>
          <w:szCs w:val="26"/>
        </w:rPr>
        <w:t>yr</w:t>
      </w:r>
      <w:proofErr w:type="spellEnd"/>
      <w:r w:rsidR="00862C9A">
        <w:rPr>
          <w:sz w:val="26"/>
          <w:szCs w:val="26"/>
        </w:rPr>
        <w:t>, PPL would be able to carry over 11,141 MWh/</w:t>
      </w:r>
      <w:proofErr w:type="spellStart"/>
      <w:r w:rsidR="00862C9A">
        <w:rPr>
          <w:sz w:val="26"/>
          <w:szCs w:val="26"/>
        </w:rPr>
        <w:t>yr</w:t>
      </w:r>
      <w:proofErr w:type="spellEnd"/>
      <w:r w:rsidR="00862C9A">
        <w:rPr>
          <w:sz w:val="26"/>
          <w:szCs w:val="26"/>
        </w:rPr>
        <w:t xml:space="preserve"> in G/E/NP and 10,520 MWh/</w:t>
      </w:r>
      <w:proofErr w:type="spellStart"/>
      <w:r w:rsidR="00862C9A">
        <w:rPr>
          <w:sz w:val="26"/>
          <w:szCs w:val="26"/>
        </w:rPr>
        <w:t>yr</w:t>
      </w:r>
      <w:proofErr w:type="spellEnd"/>
      <w:r w:rsidR="00862C9A">
        <w:rPr>
          <w:sz w:val="26"/>
          <w:szCs w:val="26"/>
        </w:rPr>
        <w:t xml:space="preserve"> in low</w:t>
      </w:r>
      <w:r w:rsidR="00862C9A">
        <w:rPr>
          <w:sz w:val="26"/>
          <w:szCs w:val="26"/>
        </w:rPr>
        <w:noBreakHyphen/>
        <w:t>income savings.  In addition, PPL states, if it had to use 1 MWh/</w:t>
      </w:r>
      <w:proofErr w:type="spellStart"/>
      <w:r w:rsidR="00862C9A">
        <w:rPr>
          <w:sz w:val="26"/>
          <w:szCs w:val="26"/>
        </w:rPr>
        <w:t>yr</w:t>
      </w:r>
      <w:proofErr w:type="spellEnd"/>
      <w:r w:rsidR="00862C9A">
        <w:rPr>
          <w:sz w:val="26"/>
          <w:szCs w:val="26"/>
        </w:rPr>
        <w:t xml:space="preserve"> of phase I carryover savings to meet its overall requirement, it would not be able to carry over any Phase II G/E/NP or low</w:t>
      </w:r>
      <w:r w:rsidR="00862C9A">
        <w:rPr>
          <w:sz w:val="26"/>
          <w:szCs w:val="26"/>
        </w:rPr>
        <w:noBreakHyphen/>
        <w:t>income excess savings into Phase III.</w:t>
      </w:r>
      <w:r w:rsidR="00862C9A">
        <w:rPr>
          <w:rStyle w:val="FootnoteReference"/>
          <w:sz w:val="26"/>
          <w:szCs w:val="26"/>
        </w:rPr>
        <w:footnoteReference w:id="146"/>
      </w:r>
    </w:p>
    <w:p w:rsidR="00FC05AC" w:rsidRDefault="00FC05AC" w:rsidP="00065FB4">
      <w:pPr>
        <w:overflowPunct/>
        <w:autoSpaceDE/>
        <w:autoSpaceDN/>
        <w:adjustRightInd/>
        <w:spacing w:line="360" w:lineRule="auto"/>
        <w:ind w:firstLine="720"/>
        <w:textAlignment w:val="auto"/>
        <w:rPr>
          <w:sz w:val="26"/>
          <w:szCs w:val="26"/>
        </w:rPr>
      </w:pPr>
    </w:p>
    <w:p w:rsidR="00862C9A" w:rsidRDefault="00862C9A" w:rsidP="00065FB4">
      <w:pPr>
        <w:overflowPunct/>
        <w:autoSpaceDE/>
        <w:autoSpaceDN/>
        <w:adjustRightInd/>
        <w:spacing w:line="360" w:lineRule="auto"/>
        <w:ind w:firstLine="720"/>
        <w:textAlignment w:val="auto"/>
        <w:rPr>
          <w:sz w:val="26"/>
          <w:szCs w:val="26"/>
        </w:rPr>
      </w:pPr>
      <w:r>
        <w:rPr>
          <w:sz w:val="26"/>
          <w:szCs w:val="26"/>
        </w:rPr>
        <w:t xml:space="preserve">On May 11, 2017, the OCA filed an Answer to PPL’s Petition.  In its Answer, the OCA notes that </w:t>
      </w:r>
      <w:r w:rsidR="009C29A1">
        <w:rPr>
          <w:sz w:val="26"/>
          <w:szCs w:val="26"/>
        </w:rPr>
        <w:t>PPL’s request effectively reduces the low</w:t>
      </w:r>
      <w:r w:rsidR="009C29A1">
        <w:rPr>
          <w:sz w:val="26"/>
          <w:szCs w:val="26"/>
        </w:rPr>
        <w:noBreakHyphen/>
        <w:t>income savings expected to be achieved in Phase III from a carve</w:t>
      </w:r>
      <w:r w:rsidR="009C29A1">
        <w:rPr>
          <w:sz w:val="26"/>
          <w:szCs w:val="26"/>
        </w:rPr>
        <w:noBreakHyphen/>
        <w:t>out of 5.5% to 4.8% of the total Phase III savings.  The OCA is concerned with this significant reduction in achieved savings for low</w:t>
      </w:r>
      <w:r w:rsidR="009C29A1">
        <w:rPr>
          <w:sz w:val="26"/>
          <w:szCs w:val="26"/>
        </w:rPr>
        <w:noBreakHyphen/>
        <w:t>income customers in Phase III, noting that PPL provides no indication or commitment to continuing or improving the low</w:t>
      </w:r>
      <w:r w:rsidR="009C29A1">
        <w:rPr>
          <w:sz w:val="26"/>
          <w:szCs w:val="26"/>
        </w:rPr>
        <w:noBreakHyphen/>
        <w:t>income programs if its request is granted.  The OCA asserts that by allowing the carryover, low</w:t>
      </w:r>
      <w:r w:rsidR="009C29A1">
        <w:rPr>
          <w:sz w:val="26"/>
          <w:szCs w:val="26"/>
        </w:rPr>
        <w:noBreakHyphen/>
        <w:t>income customers may not obtain the full benefits intended in Phase III or see improved programs.  The OCA suggests that if the Commission were to grant PPL’s request, the Commission should direct PPL to continue applying the full amount of funding allocated to programs directed toward low</w:t>
      </w:r>
      <w:r w:rsidR="009C29A1">
        <w:rPr>
          <w:sz w:val="26"/>
          <w:szCs w:val="26"/>
        </w:rPr>
        <w:noBreakHyphen/>
        <w:t xml:space="preserve">income </w:t>
      </w:r>
      <w:r w:rsidR="009C29A1">
        <w:rPr>
          <w:sz w:val="26"/>
          <w:szCs w:val="26"/>
        </w:rPr>
        <w:lastRenderedPageBreak/>
        <w:t>customers in Phase III.  In addition, PPL should be directed to work with the existing stakeholder group to develop an approach that will spend the entire budgeted amount on programs specifically benefitting low</w:t>
      </w:r>
      <w:r w:rsidR="009C29A1">
        <w:rPr>
          <w:sz w:val="26"/>
          <w:szCs w:val="26"/>
        </w:rPr>
        <w:noBreakHyphen/>
        <w:t xml:space="preserve">income customers, and will achieve the maximum </w:t>
      </w:r>
      <w:proofErr w:type="gramStart"/>
      <w:r w:rsidR="009C29A1">
        <w:rPr>
          <w:sz w:val="26"/>
          <w:szCs w:val="26"/>
        </w:rPr>
        <w:t>amount</w:t>
      </w:r>
      <w:proofErr w:type="gramEnd"/>
      <w:r w:rsidR="009C29A1">
        <w:rPr>
          <w:sz w:val="26"/>
          <w:szCs w:val="26"/>
        </w:rPr>
        <w:t xml:space="preserve"> of savings for the broadest low</w:t>
      </w:r>
      <w:r w:rsidR="009C29A1">
        <w:rPr>
          <w:sz w:val="26"/>
          <w:szCs w:val="26"/>
        </w:rPr>
        <w:noBreakHyphen/>
        <w:t>income customer base.  The OCA asserts that this will ensure that low</w:t>
      </w:r>
      <w:r w:rsidR="009C29A1">
        <w:rPr>
          <w:sz w:val="26"/>
          <w:szCs w:val="26"/>
        </w:rPr>
        <w:noBreakHyphen/>
        <w:t>income customers continue to receive the benefit of the program.</w:t>
      </w:r>
      <w:r w:rsidR="009C29A1">
        <w:rPr>
          <w:rStyle w:val="FootnoteReference"/>
          <w:sz w:val="26"/>
          <w:szCs w:val="26"/>
        </w:rPr>
        <w:footnoteReference w:id="147"/>
      </w:r>
    </w:p>
    <w:p w:rsidR="009C29A1" w:rsidRDefault="009C29A1" w:rsidP="00065FB4">
      <w:pPr>
        <w:overflowPunct/>
        <w:autoSpaceDE/>
        <w:autoSpaceDN/>
        <w:adjustRightInd/>
        <w:spacing w:line="360" w:lineRule="auto"/>
        <w:ind w:firstLine="720"/>
        <w:textAlignment w:val="auto"/>
        <w:rPr>
          <w:sz w:val="26"/>
          <w:szCs w:val="26"/>
        </w:rPr>
      </w:pPr>
    </w:p>
    <w:p w:rsidR="009C29A1" w:rsidRDefault="009C29A1" w:rsidP="00065FB4">
      <w:pPr>
        <w:overflowPunct/>
        <w:autoSpaceDE/>
        <w:autoSpaceDN/>
        <w:adjustRightInd/>
        <w:spacing w:line="360" w:lineRule="auto"/>
        <w:ind w:firstLine="720"/>
        <w:textAlignment w:val="auto"/>
        <w:rPr>
          <w:sz w:val="26"/>
          <w:szCs w:val="26"/>
        </w:rPr>
      </w:pPr>
      <w:r>
        <w:rPr>
          <w:sz w:val="26"/>
          <w:szCs w:val="26"/>
        </w:rPr>
        <w:t>On May 30, 2017, PPL submitted a letter in response to the OCA Answer.  I</w:t>
      </w:r>
      <w:r w:rsidR="00547217">
        <w:rPr>
          <w:sz w:val="26"/>
          <w:szCs w:val="26"/>
        </w:rPr>
        <w:t>n</w:t>
      </w:r>
      <w:r>
        <w:rPr>
          <w:sz w:val="26"/>
          <w:szCs w:val="26"/>
        </w:rPr>
        <w:t xml:space="preserve"> the letter, PPL states that the purpose of its Petition is not to alter or reduce the project spending for low</w:t>
      </w:r>
      <w:r>
        <w:rPr>
          <w:sz w:val="26"/>
          <w:szCs w:val="26"/>
        </w:rPr>
        <w:noBreakHyphen/>
        <w:t>income programs under its Phase III EE&amp;C Plan.  PPL further states that the intent of the Petition is to preserve the status quo for the low</w:t>
      </w:r>
      <w:r>
        <w:rPr>
          <w:sz w:val="26"/>
          <w:szCs w:val="26"/>
        </w:rPr>
        <w:noBreakHyphen/>
        <w:t>income programs offered under the Phase III EE&amp;C Plan as approved by the Commission.</w:t>
      </w:r>
    </w:p>
    <w:p w:rsidR="009C29A1" w:rsidRDefault="009C29A1" w:rsidP="00065FB4">
      <w:pPr>
        <w:overflowPunct/>
        <w:autoSpaceDE/>
        <w:autoSpaceDN/>
        <w:adjustRightInd/>
        <w:spacing w:line="360" w:lineRule="auto"/>
        <w:ind w:firstLine="720"/>
        <w:textAlignment w:val="auto"/>
        <w:rPr>
          <w:sz w:val="26"/>
          <w:szCs w:val="26"/>
        </w:rPr>
      </w:pPr>
    </w:p>
    <w:p w:rsidR="00BF4CB9" w:rsidRDefault="009C29A1" w:rsidP="00065FB4">
      <w:pPr>
        <w:overflowPunct/>
        <w:autoSpaceDE/>
        <w:autoSpaceDN/>
        <w:adjustRightInd/>
        <w:spacing w:line="360" w:lineRule="auto"/>
        <w:ind w:firstLine="720"/>
        <w:textAlignment w:val="auto"/>
        <w:rPr>
          <w:sz w:val="26"/>
          <w:szCs w:val="26"/>
        </w:rPr>
      </w:pPr>
      <w:r>
        <w:rPr>
          <w:sz w:val="26"/>
          <w:szCs w:val="26"/>
        </w:rPr>
        <w:t>The Commission will deny PPL’s Petition.</w:t>
      </w:r>
      <w:r w:rsidR="009C787D">
        <w:rPr>
          <w:sz w:val="26"/>
          <w:szCs w:val="26"/>
        </w:rPr>
        <w:t xml:space="preserve">  To begin with, the Commission did not </w:t>
      </w:r>
      <w:r w:rsidR="00C44B62">
        <w:rPr>
          <w:sz w:val="26"/>
          <w:szCs w:val="26"/>
        </w:rPr>
        <w:t>adopt in the</w:t>
      </w:r>
      <w:r w:rsidR="009C787D">
        <w:rPr>
          <w:sz w:val="26"/>
          <w:szCs w:val="26"/>
        </w:rPr>
        <w:t xml:space="preserve"> Phase III Implementation Order, </w:t>
      </w:r>
      <w:r w:rsidR="00C44B62">
        <w:rPr>
          <w:sz w:val="26"/>
          <w:szCs w:val="26"/>
        </w:rPr>
        <w:t>by omission, PPL’s position.  In section B. 1. c. above, we discuss what the Commission did adopt in the Phase III Implementation Order and will incorporate that discussion here by reference.  Regarding PPL’s assertion that the Commission adopted PPL’s position by approving its Phase III EE&amp;C Plan that referenced carryover, this argument is also without merit.  First, PPL’s EE&amp;C Plan is simply that, a plan, which is nothing more than a projection with estimates on how PPL can meet the requirements of the EE&amp;C Program, it is not a final determination as to whether PPL has met the requirements</w:t>
      </w:r>
      <w:r w:rsidR="00753437">
        <w:rPr>
          <w:sz w:val="26"/>
          <w:szCs w:val="26"/>
        </w:rPr>
        <w:t xml:space="preserve"> for</w:t>
      </w:r>
      <w:r w:rsidR="006F57E5">
        <w:rPr>
          <w:sz w:val="26"/>
          <w:szCs w:val="26"/>
        </w:rPr>
        <w:t xml:space="preserve"> Phase II or Phase III</w:t>
      </w:r>
      <w:r w:rsidR="00C44B62">
        <w:rPr>
          <w:sz w:val="26"/>
          <w:szCs w:val="26"/>
        </w:rPr>
        <w:t>.  Second, the numbers referenced by PPL relating to projected G/E/NP and low</w:t>
      </w:r>
      <w:r w:rsidR="00C44B62">
        <w:rPr>
          <w:sz w:val="26"/>
          <w:szCs w:val="26"/>
        </w:rPr>
        <w:noBreakHyphen/>
        <w:t>income carryover, were estim</w:t>
      </w:r>
      <w:r w:rsidR="001B0107">
        <w:rPr>
          <w:sz w:val="26"/>
          <w:szCs w:val="26"/>
        </w:rPr>
        <w:t xml:space="preserve">ates of what might </w:t>
      </w:r>
      <w:r w:rsidR="00BF4CB9">
        <w:rPr>
          <w:sz w:val="26"/>
          <w:szCs w:val="26"/>
        </w:rPr>
        <w:t xml:space="preserve">or might not </w:t>
      </w:r>
      <w:r w:rsidR="001B0107">
        <w:rPr>
          <w:sz w:val="26"/>
          <w:szCs w:val="26"/>
        </w:rPr>
        <w:t xml:space="preserve">occur and that would be definitively determined at the end of Phase II after the prescribed review process.  </w:t>
      </w:r>
      <w:r w:rsidR="00BF4CB9">
        <w:rPr>
          <w:sz w:val="26"/>
          <w:szCs w:val="26"/>
        </w:rPr>
        <w:t>Finally, b</w:t>
      </w:r>
      <w:r w:rsidR="001B0107">
        <w:rPr>
          <w:sz w:val="26"/>
          <w:szCs w:val="26"/>
        </w:rPr>
        <w:t xml:space="preserve">y approving PPL’s Phase III EE&amp;C Plan, the Commission was </w:t>
      </w:r>
      <w:proofErr w:type="gramStart"/>
      <w:r w:rsidR="001B0107">
        <w:rPr>
          <w:sz w:val="26"/>
          <w:szCs w:val="26"/>
        </w:rPr>
        <w:t>making a determination</w:t>
      </w:r>
      <w:proofErr w:type="gramEnd"/>
      <w:r w:rsidR="001B0107">
        <w:rPr>
          <w:sz w:val="26"/>
          <w:szCs w:val="26"/>
        </w:rPr>
        <w:t xml:space="preserve"> as to whether PPL had an adequate program </w:t>
      </w:r>
      <w:r w:rsidR="006F57E5">
        <w:rPr>
          <w:sz w:val="26"/>
          <w:szCs w:val="26"/>
        </w:rPr>
        <w:t xml:space="preserve">design, </w:t>
      </w:r>
      <w:r w:rsidR="001B0107">
        <w:rPr>
          <w:sz w:val="26"/>
          <w:szCs w:val="26"/>
        </w:rPr>
        <w:t xml:space="preserve">management and resource allocation </w:t>
      </w:r>
      <w:r w:rsidR="006F57E5">
        <w:rPr>
          <w:sz w:val="26"/>
          <w:szCs w:val="26"/>
        </w:rPr>
        <w:t xml:space="preserve">in place </w:t>
      </w:r>
      <w:r w:rsidR="001B0107">
        <w:rPr>
          <w:sz w:val="26"/>
          <w:szCs w:val="26"/>
        </w:rPr>
        <w:t xml:space="preserve">to meet the required reduction requirements in a </w:t>
      </w:r>
      <w:r w:rsidR="001B0107">
        <w:rPr>
          <w:sz w:val="26"/>
          <w:szCs w:val="26"/>
        </w:rPr>
        <w:lastRenderedPageBreak/>
        <w:t>cost</w:t>
      </w:r>
      <w:r w:rsidR="001B0107">
        <w:rPr>
          <w:sz w:val="26"/>
          <w:szCs w:val="26"/>
        </w:rPr>
        <w:noBreakHyphen/>
        <w:t xml:space="preserve">effective manner.  In fact, as PPL acknowledges, PPL’s plan indicated that PPL could meet </w:t>
      </w:r>
      <w:r w:rsidR="006F57E5">
        <w:rPr>
          <w:sz w:val="26"/>
          <w:szCs w:val="26"/>
        </w:rPr>
        <w:t xml:space="preserve">all requirements, including </w:t>
      </w:r>
      <w:r w:rsidR="001B0107">
        <w:rPr>
          <w:sz w:val="26"/>
          <w:szCs w:val="26"/>
        </w:rPr>
        <w:t>the G/E/NP and low</w:t>
      </w:r>
      <w:r w:rsidR="001B0107">
        <w:rPr>
          <w:sz w:val="26"/>
          <w:szCs w:val="26"/>
        </w:rPr>
        <w:noBreakHyphen/>
        <w:t>income carve</w:t>
      </w:r>
      <w:r w:rsidR="001B0107">
        <w:rPr>
          <w:sz w:val="26"/>
          <w:szCs w:val="26"/>
        </w:rPr>
        <w:noBreakHyphen/>
        <w:t>outs</w:t>
      </w:r>
      <w:r w:rsidR="006F57E5">
        <w:rPr>
          <w:sz w:val="26"/>
          <w:szCs w:val="26"/>
        </w:rPr>
        <w:t>,</w:t>
      </w:r>
      <w:r w:rsidR="001B0107">
        <w:rPr>
          <w:sz w:val="26"/>
          <w:szCs w:val="26"/>
        </w:rPr>
        <w:t xml:space="preserve"> without any carryover from Phase II</w:t>
      </w:r>
      <w:r w:rsidR="000D4945">
        <w:rPr>
          <w:sz w:val="26"/>
          <w:szCs w:val="26"/>
        </w:rPr>
        <w:t>.</w:t>
      </w:r>
      <w:r w:rsidR="001B0107">
        <w:rPr>
          <w:sz w:val="26"/>
          <w:szCs w:val="26"/>
        </w:rPr>
        <w:t xml:space="preserve"> </w:t>
      </w:r>
      <w:r w:rsidR="000D4945">
        <w:rPr>
          <w:sz w:val="26"/>
          <w:szCs w:val="26"/>
        </w:rPr>
        <w:t xml:space="preserve"> </w:t>
      </w:r>
      <w:r w:rsidR="00132A1C">
        <w:rPr>
          <w:sz w:val="26"/>
          <w:szCs w:val="26"/>
        </w:rPr>
        <w:t>T</w:t>
      </w:r>
      <w:r w:rsidR="001B0107">
        <w:rPr>
          <w:sz w:val="26"/>
          <w:szCs w:val="26"/>
        </w:rPr>
        <w:t>h</w:t>
      </w:r>
      <w:r w:rsidR="000D4945">
        <w:rPr>
          <w:sz w:val="26"/>
          <w:szCs w:val="26"/>
        </w:rPr>
        <w:t>erefore</w:t>
      </w:r>
      <w:r w:rsidR="001B0107">
        <w:rPr>
          <w:sz w:val="26"/>
          <w:szCs w:val="26"/>
        </w:rPr>
        <w:t>, there was no requirement for the Commission to direct PPL to revise its plan to meet these carveouts without the carryover, for the plan already meet t</w:t>
      </w:r>
      <w:r w:rsidR="00BF4CB9">
        <w:rPr>
          <w:sz w:val="26"/>
          <w:szCs w:val="26"/>
        </w:rPr>
        <w:t xml:space="preserve">hat condition.  </w:t>
      </w:r>
    </w:p>
    <w:p w:rsidR="00BF4CB9" w:rsidRDefault="00BF4CB9" w:rsidP="00065FB4">
      <w:pPr>
        <w:overflowPunct/>
        <w:autoSpaceDE/>
        <w:autoSpaceDN/>
        <w:adjustRightInd/>
        <w:spacing w:line="360" w:lineRule="auto"/>
        <w:ind w:firstLine="720"/>
        <w:textAlignment w:val="auto"/>
        <w:rPr>
          <w:sz w:val="26"/>
          <w:szCs w:val="26"/>
        </w:rPr>
      </w:pPr>
    </w:p>
    <w:p w:rsidR="004F1E72" w:rsidRDefault="00BF4CB9" w:rsidP="00065FB4">
      <w:pPr>
        <w:overflowPunct/>
        <w:autoSpaceDE/>
        <w:autoSpaceDN/>
        <w:adjustRightInd/>
        <w:spacing w:line="360" w:lineRule="auto"/>
        <w:ind w:firstLine="720"/>
        <w:textAlignment w:val="auto"/>
        <w:rPr>
          <w:sz w:val="26"/>
          <w:szCs w:val="26"/>
        </w:rPr>
      </w:pPr>
      <w:r>
        <w:rPr>
          <w:sz w:val="26"/>
          <w:szCs w:val="26"/>
        </w:rPr>
        <w:t>Regarding PPL’s assertion that the Commission’s decision to deny PPL the carryover for the G/E/NP and low</w:t>
      </w:r>
      <w:r>
        <w:rPr>
          <w:sz w:val="26"/>
          <w:szCs w:val="26"/>
        </w:rPr>
        <w:noBreakHyphen/>
        <w:t xml:space="preserve">income sectors is bad </w:t>
      </w:r>
      <w:proofErr w:type="gramStart"/>
      <w:r>
        <w:rPr>
          <w:sz w:val="26"/>
          <w:szCs w:val="26"/>
        </w:rPr>
        <w:t>policy,</w:t>
      </w:r>
      <w:proofErr w:type="gramEnd"/>
      <w:r>
        <w:rPr>
          <w:sz w:val="26"/>
          <w:szCs w:val="26"/>
        </w:rPr>
        <w:t xml:space="preserve"> the Commission is not persuaded by PPL’s arguments.  </w:t>
      </w:r>
      <w:r w:rsidR="00C44B62">
        <w:rPr>
          <w:sz w:val="26"/>
          <w:szCs w:val="26"/>
        </w:rPr>
        <w:t xml:space="preserve"> </w:t>
      </w:r>
      <w:proofErr w:type="gramStart"/>
      <w:r w:rsidR="0061075C">
        <w:rPr>
          <w:sz w:val="26"/>
          <w:szCs w:val="26"/>
        </w:rPr>
        <w:t>In particular, the</w:t>
      </w:r>
      <w:proofErr w:type="gramEnd"/>
      <w:r w:rsidR="0061075C">
        <w:rPr>
          <w:sz w:val="26"/>
          <w:szCs w:val="26"/>
        </w:rPr>
        <w:t xml:space="preserve"> Commission does not agree that this determination would drive EDCs to </w:t>
      </w:r>
      <w:r w:rsidR="006F57E5">
        <w:rPr>
          <w:sz w:val="26"/>
          <w:szCs w:val="26"/>
        </w:rPr>
        <w:t>“slow down” G/E/NP and low</w:t>
      </w:r>
      <w:r w:rsidR="006F57E5">
        <w:rPr>
          <w:sz w:val="26"/>
          <w:szCs w:val="26"/>
        </w:rPr>
        <w:noBreakHyphen/>
        <w:t xml:space="preserve">income programs and </w:t>
      </w:r>
      <w:r w:rsidR="0061075C">
        <w:rPr>
          <w:sz w:val="26"/>
          <w:szCs w:val="26"/>
        </w:rPr>
        <w:t>reallocate its focus and funding toward programs that would be most effective in achieving the overall savings requirement.  The EDCs already have a $1,000,000 to $20,000,000 incentive to allocate funds to achieve the overall savings requirement.</w:t>
      </w:r>
      <w:r w:rsidR="0061075C">
        <w:rPr>
          <w:rStyle w:val="FootnoteReference"/>
          <w:sz w:val="26"/>
          <w:szCs w:val="26"/>
        </w:rPr>
        <w:footnoteReference w:id="148"/>
      </w:r>
      <w:r w:rsidR="0061075C">
        <w:rPr>
          <w:sz w:val="26"/>
          <w:szCs w:val="26"/>
        </w:rPr>
        <w:t xml:space="preserve">  The Commission continued the G/E/NP and established the low</w:t>
      </w:r>
      <w:r w:rsidR="0061075C">
        <w:rPr>
          <w:sz w:val="26"/>
          <w:szCs w:val="26"/>
        </w:rPr>
        <w:noBreakHyphen/>
        <w:t>income carve</w:t>
      </w:r>
      <w:r w:rsidR="0061075C">
        <w:rPr>
          <w:sz w:val="26"/>
          <w:szCs w:val="26"/>
        </w:rPr>
        <w:noBreakHyphen/>
        <w:t>outs to ensure that these customer segments, which have limited or no access to capital to fund the inst</w:t>
      </w:r>
      <w:r w:rsidR="004B32EF">
        <w:rPr>
          <w:sz w:val="26"/>
          <w:szCs w:val="26"/>
        </w:rPr>
        <w:t>a</w:t>
      </w:r>
      <w:r w:rsidR="0061075C">
        <w:rPr>
          <w:sz w:val="26"/>
          <w:szCs w:val="26"/>
        </w:rPr>
        <w:t xml:space="preserve">llation of energy efficient equipment, are given </w:t>
      </w:r>
      <w:r w:rsidR="00630C61">
        <w:rPr>
          <w:sz w:val="26"/>
          <w:szCs w:val="26"/>
        </w:rPr>
        <w:t>reasonable access to the EE&amp;C Program</w:t>
      </w:r>
      <w:r w:rsidR="004F1E72">
        <w:rPr>
          <w:sz w:val="26"/>
          <w:szCs w:val="26"/>
        </w:rPr>
        <w:t xml:space="preserve"> to counter act the significant incentive to focus funding toward programs that are most effective in achieving the overall savings requirement</w:t>
      </w:r>
      <w:r w:rsidR="00630C61">
        <w:rPr>
          <w:sz w:val="26"/>
          <w:szCs w:val="26"/>
        </w:rPr>
        <w:t xml:space="preserve">.  In this </w:t>
      </w:r>
      <w:proofErr w:type="gramStart"/>
      <w:r w:rsidR="00630C61">
        <w:rPr>
          <w:sz w:val="26"/>
          <w:szCs w:val="26"/>
        </w:rPr>
        <w:t>particular case</w:t>
      </w:r>
      <w:proofErr w:type="gramEnd"/>
      <w:r w:rsidR="00630C61">
        <w:rPr>
          <w:sz w:val="26"/>
          <w:szCs w:val="26"/>
        </w:rPr>
        <w:t>, as the OCA points out, the Commission’s decision preserves the low</w:t>
      </w:r>
      <w:r w:rsidR="00630C61">
        <w:rPr>
          <w:sz w:val="26"/>
          <w:szCs w:val="26"/>
        </w:rPr>
        <w:noBreakHyphen/>
        <w:t>income carve</w:t>
      </w:r>
      <w:r w:rsidR="00630C61">
        <w:rPr>
          <w:sz w:val="26"/>
          <w:szCs w:val="26"/>
        </w:rPr>
        <w:noBreakHyphen/>
        <w:t xml:space="preserve">out of 5.5% as opposed to 4.8%, which actually encourages PPL to continue the programs for these customer segments.  </w:t>
      </w:r>
    </w:p>
    <w:p w:rsidR="00F71395" w:rsidRDefault="00F71395" w:rsidP="00065FB4">
      <w:pPr>
        <w:overflowPunct/>
        <w:autoSpaceDE/>
        <w:autoSpaceDN/>
        <w:adjustRightInd/>
        <w:spacing w:line="360" w:lineRule="auto"/>
        <w:ind w:firstLine="720"/>
        <w:textAlignment w:val="auto"/>
        <w:rPr>
          <w:sz w:val="26"/>
          <w:szCs w:val="26"/>
        </w:rPr>
      </w:pPr>
    </w:p>
    <w:p w:rsidR="009C29A1" w:rsidRDefault="00630C61" w:rsidP="00065FB4">
      <w:pPr>
        <w:overflowPunct/>
        <w:autoSpaceDE/>
        <w:autoSpaceDN/>
        <w:adjustRightInd/>
        <w:spacing w:line="360" w:lineRule="auto"/>
        <w:ind w:firstLine="720"/>
        <w:textAlignment w:val="auto"/>
        <w:rPr>
          <w:sz w:val="26"/>
          <w:szCs w:val="26"/>
        </w:rPr>
      </w:pPr>
      <w:r>
        <w:rPr>
          <w:sz w:val="26"/>
          <w:szCs w:val="26"/>
        </w:rPr>
        <w:t>Regarding PPL’s alleged arbitrary outcome, in which an EDC that has more G/E/NP and low</w:t>
      </w:r>
      <w:r>
        <w:rPr>
          <w:sz w:val="26"/>
          <w:szCs w:val="26"/>
        </w:rPr>
        <w:noBreakHyphen/>
        <w:t xml:space="preserve">income carryover than portfolio level carryover </w:t>
      </w:r>
      <w:proofErr w:type="gramStart"/>
      <w:r>
        <w:rPr>
          <w:sz w:val="26"/>
          <w:szCs w:val="26"/>
        </w:rPr>
        <w:t>is able to</w:t>
      </w:r>
      <w:proofErr w:type="gramEnd"/>
      <w:r>
        <w:rPr>
          <w:sz w:val="26"/>
          <w:szCs w:val="26"/>
        </w:rPr>
        <w:t xml:space="preserve"> apply all of the carve</w:t>
      </w:r>
      <w:r>
        <w:rPr>
          <w:sz w:val="26"/>
          <w:szCs w:val="26"/>
        </w:rPr>
        <w:noBreakHyphen/>
        <w:t xml:space="preserve">out carryover into the next phase, this scenario is nothing more than a red herring.  The Commission is not </w:t>
      </w:r>
      <w:r w:rsidR="000D4945">
        <w:rPr>
          <w:sz w:val="26"/>
          <w:szCs w:val="26"/>
        </w:rPr>
        <w:t>deal</w:t>
      </w:r>
      <w:r w:rsidR="00D73828">
        <w:rPr>
          <w:sz w:val="26"/>
          <w:szCs w:val="26"/>
        </w:rPr>
        <w:t>ing</w:t>
      </w:r>
      <w:r w:rsidR="000D4945">
        <w:rPr>
          <w:sz w:val="26"/>
          <w:szCs w:val="26"/>
        </w:rPr>
        <w:t xml:space="preserve"> with </w:t>
      </w:r>
      <w:r>
        <w:rPr>
          <w:sz w:val="26"/>
          <w:szCs w:val="26"/>
        </w:rPr>
        <w:t xml:space="preserve">this </w:t>
      </w:r>
      <w:r w:rsidR="006F57E5">
        <w:rPr>
          <w:sz w:val="26"/>
          <w:szCs w:val="26"/>
        </w:rPr>
        <w:t xml:space="preserve">fictional </w:t>
      </w:r>
      <w:r>
        <w:rPr>
          <w:sz w:val="26"/>
          <w:szCs w:val="26"/>
        </w:rPr>
        <w:t>scenario in the present case and is in no way endorsing that outcome</w:t>
      </w:r>
      <w:r w:rsidR="006F57E5">
        <w:rPr>
          <w:sz w:val="26"/>
          <w:szCs w:val="26"/>
        </w:rPr>
        <w:t xml:space="preserve"> by the decision being made today.  There are </w:t>
      </w:r>
      <w:r w:rsidR="006F57E5">
        <w:rPr>
          <w:sz w:val="26"/>
          <w:szCs w:val="26"/>
        </w:rPr>
        <w:lastRenderedPageBreak/>
        <w:t>other rational outcomes that can be applied to the scenario presented by PPL, which the Commission will address at the appropriate time, if necessary.</w:t>
      </w:r>
      <w:r w:rsidR="004F1E72">
        <w:rPr>
          <w:sz w:val="26"/>
          <w:szCs w:val="26"/>
        </w:rPr>
        <w:t xml:space="preserve">  For these reasons, we will deny PPL’s Petition.</w:t>
      </w:r>
    </w:p>
    <w:p w:rsidR="009C29A1" w:rsidRDefault="009C29A1" w:rsidP="00065FB4">
      <w:pPr>
        <w:overflowPunct/>
        <w:autoSpaceDE/>
        <w:autoSpaceDN/>
        <w:adjustRightInd/>
        <w:spacing w:line="360" w:lineRule="auto"/>
        <w:ind w:firstLine="720"/>
        <w:textAlignment w:val="auto"/>
        <w:rPr>
          <w:sz w:val="26"/>
          <w:szCs w:val="26"/>
        </w:rPr>
      </w:pPr>
    </w:p>
    <w:p w:rsidR="000C7760" w:rsidRDefault="000C7760" w:rsidP="00415B77">
      <w:pPr>
        <w:pStyle w:val="p3"/>
        <w:tabs>
          <w:tab w:val="clear" w:pos="204"/>
        </w:tabs>
        <w:spacing w:line="360" w:lineRule="auto"/>
        <w:rPr>
          <w:sz w:val="26"/>
          <w:szCs w:val="26"/>
        </w:rPr>
      </w:pPr>
      <w:r>
        <w:rPr>
          <w:sz w:val="26"/>
          <w:szCs w:val="26"/>
        </w:rPr>
        <w:tab/>
      </w:r>
      <w:r>
        <w:rPr>
          <w:sz w:val="26"/>
          <w:szCs w:val="26"/>
        </w:rPr>
        <w:tab/>
      </w:r>
      <w:r>
        <w:rPr>
          <w:b/>
          <w:sz w:val="26"/>
          <w:szCs w:val="26"/>
        </w:rPr>
        <w:t>g.</w:t>
      </w:r>
      <w:r>
        <w:rPr>
          <w:b/>
          <w:sz w:val="26"/>
          <w:szCs w:val="26"/>
        </w:rPr>
        <w:tab/>
        <w:t>West Penn</w:t>
      </w:r>
    </w:p>
    <w:p w:rsidR="009979F0" w:rsidRDefault="009449F3" w:rsidP="003365CC">
      <w:pPr>
        <w:widowControl w:val="0"/>
        <w:spacing w:line="360" w:lineRule="auto"/>
        <w:rPr>
          <w:sz w:val="26"/>
          <w:szCs w:val="26"/>
        </w:rPr>
      </w:pPr>
      <w:r>
        <w:rPr>
          <w:sz w:val="26"/>
          <w:szCs w:val="26"/>
        </w:rPr>
        <w:tab/>
      </w:r>
      <w:r w:rsidR="00FC33C2" w:rsidRPr="00FC33C2">
        <w:rPr>
          <w:sz w:val="26"/>
          <w:szCs w:val="26"/>
        </w:rPr>
        <w:t>In its PY7</w:t>
      </w:r>
      <w:r w:rsidR="009979F0">
        <w:rPr>
          <w:sz w:val="26"/>
          <w:szCs w:val="26"/>
        </w:rPr>
        <w:t xml:space="preserve"> </w:t>
      </w:r>
      <w:r w:rsidR="00FC33C2" w:rsidRPr="00FC33C2">
        <w:rPr>
          <w:sz w:val="26"/>
          <w:szCs w:val="26"/>
        </w:rPr>
        <w:t xml:space="preserve">Final Annual Report, West Penn reports it attained the </w:t>
      </w:r>
      <w:r w:rsidR="0001575E">
        <w:rPr>
          <w:sz w:val="26"/>
          <w:szCs w:val="26"/>
        </w:rPr>
        <w:t>portfolio</w:t>
      </w:r>
      <w:r w:rsidR="0001575E">
        <w:rPr>
          <w:sz w:val="26"/>
          <w:szCs w:val="26"/>
        </w:rPr>
        <w:noBreakHyphen/>
        <w:t xml:space="preserve">level </w:t>
      </w:r>
      <w:r w:rsidR="00FC33C2" w:rsidRPr="00FC33C2">
        <w:rPr>
          <w:sz w:val="26"/>
          <w:szCs w:val="26"/>
        </w:rPr>
        <w:t xml:space="preserve">TRM-verified electric consumption carryover savings amount of 20,540 MWh, and </w:t>
      </w:r>
      <w:r w:rsidR="003B0CD4" w:rsidRPr="009D3C22">
        <w:rPr>
          <w:sz w:val="26"/>
          <w:szCs w:val="26"/>
        </w:rPr>
        <w:t>low</w:t>
      </w:r>
      <w:r w:rsidR="0001575E">
        <w:rPr>
          <w:sz w:val="26"/>
          <w:szCs w:val="26"/>
        </w:rPr>
        <w:noBreakHyphen/>
      </w:r>
      <w:r w:rsidR="003B0CD4" w:rsidRPr="009D3C22">
        <w:rPr>
          <w:sz w:val="26"/>
          <w:szCs w:val="26"/>
        </w:rPr>
        <w:t xml:space="preserve">income </w:t>
      </w:r>
      <w:r w:rsidR="003B0CD4">
        <w:rPr>
          <w:sz w:val="26"/>
          <w:szCs w:val="26"/>
        </w:rPr>
        <w:t xml:space="preserve">reduction requirement excess </w:t>
      </w:r>
      <w:r w:rsidR="003B0CD4" w:rsidRPr="00902C1B">
        <w:rPr>
          <w:sz w:val="26"/>
          <w:szCs w:val="26"/>
        </w:rPr>
        <w:t>savings</w:t>
      </w:r>
      <w:r w:rsidR="003B0CD4" w:rsidRPr="00FC33C2">
        <w:rPr>
          <w:sz w:val="26"/>
          <w:szCs w:val="26"/>
        </w:rPr>
        <w:t xml:space="preserve"> </w:t>
      </w:r>
      <w:r w:rsidR="00FC33C2" w:rsidRPr="00FC33C2">
        <w:rPr>
          <w:sz w:val="26"/>
          <w:szCs w:val="26"/>
        </w:rPr>
        <w:t>of 3,354 MWh</w:t>
      </w:r>
      <w:r w:rsidR="00F87257">
        <w:rPr>
          <w:sz w:val="26"/>
          <w:szCs w:val="26"/>
        </w:rPr>
        <w:t>; however, it was not able to attain excess savings from the G/E/NP reduction requirement</w:t>
      </w:r>
      <w:r w:rsidR="00FC33C2" w:rsidRPr="00FC33C2">
        <w:rPr>
          <w:sz w:val="26"/>
          <w:szCs w:val="26"/>
        </w:rPr>
        <w:t>.</w:t>
      </w:r>
      <w:r w:rsidR="00FC33C2" w:rsidRPr="00FC33C2">
        <w:rPr>
          <w:sz w:val="26"/>
          <w:szCs w:val="26"/>
          <w:vertAlign w:val="superscript"/>
        </w:rPr>
        <w:footnoteReference w:id="149"/>
      </w:r>
      <w:r w:rsidR="00FC33C2" w:rsidRPr="00FC33C2">
        <w:rPr>
          <w:sz w:val="26"/>
          <w:szCs w:val="26"/>
        </w:rPr>
        <w:t xml:space="preserve">  In its </w:t>
      </w:r>
      <w:r w:rsidR="0066082E">
        <w:rPr>
          <w:sz w:val="26"/>
          <w:szCs w:val="26"/>
        </w:rPr>
        <w:t xml:space="preserve">Amended </w:t>
      </w:r>
      <w:r w:rsidR="00FC33C2" w:rsidRPr="00FC33C2">
        <w:rPr>
          <w:sz w:val="26"/>
          <w:szCs w:val="26"/>
        </w:rPr>
        <w:t xml:space="preserve">Phase II Final Annual Report, the SWE validates West Penn’s </w:t>
      </w:r>
      <w:r w:rsidR="0001575E">
        <w:rPr>
          <w:sz w:val="26"/>
          <w:szCs w:val="26"/>
        </w:rPr>
        <w:t>portfolio</w:t>
      </w:r>
      <w:r w:rsidR="0001575E">
        <w:rPr>
          <w:sz w:val="26"/>
          <w:szCs w:val="26"/>
        </w:rPr>
        <w:noBreakHyphen/>
        <w:t xml:space="preserve">level </w:t>
      </w:r>
      <w:r w:rsidR="00FC33C2" w:rsidRPr="00FC33C2">
        <w:rPr>
          <w:sz w:val="26"/>
          <w:szCs w:val="26"/>
        </w:rPr>
        <w:t xml:space="preserve">electric consumption carryover of 20,540 MWh and </w:t>
      </w:r>
      <w:r w:rsidR="003B0CD4" w:rsidRPr="009D3C22">
        <w:rPr>
          <w:sz w:val="26"/>
          <w:szCs w:val="26"/>
        </w:rPr>
        <w:t>low</w:t>
      </w:r>
      <w:r w:rsidR="0001575E">
        <w:rPr>
          <w:sz w:val="26"/>
          <w:szCs w:val="26"/>
        </w:rPr>
        <w:noBreakHyphen/>
      </w:r>
      <w:r w:rsidR="003B0CD4" w:rsidRPr="009D3C22">
        <w:rPr>
          <w:sz w:val="26"/>
          <w:szCs w:val="26"/>
        </w:rPr>
        <w:t xml:space="preserve">income </w:t>
      </w:r>
      <w:r w:rsidR="003B0CD4">
        <w:rPr>
          <w:sz w:val="26"/>
          <w:szCs w:val="26"/>
        </w:rPr>
        <w:t xml:space="preserve">reduction requirement excess </w:t>
      </w:r>
      <w:r w:rsidR="003B0CD4" w:rsidRPr="00902C1B">
        <w:rPr>
          <w:sz w:val="26"/>
          <w:szCs w:val="26"/>
        </w:rPr>
        <w:t>savings</w:t>
      </w:r>
      <w:r w:rsidR="003B0CD4" w:rsidRPr="00FC33C2">
        <w:rPr>
          <w:sz w:val="26"/>
          <w:szCs w:val="26"/>
        </w:rPr>
        <w:t xml:space="preserve"> </w:t>
      </w:r>
      <w:r w:rsidR="00FC33C2" w:rsidRPr="00FC33C2">
        <w:rPr>
          <w:sz w:val="26"/>
          <w:szCs w:val="26"/>
        </w:rPr>
        <w:t>of 3,354 MWh</w:t>
      </w:r>
      <w:r w:rsidR="00F87257">
        <w:rPr>
          <w:sz w:val="26"/>
          <w:szCs w:val="26"/>
        </w:rPr>
        <w:t>; and that West Penn is not able to carry over G/E/NP reduction requirement excess savings</w:t>
      </w:r>
      <w:r w:rsidR="00FC33C2" w:rsidRPr="00FC33C2">
        <w:rPr>
          <w:sz w:val="26"/>
          <w:szCs w:val="26"/>
        </w:rPr>
        <w:t>.</w:t>
      </w:r>
      <w:r w:rsidR="00FC33C2" w:rsidRPr="00FC33C2">
        <w:rPr>
          <w:sz w:val="26"/>
          <w:szCs w:val="26"/>
          <w:vertAlign w:val="superscript"/>
        </w:rPr>
        <w:footnoteReference w:id="150"/>
      </w:r>
      <w:r w:rsidR="00FC33C2" w:rsidRPr="00FC33C2">
        <w:rPr>
          <w:sz w:val="26"/>
          <w:szCs w:val="26"/>
        </w:rPr>
        <w:t xml:space="preserve">  The Commission agrees with the TRM-verified carryover sav</w:t>
      </w:r>
      <w:r w:rsidR="00FD21C8">
        <w:rPr>
          <w:sz w:val="26"/>
          <w:szCs w:val="26"/>
        </w:rPr>
        <w:t xml:space="preserve">ings reported by West </w:t>
      </w:r>
      <w:r w:rsidR="005F20BE">
        <w:rPr>
          <w:sz w:val="26"/>
          <w:szCs w:val="26"/>
        </w:rPr>
        <w:t>Penn, confirmed by the SWE,</w:t>
      </w:r>
      <w:r w:rsidR="00FC33C2" w:rsidRPr="00FC33C2">
        <w:rPr>
          <w:sz w:val="26"/>
          <w:szCs w:val="26"/>
        </w:rPr>
        <w:t xml:space="preserve"> and accepts a </w:t>
      </w:r>
      <w:r w:rsidR="0001575E">
        <w:rPr>
          <w:sz w:val="26"/>
          <w:szCs w:val="26"/>
        </w:rPr>
        <w:t>portfolio</w:t>
      </w:r>
      <w:r w:rsidR="0001575E">
        <w:rPr>
          <w:sz w:val="26"/>
          <w:szCs w:val="26"/>
        </w:rPr>
        <w:noBreakHyphen/>
        <w:t xml:space="preserve">level </w:t>
      </w:r>
      <w:r w:rsidR="00FC33C2" w:rsidRPr="00FC33C2">
        <w:rPr>
          <w:sz w:val="26"/>
          <w:szCs w:val="26"/>
        </w:rPr>
        <w:t xml:space="preserve">carryover total of 20,540 MWh to be credited against West Penn’s Phase III </w:t>
      </w:r>
      <w:r w:rsidR="0001575E">
        <w:rPr>
          <w:sz w:val="26"/>
          <w:szCs w:val="26"/>
        </w:rPr>
        <w:t>portfolio</w:t>
      </w:r>
      <w:r w:rsidR="0001575E">
        <w:rPr>
          <w:sz w:val="26"/>
          <w:szCs w:val="26"/>
        </w:rPr>
        <w:noBreakHyphen/>
        <w:t xml:space="preserve">level </w:t>
      </w:r>
      <w:r w:rsidR="00FC33C2" w:rsidRPr="00FC33C2">
        <w:rPr>
          <w:sz w:val="26"/>
          <w:szCs w:val="26"/>
        </w:rPr>
        <w:t>electric consumption reduction requirements and a</w:t>
      </w:r>
      <w:r w:rsidR="003B0CD4">
        <w:rPr>
          <w:sz w:val="26"/>
          <w:szCs w:val="26"/>
        </w:rPr>
        <w:t>n excess savings</w:t>
      </w:r>
      <w:r w:rsidR="00FC33C2" w:rsidRPr="00FC33C2">
        <w:rPr>
          <w:sz w:val="26"/>
          <w:szCs w:val="26"/>
        </w:rPr>
        <w:t xml:space="preserve"> total of 3,354 MWh to be credited against West Penn’s Phase III lo</w:t>
      </w:r>
      <w:r w:rsidR="009E045B">
        <w:rPr>
          <w:sz w:val="26"/>
          <w:szCs w:val="26"/>
        </w:rPr>
        <w:t>w</w:t>
      </w:r>
      <w:r w:rsidR="0001575E">
        <w:rPr>
          <w:sz w:val="26"/>
          <w:szCs w:val="26"/>
        </w:rPr>
        <w:noBreakHyphen/>
      </w:r>
      <w:r w:rsidR="009E045B">
        <w:rPr>
          <w:sz w:val="26"/>
          <w:szCs w:val="26"/>
        </w:rPr>
        <w:t xml:space="preserve">income reduction requirements.   </w:t>
      </w:r>
    </w:p>
    <w:p w:rsidR="00D14F60" w:rsidRDefault="00D14F60" w:rsidP="009E045B">
      <w:pPr>
        <w:widowControl w:val="0"/>
        <w:spacing w:line="360" w:lineRule="auto"/>
        <w:ind w:firstLine="720"/>
        <w:rPr>
          <w:sz w:val="26"/>
          <w:szCs w:val="26"/>
        </w:rPr>
      </w:pPr>
    </w:p>
    <w:p w:rsidR="008A36C2" w:rsidRDefault="008A36C2" w:rsidP="009E045B">
      <w:pPr>
        <w:widowControl w:val="0"/>
        <w:spacing w:line="360" w:lineRule="auto"/>
        <w:ind w:firstLine="720"/>
        <w:rPr>
          <w:b/>
          <w:color w:val="FF0000"/>
          <w:sz w:val="26"/>
          <w:szCs w:val="26"/>
        </w:rPr>
      </w:pPr>
      <w:r>
        <w:rPr>
          <w:b/>
          <w:sz w:val="26"/>
          <w:szCs w:val="26"/>
        </w:rPr>
        <w:t>2.</w:t>
      </w:r>
      <w:r>
        <w:rPr>
          <w:b/>
          <w:sz w:val="26"/>
          <w:szCs w:val="26"/>
        </w:rPr>
        <w:tab/>
      </w:r>
      <w:r w:rsidR="00A36D89">
        <w:rPr>
          <w:b/>
          <w:sz w:val="26"/>
          <w:szCs w:val="26"/>
        </w:rPr>
        <w:t>Phase I</w:t>
      </w:r>
      <w:r w:rsidR="00332E21">
        <w:rPr>
          <w:b/>
          <w:sz w:val="26"/>
          <w:szCs w:val="26"/>
        </w:rPr>
        <w:t>I</w:t>
      </w:r>
      <w:r w:rsidR="00A36D89">
        <w:rPr>
          <w:b/>
          <w:sz w:val="26"/>
          <w:szCs w:val="26"/>
        </w:rPr>
        <w:t>I Savings</w:t>
      </w:r>
    </w:p>
    <w:p w:rsidR="00C73680" w:rsidRPr="00C73680" w:rsidRDefault="008A36C2" w:rsidP="00F71395">
      <w:pPr>
        <w:pStyle w:val="p3"/>
        <w:widowControl/>
        <w:tabs>
          <w:tab w:val="clear" w:pos="204"/>
        </w:tabs>
        <w:spacing w:line="360" w:lineRule="auto"/>
        <w:rPr>
          <w:sz w:val="26"/>
          <w:szCs w:val="26"/>
        </w:rPr>
      </w:pPr>
      <w:r>
        <w:rPr>
          <w:color w:val="FF0000"/>
          <w:sz w:val="26"/>
          <w:szCs w:val="26"/>
        </w:rPr>
        <w:tab/>
      </w:r>
      <w:r w:rsidR="00A36D89">
        <w:rPr>
          <w:sz w:val="26"/>
          <w:szCs w:val="26"/>
        </w:rPr>
        <w:t xml:space="preserve">As indicated above, the Commission initially accepts each </w:t>
      </w:r>
      <w:r w:rsidR="00FD21C8">
        <w:rPr>
          <w:sz w:val="26"/>
          <w:szCs w:val="26"/>
        </w:rPr>
        <w:t>EDC’s</w:t>
      </w:r>
      <w:r w:rsidR="00A36D89">
        <w:rPr>
          <w:sz w:val="26"/>
          <w:szCs w:val="26"/>
        </w:rPr>
        <w:t xml:space="preserve"> megawatt-hour carryover </w:t>
      </w:r>
      <w:r w:rsidR="00B46654">
        <w:rPr>
          <w:sz w:val="26"/>
          <w:szCs w:val="26"/>
        </w:rPr>
        <w:t xml:space="preserve">and excess savings </w:t>
      </w:r>
      <w:r w:rsidR="00A36D89">
        <w:rPr>
          <w:sz w:val="26"/>
          <w:szCs w:val="26"/>
        </w:rPr>
        <w:t xml:space="preserve">total that was confirmed by the SWE as of the SWE’s </w:t>
      </w:r>
      <w:r w:rsidR="0066082E">
        <w:rPr>
          <w:sz w:val="26"/>
          <w:szCs w:val="26"/>
        </w:rPr>
        <w:t xml:space="preserve">Amended </w:t>
      </w:r>
      <w:r w:rsidR="00A36D89">
        <w:rPr>
          <w:sz w:val="26"/>
          <w:szCs w:val="26"/>
        </w:rPr>
        <w:t>Phase I</w:t>
      </w:r>
      <w:r w:rsidR="0052684D">
        <w:rPr>
          <w:sz w:val="26"/>
          <w:szCs w:val="26"/>
        </w:rPr>
        <w:t>I</w:t>
      </w:r>
      <w:r w:rsidR="00A36D89">
        <w:rPr>
          <w:sz w:val="26"/>
          <w:szCs w:val="26"/>
        </w:rPr>
        <w:t xml:space="preserve"> Final Annual Report date</w:t>
      </w:r>
      <w:r w:rsidR="007C52BD">
        <w:rPr>
          <w:sz w:val="26"/>
          <w:szCs w:val="26"/>
        </w:rPr>
        <w:t xml:space="preserve">.  </w:t>
      </w:r>
      <w:r w:rsidR="00A36D89">
        <w:rPr>
          <w:sz w:val="26"/>
          <w:szCs w:val="26"/>
        </w:rPr>
        <w:t>The Commission will credit this megawatt</w:t>
      </w:r>
      <w:r w:rsidR="0066082E">
        <w:rPr>
          <w:sz w:val="26"/>
          <w:szCs w:val="26"/>
        </w:rPr>
        <w:noBreakHyphen/>
      </w:r>
      <w:r w:rsidR="00A36D89">
        <w:rPr>
          <w:sz w:val="26"/>
          <w:szCs w:val="26"/>
        </w:rPr>
        <w:t xml:space="preserve">hour amount against each </w:t>
      </w:r>
      <w:r w:rsidR="00314829">
        <w:rPr>
          <w:sz w:val="26"/>
          <w:szCs w:val="26"/>
        </w:rPr>
        <w:t>EDC’s</w:t>
      </w:r>
      <w:r w:rsidR="00A36D89">
        <w:rPr>
          <w:sz w:val="26"/>
          <w:szCs w:val="26"/>
        </w:rPr>
        <w:t xml:space="preserve"> Phase I</w:t>
      </w:r>
      <w:r w:rsidR="0052684D">
        <w:rPr>
          <w:sz w:val="26"/>
          <w:szCs w:val="26"/>
        </w:rPr>
        <w:t>I</w:t>
      </w:r>
      <w:r w:rsidR="00A36D89">
        <w:rPr>
          <w:sz w:val="26"/>
          <w:szCs w:val="26"/>
        </w:rPr>
        <w:t>I electric consumption reduction requirement</w:t>
      </w:r>
      <w:r w:rsidR="00C73680">
        <w:rPr>
          <w:sz w:val="26"/>
          <w:szCs w:val="26"/>
        </w:rPr>
        <w:t xml:space="preserve">.  </w:t>
      </w:r>
      <w:r w:rsidR="00E77566">
        <w:rPr>
          <w:sz w:val="26"/>
          <w:szCs w:val="26"/>
        </w:rPr>
        <w:t>At the end of Phase I</w:t>
      </w:r>
      <w:r w:rsidR="0052684D">
        <w:rPr>
          <w:sz w:val="26"/>
          <w:szCs w:val="26"/>
        </w:rPr>
        <w:t>I</w:t>
      </w:r>
      <w:r w:rsidR="00E77566">
        <w:rPr>
          <w:sz w:val="26"/>
          <w:szCs w:val="26"/>
        </w:rPr>
        <w:t xml:space="preserve">I, an EDC will have an opportunity to present </w:t>
      </w:r>
      <w:r w:rsidR="00E77566">
        <w:rPr>
          <w:sz w:val="26"/>
          <w:szCs w:val="26"/>
        </w:rPr>
        <w:lastRenderedPageBreak/>
        <w:t xml:space="preserve">evidence demonstrating that the Phase </w:t>
      </w:r>
      <w:r w:rsidR="0052684D">
        <w:rPr>
          <w:sz w:val="26"/>
          <w:szCs w:val="26"/>
        </w:rPr>
        <w:t>I</w:t>
      </w:r>
      <w:r w:rsidR="00E77566">
        <w:rPr>
          <w:sz w:val="26"/>
          <w:szCs w:val="26"/>
        </w:rPr>
        <w:t>I carryover should be higher during a compliance proceeding if necessary.</w:t>
      </w:r>
    </w:p>
    <w:p w:rsidR="009E045B" w:rsidRDefault="009E045B" w:rsidP="00415B77">
      <w:pPr>
        <w:pStyle w:val="p3"/>
        <w:tabs>
          <w:tab w:val="clear" w:pos="204"/>
        </w:tabs>
        <w:spacing w:line="360" w:lineRule="auto"/>
        <w:rPr>
          <w:sz w:val="26"/>
          <w:szCs w:val="26"/>
        </w:rPr>
      </w:pPr>
    </w:p>
    <w:p w:rsidR="00D669A5" w:rsidRPr="00415B77" w:rsidRDefault="00D669A5" w:rsidP="00415B77">
      <w:pPr>
        <w:pStyle w:val="p3"/>
        <w:tabs>
          <w:tab w:val="clear" w:pos="204"/>
        </w:tabs>
        <w:spacing w:line="360" w:lineRule="auto"/>
        <w:jc w:val="center"/>
        <w:outlineLvl w:val="0"/>
        <w:rPr>
          <w:b/>
          <w:sz w:val="26"/>
          <w:szCs w:val="26"/>
        </w:rPr>
      </w:pPr>
      <w:bookmarkStart w:id="2" w:name="_Toc379466818"/>
      <w:r w:rsidRPr="00415B77">
        <w:rPr>
          <w:b/>
          <w:sz w:val="26"/>
          <w:szCs w:val="26"/>
        </w:rPr>
        <w:t>CONCLUSION</w:t>
      </w:r>
      <w:bookmarkEnd w:id="2"/>
    </w:p>
    <w:p w:rsidR="0052684D" w:rsidRPr="00415B77" w:rsidRDefault="007E716A" w:rsidP="00332E21">
      <w:pPr>
        <w:pStyle w:val="p3"/>
        <w:tabs>
          <w:tab w:val="clear" w:pos="204"/>
        </w:tabs>
        <w:spacing w:line="360" w:lineRule="auto"/>
        <w:ind w:firstLine="720"/>
        <w:rPr>
          <w:sz w:val="26"/>
          <w:szCs w:val="26"/>
        </w:rPr>
      </w:pPr>
      <w:r>
        <w:rPr>
          <w:sz w:val="26"/>
          <w:szCs w:val="26"/>
        </w:rPr>
        <w:t xml:space="preserve">With this Order, the Commission releases the Statewide Evaluator’s </w:t>
      </w:r>
      <w:r w:rsidR="00F642D9">
        <w:rPr>
          <w:sz w:val="26"/>
          <w:szCs w:val="26"/>
        </w:rPr>
        <w:t xml:space="preserve">Amended </w:t>
      </w:r>
      <w:r>
        <w:rPr>
          <w:sz w:val="26"/>
          <w:szCs w:val="26"/>
        </w:rPr>
        <w:t>Phase I</w:t>
      </w:r>
      <w:r w:rsidR="0052684D">
        <w:rPr>
          <w:sz w:val="26"/>
          <w:szCs w:val="26"/>
        </w:rPr>
        <w:t>I</w:t>
      </w:r>
      <w:r>
        <w:rPr>
          <w:sz w:val="26"/>
          <w:szCs w:val="26"/>
        </w:rPr>
        <w:t xml:space="preserve"> Final Annual Report.  The Commission also provides its determinations regarding EDC compliance with the mandates of Act 129 and regarding the level of accumulated savings from Phase I</w:t>
      </w:r>
      <w:r w:rsidR="00332E21">
        <w:rPr>
          <w:sz w:val="26"/>
          <w:szCs w:val="26"/>
        </w:rPr>
        <w:t>I</w:t>
      </w:r>
      <w:r>
        <w:rPr>
          <w:sz w:val="26"/>
          <w:szCs w:val="26"/>
        </w:rPr>
        <w:t xml:space="preserve"> that may be applied to Phase I</w:t>
      </w:r>
      <w:r w:rsidR="00332E21">
        <w:rPr>
          <w:sz w:val="26"/>
          <w:szCs w:val="26"/>
        </w:rPr>
        <w:t>I</w:t>
      </w:r>
      <w:r>
        <w:rPr>
          <w:sz w:val="26"/>
          <w:szCs w:val="26"/>
        </w:rPr>
        <w:t xml:space="preserve">I consumption reduction </w:t>
      </w:r>
      <w:r w:rsidR="00DE7933">
        <w:rPr>
          <w:sz w:val="26"/>
          <w:szCs w:val="26"/>
        </w:rPr>
        <w:t>requirements</w:t>
      </w:r>
      <w:r w:rsidR="00F642D9">
        <w:rPr>
          <w:sz w:val="26"/>
          <w:szCs w:val="26"/>
        </w:rPr>
        <w:t>.  Finally, the Commission grants the Petition of Duquesne, as set forth in this Order, and denies the Petitions of PECO and PPL</w:t>
      </w:r>
      <w:r w:rsidR="00DB219C">
        <w:rPr>
          <w:sz w:val="26"/>
          <w:szCs w:val="26"/>
        </w:rPr>
        <w:t xml:space="preserve">; </w:t>
      </w:r>
      <w:r w:rsidR="00DB219C" w:rsidRPr="00DB219C">
        <w:rPr>
          <w:b/>
          <w:sz w:val="26"/>
          <w:szCs w:val="26"/>
        </w:rPr>
        <w:t>THEREFORE,</w:t>
      </w:r>
      <w:r w:rsidR="00D669A5" w:rsidRPr="00415B77">
        <w:rPr>
          <w:sz w:val="26"/>
          <w:szCs w:val="26"/>
        </w:rPr>
        <w:tab/>
      </w:r>
    </w:p>
    <w:p w:rsidR="009979F0" w:rsidRDefault="009979F0" w:rsidP="00B3640A">
      <w:pPr>
        <w:spacing w:line="360" w:lineRule="auto"/>
        <w:rPr>
          <w:b/>
          <w:sz w:val="26"/>
          <w:szCs w:val="26"/>
        </w:rPr>
      </w:pPr>
    </w:p>
    <w:p w:rsidR="00B3640A" w:rsidRPr="00415B77" w:rsidRDefault="00B3640A" w:rsidP="00B3640A">
      <w:pPr>
        <w:spacing w:line="360" w:lineRule="auto"/>
        <w:rPr>
          <w:b/>
          <w:sz w:val="26"/>
          <w:szCs w:val="26"/>
        </w:rPr>
      </w:pPr>
      <w:r w:rsidRPr="00415B77">
        <w:rPr>
          <w:sz w:val="26"/>
          <w:szCs w:val="26"/>
        </w:rPr>
        <w:tab/>
      </w:r>
      <w:r w:rsidRPr="00415B77">
        <w:rPr>
          <w:b/>
          <w:sz w:val="26"/>
          <w:szCs w:val="26"/>
        </w:rPr>
        <w:t>IT IS ORDERED:</w:t>
      </w:r>
    </w:p>
    <w:p w:rsidR="00B3640A" w:rsidRPr="00415B77" w:rsidRDefault="00B3640A" w:rsidP="00B3640A">
      <w:pPr>
        <w:spacing w:line="360" w:lineRule="auto"/>
        <w:rPr>
          <w:sz w:val="26"/>
          <w:szCs w:val="26"/>
        </w:rPr>
      </w:pPr>
    </w:p>
    <w:p w:rsidR="00B3640A" w:rsidRDefault="00B3640A" w:rsidP="00314829">
      <w:pPr>
        <w:spacing w:line="360" w:lineRule="auto"/>
        <w:ind w:firstLine="720"/>
        <w:rPr>
          <w:sz w:val="26"/>
          <w:szCs w:val="26"/>
        </w:rPr>
      </w:pPr>
      <w:r w:rsidRPr="00415B77">
        <w:rPr>
          <w:sz w:val="26"/>
          <w:szCs w:val="26"/>
        </w:rPr>
        <w:t>1.</w:t>
      </w:r>
      <w:r w:rsidRPr="00415B77">
        <w:rPr>
          <w:sz w:val="26"/>
          <w:szCs w:val="26"/>
        </w:rPr>
        <w:tab/>
        <w:t xml:space="preserve">That the </w:t>
      </w:r>
      <w:r w:rsidR="003A7658">
        <w:rPr>
          <w:sz w:val="26"/>
          <w:szCs w:val="26"/>
        </w:rPr>
        <w:t xml:space="preserve">Statewide Evaluator’s </w:t>
      </w:r>
      <w:r w:rsidR="004F1E72">
        <w:rPr>
          <w:sz w:val="26"/>
          <w:szCs w:val="26"/>
        </w:rPr>
        <w:t xml:space="preserve">Amended </w:t>
      </w:r>
      <w:r w:rsidR="003A7658">
        <w:rPr>
          <w:sz w:val="26"/>
          <w:szCs w:val="26"/>
        </w:rPr>
        <w:t>Phase I</w:t>
      </w:r>
      <w:r w:rsidR="00332E21">
        <w:rPr>
          <w:sz w:val="26"/>
          <w:szCs w:val="26"/>
        </w:rPr>
        <w:t>I</w:t>
      </w:r>
      <w:r w:rsidR="003A7658">
        <w:rPr>
          <w:sz w:val="26"/>
          <w:szCs w:val="26"/>
        </w:rPr>
        <w:t xml:space="preserve"> Final Annual Report be released to the public.</w:t>
      </w:r>
    </w:p>
    <w:p w:rsidR="00DB219C" w:rsidRPr="00415B77" w:rsidRDefault="00DB219C" w:rsidP="00314829">
      <w:pPr>
        <w:spacing w:line="360" w:lineRule="auto"/>
        <w:ind w:firstLine="720"/>
        <w:rPr>
          <w:sz w:val="26"/>
          <w:szCs w:val="26"/>
        </w:rPr>
      </w:pPr>
    </w:p>
    <w:p w:rsidR="009979F0" w:rsidRDefault="00BD12E0" w:rsidP="00DB219C">
      <w:pPr>
        <w:overflowPunct/>
        <w:autoSpaceDE/>
        <w:autoSpaceDN/>
        <w:adjustRightInd/>
        <w:spacing w:line="360" w:lineRule="auto"/>
        <w:ind w:firstLine="720"/>
        <w:textAlignment w:val="auto"/>
        <w:rPr>
          <w:bCs/>
          <w:sz w:val="26"/>
          <w:szCs w:val="26"/>
        </w:rPr>
      </w:pPr>
      <w:r w:rsidRPr="00415B77">
        <w:rPr>
          <w:sz w:val="26"/>
          <w:szCs w:val="26"/>
        </w:rPr>
        <w:t>2</w:t>
      </w:r>
      <w:r w:rsidR="00B3640A" w:rsidRPr="00415B77">
        <w:rPr>
          <w:sz w:val="26"/>
          <w:szCs w:val="26"/>
        </w:rPr>
        <w:t>.</w:t>
      </w:r>
      <w:r w:rsidR="00B3640A" w:rsidRPr="00415B77">
        <w:rPr>
          <w:sz w:val="26"/>
          <w:szCs w:val="26"/>
        </w:rPr>
        <w:tab/>
      </w:r>
      <w:r w:rsidR="003A7658" w:rsidRPr="00235CED">
        <w:rPr>
          <w:bCs/>
          <w:sz w:val="26"/>
          <w:szCs w:val="26"/>
        </w:rPr>
        <w:t xml:space="preserve">That </w:t>
      </w:r>
      <w:r w:rsidR="003A7658">
        <w:rPr>
          <w:bCs/>
          <w:sz w:val="26"/>
          <w:szCs w:val="26"/>
        </w:rPr>
        <w:t>a copy of this Order shall be served upon the Office of Consumer Advocate, the Office of Small Business Advocate, the Commission’s Bureau of Investigation and Enforcement</w:t>
      </w:r>
      <w:r w:rsidR="00E77566">
        <w:rPr>
          <w:bCs/>
          <w:sz w:val="26"/>
          <w:szCs w:val="26"/>
        </w:rPr>
        <w:t>,</w:t>
      </w:r>
      <w:r w:rsidR="003A7658">
        <w:rPr>
          <w:bCs/>
          <w:sz w:val="26"/>
          <w:szCs w:val="26"/>
        </w:rPr>
        <w:t xml:space="preserve"> and the jurisdictional electric distribution companies subject to the Energy Efficiency and Conservation Program requirements.</w:t>
      </w:r>
    </w:p>
    <w:p w:rsidR="009979F0" w:rsidRDefault="009979F0" w:rsidP="009E045B">
      <w:pPr>
        <w:spacing w:line="360" w:lineRule="auto"/>
        <w:ind w:firstLine="720"/>
        <w:rPr>
          <w:bCs/>
          <w:sz w:val="26"/>
          <w:szCs w:val="26"/>
        </w:rPr>
      </w:pPr>
    </w:p>
    <w:p w:rsidR="009E045B" w:rsidRDefault="00BD12E0" w:rsidP="009E045B">
      <w:pPr>
        <w:spacing w:line="360" w:lineRule="auto"/>
        <w:ind w:firstLine="720"/>
        <w:rPr>
          <w:sz w:val="26"/>
          <w:szCs w:val="26"/>
        </w:rPr>
      </w:pPr>
      <w:r w:rsidRPr="00415B77">
        <w:rPr>
          <w:sz w:val="26"/>
          <w:szCs w:val="26"/>
        </w:rPr>
        <w:t>3</w:t>
      </w:r>
      <w:r w:rsidR="00B3640A" w:rsidRPr="00415B77">
        <w:rPr>
          <w:sz w:val="26"/>
          <w:szCs w:val="26"/>
        </w:rPr>
        <w:t>.</w:t>
      </w:r>
      <w:r w:rsidR="00B3640A" w:rsidRPr="00415B77">
        <w:rPr>
          <w:sz w:val="26"/>
          <w:szCs w:val="26"/>
        </w:rPr>
        <w:tab/>
      </w:r>
      <w:r w:rsidR="00E76295">
        <w:rPr>
          <w:sz w:val="26"/>
          <w:szCs w:val="26"/>
        </w:rPr>
        <w:t>That the Commission deems Duquesne Light Company, Metropolitan Edison Company, PECO Energy Company, Pennsylvania Electric Company, Pennsylvania Power Company</w:t>
      </w:r>
      <w:r w:rsidR="00601022">
        <w:rPr>
          <w:sz w:val="26"/>
          <w:szCs w:val="26"/>
        </w:rPr>
        <w:t xml:space="preserve">, </w:t>
      </w:r>
      <w:r w:rsidR="00E76295">
        <w:rPr>
          <w:sz w:val="26"/>
          <w:szCs w:val="26"/>
        </w:rPr>
        <w:t xml:space="preserve">PPL Electric Utilities </w:t>
      </w:r>
      <w:r w:rsidR="00892C8F">
        <w:rPr>
          <w:sz w:val="26"/>
          <w:szCs w:val="26"/>
        </w:rPr>
        <w:t>Corporation</w:t>
      </w:r>
      <w:r w:rsidR="00601022">
        <w:rPr>
          <w:sz w:val="26"/>
          <w:szCs w:val="26"/>
        </w:rPr>
        <w:t>, and West Penn Power Company</w:t>
      </w:r>
      <w:r w:rsidR="00E76295">
        <w:rPr>
          <w:sz w:val="26"/>
          <w:szCs w:val="26"/>
        </w:rPr>
        <w:t xml:space="preserve"> </w:t>
      </w:r>
      <w:proofErr w:type="gramStart"/>
      <w:r w:rsidR="00E76295">
        <w:rPr>
          <w:sz w:val="26"/>
          <w:szCs w:val="26"/>
        </w:rPr>
        <w:t>are in compliance with</w:t>
      </w:r>
      <w:proofErr w:type="gramEnd"/>
      <w:r w:rsidR="00E76295">
        <w:rPr>
          <w:sz w:val="26"/>
          <w:szCs w:val="26"/>
        </w:rPr>
        <w:t xml:space="preserve"> the May 31, </w:t>
      </w:r>
      <w:r w:rsidR="00601022">
        <w:rPr>
          <w:sz w:val="26"/>
          <w:szCs w:val="26"/>
        </w:rPr>
        <w:t>2016</w:t>
      </w:r>
      <w:r w:rsidR="00E76295">
        <w:rPr>
          <w:sz w:val="26"/>
          <w:szCs w:val="26"/>
        </w:rPr>
        <w:t xml:space="preserve">, </w:t>
      </w:r>
      <w:r w:rsidR="00601022">
        <w:rPr>
          <w:sz w:val="26"/>
          <w:szCs w:val="26"/>
        </w:rPr>
        <w:t>electric</w:t>
      </w:r>
      <w:r w:rsidR="00E76295">
        <w:rPr>
          <w:sz w:val="26"/>
          <w:szCs w:val="26"/>
        </w:rPr>
        <w:t xml:space="preserve"> consumption reduction requirement</w:t>
      </w:r>
      <w:r w:rsidR="00892C8F">
        <w:rPr>
          <w:sz w:val="26"/>
          <w:szCs w:val="26"/>
        </w:rPr>
        <w:t xml:space="preserve"> in Section 2806.1(c)(</w:t>
      </w:r>
      <w:r w:rsidR="00923266">
        <w:rPr>
          <w:sz w:val="26"/>
          <w:szCs w:val="26"/>
        </w:rPr>
        <w:t>3</w:t>
      </w:r>
      <w:r w:rsidR="00892C8F">
        <w:rPr>
          <w:sz w:val="26"/>
          <w:szCs w:val="26"/>
        </w:rPr>
        <w:t>) of the Pennsylvania Public Utility Code, 66 Pa.</w:t>
      </w:r>
      <w:r w:rsidR="005F20BE">
        <w:rPr>
          <w:sz w:val="26"/>
          <w:szCs w:val="26"/>
        </w:rPr>
        <w:t xml:space="preserve"> </w:t>
      </w:r>
      <w:r w:rsidR="00892C8F">
        <w:rPr>
          <w:sz w:val="26"/>
          <w:szCs w:val="26"/>
        </w:rPr>
        <w:t>C.S. § 2806.1(c)(</w:t>
      </w:r>
      <w:r w:rsidR="00923266">
        <w:rPr>
          <w:sz w:val="26"/>
          <w:szCs w:val="26"/>
        </w:rPr>
        <w:t>3</w:t>
      </w:r>
      <w:r w:rsidR="00892C8F">
        <w:rPr>
          <w:sz w:val="26"/>
          <w:szCs w:val="26"/>
        </w:rPr>
        <w:t>)</w:t>
      </w:r>
      <w:r w:rsidR="00E76295">
        <w:rPr>
          <w:sz w:val="26"/>
          <w:szCs w:val="26"/>
        </w:rPr>
        <w:t xml:space="preserve">.  </w:t>
      </w:r>
    </w:p>
    <w:p w:rsidR="00543ED4" w:rsidRDefault="00543ED4" w:rsidP="009E045B">
      <w:pPr>
        <w:spacing w:line="360" w:lineRule="auto"/>
        <w:ind w:firstLine="720"/>
        <w:rPr>
          <w:sz w:val="26"/>
          <w:szCs w:val="26"/>
        </w:rPr>
      </w:pPr>
    </w:p>
    <w:p w:rsidR="00BD4CF4" w:rsidRPr="009E045B" w:rsidRDefault="009D3C22" w:rsidP="009E045B">
      <w:pPr>
        <w:spacing w:line="360" w:lineRule="auto"/>
        <w:ind w:firstLine="720"/>
        <w:rPr>
          <w:sz w:val="26"/>
          <w:szCs w:val="26"/>
        </w:rPr>
      </w:pPr>
      <w:r>
        <w:rPr>
          <w:sz w:val="26"/>
          <w:szCs w:val="26"/>
        </w:rPr>
        <w:lastRenderedPageBreak/>
        <w:t>4</w:t>
      </w:r>
      <w:r w:rsidR="00BD4CF4">
        <w:rPr>
          <w:sz w:val="26"/>
          <w:szCs w:val="26"/>
        </w:rPr>
        <w:t>.</w:t>
      </w:r>
      <w:r w:rsidR="00BD4CF4">
        <w:rPr>
          <w:sz w:val="26"/>
          <w:szCs w:val="26"/>
        </w:rPr>
        <w:tab/>
        <w:t xml:space="preserve">That the Commission deems Duquesne Light Company, Metropolitan Edison Company, PECO Energy Company, Pennsylvania Electric Company, </w:t>
      </w:r>
      <w:r w:rsidR="003A5121">
        <w:rPr>
          <w:sz w:val="26"/>
          <w:szCs w:val="26"/>
        </w:rPr>
        <w:t>Pennsylvania</w:t>
      </w:r>
      <w:r w:rsidR="00C60CE1">
        <w:rPr>
          <w:sz w:val="26"/>
          <w:szCs w:val="26"/>
        </w:rPr>
        <w:t xml:space="preserve"> Power Company, </w:t>
      </w:r>
      <w:r w:rsidR="00BD4CF4">
        <w:rPr>
          <w:sz w:val="26"/>
          <w:szCs w:val="26"/>
        </w:rPr>
        <w:t>PPL Electric Utilities Corporation and West Penn Power Company are in compliance with the requirement</w:t>
      </w:r>
      <w:r w:rsidR="00BD4CF4" w:rsidRPr="00BD4CF4">
        <w:rPr>
          <w:sz w:val="26"/>
          <w:szCs w:val="26"/>
        </w:rPr>
        <w:t xml:space="preserve"> </w:t>
      </w:r>
      <w:r w:rsidR="00BD4CF4">
        <w:rPr>
          <w:sz w:val="26"/>
          <w:szCs w:val="26"/>
        </w:rPr>
        <w:t>to obtain a minimum of ten percent of the required reductions in electric consumption from units of Federal, State and local government, including municipalities, school districts, institutions of higher education and nonprofit entities in Section 2806.1(b)(1)(</w:t>
      </w:r>
      <w:proofErr w:type="spellStart"/>
      <w:r w:rsidR="00BD4CF4">
        <w:rPr>
          <w:sz w:val="26"/>
          <w:szCs w:val="26"/>
        </w:rPr>
        <w:t>i</w:t>
      </w:r>
      <w:proofErr w:type="spellEnd"/>
      <w:r w:rsidR="00BD4CF4">
        <w:rPr>
          <w:sz w:val="26"/>
          <w:szCs w:val="26"/>
        </w:rPr>
        <w:t>)(B) of the Pennsylvania Public Utility Code, 66 Pa.</w:t>
      </w:r>
      <w:r w:rsidR="005F20BE">
        <w:rPr>
          <w:sz w:val="26"/>
          <w:szCs w:val="26"/>
        </w:rPr>
        <w:t xml:space="preserve"> </w:t>
      </w:r>
      <w:r w:rsidR="00BD4CF4">
        <w:rPr>
          <w:sz w:val="26"/>
          <w:szCs w:val="26"/>
        </w:rPr>
        <w:t>C.S. § 2806.1(b)(1)(</w:t>
      </w:r>
      <w:proofErr w:type="spellStart"/>
      <w:r w:rsidR="00BD4CF4">
        <w:rPr>
          <w:sz w:val="26"/>
          <w:szCs w:val="26"/>
        </w:rPr>
        <w:t>i</w:t>
      </w:r>
      <w:proofErr w:type="spellEnd"/>
      <w:r w:rsidR="00BD4CF4">
        <w:rPr>
          <w:sz w:val="26"/>
          <w:szCs w:val="26"/>
        </w:rPr>
        <w:t xml:space="preserve">)(B).  </w:t>
      </w:r>
    </w:p>
    <w:p w:rsidR="009979F0" w:rsidRDefault="009979F0" w:rsidP="00314829">
      <w:pPr>
        <w:spacing w:line="360" w:lineRule="auto"/>
        <w:ind w:firstLine="720"/>
        <w:rPr>
          <w:sz w:val="26"/>
          <w:szCs w:val="26"/>
        </w:rPr>
      </w:pPr>
    </w:p>
    <w:p w:rsidR="00BD4CF4" w:rsidRDefault="00C60CE1" w:rsidP="00314829">
      <w:pPr>
        <w:spacing w:line="360" w:lineRule="auto"/>
        <w:ind w:firstLine="720"/>
        <w:rPr>
          <w:sz w:val="26"/>
          <w:szCs w:val="26"/>
        </w:rPr>
      </w:pPr>
      <w:r>
        <w:rPr>
          <w:sz w:val="26"/>
          <w:szCs w:val="26"/>
        </w:rPr>
        <w:t>5</w:t>
      </w:r>
      <w:r w:rsidR="00BD4CF4">
        <w:rPr>
          <w:sz w:val="26"/>
          <w:szCs w:val="26"/>
        </w:rPr>
        <w:t>.</w:t>
      </w:r>
      <w:r w:rsidR="00BD4CF4">
        <w:rPr>
          <w:sz w:val="26"/>
          <w:szCs w:val="26"/>
        </w:rPr>
        <w:tab/>
        <w:t>That the Commission deems Duquesne Light Company, Metropolitan Edison Company, PECO Energy Company, Pennsylvania Electric Company, Pennsylvania Power Company, PPL Electric Utilities Corporation and West Penn Power Company are in compliance with the requirement</w:t>
      </w:r>
      <w:r w:rsidR="00BD4CF4" w:rsidRPr="00BD4CF4">
        <w:rPr>
          <w:sz w:val="26"/>
          <w:szCs w:val="26"/>
        </w:rPr>
        <w:t xml:space="preserve"> </w:t>
      </w:r>
      <w:r w:rsidR="00BD4CF4">
        <w:rPr>
          <w:sz w:val="26"/>
          <w:szCs w:val="26"/>
        </w:rPr>
        <w:t>to include specific energy efficiency measures for households at or below 150% of the Federal poverty income guidelines in proportion to those households’ share of the total energy usage in Section 2806.1(b)(1)(</w:t>
      </w:r>
      <w:proofErr w:type="spellStart"/>
      <w:r w:rsidR="00BD4CF4">
        <w:rPr>
          <w:sz w:val="26"/>
          <w:szCs w:val="26"/>
        </w:rPr>
        <w:t>i</w:t>
      </w:r>
      <w:proofErr w:type="spellEnd"/>
      <w:r w:rsidR="00BD4CF4">
        <w:rPr>
          <w:sz w:val="26"/>
          <w:szCs w:val="26"/>
        </w:rPr>
        <w:t>)(G) of the Pennsylvania Public Utility Code, 66 Pa.</w:t>
      </w:r>
      <w:r w:rsidR="005F20BE">
        <w:rPr>
          <w:sz w:val="26"/>
          <w:szCs w:val="26"/>
        </w:rPr>
        <w:t xml:space="preserve"> </w:t>
      </w:r>
      <w:r w:rsidR="00BD4CF4">
        <w:rPr>
          <w:sz w:val="26"/>
          <w:szCs w:val="26"/>
        </w:rPr>
        <w:t>C.S. §</w:t>
      </w:r>
      <w:r w:rsidR="003A4F6B">
        <w:rPr>
          <w:sz w:val="26"/>
          <w:szCs w:val="26"/>
        </w:rPr>
        <w:t> </w:t>
      </w:r>
      <w:r w:rsidR="00BD4CF4">
        <w:rPr>
          <w:sz w:val="26"/>
          <w:szCs w:val="26"/>
        </w:rPr>
        <w:t>2806.1(b)(1)(</w:t>
      </w:r>
      <w:proofErr w:type="spellStart"/>
      <w:r w:rsidR="00BD4CF4">
        <w:rPr>
          <w:sz w:val="26"/>
          <w:szCs w:val="26"/>
        </w:rPr>
        <w:t>i</w:t>
      </w:r>
      <w:proofErr w:type="spellEnd"/>
      <w:r w:rsidR="00BD4CF4">
        <w:rPr>
          <w:sz w:val="26"/>
          <w:szCs w:val="26"/>
        </w:rPr>
        <w:t xml:space="preserve">)(G).  </w:t>
      </w:r>
    </w:p>
    <w:p w:rsidR="00D14F60" w:rsidRDefault="00D14F60">
      <w:pPr>
        <w:overflowPunct/>
        <w:autoSpaceDE/>
        <w:autoSpaceDN/>
        <w:adjustRightInd/>
        <w:textAlignment w:val="auto"/>
        <w:rPr>
          <w:sz w:val="26"/>
          <w:szCs w:val="26"/>
        </w:rPr>
      </w:pPr>
    </w:p>
    <w:p w:rsidR="00F73E34" w:rsidRDefault="00F73E34" w:rsidP="00314829">
      <w:pPr>
        <w:spacing w:line="360" w:lineRule="auto"/>
        <w:ind w:firstLine="720"/>
        <w:rPr>
          <w:sz w:val="26"/>
          <w:szCs w:val="26"/>
        </w:rPr>
      </w:pPr>
      <w:r>
        <w:rPr>
          <w:sz w:val="26"/>
          <w:szCs w:val="26"/>
        </w:rPr>
        <w:t>6.</w:t>
      </w:r>
      <w:r>
        <w:rPr>
          <w:sz w:val="26"/>
          <w:szCs w:val="26"/>
        </w:rPr>
        <w:tab/>
        <w:t xml:space="preserve">That the Commission deems Duquesne Light Company, Metropolitan Edison Company, PECO Energy Company, Pennsylvania Electric Company, Pennsylvania Power Company, PPL Electric Utilities Corporation and West Penn Power Company </w:t>
      </w:r>
      <w:proofErr w:type="gramStart"/>
      <w:r>
        <w:rPr>
          <w:sz w:val="26"/>
          <w:szCs w:val="26"/>
        </w:rPr>
        <w:t>are in compliance with</w:t>
      </w:r>
      <w:proofErr w:type="gramEnd"/>
      <w:r>
        <w:rPr>
          <w:sz w:val="26"/>
          <w:szCs w:val="26"/>
        </w:rPr>
        <w:t xml:space="preserve"> the requirement</w:t>
      </w:r>
      <w:r w:rsidRPr="00BD4CF4">
        <w:rPr>
          <w:sz w:val="26"/>
          <w:szCs w:val="26"/>
        </w:rPr>
        <w:t xml:space="preserve"> </w:t>
      </w:r>
      <w:r>
        <w:rPr>
          <w:sz w:val="26"/>
          <w:szCs w:val="26"/>
        </w:rPr>
        <w:t>to obtain a minimum of four-and-a-half percent (4.5%) of its consumption reduction requirements from</w:t>
      </w:r>
      <w:r w:rsidRPr="00F73E34">
        <w:rPr>
          <w:sz w:val="26"/>
          <w:szCs w:val="26"/>
        </w:rPr>
        <w:t xml:space="preserve"> </w:t>
      </w:r>
      <w:r>
        <w:rPr>
          <w:sz w:val="26"/>
          <w:szCs w:val="26"/>
        </w:rPr>
        <w:t xml:space="preserve">households at or below 150% of the Federal poverty income guidelines. </w:t>
      </w:r>
      <w:r w:rsidR="003A4F6B">
        <w:rPr>
          <w:sz w:val="26"/>
          <w:szCs w:val="26"/>
        </w:rPr>
        <w:t xml:space="preserve"> </w:t>
      </w:r>
    </w:p>
    <w:p w:rsidR="008B643C" w:rsidRDefault="008B643C" w:rsidP="00314829">
      <w:pPr>
        <w:spacing w:line="360" w:lineRule="auto"/>
        <w:ind w:firstLine="720"/>
        <w:rPr>
          <w:sz w:val="26"/>
          <w:szCs w:val="26"/>
        </w:rPr>
      </w:pPr>
    </w:p>
    <w:p w:rsidR="00BD4CF4" w:rsidRDefault="00F73E34" w:rsidP="00314829">
      <w:pPr>
        <w:spacing w:line="360" w:lineRule="auto"/>
        <w:ind w:firstLine="720"/>
        <w:rPr>
          <w:sz w:val="26"/>
          <w:szCs w:val="26"/>
        </w:rPr>
      </w:pPr>
      <w:r>
        <w:rPr>
          <w:sz w:val="26"/>
          <w:szCs w:val="26"/>
        </w:rPr>
        <w:t>7</w:t>
      </w:r>
      <w:r w:rsidR="00BD4CF4">
        <w:rPr>
          <w:sz w:val="26"/>
          <w:szCs w:val="26"/>
        </w:rPr>
        <w:t>.</w:t>
      </w:r>
      <w:r w:rsidR="00BD4CF4">
        <w:rPr>
          <w:sz w:val="26"/>
          <w:szCs w:val="26"/>
        </w:rPr>
        <w:tab/>
        <w:t>That the verified Phase I</w:t>
      </w:r>
      <w:r w:rsidR="00923266">
        <w:rPr>
          <w:sz w:val="26"/>
          <w:szCs w:val="26"/>
        </w:rPr>
        <w:t>I</w:t>
      </w:r>
      <w:r w:rsidR="00BD4CF4">
        <w:rPr>
          <w:sz w:val="26"/>
          <w:szCs w:val="26"/>
        </w:rPr>
        <w:t xml:space="preserve"> carryover </w:t>
      </w:r>
      <w:r w:rsidR="00B46654">
        <w:rPr>
          <w:sz w:val="26"/>
          <w:szCs w:val="26"/>
        </w:rPr>
        <w:t xml:space="preserve">and excess </w:t>
      </w:r>
      <w:r w:rsidR="00BD4CF4">
        <w:rPr>
          <w:sz w:val="26"/>
          <w:szCs w:val="26"/>
        </w:rPr>
        <w:t xml:space="preserve">savings validated by the Statewide Evaluator in the </w:t>
      </w:r>
      <w:r w:rsidR="004F1E72">
        <w:rPr>
          <w:sz w:val="26"/>
          <w:szCs w:val="26"/>
        </w:rPr>
        <w:t xml:space="preserve">Amended </w:t>
      </w:r>
      <w:r w:rsidR="00BD4CF4">
        <w:rPr>
          <w:sz w:val="26"/>
          <w:szCs w:val="26"/>
        </w:rPr>
        <w:t>Phase I</w:t>
      </w:r>
      <w:r w:rsidR="00923266">
        <w:rPr>
          <w:sz w:val="26"/>
          <w:szCs w:val="26"/>
        </w:rPr>
        <w:t>I</w:t>
      </w:r>
      <w:r w:rsidR="00BD4CF4">
        <w:rPr>
          <w:sz w:val="26"/>
          <w:szCs w:val="26"/>
        </w:rPr>
        <w:t xml:space="preserve"> Final Annual Report for Duquesne Light Company, Metropolitan Edison Company, Pennsylvania Electric Company, Pennsylvania Power Company, and West Penn Power Company as stated in this Order shall be </w:t>
      </w:r>
      <w:r w:rsidR="00314829">
        <w:rPr>
          <w:sz w:val="26"/>
          <w:szCs w:val="26"/>
        </w:rPr>
        <w:t xml:space="preserve">credited </w:t>
      </w:r>
      <w:r w:rsidR="00314829">
        <w:rPr>
          <w:sz w:val="26"/>
          <w:szCs w:val="26"/>
        </w:rPr>
        <w:lastRenderedPageBreak/>
        <w:t>against each electric distribution company’s Phase II</w:t>
      </w:r>
      <w:r w:rsidR="00C60CE1">
        <w:rPr>
          <w:sz w:val="26"/>
          <w:szCs w:val="26"/>
        </w:rPr>
        <w:t>I</w:t>
      </w:r>
      <w:r w:rsidR="00314829">
        <w:rPr>
          <w:sz w:val="26"/>
          <w:szCs w:val="26"/>
        </w:rPr>
        <w:t xml:space="preserve"> electric consumption</w:t>
      </w:r>
      <w:r w:rsidR="00C60CE1">
        <w:rPr>
          <w:sz w:val="26"/>
          <w:szCs w:val="26"/>
        </w:rPr>
        <w:t>, G/E/NP, and low</w:t>
      </w:r>
      <w:r w:rsidR="00643511">
        <w:rPr>
          <w:sz w:val="26"/>
          <w:szCs w:val="26"/>
        </w:rPr>
        <w:noBreakHyphen/>
      </w:r>
      <w:r w:rsidR="00C60CE1">
        <w:rPr>
          <w:sz w:val="26"/>
          <w:szCs w:val="26"/>
        </w:rPr>
        <w:t>income</w:t>
      </w:r>
      <w:r w:rsidR="00314829">
        <w:rPr>
          <w:sz w:val="26"/>
          <w:szCs w:val="26"/>
        </w:rPr>
        <w:t xml:space="preserve"> reduction requirement</w:t>
      </w:r>
      <w:r w:rsidR="00C60CE1">
        <w:rPr>
          <w:sz w:val="26"/>
          <w:szCs w:val="26"/>
        </w:rPr>
        <w:t>s</w:t>
      </w:r>
      <w:r w:rsidR="00314829">
        <w:rPr>
          <w:sz w:val="26"/>
          <w:szCs w:val="26"/>
        </w:rPr>
        <w:t>.</w:t>
      </w:r>
    </w:p>
    <w:p w:rsidR="004F1E72" w:rsidRDefault="004F1E72" w:rsidP="00314829">
      <w:pPr>
        <w:spacing w:line="360" w:lineRule="auto"/>
        <w:ind w:firstLine="720"/>
        <w:rPr>
          <w:sz w:val="26"/>
          <w:szCs w:val="26"/>
        </w:rPr>
      </w:pPr>
    </w:p>
    <w:p w:rsidR="004F1E72" w:rsidRDefault="004F1E72" w:rsidP="00314829">
      <w:pPr>
        <w:spacing w:line="360" w:lineRule="auto"/>
        <w:ind w:firstLine="720"/>
        <w:rPr>
          <w:sz w:val="26"/>
          <w:szCs w:val="26"/>
        </w:rPr>
      </w:pPr>
      <w:r>
        <w:rPr>
          <w:sz w:val="26"/>
          <w:szCs w:val="26"/>
        </w:rPr>
        <w:t>8.</w:t>
      </w:r>
      <w:r>
        <w:rPr>
          <w:sz w:val="26"/>
          <w:szCs w:val="26"/>
        </w:rPr>
        <w:tab/>
        <w:t xml:space="preserve">That the Petition of Duquesne Light Company for Reconsideration Nunc Pro </w:t>
      </w:r>
      <w:proofErr w:type="spellStart"/>
      <w:r>
        <w:rPr>
          <w:sz w:val="26"/>
          <w:szCs w:val="26"/>
        </w:rPr>
        <w:t>Tunc</w:t>
      </w:r>
      <w:proofErr w:type="spellEnd"/>
      <w:r>
        <w:rPr>
          <w:sz w:val="26"/>
          <w:szCs w:val="26"/>
        </w:rPr>
        <w:t xml:space="preserve"> of Energy Efficiency and Conservation Program Compliance Order is granted as set forth in this Order.</w:t>
      </w:r>
    </w:p>
    <w:p w:rsidR="004F1E72" w:rsidRDefault="004F1E72" w:rsidP="00314829">
      <w:pPr>
        <w:spacing w:line="360" w:lineRule="auto"/>
        <w:ind w:firstLine="720"/>
        <w:rPr>
          <w:sz w:val="26"/>
          <w:szCs w:val="26"/>
        </w:rPr>
      </w:pPr>
    </w:p>
    <w:p w:rsidR="004F1E72" w:rsidRDefault="004F1E72" w:rsidP="00314829">
      <w:pPr>
        <w:spacing w:line="360" w:lineRule="auto"/>
        <w:ind w:firstLine="720"/>
        <w:rPr>
          <w:sz w:val="26"/>
          <w:szCs w:val="26"/>
        </w:rPr>
      </w:pPr>
      <w:r>
        <w:rPr>
          <w:sz w:val="26"/>
          <w:szCs w:val="26"/>
        </w:rPr>
        <w:t>9.</w:t>
      </w:r>
      <w:r>
        <w:rPr>
          <w:sz w:val="26"/>
          <w:szCs w:val="26"/>
        </w:rPr>
        <w:tab/>
        <w:t>That the Petition of PECO Energy Company Regarding Initial Determinations in the Phase II Compliance Order is denied.</w:t>
      </w:r>
    </w:p>
    <w:p w:rsidR="00174C64" w:rsidRDefault="00174C64" w:rsidP="00314829">
      <w:pPr>
        <w:spacing w:line="360" w:lineRule="auto"/>
        <w:ind w:firstLine="720"/>
        <w:rPr>
          <w:sz w:val="26"/>
          <w:szCs w:val="26"/>
        </w:rPr>
      </w:pPr>
    </w:p>
    <w:p w:rsidR="00174C64" w:rsidRDefault="00174C64" w:rsidP="00314829">
      <w:pPr>
        <w:spacing w:line="360" w:lineRule="auto"/>
        <w:ind w:firstLine="720"/>
        <w:rPr>
          <w:sz w:val="26"/>
          <w:szCs w:val="26"/>
        </w:rPr>
      </w:pPr>
      <w:r>
        <w:rPr>
          <w:sz w:val="26"/>
          <w:szCs w:val="26"/>
        </w:rPr>
        <w:t>10.</w:t>
      </w:r>
      <w:r>
        <w:rPr>
          <w:sz w:val="26"/>
          <w:szCs w:val="26"/>
        </w:rPr>
        <w:tab/>
        <w:t>That the Petition of PPL Electric Utilities Corporation for Reconsideration in the Energy Efficiency and Conservation Program proceeding is denied.</w:t>
      </w:r>
    </w:p>
    <w:p w:rsidR="003A7658" w:rsidRPr="00522FC0" w:rsidRDefault="003A7658" w:rsidP="003A7658">
      <w:pPr>
        <w:spacing w:line="360" w:lineRule="auto"/>
        <w:rPr>
          <w:sz w:val="26"/>
          <w:szCs w:val="26"/>
        </w:rPr>
      </w:pPr>
    </w:p>
    <w:p w:rsidR="00F73E34" w:rsidRDefault="00174C64" w:rsidP="00314829">
      <w:pPr>
        <w:spacing w:after="120" w:line="360" w:lineRule="auto"/>
        <w:ind w:firstLine="720"/>
        <w:rPr>
          <w:sz w:val="26"/>
          <w:szCs w:val="26"/>
        </w:rPr>
      </w:pPr>
      <w:r>
        <w:rPr>
          <w:sz w:val="26"/>
          <w:szCs w:val="26"/>
        </w:rPr>
        <w:t>11</w:t>
      </w:r>
      <w:r w:rsidR="003A7658" w:rsidRPr="00522FC0">
        <w:rPr>
          <w:sz w:val="26"/>
          <w:szCs w:val="26"/>
        </w:rPr>
        <w:t>.</w:t>
      </w:r>
      <w:r w:rsidR="003A7658" w:rsidRPr="00522FC0">
        <w:rPr>
          <w:sz w:val="26"/>
          <w:szCs w:val="26"/>
        </w:rPr>
        <w:tab/>
      </w:r>
      <w:r w:rsidR="003A7658" w:rsidRPr="00B47E2A">
        <w:rPr>
          <w:sz w:val="26"/>
          <w:szCs w:val="26"/>
        </w:rPr>
        <w:t xml:space="preserve">That </w:t>
      </w:r>
      <w:r w:rsidR="00AA5578">
        <w:rPr>
          <w:sz w:val="26"/>
          <w:szCs w:val="26"/>
        </w:rPr>
        <w:t>this Order and</w:t>
      </w:r>
      <w:r w:rsidR="003A7658">
        <w:rPr>
          <w:sz w:val="26"/>
          <w:szCs w:val="26"/>
        </w:rPr>
        <w:t xml:space="preserve"> the </w:t>
      </w:r>
      <w:r w:rsidR="001B0695">
        <w:rPr>
          <w:sz w:val="26"/>
          <w:szCs w:val="26"/>
        </w:rPr>
        <w:t xml:space="preserve">Statewide Evaluator’s </w:t>
      </w:r>
      <w:r w:rsidR="004F1E72">
        <w:rPr>
          <w:sz w:val="26"/>
          <w:szCs w:val="26"/>
        </w:rPr>
        <w:t xml:space="preserve">Amended </w:t>
      </w:r>
      <w:r w:rsidR="003A7658">
        <w:rPr>
          <w:sz w:val="26"/>
          <w:szCs w:val="26"/>
        </w:rPr>
        <w:t xml:space="preserve">Phase </w:t>
      </w:r>
      <w:r w:rsidR="00C60CE1">
        <w:rPr>
          <w:sz w:val="26"/>
          <w:szCs w:val="26"/>
        </w:rPr>
        <w:t>I</w:t>
      </w:r>
      <w:r w:rsidR="003A7658">
        <w:rPr>
          <w:sz w:val="26"/>
          <w:szCs w:val="26"/>
        </w:rPr>
        <w:t>I Fi</w:t>
      </w:r>
      <w:r w:rsidR="00A26883">
        <w:rPr>
          <w:sz w:val="26"/>
          <w:szCs w:val="26"/>
        </w:rPr>
        <w:t xml:space="preserve">nal Annual Report </w:t>
      </w:r>
      <w:r w:rsidR="00AA5578">
        <w:rPr>
          <w:sz w:val="26"/>
          <w:szCs w:val="26"/>
        </w:rPr>
        <w:t xml:space="preserve">be </w:t>
      </w:r>
      <w:r w:rsidR="003A7658">
        <w:rPr>
          <w:sz w:val="26"/>
          <w:szCs w:val="26"/>
        </w:rPr>
        <w:t xml:space="preserve">published on the Commission’s public website at </w:t>
      </w:r>
      <w:hyperlink r:id="rId8" w:history="1">
        <w:r w:rsidR="003A7658" w:rsidRPr="00A65947">
          <w:rPr>
            <w:rStyle w:val="Hyperlink"/>
            <w:sz w:val="26"/>
            <w:szCs w:val="26"/>
          </w:rPr>
          <w:t>http://www.puc.pa.gov/filing_resources/issues_laws_regulations/act_129_information/energy_efficiency_and_conservation_ee_c_program.aspx</w:t>
        </w:r>
      </w:hyperlink>
      <w:r w:rsidR="003A7658">
        <w:rPr>
          <w:sz w:val="26"/>
          <w:szCs w:val="26"/>
        </w:rPr>
        <w:t xml:space="preserve">. </w:t>
      </w:r>
    </w:p>
    <w:p w:rsidR="00F71395" w:rsidRDefault="00F71395" w:rsidP="00314829">
      <w:pPr>
        <w:spacing w:after="120" w:line="360" w:lineRule="auto"/>
        <w:ind w:firstLine="720"/>
        <w:rPr>
          <w:sz w:val="26"/>
          <w:szCs w:val="26"/>
        </w:rPr>
      </w:pPr>
    </w:p>
    <w:p w:rsidR="00F71395" w:rsidRDefault="00F71395">
      <w:pPr>
        <w:overflowPunct/>
        <w:autoSpaceDE/>
        <w:autoSpaceDN/>
        <w:adjustRightInd/>
        <w:textAlignment w:val="auto"/>
        <w:rPr>
          <w:sz w:val="26"/>
          <w:szCs w:val="26"/>
        </w:rPr>
      </w:pPr>
      <w:r>
        <w:rPr>
          <w:sz w:val="26"/>
          <w:szCs w:val="26"/>
        </w:rPr>
        <w:br w:type="page"/>
      </w:r>
    </w:p>
    <w:p w:rsidR="003A7658" w:rsidRPr="00DB219C" w:rsidRDefault="00174C64" w:rsidP="00314829">
      <w:pPr>
        <w:spacing w:after="120" w:line="360" w:lineRule="auto"/>
        <w:ind w:firstLine="720"/>
        <w:rPr>
          <w:sz w:val="26"/>
          <w:szCs w:val="26"/>
        </w:rPr>
      </w:pPr>
      <w:r>
        <w:rPr>
          <w:sz w:val="26"/>
          <w:szCs w:val="26"/>
        </w:rPr>
        <w:lastRenderedPageBreak/>
        <w:t>12</w:t>
      </w:r>
      <w:r w:rsidR="003A7658" w:rsidRPr="00522FC0">
        <w:rPr>
          <w:sz w:val="26"/>
          <w:szCs w:val="26"/>
        </w:rPr>
        <w:t>.</w:t>
      </w:r>
      <w:r w:rsidR="003A7658" w:rsidRPr="00522FC0">
        <w:rPr>
          <w:sz w:val="26"/>
          <w:szCs w:val="26"/>
        </w:rPr>
        <w:tab/>
      </w:r>
      <w:r w:rsidR="003A7658" w:rsidRPr="00DB219C">
        <w:rPr>
          <w:sz w:val="26"/>
          <w:szCs w:val="26"/>
        </w:rPr>
        <w:t xml:space="preserve">That the contact person for technical issues related to this Order and the </w:t>
      </w:r>
      <w:r w:rsidR="001B0695" w:rsidRPr="00DB219C">
        <w:rPr>
          <w:sz w:val="26"/>
          <w:szCs w:val="26"/>
        </w:rPr>
        <w:t xml:space="preserve">Statewide Evaluator’s </w:t>
      </w:r>
      <w:r w:rsidR="00547217">
        <w:rPr>
          <w:sz w:val="26"/>
          <w:szCs w:val="26"/>
        </w:rPr>
        <w:t xml:space="preserve">Amended </w:t>
      </w:r>
      <w:r w:rsidR="003A7658" w:rsidRPr="00DB219C">
        <w:rPr>
          <w:sz w:val="26"/>
          <w:szCs w:val="26"/>
        </w:rPr>
        <w:t>Phase I</w:t>
      </w:r>
      <w:r w:rsidR="00C60CE1" w:rsidRPr="00DB219C">
        <w:rPr>
          <w:sz w:val="26"/>
          <w:szCs w:val="26"/>
        </w:rPr>
        <w:t>I</w:t>
      </w:r>
      <w:r w:rsidR="003A7658" w:rsidRPr="00DB219C">
        <w:rPr>
          <w:sz w:val="26"/>
          <w:szCs w:val="26"/>
        </w:rPr>
        <w:t xml:space="preserve"> Final Annual Report is</w:t>
      </w:r>
      <w:r w:rsidR="004360EA" w:rsidRPr="00DB219C">
        <w:rPr>
          <w:sz w:val="26"/>
          <w:szCs w:val="26"/>
        </w:rPr>
        <w:t xml:space="preserve"> Joseph M. Sherrick</w:t>
      </w:r>
      <w:r w:rsidR="003A7658" w:rsidRPr="00DB219C">
        <w:rPr>
          <w:sz w:val="26"/>
          <w:szCs w:val="26"/>
        </w:rPr>
        <w:t>, Bureau of Technical Utility Services, 717-</w:t>
      </w:r>
      <w:r w:rsidR="004360EA" w:rsidRPr="00DB219C">
        <w:rPr>
          <w:sz w:val="26"/>
          <w:szCs w:val="26"/>
        </w:rPr>
        <w:t>787-5369</w:t>
      </w:r>
      <w:r w:rsidR="003365CC" w:rsidRPr="00DB219C">
        <w:rPr>
          <w:sz w:val="26"/>
          <w:szCs w:val="26"/>
        </w:rPr>
        <w:t xml:space="preserve"> </w:t>
      </w:r>
      <w:r w:rsidR="003A7658" w:rsidRPr="00DB219C">
        <w:rPr>
          <w:sz w:val="26"/>
          <w:szCs w:val="26"/>
        </w:rPr>
        <w:t>or</w:t>
      </w:r>
      <w:r w:rsidR="003365CC" w:rsidRPr="00DB219C">
        <w:rPr>
          <w:sz w:val="26"/>
          <w:szCs w:val="26"/>
        </w:rPr>
        <w:t xml:space="preserve"> </w:t>
      </w:r>
      <w:hyperlink r:id="rId9" w:history="1">
        <w:r w:rsidR="003365CC" w:rsidRPr="00DB219C">
          <w:rPr>
            <w:rStyle w:val="Hyperlink"/>
            <w:sz w:val="26"/>
            <w:szCs w:val="26"/>
          </w:rPr>
          <w:t>josherrick@pa.gov</w:t>
        </w:r>
      </w:hyperlink>
      <w:r w:rsidR="003365CC" w:rsidRPr="00DB219C">
        <w:rPr>
          <w:sz w:val="26"/>
          <w:szCs w:val="26"/>
        </w:rPr>
        <w:t xml:space="preserve">. </w:t>
      </w:r>
      <w:r w:rsidR="003A7658" w:rsidRPr="00DB219C">
        <w:rPr>
          <w:sz w:val="26"/>
          <w:szCs w:val="26"/>
        </w:rPr>
        <w:t xml:space="preserve">The contact person for legal and process issues related to this Order is Kriss Brown, Law Bureau, 717-787-4518 or </w:t>
      </w:r>
      <w:hyperlink r:id="rId10" w:history="1">
        <w:r w:rsidR="003A7658" w:rsidRPr="00DB219C">
          <w:rPr>
            <w:rStyle w:val="Hyperlink"/>
            <w:sz w:val="26"/>
            <w:szCs w:val="26"/>
          </w:rPr>
          <w:t>kribrown@pa.gov</w:t>
        </w:r>
      </w:hyperlink>
      <w:r w:rsidR="003A7658" w:rsidRPr="00DB219C">
        <w:rPr>
          <w:sz w:val="26"/>
          <w:szCs w:val="26"/>
        </w:rPr>
        <w:t xml:space="preserve">.  </w:t>
      </w:r>
    </w:p>
    <w:p w:rsidR="00B3640A" w:rsidRDefault="005B6374" w:rsidP="00B3640A">
      <w:pPr>
        <w:tabs>
          <w:tab w:val="left" w:pos="4320"/>
        </w:tabs>
        <w:rPr>
          <w:sz w:val="26"/>
          <w:szCs w:val="26"/>
        </w:rPr>
      </w:pPr>
      <w:bookmarkStart w:id="3" w:name="_GoBack"/>
      <w:r w:rsidRPr="009F01BA">
        <w:rPr>
          <w:b/>
          <w:noProof/>
          <w:sz w:val="20"/>
        </w:rPr>
        <w:drawing>
          <wp:anchor distT="0" distB="0" distL="114300" distR="114300" simplePos="0" relativeHeight="251659264" behindDoc="1" locked="0" layoutInCell="1" allowOverlap="1" wp14:anchorId="2D11DD33" wp14:editId="215FB6E2">
            <wp:simplePos x="0" y="0"/>
            <wp:positionH relativeFrom="column">
              <wp:posOffset>2924175</wp:posOffset>
            </wp:positionH>
            <wp:positionV relativeFrom="paragraph">
              <wp:posOffset>75565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B3640A" w:rsidRPr="00415B77">
        <w:rPr>
          <w:sz w:val="26"/>
          <w:szCs w:val="26"/>
        </w:rPr>
        <w:tab/>
      </w:r>
      <w:r w:rsidR="00B3640A" w:rsidRPr="00415B77">
        <w:rPr>
          <w:sz w:val="26"/>
          <w:szCs w:val="26"/>
        </w:rPr>
        <w:tab/>
      </w:r>
    </w:p>
    <w:p w:rsidR="00B3640A" w:rsidRPr="00415B77" w:rsidRDefault="00B3640A" w:rsidP="00B3640A">
      <w:pPr>
        <w:pStyle w:val="p17"/>
        <w:ind w:left="5057"/>
        <w:rPr>
          <w:b/>
          <w:bCs/>
          <w:sz w:val="26"/>
          <w:szCs w:val="26"/>
        </w:rPr>
      </w:pPr>
      <w:r w:rsidRPr="00415B77">
        <w:rPr>
          <w:b/>
          <w:bCs/>
          <w:sz w:val="26"/>
          <w:szCs w:val="26"/>
        </w:rPr>
        <w:t>BY THE COMMISSION</w:t>
      </w:r>
    </w:p>
    <w:p w:rsidR="00B3640A" w:rsidRPr="00415B77" w:rsidRDefault="00B3640A" w:rsidP="00B3640A">
      <w:pPr>
        <w:tabs>
          <w:tab w:val="left" w:pos="5057"/>
        </w:tabs>
        <w:rPr>
          <w:b/>
          <w:bCs/>
          <w:sz w:val="26"/>
          <w:szCs w:val="26"/>
        </w:rPr>
      </w:pPr>
    </w:p>
    <w:p w:rsidR="00DB219C" w:rsidRDefault="00DB219C" w:rsidP="00B3640A">
      <w:pPr>
        <w:pStyle w:val="p18"/>
        <w:ind w:left="5062"/>
        <w:rPr>
          <w:sz w:val="26"/>
          <w:szCs w:val="26"/>
        </w:rPr>
      </w:pPr>
    </w:p>
    <w:p w:rsidR="004D1A2E" w:rsidRDefault="004D1A2E"/>
    <w:p w:rsidR="00B3640A" w:rsidRPr="00415B77" w:rsidRDefault="00B3640A" w:rsidP="00B3640A">
      <w:pPr>
        <w:pStyle w:val="p18"/>
        <w:ind w:left="5062"/>
        <w:rPr>
          <w:sz w:val="26"/>
          <w:szCs w:val="26"/>
        </w:rPr>
      </w:pPr>
      <w:r w:rsidRPr="00415B77">
        <w:rPr>
          <w:sz w:val="26"/>
          <w:szCs w:val="26"/>
        </w:rPr>
        <w:t>Rosemary Chiavetta</w:t>
      </w:r>
    </w:p>
    <w:p w:rsidR="00B3640A" w:rsidRPr="00415B77" w:rsidRDefault="00B3640A" w:rsidP="00B3640A">
      <w:pPr>
        <w:pStyle w:val="p18"/>
        <w:ind w:left="5062"/>
        <w:rPr>
          <w:sz w:val="26"/>
          <w:szCs w:val="26"/>
        </w:rPr>
      </w:pPr>
      <w:r w:rsidRPr="00415B77">
        <w:rPr>
          <w:sz w:val="26"/>
          <w:szCs w:val="26"/>
        </w:rPr>
        <w:t>Secretary</w:t>
      </w:r>
    </w:p>
    <w:p w:rsidR="00B3640A" w:rsidRPr="00415B77" w:rsidRDefault="00B3640A" w:rsidP="00B3640A">
      <w:pPr>
        <w:tabs>
          <w:tab w:val="left" w:pos="5062"/>
        </w:tabs>
        <w:rPr>
          <w:sz w:val="26"/>
          <w:szCs w:val="26"/>
        </w:rPr>
      </w:pPr>
    </w:p>
    <w:p w:rsidR="00D73828" w:rsidRDefault="00D73828" w:rsidP="00B3640A">
      <w:pPr>
        <w:pStyle w:val="p14"/>
        <w:rPr>
          <w:sz w:val="26"/>
          <w:szCs w:val="26"/>
        </w:rPr>
      </w:pPr>
    </w:p>
    <w:p w:rsidR="00B3640A" w:rsidRPr="00415B77" w:rsidRDefault="00B3640A" w:rsidP="00B3640A">
      <w:pPr>
        <w:pStyle w:val="p14"/>
        <w:rPr>
          <w:sz w:val="26"/>
          <w:szCs w:val="26"/>
        </w:rPr>
      </w:pPr>
      <w:r w:rsidRPr="00415B77">
        <w:rPr>
          <w:sz w:val="26"/>
          <w:szCs w:val="26"/>
        </w:rPr>
        <w:t>(SEAL)</w:t>
      </w:r>
    </w:p>
    <w:p w:rsidR="00B3640A" w:rsidRPr="00415B77" w:rsidRDefault="00B3640A" w:rsidP="00B3640A">
      <w:pPr>
        <w:tabs>
          <w:tab w:val="left" w:pos="204"/>
        </w:tabs>
        <w:rPr>
          <w:sz w:val="26"/>
          <w:szCs w:val="26"/>
        </w:rPr>
      </w:pPr>
    </w:p>
    <w:p w:rsidR="00B3640A" w:rsidRDefault="00B3640A" w:rsidP="00B3640A">
      <w:pPr>
        <w:pStyle w:val="p14"/>
        <w:rPr>
          <w:sz w:val="26"/>
          <w:szCs w:val="26"/>
        </w:rPr>
      </w:pPr>
      <w:r w:rsidRPr="00415B77">
        <w:rPr>
          <w:sz w:val="26"/>
          <w:szCs w:val="26"/>
        </w:rPr>
        <w:t xml:space="preserve">ORDER ADOPTED:  </w:t>
      </w:r>
      <w:r w:rsidR="00174C64">
        <w:rPr>
          <w:sz w:val="26"/>
          <w:szCs w:val="26"/>
        </w:rPr>
        <w:t>August 3</w:t>
      </w:r>
      <w:r w:rsidR="008E6EFD">
        <w:rPr>
          <w:sz w:val="26"/>
          <w:szCs w:val="26"/>
        </w:rPr>
        <w:t xml:space="preserve">, 2017 </w:t>
      </w:r>
    </w:p>
    <w:p w:rsidR="003E0215" w:rsidRPr="00415B77" w:rsidRDefault="003E0215" w:rsidP="00B3640A">
      <w:pPr>
        <w:pStyle w:val="p14"/>
        <w:rPr>
          <w:sz w:val="26"/>
          <w:szCs w:val="26"/>
        </w:rPr>
      </w:pPr>
    </w:p>
    <w:p w:rsidR="00D669A5" w:rsidRPr="00415B77" w:rsidRDefault="00B3640A" w:rsidP="00EC63B6">
      <w:pPr>
        <w:pStyle w:val="p14"/>
        <w:rPr>
          <w:b/>
          <w:sz w:val="26"/>
          <w:szCs w:val="26"/>
        </w:rPr>
      </w:pPr>
      <w:r w:rsidRPr="00415B77">
        <w:rPr>
          <w:sz w:val="26"/>
          <w:szCs w:val="26"/>
        </w:rPr>
        <w:t xml:space="preserve">ORDER ENTERED:  </w:t>
      </w:r>
      <w:r w:rsidR="005B6374">
        <w:rPr>
          <w:sz w:val="26"/>
          <w:szCs w:val="26"/>
        </w:rPr>
        <w:t>August 3, 2017</w:t>
      </w:r>
    </w:p>
    <w:sectPr w:rsidR="00D669A5" w:rsidRPr="00415B77" w:rsidSect="00D83182">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700" w:rsidRDefault="00D04700">
      <w:r>
        <w:separator/>
      </w:r>
    </w:p>
  </w:endnote>
  <w:endnote w:type="continuationSeparator" w:id="0">
    <w:p w:rsidR="00D04700" w:rsidRDefault="00D0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37" w:rsidRDefault="007534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3437" w:rsidRDefault="00753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37" w:rsidRPr="00EE0B71" w:rsidRDefault="00753437">
    <w:pPr>
      <w:pStyle w:val="Footer"/>
      <w:framePr w:wrap="around" w:vAnchor="text" w:hAnchor="margin" w:xAlign="center" w:y="1"/>
      <w:rPr>
        <w:rStyle w:val="PageNumber"/>
        <w:sz w:val="22"/>
        <w:szCs w:val="22"/>
      </w:rPr>
    </w:pPr>
    <w:r w:rsidRPr="00EE0B71">
      <w:rPr>
        <w:rStyle w:val="PageNumber"/>
        <w:sz w:val="22"/>
        <w:szCs w:val="22"/>
      </w:rPr>
      <w:fldChar w:fldCharType="begin"/>
    </w:r>
    <w:r w:rsidRPr="00EE0B71">
      <w:rPr>
        <w:rStyle w:val="PageNumber"/>
        <w:sz w:val="22"/>
        <w:szCs w:val="22"/>
      </w:rPr>
      <w:instrText xml:space="preserve">PAGE  </w:instrText>
    </w:r>
    <w:r w:rsidRPr="00EE0B71">
      <w:rPr>
        <w:rStyle w:val="PageNumber"/>
        <w:sz w:val="22"/>
        <w:szCs w:val="22"/>
      </w:rPr>
      <w:fldChar w:fldCharType="separate"/>
    </w:r>
    <w:r w:rsidR="005B6374">
      <w:rPr>
        <w:rStyle w:val="PageNumber"/>
        <w:noProof/>
        <w:sz w:val="22"/>
        <w:szCs w:val="22"/>
      </w:rPr>
      <w:t>45</w:t>
    </w:r>
    <w:r w:rsidRPr="00EE0B71">
      <w:rPr>
        <w:rStyle w:val="PageNumber"/>
        <w:sz w:val="22"/>
        <w:szCs w:val="22"/>
      </w:rPr>
      <w:fldChar w:fldCharType="end"/>
    </w:r>
  </w:p>
  <w:p w:rsidR="00753437" w:rsidRDefault="00753437"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700" w:rsidRDefault="00D04700">
      <w:r>
        <w:separator/>
      </w:r>
    </w:p>
  </w:footnote>
  <w:footnote w:type="continuationSeparator" w:id="0">
    <w:p w:rsidR="00D04700" w:rsidRDefault="00D04700">
      <w:r>
        <w:continuationSeparator/>
      </w:r>
    </w:p>
  </w:footnote>
  <w:footnote w:id="1">
    <w:p w:rsidR="00753437" w:rsidRPr="008C223D" w:rsidRDefault="00753437">
      <w:pPr>
        <w:pStyle w:val="FootnoteText"/>
        <w:rPr>
          <w:sz w:val="22"/>
          <w:szCs w:val="22"/>
        </w:rPr>
      </w:pPr>
      <w:r w:rsidRPr="008C223D">
        <w:rPr>
          <w:rStyle w:val="FootnoteReference"/>
          <w:sz w:val="22"/>
          <w:szCs w:val="22"/>
        </w:rPr>
        <w:footnoteRef/>
      </w:r>
      <w:r w:rsidRPr="008C223D">
        <w:rPr>
          <w:sz w:val="22"/>
          <w:szCs w:val="22"/>
        </w:rPr>
        <w:t xml:space="preserve"> The EDCs subject to the EE&amp;C Program </w:t>
      </w:r>
      <w:r>
        <w:rPr>
          <w:sz w:val="22"/>
          <w:szCs w:val="22"/>
        </w:rPr>
        <w:t xml:space="preserve">provisions </w:t>
      </w:r>
      <w:r w:rsidRPr="008C223D">
        <w:rPr>
          <w:sz w:val="22"/>
          <w:szCs w:val="22"/>
        </w:rPr>
        <w:t>are Duquesne Light Company, Metropolitan Edison Company, PECO Energy Company, Pennsylvania Electric Company, Pennsylvania Power Company, PPL Electric Utilities Corporation and West Penn Power Company.</w:t>
      </w:r>
    </w:p>
  </w:footnote>
  <w:footnote w:id="2">
    <w:p w:rsidR="00753437" w:rsidRPr="00EE0B71" w:rsidRDefault="00753437">
      <w:pPr>
        <w:pStyle w:val="FootnoteText"/>
        <w:rPr>
          <w:sz w:val="22"/>
          <w:szCs w:val="22"/>
        </w:rPr>
      </w:pPr>
      <w:r w:rsidRPr="00EE0B71">
        <w:rPr>
          <w:rStyle w:val="FootnoteReference"/>
          <w:sz w:val="22"/>
          <w:szCs w:val="22"/>
        </w:rPr>
        <w:footnoteRef/>
      </w:r>
      <w:r w:rsidRPr="00EE0B71">
        <w:rPr>
          <w:sz w:val="22"/>
          <w:szCs w:val="22"/>
        </w:rPr>
        <w:t xml:space="preserve"> GDS Associates, </w:t>
      </w:r>
      <w:r w:rsidRPr="00EE0B71">
        <w:rPr>
          <w:i/>
          <w:sz w:val="22"/>
          <w:szCs w:val="22"/>
        </w:rPr>
        <w:t>et al</w:t>
      </w:r>
      <w:r w:rsidRPr="00EE0B71">
        <w:rPr>
          <w:sz w:val="22"/>
          <w:szCs w:val="22"/>
        </w:rPr>
        <w:t>.</w:t>
      </w:r>
    </w:p>
  </w:footnote>
  <w:footnote w:id="3">
    <w:p w:rsidR="00753437" w:rsidRPr="007C0223" w:rsidRDefault="00753437">
      <w:pPr>
        <w:pStyle w:val="FootnoteText"/>
      </w:pPr>
      <w:r w:rsidRPr="00EE0B71">
        <w:rPr>
          <w:rStyle w:val="FootnoteReference"/>
          <w:sz w:val="22"/>
          <w:szCs w:val="22"/>
        </w:rPr>
        <w:footnoteRef/>
      </w:r>
      <w:r w:rsidRPr="00EE0B71">
        <w:rPr>
          <w:sz w:val="22"/>
          <w:szCs w:val="22"/>
        </w:rPr>
        <w:t xml:space="preserve"> The EDCs’ PY7 Final Annual Reports are available at </w:t>
      </w:r>
      <w:hyperlink r:id="rId1" w:history="1">
        <w:r w:rsidRPr="00EE0B71">
          <w:rPr>
            <w:rStyle w:val="Hyperlink"/>
            <w:sz w:val="22"/>
            <w:szCs w:val="22"/>
          </w:rPr>
          <w:t>http://www.puc.pa.gov/filing_resources/issues_laws_regulations/act_129_information/electric_distribution_company_act_129_reporting_requirements.aspx</w:t>
        </w:r>
      </w:hyperlink>
      <w:r w:rsidRPr="00EE0B71">
        <w:rPr>
          <w:sz w:val="22"/>
          <w:szCs w:val="22"/>
        </w:rPr>
        <w:t>.</w:t>
      </w:r>
    </w:p>
  </w:footnote>
  <w:footnote w:id="4">
    <w:p w:rsidR="00753437" w:rsidRPr="00065FB4" w:rsidRDefault="00753437">
      <w:pPr>
        <w:pStyle w:val="FootnoteText"/>
        <w:rPr>
          <w:sz w:val="22"/>
          <w:szCs w:val="22"/>
        </w:rPr>
      </w:pPr>
      <w:r w:rsidRPr="00065FB4">
        <w:rPr>
          <w:rStyle w:val="FootnoteReference"/>
          <w:sz w:val="22"/>
          <w:szCs w:val="22"/>
        </w:rPr>
        <w:footnoteRef/>
      </w:r>
      <w:r w:rsidRPr="00065FB4">
        <w:rPr>
          <w:sz w:val="22"/>
          <w:szCs w:val="22"/>
        </w:rPr>
        <w:t xml:space="preserve"> Because the Commission </w:t>
      </w:r>
      <w:r>
        <w:rPr>
          <w:sz w:val="22"/>
          <w:szCs w:val="22"/>
        </w:rPr>
        <w:t>did</w:t>
      </w:r>
      <w:r w:rsidRPr="00065FB4">
        <w:rPr>
          <w:sz w:val="22"/>
          <w:szCs w:val="22"/>
        </w:rPr>
        <w:t xml:space="preserve"> not </w:t>
      </w:r>
      <w:r>
        <w:rPr>
          <w:sz w:val="22"/>
          <w:szCs w:val="22"/>
        </w:rPr>
        <w:t>have</w:t>
      </w:r>
      <w:r w:rsidRPr="00065FB4">
        <w:rPr>
          <w:sz w:val="22"/>
          <w:szCs w:val="22"/>
        </w:rPr>
        <w:t xml:space="preserve"> information on the cost-effectiveness of the EDC’s </w:t>
      </w:r>
      <w:r>
        <w:rPr>
          <w:sz w:val="22"/>
          <w:szCs w:val="22"/>
        </w:rPr>
        <w:t>Phase I</w:t>
      </w:r>
      <w:r w:rsidRPr="00065FB4">
        <w:rPr>
          <w:sz w:val="22"/>
          <w:szCs w:val="22"/>
        </w:rPr>
        <w:t xml:space="preserve"> demand response programs </w:t>
      </w:r>
      <w:r>
        <w:rPr>
          <w:sz w:val="22"/>
          <w:szCs w:val="22"/>
        </w:rPr>
        <w:t>at the time of the Phase II Implementation Order</w:t>
      </w:r>
      <w:r w:rsidRPr="00065FB4">
        <w:rPr>
          <w:sz w:val="22"/>
          <w:szCs w:val="22"/>
        </w:rPr>
        <w:t xml:space="preserve">, </w:t>
      </w:r>
      <w:r>
        <w:rPr>
          <w:sz w:val="22"/>
          <w:szCs w:val="22"/>
        </w:rPr>
        <w:t>the Commission</w:t>
      </w:r>
      <w:r w:rsidRPr="00065FB4">
        <w:rPr>
          <w:sz w:val="22"/>
          <w:szCs w:val="22"/>
        </w:rPr>
        <w:t xml:space="preserve"> do not have the information </w:t>
      </w:r>
      <w:r>
        <w:rPr>
          <w:sz w:val="22"/>
          <w:szCs w:val="22"/>
        </w:rPr>
        <w:t xml:space="preserve">needed </w:t>
      </w:r>
      <w:r w:rsidRPr="00065FB4">
        <w:rPr>
          <w:sz w:val="22"/>
          <w:szCs w:val="22"/>
        </w:rPr>
        <w:t xml:space="preserve">to definitively determine if the </w:t>
      </w:r>
      <w:r>
        <w:rPr>
          <w:sz w:val="22"/>
          <w:szCs w:val="22"/>
        </w:rPr>
        <w:t>Phase I</w:t>
      </w:r>
      <w:r w:rsidRPr="00065FB4">
        <w:rPr>
          <w:sz w:val="22"/>
          <w:szCs w:val="22"/>
        </w:rPr>
        <w:t xml:space="preserve"> or another peak demand reduction program design </w:t>
      </w:r>
      <w:r>
        <w:rPr>
          <w:sz w:val="22"/>
          <w:szCs w:val="22"/>
        </w:rPr>
        <w:t>wa</w:t>
      </w:r>
      <w:r w:rsidRPr="00065FB4">
        <w:rPr>
          <w:sz w:val="22"/>
          <w:szCs w:val="22"/>
        </w:rPr>
        <w:t xml:space="preserve">s cost-effective, at </w:t>
      </w:r>
      <w:r>
        <w:rPr>
          <w:sz w:val="22"/>
          <w:szCs w:val="22"/>
        </w:rPr>
        <w:t>that</w:t>
      </w:r>
      <w:r w:rsidRPr="00065FB4">
        <w:rPr>
          <w:sz w:val="22"/>
          <w:szCs w:val="22"/>
        </w:rPr>
        <w:t xml:space="preserve"> time.  </w:t>
      </w:r>
      <w:r>
        <w:rPr>
          <w:sz w:val="22"/>
          <w:szCs w:val="22"/>
        </w:rPr>
        <w:t>Accordingly</w:t>
      </w:r>
      <w:r w:rsidRPr="00065FB4">
        <w:rPr>
          <w:sz w:val="22"/>
          <w:szCs w:val="22"/>
        </w:rPr>
        <w:t xml:space="preserve">, the Commission </w:t>
      </w:r>
      <w:r>
        <w:rPr>
          <w:sz w:val="22"/>
          <w:szCs w:val="22"/>
        </w:rPr>
        <w:t>did</w:t>
      </w:r>
      <w:r w:rsidRPr="00065FB4">
        <w:rPr>
          <w:sz w:val="22"/>
          <w:szCs w:val="22"/>
        </w:rPr>
        <w:t xml:space="preserve"> not set peak demand reduction targets for the Phase II EE&amp;C program period.</w:t>
      </w:r>
      <w:r>
        <w:rPr>
          <w:sz w:val="22"/>
          <w:szCs w:val="22"/>
        </w:rPr>
        <w:t xml:space="preserve">  </w:t>
      </w:r>
      <w:r w:rsidRPr="00065FB4">
        <w:rPr>
          <w:i/>
          <w:sz w:val="22"/>
          <w:szCs w:val="22"/>
        </w:rPr>
        <w:t>See</w:t>
      </w:r>
      <w:r>
        <w:rPr>
          <w:sz w:val="22"/>
          <w:szCs w:val="22"/>
        </w:rPr>
        <w:t xml:space="preserve"> </w:t>
      </w:r>
      <w:r w:rsidRPr="00065FB4">
        <w:rPr>
          <w:i/>
          <w:sz w:val="22"/>
          <w:szCs w:val="22"/>
        </w:rPr>
        <w:t>Phase II Implementation Order</w:t>
      </w:r>
      <w:r>
        <w:rPr>
          <w:sz w:val="22"/>
          <w:szCs w:val="22"/>
        </w:rPr>
        <w:t xml:space="preserve"> at 32</w:t>
      </w:r>
      <w:r>
        <w:rPr>
          <w:sz w:val="22"/>
          <w:szCs w:val="22"/>
        </w:rPr>
        <w:noBreakHyphen/>
        <w:t>45.</w:t>
      </w:r>
    </w:p>
  </w:footnote>
  <w:footnote w:id="5">
    <w:p w:rsidR="00753437" w:rsidRPr="00065FB4" w:rsidRDefault="00753437">
      <w:pPr>
        <w:pStyle w:val="FootnoteText"/>
        <w:rPr>
          <w:sz w:val="22"/>
          <w:szCs w:val="22"/>
        </w:rPr>
      </w:pPr>
      <w:r w:rsidRPr="00065FB4">
        <w:rPr>
          <w:rStyle w:val="FootnoteReference"/>
          <w:sz w:val="22"/>
          <w:szCs w:val="22"/>
        </w:rPr>
        <w:footnoteRef/>
      </w:r>
      <w:r w:rsidRPr="00065FB4">
        <w:rPr>
          <w:sz w:val="22"/>
          <w:szCs w:val="22"/>
        </w:rPr>
        <w:t xml:space="preserve"> </w:t>
      </w:r>
      <w:r w:rsidRPr="00065FB4">
        <w:rPr>
          <w:i/>
          <w:sz w:val="22"/>
          <w:szCs w:val="22"/>
        </w:rPr>
        <w:t>See</w:t>
      </w:r>
      <w:r w:rsidRPr="00065FB4">
        <w:rPr>
          <w:sz w:val="22"/>
          <w:szCs w:val="22"/>
        </w:rPr>
        <w:t xml:space="preserve"> </w:t>
      </w:r>
      <w:r w:rsidRPr="00065FB4">
        <w:rPr>
          <w:i/>
          <w:sz w:val="22"/>
          <w:szCs w:val="22"/>
        </w:rPr>
        <w:t>Phase II Implementation Order</w:t>
      </w:r>
      <w:r w:rsidRPr="00065FB4">
        <w:rPr>
          <w:sz w:val="22"/>
          <w:szCs w:val="22"/>
        </w:rPr>
        <w:t xml:space="preserve"> at 24</w:t>
      </w:r>
      <w:r w:rsidRPr="00065FB4">
        <w:rPr>
          <w:sz w:val="22"/>
          <w:szCs w:val="22"/>
        </w:rPr>
        <w:noBreakHyphen/>
        <w:t>26.</w:t>
      </w:r>
    </w:p>
  </w:footnote>
  <w:footnote w:id="6">
    <w:p w:rsidR="00753437" w:rsidRDefault="00753437">
      <w:pPr>
        <w:pStyle w:val="FootnoteText"/>
      </w:pPr>
      <w:r w:rsidRPr="00065FB4">
        <w:rPr>
          <w:rStyle w:val="FootnoteReference"/>
          <w:sz w:val="22"/>
          <w:szCs w:val="22"/>
        </w:rPr>
        <w:footnoteRef/>
      </w:r>
      <w:r w:rsidRPr="00065FB4">
        <w:rPr>
          <w:sz w:val="22"/>
          <w:szCs w:val="22"/>
        </w:rPr>
        <w:t xml:space="preserve"> </w:t>
      </w:r>
      <w:r w:rsidRPr="00890C88">
        <w:rPr>
          <w:i/>
          <w:sz w:val="22"/>
          <w:szCs w:val="22"/>
        </w:rPr>
        <w:t>See</w:t>
      </w:r>
      <w:r w:rsidRPr="00890C88">
        <w:rPr>
          <w:sz w:val="22"/>
          <w:szCs w:val="22"/>
        </w:rPr>
        <w:t xml:space="preserve"> </w:t>
      </w:r>
      <w:r w:rsidRPr="00065FB4">
        <w:rPr>
          <w:i/>
          <w:sz w:val="22"/>
          <w:szCs w:val="22"/>
        </w:rPr>
        <w:t>Phase II Implementation Order</w:t>
      </w:r>
      <w:r w:rsidRPr="00890C88">
        <w:rPr>
          <w:sz w:val="22"/>
          <w:szCs w:val="22"/>
        </w:rPr>
        <w:t xml:space="preserve"> at 4</w:t>
      </w:r>
      <w:r>
        <w:rPr>
          <w:sz w:val="22"/>
          <w:szCs w:val="22"/>
        </w:rPr>
        <w:t>5</w:t>
      </w:r>
      <w:r w:rsidRPr="00890C88">
        <w:rPr>
          <w:sz w:val="22"/>
          <w:szCs w:val="22"/>
        </w:rPr>
        <w:noBreakHyphen/>
      </w:r>
      <w:r>
        <w:rPr>
          <w:sz w:val="22"/>
          <w:szCs w:val="22"/>
        </w:rPr>
        <w:t>51</w:t>
      </w:r>
      <w:r w:rsidRPr="00890C88">
        <w:rPr>
          <w:sz w:val="22"/>
          <w:szCs w:val="22"/>
        </w:rPr>
        <w:t>.</w:t>
      </w:r>
    </w:p>
  </w:footnote>
  <w:footnote w:id="7">
    <w:p w:rsidR="00753437" w:rsidRDefault="00753437">
      <w:pPr>
        <w:pStyle w:val="FootnoteText"/>
      </w:pPr>
      <w:r w:rsidRPr="00065FB4">
        <w:rPr>
          <w:rStyle w:val="FootnoteReference"/>
          <w:sz w:val="22"/>
          <w:szCs w:val="22"/>
        </w:rPr>
        <w:footnoteRef/>
      </w:r>
      <w:r w:rsidRPr="00065FB4">
        <w:rPr>
          <w:sz w:val="22"/>
          <w:szCs w:val="22"/>
        </w:rPr>
        <w:t xml:space="preserve"> </w:t>
      </w:r>
      <w:r w:rsidRPr="00890C88">
        <w:rPr>
          <w:i/>
          <w:sz w:val="22"/>
          <w:szCs w:val="22"/>
        </w:rPr>
        <w:t>See</w:t>
      </w:r>
      <w:r w:rsidRPr="00890C88">
        <w:rPr>
          <w:sz w:val="22"/>
          <w:szCs w:val="22"/>
        </w:rPr>
        <w:t xml:space="preserve"> </w:t>
      </w:r>
      <w:r w:rsidRPr="00065FB4">
        <w:rPr>
          <w:i/>
          <w:sz w:val="22"/>
          <w:szCs w:val="22"/>
        </w:rPr>
        <w:t>Phase II Implementation Order</w:t>
      </w:r>
      <w:r w:rsidRPr="00890C88">
        <w:rPr>
          <w:sz w:val="22"/>
          <w:szCs w:val="22"/>
        </w:rPr>
        <w:t xml:space="preserve"> at </w:t>
      </w:r>
      <w:r>
        <w:rPr>
          <w:sz w:val="22"/>
          <w:szCs w:val="22"/>
        </w:rPr>
        <w:t>53</w:t>
      </w:r>
      <w:r w:rsidRPr="00890C88">
        <w:rPr>
          <w:sz w:val="22"/>
          <w:szCs w:val="22"/>
        </w:rPr>
        <w:noBreakHyphen/>
      </w:r>
      <w:r>
        <w:rPr>
          <w:sz w:val="22"/>
          <w:szCs w:val="22"/>
        </w:rPr>
        <w:t>58</w:t>
      </w:r>
      <w:r w:rsidRPr="00890C88">
        <w:rPr>
          <w:sz w:val="22"/>
          <w:szCs w:val="22"/>
        </w:rPr>
        <w:t>.</w:t>
      </w:r>
    </w:p>
  </w:footnote>
  <w:footnote w:id="8">
    <w:p w:rsidR="00753437" w:rsidRDefault="00753437">
      <w:pPr>
        <w:pStyle w:val="FootnoteText"/>
      </w:pPr>
      <w:r w:rsidRPr="00065FB4">
        <w:rPr>
          <w:rStyle w:val="FootnoteReference"/>
          <w:sz w:val="22"/>
          <w:szCs w:val="22"/>
        </w:rPr>
        <w:footnoteRef/>
      </w:r>
      <w:r w:rsidRPr="00065FB4">
        <w:rPr>
          <w:sz w:val="22"/>
          <w:szCs w:val="22"/>
        </w:rPr>
        <w:t xml:space="preserve"> </w:t>
      </w:r>
      <w:r w:rsidRPr="00890C88">
        <w:rPr>
          <w:i/>
          <w:sz w:val="22"/>
          <w:szCs w:val="22"/>
        </w:rPr>
        <w:t>See</w:t>
      </w:r>
      <w:r w:rsidRPr="00890C88">
        <w:rPr>
          <w:sz w:val="22"/>
          <w:szCs w:val="22"/>
        </w:rPr>
        <w:t xml:space="preserve"> </w:t>
      </w:r>
      <w:r w:rsidRPr="00065FB4">
        <w:rPr>
          <w:i/>
          <w:sz w:val="22"/>
          <w:szCs w:val="22"/>
        </w:rPr>
        <w:t>Phase II Implementation Order</w:t>
      </w:r>
      <w:r w:rsidRPr="00890C88">
        <w:rPr>
          <w:sz w:val="22"/>
          <w:szCs w:val="22"/>
        </w:rPr>
        <w:t xml:space="preserve"> at </w:t>
      </w:r>
      <w:r>
        <w:rPr>
          <w:sz w:val="22"/>
          <w:szCs w:val="22"/>
        </w:rPr>
        <w:t>11</w:t>
      </w:r>
      <w:r w:rsidRPr="00890C88">
        <w:rPr>
          <w:sz w:val="22"/>
          <w:szCs w:val="22"/>
        </w:rPr>
        <w:noBreakHyphen/>
      </w:r>
      <w:r>
        <w:rPr>
          <w:sz w:val="22"/>
          <w:szCs w:val="22"/>
        </w:rPr>
        <w:t>43</w:t>
      </w:r>
      <w:r w:rsidRPr="00890C88">
        <w:rPr>
          <w:sz w:val="22"/>
          <w:szCs w:val="22"/>
        </w:rPr>
        <w:t>.</w:t>
      </w:r>
    </w:p>
  </w:footnote>
  <w:footnote w:id="9">
    <w:p w:rsidR="00753437" w:rsidRDefault="00753437" w:rsidP="00CE0C45">
      <w:pPr>
        <w:pStyle w:val="FootnoteText"/>
      </w:pPr>
      <w:r w:rsidRPr="00065FB4">
        <w:rPr>
          <w:rStyle w:val="FootnoteReference"/>
          <w:sz w:val="22"/>
          <w:szCs w:val="22"/>
        </w:rPr>
        <w:footnoteRef/>
      </w:r>
      <w:r w:rsidRPr="00065FB4">
        <w:rPr>
          <w:sz w:val="22"/>
          <w:szCs w:val="22"/>
        </w:rPr>
        <w:t xml:space="preserve"> </w:t>
      </w:r>
      <w:r w:rsidRPr="00671A4C">
        <w:rPr>
          <w:i/>
          <w:sz w:val="22"/>
          <w:szCs w:val="22"/>
        </w:rPr>
        <w:t>S</w:t>
      </w:r>
      <w:r w:rsidRPr="00890C88">
        <w:rPr>
          <w:i/>
          <w:sz w:val="22"/>
          <w:szCs w:val="22"/>
        </w:rPr>
        <w:t>ee</w:t>
      </w:r>
      <w:r w:rsidRPr="00890C88">
        <w:rPr>
          <w:sz w:val="22"/>
          <w:szCs w:val="22"/>
        </w:rPr>
        <w:t xml:space="preserve"> </w:t>
      </w:r>
      <w:r w:rsidRPr="00C73EE6">
        <w:rPr>
          <w:i/>
          <w:sz w:val="22"/>
          <w:szCs w:val="22"/>
        </w:rPr>
        <w:t>Phase II Implementation Order</w:t>
      </w:r>
      <w:r w:rsidRPr="00890C88">
        <w:rPr>
          <w:sz w:val="22"/>
          <w:szCs w:val="22"/>
        </w:rPr>
        <w:t xml:space="preserve"> at </w:t>
      </w:r>
      <w:r>
        <w:rPr>
          <w:sz w:val="22"/>
          <w:szCs w:val="22"/>
        </w:rPr>
        <w:t>78</w:t>
      </w:r>
      <w:r w:rsidRPr="00890C88">
        <w:rPr>
          <w:sz w:val="22"/>
          <w:szCs w:val="22"/>
        </w:rPr>
        <w:t>.</w:t>
      </w:r>
    </w:p>
  </w:footnote>
  <w:footnote w:id="10">
    <w:p w:rsidR="00753437" w:rsidRPr="00A5154E" w:rsidRDefault="00753437">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 xml:space="preserve">See Energy Consumption Reduction Targets </w:t>
      </w:r>
      <w:r w:rsidRPr="00A5154E">
        <w:rPr>
          <w:sz w:val="22"/>
          <w:szCs w:val="22"/>
        </w:rPr>
        <w:t>Order, at Docket No. M-</w:t>
      </w:r>
      <w:r>
        <w:rPr>
          <w:sz w:val="22"/>
          <w:szCs w:val="22"/>
        </w:rPr>
        <w:t>2012-2289411</w:t>
      </w:r>
      <w:r w:rsidRPr="00A5154E">
        <w:rPr>
          <w:sz w:val="22"/>
          <w:szCs w:val="22"/>
        </w:rPr>
        <w:t>, (</w:t>
      </w:r>
      <w:r w:rsidRPr="00065FB4">
        <w:rPr>
          <w:i/>
          <w:sz w:val="22"/>
          <w:szCs w:val="22"/>
        </w:rPr>
        <w:t>Phase II Targets Order</w:t>
      </w:r>
      <w:r w:rsidRPr="00A5154E">
        <w:rPr>
          <w:sz w:val="22"/>
          <w:szCs w:val="22"/>
        </w:rPr>
        <w:t xml:space="preserve">), at </w:t>
      </w:r>
      <w:r>
        <w:rPr>
          <w:sz w:val="22"/>
          <w:szCs w:val="22"/>
        </w:rPr>
        <w:t>24</w:t>
      </w:r>
      <w:r w:rsidRPr="00A5154E">
        <w:rPr>
          <w:sz w:val="22"/>
          <w:szCs w:val="22"/>
        </w:rPr>
        <w:t xml:space="preserve">, entered </w:t>
      </w:r>
      <w:r>
        <w:rPr>
          <w:sz w:val="22"/>
          <w:szCs w:val="22"/>
        </w:rPr>
        <w:t>August 2</w:t>
      </w:r>
      <w:r w:rsidRPr="00A5154E">
        <w:rPr>
          <w:sz w:val="22"/>
          <w:szCs w:val="22"/>
        </w:rPr>
        <w:t xml:space="preserve">, </w:t>
      </w:r>
      <w:r>
        <w:rPr>
          <w:sz w:val="22"/>
          <w:szCs w:val="22"/>
        </w:rPr>
        <w:t>2012</w:t>
      </w:r>
      <w:r w:rsidRPr="00A5154E">
        <w:rPr>
          <w:sz w:val="22"/>
          <w:szCs w:val="22"/>
        </w:rPr>
        <w:t>.</w:t>
      </w:r>
    </w:p>
  </w:footnote>
  <w:footnote w:id="11">
    <w:p w:rsidR="00753437" w:rsidRPr="00A5154E" w:rsidRDefault="00753437">
      <w:pPr>
        <w:pStyle w:val="FootnoteText"/>
        <w:rPr>
          <w:sz w:val="22"/>
          <w:szCs w:val="22"/>
        </w:rPr>
      </w:pPr>
      <w:r w:rsidRPr="00A5154E">
        <w:rPr>
          <w:rStyle w:val="FootnoteReference"/>
          <w:sz w:val="22"/>
          <w:szCs w:val="22"/>
        </w:rPr>
        <w:footnoteRef/>
      </w:r>
      <w:r w:rsidRPr="00A5154E">
        <w:rPr>
          <w:sz w:val="22"/>
          <w:szCs w:val="22"/>
        </w:rPr>
        <w:t xml:space="preserve"> Hereafter referred to as “TRM-verified savings.”</w:t>
      </w:r>
    </w:p>
  </w:footnote>
  <w:footnote w:id="12">
    <w:p w:rsidR="00753437" w:rsidRPr="00A5154E" w:rsidRDefault="00753437" w:rsidP="00965565">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See</w:t>
      </w:r>
      <w:r w:rsidRPr="00A5154E">
        <w:rPr>
          <w:sz w:val="22"/>
          <w:szCs w:val="22"/>
        </w:rPr>
        <w:t xml:space="preserve"> </w:t>
      </w:r>
      <w:r w:rsidRPr="00A5154E">
        <w:rPr>
          <w:i/>
          <w:sz w:val="22"/>
          <w:szCs w:val="22"/>
        </w:rPr>
        <w:t xml:space="preserve">Final Annual Report to the Pennsylvania Public Utility Commission: For the period June 1, </w:t>
      </w:r>
      <w:r>
        <w:rPr>
          <w:i/>
          <w:sz w:val="22"/>
          <w:szCs w:val="22"/>
        </w:rPr>
        <w:t>2015</w:t>
      </w:r>
      <w:r w:rsidRPr="00A5154E">
        <w:rPr>
          <w:i/>
          <w:sz w:val="22"/>
          <w:szCs w:val="22"/>
        </w:rPr>
        <w:t xml:space="preserve"> to May 31, </w:t>
      </w:r>
      <w:r>
        <w:rPr>
          <w:i/>
          <w:sz w:val="22"/>
          <w:szCs w:val="22"/>
        </w:rPr>
        <w:t>2016</w:t>
      </w:r>
      <w:r w:rsidRPr="00A5154E">
        <w:rPr>
          <w:sz w:val="22"/>
          <w:szCs w:val="22"/>
        </w:rPr>
        <w:t xml:space="preserve">, at Docket No. </w:t>
      </w:r>
      <w:r>
        <w:rPr>
          <w:sz w:val="22"/>
          <w:szCs w:val="22"/>
        </w:rPr>
        <w:t>M-2012-2334399</w:t>
      </w:r>
      <w:r w:rsidRPr="00A5154E">
        <w:rPr>
          <w:sz w:val="22"/>
          <w:szCs w:val="22"/>
        </w:rPr>
        <w:t>, (Duquesne PY</w:t>
      </w:r>
      <w:r>
        <w:rPr>
          <w:sz w:val="22"/>
          <w:szCs w:val="22"/>
        </w:rPr>
        <w:t>7</w:t>
      </w:r>
      <w:r w:rsidRPr="00A5154E">
        <w:rPr>
          <w:sz w:val="22"/>
          <w:szCs w:val="22"/>
        </w:rPr>
        <w:t xml:space="preserve"> Annual Report), at 1, prepared by Navigant Consulting, Inc. for Duquesne Light Company, filed November 1</w:t>
      </w:r>
      <w:r>
        <w:rPr>
          <w:sz w:val="22"/>
          <w:szCs w:val="22"/>
        </w:rPr>
        <w:t>6</w:t>
      </w:r>
      <w:r w:rsidRPr="00A5154E">
        <w:rPr>
          <w:sz w:val="22"/>
          <w:szCs w:val="22"/>
        </w:rPr>
        <w:t>, 201</w:t>
      </w:r>
      <w:r>
        <w:rPr>
          <w:sz w:val="22"/>
          <w:szCs w:val="22"/>
        </w:rPr>
        <w:t>6</w:t>
      </w:r>
      <w:r w:rsidRPr="00A5154E">
        <w:rPr>
          <w:sz w:val="22"/>
          <w:szCs w:val="22"/>
        </w:rPr>
        <w:t>.</w:t>
      </w:r>
    </w:p>
  </w:footnote>
  <w:footnote w:id="13">
    <w:p w:rsidR="00753437" w:rsidRPr="00A5154E" w:rsidRDefault="00753437">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See</w:t>
      </w:r>
      <w:r w:rsidRPr="00A5154E">
        <w:rPr>
          <w:sz w:val="22"/>
          <w:szCs w:val="22"/>
        </w:rPr>
        <w:t xml:space="preserve"> </w:t>
      </w:r>
      <w:r w:rsidRPr="006A450C">
        <w:rPr>
          <w:sz w:val="22"/>
          <w:szCs w:val="22"/>
        </w:rPr>
        <w:t xml:space="preserve">Table </w:t>
      </w:r>
      <w:r>
        <w:rPr>
          <w:sz w:val="22"/>
          <w:szCs w:val="22"/>
        </w:rPr>
        <w:t>2-3</w:t>
      </w:r>
      <w:r w:rsidRPr="006A450C">
        <w:rPr>
          <w:sz w:val="22"/>
          <w:szCs w:val="22"/>
        </w:rPr>
        <w:t xml:space="preserve">: </w:t>
      </w:r>
      <w:r>
        <w:rPr>
          <w:sz w:val="22"/>
          <w:szCs w:val="22"/>
        </w:rPr>
        <w:t>Phase II Compliance Summary by EDC of the SWE Final Report.</w:t>
      </w:r>
    </w:p>
  </w:footnote>
  <w:footnote w:id="14">
    <w:p w:rsidR="006018A7" w:rsidRPr="00D6455E" w:rsidRDefault="006018A7" w:rsidP="006018A7">
      <w:pPr>
        <w:pStyle w:val="FootnoteText"/>
        <w:rPr>
          <w:sz w:val="22"/>
          <w:szCs w:val="22"/>
        </w:rPr>
      </w:pPr>
      <w:r w:rsidRPr="00D6455E">
        <w:rPr>
          <w:rStyle w:val="FootnoteReference"/>
          <w:sz w:val="22"/>
          <w:szCs w:val="22"/>
        </w:rPr>
        <w:footnoteRef/>
      </w:r>
      <w:r w:rsidRPr="00D6455E">
        <w:rPr>
          <w:sz w:val="22"/>
          <w:szCs w:val="22"/>
        </w:rPr>
        <w:t xml:space="preserve"> Duquesne filed its Petition under Docket Nos. M-2012-2289411 and M-2012-2334399.</w:t>
      </w:r>
    </w:p>
  </w:footnote>
  <w:footnote w:id="15">
    <w:p w:rsidR="006018A7" w:rsidRPr="00465C1A" w:rsidRDefault="006018A7" w:rsidP="006018A7">
      <w:pPr>
        <w:pStyle w:val="FootnoteText"/>
        <w:rPr>
          <w:sz w:val="22"/>
          <w:szCs w:val="22"/>
        </w:rPr>
      </w:pPr>
      <w:r w:rsidRPr="00465C1A">
        <w:rPr>
          <w:rStyle w:val="FootnoteReference"/>
          <w:sz w:val="22"/>
          <w:szCs w:val="22"/>
        </w:rPr>
        <w:footnoteRef/>
      </w:r>
      <w:r w:rsidRPr="00465C1A">
        <w:rPr>
          <w:sz w:val="22"/>
          <w:szCs w:val="22"/>
        </w:rPr>
        <w:t xml:space="preserve"> </w:t>
      </w:r>
      <w:r w:rsidRPr="00465C1A">
        <w:rPr>
          <w:i/>
          <w:sz w:val="22"/>
          <w:szCs w:val="22"/>
        </w:rPr>
        <w:t>See</w:t>
      </w:r>
      <w:r w:rsidRPr="00465C1A">
        <w:rPr>
          <w:sz w:val="22"/>
          <w:szCs w:val="22"/>
        </w:rPr>
        <w:t xml:space="preserve"> Duquesne Petition at 5. </w:t>
      </w:r>
    </w:p>
  </w:footnote>
  <w:footnote w:id="16">
    <w:p w:rsidR="006018A7" w:rsidRDefault="006018A7" w:rsidP="006018A7">
      <w:pPr>
        <w:pStyle w:val="FootnoteText"/>
      </w:pPr>
      <w:r w:rsidRPr="00D73B27">
        <w:rPr>
          <w:rStyle w:val="FootnoteReference"/>
          <w:sz w:val="22"/>
          <w:szCs w:val="22"/>
        </w:rPr>
        <w:footnoteRef/>
      </w:r>
      <w:r w:rsidRPr="00D73B27">
        <w:rPr>
          <w:sz w:val="22"/>
          <w:szCs w:val="22"/>
        </w:rPr>
        <w:t xml:space="preserve"> </w:t>
      </w:r>
      <w:r w:rsidRPr="00D73B27">
        <w:rPr>
          <w:i/>
          <w:sz w:val="22"/>
          <w:szCs w:val="22"/>
        </w:rPr>
        <w:t xml:space="preserve">See </w:t>
      </w:r>
      <w:r w:rsidRPr="00D73B27">
        <w:rPr>
          <w:sz w:val="22"/>
          <w:szCs w:val="22"/>
        </w:rPr>
        <w:t xml:space="preserve">Table 2-3: </w:t>
      </w:r>
      <w:r w:rsidRPr="006018A7">
        <w:rPr>
          <w:sz w:val="22"/>
          <w:szCs w:val="22"/>
        </w:rPr>
        <w:t>Phase II Compliance Summary by EDC of the SWE Amended Phase II Final Annual</w:t>
      </w:r>
      <w:r w:rsidRPr="00D73B27">
        <w:rPr>
          <w:sz w:val="22"/>
          <w:szCs w:val="22"/>
        </w:rPr>
        <w:t xml:space="preserve"> Report.</w:t>
      </w:r>
    </w:p>
  </w:footnote>
  <w:footnote w:id="17">
    <w:p w:rsidR="00753437" w:rsidRPr="00A5154E" w:rsidRDefault="00753437">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 xml:space="preserve">See </w:t>
      </w:r>
      <w:r w:rsidRPr="00065FB4">
        <w:rPr>
          <w:i/>
          <w:sz w:val="22"/>
          <w:szCs w:val="22"/>
        </w:rPr>
        <w:t>Phase II Targets Order</w:t>
      </w:r>
      <w:r w:rsidRPr="00A5154E">
        <w:rPr>
          <w:sz w:val="22"/>
          <w:szCs w:val="22"/>
        </w:rPr>
        <w:t xml:space="preserve"> at </w:t>
      </w:r>
      <w:r>
        <w:rPr>
          <w:sz w:val="22"/>
          <w:szCs w:val="22"/>
        </w:rPr>
        <w:t>24</w:t>
      </w:r>
      <w:r w:rsidRPr="00A5154E">
        <w:rPr>
          <w:sz w:val="22"/>
          <w:szCs w:val="22"/>
        </w:rPr>
        <w:t>.</w:t>
      </w:r>
    </w:p>
  </w:footnote>
  <w:footnote w:id="18">
    <w:p w:rsidR="00753437" w:rsidRPr="00A5154E" w:rsidRDefault="00753437" w:rsidP="00814196">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See</w:t>
      </w:r>
      <w:r w:rsidRPr="00A5154E">
        <w:rPr>
          <w:sz w:val="22"/>
          <w:szCs w:val="22"/>
        </w:rPr>
        <w:t xml:space="preserve"> </w:t>
      </w:r>
      <w:r w:rsidRPr="00A64E5A">
        <w:rPr>
          <w:i/>
          <w:sz w:val="22"/>
          <w:szCs w:val="22"/>
        </w:rPr>
        <w:t xml:space="preserve">Final </w:t>
      </w:r>
      <w:r w:rsidRPr="00A5154E">
        <w:rPr>
          <w:i/>
          <w:sz w:val="22"/>
          <w:szCs w:val="22"/>
        </w:rPr>
        <w:t xml:space="preserve">Annual Report to the Pennsylvania Public Utility Commission: For the period June </w:t>
      </w:r>
      <w:r>
        <w:rPr>
          <w:i/>
          <w:sz w:val="22"/>
          <w:szCs w:val="22"/>
        </w:rPr>
        <w:t xml:space="preserve">1, 2015 </w:t>
      </w:r>
      <w:r w:rsidRPr="00A5154E">
        <w:rPr>
          <w:i/>
          <w:sz w:val="22"/>
          <w:szCs w:val="22"/>
        </w:rPr>
        <w:t xml:space="preserve">to May </w:t>
      </w:r>
      <w:r>
        <w:rPr>
          <w:i/>
          <w:sz w:val="22"/>
          <w:szCs w:val="22"/>
        </w:rPr>
        <w:t xml:space="preserve">31, </w:t>
      </w:r>
      <w:r w:rsidRPr="00A5154E">
        <w:rPr>
          <w:i/>
          <w:sz w:val="22"/>
          <w:szCs w:val="22"/>
        </w:rPr>
        <w:t>201</w:t>
      </w:r>
      <w:r>
        <w:rPr>
          <w:i/>
          <w:sz w:val="22"/>
          <w:szCs w:val="22"/>
        </w:rPr>
        <w:t>6</w:t>
      </w:r>
      <w:r w:rsidRPr="00A5154E">
        <w:rPr>
          <w:sz w:val="22"/>
          <w:szCs w:val="22"/>
        </w:rPr>
        <w:t>, at Docket No. M-</w:t>
      </w:r>
      <w:r>
        <w:rPr>
          <w:sz w:val="22"/>
          <w:szCs w:val="22"/>
        </w:rPr>
        <w:t>2012-2334387</w:t>
      </w:r>
      <w:r w:rsidRPr="00A5154E">
        <w:rPr>
          <w:sz w:val="22"/>
          <w:szCs w:val="22"/>
        </w:rPr>
        <w:t>, (Met-Ed PY</w:t>
      </w:r>
      <w:r>
        <w:rPr>
          <w:sz w:val="22"/>
          <w:szCs w:val="22"/>
        </w:rPr>
        <w:t>7</w:t>
      </w:r>
      <w:r w:rsidRPr="00A5154E">
        <w:rPr>
          <w:sz w:val="22"/>
          <w:szCs w:val="22"/>
        </w:rPr>
        <w:t xml:space="preserve"> Annual Report), at 1, </w:t>
      </w:r>
      <w:r>
        <w:rPr>
          <w:sz w:val="22"/>
          <w:szCs w:val="22"/>
        </w:rPr>
        <w:t xml:space="preserve">prepared by ADM Associates, </w:t>
      </w:r>
      <w:proofErr w:type="spellStart"/>
      <w:r>
        <w:rPr>
          <w:sz w:val="22"/>
          <w:szCs w:val="22"/>
        </w:rPr>
        <w:t>TeraTech</w:t>
      </w:r>
      <w:proofErr w:type="spellEnd"/>
      <w:r>
        <w:rPr>
          <w:sz w:val="22"/>
          <w:szCs w:val="22"/>
        </w:rPr>
        <w:t xml:space="preserve"> MA, and Met-Ed, </w:t>
      </w:r>
      <w:r w:rsidRPr="00A5154E">
        <w:rPr>
          <w:sz w:val="22"/>
          <w:szCs w:val="22"/>
        </w:rPr>
        <w:t>filed November 15, 201</w:t>
      </w:r>
      <w:r>
        <w:rPr>
          <w:sz w:val="22"/>
          <w:szCs w:val="22"/>
        </w:rPr>
        <w:t>6</w:t>
      </w:r>
      <w:r w:rsidRPr="00A5154E">
        <w:rPr>
          <w:sz w:val="22"/>
          <w:szCs w:val="22"/>
        </w:rPr>
        <w:t>.</w:t>
      </w:r>
    </w:p>
  </w:footnote>
  <w:footnote w:id="19">
    <w:p w:rsidR="00753437" w:rsidRPr="00A5154E" w:rsidRDefault="00753437" w:rsidP="00814196">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See</w:t>
      </w:r>
      <w:r w:rsidRPr="00A5154E">
        <w:rPr>
          <w:sz w:val="22"/>
          <w:szCs w:val="22"/>
        </w:rPr>
        <w:t xml:space="preserve"> </w:t>
      </w:r>
      <w:r w:rsidRPr="006A450C">
        <w:rPr>
          <w:sz w:val="22"/>
          <w:szCs w:val="22"/>
        </w:rPr>
        <w:t xml:space="preserve">Table </w:t>
      </w:r>
      <w:r>
        <w:rPr>
          <w:sz w:val="22"/>
          <w:szCs w:val="22"/>
        </w:rPr>
        <w:t>2-3</w:t>
      </w:r>
      <w:r w:rsidRPr="006A450C">
        <w:rPr>
          <w:sz w:val="22"/>
          <w:szCs w:val="22"/>
        </w:rPr>
        <w:t xml:space="preserve">: </w:t>
      </w:r>
      <w:r>
        <w:rPr>
          <w:sz w:val="22"/>
          <w:szCs w:val="22"/>
        </w:rPr>
        <w:t>Phase II Compliance Summary by EDC of the SWE Final Report.</w:t>
      </w:r>
    </w:p>
  </w:footnote>
  <w:footnote w:id="20">
    <w:p w:rsidR="00753437" w:rsidRPr="00A5154E" w:rsidRDefault="00753437" w:rsidP="00EE06DC">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 xml:space="preserve">See </w:t>
      </w:r>
      <w:r w:rsidRPr="00065FB4">
        <w:rPr>
          <w:i/>
          <w:sz w:val="22"/>
          <w:szCs w:val="22"/>
        </w:rPr>
        <w:t>Phase II Targets Order</w:t>
      </w:r>
      <w:r>
        <w:rPr>
          <w:sz w:val="22"/>
          <w:szCs w:val="22"/>
        </w:rPr>
        <w:t xml:space="preserve"> at 24.</w:t>
      </w:r>
    </w:p>
  </w:footnote>
  <w:footnote w:id="21">
    <w:p w:rsidR="00753437" w:rsidRPr="00A5154E" w:rsidRDefault="00753437" w:rsidP="00EE06DC">
      <w:pPr>
        <w:pStyle w:val="FootnoteText"/>
        <w:rPr>
          <w:sz w:val="22"/>
          <w:szCs w:val="22"/>
        </w:rPr>
      </w:pPr>
      <w:r w:rsidRPr="00A5154E">
        <w:rPr>
          <w:rStyle w:val="FootnoteReference"/>
          <w:sz w:val="22"/>
          <w:szCs w:val="22"/>
        </w:rPr>
        <w:footnoteRef/>
      </w:r>
      <w:r w:rsidRPr="00A5154E">
        <w:rPr>
          <w:sz w:val="22"/>
          <w:szCs w:val="22"/>
        </w:rPr>
        <w:t xml:space="preserve"> </w:t>
      </w:r>
      <w:r w:rsidRPr="00A5154E">
        <w:rPr>
          <w:i/>
          <w:sz w:val="22"/>
          <w:szCs w:val="22"/>
        </w:rPr>
        <w:t xml:space="preserve">See </w:t>
      </w:r>
      <w:r>
        <w:rPr>
          <w:i/>
          <w:sz w:val="22"/>
          <w:szCs w:val="22"/>
        </w:rPr>
        <w:t xml:space="preserve">Final </w:t>
      </w:r>
      <w:r w:rsidRPr="00A5154E">
        <w:rPr>
          <w:i/>
          <w:sz w:val="22"/>
          <w:szCs w:val="22"/>
        </w:rPr>
        <w:t>Annual Report to the Pennsylvania Public Utility Commission:</w:t>
      </w:r>
      <w:r>
        <w:rPr>
          <w:i/>
          <w:sz w:val="22"/>
          <w:szCs w:val="22"/>
        </w:rPr>
        <w:t xml:space="preserve"> For the period June 1, 2015 to May 31, 2016</w:t>
      </w:r>
      <w:r w:rsidRPr="00A5154E">
        <w:rPr>
          <w:sz w:val="22"/>
          <w:szCs w:val="22"/>
        </w:rPr>
        <w:t xml:space="preserve">, </w:t>
      </w:r>
      <w:r>
        <w:rPr>
          <w:sz w:val="22"/>
          <w:szCs w:val="22"/>
        </w:rPr>
        <w:t>at Docket No. M-2012-2333992</w:t>
      </w:r>
      <w:r w:rsidRPr="00A5154E">
        <w:rPr>
          <w:sz w:val="22"/>
          <w:szCs w:val="22"/>
        </w:rPr>
        <w:t>, (PECO PY</w:t>
      </w:r>
      <w:r>
        <w:rPr>
          <w:sz w:val="22"/>
          <w:szCs w:val="22"/>
        </w:rPr>
        <w:t>7</w:t>
      </w:r>
      <w:r w:rsidRPr="00A5154E">
        <w:rPr>
          <w:sz w:val="22"/>
          <w:szCs w:val="22"/>
        </w:rPr>
        <w:t xml:space="preserve"> Annual Report), at </w:t>
      </w:r>
      <w:r>
        <w:rPr>
          <w:sz w:val="22"/>
          <w:szCs w:val="22"/>
        </w:rPr>
        <w:t>1</w:t>
      </w:r>
      <w:r w:rsidRPr="00A5154E">
        <w:rPr>
          <w:sz w:val="22"/>
          <w:szCs w:val="22"/>
        </w:rPr>
        <w:t>, prepared by Navigant Consulting, Inc. for PECO Energy Company, filed November 15, 201</w:t>
      </w:r>
      <w:r>
        <w:rPr>
          <w:sz w:val="22"/>
          <w:szCs w:val="22"/>
        </w:rPr>
        <w:t>6</w:t>
      </w:r>
      <w:r w:rsidRPr="00A5154E">
        <w:rPr>
          <w:sz w:val="22"/>
          <w:szCs w:val="22"/>
        </w:rPr>
        <w:t>.</w:t>
      </w:r>
    </w:p>
  </w:footnote>
  <w:footnote w:id="22">
    <w:p w:rsidR="00753437" w:rsidRPr="00907CBC" w:rsidRDefault="00753437" w:rsidP="00EE06DC">
      <w:pPr>
        <w:pStyle w:val="FootnoteText"/>
        <w:rPr>
          <w:sz w:val="22"/>
          <w:szCs w:val="22"/>
        </w:rPr>
      </w:pPr>
      <w:r w:rsidRPr="00907CBC">
        <w:rPr>
          <w:rStyle w:val="FootnoteReference"/>
          <w:sz w:val="22"/>
          <w:szCs w:val="22"/>
        </w:rPr>
        <w:footnoteRef/>
      </w:r>
      <w:r w:rsidRPr="00907CBC">
        <w:rPr>
          <w:sz w:val="22"/>
          <w:szCs w:val="22"/>
        </w:rPr>
        <w:t xml:space="preserve"> </w:t>
      </w:r>
      <w:r w:rsidRPr="00A5154E">
        <w:rPr>
          <w:i/>
          <w:sz w:val="22"/>
          <w:szCs w:val="22"/>
        </w:rPr>
        <w:t>See</w:t>
      </w:r>
      <w:r w:rsidRPr="00A5154E">
        <w:rPr>
          <w:sz w:val="22"/>
          <w:szCs w:val="22"/>
        </w:rPr>
        <w:t xml:space="preserve"> </w:t>
      </w:r>
      <w:r w:rsidRPr="006A450C">
        <w:rPr>
          <w:sz w:val="22"/>
          <w:szCs w:val="22"/>
        </w:rPr>
        <w:t xml:space="preserve">Table </w:t>
      </w:r>
      <w:r>
        <w:rPr>
          <w:sz w:val="22"/>
          <w:szCs w:val="22"/>
        </w:rPr>
        <w:t>2-3</w:t>
      </w:r>
      <w:r w:rsidRPr="006A450C">
        <w:rPr>
          <w:sz w:val="22"/>
          <w:szCs w:val="22"/>
        </w:rPr>
        <w:t xml:space="preserve">: </w:t>
      </w:r>
      <w:r>
        <w:rPr>
          <w:sz w:val="22"/>
          <w:szCs w:val="22"/>
        </w:rPr>
        <w:t>Phase II Compliance Summary by EDC of the SWE Final Report.</w:t>
      </w:r>
    </w:p>
  </w:footnote>
  <w:footnote w:id="23">
    <w:p w:rsidR="00753437" w:rsidRPr="00907CBC" w:rsidRDefault="00753437" w:rsidP="00EF3D0C">
      <w:pPr>
        <w:pStyle w:val="FootnoteText"/>
        <w:rPr>
          <w:sz w:val="22"/>
          <w:szCs w:val="22"/>
        </w:rPr>
      </w:pPr>
      <w:r w:rsidRPr="00907CBC">
        <w:rPr>
          <w:rStyle w:val="FootnoteReference"/>
          <w:sz w:val="22"/>
          <w:szCs w:val="22"/>
        </w:rPr>
        <w:footnoteRef/>
      </w:r>
      <w:r w:rsidRPr="00907CBC">
        <w:rPr>
          <w:sz w:val="22"/>
          <w:szCs w:val="22"/>
        </w:rPr>
        <w:t xml:space="preserve"> </w:t>
      </w:r>
      <w:r w:rsidRPr="00907CBC">
        <w:rPr>
          <w:i/>
          <w:sz w:val="22"/>
          <w:szCs w:val="22"/>
        </w:rPr>
        <w:t xml:space="preserve">See </w:t>
      </w:r>
      <w:r w:rsidRPr="00065FB4">
        <w:rPr>
          <w:i/>
          <w:sz w:val="22"/>
          <w:szCs w:val="22"/>
        </w:rPr>
        <w:t>Phase II Targets Order</w:t>
      </w:r>
      <w:r>
        <w:rPr>
          <w:sz w:val="22"/>
          <w:szCs w:val="22"/>
        </w:rPr>
        <w:t xml:space="preserve"> at 24.</w:t>
      </w:r>
    </w:p>
  </w:footnote>
  <w:footnote w:id="24">
    <w:p w:rsidR="00753437" w:rsidRPr="00907CBC" w:rsidRDefault="00753437" w:rsidP="00EF3D0C">
      <w:pPr>
        <w:pStyle w:val="FootnoteText"/>
        <w:rPr>
          <w:sz w:val="22"/>
          <w:szCs w:val="22"/>
        </w:rPr>
      </w:pPr>
      <w:r w:rsidRPr="00907CBC">
        <w:rPr>
          <w:rStyle w:val="FootnoteReference"/>
          <w:sz w:val="22"/>
          <w:szCs w:val="22"/>
        </w:rPr>
        <w:footnoteRef/>
      </w:r>
      <w:r w:rsidRPr="00907CBC">
        <w:rPr>
          <w:sz w:val="22"/>
          <w:szCs w:val="22"/>
        </w:rPr>
        <w:t xml:space="preserve"> </w:t>
      </w:r>
      <w:r w:rsidRPr="00907CBC">
        <w:rPr>
          <w:i/>
          <w:sz w:val="22"/>
          <w:szCs w:val="22"/>
        </w:rPr>
        <w:t xml:space="preserve">See Annual Report to the Pennsylvania Public Utility Commission: </w:t>
      </w:r>
      <w:r>
        <w:rPr>
          <w:i/>
          <w:sz w:val="22"/>
          <w:szCs w:val="22"/>
        </w:rPr>
        <w:t xml:space="preserve">For the period June 1, 2015 to May 31, 2016, </w:t>
      </w:r>
      <w:r w:rsidRPr="00907CBC">
        <w:rPr>
          <w:sz w:val="22"/>
          <w:szCs w:val="22"/>
        </w:rPr>
        <w:t xml:space="preserve">at Docket </w:t>
      </w:r>
      <w:r>
        <w:rPr>
          <w:sz w:val="22"/>
          <w:szCs w:val="22"/>
        </w:rPr>
        <w:t>No. M-2012-2334392</w:t>
      </w:r>
      <w:r w:rsidRPr="00907CBC">
        <w:rPr>
          <w:sz w:val="22"/>
          <w:szCs w:val="22"/>
        </w:rPr>
        <w:t>, (Penelec PY</w:t>
      </w:r>
      <w:r>
        <w:rPr>
          <w:sz w:val="22"/>
          <w:szCs w:val="22"/>
        </w:rPr>
        <w:t>7</w:t>
      </w:r>
      <w:r w:rsidRPr="00907CBC">
        <w:rPr>
          <w:sz w:val="22"/>
          <w:szCs w:val="22"/>
        </w:rPr>
        <w:t xml:space="preserve"> Final Annual Report), at 1, </w:t>
      </w:r>
      <w:r>
        <w:rPr>
          <w:sz w:val="22"/>
          <w:szCs w:val="22"/>
        </w:rPr>
        <w:t xml:space="preserve">prepared by ADM Associates, </w:t>
      </w:r>
      <w:proofErr w:type="spellStart"/>
      <w:r>
        <w:rPr>
          <w:sz w:val="22"/>
          <w:szCs w:val="22"/>
        </w:rPr>
        <w:t>TeraTech</w:t>
      </w:r>
      <w:proofErr w:type="spellEnd"/>
      <w:r>
        <w:rPr>
          <w:sz w:val="22"/>
          <w:szCs w:val="22"/>
        </w:rPr>
        <w:t xml:space="preserve"> MA, and </w:t>
      </w:r>
      <w:proofErr w:type="spellStart"/>
      <w:r>
        <w:rPr>
          <w:sz w:val="22"/>
          <w:szCs w:val="22"/>
        </w:rPr>
        <w:t>Penelec</w:t>
      </w:r>
      <w:proofErr w:type="spellEnd"/>
      <w:r>
        <w:rPr>
          <w:sz w:val="22"/>
          <w:szCs w:val="22"/>
        </w:rPr>
        <w:t xml:space="preserve">, </w:t>
      </w:r>
      <w:r w:rsidRPr="00A5154E">
        <w:rPr>
          <w:sz w:val="22"/>
          <w:szCs w:val="22"/>
        </w:rPr>
        <w:t>filed November 15, 201</w:t>
      </w:r>
      <w:r>
        <w:rPr>
          <w:sz w:val="22"/>
          <w:szCs w:val="22"/>
        </w:rPr>
        <w:t>6</w:t>
      </w:r>
      <w:r w:rsidRPr="00A5154E">
        <w:rPr>
          <w:sz w:val="22"/>
          <w:szCs w:val="22"/>
        </w:rPr>
        <w:t>.</w:t>
      </w:r>
    </w:p>
  </w:footnote>
  <w:footnote w:id="25">
    <w:p w:rsidR="00753437" w:rsidRPr="00907CBC" w:rsidRDefault="00753437" w:rsidP="00EF3D0C">
      <w:pPr>
        <w:pStyle w:val="FootnoteText"/>
        <w:rPr>
          <w:sz w:val="22"/>
          <w:szCs w:val="22"/>
        </w:rPr>
      </w:pPr>
      <w:r w:rsidRPr="00907CBC">
        <w:rPr>
          <w:rStyle w:val="FootnoteReference"/>
          <w:sz w:val="22"/>
          <w:szCs w:val="22"/>
        </w:rPr>
        <w:footnoteRef/>
      </w:r>
      <w:r w:rsidRPr="00907CBC">
        <w:rPr>
          <w:sz w:val="22"/>
          <w:szCs w:val="22"/>
        </w:rPr>
        <w:t xml:space="preserve"> </w:t>
      </w:r>
      <w:r w:rsidRPr="00A5154E">
        <w:rPr>
          <w:i/>
          <w:sz w:val="22"/>
          <w:szCs w:val="22"/>
        </w:rPr>
        <w:t>See</w:t>
      </w:r>
      <w:r w:rsidRPr="00A5154E">
        <w:rPr>
          <w:sz w:val="22"/>
          <w:szCs w:val="22"/>
        </w:rPr>
        <w:t xml:space="preserve"> </w:t>
      </w:r>
      <w:r w:rsidRPr="006A450C">
        <w:rPr>
          <w:sz w:val="22"/>
          <w:szCs w:val="22"/>
        </w:rPr>
        <w:t xml:space="preserve">Table </w:t>
      </w:r>
      <w:r>
        <w:rPr>
          <w:sz w:val="22"/>
          <w:szCs w:val="22"/>
        </w:rPr>
        <w:t>2-3</w:t>
      </w:r>
      <w:r w:rsidRPr="006A450C">
        <w:rPr>
          <w:sz w:val="22"/>
          <w:szCs w:val="22"/>
        </w:rPr>
        <w:t xml:space="preserve">: </w:t>
      </w:r>
      <w:r>
        <w:rPr>
          <w:sz w:val="22"/>
          <w:szCs w:val="22"/>
        </w:rPr>
        <w:t>Phase II Compliance Summary by EDC of the SWE Final Report.</w:t>
      </w:r>
    </w:p>
  </w:footnote>
  <w:footnote w:id="26">
    <w:p w:rsidR="00753437" w:rsidRPr="003C476E" w:rsidRDefault="00753437" w:rsidP="0033456C">
      <w:pPr>
        <w:pStyle w:val="FootnoteText"/>
        <w:rPr>
          <w:sz w:val="22"/>
          <w:szCs w:val="22"/>
        </w:rPr>
      </w:pPr>
      <w:r w:rsidRPr="003C476E">
        <w:rPr>
          <w:rStyle w:val="FootnoteReference"/>
          <w:sz w:val="22"/>
          <w:szCs w:val="22"/>
        </w:rPr>
        <w:footnoteRef/>
      </w:r>
      <w:r w:rsidRPr="003C476E">
        <w:rPr>
          <w:sz w:val="22"/>
          <w:szCs w:val="22"/>
        </w:rPr>
        <w:t xml:space="preserve"> </w:t>
      </w:r>
      <w:r w:rsidRPr="003C476E">
        <w:rPr>
          <w:i/>
          <w:sz w:val="22"/>
          <w:szCs w:val="22"/>
        </w:rPr>
        <w:t xml:space="preserve">See </w:t>
      </w:r>
      <w:r w:rsidRPr="00065FB4">
        <w:rPr>
          <w:i/>
          <w:sz w:val="22"/>
          <w:szCs w:val="22"/>
        </w:rPr>
        <w:t>Phase II Targets Order</w:t>
      </w:r>
      <w:r>
        <w:rPr>
          <w:sz w:val="22"/>
          <w:szCs w:val="22"/>
        </w:rPr>
        <w:t xml:space="preserve"> at 24.</w:t>
      </w:r>
    </w:p>
  </w:footnote>
  <w:footnote w:id="27">
    <w:p w:rsidR="00753437" w:rsidRPr="003C476E" w:rsidRDefault="00753437" w:rsidP="0033456C">
      <w:pPr>
        <w:pStyle w:val="FootnoteText"/>
        <w:rPr>
          <w:sz w:val="22"/>
          <w:szCs w:val="22"/>
        </w:rPr>
      </w:pPr>
      <w:r w:rsidRPr="003C476E">
        <w:rPr>
          <w:rStyle w:val="FootnoteReference"/>
          <w:sz w:val="22"/>
          <w:szCs w:val="22"/>
        </w:rPr>
        <w:footnoteRef/>
      </w:r>
      <w:r w:rsidRPr="003C476E">
        <w:rPr>
          <w:sz w:val="22"/>
          <w:szCs w:val="22"/>
        </w:rPr>
        <w:t xml:space="preserve"> </w:t>
      </w:r>
      <w:r w:rsidRPr="00907CBC">
        <w:rPr>
          <w:i/>
          <w:sz w:val="22"/>
          <w:szCs w:val="22"/>
        </w:rPr>
        <w:t xml:space="preserve">See Annual Report to the Pennsylvania Public Utility Commission: </w:t>
      </w:r>
      <w:r>
        <w:rPr>
          <w:i/>
          <w:sz w:val="22"/>
          <w:szCs w:val="22"/>
        </w:rPr>
        <w:t xml:space="preserve">For the period June 1, 2015 to May 31, 2016, </w:t>
      </w:r>
      <w:r w:rsidRPr="00907CBC">
        <w:rPr>
          <w:sz w:val="22"/>
          <w:szCs w:val="22"/>
        </w:rPr>
        <w:t xml:space="preserve">at Docket </w:t>
      </w:r>
      <w:r>
        <w:rPr>
          <w:sz w:val="22"/>
          <w:szCs w:val="22"/>
        </w:rPr>
        <w:t>No. M-2012-2334395</w:t>
      </w:r>
      <w:r w:rsidRPr="00907CBC">
        <w:rPr>
          <w:sz w:val="22"/>
          <w:szCs w:val="22"/>
        </w:rPr>
        <w:t>, (Pen</w:t>
      </w:r>
      <w:r>
        <w:rPr>
          <w:sz w:val="22"/>
          <w:szCs w:val="22"/>
        </w:rPr>
        <w:t xml:space="preserve">n Power </w:t>
      </w:r>
      <w:r w:rsidRPr="00907CBC">
        <w:rPr>
          <w:sz w:val="22"/>
          <w:szCs w:val="22"/>
        </w:rPr>
        <w:t>PY</w:t>
      </w:r>
      <w:r>
        <w:rPr>
          <w:sz w:val="22"/>
          <w:szCs w:val="22"/>
        </w:rPr>
        <w:t>7</w:t>
      </w:r>
      <w:r w:rsidRPr="00907CBC">
        <w:rPr>
          <w:sz w:val="22"/>
          <w:szCs w:val="22"/>
        </w:rPr>
        <w:t xml:space="preserve"> Final Annual Report), at 1, </w:t>
      </w:r>
      <w:r>
        <w:rPr>
          <w:sz w:val="22"/>
          <w:szCs w:val="22"/>
        </w:rPr>
        <w:t xml:space="preserve">prepared by ADM Associates, </w:t>
      </w:r>
      <w:proofErr w:type="spellStart"/>
      <w:r>
        <w:rPr>
          <w:sz w:val="22"/>
          <w:szCs w:val="22"/>
        </w:rPr>
        <w:t>TeraTech</w:t>
      </w:r>
      <w:proofErr w:type="spellEnd"/>
      <w:r>
        <w:rPr>
          <w:sz w:val="22"/>
          <w:szCs w:val="22"/>
        </w:rPr>
        <w:t xml:space="preserve"> MA, and Penn Power, </w:t>
      </w:r>
      <w:r w:rsidRPr="00A5154E">
        <w:rPr>
          <w:sz w:val="22"/>
          <w:szCs w:val="22"/>
        </w:rPr>
        <w:t>filed November 15, 201</w:t>
      </w:r>
      <w:r>
        <w:rPr>
          <w:sz w:val="22"/>
          <w:szCs w:val="22"/>
        </w:rPr>
        <w:t>6</w:t>
      </w:r>
      <w:r w:rsidRPr="00A5154E">
        <w:rPr>
          <w:sz w:val="22"/>
          <w:szCs w:val="22"/>
        </w:rPr>
        <w:t>.</w:t>
      </w:r>
    </w:p>
  </w:footnote>
  <w:footnote w:id="28">
    <w:p w:rsidR="00753437" w:rsidRPr="003C476E" w:rsidRDefault="00753437" w:rsidP="0033456C">
      <w:pPr>
        <w:pStyle w:val="FootnoteText"/>
        <w:rPr>
          <w:sz w:val="22"/>
          <w:szCs w:val="22"/>
        </w:rPr>
      </w:pPr>
      <w:r w:rsidRPr="003C476E">
        <w:rPr>
          <w:rStyle w:val="FootnoteReference"/>
          <w:sz w:val="22"/>
          <w:szCs w:val="22"/>
        </w:rPr>
        <w:footnoteRef/>
      </w:r>
      <w:r w:rsidRPr="003C476E">
        <w:rPr>
          <w:sz w:val="22"/>
          <w:szCs w:val="22"/>
        </w:rPr>
        <w:t xml:space="preserve"> </w:t>
      </w:r>
      <w:r w:rsidRPr="00A5154E">
        <w:rPr>
          <w:i/>
          <w:sz w:val="22"/>
          <w:szCs w:val="22"/>
        </w:rPr>
        <w:t>See</w:t>
      </w:r>
      <w:r w:rsidRPr="00A5154E">
        <w:rPr>
          <w:sz w:val="22"/>
          <w:szCs w:val="22"/>
        </w:rPr>
        <w:t xml:space="preserve"> </w:t>
      </w:r>
      <w:r w:rsidRPr="006A450C">
        <w:rPr>
          <w:sz w:val="22"/>
          <w:szCs w:val="22"/>
        </w:rPr>
        <w:t xml:space="preserve">Table </w:t>
      </w:r>
      <w:r>
        <w:rPr>
          <w:sz w:val="22"/>
          <w:szCs w:val="22"/>
        </w:rPr>
        <w:t>2-3</w:t>
      </w:r>
      <w:r w:rsidRPr="006A450C">
        <w:rPr>
          <w:sz w:val="22"/>
          <w:szCs w:val="22"/>
        </w:rPr>
        <w:t xml:space="preserve">: </w:t>
      </w:r>
      <w:r>
        <w:rPr>
          <w:sz w:val="22"/>
          <w:szCs w:val="22"/>
        </w:rPr>
        <w:t>Phase II Compliance Summary by EDC of the SWE Final Report.</w:t>
      </w:r>
    </w:p>
  </w:footnote>
  <w:footnote w:id="29">
    <w:p w:rsidR="00753437" w:rsidRPr="00904F93" w:rsidRDefault="00753437" w:rsidP="00276194">
      <w:pPr>
        <w:pStyle w:val="FootnoteText"/>
        <w:rPr>
          <w:sz w:val="22"/>
          <w:szCs w:val="22"/>
        </w:rPr>
      </w:pPr>
      <w:r w:rsidRPr="003C476E">
        <w:rPr>
          <w:rStyle w:val="FootnoteReference"/>
          <w:sz w:val="22"/>
          <w:szCs w:val="22"/>
        </w:rPr>
        <w:footnoteRef/>
      </w:r>
      <w:r w:rsidRPr="003C476E">
        <w:rPr>
          <w:sz w:val="22"/>
          <w:szCs w:val="22"/>
        </w:rPr>
        <w:t xml:space="preserve"> </w:t>
      </w:r>
      <w:r w:rsidRPr="00904F93">
        <w:rPr>
          <w:i/>
          <w:sz w:val="22"/>
          <w:szCs w:val="22"/>
        </w:rPr>
        <w:t xml:space="preserve">See </w:t>
      </w:r>
      <w:r w:rsidRPr="00065FB4">
        <w:rPr>
          <w:i/>
          <w:sz w:val="22"/>
          <w:szCs w:val="22"/>
        </w:rPr>
        <w:t>Phase II Targets Order</w:t>
      </w:r>
      <w:r w:rsidRPr="00904F93">
        <w:rPr>
          <w:sz w:val="22"/>
          <w:szCs w:val="22"/>
        </w:rPr>
        <w:t xml:space="preserve"> at 24</w:t>
      </w:r>
      <w:r>
        <w:rPr>
          <w:sz w:val="22"/>
          <w:szCs w:val="22"/>
        </w:rPr>
        <w:t>.</w:t>
      </w:r>
    </w:p>
  </w:footnote>
  <w:footnote w:id="30">
    <w:p w:rsidR="00753437" w:rsidRPr="00904F93" w:rsidRDefault="00753437" w:rsidP="00276194">
      <w:pPr>
        <w:pStyle w:val="FootnoteText"/>
        <w:rPr>
          <w:sz w:val="22"/>
          <w:szCs w:val="22"/>
        </w:rPr>
      </w:pPr>
      <w:r w:rsidRPr="00904F93">
        <w:rPr>
          <w:rStyle w:val="FootnoteReference"/>
          <w:sz w:val="22"/>
          <w:szCs w:val="22"/>
        </w:rPr>
        <w:footnoteRef/>
      </w:r>
      <w:r w:rsidRPr="00904F93">
        <w:rPr>
          <w:sz w:val="22"/>
          <w:szCs w:val="22"/>
        </w:rPr>
        <w:t xml:space="preserve"> </w:t>
      </w:r>
      <w:r w:rsidRPr="00904F93">
        <w:rPr>
          <w:i/>
          <w:sz w:val="22"/>
          <w:szCs w:val="22"/>
        </w:rPr>
        <w:t xml:space="preserve">See Annual Report to the Pennsylvania Public Utility Commission: For the period June 1, 2015 to May 31, 2016, </w:t>
      </w:r>
      <w:r w:rsidRPr="00904F93">
        <w:rPr>
          <w:sz w:val="22"/>
          <w:szCs w:val="22"/>
        </w:rPr>
        <w:t>at Docket No. M-2012-2334388, (PPL PY7 Final Annual Report), at 5, prepared by Cadmus Group, Inc., filed November 15, 2016.</w:t>
      </w:r>
    </w:p>
  </w:footnote>
  <w:footnote w:id="31">
    <w:p w:rsidR="00753437" w:rsidRPr="00904F93" w:rsidRDefault="00753437" w:rsidP="00276194">
      <w:pPr>
        <w:pStyle w:val="FootnoteText"/>
        <w:rPr>
          <w:sz w:val="22"/>
          <w:szCs w:val="22"/>
        </w:rPr>
      </w:pPr>
      <w:r w:rsidRPr="00904F93">
        <w:rPr>
          <w:rStyle w:val="FootnoteReference"/>
          <w:sz w:val="22"/>
          <w:szCs w:val="22"/>
        </w:rPr>
        <w:footnoteRef/>
      </w:r>
      <w:r w:rsidRPr="00904F93">
        <w:rPr>
          <w:sz w:val="22"/>
          <w:szCs w:val="22"/>
        </w:rPr>
        <w:t xml:space="preserve"> </w:t>
      </w:r>
      <w:r w:rsidRPr="00904F93">
        <w:rPr>
          <w:i/>
          <w:sz w:val="22"/>
          <w:szCs w:val="22"/>
        </w:rPr>
        <w:t>See</w:t>
      </w:r>
      <w:r w:rsidRPr="00904F93">
        <w:rPr>
          <w:sz w:val="22"/>
          <w:szCs w:val="22"/>
        </w:rPr>
        <w:t xml:space="preserve"> Table 2-3: Phase II Compliance Summary by EDC of the SWE Final Report.</w:t>
      </w:r>
    </w:p>
  </w:footnote>
  <w:footnote w:id="32">
    <w:p w:rsidR="00753437" w:rsidRPr="00904F93" w:rsidRDefault="00753437" w:rsidP="0009739F">
      <w:pPr>
        <w:pStyle w:val="FootnoteText"/>
        <w:rPr>
          <w:sz w:val="22"/>
          <w:szCs w:val="22"/>
        </w:rPr>
      </w:pPr>
      <w:r w:rsidRPr="00904F93">
        <w:rPr>
          <w:rStyle w:val="FootnoteReference"/>
          <w:sz w:val="22"/>
          <w:szCs w:val="22"/>
        </w:rPr>
        <w:footnoteRef/>
      </w:r>
      <w:r w:rsidRPr="00904F93">
        <w:rPr>
          <w:sz w:val="22"/>
          <w:szCs w:val="22"/>
        </w:rPr>
        <w:t xml:space="preserve"> </w:t>
      </w:r>
      <w:r w:rsidRPr="00904F93">
        <w:rPr>
          <w:i/>
          <w:sz w:val="22"/>
          <w:szCs w:val="22"/>
        </w:rPr>
        <w:t xml:space="preserve">See </w:t>
      </w:r>
      <w:r w:rsidRPr="00065FB4">
        <w:rPr>
          <w:i/>
          <w:sz w:val="22"/>
          <w:szCs w:val="22"/>
        </w:rPr>
        <w:t>Phase II Targets Order</w:t>
      </w:r>
      <w:r w:rsidRPr="00904F93">
        <w:rPr>
          <w:sz w:val="22"/>
          <w:szCs w:val="22"/>
        </w:rPr>
        <w:t xml:space="preserve"> at 24</w:t>
      </w:r>
      <w:r>
        <w:rPr>
          <w:sz w:val="22"/>
          <w:szCs w:val="22"/>
        </w:rPr>
        <w:t>.</w:t>
      </w:r>
    </w:p>
  </w:footnote>
  <w:footnote w:id="33">
    <w:p w:rsidR="00753437" w:rsidRPr="003C476E" w:rsidRDefault="00753437" w:rsidP="0009739F">
      <w:pPr>
        <w:pStyle w:val="FootnoteText"/>
        <w:rPr>
          <w:sz w:val="22"/>
          <w:szCs w:val="22"/>
        </w:rPr>
      </w:pPr>
      <w:r w:rsidRPr="00904F93">
        <w:rPr>
          <w:rStyle w:val="FootnoteReference"/>
          <w:sz w:val="22"/>
          <w:szCs w:val="22"/>
        </w:rPr>
        <w:footnoteRef/>
      </w:r>
      <w:r w:rsidRPr="00904F93">
        <w:rPr>
          <w:sz w:val="22"/>
          <w:szCs w:val="22"/>
        </w:rPr>
        <w:t xml:space="preserve"> </w:t>
      </w:r>
      <w:r w:rsidRPr="00904F93">
        <w:rPr>
          <w:i/>
          <w:sz w:val="22"/>
          <w:szCs w:val="22"/>
        </w:rPr>
        <w:t xml:space="preserve">See Annual Report to the Pennsylvania Public Utility Commission: For the period June 1, 2015 to May 31, 2016, </w:t>
      </w:r>
      <w:r w:rsidRPr="00904F93">
        <w:rPr>
          <w:sz w:val="22"/>
          <w:szCs w:val="22"/>
        </w:rPr>
        <w:t xml:space="preserve">at Docket No. M-2012-2334398, (West Penn PY7 Final Annual Report), at 1, prepared by ADM Associates, </w:t>
      </w:r>
      <w:proofErr w:type="spellStart"/>
      <w:r w:rsidRPr="00904F93">
        <w:rPr>
          <w:sz w:val="22"/>
          <w:szCs w:val="22"/>
        </w:rPr>
        <w:t>TeraTech</w:t>
      </w:r>
      <w:proofErr w:type="spellEnd"/>
      <w:r w:rsidRPr="00904F93">
        <w:rPr>
          <w:sz w:val="22"/>
          <w:szCs w:val="22"/>
        </w:rPr>
        <w:t xml:space="preserve"> MA, and West Penn, filed November 15, 2016.</w:t>
      </w:r>
    </w:p>
  </w:footnote>
  <w:footnote w:id="34">
    <w:p w:rsidR="00753437" w:rsidRPr="003C476E" w:rsidRDefault="00753437" w:rsidP="0009739F">
      <w:pPr>
        <w:pStyle w:val="FootnoteText"/>
        <w:rPr>
          <w:sz w:val="22"/>
          <w:szCs w:val="22"/>
        </w:rPr>
      </w:pPr>
      <w:r w:rsidRPr="003C476E">
        <w:rPr>
          <w:rStyle w:val="FootnoteReference"/>
          <w:sz w:val="22"/>
          <w:szCs w:val="22"/>
        </w:rPr>
        <w:footnoteRef/>
      </w:r>
      <w:r w:rsidRPr="003C476E">
        <w:rPr>
          <w:sz w:val="22"/>
          <w:szCs w:val="22"/>
        </w:rPr>
        <w:t xml:space="preserve"> </w:t>
      </w:r>
      <w:r w:rsidRPr="00A5154E">
        <w:rPr>
          <w:i/>
          <w:sz w:val="22"/>
          <w:szCs w:val="22"/>
        </w:rPr>
        <w:t>See</w:t>
      </w:r>
      <w:r w:rsidRPr="00A5154E">
        <w:rPr>
          <w:sz w:val="22"/>
          <w:szCs w:val="22"/>
        </w:rPr>
        <w:t xml:space="preserve"> </w:t>
      </w:r>
      <w:r w:rsidRPr="006A450C">
        <w:rPr>
          <w:sz w:val="22"/>
          <w:szCs w:val="22"/>
        </w:rPr>
        <w:t xml:space="preserve">Table </w:t>
      </w:r>
      <w:r>
        <w:rPr>
          <w:sz w:val="22"/>
          <w:szCs w:val="22"/>
        </w:rPr>
        <w:t>2-3</w:t>
      </w:r>
      <w:r w:rsidRPr="006A450C">
        <w:rPr>
          <w:sz w:val="22"/>
          <w:szCs w:val="22"/>
        </w:rPr>
        <w:t xml:space="preserve">: </w:t>
      </w:r>
      <w:r>
        <w:rPr>
          <w:sz w:val="22"/>
          <w:szCs w:val="22"/>
        </w:rPr>
        <w:t>Phase II Compliance Summary by EDC of the SWE Final Report.</w:t>
      </w:r>
    </w:p>
  </w:footnote>
  <w:footnote w:id="35">
    <w:p w:rsidR="00753437" w:rsidRDefault="00753437">
      <w:pPr>
        <w:pStyle w:val="FootnoteText"/>
      </w:pPr>
      <w:r w:rsidRPr="00065FB4">
        <w:rPr>
          <w:rStyle w:val="FootnoteReference"/>
          <w:sz w:val="22"/>
          <w:szCs w:val="22"/>
        </w:rPr>
        <w:footnoteRef/>
      </w:r>
      <w:r w:rsidRPr="00065FB4">
        <w:rPr>
          <w:sz w:val="22"/>
          <w:szCs w:val="22"/>
        </w:rPr>
        <w:t xml:space="preserve"> </w:t>
      </w:r>
      <w:r w:rsidRPr="00890C88">
        <w:rPr>
          <w:i/>
          <w:sz w:val="22"/>
          <w:szCs w:val="22"/>
        </w:rPr>
        <w:t>See</w:t>
      </w:r>
      <w:r w:rsidRPr="00890C88">
        <w:rPr>
          <w:sz w:val="22"/>
          <w:szCs w:val="22"/>
        </w:rPr>
        <w:t xml:space="preserve"> </w:t>
      </w:r>
      <w:r w:rsidRPr="00065FB4">
        <w:rPr>
          <w:i/>
          <w:sz w:val="22"/>
          <w:szCs w:val="22"/>
        </w:rPr>
        <w:t>Phase II Implementation Order</w:t>
      </w:r>
      <w:r w:rsidRPr="00890C88">
        <w:rPr>
          <w:sz w:val="22"/>
          <w:szCs w:val="22"/>
        </w:rPr>
        <w:t xml:space="preserve"> at </w:t>
      </w:r>
      <w:r>
        <w:rPr>
          <w:sz w:val="22"/>
          <w:szCs w:val="22"/>
        </w:rPr>
        <w:t>45</w:t>
      </w:r>
      <w:r w:rsidRPr="00890C88">
        <w:rPr>
          <w:sz w:val="22"/>
          <w:szCs w:val="22"/>
        </w:rPr>
        <w:t>.</w:t>
      </w:r>
    </w:p>
  </w:footnote>
  <w:footnote w:id="36">
    <w:p w:rsidR="00753437" w:rsidRPr="00FF34E4" w:rsidRDefault="00753437" w:rsidP="00FB1ABB">
      <w:pPr>
        <w:pStyle w:val="Caption"/>
        <w:keepNext/>
        <w:rPr>
          <w:b w:val="0"/>
        </w:rPr>
      </w:pPr>
      <w:r w:rsidRPr="00420506">
        <w:rPr>
          <w:rStyle w:val="FootnoteReference"/>
          <w:b w:val="0"/>
          <w:sz w:val="22"/>
          <w:szCs w:val="22"/>
        </w:rPr>
        <w:footnoteRef/>
      </w:r>
      <w:r w:rsidRPr="00154A02">
        <w:rPr>
          <w:sz w:val="22"/>
          <w:szCs w:val="22"/>
        </w:rPr>
        <w:t xml:space="preserve"> </w:t>
      </w:r>
      <w:r w:rsidRPr="00FF34E4">
        <w:rPr>
          <w:b w:val="0"/>
          <w:i/>
          <w:sz w:val="22"/>
          <w:szCs w:val="22"/>
        </w:rPr>
        <w:t>See</w:t>
      </w:r>
      <w:r w:rsidRPr="00FF34E4">
        <w:rPr>
          <w:b w:val="0"/>
          <w:sz w:val="22"/>
          <w:szCs w:val="22"/>
        </w:rPr>
        <w:t xml:space="preserve"> Table 2-2: Act 129 Phase II Three-Year Low-Income and GNI Energy Efficiency Reduction Targets of the </w:t>
      </w:r>
      <w:r>
        <w:rPr>
          <w:b w:val="0"/>
          <w:sz w:val="22"/>
          <w:szCs w:val="22"/>
        </w:rPr>
        <w:t>SWE</w:t>
      </w:r>
      <w:r w:rsidRPr="00FF34E4">
        <w:rPr>
          <w:b w:val="0"/>
          <w:sz w:val="22"/>
          <w:szCs w:val="22"/>
        </w:rPr>
        <w:t xml:space="preserve"> Final Report. </w:t>
      </w:r>
    </w:p>
  </w:footnote>
  <w:footnote w:id="37">
    <w:p w:rsidR="00753437" w:rsidRPr="00FF34E4" w:rsidRDefault="00753437" w:rsidP="009A1D68">
      <w:pPr>
        <w:pStyle w:val="FootnoteText"/>
        <w:rPr>
          <w:sz w:val="22"/>
          <w:szCs w:val="22"/>
        </w:rPr>
      </w:pPr>
      <w:r w:rsidRPr="00FF34E4">
        <w:rPr>
          <w:rStyle w:val="FootnoteReference"/>
          <w:sz w:val="22"/>
          <w:szCs w:val="22"/>
        </w:rPr>
        <w:footnoteRef/>
      </w:r>
      <w:r w:rsidRPr="00FF34E4">
        <w:rPr>
          <w:sz w:val="22"/>
          <w:szCs w:val="22"/>
        </w:rPr>
        <w:t xml:space="preserve"> </w:t>
      </w:r>
      <w:r w:rsidRPr="00FF34E4">
        <w:rPr>
          <w:i/>
          <w:sz w:val="22"/>
          <w:szCs w:val="22"/>
        </w:rPr>
        <w:t>See</w:t>
      </w:r>
      <w:r w:rsidRPr="00FF34E4">
        <w:rPr>
          <w:sz w:val="22"/>
          <w:szCs w:val="22"/>
        </w:rPr>
        <w:t xml:space="preserve"> Duquesne PY7 Final Annual Report at 5. </w:t>
      </w:r>
    </w:p>
  </w:footnote>
  <w:footnote w:id="38">
    <w:p w:rsidR="00753437" w:rsidRPr="00FF34E4" w:rsidRDefault="00753437" w:rsidP="009A1D68">
      <w:pPr>
        <w:pStyle w:val="FootnoteText"/>
        <w:rPr>
          <w:sz w:val="22"/>
          <w:szCs w:val="22"/>
        </w:rPr>
      </w:pPr>
      <w:r w:rsidRPr="00FF34E4">
        <w:rPr>
          <w:rStyle w:val="FootnoteReference"/>
          <w:sz w:val="22"/>
          <w:szCs w:val="22"/>
        </w:rPr>
        <w:footnoteRef/>
      </w:r>
      <w:r w:rsidRPr="00FF34E4">
        <w:rPr>
          <w:sz w:val="22"/>
          <w:szCs w:val="22"/>
        </w:rPr>
        <w:t xml:space="preserve"> </w:t>
      </w:r>
      <w:r w:rsidRPr="00FF34E4">
        <w:rPr>
          <w:i/>
          <w:sz w:val="22"/>
          <w:szCs w:val="22"/>
        </w:rPr>
        <w:t>See</w:t>
      </w:r>
      <w:r w:rsidRPr="00FF34E4">
        <w:rPr>
          <w:sz w:val="22"/>
          <w:szCs w:val="22"/>
        </w:rPr>
        <w:t xml:space="preserve"> Table 2-5: GNI Carve-Out Goal Performance, Summary by EDC, of the </w:t>
      </w:r>
      <w:r>
        <w:rPr>
          <w:sz w:val="22"/>
          <w:szCs w:val="22"/>
        </w:rPr>
        <w:t>SWE</w:t>
      </w:r>
      <w:r w:rsidRPr="00FF34E4">
        <w:rPr>
          <w:sz w:val="22"/>
          <w:szCs w:val="22"/>
        </w:rPr>
        <w:t xml:space="preserve"> Final Report</w:t>
      </w:r>
      <w:r>
        <w:rPr>
          <w:sz w:val="22"/>
          <w:szCs w:val="22"/>
        </w:rPr>
        <w:t>.</w:t>
      </w:r>
    </w:p>
  </w:footnote>
  <w:footnote w:id="39">
    <w:p w:rsidR="00753437" w:rsidRPr="00FF34E4" w:rsidRDefault="00753437" w:rsidP="00CA58B0">
      <w:pPr>
        <w:pStyle w:val="FootnoteText"/>
        <w:rPr>
          <w:sz w:val="22"/>
          <w:szCs w:val="22"/>
        </w:rPr>
      </w:pPr>
      <w:r w:rsidRPr="00FF34E4">
        <w:rPr>
          <w:rStyle w:val="FootnoteReference"/>
          <w:sz w:val="22"/>
          <w:szCs w:val="22"/>
        </w:rPr>
        <w:footnoteRef/>
      </w:r>
      <w:r w:rsidRPr="00FF34E4">
        <w:rPr>
          <w:sz w:val="22"/>
          <w:szCs w:val="22"/>
        </w:rPr>
        <w:t xml:space="preserve"> </w:t>
      </w:r>
      <w:r w:rsidRPr="00FF34E4">
        <w:rPr>
          <w:i/>
          <w:sz w:val="22"/>
          <w:szCs w:val="22"/>
        </w:rPr>
        <w:t xml:space="preserve">See </w:t>
      </w:r>
      <w:r w:rsidRPr="00FF34E4">
        <w:rPr>
          <w:sz w:val="22"/>
          <w:szCs w:val="22"/>
        </w:rPr>
        <w:t xml:space="preserve">Table 2-2: Act 129 Phase II Three-Year Low-Income and GNI Energy Efficiency Reduction Targets of the </w:t>
      </w:r>
      <w:r>
        <w:rPr>
          <w:sz w:val="22"/>
          <w:szCs w:val="22"/>
        </w:rPr>
        <w:t>SWE</w:t>
      </w:r>
      <w:r w:rsidRPr="00FF34E4">
        <w:rPr>
          <w:sz w:val="22"/>
          <w:szCs w:val="22"/>
        </w:rPr>
        <w:t xml:space="preserve"> Final Report.</w:t>
      </w:r>
    </w:p>
  </w:footnote>
  <w:footnote w:id="40">
    <w:p w:rsidR="00753437" w:rsidRPr="00154A02" w:rsidRDefault="00753437" w:rsidP="00CA58B0">
      <w:pPr>
        <w:pStyle w:val="FootnoteText"/>
        <w:rPr>
          <w:sz w:val="22"/>
          <w:szCs w:val="22"/>
        </w:rPr>
      </w:pPr>
      <w:r w:rsidRPr="00FF34E4">
        <w:rPr>
          <w:rStyle w:val="FootnoteReference"/>
          <w:sz w:val="22"/>
          <w:szCs w:val="22"/>
        </w:rPr>
        <w:footnoteRef/>
      </w:r>
      <w:r w:rsidRPr="00FF34E4">
        <w:rPr>
          <w:sz w:val="22"/>
          <w:szCs w:val="22"/>
        </w:rPr>
        <w:t xml:space="preserve"> </w:t>
      </w:r>
      <w:r w:rsidRPr="00FF34E4">
        <w:rPr>
          <w:i/>
          <w:sz w:val="22"/>
          <w:szCs w:val="22"/>
        </w:rPr>
        <w:t>See</w:t>
      </w:r>
      <w:r w:rsidRPr="00FF34E4">
        <w:rPr>
          <w:sz w:val="22"/>
          <w:szCs w:val="22"/>
        </w:rPr>
        <w:t xml:space="preserve"> Met-Ed PY7 Final Annual Report at 4.</w:t>
      </w:r>
      <w:r w:rsidRPr="00154A02">
        <w:rPr>
          <w:sz w:val="22"/>
          <w:szCs w:val="22"/>
        </w:rPr>
        <w:t xml:space="preserve"> </w:t>
      </w:r>
    </w:p>
  </w:footnote>
  <w:footnote w:id="41">
    <w:p w:rsidR="00753437" w:rsidRPr="00154A02" w:rsidRDefault="00753437" w:rsidP="00CA58B0">
      <w:pPr>
        <w:pStyle w:val="FootnoteText"/>
        <w:rPr>
          <w:sz w:val="22"/>
          <w:szCs w:val="22"/>
        </w:rPr>
      </w:pPr>
      <w:r w:rsidRPr="00154A02">
        <w:rPr>
          <w:rStyle w:val="FootnoteReference"/>
          <w:sz w:val="22"/>
          <w:szCs w:val="22"/>
        </w:rPr>
        <w:footnoteRef/>
      </w:r>
      <w:r w:rsidRPr="00154A02">
        <w:rPr>
          <w:sz w:val="22"/>
          <w:szCs w:val="22"/>
        </w:rPr>
        <w:t xml:space="preserve"> </w:t>
      </w:r>
      <w:r w:rsidRPr="00154A02">
        <w:rPr>
          <w:i/>
          <w:sz w:val="22"/>
          <w:szCs w:val="22"/>
        </w:rPr>
        <w:t>See</w:t>
      </w:r>
      <w:r w:rsidRPr="00154A02">
        <w:rPr>
          <w:sz w:val="22"/>
          <w:szCs w:val="22"/>
        </w:rPr>
        <w:t xml:space="preserve"> </w:t>
      </w:r>
      <w:r>
        <w:rPr>
          <w:sz w:val="22"/>
          <w:szCs w:val="22"/>
        </w:rPr>
        <w:t>Table 2-5: GNI Carve-Out Goal Performance, Summary by EDC, of the SWE Final Report.</w:t>
      </w:r>
    </w:p>
  </w:footnote>
  <w:footnote w:id="42">
    <w:p w:rsidR="00753437" w:rsidRPr="00B7291D" w:rsidRDefault="00753437" w:rsidP="00560CB6">
      <w:pPr>
        <w:pStyle w:val="FootnoteText"/>
        <w:rPr>
          <w:sz w:val="22"/>
          <w:szCs w:val="22"/>
        </w:rPr>
      </w:pPr>
      <w:r w:rsidRPr="00B7291D">
        <w:rPr>
          <w:rStyle w:val="FootnoteReference"/>
          <w:sz w:val="22"/>
          <w:szCs w:val="22"/>
        </w:rPr>
        <w:footnoteRef/>
      </w:r>
      <w:r w:rsidRPr="00B7291D">
        <w:rPr>
          <w:sz w:val="22"/>
          <w:szCs w:val="22"/>
        </w:rPr>
        <w:t xml:space="preserve"> </w:t>
      </w:r>
      <w:r w:rsidRPr="00FF34E4">
        <w:rPr>
          <w:i/>
          <w:sz w:val="22"/>
          <w:szCs w:val="22"/>
        </w:rPr>
        <w:t>See</w:t>
      </w:r>
      <w:r w:rsidRPr="00FF34E4">
        <w:rPr>
          <w:sz w:val="22"/>
          <w:szCs w:val="22"/>
        </w:rPr>
        <w:t xml:space="preserve"> Table 2-2: Act 129 Phase II Three-Year Low-Income and GNI Energy Efficiency Reduction Targets of the </w:t>
      </w:r>
      <w:r>
        <w:rPr>
          <w:sz w:val="22"/>
          <w:szCs w:val="22"/>
        </w:rPr>
        <w:t>SWE</w:t>
      </w:r>
      <w:r w:rsidRPr="00FF34E4">
        <w:rPr>
          <w:sz w:val="22"/>
          <w:szCs w:val="22"/>
        </w:rPr>
        <w:t xml:space="preserve"> Final Report.</w:t>
      </w:r>
    </w:p>
  </w:footnote>
  <w:footnote w:id="43">
    <w:p w:rsidR="00753437" w:rsidRPr="00154A02" w:rsidRDefault="00753437" w:rsidP="00481FC3">
      <w:pPr>
        <w:pStyle w:val="FootnoteText"/>
        <w:rPr>
          <w:sz w:val="22"/>
          <w:szCs w:val="22"/>
        </w:rPr>
      </w:pPr>
      <w:r w:rsidRPr="00154A02">
        <w:rPr>
          <w:rStyle w:val="FootnoteReference"/>
          <w:sz w:val="22"/>
          <w:szCs w:val="22"/>
        </w:rPr>
        <w:footnoteRef/>
      </w:r>
      <w:r w:rsidRPr="00154A02">
        <w:rPr>
          <w:sz w:val="22"/>
          <w:szCs w:val="22"/>
        </w:rPr>
        <w:t xml:space="preserve"> </w:t>
      </w:r>
      <w:r w:rsidRPr="00154A02">
        <w:rPr>
          <w:i/>
          <w:sz w:val="22"/>
          <w:szCs w:val="22"/>
        </w:rPr>
        <w:t>See</w:t>
      </w:r>
      <w:r w:rsidRPr="00154A02">
        <w:rPr>
          <w:sz w:val="22"/>
          <w:szCs w:val="22"/>
        </w:rPr>
        <w:t xml:space="preserve"> </w:t>
      </w:r>
      <w:r>
        <w:rPr>
          <w:sz w:val="22"/>
          <w:szCs w:val="22"/>
        </w:rPr>
        <w:t>PECO</w:t>
      </w:r>
      <w:r w:rsidRPr="00154A02">
        <w:rPr>
          <w:sz w:val="22"/>
          <w:szCs w:val="22"/>
        </w:rPr>
        <w:t xml:space="preserve"> PY</w:t>
      </w:r>
      <w:r>
        <w:rPr>
          <w:sz w:val="22"/>
          <w:szCs w:val="22"/>
        </w:rPr>
        <w:t>7</w:t>
      </w:r>
      <w:r w:rsidRPr="00154A02">
        <w:rPr>
          <w:sz w:val="22"/>
          <w:szCs w:val="22"/>
        </w:rPr>
        <w:t xml:space="preserve"> Final Annual Report at </w:t>
      </w:r>
      <w:r>
        <w:rPr>
          <w:sz w:val="22"/>
          <w:szCs w:val="22"/>
        </w:rPr>
        <w:t>4</w:t>
      </w:r>
      <w:r w:rsidRPr="00154A02">
        <w:rPr>
          <w:sz w:val="22"/>
          <w:szCs w:val="22"/>
        </w:rPr>
        <w:t xml:space="preserve">. </w:t>
      </w:r>
    </w:p>
  </w:footnote>
  <w:footnote w:id="44">
    <w:p w:rsidR="00753437" w:rsidRPr="00154A02" w:rsidRDefault="00753437" w:rsidP="00481FC3">
      <w:pPr>
        <w:pStyle w:val="FootnoteText"/>
        <w:rPr>
          <w:sz w:val="22"/>
          <w:szCs w:val="22"/>
        </w:rPr>
      </w:pPr>
      <w:r w:rsidRPr="00154A02">
        <w:rPr>
          <w:rStyle w:val="FootnoteReference"/>
          <w:sz w:val="22"/>
          <w:szCs w:val="22"/>
        </w:rPr>
        <w:footnoteRef/>
      </w:r>
      <w:r w:rsidRPr="00154A02">
        <w:rPr>
          <w:sz w:val="22"/>
          <w:szCs w:val="22"/>
        </w:rPr>
        <w:t xml:space="preserve"> </w:t>
      </w:r>
      <w:r w:rsidRPr="00FF34E4">
        <w:rPr>
          <w:i/>
          <w:sz w:val="22"/>
          <w:szCs w:val="22"/>
        </w:rPr>
        <w:t>See</w:t>
      </w:r>
      <w:r w:rsidRPr="00FF34E4">
        <w:rPr>
          <w:sz w:val="22"/>
          <w:szCs w:val="22"/>
        </w:rPr>
        <w:t xml:space="preserve"> Table 2-5: GNI Carve-Out Goal Performance, Summary by EDC of the </w:t>
      </w:r>
      <w:r>
        <w:rPr>
          <w:sz w:val="22"/>
          <w:szCs w:val="22"/>
        </w:rPr>
        <w:t>SWE</w:t>
      </w:r>
      <w:r w:rsidRPr="00FF34E4">
        <w:rPr>
          <w:sz w:val="22"/>
          <w:szCs w:val="22"/>
        </w:rPr>
        <w:t xml:space="preserve"> Final Report</w:t>
      </w:r>
      <w:r>
        <w:rPr>
          <w:sz w:val="22"/>
          <w:szCs w:val="22"/>
        </w:rPr>
        <w:t>.</w:t>
      </w:r>
    </w:p>
  </w:footnote>
  <w:footnote w:id="45">
    <w:p w:rsidR="00753437" w:rsidRPr="00B7291D" w:rsidRDefault="00753437" w:rsidP="005379AA">
      <w:pPr>
        <w:pStyle w:val="FootnoteText"/>
        <w:rPr>
          <w:sz w:val="22"/>
          <w:szCs w:val="22"/>
        </w:rPr>
      </w:pPr>
      <w:r w:rsidRPr="00B7291D">
        <w:rPr>
          <w:rStyle w:val="FootnoteReference"/>
          <w:sz w:val="22"/>
          <w:szCs w:val="22"/>
        </w:rPr>
        <w:footnoteRef/>
      </w:r>
      <w:r w:rsidRPr="00B7291D">
        <w:rPr>
          <w:sz w:val="22"/>
          <w:szCs w:val="22"/>
        </w:rPr>
        <w:t xml:space="preserve"> </w:t>
      </w:r>
      <w:r w:rsidRPr="00FF34E4">
        <w:rPr>
          <w:i/>
          <w:sz w:val="22"/>
          <w:szCs w:val="22"/>
        </w:rPr>
        <w:t>See</w:t>
      </w:r>
      <w:r w:rsidRPr="00FF34E4">
        <w:rPr>
          <w:sz w:val="22"/>
          <w:szCs w:val="22"/>
        </w:rPr>
        <w:t xml:space="preserve"> Table 2-2: Act 129 Phase II Three-Year Low-Income and GNI Energy Efficiency Reduction Targets of the </w:t>
      </w:r>
      <w:r>
        <w:rPr>
          <w:sz w:val="22"/>
          <w:szCs w:val="22"/>
        </w:rPr>
        <w:t>SWE</w:t>
      </w:r>
      <w:r w:rsidRPr="00FF34E4">
        <w:rPr>
          <w:sz w:val="22"/>
          <w:szCs w:val="22"/>
        </w:rPr>
        <w:t xml:space="preserve"> Final Report.</w:t>
      </w:r>
    </w:p>
  </w:footnote>
  <w:footnote w:id="46">
    <w:p w:rsidR="00753437" w:rsidRPr="00B7291D" w:rsidRDefault="00753437" w:rsidP="005379AA">
      <w:pPr>
        <w:pStyle w:val="FootnoteText"/>
        <w:rPr>
          <w:sz w:val="22"/>
          <w:szCs w:val="22"/>
        </w:rPr>
      </w:pPr>
      <w:r w:rsidRPr="00B7291D">
        <w:rPr>
          <w:rStyle w:val="FootnoteReference"/>
          <w:sz w:val="22"/>
          <w:szCs w:val="22"/>
        </w:rPr>
        <w:footnoteRef/>
      </w:r>
      <w:r w:rsidRPr="00B7291D">
        <w:rPr>
          <w:sz w:val="22"/>
          <w:szCs w:val="22"/>
        </w:rPr>
        <w:t xml:space="preserve"> </w:t>
      </w:r>
      <w:r w:rsidRPr="00B7291D">
        <w:rPr>
          <w:i/>
          <w:sz w:val="22"/>
          <w:szCs w:val="22"/>
        </w:rPr>
        <w:t>See</w:t>
      </w:r>
      <w:r w:rsidRPr="00B7291D">
        <w:rPr>
          <w:sz w:val="22"/>
          <w:szCs w:val="22"/>
        </w:rPr>
        <w:t xml:space="preserve"> Penelec </w:t>
      </w:r>
      <w:r>
        <w:rPr>
          <w:sz w:val="22"/>
          <w:szCs w:val="22"/>
        </w:rPr>
        <w:t>PY7</w:t>
      </w:r>
      <w:r w:rsidRPr="00B7291D">
        <w:rPr>
          <w:sz w:val="22"/>
          <w:szCs w:val="22"/>
        </w:rPr>
        <w:t xml:space="preserve"> Final Annual Report at </w:t>
      </w:r>
      <w:r>
        <w:rPr>
          <w:sz w:val="22"/>
          <w:szCs w:val="22"/>
        </w:rPr>
        <w:t>4</w:t>
      </w:r>
      <w:r w:rsidRPr="00B7291D">
        <w:rPr>
          <w:sz w:val="22"/>
          <w:szCs w:val="22"/>
        </w:rPr>
        <w:t xml:space="preserve">. </w:t>
      </w:r>
    </w:p>
  </w:footnote>
  <w:footnote w:id="47">
    <w:p w:rsidR="00753437" w:rsidRPr="00B7291D" w:rsidRDefault="00753437" w:rsidP="005379AA">
      <w:pPr>
        <w:pStyle w:val="FootnoteText"/>
        <w:rPr>
          <w:sz w:val="22"/>
          <w:szCs w:val="22"/>
        </w:rPr>
      </w:pPr>
      <w:r w:rsidRPr="00B7291D">
        <w:rPr>
          <w:rStyle w:val="FootnoteReference"/>
          <w:sz w:val="22"/>
          <w:szCs w:val="22"/>
        </w:rPr>
        <w:footnoteRef/>
      </w:r>
      <w:r w:rsidRPr="00B7291D">
        <w:rPr>
          <w:sz w:val="22"/>
          <w:szCs w:val="22"/>
        </w:rPr>
        <w:t xml:space="preserve"> </w:t>
      </w:r>
      <w:r w:rsidRPr="00FF34E4">
        <w:rPr>
          <w:i/>
          <w:sz w:val="22"/>
          <w:szCs w:val="22"/>
        </w:rPr>
        <w:t>See</w:t>
      </w:r>
      <w:r w:rsidRPr="00FF34E4">
        <w:rPr>
          <w:sz w:val="22"/>
          <w:szCs w:val="22"/>
        </w:rPr>
        <w:t xml:space="preserve"> Table 2-5: GNI Carve-Out Goal Performance, Summary by EDC, of the </w:t>
      </w:r>
      <w:r>
        <w:rPr>
          <w:sz w:val="22"/>
          <w:szCs w:val="22"/>
        </w:rPr>
        <w:t>SWE</w:t>
      </w:r>
      <w:r w:rsidRPr="00FF34E4">
        <w:rPr>
          <w:sz w:val="22"/>
          <w:szCs w:val="22"/>
        </w:rPr>
        <w:t xml:space="preserve"> Final Report</w:t>
      </w:r>
      <w:r>
        <w:rPr>
          <w:sz w:val="22"/>
          <w:szCs w:val="22"/>
        </w:rPr>
        <w:t>.</w:t>
      </w:r>
    </w:p>
  </w:footnote>
  <w:footnote w:id="48">
    <w:p w:rsidR="00753437" w:rsidRPr="00875286" w:rsidRDefault="00753437" w:rsidP="008801CF">
      <w:pPr>
        <w:pStyle w:val="FootnoteText"/>
        <w:rPr>
          <w:sz w:val="22"/>
          <w:szCs w:val="22"/>
        </w:rPr>
      </w:pPr>
      <w:r w:rsidRPr="00875286">
        <w:rPr>
          <w:rStyle w:val="FootnoteReference"/>
          <w:sz w:val="22"/>
          <w:szCs w:val="22"/>
        </w:rPr>
        <w:footnoteRef/>
      </w:r>
      <w:r w:rsidRPr="00875286">
        <w:rPr>
          <w:sz w:val="22"/>
          <w:szCs w:val="22"/>
        </w:rPr>
        <w:t xml:space="preserve"> </w:t>
      </w:r>
      <w:r w:rsidRPr="00FF34E4">
        <w:rPr>
          <w:i/>
          <w:sz w:val="22"/>
          <w:szCs w:val="22"/>
        </w:rPr>
        <w:t>See</w:t>
      </w:r>
      <w:r w:rsidRPr="00FF34E4">
        <w:rPr>
          <w:sz w:val="22"/>
          <w:szCs w:val="22"/>
        </w:rPr>
        <w:t xml:space="preserve"> Table 2-2: Act 129 Phase II Three-Year Low-Income and GNI Energy Efficiency Reduction Targets of the </w:t>
      </w:r>
      <w:r>
        <w:rPr>
          <w:sz w:val="22"/>
          <w:szCs w:val="22"/>
        </w:rPr>
        <w:t>SWE</w:t>
      </w:r>
      <w:r w:rsidRPr="00FF34E4">
        <w:rPr>
          <w:sz w:val="22"/>
          <w:szCs w:val="22"/>
        </w:rPr>
        <w:t xml:space="preserve"> Final Report.</w:t>
      </w:r>
      <w:r>
        <w:rPr>
          <w:sz w:val="22"/>
          <w:szCs w:val="22"/>
        </w:rPr>
        <w:t xml:space="preserve"> </w:t>
      </w:r>
    </w:p>
  </w:footnote>
  <w:footnote w:id="49">
    <w:p w:rsidR="00753437" w:rsidRPr="00965565" w:rsidRDefault="00753437" w:rsidP="008801CF">
      <w:pPr>
        <w:pStyle w:val="FootnoteText"/>
      </w:pPr>
      <w:r w:rsidRPr="00875286">
        <w:rPr>
          <w:rStyle w:val="FootnoteReference"/>
          <w:sz w:val="22"/>
          <w:szCs w:val="22"/>
        </w:rPr>
        <w:footnoteRef/>
      </w:r>
      <w:r w:rsidRPr="00875286">
        <w:rPr>
          <w:sz w:val="22"/>
          <w:szCs w:val="22"/>
        </w:rPr>
        <w:t xml:space="preserve"> </w:t>
      </w:r>
      <w:r w:rsidRPr="00B7291D">
        <w:rPr>
          <w:i/>
          <w:sz w:val="22"/>
          <w:szCs w:val="22"/>
        </w:rPr>
        <w:t>See</w:t>
      </w:r>
      <w:r w:rsidRPr="00B7291D">
        <w:rPr>
          <w:sz w:val="22"/>
          <w:szCs w:val="22"/>
        </w:rPr>
        <w:t xml:space="preserve"> P</w:t>
      </w:r>
      <w:r>
        <w:rPr>
          <w:sz w:val="22"/>
          <w:szCs w:val="22"/>
        </w:rPr>
        <w:t>enn Power PY7</w:t>
      </w:r>
      <w:r w:rsidRPr="00B7291D">
        <w:rPr>
          <w:sz w:val="22"/>
          <w:szCs w:val="22"/>
        </w:rPr>
        <w:t xml:space="preserve"> Final Annual Report at </w:t>
      </w:r>
      <w:r>
        <w:rPr>
          <w:sz w:val="22"/>
          <w:szCs w:val="22"/>
        </w:rPr>
        <w:t xml:space="preserve">4. </w:t>
      </w:r>
    </w:p>
  </w:footnote>
  <w:footnote w:id="50">
    <w:p w:rsidR="00753437" w:rsidRPr="00206DF7" w:rsidRDefault="00753437" w:rsidP="008801CF">
      <w:pPr>
        <w:pStyle w:val="FootnoteText"/>
        <w:rPr>
          <w:sz w:val="22"/>
          <w:szCs w:val="22"/>
        </w:rPr>
      </w:pPr>
      <w:r w:rsidRPr="00206DF7">
        <w:rPr>
          <w:rStyle w:val="FootnoteReference"/>
          <w:sz w:val="22"/>
          <w:szCs w:val="22"/>
        </w:rPr>
        <w:footnoteRef/>
      </w:r>
      <w:r w:rsidRPr="00206DF7">
        <w:rPr>
          <w:sz w:val="22"/>
          <w:szCs w:val="22"/>
        </w:rPr>
        <w:t xml:space="preserve"> </w:t>
      </w:r>
      <w:r w:rsidRPr="00FF34E4">
        <w:rPr>
          <w:i/>
          <w:sz w:val="22"/>
          <w:szCs w:val="22"/>
        </w:rPr>
        <w:t>See</w:t>
      </w:r>
      <w:r w:rsidRPr="00FF34E4">
        <w:rPr>
          <w:sz w:val="22"/>
          <w:szCs w:val="22"/>
        </w:rPr>
        <w:t xml:space="preserve"> Table 2-5: GNI Carve-Out Goal Performance, Summary by EDC of the </w:t>
      </w:r>
      <w:r>
        <w:rPr>
          <w:sz w:val="22"/>
          <w:szCs w:val="22"/>
        </w:rPr>
        <w:t>SWE</w:t>
      </w:r>
      <w:r w:rsidRPr="00FF34E4">
        <w:rPr>
          <w:sz w:val="22"/>
          <w:szCs w:val="22"/>
        </w:rPr>
        <w:t xml:space="preserve"> Final Report</w:t>
      </w:r>
      <w:r>
        <w:rPr>
          <w:sz w:val="22"/>
          <w:szCs w:val="22"/>
        </w:rPr>
        <w:t>.</w:t>
      </w:r>
    </w:p>
  </w:footnote>
  <w:footnote w:id="51">
    <w:p w:rsidR="00753437" w:rsidRPr="00C93D55" w:rsidRDefault="00753437" w:rsidP="005E5FCC">
      <w:pPr>
        <w:pStyle w:val="FootnoteText"/>
        <w:rPr>
          <w:sz w:val="22"/>
          <w:szCs w:val="22"/>
        </w:rPr>
      </w:pPr>
      <w:r w:rsidRPr="00C93D55">
        <w:rPr>
          <w:rStyle w:val="FootnoteReference"/>
          <w:sz w:val="22"/>
          <w:szCs w:val="22"/>
        </w:rPr>
        <w:footnoteRef/>
      </w:r>
      <w:r w:rsidRPr="00C93D55">
        <w:rPr>
          <w:sz w:val="22"/>
          <w:szCs w:val="22"/>
        </w:rPr>
        <w:t xml:space="preserve"> </w:t>
      </w:r>
      <w:r w:rsidRPr="004A0B0D">
        <w:rPr>
          <w:i/>
          <w:sz w:val="22"/>
          <w:szCs w:val="22"/>
        </w:rPr>
        <w:t>See</w:t>
      </w:r>
      <w:r>
        <w:rPr>
          <w:i/>
          <w:sz w:val="22"/>
          <w:szCs w:val="22"/>
        </w:rPr>
        <w:t xml:space="preserve"> </w:t>
      </w:r>
      <w:r w:rsidRPr="004A0B0D">
        <w:rPr>
          <w:sz w:val="22"/>
          <w:szCs w:val="22"/>
        </w:rPr>
        <w:t xml:space="preserve">Table 2-2: </w:t>
      </w:r>
      <w:r w:rsidRPr="004A0B0D">
        <w:rPr>
          <w:bCs/>
          <w:sz w:val="22"/>
          <w:szCs w:val="22"/>
        </w:rPr>
        <w:t>Act 129 Phase II Three-Year Low-Income and GNI Energy Efficiency Reduction Targets</w:t>
      </w:r>
      <w:r w:rsidRPr="004A0B0D">
        <w:rPr>
          <w:sz w:val="22"/>
          <w:szCs w:val="22"/>
        </w:rPr>
        <w:t xml:space="preserve">, of the </w:t>
      </w:r>
      <w:r>
        <w:rPr>
          <w:sz w:val="22"/>
          <w:szCs w:val="22"/>
        </w:rPr>
        <w:t xml:space="preserve">SWE </w:t>
      </w:r>
      <w:r w:rsidRPr="004A0B0D">
        <w:rPr>
          <w:sz w:val="22"/>
          <w:szCs w:val="22"/>
        </w:rPr>
        <w:t>Final Report</w:t>
      </w:r>
      <w:r>
        <w:rPr>
          <w:sz w:val="22"/>
          <w:szCs w:val="22"/>
        </w:rPr>
        <w:t>.</w:t>
      </w:r>
    </w:p>
  </w:footnote>
  <w:footnote w:id="52">
    <w:p w:rsidR="00753437" w:rsidRPr="00C93D55" w:rsidRDefault="00753437" w:rsidP="005E5FCC">
      <w:pPr>
        <w:pStyle w:val="FootnoteText"/>
        <w:rPr>
          <w:sz w:val="22"/>
          <w:szCs w:val="22"/>
        </w:rPr>
      </w:pPr>
      <w:r w:rsidRPr="00C93D55">
        <w:rPr>
          <w:rStyle w:val="FootnoteReference"/>
          <w:sz w:val="22"/>
          <w:szCs w:val="22"/>
        </w:rPr>
        <w:footnoteRef/>
      </w:r>
      <w:r w:rsidRPr="00C93D55">
        <w:rPr>
          <w:sz w:val="22"/>
          <w:szCs w:val="22"/>
        </w:rPr>
        <w:t xml:space="preserve"> </w:t>
      </w:r>
      <w:r w:rsidRPr="00C93D55">
        <w:rPr>
          <w:i/>
          <w:sz w:val="22"/>
          <w:szCs w:val="22"/>
        </w:rPr>
        <w:t>See</w:t>
      </w:r>
      <w:r w:rsidRPr="00C93D55">
        <w:rPr>
          <w:sz w:val="22"/>
          <w:szCs w:val="22"/>
        </w:rPr>
        <w:t xml:space="preserve"> PPL </w:t>
      </w:r>
      <w:r>
        <w:rPr>
          <w:sz w:val="22"/>
          <w:szCs w:val="22"/>
        </w:rPr>
        <w:t>PY7</w:t>
      </w:r>
      <w:r w:rsidRPr="00C93D55">
        <w:rPr>
          <w:sz w:val="22"/>
          <w:szCs w:val="22"/>
        </w:rPr>
        <w:t xml:space="preserve"> Final Annual Report at </w:t>
      </w:r>
      <w:r>
        <w:rPr>
          <w:sz w:val="22"/>
          <w:szCs w:val="22"/>
        </w:rPr>
        <w:t>10</w:t>
      </w:r>
      <w:r w:rsidRPr="00C93D55">
        <w:rPr>
          <w:sz w:val="22"/>
          <w:szCs w:val="22"/>
        </w:rPr>
        <w:t xml:space="preserve">. </w:t>
      </w:r>
    </w:p>
  </w:footnote>
  <w:footnote w:id="53">
    <w:p w:rsidR="00753437" w:rsidRPr="00C93D55" w:rsidRDefault="00753437" w:rsidP="005E5FCC">
      <w:pPr>
        <w:pStyle w:val="FootnoteText"/>
        <w:rPr>
          <w:sz w:val="22"/>
          <w:szCs w:val="22"/>
        </w:rPr>
      </w:pPr>
      <w:r w:rsidRPr="00C93D55">
        <w:rPr>
          <w:rStyle w:val="FootnoteReference"/>
          <w:sz w:val="22"/>
          <w:szCs w:val="22"/>
        </w:rPr>
        <w:footnoteRef/>
      </w:r>
      <w:r w:rsidRPr="00C93D55">
        <w:rPr>
          <w:sz w:val="22"/>
          <w:szCs w:val="22"/>
        </w:rPr>
        <w:t xml:space="preserve"> </w:t>
      </w:r>
      <w:r w:rsidRPr="00FF34E4">
        <w:rPr>
          <w:i/>
          <w:sz w:val="22"/>
          <w:szCs w:val="22"/>
        </w:rPr>
        <w:t>See</w:t>
      </w:r>
      <w:r w:rsidRPr="00FF34E4">
        <w:rPr>
          <w:sz w:val="22"/>
          <w:szCs w:val="22"/>
        </w:rPr>
        <w:t xml:space="preserve"> Table 2-5: GNI Carve-Out Goal Performance, Summary by EDC of the </w:t>
      </w:r>
      <w:r>
        <w:rPr>
          <w:sz w:val="22"/>
          <w:szCs w:val="22"/>
        </w:rPr>
        <w:t>SWE</w:t>
      </w:r>
      <w:r w:rsidRPr="00FF34E4">
        <w:rPr>
          <w:sz w:val="22"/>
          <w:szCs w:val="22"/>
        </w:rPr>
        <w:t xml:space="preserve"> Final Report</w:t>
      </w:r>
      <w:r>
        <w:rPr>
          <w:sz w:val="22"/>
          <w:szCs w:val="22"/>
        </w:rPr>
        <w:t>.</w:t>
      </w:r>
    </w:p>
  </w:footnote>
  <w:footnote w:id="54">
    <w:p w:rsidR="00753437" w:rsidRPr="00C93D55" w:rsidRDefault="00753437" w:rsidP="002130D7">
      <w:pPr>
        <w:pStyle w:val="FootnoteText"/>
        <w:rPr>
          <w:sz w:val="22"/>
          <w:szCs w:val="22"/>
        </w:rPr>
      </w:pPr>
      <w:r w:rsidRPr="00C93D55">
        <w:rPr>
          <w:rStyle w:val="FootnoteReference"/>
          <w:sz w:val="22"/>
          <w:szCs w:val="22"/>
        </w:rPr>
        <w:footnoteRef/>
      </w:r>
      <w:r w:rsidRPr="00C93D55">
        <w:rPr>
          <w:sz w:val="22"/>
          <w:szCs w:val="22"/>
        </w:rPr>
        <w:t xml:space="preserve"> </w:t>
      </w:r>
      <w:r w:rsidRPr="004A0B0D">
        <w:rPr>
          <w:i/>
          <w:sz w:val="22"/>
          <w:szCs w:val="22"/>
        </w:rPr>
        <w:t>See</w:t>
      </w:r>
      <w:r>
        <w:rPr>
          <w:i/>
          <w:sz w:val="22"/>
          <w:szCs w:val="22"/>
        </w:rPr>
        <w:t xml:space="preserve"> </w:t>
      </w:r>
      <w:r w:rsidRPr="004A0B0D">
        <w:rPr>
          <w:sz w:val="22"/>
          <w:szCs w:val="22"/>
        </w:rPr>
        <w:t xml:space="preserve">Table 2-2: </w:t>
      </w:r>
      <w:r w:rsidRPr="004A0B0D">
        <w:rPr>
          <w:bCs/>
          <w:sz w:val="22"/>
          <w:szCs w:val="22"/>
        </w:rPr>
        <w:t>Act 129 Phase II Three-Year Low-Income and GNI Energy Efficiency Reduction Targets</w:t>
      </w:r>
      <w:r w:rsidRPr="004A0B0D">
        <w:rPr>
          <w:sz w:val="22"/>
          <w:szCs w:val="22"/>
        </w:rPr>
        <w:t xml:space="preserve"> of the </w:t>
      </w:r>
      <w:r>
        <w:rPr>
          <w:sz w:val="22"/>
          <w:szCs w:val="22"/>
        </w:rPr>
        <w:t xml:space="preserve">SWE </w:t>
      </w:r>
      <w:r w:rsidRPr="004A0B0D">
        <w:rPr>
          <w:sz w:val="22"/>
          <w:szCs w:val="22"/>
        </w:rPr>
        <w:t>Final Report</w:t>
      </w:r>
      <w:r>
        <w:rPr>
          <w:sz w:val="22"/>
          <w:szCs w:val="22"/>
        </w:rPr>
        <w:t>.</w:t>
      </w:r>
    </w:p>
  </w:footnote>
  <w:footnote w:id="55">
    <w:p w:rsidR="00753437" w:rsidRPr="00C93D55" w:rsidRDefault="00753437" w:rsidP="002130D7">
      <w:pPr>
        <w:pStyle w:val="FootnoteText"/>
        <w:rPr>
          <w:sz w:val="22"/>
          <w:szCs w:val="22"/>
        </w:rPr>
      </w:pPr>
      <w:r w:rsidRPr="00C93D55">
        <w:rPr>
          <w:rStyle w:val="FootnoteReference"/>
          <w:sz w:val="22"/>
          <w:szCs w:val="22"/>
        </w:rPr>
        <w:footnoteRef/>
      </w:r>
      <w:r w:rsidRPr="00C93D55">
        <w:rPr>
          <w:sz w:val="22"/>
          <w:szCs w:val="22"/>
        </w:rPr>
        <w:t xml:space="preserve"> </w:t>
      </w:r>
      <w:r w:rsidRPr="00C93D55">
        <w:rPr>
          <w:i/>
          <w:sz w:val="22"/>
          <w:szCs w:val="22"/>
        </w:rPr>
        <w:t>See</w:t>
      </w:r>
      <w:r w:rsidRPr="00C93D55">
        <w:rPr>
          <w:sz w:val="22"/>
          <w:szCs w:val="22"/>
        </w:rPr>
        <w:t xml:space="preserve"> West Penn </w:t>
      </w:r>
      <w:r>
        <w:rPr>
          <w:sz w:val="22"/>
          <w:szCs w:val="22"/>
        </w:rPr>
        <w:t>PY7</w:t>
      </w:r>
      <w:r w:rsidRPr="00C93D55">
        <w:rPr>
          <w:sz w:val="22"/>
          <w:szCs w:val="22"/>
        </w:rPr>
        <w:t xml:space="preserve"> Final Annual Report at </w:t>
      </w:r>
      <w:r>
        <w:rPr>
          <w:sz w:val="22"/>
          <w:szCs w:val="22"/>
        </w:rPr>
        <w:t>4</w:t>
      </w:r>
      <w:r w:rsidRPr="00C93D55">
        <w:rPr>
          <w:sz w:val="22"/>
          <w:szCs w:val="22"/>
        </w:rPr>
        <w:t xml:space="preserve">. </w:t>
      </w:r>
    </w:p>
  </w:footnote>
  <w:footnote w:id="56">
    <w:p w:rsidR="00753437" w:rsidRPr="00C93D55" w:rsidRDefault="00753437" w:rsidP="002130D7">
      <w:pPr>
        <w:pStyle w:val="FootnoteText"/>
        <w:rPr>
          <w:sz w:val="22"/>
          <w:szCs w:val="22"/>
        </w:rPr>
      </w:pPr>
      <w:r w:rsidRPr="00C93D55">
        <w:rPr>
          <w:rStyle w:val="FootnoteReference"/>
          <w:sz w:val="22"/>
          <w:szCs w:val="22"/>
        </w:rPr>
        <w:footnoteRef/>
      </w:r>
      <w:r w:rsidRPr="00C93D55">
        <w:rPr>
          <w:sz w:val="22"/>
          <w:szCs w:val="22"/>
        </w:rPr>
        <w:t xml:space="preserve"> </w:t>
      </w:r>
      <w:r w:rsidRPr="00FF34E4">
        <w:rPr>
          <w:i/>
          <w:sz w:val="22"/>
          <w:szCs w:val="22"/>
        </w:rPr>
        <w:t>See</w:t>
      </w:r>
      <w:r w:rsidRPr="00FF34E4">
        <w:rPr>
          <w:sz w:val="22"/>
          <w:szCs w:val="22"/>
        </w:rPr>
        <w:t xml:space="preserve"> Table 2-5: GNI Carve-Out Goal Performance, Summary by EDC of the </w:t>
      </w:r>
      <w:r>
        <w:rPr>
          <w:sz w:val="22"/>
          <w:szCs w:val="22"/>
        </w:rPr>
        <w:t>SWE</w:t>
      </w:r>
      <w:r w:rsidRPr="00FF34E4">
        <w:rPr>
          <w:sz w:val="22"/>
          <w:szCs w:val="22"/>
        </w:rPr>
        <w:t xml:space="preserve"> Final Report</w:t>
      </w:r>
      <w:r>
        <w:rPr>
          <w:sz w:val="22"/>
          <w:szCs w:val="22"/>
        </w:rPr>
        <w:t>.</w:t>
      </w:r>
    </w:p>
  </w:footnote>
  <w:footnote w:id="57">
    <w:p w:rsidR="00753437" w:rsidRDefault="00753437">
      <w:pPr>
        <w:pStyle w:val="FootnoteText"/>
      </w:pPr>
      <w:r w:rsidRPr="00065FB4">
        <w:rPr>
          <w:rStyle w:val="FootnoteReference"/>
          <w:sz w:val="22"/>
          <w:szCs w:val="22"/>
        </w:rPr>
        <w:footnoteRef/>
      </w:r>
      <w:r>
        <w:t xml:space="preserve"> </w:t>
      </w:r>
      <w:r w:rsidRPr="00890C88">
        <w:rPr>
          <w:i/>
          <w:sz w:val="22"/>
          <w:szCs w:val="22"/>
        </w:rPr>
        <w:t>See</w:t>
      </w:r>
      <w:r w:rsidRPr="00890C88">
        <w:rPr>
          <w:sz w:val="22"/>
          <w:szCs w:val="22"/>
        </w:rPr>
        <w:t xml:space="preserve"> </w:t>
      </w:r>
      <w:r w:rsidRPr="00065FB4">
        <w:rPr>
          <w:i/>
          <w:sz w:val="22"/>
          <w:szCs w:val="22"/>
        </w:rPr>
        <w:t>Phase II Implementation Order</w:t>
      </w:r>
      <w:r w:rsidRPr="00890C88">
        <w:rPr>
          <w:sz w:val="22"/>
          <w:szCs w:val="22"/>
        </w:rPr>
        <w:t xml:space="preserve"> at </w:t>
      </w:r>
      <w:r>
        <w:rPr>
          <w:sz w:val="22"/>
          <w:szCs w:val="22"/>
        </w:rPr>
        <w:t>53-58</w:t>
      </w:r>
      <w:r w:rsidRPr="00890C88">
        <w:rPr>
          <w:sz w:val="22"/>
          <w:szCs w:val="22"/>
        </w:rPr>
        <w:t>.</w:t>
      </w:r>
    </w:p>
  </w:footnote>
  <w:footnote w:id="58">
    <w:p w:rsidR="00753437" w:rsidRPr="00EE7BF0" w:rsidRDefault="00753437">
      <w:pPr>
        <w:pStyle w:val="FootnoteText"/>
        <w:rPr>
          <w:sz w:val="22"/>
          <w:szCs w:val="22"/>
        </w:rPr>
      </w:pPr>
      <w:r w:rsidRPr="00EE7BF0">
        <w:rPr>
          <w:rStyle w:val="FootnoteReference"/>
          <w:sz w:val="22"/>
          <w:szCs w:val="22"/>
        </w:rPr>
        <w:footnoteRef/>
      </w:r>
      <w:r w:rsidRPr="00EE7BF0">
        <w:rPr>
          <w:sz w:val="22"/>
          <w:szCs w:val="22"/>
        </w:rPr>
        <w:t xml:space="preserve"> </w:t>
      </w:r>
      <w:r>
        <w:rPr>
          <w:i/>
          <w:sz w:val="22"/>
          <w:szCs w:val="22"/>
        </w:rPr>
        <w:t>See Report of the Act 129 Low</w:t>
      </w:r>
      <w:r>
        <w:rPr>
          <w:i/>
          <w:sz w:val="22"/>
          <w:szCs w:val="22"/>
        </w:rPr>
        <w:noBreakHyphen/>
        <w:t>Income Working Group</w:t>
      </w:r>
      <w:r>
        <w:rPr>
          <w:sz w:val="22"/>
          <w:szCs w:val="22"/>
        </w:rPr>
        <w:t xml:space="preserve"> at Docket No. M</w:t>
      </w:r>
      <w:r>
        <w:rPr>
          <w:sz w:val="22"/>
          <w:szCs w:val="22"/>
        </w:rPr>
        <w:noBreakHyphen/>
        <w:t>2009</w:t>
      </w:r>
      <w:r>
        <w:rPr>
          <w:sz w:val="22"/>
          <w:szCs w:val="22"/>
        </w:rPr>
        <w:noBreakHyphen/>
        <w:t>2146801, Table 1, at 6, that was adopted by the Commission in an April 27, 2010, Secretarial Letter at the same Docket.</w:t>
      </w:r>
    </w:p>
  </w:footnote>
  <w:footnote w:id="59">
    <w:p w:rsidR="00753437" w:rsidRPr="00EE7BF0" w:rsidRDefault="00753437">
      <w:pPr>
        <w:pStyle w:val="FootnoteText"/>
        <w:rPr>
          <w:sz w:val="22"/>
          <w:szCs w:val="22"/>
        </w:rPr>
      </w:pPr>
      <w:r w:rsidRPr="00EE7BF0">
        <w:rPr>
          <w:rStyle w:val="FootnoteReference"/>
          <w:sz w:val="22"/>
          <w:szCs w:val="22"/>
        </w:rPr>
        <w:footnoteRef/>
      </w:r>
      <w:r w:rsidRPr="00EE7BF0">
        <w:rPr>
          <w:sz w:val="22"/>
          <w:szCs w:val="22"/>
        </w:rPr>
        <w:t xml:space="preserve"> </w:t>
      </w:r>
      <w:r>
        <w:rPr>
          <w:i/>
          <w:sz w:val="22"/>
          <w:szCs w:val="22"/>
        </w:rPr>
        <w:t>See</w:t>
      </w:r>
      <w:r>
        <w:rPr>
          <w:sz w:val="22"/>
          <w:szCs w:val="22"/>
        </w:rPr>
        <w:t xml:space="preserve"> Duquesne PY7 Final Annual Report at 4.</w:t>
      </w:r>
    </w:p>
  </w:footnote>
  <w:footnote w:id="60">
    <w:p w:rsidR="00753437" w:rsidRPr="002A03AC" w:rsidRDefault="00753437">
      <w:pPr>
        <w:pStyle w:val="FootnoteText"/>
        <w:rPr>
          <w:sz w:val="22"/>
          <w:szCs w:val="22"/>
        </w:rPr>
      </w:pPr>
      <w:r w:rsidRPr="002A03AC">
        <w:rPr>
          <w:rStyle w:val="FootnoteReference"/>
          <w:sz w:val="22"/>
          <w:szCs w:val="22"/>
        </w:rPr>
        <w:footnoteRef/>
      </w:r>
      <w:r w:rsidRPr="002A03AC">
        <w:rPr>
          <w:sz w:val="22"/>
          <w:szCs w:val="22"/>
        </w:rPr>
        <w:t xml:space="preserve"> </w:t>
      </w:r>
      <w:r>
        <w:rPr>
          <w:i/>
          <w:sz w:val="22"/>
          <w:szCs w:val="22"/>
        </w:rPr>
        <w:t>See</w:t>
      </w:r>
      <w:r>
        <w:rPr>
          <w:sz w:val="22"/>
          <w:szCs w:val="22"/>
        </w:rPr>
        <w:t xml:space="preserve"> Table 2-6:  EDC Achievement of Act 129 Low-Income Requirements in PY7 of the SWE Final Report.</w:t>
      </w:r>
    </w:p>
  </w:footnote>
  <w:footnote w:id="61">
    <w:p w:rsidR="00753437" w:rsidRPr="002A03AC" w:rsidRDefault="00753437">
      <w:pPr>
        <w:pStyle w:val="FootnoteText"/>
        <w:rPr>
          <w:sz w:val="22"/>
          <w:szCs w:val="22"/>
        </w:rPr>
      </w:pPr>
      <w:r w:rsidRPr="002A03AC">
        <w:rPr>
          <w:rStyle w:val="FootnoteReference"/>
          <w:sz w:val="22"/>
          <w:szCs w:val="22"/>
        </w:rPr>
        <w:footnoteRef/>
      </w:r>
      <w:r w:rsidRPr="002A03AC">
        <w:rPr>
          <w:sz w:val="22"/>
          <w:szCs w:val="22"/>
        </w:rPr>
        <w:t xml:space="preserve"> </w:t>
      </w:r>
      <w:r>
        <w:rPr>
          <w:i/>
          <w:sz w:val="22"/>
          <w:szCs w:val="22"/>
        </w:rPr>
        <w:t>See Report of the Act 129 Low-Income Working Group</w:t>
      </w:r>
      <w:r>
        <w:rPr>
          <w:sz w:val="22"/>
          <w:szCs w:val="22"/>
        </w:rPr>
        <w:t xml:space="preserve"> at Docket No. M-2009-2146801.  Table 1, at 6, that was adopted by the Commission in an April 27, 2010, Secretarial Letter at the same Docket.</w:t>
      </w:r>
    </w:p>
  </w:footnote>
  <w:footnote w:id="62">
    <w:p w:rsidR="00753437" w:rsidRPr="002A03AC" w:rsidRDefault="00753437">
      <w:pPr>
        <w:pStyle w:val="FootnoteText"/>
        <w:rPr>
          <w:sz w:val="22"/>
          <w:szCs w:val="22"/>
        </w:rPr>
      </w:pPr>
      <w:r w:rsidRPr="002A03AC">
        <w:rPr>
          <w:rStyle w:val="FootnoteReference"/>
          <w:sz w:val="22"/>
          <w:szCs w:val="22"/>
        </w:rPr>
        <w:footnoteRef/>
      </w:r>
      <w:r w:rsidRPr="002A03AC">
        <w:rPr>
          <w:sz w:val="22"/>
          <w:szCs w:val="22"/>
        </w:rPr>
        <w:t xml:space="preserve"> </w:t>
      </w:r>
      <w:r>
        <w:rPr>
          <w:i/>
          <w:sz w:val="22"/>
          <w:szCs w:val="22"/>
        </w:rPr>
        <w:t>See</w:t>
      </w:r>
      <w:r>
        <w:rPr>
          <w:sz w:val="22"/>
          <w:szCs w:val="22"/>
        </w:rPr>
        <w:t xml:space="preserve"> Met-Ed PY7 Final Annual Report at 4.</w:t>
      </w:r>
    </w:p>
  </w:footnote>
  <w:footnote w:id="63">
    <w:p w:rsidR="00753437" w:rsidRPr="00EE7BF0" w:rsidRDefault="00753437">
      <w:pPr>
        <w:pStyle w:val="FootnoteText"/>
        <w:rPr>
          <w:i/>
          <w:sz w:val="22"/>
          <w:szCs w:val="22"/>
        </w:rPr>
      </w:pPr>
      <w:r w:rsidRPr="00EE7BF0">
        <w:rPr>
          <w:rStyle w:val="FootnoteReference"/>
          <w:sz w:val="22"/>
          <w:szCs w:val="22"/>
        </w:rPr>
        <w:footnoteRef/>
      </w:r>
      <w:r w:rsidRPr="00EE7BF0">
        <w:rPr>
          <w:sz w:val="22"/>
          <w:szCs w:val="22"/>
        </w:rPr>
        <w:t xml:space="preserve"> </w:t>
      </w:r>
      <w:r>
        <w:rPr>
          <w:i/>
          <w:sz w:val="22"/>
          <w:szCs w:val="22"/>
        </w:rPr>
        <w:t>See</w:t>
      </w:r>
      <w:r>
        <w:rPr>
          <w:sz w:val="22"/>
          <w:szCs w:val="22"/>
        </w:rPr>
        <w:t xml:space="preserve"> Table 2</w:t>
      </w:r>
      <w:r>
        <w:rPr>
          <w:sz w:val="22"/>
          <w:szCs w:val="22"/>
        </w:rPr>
        <w:noBreakHyphen/>
        <w:t>6:  EDC Achievement of Act 129 Low</w:t>
      </w:r>
      <w:r>
        <w:rPr>
          <w:sz w:val="22"/>
          <w:szCs w:val="22"/>
        </w:rPr>
        <w:noBreakHyphen/>
      </w:r>
      <w:r w:rsidRPr="00EE7BF0">
        <w:rPr>
          <w:sz w:val="22"/>
          <w:szCs w:val="22"/>
        </w:rPr>
        <w:t>Income Requirements in PY7 of the SWE Final Report.</w:t>
      </w:r>
    </w:p>
  </w:footnote>
  <w:footnote w:id="64">
    <w:p w:rsidR="00753437" w:rsidRPr="000146A0" w:rsidRDefault="00753437" w:rsidP="00F52187">
      <w:pPr>
        <w:pStyle w:val="FootnoteText"/>
        <w:rPr>
          <w:sz w:val="22"/>
          <w:szCs w:val="22"/>
        </w:rPr>
      </w:pPr>
      <w:r w:rsidRPr="000146A0">
        <w:rPr>
          <w:rStyle w:val="FootnoteReference"/>
          <w:sz w:val="22"/>
          <w:szCs w:val="22"/>
        </w:rPr>
        <w:footnoteRef/>
      </w:r>
      <w:r w:rsidRPr="000146A0">
        <w:rPr>
          <w:sz w:val="22"/>
          <w:szCs w:val="22"/>
        </w:rPr>
        <w:t xml:space="preserve"> </w:t>
      </w:r>
      <w:r w:rsidRPr="000146A0">
        <w:rPr>
          <w:i/>
          <w:sz w:val="22"/>
          <w:szCs w:val="22"/>
        </w:rPr>
        <w:t>See</w:t>
      </w:r>
      <w:r w:rsidRPr="000146A0">
        <w:rPr>
          <w:sz w:val="22"/>
          <w:szCs w:val="22"/>
        </w:rPr>
        <w:t xml:space="preserve"> </w:t>
      </w:r>
      <w:r w:rsidRPr="000146A0">
        <w:rPr>
          <w:i/>
          <w:sz w:val="22"/>
          <w:szCs w:val="22"/>
        </w:rPr>
        <w:t>Report of the Act 129 Low-Income Working Group</w:t>
      </w:r>
      <w:r w:rsidRPr="000146A0">
        <w:rPr>
          <w:sz w:val="22"/>
          <w:szCs w:val="22"/>
        </w:rPr>
        <w:t xml:space="preserve"> at Docket No. M-2009-2146801, Table 1, at 6, that was adopted by the Commission in an April 27, 2010, Secretarial Letter at the same Docket.</w:t>
      </w:r>
    </w:p>
  </w:footnote>
  <w:footnote w:id="65">
    <w:p w:rsidR="00753437" w:rsidRPr="00412E46" w:rsidRDefault="00753437" w:rsidP="00F52187">
      <w:pPr>
        <w:pStyle w:val="FootnoteText"/>
        <w:rPr>
          <w:sz w:val="22"/>
          <w:szCs w:val="22"/>
        </w:rPr>
      </w:pPr>
      <w:r w:rsidRPr="00503C7A">
        <w:rPr>
          <w:rStyle w:val="FootnoteReference"/>
          <w:sz w:val="22"/>
          <w:szCs w:val="22"/>
        </w:rPr>
        <w:footnoteRef/>
      </w:r>
      <w:r w:rsidRPr="00503C7A">
        <w:rPr>
          <w:sz w:val="22"/>
          <w:szCs w:val="22"/>
        </w:rPr>
        <w:t xml:space="preserve"> </w:t>
      </w:r>
      <w:r w:rsidRPr="00503C7A">
        <w:rPr>
          <w:i/>
          <w:sz w:val="22"/>
          <w:szCs w:val="22"/>
        </w:rPr>
        <w:t>See</w:t>
      </w:r>
      <w:r w:rsidRPr="00503C7A">
        <w:rPr>
          <w:sz w:val="22"/>
          <w:szCs w:val="22"/>
        </w:rPr>
        <w:t xml:space="preserve"> PECO PY7 Final Annual Report at 5.</w:t>
      </w:r>
      <w:r w:rsidRPr="00412E46">
        <w:rPr>
          <w:sz w:val="22"/>
          <w:szCs w:val="22"/>
        </w:rPr>
        <w:t xml:space="preserve"> </w:t>
      </w:r>
    </w:p>
  </w:footnote>
  <w:footnote w:id="66">
    <w:p w:rsidR="00753437" w:rsidRPr="00A12CEC" w:rsidRDefault="00753437">
      <w:pPr>
        <w:pStyle w:val="FootnoteText"/>
        <w:rPr>
          <w:sz w:val="22"/>
          <w:szCs w:val="22"/>
        </w:rPr>
      </w:pPr>
      <w:r w:rsidRPr="00A12CEC">
        <w:rPr>
          <w:rStyle w:val="FootnoteReference"/>
          <w:sz w:val="22"/>
          <w:szCs w:val="22"/>
        </w:rPr>
        <w:footnoteRef/>
      </w:r>
      <w:r w:rsidRPr="00A12CEC">
        <w:rPr>
          <w:sz w:val="22"/>
          <w:szCs w:val="22"/>
        </w:rPr>
        <w:t xml:space="preserve"> </w:t>
      </w:r>
      <w:r>
        <w:rPr>
          <w:i/>
          <w:sz w:val="22"/>
          <w:szCs w:val="22"/>
        </w:rPr>
        <w:t>See</w:t>
      </w:r>
      <w:r>
        <w:rPr>
          <w:sz w:val="22"/>
          <w:szCs w:val="22"/>
        </w:rPr>
        <w:t xml:space="preserve"> Table 2</w:t>
      </w:r>
      <w:r>
        <w:rPr>
          <w:sz w:val="22"/>
          <w:szCs w:val="22"/>
        </w:rPr>
        <w:noBreakHyphen/>
        <w:t>6:  EDC Achievement of Act 129 Low</w:t>
      </w:r>
      <w:r>
        <w:rPr>
          <w:sz w:val="22"/>
          <w:szCs w:val="22"/>
        </w:rPr>
        <w:noBreakHyphen/>
        <w:t>Income Requirements in PY7 of the SWE Final Report.</w:t>
      </w:r>
    </w:p>
  </w:footnote>
  <w:footnote w:id="67">
    <w:p w:rsidR="00753437" w:rsidRPr="00A12CEC" w:rsidRDefault="00753437">
      <w:pPr>
        <w:pStyle w:val="FootnoteText"/>
        <w:rPr>
          <w:sz w:val="22"/>
          <w:szCs w:val="22"/>
        </w:rPr>
      </w:pPr>
      <w:r w:rsidRPr="00A12CEC">
        <w:rPr>
          <w:rStyle w:val="FootnoteReference"/>
          <w:sz w:val="22"/>
          <w:szCs w:val="22"/>
        </w:rPr>
        <w:footnoteRef/>
      </w:r>
      <w:r w:rsidRPr="00A12CEC">
        <w:rPr>
          <w:sz w:val="22"/>
          <w:szCs w:val="22"/>
        </w:rPr>
        <w:t xml:space="preserve"> </w:t>
      </w:r>
      <w:r w:rsidRPr="00C93D55">
        <w:rPr>
          <w:i/>
          <w:sz w:val="22"/>
          <w:szCs w:val="22"/>
        </w:rPr>
        <w:t>See</w:t>
      </w:r>
      <w:r w:rsidRPr="00C93D55">
        <w:rPr>
          <w:sz w:val="22"/>
          <w:szCs w:val="22"/>
        </w:rPr>
        <w:t xml:space="preserve"> </w:t>
      </w:r>
      <w:r w:rsidRPr="00786242">
        <w:rPr>
          <w:i/>
          <w:sz w:val="22"/>
          <w:szCs w:val="22"/>
        </w:rPr>
        <w:t>Report of the Act 129 Low-Income Working Group</w:t>
      </w:r>
      <w:r>
        <w:rPr>
          <w:sz w:val="22"/>
          <w:szCs w:val="22"/>
        </w:rPr>
        <w:t xml:space="preserve"> at Docket No. M-2009-2146801, Table 1, at 6, that was adopted by the Commission in an April 27, 2010, Secretarial Letter at the same Docket</w:t>
      </w:r>
      <w:r w:rsidRPr="00C93D55">
        <w:rPr>
          <w:sz w:val="22"/>
          <w:szCs w:val="22"/>
        </w:rPr>
        <w:t>.</w:t>
      </w:r>
    </w:p>
  </w:footnote>
  <w:footnote w:id="68">
    <w:p w:rsidR="00753437" w:rsidRPr="00A12CEC" w:rsidRDefault="00753437">
      <w:pPr>
        <w:pStyle w:val="FootnoteText"/>
        <w:rPr>
          <w:sz w:val="22"/>
          <w:szCs w:val="22"/>
        </w:rPr>
      </w:pPr>
      <w:r w:rsidRPr="00A12CEC">
        <w:rPr>
          <w:rStyle w:val="FootnoteReference"/>
          <w:sz w:val="22"/>
          <w:szCs w:val="22"/>
        </w:rPr>
        <w:footnoteRef/>
      </w:r>
      <w:r w:rsidRPr="00A12CEC">
        <w:rPr>
          <w:sz w:val="22"/>
          <w:szCs w:val="22"/>
        </w:rPr>
        <w:t xml:space="preserve"> </w:t>
      </w:r>
      <w:r>
        <w:rPr>
          <w:i/>
          <w:sz w:val="22"/>
          <w:szCs w:val="22"/>
        </w:rPr>
        <w:t>See</w:t>
      </w:r>
      <w:r>
        <w:rPr>
          <w:sz w:val="22"/>
          <w:szCs w:val="22"/>
        </w:rPr>
        <w:t xml:space="preserve"> Penelec PY7 Final Annual Report at 4.</w:t>
      </w:r>
    </w:p>
  </w:footnote>
  <w:footnote w:id="69">
    <w:p w:rsidR="00753437" w:rsidRPr="00A12CEC" w:rsidRDefault="00753437">
      <w:pPr>
        <w:pStyle w:val="FootnoteText"/>
        <w:rPr>
          <w:sz w:val="22"/>
          <w:szCs w:val="22"/>
        </w:rPr>
      </w:pPr>
      <w:r w:rsidRPr="00A12CEC">
        <w:rPr>
          <w:rStyle w:val="FootnoteReference"/>
          <w:sz w:val="22"/>
          <w:szCs w:val="22"/>
        </w:rPr>
        <w:footnoteRef/>
      </w:r>
      <w:r w:rsidRPr="00A12CEC">
        <w:rPr>
          <w:sz w:val="22"/>
          <w:szCs w:val="22"/>
        </w:rPr>
        <w:t xml:space="preserve"> </w:t>
      </w:r>
      <w:r>
        <w:rPr>
          <w:i/>
          <w:sz w:val="22"/>
          <w:szCs w:val="22"/>
        </w:rPr>
        <w:t>See</w:t>
      </w:r>
      <w:r>
        <w:rPr>
          <w:sz w:val="22"/>
          <w:szCs w:val="22"/>
        </w:rPr>
        <w:t xml:space="preserve"> Table 2</w:t>
      </w:r>
      <w:r>
        <w:rPr>
          <w:sz w:val="22"/>
          <w:szCs w:val="22"/>
        </w:rPr>
        <w:noBreakHyphen/>
        <w:t>6:  EDC Achievement of Act 129 Low</w:t>
      </w:r>
      <w:r>
        <w:rPr>
          <w:sz w:val="22"/>
          <w:szCs w:val="22"/>
        </w:rPr>
        <w:noBreakHyphen/>
        <w:t>income Requirements in PY7 of the SWE Final Report.</w:t>
      </w:r>
    </w:p>
  </w:footnote>
  <w:footnote w:id="70">
    <w:p w:rsidR="00753437" w:rsidRPr="00E56256" w:rsidRDefault="00753437" w:rsidP="00F52187">
      <w:pPr>
        <w:pStyle w:val="FootnoteText"/>
        <w:rPr>
          <w:sz w:val="22"/>
          <w:szCs w:val="22"/>
        </w:rPr>
      </w:pPr>
      <w:r w:rsidRPr="00E56256">
        <w:rPr>
          <w:rStyle w:val="FootnoteReference"/>
          <w:sz w:val="22"/>
          <w:szCs w:val="22"/>
        </w:rPr>
        <w:footnoteRef/>
      </w:r>
      <w:r w:rsidRPr="00E56256">
        <w:rPr>
          <w:sz w:val="22"/>
          <w:szCs w:val="22"/>
        </w:rPr>
        <w:t xml:space="preserve"> </w:t>
      </w:r>
      <w:r w:rsidRPr="00C93D55">
        <w:rPr>
          <w:i/>
          <w:sz w:val="22"/>
          <w:szCs w:val="22"/>
        </w:rPr>
        <w:t>See</w:t>
      </w:r>
      <w:r w:rsidRPr="00C93D55">
        <w:rPr>
          <w:sz w:val="22"/>
          <w:szCs w:val="22"/>
        </w:rPr>
        <w:t xml:space="preserve"> </w:t>
      </w:r>
      <w:r w:rsidRPr="00786242">
        <w:rPr>
          <w:i/>
          <w:sz w:val="22"/>
          <w:szCs w:val="22"/>
        </w:rPr>
        <w:t>Report of the Act 129 Low-Income Working Group</w:t>
      </w:r>
      <w:r>
        <w:rPr>
          <w:sz w:val="22"/>
          <w:szCs w:val="22"/>
        </w:rPr>
        <w:t xml:space="preserve"> at Docket No. M-2009-2146801, Table 1, at 6, that was adopted by the Commission in an April 27, 2010, Secretarial Letter at the same Docket</w:t>
      </w:r>
      <w:r w:rsidRPr="00C93D55">
        <w:rPr>
          <w:sz w:val="22"/>
          <w:szCs w:val="22"/>
        </w:rPr>
        <w:t>.</w:t>
      </w:r>
      <w:r>
        <w:rPr>
          <w:sz w:val="22"/>
          <w:szCs w:val="22"/>
        </w:rPr>
        <w:t xml:space="preserve"> </w:t>
      </w:r>
    </w:p>
  </w:footnote>
  <w:footnote w:id="71">
    <w:p w:rsidR="00753437" w:rsidRPr="00E56256" w:rsidRDefault="00753437" w:rsidP="00F52187">
      <w:pPr>
        <w:pStyle w:val="FootnoteText"/>
        <w:rPr>
          <w:sz w:val="22"/>
          <w:szCs w:val="22"/>
        </w:rPr>
      </w:pPr>
      <w:r w:rsidRPr="00E56256">
        <w:rPr>
          <w:rStyle w:val="FootnoteReference"/>
          <w:sz w:val="22"/>
          <w:szCs w:val="22"/>
        </w:rPr>
        <w:footnoteRef/>
      </w:r>
      <w:r w:rsidRPr="00E56256">
        <w:rPr>
          <w:sz w:val="22"/>
          <w:szCs w:val="22"/>
        </w:rPr>
        <w:t xml:space="preserve"> </w:t>
      </w:r>
      <w:r w:rsidRPr="00E56256">
        <w:rPr>
          <w:i/>
          <w:sz w:val="22"/>
          <w:szCs w:val="22"/>
        </w:rPr>
        <w:t>See</w:t>
      </w:r>
      <w:r w:rsidRPr="00E56256">
        <w:rPr>
          <w:sz w:val="22"/>
          <w:szCs w:val="22"/>
        </w:rPr>
        <w:t xml:space="preserve"> Penn Power PY</w:t>
      </w:r>
      <w:r>
        <w:rPr>
          <w:sz w:val="22"/>
          <w:szCs w:val="22"/>
        </w:rPr>
        <w:t>7</w:t>
      </w:r>
      <w:r w:rsidRPr="00E56256">
        <w:rPr>
          <w:sz w:val="22"/>
          <w:szCs w:val="22"/>
        </w:rPr>
        <w:t xml:space="preserve"> Final Annual Report at </w:t>
      </w:r>
      <w:r>
        <w:rPr>
          <w:sz w:val="22"/>
          <w:szCs w:val="22"/>
        </w:rPr>
        <w:t>4</w:t>
      </w:r>
      <w:r w:rsidRPr="00E56256">
        <w:rPr>
          <w:sz w:val="22"/>
          <w:szCs w:val="22"/>
        </w:rPr>
        <w:t xml:space="preserve">. </w:t>
      </w:r>
    </w:p>
  </w:footnote>
  <w:footnote w:id="72">
    <w:p w:rsidR="00753437" w:rsidRDefault="00753437" w:rsidP="00F52187">
      <w:pPr>
        <w:pStyle w:val="FootnoteText"/>
      </w:pPr>
      <w:r>
        <w:rPr>
          <w:rStyle w:val="FootnoteReference"/>
        </w:rPr>
        <w:footnoteRef/>
      </w:r>
      <w:r>
        <w:t xml:space="preserve">  </w:t>
      </w:r>
      <w:r w:rsidRPr="000146A0">
        <w:rPr>
          <w:i/>
          <w:sz w:val="22"/>
          <w:szCs w:val="22"/>
        </w:rPr>
        <w:t>See</w:t>
      </w:r>
      <w:r w:rsidRPr="000146A0">
        <w:rPr>
          <w:sz w:val="22"/>
          <w:szCs w:val="22"/>
        </w:rPr>
        <w:t xml:space="preserve"> </w:t>
      </w:r>
      <w:r>
        <w:rPr>
          <w:sz w:val="22"/>
          <w:szCs w:val="22"/>
        </w:rPr>
        <w:t>Table 2-6: EDC Achievement of Act 129 Low-Income Requirements in PY7</w:t>
      </w:r>
      <w:r w:rsidRPr="000146A0">
        <w:rPr>
          <w:sz w:val="22"/>
          <w:szCs w:val="22"/>
        </w:rPr>
        <w:t xml:space="preserve"> of the SWE Final Report</w:t>
      </w:r>
      <w:r>
        <w:rPr>
          <w:sz w:val="22"/>
          <w:szCs w:val="22"/>
        </w:rPr>
        <w:t>.</w:t>
      </w:r>
    </w:p>
  </w:footnote>
  <w:footnote w:id="73">
    <w:p w:rsidR="00753437" w:rsidRPr="00E56256" w:rsidRDefault="00753437" w:rsidP="00F52187">
      <w:pPr>
        <w:pStyle w:val="FootnoteText"/>
        <w:rPr>
          <w:sz w:val="22"/>
          <w:szCs w:val="22"/>
        </w:rPr>
      </w:pPr>
      <w:r w:rsidRPr="00E56256">
        <w:rPr>
          <w:rStyle w:val="FootnoteReference"/>
          <w:sz w:val="22"/>
          <w:szCs w:val="22"/>
        </w:rPr>
        <w:footnoteRef/>
      </w:r>
      <w:r w:rsidRPr="00E56256">
        <w:rPr>
          <w:sz w:val="22"/>
          <w:szCs w:val="22"/>
        </w:rPr>
        <w:t xml:space="preserve"> </w:t>
      </w:r>
      <w:r w:rsidRPr="00C93D55">
        <w:rPr>
          <w:i/>
          <w:sz w:val="22"/>
          <w:szCs w:val="22"/>
        </w:rPr>
        <w:t>See</w:t>
      </w:r>
      <w:r w:rsidRPr="00C93D55">
        <w:rPr>
          <w:sz w:val="22"/>
          <w:szCs w:val="22"/>
        </w:rPr>
        <w:t xml:space="preserve"> </w:t>
      </w:r>
      <w:r w:rsidRPr="00786242">
        <w:rPr>
          <w:i/>
          <w:sz w:val="22"/>
          <w:szCs w:val="22"/>
        </w:rPr>
        <w:t>Report of the Act 129 Low-Income Working Group</w:t>
      </w:r>
      <w:r>
        <w:rPr>
          <w:sz w:val="22"/>
          <w:szCs w:val="22"/>
        </w:rPr>
        <w:t xml:space="preserve"> at Docket No. M-20090-2146801, Table 1, at 6, that was adopted by the Commission in an April 27, 2010, Secretarial Letter at the same Docket</w:t>
      </w:r>
      <w:r w:rsidRPr="00C93D55">
        <w:rPr>
          <w:sz w:val="22"/>
          <w:szCs w:val="22"/>
        </w:rPr>
        <w:t>.</w:t>
      </w:r>
    </w:p>
  </w:footnote>
  <w:footnote w:id="74">
    <w:p w:rsidR="00753437" w:rsidRPr="00E56256" w:rsidRDefault="00753437" w:rsidP="00F52187">
      <w:pPr>
        <w:pStyle w:val="FootnoteText"/>
        <w:rPr>
          <w:sz w:val="22"/>
          <w:szCs w:val="22"/>
        </w:rPr>
      </w:pPr>
      <w:r w:rsidRPr="00E56256">
        <w:rPr>
          <w:rStyle w:val="FootnoteReference"/>
          <w:sz w:val="22"/>
          <w:szCs w:val="22"/>
        </w:rPr>
        <w:footnoteRef/>
      </w:r>
      <w:r w:rsidRPr="00E56256">
        <w:rPr>
          <w:sz w:val="22"/>
          <w:szCs w:val="22"/>
        </w:rPr>
        <w:t xml:space="preserve"> </w:t>
      </w:r>
      <w:r w:rsidRPr="00E56256">
        <w:rPr>
          <w:i/>
          <w:sz w:val="22"/>
          <w:szCs w:val="22"/>
        </w:rPr>
        <w:t>See</w:t>
      </w:r>
      <w:r w:rsidRPr="00E56256">
        <w:rPr>
          <w:sz w:val="22"/>
          <w:szCs w:val="22"/>
        </w:rPr>
        <w:t xml:space="preserve"> PPL PY</w:t>
      </w:r>
      <w:r>
        <w:rPr>
          <w:sz w:val="22"/>
          <w:szCs w:val="22"/>
        </w:rPr>
        <w:t>7 Final Annual Report at 9</w:t>
      </w:r>
      <w:r w:rsidRPr="00E56256">
        <w:rPr>
          <w:sz w:val="22"/>
          <w:szCs w:val="22"/>
        </w:rPr>
        <w:t xml:space="preserve">. </w:t>
      </w:r>
    </w:p>
  </w:footnote>
  <w:footnote w:id="75">
    <w:p w:rsidR="00753437" w:rsidRPr="00A12CEC" w:rsidRDefault="00753437">
      <w:pPr>
        <w:pStyle w:val="FootnoteText"/>
        <w:rPr>
          <w:sz w:val="22"/>
          <w:szCs w:val="22"/>
        </w:rPr>
      </w:pPr>
      <w:r w:rsidRPr="00A12CEC">
        <w:rPr>
          <w:rStyle w:val="FootnoteReference"/>
          <w:sz w:val="22"/>
          <w:szCs w:val="22"/>
        </w:rPr>
        <w:footnoteRef/>
      </w:r>
      <w:r w:rsidRPr="00A12CEC">
        <w:rPr>
          <w:sz w:val="22"/>
          <w:szCs w:val="22"/>
        </w:rPr>
        <w:t xml:space="preserve"> </w:t>
      </w:r>
      <w:r>
        <w:rPr>
          <w:i/>
          <w:sz w:val="22"/>
          <w:szCs w:val="22"/>
        </w:rPr>
        <w:t>See</w:t>
      </w:r>
      <w:r>
        <w:rPr>
          <w:sz w:val="22"/>
          <w:szCs w:val="22"/>
        </w:rPr>
        <w:t xml:space="preserve"> Table 2</w:t>
      </w:r>
      <w:r>
        <w:rPr>
          <w:sz w:val="22"/>
          <w:szCs w:val="22"/>
        </w:rPr>
        <w:noBreakHyphen/>
        <w:t>6:  EDC Achievement of Act 129 Low</w:t>
      </w:r>
      <w:r>
        <w:rPr>
          <w:sz w:val="22"/>
          <w:szCs w:val="22"/>
        </w:rPr>
        <w:noBreakHyphen/>
        <w:t>Income Requirements in PY7 of the SWE Final Report.</w:t>
      </w:r>
    </w:p>
  </w:footnote>
  <w:footnote w:id="76">
    <w:p w:rsidR="00753437" w:rsidRPr="00E56256" w:rsidRDefault="00753437" w:rsidP="00F52187">
      <w:pPr>
        <w:pStyle w:val="FootnoteText"/>
        <w:rPr>
          <w:sz w:val="22"/>
          <w:szCs w:val="22"/>
        </w:rPr>
      </w:pPr>
      <w:r w:rsidRPr="00E56256">
        <w:rPr>
          <w:rStyle w:val="FootnoteReference"/>
          <w:sz w:val="22"/>
          <w:szCs w:val="22"/>
        </w:rPr>
        <w:footnoteRef/>
      </w:r>
      <w:r w:rsidRPr="00E56256">
        <w:rPr>
          <w:sz w:val="22"/>
          <w:szCs w:val="22"/>
        </w:rPr>
        <w:t xml:space="preserve"> </w:t>
      </w:r>
      <w:r w:rsidRPr="00C93D55">
        <w:rPr>
          <w:i/>
          <w:sz w:val="22"/>
          <w:szCs w:val="22"/>
        </w:rPr>
        <w:t>See</w:t>
      </w:r>
      <w:r w:rsidRPr="00C93D55">
        <w:rPr>
          <w:sz w:val="22"/>
          <w:szCs w:val="22"/>
        </w:rPr>
        <w:t xml:space="preserve"> </w:t>
      </w:r>
      <w:r w:rsidRPr="00786242">
        <w:rPr>
          <w:i/>
          <w:sz w:val="22"/>
          <w:szCs w:val="22"/>
        </w:rPr>
        <w:t>Report of the Act 129 Low-Income Working Group</w:t>
      </w:r>
      <w:r>
        <w:rPr>
          <w:sz w:val="22"/>
          <w:szCs w:val="22"/>
        </w:rPr>
        <w:t xml:space="preserve"> at Docket No. M-20090-2146801, Table 1, at 6, that was adopted by the Commission in an April 27, 2010, Secretarial Letter at the same Docket. </w:t>
      </w:r>
    </w:p>
  </w:footnote>
  <w:footnote w:id="77">
    <w:p w:rsidR="00753437" w:rsidRPr="00E56256" w:rsidRDefault="00753437" w:rsidP="00F52187">
      <w:pPr>
        <w:pStyle w:val="FootnoteText"/>
        <w:rPr>
          <w:sz w:val="22"/>
          <w:szCs w:val="22"/>
        </w:rPr>
      </w:pPr>
      <w:r w:rsidRPr="00E56256">
        <w:rPr>
          <w:rStyle w:val="FootnoteReference"/>
          <w:sz w:val="22"/>
          <w:szCs w:val="22"/>
        </w:rPr>
        <w:footnoteRef/>
      </w:r>
      <w:r w:rsidRPr="00E56256">
        <w:rPr>
          <w:sz w:val="22"/>
          <w:szCs w:val="22"/>
        </w:rPr>
        <w:t xml:space="preserve"> </w:t>
      </w:r>
      <w:r w:rsidRPr="00E56256">
        <w:rPr>
          <w:i/>
          <w:sz w:val="22"/>
          <w:szCs w:val="22"/>
        </w:rPr>
        <w:t>See</w:t>
      </w:r>
      <w:r w:rsidRPr="00E56256">
        <w:rPr>
          <w:sz w:val="22"/>
          <w:szCs w:val="22"/>
        </w:rPr>
        <w:t xml:space="preserve"> </w:t>
      </w:r>
      <w:r>
        <w:rPr>
          <w:sz w:val="22"/>
          <w:szCs w:val="22"/>
        </w:rPr>
        <w:t>West Penn PY7 Final Annual Report at 4.</w:t>
      </w:r>
    </w:p>
  </w:footnote>
  <w:footnote w:id="78">
    <w:p w:rsidR="00753437" w:rsidRPr="008B7846" w:rsidRDefault="00753437">
      <w:pPr>
        <w:pStyle w:val="FootnoteText"/>
        <w:rPr>
          <w:sz w:val="22"/>
          <w:szCs w:val="22"/>
        </w:rPr>
      </w:pPr>
      <w:r w:rsidRPr="008B7846">
        <w:rPr>
          <w:rStyle w:val="FootnoteReference"/>
          <w:sz w:val="22"/>
          <w:szCs w:val="22"/>
        </w:rPr>
        <w:footnoteRef/>
      </w:r>
      <w:r w:rsidRPr="008B7846">
        <w:rPr>
          <w:sz w:val="22"/>
          <w:szCs w:val="22"/>
        </w:rPr>
        <w:t xml:space="preserve"> </w:t>
      </w:r>
      <w:r>
        <w:rPr>
          <w:i/>
          <w:sz w:val="22"/>
          <w:szCs w:val="22"/>
        </w:rPr>
        <w:t>See</w:t>
      </w:r>
      <w:r>
        <w:rPr>
          <w:sz w:val="22"/>
          <w:szCs w:val="22"/>
        </w:rPr>
        <w:t xml:space="preserve"> Table 2</w:t>
      </w:r>
      <w:r>
        <w:rPr>
          <w:sz w:val="22"/>
          <w:szCs w:val="22"/>
        </w:rPr>
        <w:noBreakHyphen/>
        <w:t>6:  EDC Achievement of Act 129 Low</w:t>
      </w:r>
      <w:r>
        <w:rPr>
          <w:sz w:val="22"/>
          <w:szCs w:val="22"/>
        </w:rPr>
        <w:noBreakHyphen/>
        <w:t>Income Requirements in PY7 of the SWE Final Report.</w:t>
      </w:r>
    </w:p>
  </w:footnote>
  <w:footnote w:id="79">
    <w:p w:rsidR="00753437" w:rsidRDefault="00753437">
      <w:pPr>
        <w:pStyle w:val="FootnoteText"/>
      </w:pPr>
      <w:r w:rsidRPr="00F52187">
        <w:rPr>
          <w:rStyle w:val="FootnoteReference"/>
          <w:sz w:val="22"/>
          <w:szCs w:val="22"/>
        </w:rPr>
        <w:footnoteRef/>
      </w:r>
      <w:r w:rsidRPr="00F52187">
        <w:rPr>
          <w:sz w:val="22"/>
          <w:szCs w:val="22"/>
        </w:rPr>
        <w:t xml:space="preserve"> </w:t>
      </w:r>
      <w:r w:rsidRPr="00890C88">
        <w:rPr>
          <w:i/>
          <w:sz w:val="22"/>
          <w:szCs w:val="22"/>
        </w:rPr>
        <w:t>See</w:t>
      </w:r>
      <w:r w:rsidRPr="00890C88">
        <w:rPr>
          <w:sz w:val="22"/>
          <w:szCs w:val="22"/>
        </w:rPr>
        <w:t xml:space="preserve"> </w:t>
      </w:r>
      <w:r w:rsidRPr="00F52187">
        <w:rPr>
          <w:i/>
          <w:sz w:val="22"/>
          <w:szCs w:val="22"/>
        </w:rPr>
        <w:t>Phase II Implementation Order</w:t>
      </w:r>
      <w:r w:rsidRPr="00890C88">
        <w:rPr>
          <w:sz w:val="22"/>
          <w:szCs w:val="22"/>
        </w:rPr>
        <w:t xml:space="preserve"> at </w:t>
      </w:r>
      <w:r>
        <w:rPr>
          <w:sz w:val="22"/>
          <w:szCs w:val="22"/>
        </w:rPr>
        <w:t>53-58</w:t>
      </w:r>
      <w:r w:rsidRPr="00890C88">
        <w:rPr>
          <w:sz w:val="22"/>
          <w:szCs w:val="22"/>
        </w:rPr>
        <w:t>.</w:t>
      </w:r>
    </w:p>
  </w:footnote>
  <w:footnote w:id="80">
    <w:p w:rsidR="00753437" w:rsidRPr="003273FC" w:rsidRDefault="00753437" w:rsidP="00C060FF">
      <w:pPr>
        <w:pStyle w:val="Caption"/>
        <w:keepNext/>
        <w:rPr>
          <w:b w:val="0"/>
          <w:sz w:val="22"/>
          <w:szCs w:val="22"/>
        </w:rPr>
      </w:pPr>
      <w:r w:rsidRPr="003273FC">
        <w:rPr>
          <w:rStyle w:val="FootnoteReference"/>
          <w:b w:val="0"/>
          <w:sz w:val="22"/>
          <w:szCs w:val="22"/>
        </w:rPr>
        <w:footnoteRef/>
      </w:r>
      <w:r w:rsidRPr="003273FC">
        <w:rPr>
          <w:b w:val="0"/>
          <w:sz w:val="22"/>
          <w:szCs w:val="22"/>
        </w:rPr>
        <w:t xml:space="preserve"> </w:t>
      </w:r>
      <w:r w:rsidRPr="003273FC">
        <w:rPr>
          <w:b w:val="0"/>
          <w:i/>
          <w:sz w:val="22"/>
          <w:szCs w:val="22"/>
        </w:rPr>
        <w:t>See</w:t>
      </w:r>
      <w:r w:rsidRPr="003273FC">
        <w:rPr>
          <w:b w:val="0"/>
          <w:sz w:val="22"/>
          <w:szCs w:val="22"/>
        </w:rPr>
        <w:t xml:space="preserve"> Table 2-2: Act 129 Phase II Three-Year Low-Income and GNI Ener</w:t>
      </w:r>
      <w:r>
        <w:rPr>
          <w:b w:val="0"/>
          <w:sz w:val="22"/>
          <w:szCs w:val="22"/>
        </w:rPr>
        <w:t>gy Efficiency Reduction Targets</w:t>
      </w:r>
      <w:r w:rsidRPr="003273FC">
        <w:rPr>
          <w:b w:val="0"/>
          <w:sz w:val="22"/>
          <w:szCs w:val="22"/>
        </w:rPr>
        <w:t xml:space="preserve"> of the </w:t>
      </w:r>
      <w:r>
        <w:rPr>
          <w:b w:val="0"/>
          <w:sz w:val="22"/>
          <w:szCs w:val="22"/>
        </w:rPr>
        <w:t>SWE</w:t>
      </w:r>
      <w:r w:rsidRPr="003273FC">
        <w:rPr>
          <w:b w:val="0"/>
          <w:sz w:val="22"/>
          <w:szCs w:val="22"/>
        </w:rPr>
        <w:t xml:space="preserve"> Final Report. </w:t>
      </w:r>
    </w:p>
  </w:footnote>
  <w:footnote w:id="81">
    <w:p w:rsidR="00753437" w:rsidRPr="003273FC" w:rsidRDefault="00753437" w:rsidP="00C060FF">
      <w:pPr>
        <w:pStyle w:val="FootnoteText"/>
        <w:rPr>
          <w:sz w:val="22"/>
          <w:szCs w:val="22"/>
        </w:rPr>
      </w:pPr>
      <w:r w:rsidRPr="003273FC">
        <w:rPr>
          <w:rStyle w:val="FootnoteReference"/>
          <w:sz w:val="22"/>
          <w:szCs w:val="22"/>
        </w:rPr>
        <w:footnoteRef/>
      </w:r>
      <w:r w:rsidRPr="003273FC">
        <w:rPr>
          <w:sz w:val="22"/>
          <w:szCs w:val="22"/>
        </w:rPr>
        <w:t xml:space="preserve"> </w:t>
      </w:r>
      <w:r w:rsidRPr="003273FC">
        <w:rPr>
          <w:i/>
          <w:sz w:val="22"/>
          <w:szCs w:val="22"/>
        </w:rPr>
        <w:t>See</w:t>
      </w:r>
      <w:r w:rsidRPr="003273FC">
        <w:rPr>
          <w:sz w:val="22"/>
          <w:szCs w:val="22"/>
        </w:rPr>
        <w:t xml:space="preserve"> Duquesne PY7 Final Annual Report at 4.</w:t>
      </w:r>
    </w:p>
  </w:footnote>
  <w:footnote w:id="82">
    <w:p w:rsidR="00753437" w:rsidRPr="003273FC" w:rsidRDefault="00753437" w:rsidP="00C060FF">
      <w:pPr>
        <w:pStyle w:val="FootnoteText"/>
        <w:rPr>
          <w:sz w:val="22"/>
          <w:szCs w:val="22"/>
        </w:rPr>
      </w:pPr>
      <w:r w:rsidRPr="003273FC">
        <w:rPr>
          <w:rStyle w:val="FootnoteReference"/>
          <w:sz w:val="22"/>
          <w:szCs w:val="22"/>
        </w:rPr>
        <w:footnoteRef/>
      </w:r>
      <w:r w:rsidRPr="003273FC">
        <w:rPr>
          <w:sz w:val="22"/>
          <w:szCs w:val="22"/>
        </w:rPr>
        <w:t xml:space="preserve"> </w:t>
      </w:r>
      <w:r w:rsidRPr="003273FC">
        <w:rPr>
          <w:i/>
          <w:sz w:val="22"/>
          <w:szCs w:val="22"/>
        </w:rPr>
        <w:t>See</w:t>
      </w:r>
      <w:r w:rsidRPr="003273FC">
        <w:rPr>
          <w:sz w:val="22"/>
          <w:szCs w:val="22"/>
        </w:rPr>
        <w:t xml:space="preserve"> Table 2-4: Low</w:t>
      </w:r>
      <w:r>
        <w:rPr>
          <w:sz w:val="22"/>
          <w:szCs w:val="22"/>
        </w:rPr>
        <w:noBreakHyphen/>
      </w:r>
      <w:r w:rsidRPr="003273FC">
        <w:rPr>
          <w:sz w:val="22"/>
          <w:szCs w:val="22"/>
        </w:rPr>
        <w:t>Income Carve-Out G</w:t>
      </w:r>
      <w:r>
        <w:rPr>
          <w:sz w:val="22"/>
          <w:szCs w:val="22"/>
        </w:rPr>
        <w:t>oal Performance, Summary by EDC</w:t>
      </w:r>
      <w:r w:rsidRPr="003273FC">
        <w:rPr>
          <w:sz w:val="22"/>
          <w:szCs w:val="22"/>
        </w:rPr>
        <w:t xml:space="preserve"> of the </w:t>
      </w:r>
      <w:r>
        <w:rPr>
          <w:sz w:val="22"/>
          <w:szCs w:val="22"/>
        </w:rPr>
        <w:t>SWE</w:t>
      </w:r>
      <w:r w:rsidRPr="003273FC">
        <w:rPr>
          <w:sz w:val="22"/>
          <w:szCs w:val="22"/>
        </w:rPr>
        <w:t xml:space="preserve"> Final </w:t>
      </w:r>
      <w:r>
        <w:rPr>
          <w:sz w:val="22"/>
          <w:szCs w:val="22"/>
        </w:rPr>
        <w:t>Report.</w:t>
      </w:r>
    </w:p>
  </w:footnote>
  <w:footnote w:id="83">
    <w:p w:rsidR="00753437" w:rsidRPr="00D6455E" w:rsidRDefault="00753437">
      <w:pPr>
        <w:pStyle w:val="FootnoteText"/>
        <w:rPr>
          <w:sz w:val="22"/>
          <w:szCs w:val="22"/>
        </w:rPr>
      </w:pPr>
      <w:r w:rsidRPr="00D6455E">
        <w:rPr>
          <w:rStyle w:val="FootnoteReference"/>
          <w:sz w:val="22"/>
          <w:szCs w:val="22"/>
        </w:rPr>
        <w:footnoteRef/>
      </w:r>
      <w:r w:rsidRPr="00D6455E">
        <w:rPr>
          <w:sz w:val="22"/>
          <w:szCs w:val="22"/>
        </w:rPr>
        <w:t xml:space="preserve"> Duquesne filed its Petition under Docket Nos. M-2012-2289411 and M-2012-2334399.</w:t>
      </w:r>
    </w:p>
  </w:footnote>
  <w:footnote w:id="84">
    <w:p w:rsidR="00753437" w:rsidRPr="00465C1A" w:rsidRDefault="00753437" w:rsidP="00BE5C24">
      <w:pPr>
        <w:pStyle w:val="FootnoteText"/>
        <w:rPr>
          <w:sz w:val="22"/>
          <w:szCs w:val="22"/>
        </w:rPr>
      </w:pPr>
      <w:r w:rsidRPr="00465C1A">
        <w:rPr>
          <w:rStyle w:val="FootnoteReference"/>
          <w:sz w:val="22"/>
          <w:szCs w:val="22"/>
        </w:rPr>
        <w:footnoteRef/>
      </w:r>
      <w:r w:rsidRPr="00465C1A">
        <w:rPr>
          <w:sz w:val="22"/>
          <w:szCs w:val="22"/>
        </w:rPr>
        <w:t xml:space="preserve"> </w:t>
      </w:r>
      <w:r w:rsidRPr="00465C1A">
        <w:rPr>
          <w:i/>
          <w:sz w:val="22"/>
          <w:szCs w:val="22"/>
        </w:rPr>
        <w:t>See</w:t>
      </w:r>
      <w:r w:rsidRPr="00465C1A">
        <w:rPr>
          <w:sz w:val="22"/>
          <w:szCs w:val="22"/>
        </w:rPr>
        <w:t xml:space="preserve"> Duquesne Petition at 5. </w:t>
      </w:r>
    </w:p>
  </w:footnote>
  <w:footnote w:id="85">
    <w:p w:rsidR="00753437" w:rsidRDefault="00753437" w:rsidP="00BE5C24">
      <w:pPr>
        <w:pStyle w:val="FootnoteText"/>
      </w:pPr>
      <w:r w:rsidRPr="00465C1A">
        <w:rPr>
          <w:rStyle w:val="FootnoteReference"/>
          <w:sz w:val="22"/>
          <w:szCs w:val="22"/>
        </w:rPr>
        <w:footnoteRef/>
      </w:r>
      <w:r>
        <w:rPr>
          <w:sz w:val="22"/>
          <w:szCs w:val="22"/>
        </w:rPr>
        <w:t xml:space="preserve"> </w:t>
      </w:r>
      <w:r w:rsidRPr="006018A7">
        <w:rPr>
          <w:i/>
          <w:sz w:val="22"/>
          <w:szCs w:val="22"/>
        </w:rPr>
        <w:t xml:space="preserve">See </w:t>
      </w:r>
      <w:r w:rsidRPr="006018A7">
        <w:rPr>
          <w:sz w:val="22"/>
          <w:szCs w:val="22"/>
        </w:rPr>
        <w:t>Table</w:t>
      </w:r>
      <w:r w:rsidR="006018A7" w:rsidRPr="006018A7">
        <w:rPr>
          <w:sz w:val="22"/>
          <w:szCs w:val="22"/>
        </w:rPr>
        <w:t xml:space="preserve"> </w:t>
      </w:r>
      <w:r w:rsidR="006018A7" w:rsidRPr="005B5E2A">
        <w:rPr>
          <w:sz w:val="22"/>
          <w:szCs w:val="22"/>
        </w:rPr>
        <w:t>2-4: Low</w:t>
      </w:r>
      <w:r w:rsidR="006018A7" w:rsidRPr="005B5E2A">
        <w:rPr>
          <w:sz w:val="22"/>
          <w:szCs w:val="22"/>
        </w:rPr>
        <w:noBreakHyphen/>
        <w:t xml:space="preserve">Income Carve-Out Goal Performance, Summary by EDC of the SWE </w:t>
      </w:r>
      <w:r w:rsidR="006018A7" w:rsidRPr="00D73B27">
        <w:rPr>
          <w:sz w:val="22"/>
          <w:szCs w:val="22"/>
        </w:rPr>
        <w:t>Amended Phase II Final Annual Report</w:t>
      </w:r>
      <w:r w:rsidRPr="006018A7">
        <w:rPr>
          <w:sz w:val="22"/>
          <w:szCs w:val="22"/>
        </w:rPr>
        <w:t>.</w:t>
      </w:r>
    </w:p>
  </w:footnote>
  <w:footnote w:id="86">
    <w:p w:rsidR="00753437" w:rsidRPr="006C0E50" w:rsidRDefault="00753437" w:rsidP="003273FC">
      <w:pPr>
        <w:pStyle w:val="FootnoteText"/>
        <w:rPr>
          <w:sz w:val="22"/>
          <w:szCs w:val="22"/>
        </w:rPr>
      </w:pPr>
      <w:r w:rsidRPr="003273FC">
        <w:rPr>
          <w:rStyle w:val="FootnoteReference"/>
          <w:sz w:val="22"/>
          <w:szCs w:val="22"/>
        </w:rPr>
        <w:footnoteRef/>
      </w:r>
      <w:r w:rsidRPr="003273FC">
        <w:rPr>
          <w:sz w:val="22"/>
          <w:szCs w:val="22"/>
        </w:rPr>
        <w:t xml:space="preserve"> </w:t>
      </w:r>
      <w:r w:rsidRPr="003273FC">
        <w:rPr>
          <w:i/>
          <w:sz w:val="22"/>
          <w:szCs w:val="22"/>
        </w:rPr>
        <w:t>See</w:t>
      </w:r>
      <w:r w:rsidRPr="003273FC">
        <w:rPr>
          <w:sz w:val="22"/>
          <w:szCs w:val="22"/>
        </w:rPr>
        <w:t xml:space="preserve"> Table 2-2: Act 129 Phase II Three-Year Low-Income and GNI Ener</w:t>
      </w:r>
      <w:r>
        <w:rPr>
          <w:sz w:val="22"/>
          <w:szCs w:val="22"/>
        </w:rPr>
        <w:t>gy Efficiency Reduction Targets</w:t>
      </w:r>
      <w:r w:rsidRPr="003273FC">
        <w:rPr>
          <w:sz w:val="22"/>
          <w:szCs w:val="22"/>
        </w:rPr>
        <w:t xml:space="preserve"> of the </w:t>
      </w:r>
      <w:r>
        <w:rPr>
          <w:sz w:val="22"/>
          <w:szCs w:val="22"/>
        </w:rPr>
        <w:t>SWE</w:t>
      </w:r>
      <w:r w:rsidRPr="003273FC">
        <w:rPr>
          <w:sz w:val="22"/>
          <w:szCs w:val="22"/>
        </w:rPr>
        <w:t xml:space="preserve"> Final</w:t>
      </w:r>
      <w:r>
        <w:rPr>
          <w:sz w:val="22"/>
          <w:szCs w:val="22"/>
        </w:rPr>
        <w:t xml:space="preserve"> </w:t>
      </w:r>
      <w:r w:rsidRPr="003273FC">
        <w:rPr>
          <w:sz w:val="22"/>
          <w:szCs w:val="22"/>
        </w:rPr>
        <w:t xml:space="preserve">Report. </w:t>
      </w:r>
    </w:p>
  </w:footnote>
  <w:footnote w:id="87">
    <w:p w:rsidR="00753437" w:rsidRPr="00C060FF" w:rsidRDefault="00753437" w:rsidP="001536F3">
      <w:pPr>
        <w:pStyle w:val="FootnoteText"/>
        <w:rPr>
          <w:sz w:val="22"/>
          <w:szCs w:val="22"/>
        </w:rPr>
      </w:pPr>
      <w:r w:rsidRPr="003273FC">
        <w:rPr>
          <w:rStyle w:val="FootnoteReference"/>
          <w:sz w:val="22"/>
          <w:szCs w:val="22"/>
        </w:rPr>
        <w:footnoteRef/>
      </w:r>
      <w:r w:rsidRPr="003273FC">
        <w:rPr>
          <w:sz w:val="22"/>
          <w:szCs w:val="22"/>
        </w:rPr>
        <w:t xml:space="preserve"> </w:t>
      </w:r>
      <w:r w:rsidRPr="003273FC">
        <w:rPr>
          <w:i/>
          <w:sz w:val="22"/>
          <w:szCs w:val="22"/>
        </w:rPr>
        <w:t>See</w:t>
      </w:r>
      <w:r w:rsidRPr="003273FC">
        <w:rPr>
          <w:sz w:val="22"/>
          <w:szCs w:val="22"/>
        </w:rPr>
        <w:t xml:space="preserve"> Met-Ed PY7 Final Annual Report at 3.</w:t>
      </w:r>
    </w:p>
  </w:footnote>
  <w:footnote w:id="88">
    <w:p w:rsidR="00753437" w:rsidRPr="00386C41" w:rsidRDefault="00753437" w:rsidP="001536F3">
      <w:pPr>
        <w:pStyle w:val="FootnoteText"/>
        <w:rPr>
          <w:sz w:val="22"/>
          <w:szCs w:val="22"/>
        </w:rPr>
      </w:pPr>
      <w:r w:rsidRPr="00C060FF">
        <w:rPr>
          <w:rStyle w:val="FootnoteReference"/>
          <w:sz w:val="22"/>
          <w:szCs w:val="22"/>
        </w:rPr>
        <w:footnoteRef/>
      </w:r>
      <w:r w:rsidRPr="00C060FF">
        <w:rPr>
          <w:sz w:val="22"/>
          <w:szCs w:val="22"/>
        </w:rPr>
        <w:t xml:space="preserve"> </w:t>
      </w:r>
      <w:r w:rsidRPr="00C060FF">
        <w:rPr>
          <w:i/>
          <w:sz w:val="22"/>
          <w:szCs w:val="22"/>
        </w:rPr>
        <w:t>See</w:t>
      </w:r>
      <w:r w:rsidRPr="00C060FF">
        <w:rPr>
          <w:sz w:val="22"/>
          <w:szCs w:val="22"/>
        </w:rPr>
        <w:t xml:space="preserve"> Table 2-4: Low</w:t>
      </w:r>
      <w:r>
        <w:rPr>
          <w:sz w:val="22"/>
          <w:szCs w:val="22"/>
        </w:rPr>
        <w:noBreakHyphen/>
      </w:r>
      <w:r w:rsidRPr="00C060FF">
        <w:rPr>
          <w:sz w:val="22"/>
          <w:szCs w:val="22"/>
        </w:rPr>
        <w:t>Income Carve-Out G</w:t>
      </w:r>
      <w:r>
        <w:rPr>
          <w:sz w:val="22"/>
          <w:szCs w:val="22"/>
        </w:rPr>
        <w:t>oal Performance, Summary by EDC</w:t>
      </w:r>
      <w:r w:rsidRPr="00C060FF">
        <w:rPr>
          <w:sz w:val="22"/>
          <w:szCs w:val="22"/>
        </w:rPr>
        <w:t xml:space="preserve"> of the </w:t>
      </w:r>
      <w:r>
        <w:rPr>
          <w:sz w:val="22"/>
          <w:szCs w:val="22"/>
        </w:rPr>
        <w:t>SWE</w:t>
      </w:r>
      <w:r w:rsidRPr="00C060FF">
        <w:rPr>
          <w:sz w:val="22"/>
          <w:szCs w:val="22"/>
        </w:rPr>
        <w:t xml:space="preserve"> Final Report</w:t>
      </w:r>
      <w:r>
        <w:rPr>
          <w:sz w:val="22"/>
          <w:szCs w:val="22"/>
        </w:rPr>
        <w:t>.</w:t>
      </w:r>
    </w:p>
  </w:footnote>
  <w:footnote w:id="89">
    <w:p w:rsidR="00753437" w:rsidRPr="006C0E50" w:rsidRDefault="00753437" w:rsidP="001536F3">
      <w:pPr>
        <w:pStyle w:val="Caption"/>
        <w:keepNext/>
        <w:rPr>
          <w:b w:val="0"/>
          <w:sz w:val="22"/>
          <w:szCs w:val="22"/>
        </w:rPr>
      </w:pPr>
      <w:r w:rsidRPr="006C0E50">
        <w:rPr>
          <w:rStyle w:val="FootnoteReference"/>
          <w:b w:val="0"/>
          <w:sz w:val="22"/>
          <w:szCs w:val="22"/>
        </w:rPr>
        <w:footnoteRef/>
      </w:r>
      <w:r w:rsidRPr="006C0E50">
        <w:rPr>
          <w:b w:val="0"/>
          <w:sz w:val="22"/>
          <w:szCs w:val="22"/>
        </w:rPr>
        <w:t xml:space="preserve"> </w:t>
      </w:r>
      <w:r w:rsidRPr="006C0E50">
        <w:rPr>
          <w:b w:val="0"/>
          <w:i/>
          <w:sz w:val="22"/>
          <w:szCs w:val="22"/>
        </w:rPr>
        <w:t>See</w:t>
      </w:r>
      <w:r w:rsidRPr="006C0E50">
        <w:rPr>
          <w:b w:val="0"/>
          <w:sz w:val="22"/>
          <w:szCs w:val="22"/>
        </w:rPr>
        <w:t xml:space="preserve"> Table 2-2: Act 129 Phase II Three-Year Low-Income and GNI Energy Efficiency Reduction Targets of the SWE Final Report. </w:t>
      </w:r>
    </w:p>
  </w:footnote>
  <w:footnote w:id="90">
    <w:p w:rsidR="00753437" w:rsidRPr="006C0E50" w:rsidRDefault="00753437" w:rsidP="001536F3">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PECO PY7 Final Annual Report at 5.</w:t>
      </w:r>
    </w:p>
  </w:footnote>
  <w:footnote w:id="91">
    <w:p w:rsidR="00753437" w:rsidRPr="006C0E50" w:rsidRDefault="00753437" w:rsidP="001536F3">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Table 2-4: Low</w:t>
      </w:r>
      <w:r>
        <w:rPr>
          <w:sz w:val="22"/>
          <w:szCs w:val="22"/>
        </w:rPr>
        <w:noBreakHyphen/>
      </w:r>
      <w:r w:rsidRPr="006C0E50">
        <w:rPr>
          <w:sz w:val="22"/>
          <w:szCs w:val="22"/>
        </w:rPr>
        <w:t>Income Carve-Out Goal Performance, Summary by EDC of the SWE Final Report.</w:t>
      </w:r>
    </w:p>
  </w:footnote>
  <w:footnote w:id="92">
    <w:p w:rsidR="00753437" w:rsidRPr="006C0E50" w:rsidRDefault="00753437" w:rsidP="001536F3">
      <w:pPr>
        <w:pStyle w:val="Caption"/>
        <w:keepNext/>
        <w:rPr>
          <w:b w:val="0"/>
          <w:sz w:val="22"/>
          <w:szCs w:val="22"/>
        </w:rPr>
      </w:pPr>
      <w:r w:rsidRPr="006C0E50">
        <w:rPr>
          <w:rStyle w:val="FootnoteReference"/>
          <w:b w:val="0"/>
          <w:sz w:val="22"/>
          <w:szCs w:val="22"/>
        </w:rPr>
        <w:footnoteRef/>
      </w:r>
      <w:r w:rsidRPr="006C0E50">
        <w:rPr>
          <w:b w:val="0"/>
          <w:sz w:val="22"/>
          <w:szCs w:val="22"/>
        </w:rPr>
        <w:t xml:space="preserve"> </w:t>
      </w:r>
      <w:r w:rsidRPr="006C0E50">
        <w:rPr>
          <w:b w:val="0"/>
          <w:i/>
          <w:sz w:val="22"/>
          <w:szCs w:val="22"/>
        </w:rPr>
        <w:t>See</w:t>
      </w:r>
      <w:r w:rsidRPr="006C0E50">
        <w:rPr>
          <w:b w:val="0"/>
          <w:sz w:val="22"/>
          <w:szCs w:val="22"/>
        </w:rPr>
        <w:t xml:space="preserve"> Table 2-2: Act 129 Phase II Three-Year Low-Income and GNI Energy Efficiency Reduction Targets of the SWE Final Report. </w:t>
      </w:r>
    </w:p>
  </w:footnote>
  <w:footnote w:id="93">
    <w:p w:rsidR="00753437" w:rsidRPr="006C0E50" w:rsidRDefault="00753437" w:rsidP="001536F3">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Penelec PY7 Final Annual Report at 3.</w:t>
      </w:r>
    </w:p>
  </w:footnote>
  <w:footnote w:id="94">
    <w:p w:rsidR="00753437" w:rsidRPr="00386C41" w:rsidRDefault="00753437" w:rsidP="001536F3">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Table 2-4: Low</w:t>
      </w:r>
      <w:r>
        <w:rPr>
          <w:sz w:val="22"/>
          <w:szCs w:val="22"/>
        </w:rPr>
        <w:noBreakHyphen/>
      </w:r>
      <w:r w:rsidRPr="006C0E50">
        <w:rPr>
          <w:sz w:val="22"/>
          <w:szCs w:val="22"/>
        </w:rPr>
        <w:t>Income Carve-Out Goal Performance, Summary by EDC of the SWE Final Report.</w:t>
      </w:r>
    </w:p>
  </w:footnote>
  <w:footnote w:id="95">
    <w:p w:rsidR="00753437" w:rsidRPr="006C0E50" w:rsidRDefault="00753437" w:rsidP="00E02D6B">
      <w:pPr>
        <w:pStyle w:val="Caption"/>
        <w:keepNext/>
        <w:rPr>
          <w:b w:val="0"/>
          <w:sz w:val="22"/>
          <w:szCs w:val="22"/>
        </w:rPr>
      </w:pPr>
      <w:r w:rsidRPr="006C0E50">
        <w:rPr>
          <w:rStyle w:val="FootnoteReference"/>
          <w:b w:val="0"/>
          <w:sz w:val="22"/>
          <w:szCs w:val="22"/>
        </w:rPr>
        <w:footnoteRef/>
      </w:r>
      <w:r w:rsidRPr="006C0E50">
        <w:rPr>
          <w:b w:val="0"/>
          <w:sz w:val="22"/>
          <w:szCs w:val="22"/>
        </w:rPr>
        <w:t xml:space="preserve"> </w:t>
      </w:r>
      <w:r w:rsidRPr="006C0E50">
        <w:rPr>
          <w:b w:val="0"/>
          <w:i/>
          <w:sz w:val="22"/>
          <w:szCs w:val="22"/>
        </w:rPr>
        <w:t>See</w:t>
      </w:r>
      <w:r w:rsidRPr="006C0E50">
        <w:rPr>
          <w:b w:val="0"/>
          <w:sz w:val="22"/>
          <w:szCs w:val="22"/>
        </w:rPr>
        <w:t xml:space="preserve"> Table 2-2: Act 129 Phase II Three-Year Low-Income and GNI Energy Efficiency Reduction Targets of the SWE Final Report. </w:t>
      </w:r>
    </w:p>
  </w:footnote>
  <w:footnote w:id="96">
    <w:p w:rsidR="00753437" w:rsidRPr="006C0E50" w:rsidRDefault="00753437" w:rsidP="00E02D6B">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Penn Power PY7 Final Annual Report at 3.</w:t>
      </w:r>
    </w:p>
  </w:footnote>
  <w:footnote w:id="97">
    <w:p w:rsidR="00753437" w:rsidRPr="006C0E50" w:rsidRDefault="00753437" w:rsidP="00E02D6B">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Table 2-4: Low</w:t>
      </w:r>
      <w:r>
        <w:rPr>
          <w:sz w:val="22"/>
          <w:szCs w:val="22"/>
        </w:rPr>
        <w:noBreakHyphen/>
      </w:r>
      <w:r w:rsidRPr="006C0E50">
        <w:rPr>
          <w:sz w:val="22"/>
          <w:szCs w:val="22"/>
        </w:rPr>
        <w:t>Income Carve-Out Goal Performance, Summary by EDC of the SWE Final Report</w:t>
      </w:r>
      <w:r>
        <w:rPr>
          <w:sz w:val="22"/>
          <w:szCs w:val="22"/>
        </w:rPr>
        <w:t>.</w:t>
      </w:r>
    </w:p>
  </w:footnote>
  <w:footnote w:id="98">
    <w:p w:rsidR="00753437" w:rsidRPr="006C0E50" w:rsidRDefault="00753437" w:rsidP="00096F2B">
      <w:pPr>
        <w:pStyle w:val="Caption"/>
        <w:keepNext/>
        <w:rPr>
          <w:b w:val="0"/>
          <w:sz w:val="22"/>
          <w:szCs w:val="22"/>
        </w:rPr>
      </w:pPr>
      <w:r w:rsidRPr="006C0E50">
        <w:rPr>
          <w:rStyle w:val="FootnoteReference"/>
          <w:b w:val="0"/>
          <w:sz w:val="22"/>
          <w:szCs w:val="22"/>
        </w:rPr>
        <w:footnoteRef/>
      </w:r>
      <w:r w:rsidRPr="006C0E50">
        <w:rPr>
          <w:b w:val="0"/>
          <w:sz w:val="22"/>
          <w:szCs w:val="22"/>
        </w:rPr>
        <w:t xml:space="preserve"> </w:t>
      </w:r>
      <w:r w:rsidRPr="006C0E50">
        <w:rPr>
          <w:b w:val="0"/>
          <w:i/>
          <w:sz w:val="22"/>
          <w:szCs w:val="22"/>
        </w:rPr>
        <w:t>See</w:t>
      </w:r>
      <w:r w:rsidRPr="006C0E50">
        <w:rPr>
          <w:b w:val="0"/>
          <w:sz w:val="22"/>
          <w:szCs w:val="22"/>
        </w:rPr>
        <w:t xml:space="preserve"> Table 2-2: Act 129 Phase II Three-Year Low-Income and GNI Energy Efficiency Reduction Targets of the SWE Final Report. </w:t>
      </w:r>
    </w:p>
  </w:footnote>
  <w:footnote w:id="99">
    <w:p w:rsidR="00753437" w:rsidRPr="00C060FF" w:rsidRDefault="00753437" w:rsidP="00096F2B">
      <w:pPr>
        <w:pStyle w:val="FootnoteText"/>
        <w:rPr>
          <w:sz w:val="22"/>
          <w:szCs w:val="22"/>
        </w:rPr>
      </w:pPr>
      <w:r w:rsidRPr="006C0E50">
        <w:rPr>
          <w:rStyle w:val="FootnoteReference"/>
          <w:sz w:val="22"/>
          <w:szCs w:val="22"/>
        </w:rPr>
        <w:footnoteRef/>
      </w:r>
      <w:r w:rsidRPr="006C0E50">
        <w:rPr>
          <w:sz w:val="22"/>
          <w:szCs w:val="22"/>
        </w:rPr>
        <w:t xml:space="preserve"> </w:t>
      </w:r>
      <w:r w:rsidRPr="006C0E50">
        <w:rPr>
          <w:i/>
          <w:sz w:val="22"/>
          <w:szCs w:val="22"/>
        </w:rPr>
        <w:t>See</w:t>
      </w:r>
      <w:r w:rsidRPr="006C0E50">
        <w:rPr>
          <w:sz w:val="22"/>
          <w:szCs w:val="22"/>
        </w:rPr>
        <w:t xml:space="preserve"> PPL PY7 Final Annual Report at 9.</w:t>
      </w:r>
    </w:p>
  </w:footnote>
  <w:footnote w:id="100">
    <w:p w:rsidR="00753437" w:rsidRPr="00814360" w:rsidRDefault="00753437" w:rsidP="00096F2B">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See</w:t>
      </w:r>
      <w:r w:rsidRPr="00814360">
        <w:rPr>
          <w:sz w:val="22"/>
          <w:szCs w:val="22"/>
        </w:rPr>
        <w:t xml:space="preserve"> Table 2-4: Low</w:t>
      </w:r>
      <w:r>
        <w:rPr>
          <w:sz w:val="22"/>
          <w:szCs w:val="22"/>
        </w:rPr>
        <w:noBreakHyphen/>
      </w:r>
      <w:r w:rsidRPr="00814360">
        <w:rPr>
          <w:sz w:val="22"/>
          <w:szCs w:val="22"/>
        </w:rPr>
        <w:t>Income Carve-Out Goal Performance, Summary by EDC of the SWE Final Report.</w:t>
      </w:r>
    </w:p>
  </w:footnote>
  <w:footnote w:id="101">
    <w:p w:rsidR="00753437" w:rsidRPr="00814360" w:rsidRDefault="00753437" w:rsidP="00096F2B">
      <w:pPr>
        <w:pStyle w:val="Caption"/>
        <w:keepNext/>
        <w:rPr>
          <w:b w:val="0"/>
          <w:sz w:val="22"/>
          <w:szCs w:val="22"/>
        </w:rPr>
      </w:pPr>
      <w:r w:rsidRPr="00814360">
        <w:rPr>
          <w:rStyle w:val="FootnoteReference"/>
          <w:b w:val="0"/>
          <w:sz w:val="22"/>
          <w:szCs w:val="22"/>
        </w:rPr>
        <w:footnoteRef/>
      </w:r>
      <w:r w:rsidRPr="00814360">
        <w:rPr>
          <w:b w:val="0"/>
          <w:sz w:val="22"/>
          <w:szCs w:val="22"/>
        </w:rPr>
        <w:t xml:space="preserve"> </w:t>
      </w:r>
      <w:r w:rsidRPr="00814360">
        <w:rPr>
          <w:b w:val="0"/>
          <w:i/>
          <w:sz w:val="22"/>
          <w:szCs w:val="22"/>
        </w:rPr>
        <w:t>See</w:t>
      </w:r>
      <w:r w:rsidRPr="00814360">
        <w:rPr>
          <w:b w:val="0"/>
          <w:sz w:val="22"/>
          <w:szCs w:val="22"/>
        </w:rPr>
        <w:t xml:space="preserve"> Table 2-2: Act 129 Phase II Three-Year Low-Income and GNI Energy Efficiency Reduction Targets of the SWE Final Report. </w:t>
      </w:r>
    </w:p>
  </w:footnote>
  <w:footnote w:id="102">
    <w:p w:rsidR="00753437" w:rsidRPr="00C060FF" w:rsidRDefault="00753437" w:rsidP="00096F2B">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See</w:t>
      </w:r>
      <w:r w:rsidRPr="00814360">
        <w:rPr>
          <w:sz w:val="22"/>
          <w:szCs w:val="22"/>
        </w:rPr>
        <w:t xml:space="preserve"> West Penn PY7 Final Annual Report at 3.</w:t>
      </w:r>
    </w:p>
  </w:footnote>
  <w:footnote w:id="103">
    <w:p w:rsidR="00753437" w:rsidRPr="00386C41" w:rsidRDefault="00753437" w:rsidP="00096F2B">
      <w:pPr>
        <w:pStyle w:val="FootnoteText"/>
        <w:rPr>
          <w:sz w:val="22"/>
          <w:szCs w:val="22"/>
        </w:rPr>
      </w:pPr>
      <w:r w:rsidRPr="00C060FF">
        <w:rPr>
          <w:rStyle w:val="FootnoteReference"/>
          <w:sz w:val="22"/>
          <w:szCs w:val="22"/>
        </w:rPr>
        <w:footnoteRef/>
      </w:r>
      <w:r w:rsidRPr="00C060FF">
        <w:rPr>
          <w:sz w:val="22"/>
          <w:szCs w:val="22"/>
        </w:rPr>
        <w:t xml:space="preserve"> </w:t>
      </w:r>
      <w:r w:rsidRPr="00C060FF">
        <w:rPr>
          <w:i/>
          <w:sz w:val="22"/>
          <w:szCs w:val="22"/>
        </w:rPr>
        <w:t>See</w:t>
      </w:r>
      <w:r w:rsidRPr="00C060FF">
        <w:rPr>
          <w:sz w:val="22"/>
          <w:szCs w:val="22"/>
        </w:rPr>
        <w:t xml:space="preserve"> Table 2-4: Low</w:t>
      </w:r>
      <w:r>
        <w:rPr>
          <w:sz w:val="22"/>
          <w:szCs w:val="22"/>
        </w:rPr>
        <w:noBreakHyphen/>
      </w:r>
      <w:r w:rsidRPr="00C060FF">
        <w:rPr>
          <w:sz w:val="22"/>
          <w:szCs w:val="22"/>
        </w:rPr>
        <w:t>Income Carve-Out Goal Performance, Summary by ED</w:t>
      </w:r>
      <w:r>
        <w:rPr>
          <w:sz w:val="22"/>
          <w:szCs w:val="22"/>
        </w:rPr>
        <w:t xml:space="preserve">C of the SWE Final </w:t>
      </w:r>
      <w:r w:rsidRPr="00C060FF">
        <w:rPr>
          <w:sz w:val="22"/>
          <w:szCs w:val="22"/>
        </w:rPr>
        <w:t>Report</w:t>
      </w:r>
      <w:r>
        <w:rPr>
          <w:sz w:val="22"/>
          <w:szCs w:val="22"/>
        </w:rPr>
        <w:t>.</w:t>
      </w:r>
    </w:p>
  </w:footnote>
  <w:footnote w:id="104">
    <w:p w:rsidR="00753437" w:rsidRPr="00A43D1D" w:rsidRDefault="00753437" w:rsidP="00DF785C">
      <w:pPr>
        <w:pStyle w:val="FootnoteText"/>
        <w:rPr>
          <w:sz w:val="22"/>
          <w:szCs w:val="22"/>
        </w:rPr>
      </w:pPr>
      <w:r w:rsidRPr="00A43D1D">
        <w:rPr>
          <w:rStyle w:val="FootnoteReference"/>
          <w:sz w:val="22"/>
          <w:szCs w:val="22"/>
        </w:rPr>
        <w:footnoteRef/>
      </w:r>
      <w:r w:rsidRPr="00A43D1D">
        <w:rPr>
          <w:sz w:val="22"/>
          <w:szCs w:val="22"/>
        </w:rPr>
        <w:t xml:space="preserve"> </w:t>
      </w:r>
      <w:r w:rsidRPr="00A43D1D">
        <w:rPr>
          <w:i/>
          <w:sz w:val="22"/>
          <w:szCs w:val="22"/>
        </w:rPr>
        <w:t>See Phase II Implementation Order</w:t>
      </w:r>
      <w:r w:rsidRPr="00A43D1D">
        <w:rPr>
          <w:sz w:val="22"/>
          <w:szCs w:val="22"/>
        </w:rPr>
        <w:t xml:space="preserve"> at 58-60.</w:t>
      </w:r>
    </w:p>
  </w:footnote>
  <w:footnote w:id="105">
    <w:p w:rsidR="00753437" w:rsidRPr="00814360" w:rsidRDefault="00753437">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See Energy Efficiency and Conservation Program</w:t>
      </w:r>
      <w:r w:rsidRPr="00814360">
        <w:rPr>
          <w:sz w:val="22"/>
          <w:szCs w:val="22"/>
        </w:rPr>
        <w:t xml:space="preserve"> Implementation Order at Docket No. M</w:t>
      </w:r>
      <w:r>
        <w:rPr>
          <w:sz w:val="22"/>
          <w:szCs w:val="22"/>
        </w:rPr>
        <w:noBreakHyphen/>
      </w:r>
      <w:r w:rsidRPr="00814360">
        <w:rPr>
          <w:sz w:val="22"/>
          <w:szCs w:val="22"/>
        </w:rPr>
        <w:t>2014</w:t>
      </w:r>
      <w:r>
        <w:rPr>
          <w:sz w:val="22"/>
          <w:szCs w:val="22"/>
        </w:rPr>
        <w:noBreakHyphen/>
      </w:r>
      <w:r w:rsidRPr="00814360">
        <w:rPr>
          <w:sz w:val="22"/>
          <w:szCs w:val="22"/>
        </w:rPr>
        <w:t>2424864, (</w:t>
      </w:r>
      <w:r w:rsidRPr="00814360">
        <w:rPr>
          <w:i/>
          <w:sz w:val="22"/>
          <w:szCs w:val="22"/>
        </w:rPr>
        <w:t>Phase III Implementation Order</w:t>
      </w:r>
      <w:r w:rsidRPr="00814360">
        <w:rPr>
          <w:sz w:val="22"/>
          <w:szCs w:val="22"/>
        </w:rPr>
        <w:t>), at 83-86, entered June 19, 2015</w:t>
      </w:r>
      <w:r>
        <w:rPr>
          <w:sz w:val="22"/>
          <w:szCs w:val="22"/>
        </w:rPr>
        <w:t>.</w:t>
      </w:r>
    </w:p>
  </w:footnote>
  <w:footnote w:id="106">
    <w:p w:rsidR="00753437" w:rsidRPr="00814360" w:rsidRDefault="00753437" w:rsidP="00902C1B">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See</w:t>
      </w:r>
      <w:r w:rsidRPr="00814360">
        <w:rPr>
          <w:sz w:val="22"/>
          <w:szCs w:val="22"/>
        </w:rPr>
        <w:t xml:space="preserve"> Duquesne PY7 Final Annual Report at 6.</w:t>
      </w:r>
    </w:p>
  </w:footnote>
  <w:footnote w:id="107">
    <w:p w:rsidR="00753437" w:rsidRPr="00814360" w:rsidRDefault="00753437">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See</w:t>
      </w:r>
      <w:r w:rsidRPr="00814360">
        <w:rPr>
          <w:sz w:val="22"/>
          <w:szCs w:val="22"/>
        </w:rPr>
        <w:t xml:space="preserve"> Table 2-3: Phase II Compliance Summary by EDC of the SWE Final Report. </w:t>
      </w:r>
    </w:p>
  </w:footnote>
  <w:footnote w:id="108">
    <w:p w:rsidR="00753437" w:rsidRPr="00814360" w:rsidRDefault="00753437">
      <w:pPr>
        <w:pStyle w:val="FootnoteText"/>
        <w:rPr>
          <w:sz w:val="22"/>
          <w:szCs w:val="22"/>
        </w:rPr>
      </w:pPr>
      <w:r w:rsidRPr="00814360">
        <w:rPr>
          <w:rStyle w:val="FootnoteReference"/>
          <w:sz w:val="22"/>
          <w:szCs w:val="22"/>
        </w:rPr>
        <w:footnoteRef/>
      </w:r>
      <w:r w:rsidRPr="00814360">
        <w:rPr>
          <w:sz w:val="22"/>
          <w:szCs w:val="22"/>
        </w:rPr>
        <w:t xml:space="preserve"> </w:t>
      </w:r>
      <w:r w:rsidRPr="00814360">
        <w:rPr>
          <w:i/>
          <w:sz w:val="22"/>
          <w:szCs w:val="22"/>
        </w:rPr>
        <w:t xml:space="preserve">See </w:t>
      </w:r>
      <w:r w:rsidRPr="00814360">
        <w:rPr>
          <w:sz w:val="22"/>
          <w:szCs w:val="22"/>
        </w:rPr>
        <w:t>T</w:t>
      </w:r>
      <w:r>
        <w:rPr>
          <w:sz w:val="22"/>
          <w:szCs w:val="22"/>
        </w:rPr>
        <w:t>able 2-4: Low-Income Carve-out Goal Performance, Summary by EDC of the SWE Final Report.</w:t>
      </w:r>
    </w:p>
  </w:footnote>
  <w:footnote w:id="109">
    <w:p w:rsidR="00753437" w:rsidRDefault="00753437" w:rsidP="009F1675">
      <w:pPr>
        <w:pStyle w:val="FootnoteText"/>
      </w:pPr>
      <w:r>
        <w:rPr>
          <w:rStyle w:val="FootnoteReference"/>
        </w:rPr>
        <w:footnoteRef/>
      </w:r>
      <w:r>
        <w:t xml:space="preserve"> </w:t>
      </w:r>
      <w:r w:rsidRPr="00814360">
        <w:rPr>
          <w:i/>
          <w:sz w:val="22"/>
          <w:szCs w:val="22"/>
        </w:rPr>
        <w:t>See</w:t>
      </w:r>
      <w:r w:rsidRPr="00814360">
        <w:rPr>
          <w:sz w:val="22"/>
          <w:szCs w:val="22"/>
        </w:rPr>
        <w:t xml:space="preserve"> Duquesne PY7 Final Annual Report at </w:t>
      </w:r>
      <w:r>
        <w:rPr>
          <w:sz w:val="22"/>
          <w:szCs w:val="22"/>
        </w:rPr>
        <w:t>4</w:t>
      </w:r>
      <w:r w:rsidRPr="00814360">
        <w:rPr>
          <w:sz w:val="22"/>
          <w:szCs w:val="22"/>
        </w:rPr>
        <w:t>.</w:t>
      </w:r>
    </w:p>
  </w:footnote>
  <w:footnote w:id="110">
    <w:p w:rsidR="00753437" w:rsidRPr="00C44A4F" w:rsidRDefault="00753437" w:rsidP="009F1675">
      <w:pPr>
        <w:pStyle w:val="FootnoteText"/>
        <w:rPr>
          <w:sz w:val="22"/>
          <w:szCs w:val="22"/>
        </w:rPr>
      </w:pPr>
      <w:r w:rsidRPr="00C44A4F">
        <w:rPr>
          <w:rStyle w:val="FootnoteReference"/>
          <w:sz w:val="22"/>
          <w:szCs w:val="22"/>
        </w:rPr>
        <w:footnoteRef/>
      </w:r>
      <w:r w:rsidRPr="00C44A4F">
        <w:rPr>
          <w:i/>
          <w:sz w:val="22"/>
          <w:szCs w:val="22"/>
        </w:rPr>
        <w:t xml:space="preserve"> See</w:t>
      </w:r>
      <w:r w:rsidRPr="00C44A4F">
        <w:rPr>
          <w:sz w:val="22"/>
          <w:szCs w:val="22"/>
        </w:rPr>
        <w:t xml:space="preserve"> Duquesne Petition at 5.</w:t>
      </w:r>
    </w:p>
  </w:footnote>
  <w:footnote w:id="111">
    <w:p w:rsidR="00710D9B" w:rsidRPr="005B5E2A" w:rsidRDefault="00710D9B" w:rsidP="00710D9B">
      <w:pPr>
        <w:pStyle w:val="FootnoteText"/>
        <w:rPr>
          <w:sz w:val="22"/>
          <w:szCs w:val="22"/>
        </w:rPr>
      </w:pPr>
      <w:r w:rsidRPr="005B5E2A">
        <w:rPr>
          <w:rStyle w:val="FootnoteReference"/>
          <w:sz w:val="22"/>
          <w:szCs w:val="22"/>
        </w:rPr>
        <w:footnoteRef/>
      </w:r>
      <w:r w:rsidRPr="005B5E2A">
        <w:rPr>
          <w:sz w:val="22"/>
          <w:szCs w:val="22"/>
        </w:rPr>
        <w:t xml:space="preserve"> </w:t>
      </w:r>
      <w:r w:rsidRPr="005B5E2A">
        <w:rPr>
          <w:i/>
          <w:sz w:val="22"/>
          <w:szCs w:val="22"/>
        </w:rPr>
        <w:t xml:space="preserve">See </w:t>
      </w:r>
      <w:r w:rsidRPr="005B5E2A">
        <w:rPr>
          <w:sz w:val="22"/>
          <w:szCs w:val="22"/>
        </w:rPr>
        <w:t>Tables 2-3 and 2-4: Phase II Compliance and Low-Income Carve-out Goal Performance, Summary by EDC of the SWE Amended Phase II Final Annual Report</w:t>
      </w:r>
      <w:r w:rsidR="00CD6E14">
        <w:rPr>
          <w:sz w:val="22"/>
          <w:szCs w:val="22"/>
        </w:rPr>
        <w:t>.</w:t>
      </w:r>
    </w:p>
  </w:footnote>
  <w:footnote w:id="112">
    <w:p w:rsidR="00753437" w:rsidRPr="00CB0F9F" w:rsidRDefault="00753437" w:rsidP="007C5E6A">
      <w:pPr>
        <w:pStyle w:val="FootnoteText"/>
        <w:rPr>
          <w:sz w:val="22"/>
          <w:szCs w:val="22"/>
        </w:rPr>
      </w:pPr>
      <w:r w:rsidRPr="00CB0F9F">
        <w:rPr>
          <w:rStyle w:val="FootnoteReference"/>
          <w:sz w:val="22"/>
          <w:szCs w:val="22"/>
        </w:rPr>
        <w:footnoteRef/>
      </w:r>
      <w:r w:rsidRPr="00CB0F9F">
        <w:rPr>
          <w:sz w:val="22"/>
          <w:szCs w:val="22"/>
        </w:rPr>
        <w:t xml:space="preserve"> </w:t>
      </w:r>
      <w:r w:rsidRPr="00CB0F9F">
        <w:rPr>
          <w:i/>
          <w:sz w:val="22"/>
          <w:szCs w:val="22"/>
        </w:rPr>
        <w:t>See</w:t>
      </w:r>
      <w:r w:rsidRPr="00CB0F9F">
        <w:rPr>
          <w:sz w:val="22"/>
          <w:szCs w:val="22"/>
        </w:rPr>
        <w:t xml:space="preserve"> Met-Ed PY7 Final Annual Report at 5.</w:t>
      </w:r>
    </w:p>
  </w:footnote>
  <w:footnote w:id="113">
    <w:p w:rsidR="00753437" w:rsidRPr="00CB0F9F" w:rsidRDefault="00753437" w:rsidP="007C5E6A">
      <w:pPr>
        <w:pStyle w:val="FootnoteText"/>
        <w:rPr>
          <w:sz w:val="22"/>
          <w:szCs w:val="22"/>
        </w:rPr>
      </w:pPr>
      <w:r w:rsidRPr="00CB0F9F">
        <w:rPr>
          <w:rStyle w:val="FootnoteReference"/>
          <w:sz w:val="22"/>
          <w:szCs w:val="22"/>
        </w:rPr>
        <w:footnoteRef/>
      </w:r>
      <w:r w:rsidRPr="00CB0F9F">
        <w:rPr>
          <w:sz w:val="22"/>
          <w:szCs w:val="22"/>
        </w:rPr>
        <w:t xml:space="preserve"> </w:t>
      </w:r>
      <w:r w:rsidRPr="00CB0F9F">
        <w:rPr>
          <w:i/>
          <w:sz w:val="22"/>
          <w:szCs w:val="22"/>
        </w:rPr>
        <w:t xml:space="preserve">See </w:t>
      </w:r>
      <w:r w:rsidRPr="00CB0F9F">
        <w:rPr>
          <w:sz w:val="22"/>
          <w:szCs w:val="22"/>
        </w:rPr>
        <w:t>Tables 2-3 and 2-4: Phase II Compliance and Low-Income Carve-out Goal Performance, Summary by EDC of the SWE Final Report.</w:t>
      </w:r>
    </w:p>
  </w:footnote>
  <w:footnote w:id="114">
    <w:p w:rsidR="00753437" w:rsidRPr="006F12D3" w:rsidRDefault="00753437">
      <w:pPr>
        <w:pStyle w:val="FootnoteText"/>
        <w:rPr>
          <w:sz w:val="22"/>
          <w:szCs w:val="22"/>
        </w:rPr>
      </w:pPr>
      <w:r w:rsidRPr="006F12D3">
        <w:rPr>
          <w:rStyle w:val="FootnoteReference"/>
          <w:sz w:val="22"/>
          <w:szCs w:val="22"/>
        </w:rPr>
        <w:footnoteRef/>
      </w:r>
      <w:r w:rsidRPr="006F12D3">
        <w:rPr>
          <w:sz w:val="22"/>
          <w:szCs w:val="22"/>
        </w:rPr>
        <w:t xml:space="preserve"> </w:t>
      </w:r>
      <w:r>
        <w:rPr>
          <w:i/>
          <w:sz w:val="22"/>
          <w:szCs w:val="22"/>
        </w:rPr>
        <w:t>See</w:t>
      </w:r>
      <w:r>
        <w:rPr>
          <w:sz w:val="22"/>
          <w:szCs w:val="22"/>
        </w:rPr>
        <w:t xml:space="preserve"> PECO PY7 Final Annual Report at 8.</w:t>
      </w:r>
    </w:p>
  </w:footnote>
  <w:footnote w:id="115">
    <w:p w:rsidR="00753437" w:rsidRPr="00CB0F9F" w:rsidRDefault="00753437">
      <w:pPr>
        <w:pStyle w:val="FootnoteText"/>
      </w:pPr>
      <w:r w:rsidRPr="00CB0F9F">
        <w:rPr>
          <w:rStyle w:val="FootnoteReference"/>
          <w:sz w:val="22"/>
          <w:szCs w:val="22"/>
        </w:rPr>
        <w:footnoteRef/>
      </w:r>
      <w:r w:rsidRPr="00CB0F9F">
        <w:rPr>
          <w:sz w:val="22"/>
          <w:szCs w:val="22"/>
        </w:rPr>
        <w:t xml:space="preserve"> </w:t>
      </w:r>
      <w:r w:rsidRPr="00CB0F9F">
        <w:rPr>
          <w:i/>
          <w:sz w:val="22"/>
          <w:szCs w:val="22"/>
        </w:rPr>
        <w:t xml:space="preserve">See </w:t>
      </w:r>
      <w:r w:rsidRPr="00CB0F9F">
        <w:rPr>
          <w:sz w:val="22"/>
          <w:szCs w:val="22"/>
        </w:rPr>
        <w:t>Table 2-5: GNI Carve-out Goal Performance</w:t>
      </w:r>
      <w:r>
        <w:rPr>
          <w:sz w:val="22"/>
          <w:szCs w:val="22"/>
        </w:rPr>
        <w:t>, Summary by EDC of the SWE Final Report.</w:t>
      </w:r>
    </w:p>
  </w:footnote>
  <w:footnote w:id="116">
    <w:p w:rsidR="00753437" w:rsidRPr="00CB0F9F" w:rsidRDefault="00753437">
      <w:pPr>
        <w:pStyle w:val="FootnoteText"/>
        <w:rPr>
          <w:sz w:val="22"/>
          <w:szCs w:val="22"/>
        </w:rPr>
      </w:pPr>
      <w:r w:rsidRPr="00CB0F9F">
        <w:rPr>
          <w:rStyle w:val="FootnoteReference"/>
          <w:sz w:val="22"/>
          <w:szCs w:val="22"/>
        </w:rPr>
        <w:footnoteRef/>
      </w:r>
      <w:r w:rsidRPr="00CB0F9F">
        <w:rPr>
          <w:sz w:val="22"/>
          <w:szCs w:val="22"/>
        </w:rPr>
        <w:t xml:space="preserve"> </w:t>
      </w:r>
      <w:r w:rsidRPr="00CB0F9F">
        <w:rPr>
          <w:i/>
          <w:sz w:val="22"/>
          <w:szCs w:val="22"/>
        </w:rPr>
        <w:t>See</w:t>
      </w:r>
      <w:r w:rsidRPr="00CB0F9F">
        <w:rPr>
          <w:sz w:val="22"/>
          <w:szCs w:val="22"/>
        </w:rPr>
        <w:t xml:space="preserve"> Table 2-4: Low-Income Carve-out Goal Performance, Summary by EDC of the SWE Final Report. </w:t>
      </w:r>
    </w:p>
  </w:footnote>
  <w:footnote w:id="117">
    <w:p w:rsidR="00753437" w:rsidRPr="00584064" w:rsidRDefault="00753437">
      <w:pPr>
        <w:pStyle w:val="FootnoteText"/>
        <w:rPr>
          <w:sz w:val="22"/>
          <w:szCs w:val="22"/>
        </w:rPr>
      </w:pPr>
      <w:r w:rsidRPr="00584064">
        <w:rPr>
          <w:rStyle w:val="FootnoteReference"/>
          <w:sz w:val="22"/>
          <w:szCs w:val="22"/>
        </w:rPr>
        <w:footnoteRef/>
      </w:r>
      <w:r w:rsidRPr="00584064">
        <w:rPr>
          <w:sz w:val="22"/>
          <w:szCs w:val="22"/>
        </w:rPr>
        <w:t xml:space="preserve"> </w:t>
      </w:r>
      <w:r w:rsidRPr="00584064">
        <w:rPr>
          <w:i/>
          <w:sz w:val="22"/>
          <w:szCs w:val="22"/>
        </w:rPr>
        <w:t>See</w:t>
      </w:r>
      <w:r w:rsidRPr="00584064">
        <w:rPr>
          <w:sz w:val="22"/>
          <w:szCs w:val="22"/>
        </w:rPr>
        <w:t xml:space="preserve"> April 6, 2017 Order at 25.</w:t>
      </w:r>
    </w:p>
  </w:footnote>
  <w:footnote w:id="118">
    <w:p w:rsidR="00753437" w:rsidRPr="00762029" w:rsidRDefault="00753437">
      <w:pPr>
        <w:pStyle w:val="FootnoteText"/>
        <w:rPr>
          <w:sz w:val="22"/>
          <w:szCs w:val="22"/>
        </w:rPr>
      </w:pPr>
      <w:r w:rsidRPr="00762029">
        <w:rPr>
          <w:rStyle w:val="FootnoteReference"/>
          <w:sz w:val="22"/>
          <w:szCs w:val="22"/>
        </w:rPr>
        <w:footnoteRef/>
      </w:r>
      <w:r w:rsidRPr="00762029">
        <w:rPr>
          <w:sz w:val="22"/>
          <w:szCs w:val="22"/>
        </w:rPr>
        <w:t xml:space="preserve"> PECO filed its Petition at Docket Nos. M-2012-2289411 and M-2012-2333992.</w:t>
      </w:r>
    </w:p>
  </w:footnote>
  <w:footnote w:id="119">
    <w:p w:rsidR="00753437" w:rsidRPr="001B6D7E" w:rsidRDefault="00753437">
      <w:pPr>
        <w:pStyle w:val="FootnoteText"/>
        <w:rPr>
          <w:sz w:val="22"/>
          <w:szCs w:val="22"/>
        </w:rPr>
      </w:pPr>
      <w:r w:rsidRPr="001B6D7E">
        <w:rPr>
          <w:rStyle w:val="FootnoteReference"/>
          <w:sz w:val="22"/>
          <w:szCs w:val="22"/>
        </w:rPr>
        <w:footnoteRef/>
      </w:r>
      <w:r w:rsidRPr="001B6D7E">
        <w:rPr>
          <w:sz w:val="22"/>
          <w:szCs w:val="22"/>
        </w:rPr>
        <w:t xml:space="preserve"> PECO Petition at 1.</w:t>
      </w:r>
    </w:p>
  </w:footnote>
  <w:footnote w:id="120">
    <w:p w:rsidR="00753437" w:rsidRPr="001B6D7E" w:rsidRDefault="00753437">
      <w:pPr>
        <w:pStyle w:val="FootnoteText"/>
        <w:rPr>
          <w:sz w:val="22"/>
          <w:szCs w:val="22"/>
        </w:rPr>
      </w:pPr>
      <w:r w:rsidRPr="001B6D7E">
        <w:rPr>
          <w:rStyle w:val="FootnoteReference"/>
          <w:sz w:val="22"/>
          <w:szCs w:val="22"/>
        </w:rPr>
        <w:footnoteRef/>
      </w:r>
      <w:r w:rsidRPr="001B6D7E">
        <w:rPr>
          <w:sz w:val="22"/>
          <w:szCs w:val="22"/>
        </w:rPr>
        <w:t xml:space="preserve"> PECO Petition at 6.</w:t>
      </w:r>
    </w:p>
  </w:footnote>
  <w:footnote w:id="121">
    <w:p w:rsidR="00753437" w:rsidRPr="003234D5" w:rsidRDefault="00753437" w:rsidP="003234D5">
      <w:pPr>
        <w:pStyle w:val="FootnoteText"/>
        <w:rPr>
          <w:sz w:val="22"/>
          <w:szCs w:val="22"/>
        </w:rPr>
      </w:pPr>
      <w:r w:rsidRPr="003234D5">
        <w:rPr>
          <w:rStyle w:val="FootnoteReference"/>
          <w:sz w:val="22"/>
          <w:szCs w:val="22"/>
        </w:rPr>
        <w:footnoteRef/>
      </w:r>
      <w:r w:rsidRPr="003234D5">
        <w:rPr>
          <w:sz w:val="22"/>
          <w:szCs w:val="22"/>
        </w:rPr>
        <w:t xml:space="preserve"> PECO Petition at 7-8.</w:t>
      </w:r>
    </w:p>
  </w:footnote>
  <w:footnote w:id="122">
    <w:p w:rsidR="00753437" w:rsidRPr="003215FA" w:rsidRDefault="00753437">
      <w:pPr>
        <w:pStyle w:val="FootnoteText"/>
        <w:rPr>
          <w:sz w:val="22"/>
          <w:szCs w:val="22"/>
        </w:rPr>
      </w:pPr>
      <w:r w:rsidRPr="003215FA">
        <w:rPr>
          <w:rStyle w:val="FootnoteReference"/>
          <w:sz w:val="22"/>
          <w:szCs w:val="22"/>
        </w:rPr>
        <w:footnoteRef/>
      </w:r>
      <w:r w:rsidRPr="003215FA">
        <w:rPr>
          <w:sz w:val="22"/>
          <w:szCs w:val="22"/>
        </w:rPr>
        <w:t xml:space="preserve"> PECO Petition at 8-9.</w:t>
      </w:r>
    </w:p>
  </w:footnote>
  <w:footnote w:id="123">
    <w:p w:rsidR="00753437" w:rsidRPr="00293265" w:rsidRDefault="00753437">
      <w:pPr>
        <w:pStyle w:val="FootnoteText"/>
        <w:rPr>
          <w:sz w:val="22"/>
          <w:szCs w:val="22"/>
        </w:rPr>
      </w:pPr>
      <w:r w:rsidRPr="00293265">
        <w:rPr>
          <w:rStyle w:val="FootnoteReference"/>
          <w:sz w:val="22"/>
          <w:szCs w:val="22"/>
        </w:rPr>
        <w:footnoteRef/>
      </w:r>
      <w:r w:rsidRPr="00293265">
        <w:rPr>
          <w:sz w:val="22"/>
          <w:szCs w:val="22"/>
        </w:rPr>
        <w:t xml:space="preserve"> OCA Answer at 3.</w:t>
      </w:r>
    </w:p>
  </w:footnote>
  <w:footnote w:id="124">
    <w:p w:rsidR="00753437" w:rsidRPr="00C503DC" w:rsidRDefault="00753437">
      <w:pPr>
        <w:pStyle w:val="FootnoteText"/>
        <w:rPr>
          <w:sz w:val="22"/>
          <w:szCs w:val="22"/>
        </w:rPr>
      </w:pPr>
      <w:r w:rsidRPr="00C503DC">
        <w:rPr>
          <w:rStyle w:val="FootnoteReference"/>
          <w:sz w:val="22"/>
          <w:szCs w:val="22"/>
        </w:rPr>
        <w:footnoteRef/>
      </w:r>
      <w:r w:rsidRPr="00C503DC">
        <w:rPr>
          <w:sz w:val="22"/>
          <w:szCs w:val="22"/>
        </w:rPr>
        <w:t xml:space="preserve"> </w:t>
      </w:r>
      <w:r w:rsidRPr="00C503DC">
        <w:rPr>
          <w:i/>
          <w:sz w:val="22"/>
          <w:szCs w:val="22"/>
        </w:rPr>
        <w:t>See</w:t>
      </w:r>
      <w:r w:rsidRPr="00C503DC">
        <w:rPr>
          <w:sz w:val="22"/>
          <w:szCs w:val="22"/>
        </w:rPr>
        <w:t xml:space="preserve"> </w:t>
      </w:r>
      <w:r w:rsidRPr="008E053A">
        <w:rPr>
          <w:i/>
          <w:sz w:val="22"/>
          <w:szCs w:val="22"/>
        </w:rPr>
        <w:t>Phase II Implementation Order</w:t>
      </w:r>
      <w:r w:rsidRPr="00C503DC">
        <w:rPr>
          <w:sz w:val="22"/>
          <w:szCs w:val="22"/>
        </w:rPr>
        <w:t xml:space="preserve"> at 45.</w:t>
      </w:r>
    </w:p>
  </w:footnote>
  <w:footnote w:id="125">
    <w:p w:rsidR="00753437" w:rsidRPr="002625C5" w:rsidRDefault="00753437">
      <w:pPr>
        <w:pStyle w:val="FootnoteText"/>
        <w:rPr>
          <w:sz w:val="22"/>
          <w:szCs w:val="22"/>
        </w:rPr>
      </w:pPr>
      <w:r w:rsidRPr="002625C5">
        <w:rPr>
          <w:rStyle w:val="FootnoteReference"/>
          <w:sz w:val="22"/>
          <w:szCs w:val="22"/>
        </w:rPr>
        <w:footnoteRef/>
      </w:r>
      <w:r w:rsidRPr="002625C5">
        <w:rPr>
          <w:sz w:val="22"/>
          <w:szCs w:val="22"/>
        </w:rPr>
        <w:t xml:space="preserve"> See </w:t>
      </w:r>
      <w:r w:rsidRPr="008E053A">
        <w:rPr>
          <w:i/>
          <w:sz w:val="22"/>
          <w:szCs w:val="22"/>
        </w:rPr>
        <w:t>Phase III Implementation Order</w:t>
      </w:r>
      <w:r w:rsidRPr="002625C5">
        <w:rPr>
          <w:sz w:val="22"/>
          <w:szCs w:val="22"/>
        </w:rPr>
        <w:t xml:space="preserve"> at 76.</w:t>
      </w:r>
    </w:p>
  </w:footnote>
  <w:footnote w:id="126">
    <w:p w:rsidR="00753437" w:rsidRPr="002625C5" w:rsidRDefault="00753437">
      <w:pPr>
        <w:pStyle w:val="FootnoteText"/>
        <w:rPr>
          <w:sz w:val="22"/>
          <w:szCs w:val="22"/>
        </w:rPr>
      </w:pPr>
      <w:r w:rsidRPr="002625C5">
        <w:rPr>
          <w:rStyle w:val="FootnoteReference"/>
          <w:sz w:val="22"/>
          <w:szCs w:val="22"/>
        </w:rPr>
        <w:footnoteRef/>
      </w:r>
      <w:r w:rsidRPr="002625C5">
        <w:rPr>
          <w:sz w:val="22"/>
          <w:szCs w:val="22"/>
        </w:rPr>
        <w:t xml:space="preserve"> </w:t>
      </w:r>
      <w:r w:rsidRPr="002625C5">
        <w:rPr>
          <w:i/>
          <w:sz w:val="22"/>
          <w:szCs w:val="22"/>
        </w:rPr>
        <w:t>Id</w:t>
      </w:r>
      <w:r w:rsidRPr="002625C5">
        <w:rPr>
          <w:sz w:val="22"/>
          <w:szCs w:val="22"/>
        </w:rPr>
        <w:t>.</w:t>
      </w:r>
    </w:p>
  </w:footnote>
  <w:footnote w:id="127">
    <w:p w:rsidR="00753437" w:rsidRPr="00173265" w:rsidRDefault="00753437">
      <w:pPr>
        <w:pStyle w:val="FootnoteText"/>
        <w:rPr>
          <w:sz w:val="22"/>
          <w:szCs w:val="22"/>
        </w:rPr>
      </w:pPr>
      <w:r w:rsidRPr="00173265">
        <w:rPr>
          <w:rStyle w:val="FootnoteReference"/>
          <w:sz w:val="22"/>
          <w:szCs w:val="22"/>
        </w:rPr>
        <w:footnoteRef/>
      </w:r>
      <w:r w:rsidRPr="00173265">
        <w:rPr>
          <w:sz w:val="22"/>
          <w:szCs w:val="22"/>
        </w:rPr>
        <w:t xml:space="preserve"> </w:t>
      </w:r>
      <w:r w:rsidRPr="00173265">
        <w:rPr>
          <w:i/>
          <w:sz w:val="22"/>
          <w:szCs w:val="22"/>
        </w:rPr>
        <w:t>See</w:t>
      </w:r>
      <w:r w:rsidRPr="00173265">
        <w:rPr>
          <w:sz w:val="22"/>
          <w:szCs w:val="22"/>
        </w:rPr>
        <w:t xml:space="preserve"> </w:t>
      </w:r>
      <w:r w:rsidRPr="008E053A">
        <w:rPr>
          <w:i/>
          <w:sz w:val="22"/>
          <w:szCs w:val="22"/>
        </w:rPr>
        <w:t>Phase II Implementation Order</w:t>
      </w:r>
      <w:r w:rsidRPr="00173265">
        <w:rPr>
          <w:sz w:val="22"/>
          <w:szCs w:val="22"/>
        </w:rPr>
        <w:t xml:space="preserve"> at 53.  (The Commission adopted this carve</w:t>
      </w:r>
      <w:r w:rsidRPr="00173265">
        <w:rPr>
          <w:sz w:val="22"/>
          <w:szCs w:val="22"/>
        </w:rPr>
        <w:noBreakHyphen/>
        <w:t xml:space="preserve">out, </w:t>
      </w:r>
      <w:r w:rsidRPr="00173265">
        <w:rPr>
          <w:i/>
          <w:sz w:val="22"/>
          <w:szCs w:val="22"/>
        </w:rPr>
        <w:t>see</w:t>
      </w:r>
      <w:r w:rsidRPr="00173265">
        <w:rPr>
          <w:sz w:val="22"/>
          <w:szCs w:val="22"/>
        </w:rPr>
        <w:t>, Phase II Implementation Order at 55.)</w:t>
      </w:r>
    </w:p>
  </w:footnote>
  <w:footnote w:id="128">
    <w:p w:rsidR="00753437" w:rsidRPr="00173265" w:rsidRDefault="00753437">
      <w:pPr>
        <w:pStyle w:val="FootnoteText"/>
        <w:rPr>
          <w:sz w:val="22"/>
          <w:szCs w:val="22"/>
        </w:rPr>
      </w:pPr>
      <w:r w:rsidRPr="00173265">
        <w:rPr>
          <w:rStyle w:val="FootnoteReference"/>
          <w:sz w:val="22"/>
          <w:szCs w:val="22"/>
        </w:rPr>
        <w:footnoteRef/>
      </w:r>
      <w:r w:rsidRPr="00173265">
        <w:rPr>
          <w:sz w:val="22"/>
          <w:szCs w:val="22"/>
        </w:rPr>
        <w:t xml:space="preserve"> </w:t>
      </w:r>
      <w:r w:rsidRPr="00173265">
        <w:rPr>
          <w:i/>
          <w:sz w:val="22"/>
          <w:szCs w:val="22"/>
        </w:rPr>
        <w:t>See</w:t>
      </w:r>
      <w:r w:rsidRPr="00173265">
        <w:rPr>
          <w:sz w:val="22"/>
          <w:szCs w:val="22"/>
        </w:rPr>
        <w:t xml:space="preserve"> </w:t>
      </w:r>
      <w:r w:rsidRPr="008E053A">
        <w:rPr>
          <w:i/>
          <w:sz w:val="22"/>
          <w:szCs w:val="22"/>
        </w:rPr>
        <w:t>Phase III Implementation Order</w:t>
      </w:r>
      <w:r w:rsidRPr="00173265">
        <w:rPr>
          <w:sz w:val="22"/>
          <w:szCs w:val="22"/>
        </w:rPr>
        <w:t xml:space="preserve"> at 62.  (The Commission adopted this carve</w:t>
      </w:r>
      <w:r w:rsidRPr="00173265">
        <w:rPr>
          <w:sz w:val="22"/>
          <w:szCs w:val="22"/>
        </w:rPr>
        <w:noBreakHyphen/>
        <w:t xml:space="preserve">out, </w:t>
      </w:r>
      <w:r w:rsidRPr="00173265">
        <w:rPr>
          <w:i/>
          <w:sz w:val="22"/>
          <w:szCs w:val="22"/>
        </w:rPr>
        <w:t>see</w:t>
      </w:r>
      <w:r w:rsidRPr="00173265">
        <w:rPr>
          <w:sz w:val="22"/>
          <w:szCs w:val="22"/>
        </w:rPr>
        <w:t>, Phase III Implementation Order at 68-70.)</w:t>
      </w:r>
    </w:p>
  </w:footnote>
  <w:footnote w:id="129">
    <w:p w:rsidR="00753437" w:rsidRPr="00440159" w:rsidRDefault="00753437">
      <w:pPr>
        <w:pStyle w:val="FootnoteText"/>
        <w:rPr>
          <w:sz w:val="22"/>
          <w:szCs w:val="22"/>
        </w:rPr>
      </w:pPr>
      <w:r w:rsidRPr="00440159">
        <w:rPr>
          <w:rStyle w:val="FootnoteReference"/>
          <w:sz w:val="22"/>
          <w:szCs w:val="22"/>
        </w:rPr>
        <w:footnoteRef/>
      </w:r>
      <w:r w:rsidRPr="00440159">
        <w:rPr>
          <w:sz w:val="22"/>
          <w:szCs w:val="22"/>
        </w:rPr>
        <w:t xml:space="preserve"> </w:t>
      </w:r>
      <w:r w:rsidRPr="008E053A">
        <w:rPr>
          <w:i/>
          <w:sz w:val="22"/>
          <w:szCs w:val="22"/>
        </w:rPr>
        <w:t>See Phase III Implementation Order</w:t>
      </w:r>
      <w:r w:rsidRPr="00440159">
        <w:rPr>
          <w:sz w:val="22"/>
          <w:szCs w:val="22"/>
        </w:rPr>
        <w:t xml:space="preserve"> at 85.</w:t>
      </w:r>
    </w:p>
  </w:footnote>
  <w:footnote w:id="130">
    <w:p w:rsidR="00753437" w:rsidRPr="00440159" w:rsidRDefault="00753437">
      <w:pPr>
        <w:pStyle w:val="FootnoteText"/>
        <w:rPr>
          <w:sz w:val="22"/>
          <w:szCs w:val="22"/>
        </w:rPr>
      </w:pPr>
      <w:r w:rsidRPr="00440159">
        <w:rPr>
          <w:rStyle w:val="FootnoteReference"/>
          <w:sz w:val="22"/>
          <w:szCs w:val="22"/>
        </w:rPr>
        <w:footnoteRef/>
      </w:r>
      <w:r w:rsidRPr="00440159">
        <w:rPr>
          <w:sz w:val="22"/>
          <w:szCs w:val="22"/>
        </w:rPr>
        <w:t xml:space="preserve"> </w:t>
      </w:r>
      <w:r w:rsidRPr="00440159">
        <w:rPr>
          <w:i/>
          <w:sz w:val="22"/>
          <w:szCs w:val="22"/>
        </w:rPr>
        <w:t>Id</w:t>
      </w:r>
      <w:r w:rsidRPr="00440159">
        <w:rPr>
          <w:sz w:val="22"/>
          <w:szCs w:val="22"/>
        </w:rPr>
        <w:t>.</w:t>
      </w:r>
    </w:p>
  </w:footnote>
  <w:footnote w:id="131">
    <w:p w:rsidR="00753437" w:rsidRPr="001466F0" w:rsidRDefault="00753437">
      <w:pPr>
        <w:pStyle w:val="FootnoteText"/>
        <w:rPr>
          <w:sz w:val="22"/>
          <w:szCs w:val="22"/>
        </w:rPr>
      </w:pPr>
      <w:r w:rsidRPr="001466F0">
        <w:rPr>
          <w:rStyle w:val="FootnoteReference"/>
          <w:sz w:val="22"/>
          <w:szCs w:val="22"/>
        </w:rPr>
        <w:footnoteRef/>
      </w:r>
      <w:r w:rsidRPr="001466F0">
        <w:rPr>
          <w:sz w:val="22"/>
          <w:szCs w:val="22"/>
        </w:rPr>
        <w:t xml:space="preserve"> PPL’s Comments to the Phase III Tentative Implementation Order at 64-65.</w:t>
      </w:r>
    </w:p>
  </w:footnote>
  <w:footnote w:id="132">
    <w:p w:rsidR="00753437" w:rsidRPr="00262E97" w:rsidRDefault="00753437">
      <w:pPr>
        <w:pStyle w:val="FootnoteText"/>
        <w:rPr>
          <w:sz w:val="22"/>
          <w:szCs w:val="22"/>
        </w:rPr>
      </w:pPr>
      <w:r w:rsidRPr="00262E97">
        <w:rPr>
          <w:rStyle w:val="FootnoteReference"/>
          <w:sz w:val="22"/>
          <w:szCs w:val="22"/>
        </w:rPr>
        <w:footnoteRef/>
      </w:r>
      <w:r w:rsidRPr="00262E97">
        <w:rPr>
          <w:sz w:val="22"/>
          <w:szCs w:val="22"/>
        </w:rPr>
        <w:t xml:space="preserve"> </w:t>
      </w:r>
      <w:r w:rsidRPr="00262E97">
        <w:rPr>
          <w:i/>
          <w:sz w:val="22"/>
          <w:szCs w:val="22"/>
        </w:rPr>
        <w:t>Id</w:t>
      </w:r>
      <w:r w:rsidRPr="00262E97">
        <w:rPr>
          <w:sz w:val="22"/>
          <w:szCs w:val="22"/>
        </w:rPr>
        <w:t>.</w:t>
      </w:r>
    </w:p>
  </w:footnote>
  <w:footnote w:id="133">
    <w:p w:rsidR="00753437" w:rsidRPr="00CB0F9F" w:rsidRDefault="00753437" w:rsidP="00B257EC">
      <w:pPr>
        <w:pStyle w:val="FootnoteText"/>
        <w:rPr>
          <w:sz w:val="22"/>
          <w:szCs w:val="22"/>
        </w:rPr>
      </w:pPr>
      <w:r w:rsidRPr="00CB0F9F">
        <w:rPr>
          <w:rStyle w:val="FootnoteReference"/>
          <w:sz w:val="22"/>
          <w:szCs w:val="22"/>
        </w:rPr>
        <w:footnoteRef/>
      </w:r>
      <w:r w:rsidRPr="00CB0F9F">
        <w:rPr>
          <w:sz w:val="22"/>
          <w:szCs w:val="22"/>
        </w:rPr>
        <w:t xml:space="preserve"> </w:t>
      </w:r>
      <w:r w:rsidRPr="00CB0F9F">
        <w:rPr>
          <w:i/>
          <w:sz w:val="22"/>
          <w:szCs w:val="22"/>
        </w:rPr>
        <w:t>See</w:t>
      </w:r>
      <w:r w:rsidRPr="00CB0F9F">
        <w:rPr>
          <w:sz w:val="22"/>
          <w:szCs w:val="22"/>
        </w:rPr>
        <w:t xml:space="preserve"> Penelec PY7 Final Annual Report at 5.</w:t>
      </w:r>
    </w:p>
  </w:footnote>
  <w:footnote w:id="134">
    <w:p w:rsidR="00753437" w:rsidRPr="00DE7933" w:rsidRDefault="00753437" w:rsidP="00B257EC">
      <w:pPr>
        <w:pStyle w:val="FootnoteText"/>
        <w:rPr>
          <w:sz w:val="22"/>
          <w:szCs w:val="22"/>
        </w:rPr>
      </w:pPr>
      <w:r w:rsidRPr="00CB0F9F">
        <w:rPr>
          <w:rStyle w:val="FootnoteReference"/>
          <w:sz w:val="22"/>
          <w:szCs w:val="22"/>
        </w:rPr>
        <w:footnoteRef/>
      </w:r>
      <w:r w:rsidRPr="00CB0F9F">
        <w:rPr>
          <w:sz w:val="22"/>
          <w:szCs w:val="22"/>
        </w:rPr>
        <w:t xml:space="preserve"> </w:t>
      </w:r>
      <w:r w:rsidRPr="00CB0F9F">
        <w:rPr>
          <w:i/>
          <w:sz w:val="22"/>
          <w:szCs w:val="22"/>
        </w:rPr>
        <w:t xml:space="preserve">See </w:t>
      </w:r>
      <w:r w:rsidRPr="00CB0F9F">
        <w:rPr>
          <w:sz w:val="22"/>
          <w:szCs w:val="22"/>
        </w:rPr>
        <w:t xml:space="preserve">Tables 2-3, 2-4, </w:t>
      </w:r>
      <w:r>
        <w:rPr>
          <w:sz w:val="22"/>
          <w:szCs w:val="22"/>
        </w:rPr>
        <w:t xml:space="preserve">and </w:t>
      </w:r>
      <w:r w:rsidRPr="00CB0F9F">
        <w:rPr>
          <w:sz w:val="22"/>
          <w:szCs w:val="22"/>
        </w:rPr>
        <w:t xml:space="preserve">2-5: Phase II Compliance; Low-Income Carve-out Goal Performance, </w:t>
      </w:r>
      <w:r>
        <w:rPr>
          <w:sz w:val="22"/>
          <w:szCs w:val="22"/>
        </w:rPr>
        <w:t xml:space="preserve">and </w:t>
      </w:r>
      <w:r w:rsidRPr="00CB0F9F">
        <w:rPr>
          <w:sz w:val="22"/>
          <w:szCs w:val="22"/>
        </w:rPr>
        <w:t>GNI Carve-out Goal Performance, Summary by EDC of the SWE Final Report.</w:t>
      </w:r>
    </w:p>
  </w:footnote>
  <w:footnote w:id="135">
    <w:p w:rsidR="00753437" w:rsidRPr="00DE7933" w:rsidRDefault="00753437" w:rsidP="00FC33C2">
      <w:pPr>
        <w:pStyle w:val="FootnoteText"/>
        <w:rPr>
          <w:sz w:val="22"/>
          <w:szCs w:val="22"/>
        </w:rPr>
      </w:pPr>
      <w:r w:rsidRPr="00DE7933">
        <w:rPr>
          <w:rStyle w:val="FootnoteReference"/>
          <w:sz w:val="22"/>
          <w:szCs w:val="22"/>
        </w:rPr>
        <w:footnoteRef/>
      </w:r>
      <w:r w:rsidRPr="00DE7933">
        <w:rPr>
          <w:sz w:val="22"/>
          <w:szCs w:val="22"/>
        </w:rPr>
        <w:t xml:space="preserve"> </w:t>
      </w:r>
      <w:r w:rsidRPr="00DE7933">
        <w:rPr>
          <w:i/>
          <w:sz w:val="22"/>
          <w:szCs w:val="22"/>
        </w:rPr>
        <w:t>See</w:t>
      </w:r>
      <w:r w:rsidRPr="00DE7933">
        <w:rPr>
          <w:sz w:val="22"/>
          <w:szCs w:val="22"/>
        </w:rPr>
        <w:t xml:space="preserve"> Penn Power P</w:t>
      </w:r>
      <w:r>
        <w:rPr>
          <w:sz w:val="22"/>
          <w:szCs w:val="22"/>
        </w:rPr>
        <w:t>Y7</w:t>
      </w:r>
      <w:r w:rsidRPr="00DE7933">
        <w:rPr>
          <w:sz w:val="22"/>
          <w:szCs w:val="22"/>
        </w:rPr>
        <w:t xml:space="preserve"> Final Annual Report at </w:t>
      </w:r>
      <w:r>
        <w:rPr>
          <w:sz w:val="22"/>
          <w:szCs w:val="22"/>
        </w:rPr>
        <w:t>5</w:t>
      </w:r>
      <w:r w:rsidRPr="00DE7933">
        <w:rPr>
          <w:sz w:val="22"/>
          <w:szCs w:val="22"/>
        </w:rPr>
        <w:t>.</w:t>
      </w:r>
    </w:p>
  </w:footnote>
  <w:footnote w:id="136">
    <w:p w:rsidR="00753437" w:rsidRPr="00DE7933" w:rsidRDefault="00753437" w:rsidP="00FC33C2">
      <w:pPr>
        <w:pStyle w:val="FootnoteText"/>
        <w:rPr>
          <w:sz w:val="22"/>
          <w:szCs w:val="22"/>
        </w:rPr>
      </w:pPr>
      <w:r w:rsidRPr="00DE7933">
        <w:rPr>
          <w:rStyle w:val="FootnoteReference"/>
          <w:sz w:val="22"/>
          <w:szCs w:val="22"/>
        </w:rPr>
        <w:footnoteRef/>
      </w:r>
      <w:r w:rsidRPr="00DE7933">
        <w:rPr>
          <w:sz w:val="22"/>
          <w:szCs w:val="22"/>
        </w:rPr>
        <w:t xml:space="preserve"> </w:t>
      </w:r>
      <w:r w:rsidRPr="00E95D2F">
        <w:rPr>
          <w:i/>
          <w:sz w:val="22"/>
          <w:szCs w:val="22"/>
        </w:rPr>
        <w:t xml:space="preserve">See </w:t>
      </w:r>
      <w:r w:rsidRPr="00C52E91">
        <w:rPr>
          <w:sz w:val="22"/>
          <w:szCs w:val="22"/>
        </w:rPr>
        <w:t>Tables 2-3,</w:t>
      </w:r>
      <w:r>
        <w:rPr>
          <w:sz w:val="22"/>
          <w:szCs w:val="22"/>
        </w:rPr>
        <w:t xml:space="preserve"> 2-4, and 2-5</w:t>
      </w:r>
      <w:r w:rsidRPr="00E95D2F">
        <w:rPr>
          <w:sz w:val="22"/>
          <w:szCs w:val="22"/>
        </w:rPr>
        <w:t>: Phase II Compliance</w:t>
      </w:r>
      <w:r>
        <w:rPr>
          <w:sz w:val="22"/>
          <w:szCs w:val="22"/>
        </w:rPr>
        <w:t xml:space="preserve">; Low-Income Carve-out Goal Performance, and NI Carve-out Goal Performance, Summary by EDC of the SWE Final </w:t>
      </w:r>
      <w:r w:rsidRPr="00E95D2F">
        <w:rPr>
          <w:sz w:val="22"/>
          <w:szCs w:val="22"/>
        </w:rPr>
        <w:t>Report</w:t>
      </w:r>
      <w:r>
        <w:rPr>
          <w:sz w:val="22"/>
          <w:szCs w:val="22"/>
        </w:rPr>
        <w:t>.</w:t>
      </w:r>
    </w:p>
  </w:footnote>
  <w:footnote w:id="137">
    <w:p w:rsidR="00753437" w:rsidRPr="000C7760" w:rsidRDefault="00753437" w:rsidP="009D3C22">
      <w:pPr>
        <w:pStyle w:val="FootnoteText"/>
        <w:rPr>
          <w:sz w:val="22"/>
          <w:szCs w:val="22"/>
        </w:rPr>
      </w:pPr>
      <w:r w:rsidRPr="000C7760">
        <w:rPr>
          <w:rStyle w:val="FootnoteReference"/>
          <w:sz w:val="22"/>
          <w:szCs w:val="22"/>
        </w:rPr>
        <w:footnoteRef/>
      </w:r>
      <w:r w:rsidRPr="000C7760">
        <w:rPr>
          <w:sz w:val="22"/>
          <w:szCs w:val="22"/>
        </w:rPr>
        <w:t xml:space="preserve"> </w:t>
      </w:r>
      <w:r w:rsidRPr="000C7760">
        <w:rPr>
          <w:i/>
          <w:sz w:val="22"/>
          <w:szCs w:val="22"/>
        </w:rPr>
        <w:t>See</w:t>
      </w:r>
      <w:r w:rsidRPr="000C7760">
        <w:rPr>
          <w:sz w:val="22"/>
          <w:szCs w:val="22"/>
        </w:rPr>
        <w:t xml:space="preserve"> </w:t>
      </w:r>
      <w:r>
        <w:rPr>
          <w:sz w:val="22"/>
          <w:szCs w:val="22"/>
        </w:rPr>
        <w:t>PPL</w:t>
      </w:r>
      <w:r w:rsidRPr="000C7760">
        <w:rPr>
          <w:sz w:val="22"/>
          <w:szCs w:val="22"/>
        </w:rPr>
        <w:t xml:space="preserve"> P</w:t>
      </w:r>
      <w:r>
        <w:rPr>
          <w:sz w:val="22"/>
          <w:szCs w:val="22"/>
        </w:rPr>
        <w:t>Y7</w:t>
      </w:r>
      <w:r w:rsidRPr="000C7760">
        <w:rPr>
          <w:sz w:val="22"/>
          <w:szCs w:val="22"/>
        </w:rPr>
        <w:t xml:space="preserve"> Final Annual Report at </w:t>
      </w:r>
      <w:r>
        <w:rPr>
          <w:sz w:val="22"/>
          <w:szCs w:val="22"/>
        </w:rPr>
        <w:t>12</w:t>
      </w:r>
      <w:r w:rsidRPr="000C7760">
        <w:rPr>
          <w:sz w:val="22"/>
          <w:szCs w:val="22"/>
        </w:rPr>
        <w:t>.</w:t>
      </w:r>
    </w:p>
  </w:footnote>
  <w:footnote w:id="138">
    <w:p w:rsidR="00753437" w:rsidRPr="00FD21C8" w:rsidRDefault="00753437">
      <w:pPr>
        <w:pStyle w:val="FootnoteText"/>
        <w:rPr>
          <w:sz w:val="22"/>
          <w:szCs w:val="22"/>
        </w:rPr>
      </w:pPr>
      <w:r w:rsidRPr="00FD21C8">
        <w:rPr>
          <w:rStyle w:val="FootnoteReference"/>
          <w:sz w:val="22"/>
          <w:szCs w:val="22"/>
        </w:rPr>
        <w:footnoteRef/>
      </w:r>
      <w:r w:rsidRPr="00FD21C8">
        <w:rPr>
          <w:sz w:val="22"/>
          <w:szCs w:val="22"/>
        </w:rPr>
        <w:t xml:space="preserve"> </w:t>
      </w:r>
      <w:r w:rsidRPr="00FD21C8">
        <w:rPr>
          <w:i/>
          <w:sz w:val="22"/>
          <w:szCs w:val="22"/>
        </w:rPr>
        <w:t>See</w:t>
      </w:r>
      <w:r w:rsidRPr="00FD21C8">
        <w:rPr>
          <w:sz w:val="22"/>
          <w:szCs w:val="22"/>
        </w:rPr>
        <w:t xml:space="preserve"> Table 2-3: Phase II Compliance Summary by EDC of the SWE Final Report. </w:t>
      </w:r>
    </w:p>
  </w:footnote>
  <w:footnote w:id="139">
    <w:p w:rsidR="00753437" w:rsidRPr="00FD21C8" w:rsidRDefault="00753437">
      <w:pPr>
        <w:pStyle w:val="FootnoteText"/>
        <w:rPr>
          <w:sz w:val="22"/>
          <w:szCs w:val="22"/>
        </w:rPr>
      </w:pPr>
      <w:r w:rsidRPr="00FD21C8">
        <w:rPr>
          <w:rStyle w:val="FootnoteReference"/>
          <w:sz w:val="22"/>
          <w:szCs w:val="22"/>
        </w:rPr>
        <w:footnoteRef/>
      </w:r>
      <w:r w:rsidRPr="00FD21C8">
        <w:rPr>
          <w:sz w:val="22"/>
          <w:szCs w:val="22"/>
        </w:rPr>
        <w:t xml:space="preserve"> </w:t>
      </w:r>
      <w:r w:rsidRPr="00FD21C8">
        <w:rPr>
          <w:i/>
          <w:sz w:val="22"/>
          <w:szCs w:val="22"/>
        </w:rPr>
        <w:t xml:space="preserve">See </w:t>
      </w:r>
      <w:r w:rsidRPr="00FD21C8">
        <w:rPr>
          <w:sz w:val="22"/>
          <w:szCs w:val="22"/>
        </w:rPr>
        <w:t xml:space="preserve">Table 2-5: GNI Carve-out Goal Performance, Summary by EDC of the SWE Final Report.  </w:t>
      </w:r>
    </w:p>
  </w:footnote>
  <w:footnote w:id="140">
    <w:p w:rsidR="00753437" w:rsidRPr="00FD21C8" w:rsidRDefault="00753437" w:rsidP="009D3C22">
      <w:pPr>
        <w:pStyle w:val="FootnoteText"/>
        <w:rPr>
          <w:sz w:val="22"/>
          <w:szCs w:val="22"/>
        </w:rPr>
      </w:pPr>
      <w:r w:rsidRPr="00FD21C8">
        <w:rPr>
          <w:rStyle w:val="FootnoteReference"/>
          <w:sz w:val="22"/>
          <w:szCs w:val="22"/>
        </w:rPr>
        <w:footnoteRef/>
      </w:r>
      <w:r w:rsidRPr="00FD21C8">
        <w:rPr>
          <w:sz w:val="22"/>
          <w:szCs w:val="22"/>
        </w:rPr>
        <w:t xml:space="preserve"> </w:t>
      </w:r>
      <w:r w:rsidRPr="00FD21C8">
        <w:rPr>
          <w:i/>
          <w:sz w:val="22"/>
          <w:szCs w:val="22"/>
        </w:rPr>
        <w:t xml:space="preserve">See </w:t>
      </w:r>
      <w:r w:rsidRPr="00FD21C8">
        <w:rPr>
          <w:sz w:val="22"/>
          <w:szCs w:val="22"/>
        </w:rPr>
        <w:t>Table 2-4: Low-Income Carve-out G</w:t>
      </w:r>
      <w:r>
        <w:rPr>
          <w:sz w:val="22"/>
          <w:szCs w:val="22"/>
        </w:rPr>
        <w:t xml:space="preserve">oal Performance, Summary by EDC </w:t>
      </w:r>
      <w:r w:rsidRPr="00FD21C8">
        <w:rPr>
          <w:sz w:val="22"/>
          <w:szCs w:val="22"/>
        </w:rPr>
        <w:t xml:space="preserve">of the SWE Final Report.  </w:t>
      </w:r>
    </w:p>
  </w:footnote>
  <w:footnote w:id="141">
    <w:p w:rsidR="00753437" w:rsidRPr="00584064" w:rsidRDefault="00753437">
      <w:pPr>
        <w:pStyle w:val="FootnoteText"/>
        <w:rPr>
          <w:sz w:val="22"/>
          <w:szCs w:val="22"/>
        </w:rPr>
      </w:pPr>
      <w:r w:rsidRPr="00584064">
        <w:rPr>
          <w:rStyle w:val="FootnoteReference"/>
          <w:sz w:val="22"/>
          <w:szCs w:val="22"/>
        </w:rPr>
        <w:footnoteRef/>
      </w:r>
      <w:r w:rsidRPr="00584064">
        <w:rPr>
          <w:sz w:val="22"/>
          <w:szCs w:val="22"/>
        </w:rPr>
        <w:t xml:space="preserve"> </w:t>
      </w:r>
      <w:r w:rsidRPr="00584064">
        <w:rPr>
          <w:i/>
          <w:sz w:val="22"/>
          <w:szCs w:val="22"/>
        </w:rPr>
        <w:t>See</w:t>
      </w:r>
      <w:r w:rsidRPr="00584064">
        <w:rPr>
          <w:sz w:val="22"/>
          <w:szCs w:val="22"/>
        </w:rPr>
        <w:t xml:space="preserve"> April 6, 2017 Order at 27.</w:t>
      </w:r>
    </w:p>
  </w:footnote>
  <w:footnote w:id="142">
    <w:p w:rsidR="00753437" w:rsidRPr="00316FC8" w:rsidRDefault="00753437">
      <w:pPr>
        <w:pStyle w:val="FootnoteText"/>
        <w:rPr>
          <w:sz w:val="22"/>
          <w:szCs w:val="22"/>
        </w:rPr>
      </w:pPr>
      <w:r w:rsidRPr="00316FC8">
        <w:rPr>
          <w:rStyle w:val="FootnoteReference"/>
          <w:sz w:val="22"/>
          <w:szCs w:val="22"/>
        </w:rPr>
        <w:footnoteRef/>
      </w:r>
      <w:r w:rsidRPr="00316FC8">
        <w:rPr>
          <w:sz w:val="22"/>
          <w:szCs w:val="22"/>
        </w:rPr>
        <w:t xml:space="preserve"> PPL Petition at 2.</w:t>
      </w:r>
    </w:p>
  </w:footnote>
  <w:footnote w:id="143">
    <w:p w:rsidR="00753437" w:rsidRPr="00AD54CA" w:rsidRDefault="00753437">
      <w:pPr>
        <w:pStyle w:val="FootnoteText"/>
        <w:rPr>
          <w:sz w:val="22"/>
          <w:szCs w:val="22"/>
        </w:rPr>
      </w:pPr>
      <w:r w:rsidRPr="00AD54CA">
        <w:rPr>
          <w:rStyle w:val="FootnoteReference"/>
          <w:sz w:val="22"/>
          <w:szCs w:val="22"/>
        </w:rPr>
        <w:footnoteRef/>
      </w:r>
      <w:r w:rsidRPr="00AD54CA">
        <w:rPr>
          <w:sz w:val="22"/>
          <w:szCs w:val="22"/>
        </w:rPr>
        <w:t xml:space="preserve"> PPL Petition at 6-7.</w:t>
      </w:r>
    </w:p>
  </w:footnote>
  <w:footnote w:id="144">
    <w:p w:rsidR="00753437" w:rsidRPr="00297230" w:rsidRDefault="00753437">
      <w:pPr>
        <w:pStyle w:val="FootnoteText"/>
        <w:rPr>
          <w:sz w:val="22"/>
          <w:szCs w:val="22"/>
        </w:rPr>
      </w:pPr>
      <w:r w:rsidRPr="00297230">
        <w:rPr>
          <w:rStyle w:val="FootnoteReference"/>
          <w:sz w:val="22"/>
          <w:szCs w:val="22"/>
        </w:rPr>
        <w:footnoteRef/>
      </w:r>
      <w:r w:rsidRPr="00297230">
        <w:rPr>
          <w:sz w:val="22"/>
          <w:szCs w:val="22"/>
        </w:rPr>
        <w:t xml:space="preserve"> PPL Petition at 7-8.</w:t>
      </w:r>
    </w:p>
  </w:footnote>
  <w:footnote w:id="145">
    <w:p w:rsidR="00753437" w:rsidRPr="00197161" w:rsidRDefault="00753437">
      <w:pPr>
        <w:pStyle w:val="FootnoteText"/>
        <w:rPr>
          <w:sz w:val="22"/>
          <w:szCs w:val="22"/>
        </w:rPr>
      </w:pPr>
      <w:r w:rsidRPr="00197161">
        <w:rPr>
          <w:rStyle w:val="FootnoteReference"/>
          <w:sz w:val="22"/>
          <w:szCs w:val="22"/>
        </w:rPr>
        <w:footnoteRef/>
      </w:r>
      <w:r w:rsidRPr="00197161">
        <w:rPr>
          <w:sz w:val="22"/>
          <w:szCs w:val="22"/>
        </w:rPr>
        <w:t xml:space="preserve"> PPL Petition at 8-9.</w:t>
      </w:r>
    </w:p>
  </w:footnote>
  <w:footnote w:id="146">
    <w:p w:rsidR="00753437" w:rsidRPr="00862C9A" w:rsidRDefault="00753437">
      <w:pPr>
        <w:pStyle w:val="FootnoteText"/>
        <w:rPr>
          <w:sz w:val="22"/>
          <w:szCs w:val="22"/>
        </w:rPr>
      </w:pPr>
      <w:r w:rsidRPr="00862C9A">
        <w:rPr>
          <w:rStyle w:val="FootnoteReference"/>
          <w:sz w:val="22"/>
          <w:szCs w:val="22"/>
        </w:rPr>
        <w:footnoteRef/>
      </w:r>
      <w:r w:rsidRPr="00862C9A">
        <w:rPr>
          <w:sz w:val="22"/>
          <w:szCs w:val="22"/>
        </w:rPr>
        <w:t xml:space="preserve"> PPL Petition at 9-11.</w:t>
      </w:r>
    </w:p>
  </w:footnote>
  <w:footnote w:id="147">
    <w:p w:rsidR="00753437" w:rsidRPr="009C29A1" w:rsidRDefault="00753437">
      <w:pPr>
        <w:pStyle w:val="FootnoteText"/>
        <w:rPr>
          <w:sz w:val="22"/>
          <w:szCs w:val="22"/>
        </w:rPr>
      </w:pPr>
      <w:r w:rsidRPr="009C29A1">
        <w:rPr>
          <w:rStyle w:val="FootnoteReference"/>
          <w:sz w:val="22"/>
          <w:szCs w:val="22"/>
        </w:rPr>
        <w:footnoteRef/>
      </w:r>
      <w:r w:rsidRPr="009C29A1">
        <w:rPr>
          <w:sz w:val="22"/>
          <w:szCs w:val="22"/>
        </w:rPr>
        <w:t xml:space="preserve"> OCA Answer to PPL Petition at 2-3.</w:t>
      </w:r>
    </w:p>
  </w:footnote>
  <w:footnote w:id="148">
    <w:p w:rsidR="00753437" w:rsidRPr="0061075C" w:rsidRDefault="00753437">
      <w:pPr>
        <w:pStyle w:val="FootnoteText"/>
        <w:rPr>
          <w:sz w:val="22"/>
          <w:szCs w:val="22"/>
        </w:rPr>
      </w:pPr>
      <w:r w:rsidRPr="0061075C">
        <w:rPr>
          <w:rStyle w:val="FootnoteReference"/>
          <w:sz w:val="22"/>
          <w:szCs w:val="22"/>
        </w:rPr>
        <w:footnoteRef/>
      </w:r>
      <w:r w:rsidRPr="0061075C">
        <w:rPr>
          <w:sz w:val="22"/>
          <w:szCs w:val="22"/>
        </w:rPr>
        <w:t xml:space="preserve"> </w:t>
      </w:r>
      <w:r w:rsidRPr="0061075C">
        <w:rPr>
          <w:i/>
          <w:sz w:val="22"/>
          <w:szCs w:val="22"/>
        </w:rPr>
        <w:t>See</w:t>
      </w:r>
      <w:r w:rsidRPr="0061075C">
        <w:rPr>
          <w:sz w:val="22"/>
          <w:szCs w:val="22"/>
        </w:rPr>
        <w:t xml:space="preserve"> 66 Pa. C.S. § 2806.1(f) (referring to penalties).</w:t>
      </w:r>
    </w:p>
  </w:footnote>
  <w:footnote w:id="149">
    <w:p w:rsidR="00753437" w:rsidRPr="00FD21C8" w:rsidRDefault="00753437" w:rsidP="00FC33C2">
      <w:pPr>
        <w:pStyle w:val="FootnoteText"/>
        <w:rPr>
          <w:sz w:val="22"/>
          <w:szCs w:val="22"/>
        </w:rPr>
      </w:pPr>
      <w:r w:rsidRPr="00FD21C8">
        <w:rPr>
          <w:rStyle w:val="FootnoteReference"/>
          <w:sz w:val="22"/>
          <w:szCs w:val="22"/>
        </w:rPr>
        <w:footnoteRef/>
      </w:r>
      <w:r w:rsidRPr="00FD21C8">
        <w:rPr>
          <w:sz w:val="22"/>
          <w:szCs w:val="22"/>
        </w:rPr>
        <w:t xml:space="preserve"> </w:t>
      </w:r>
      <w:r w:rsidRPr="00FD21C8">
        <w:rPr>
          <w:i/>
          <w:sz w:val="22"/>
          <w:szCs w:val="22"/>
        </w:rPr>
        <w:t>See</w:t>
      </w:r>
      <w:r w:rsidRPr="00FD21C8">
        <w:rPr>
          <w:sz w:val="22"/>
          <w:szCs w:val="22"/>
        </w:rPr>
        <w:t xml:space="preserve"> West Penn PY7 Final Annual Report at 5.</w:t>
      </w:r>
    </w:p>
  </w:footnote>
  <w:footnote w:id="150">
    <w:p w:rsidR="00753437" w:rsidRPr="00D31E5F" w:rsidRDefault="00753437" w:rsidP="00FC33C2">
      <w:pPr>
        <w:pStyle w:val="FootnoteText"/>
      </w:pPr>
      <w:r w:rsidRPr="00FD21C8">
        <w:rPr>
          <w:rStyle w:val="FootnoteReference"/>
          <w:sz w:val="22"/>
          <w:szCs w:val="22"/>
        </w:rPr>
        <w:footnoteRef/>
      </w:r>
      <w:r w:rsidRPr="00FD21C8">
        <w:rPr>
          <w:sz w:val="22"/>
          <w:szCs w:val="22"/>
        </w:rPr>
        <w:t xml:space="preserve"> </w:t>
      </w:r>
      <w:r w:rsidRPr="00FD21C8">
        <w:rPr>
          <w:i/>
          <w:sz w:val="22"/>
          <w:szCs w:val="22"/>
        </w:rPr>
        <w:t xml:space="preserve">See </w:t>
      </w:r>
      <w:r>
        <w:rPr>
          <w:sz w:val="22"/>
          <w:szCs w:val="22"/>
        </w:rPr>
        <w:t>Tables 2-3 and 2-4</w:t>
      </w:r>
      <w:r w:rsidRPr="00FD21C8">
        <w:rPr>
          <w:sz w:val="22"/>
          <w:szCs w:val="22"/>
        </w:rPr>
        <w:t>: Phase II Compliance</w:t>
      </w:r>
      <w:r>
        <w:rPr>
          <w:sz w:val="22"/>
          <w:szCs w:val="22"/>
        </w:rPr>
        <w:t xml:space="preserve"> and</w:t>
      </w:r>
      <w:r w:rsidRPr="00FD21C8">
        <w:rPr>
          <w:sz w:val="22"/>
          <w:szCs w:val="22"/>
        </w:rPr>
        <w:t xml:space="preserve"> Low-Income Carve-out G</w:t>
      </w:r>
      <w:r>
        <w:rPr>
          <w:sz w:val="22"/>
          <w:szCs w:val="22"/>
        </w:rPr>
        <w:t>oal Performance</w:t>
      </w:r>
      <w:r w:rsidRPr="00FD21C8">
        <w:rPr>
          <w:sz w:val="22"/>
          <w:szCs w:val="22"/>
        </w:rPr>
        <w:t>, Summary by EDC</w:t>
      </w:r>
      <w:r>
        <w:rPr>
          <w:sz w:val="22"/>
          <w:szCs w:val="22"/>
        </w:rPr>
        <w:t xml:space="preserve"> </w:t>
      </w:r>
      <w:r w:rsidRPr="00FD21C8">
        <w:rPr>
          <w:sz w:val="22"/>
          <w:szCs w:val="22"/>
        </w:rPr>
        <w:t>of the SWE Final 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1791B05"/>
    <w:multiLevelType w:val="hybridMultilevel"/>
    <w:tmpl w:val="95EA9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40A20FF"/>
    <w:multiLevelType w:val="hybridMultilevel"/>
    <w:tmpl w:val="CE36618C"/>
    <w:lvl w:ilvl="0" w:tplc="FF261F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77F34B0"/>
    <w:multiLevelType w:val="hybridMultilevel"/>
    <w:tmpl w:val="15940C46"/>
    <w:lvl w:ilvl="0" w:tplc="61544B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5C0B5C"/>
    <w:multiLevelType w:val="hybridMultilevel"/>
    <w:tmpl w:val="ED6A88C0"/>
    <w:lvl w:ilvl="0" w:tplc="F2FEBF8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3509B5"/>
    <w:multiLevelType w:val="hybridMultilevel"/>
    <w:tmpl w:val="F4BC9826"/>
    <w:lvl w:ilvl="0" w:tplc="911440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87171"/>
    <w:multiLevelType w:val="hybridMultilevel"/>
    <w:tmpl w:val="73A62064"/>
    <w:lvl w:ilvl="0" w:tplc="6598113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164AB5"/>
    <w:multiLevelType w:val="hybridMultilevel"/>
    <w:tmpl w:val="4A561EF2"/>
    <w:lvl w:ilvl="0" w:tplc="B8922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F24B17"/>
    <w:multiLevelType w:val="hybridMultilevel"/>
    <w:tmpl w:val="E6026F36"/>
    <w:lvl w:ilvl="0" w:tplc="420C1E12">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4D35FCF"/>
    <w:multiLevelType w:val="hybridMultilevel"/>
    <w:tmpl w:val="36B41D80"/>
    <w:lvl w:ilvl="0" w:tplc="A37C3EA2">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D70A21"/>
    <w:multiLevelType w:val="hybridMultilevel"/>
    <w:tmpl w:val="24B0E8C4"/>
    <w:lvl w:ilvl="0" w:tplc="146026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4EF21A1"/>
    <w:multiLevelType w:val="hybridMultilevel"/>
    <w:tmpl w:val="439E5E90"/>
    <w:lvl w:ilvl="0" w:tplc="CD02515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8255D2C"/>
    <w:multiLevelType w:val="hybridMultilevel"/>
    <w:tmpl w:val="2B6E96D8"/>
    <w:lvl w:ilvl="0" w:tplc="920EAB0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15E2015"/>
    <w:multiLevelType w:val="hybridMultilevel"/>
    <w:tmpl w:val="59B884E4"/>
    <w:lvl w:ilvl="0" w:tplc="DF0ED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3145BA"/>
    <w:multiLevelType w:val="hybridMultilevel"/>
    <w:tmpl w:val="A16A0764"/>
    <w:lvl w:ilvl="0" w:tplc="C58E679E">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38404A2"/>
    <w:multiLevelType w:val="hybridMultilevel"/>
    <w:tmpl w:val="E624833A"/>
    <w:lvl w:ilvl="0" w:tplc="67A6ED0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4A9047C"/>
    <w:multiLevelType w:val="hybridMultilevel"/>
    <w:tmpl w:val="65C6DBAC"/>
    <w:lvl w:ilvl="0" w:tplc="093A61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4DD2FB3"/>
    <w:multiLevelType w:val="hybridMultilevel"/>
    <w:tmpl w:val="FE082714"/>
    <w:lvl w:ilvl="0" w:tplc="4A1C9C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570D23"/>
    <w:multiLevelType w:val="hybridMultilevel"/>
    <w:tmpl w:val="6D3AD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81109C"/>
    <w:multiLevelType w:val="hybridMultilevel"/>
    <w:tmpl w:val="6DD2993C"/>
    <w:lvl w:ilvl="0" w:tplc="A4F85F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9AB069C"/>
    <w:multiLevelType w:val="hybridMultilevel"/>
    <w:tmpl w:val="137279AE"/>
    <w:lvl w:ilvl="0" w:tplc="C2CC844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C820815"/>
    <w:multiLevelType w:val="hybridMultilevel"/>
    <w:tmpl w:val="53DED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6247A"/>
    <w:multiLevelType w:val="hybridMultilevel"/>
    <w:tmpl w:val="8C74A9D4"/>
    <w:lvl w:ilvl="0" w:tplc="DE74B6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95716C"/>
    <w:multiLevelType w:val="hybridMultilevel"/>
    <w:tmpl w:val="2B44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B1121"/>
    <w:multiLevelType w:val="hybridMultilevel"/>
    <w:tmpl w:val="A23EBD84"/>
    <w:lvl w:ilvl="0" w:tplc="EC96C8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66D7602"/>
    <w:multiLevelType w:val="hybridMultilevel"/>
    <w:tmpl w:val="7352943A"/>
    <w:lvl w:ilvl="0" w:tplc="F342DB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FA054E"/>
    <w:multiLevelType w:val="hybridMultilevel"/>
    <w:tmpl w:val="958EF6CA"/>
    <w:lvl w:ilvl="0" w:tplc="43C2EC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880712"/>
    <w:multiLevelType w:val="hybridMultilevel"/>
    <w:tmpl w:val="1D76A036"/>
    <w:lvl w:ilvl="0" w:tplc="4EFC93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7023C"/>
    <w:multiLevelType w:val="hybridMultilevel"/>
    <w:tmpl w:val="BA5CDF98"/>
    <w:lvl w:ilvl="0" w:tplc="902A2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FC7CDF"/>
    <w:multiLevelType w:val="hybridMultilevel"/>
    <w:tmpl w:val="E692EC5C"/>
    <w:lvl w:ilvl="0" w:tplc="341217B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B5177E2"/>
    <w:multiLevelType w:val="hybridMultilevel"/>
    <w:tmpl w:val="EBFA8D7C"/>
    <w:lvl w:ilvl="0" w:tplc="B6DC8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7D3B2F"/>
    <w:multiLevelType w:val="hybridMultilevel"/>
    <w:tmpl w:val="1BA4A20A"/>
    <w:lvl w:ilvl="0" w:tplc="3F3EB82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39D0C35"/>
    <w:multiLevelType w:val="hybridMultilevel"/>
    <w:tmpl w:val="E4A667B2"/>
    <w:lvl w:ilvl="0" w:tplc="805A7A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F56F02"/>
    <w:multiLevelType w:val="hybridMultilevel"/>
    <w:tmpl w:val="3118C81E"/>
    <w:lvl w:ilvl="0" w:tplc="27543D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8"/>
  </w:num>
  <w:num w:numId="4">
    <w:abstractNumId w:val="11"/>
  </w:num>
  <w:num w:numId="5">
    <w:abstractNumId w:val="13"/>
  </w:num>
  <w:num w:numId="6">
    <w:abstractNumId w:val="28"/>
  </w:num>
  <w:num w:numId="7">
    <w:abstractNumId w:val="6"/>
  </w:num>
  <w:num w:numId="8">
    <w:abstractNumId w:val="4"/>
  </w:num>
  <w:num w:numId="9">
    <w:abstractNumId w:val="5"/>
  </w:num>
  <w:num w:numId="10">
    <w:abstractNumId w:val="22"/>
  </w:num>
  <w:num w:numId="11">
    <w:abstractNumId w:val="21"/>
  </w:num>
  <w:num w:numId="12">
    <w:abstractNumId w:val="9"/>
  </w:num>
  <w:num w:numId="13">
    <w:abstractNumId w:val="32"/>
  </w:num>
  <w:num w:numId="14">
    <w:abstractNumId w:val="3"/>
  </w:num>
  <w:num w:numId="15">
    <w:abstractNumId w:val="26"/>
  </w:num>
  <w:num w:numId="16">
    <w:abstractNumId w:val="2"/>
  </w:num>
  <w:num w:numId="17">
    <w:abstractNumId w:val="16"/>
  </w:num>
  <w:num w:numId="18">
    <w:abstractNumId w:val="24"/>
  </w:num>
  <w:num w:numId="19">
    <w:abstractNumId w:val="10"/>
  </w:num>
  <w:num w:numId="20">
    <w:abstractNumId w:val="14"/>
  </w:num>
  <w:num w:numId="21">
    <w:abstractNumId w:val="15"/>
  </w:num>
  <w:num w:numId="22">
    <w:abstractNumId w:val="29"/>
  </w:num>
  <w:num w:numId="23">
    <w:abstractNumId w:val="12"/>
  </w:num>
  <w:num w:numId="24">
    <w:abstractNumId w:val="31"/>
  </w:num>
  <w:num w:numId="25">
    <w:abstractNumId w:val="33"/>
  </w:num>
  <w:num w:numId="26">
    <w:abstractNumId w:val="20"/>
  </w:num>
  <w:num w:numId="27">
    <w:abstractNumId w:val="19"/>
  </w:num>
  <w:num w:numId="28">
    <w:abstractNumId w:val="17"/>
  </w:num>
  <w:num w:numId="29">
    <w:abstractNumId w:val="25"/>
  </w:num>
  <w:num w:numId="30">
    <w:abstractNumId w:val="7"/>
  </w:num>
  <w:num w:numId="31">
    <w:abstractNumId w:val="30"/>
  </w:num>
  <w:num w:numId="32">
    <w:abstractNumId w:val="23"/>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D4"/>
    <w:rsid w:val="0000186B"/>
    <w:rsid w:val="00006E52"/>
    <w:rsid w:val="00010369"/>
    <w:rsid w:val="00012A72"/>
    <w:rsid w:val="000155FF"/>
    <w:rsid w:val="0001575E"/>
    <w:rsid w:val="00015B33"/>
    <w:rsid w:val="00016655"/>
    <w:rsid w:val="00017E9B"/>
    <w:rsid w:val="00022CB2"/>
    <w:rsid w:val="00024707"/>
    <w:rsid w:val="00025B27"/>
    <w:rsid w:val="000266F9"/>
    <w:rsid w:val="00030532"/>
    <w:rsid w:val="00030BBA"/>
    <w:rsid w:val="00031AA7"/>
    <w:rsid w:val="00033573"/>
    <w:rsid w:val="00033F1B"/>
    <w:rsid w:val="00036359"/>
    <w:rsid w:val="000368C9"/>
    <w:rsid w:val="00036A78"/>
    <w:rsid w:val="00042CEA"/>
    <w:rsid w:val="000519F0"/>
    <w:rsid w:val="00055EE3"/>
    <w:rsid w:val="00060D69"/>
    <w:rsid w:val="000650BE"/>
    <w:rsid w:val="000654A7"/>
    <w:rsid w:val="000657FB"/>
    <w:rsid w:val="00065FB4"/>
    <w:rsid w:val="000675A4"/>
    <w:rsid w:val="00070177"/>
    <w:rsid w:val="0007216A"/>
    <w:rsid w:val="00073634"/>
    <w:rsid w:val="00074690"/>
    <w:rsid w:val="00075E65"/>
    <w:rsid w:val="00076BF6"/>
    <w:rsid w:val="000776DC"/>
    <w:rsid w:val="00077A1F"/>
    <w:rsid w:val="000811B9"/>
    <w:rsid w:val="000813CA"/>
    <w:rsid w:val="00082B1E"/>
    <w:rsid w:val="00090972"/>
    <w:rsid w:val="00092038"/>
    <w:rsid w:val="00092C0A"/>
    <w:rsid w:val="00092D50"/>
    <w:rsid w:val="00093DD5"/>
    <w:rsid w:val="00095070"/>
    <w:rsid w:val="00095BD2"/>
    <w:rsid w:val="000964FA"/>
    <w:rsid w:val="00096F2B"/>
    <w:rsid w:val="0009739F"/>
    <w:rsid w:val="000977ED"/>
    <w:rsid w:val="000A17F1"/>
    <w:rsid w:val="000A1DC2"/>
    <w:rsid w:val="000A6AC7"/>
    <w:rsid w:val="000A732D"/>
    <w:rsid w:val="000B1085"/>
    <w:rsid w:val="000B3BEC"/>
    <w:rsid w:val="000B3D59"/>
    <w:rsid w:val="000B59F2"/>
    <w:rsid w:val="000B625D"/>
    <w:rsid w:val="000B655E"/>
    <w:rsid w:val="000B7B86"/>
    <w:rsid w:val="000C19D1"/>
    <w:rsid w:val="000C2540"/>
    <w:rsid w:val="000C2E0D"/>
    <w:rsid w:val="000C36F1"/>
    <w:rsid w:val="000C3FEC"/>
    <w:rsid w:val="000C58CD"/>
    <w:rsid w:val="000C7760"/>
    <w:rsid w:val="000D1251"/>
    <w:rsid w:val="000D4945"/>
    <w:rsid w:val="000D6C91"/>
    <w:rsid w:val="000D7075"/>
    <w:rsid w:val="000E1C88"/>
    <w:rsid w:val="000E3ECD"/>
    <w:rsid w:val="000E4615"/>
    <w:rsid w:val="000E74F9"/>
    <w:rsid w:val="000F2111"/>
    <w:rsid w:val="000F3CC6"/>
    <w:rsid w:val="000F5F3F"/>
    <w:rsid w:val="000F75A8"/>
    <w:rsid w:val="00101939"/>
    <w:rsid w:val="00103735"/>
    <w:rsid w:val="00104337"/>
    <w:rsid w:val="0010441C"/>
    <w:rsid w:val="001056E4"/>
    <w:rsid w:val="00105720"/>
    <w:rsid w:val="00107624"/>
    <w:rsid w:val="00107AB8"/>
    <w:rsid w:val="00107D30"/>
    <w:rsid w:val="00110C04"/>
    <w:rsid w:val="001119EF"/>
    <w:rsid w:val="00120D6A"/>
    <w:rsid w:val="00122933"/>
    <w:rsid w:val="00124D89"/>
    <w:rsid w:val="001253EB"/>
    <w:rsid w:val="00125D3A"/>
    <w:rsid w:val="00130850"/>
    <w:rsid w:val="00131235"/>
    <w:rsid w:val="0013240D"/>
    <w:rsid w:val="00132A1C"/>
    <w:rsid w:val="00132AB8"/>
    <w:rsid w:val="00135A21"/>
    <w:rsid w:val="00142828"/>
    <w:rsid w:val="00143B48"/>
    <w:rsid w:val="00143DB1"/>
    <w:rsid w:val="0014464F"/>
    <w:rsid w:val="0014661B"/>
    <w:rsid w:val="001466F0"/>
    <w:rsid w:val="0015058E"/>
    <w:rsid w:val="00151E49"/>
    <w:rsid w:val="001536F3"/>
    <w:rsid w:val="00153AFC"/>
    <w:rsid w:val="00154A02"/>
    <w:rsid w:val="0015549B"/>
    <w:rsid w:val="00156293"/>
    <w:rsid w:val="00161ABF"/>
    <w:rsid w:val="00163758"/>
    <w:rsid w:val="00163DEF"/>
    <w:rsid w:val="001666BD"/>
    <w:rsid w:val="001709E6"/>
    <w:rsid w:val="001723A1"/>
    <w:rsid w:val="00173265"/>
    <w:rsid w:val="00173984"/>
    <w:rsid w:val="00174A79"/>
    <w:rsid w:val="00174C64"/>
    <w:rsid w:val="00174D48"/>
    <w:rsid w:val="00175E00"/>
    <w:rsid w:val="00177350"/>
    <w:rsid w:val="00182C98"/>
    <w:rsid w:val="00190D9D"/>
    <w:rsid w:val="001943AD"/>
    <w:rsid w:val="00195034"/>
    <w:rsid w:val="00197161"/>
    <w:rsid w:val="00197D0D"/>
    <w:rsid w:val="00197E3D"/>
    <w:rsid w:val="001A0B46"/>
    <w:rsid w:val="001A6875"/>
    <w:rsid w:val="001A6C31"/>
    <w:rsid w:val="001B002D"/>
    <w:rsid w:val="001B0107"/>
    <w:rsid w:val="001B0695"/>
    <w:rsid w:val="001B09FC"/>
    <w:rsid w:val="001B0A32"/>
    <w:rsid w:val="001B4FDB"/>
    <w:rsid w:val="001B6D7E"/>
    <w:rsid w:val="001B6DC1"/>
    <w:rsid w:val="001B7588"/>
    <w:rsid w:val="001C0C4D"/>
    <w:rsid w:val="001C0DF0"/>
    <w:rsid w:val="001C36B4"/>
    <w:rsid w:val="001C7813"/>
    <w:rsid w:val="001D02EC"/>
    <w:rsid w:val="001D1F4F"/>
    <w:rsid w:val="001D2081"/>
    <w:rsid w:val="001D3237"/>
    <w:rsid w:val="001D3EC2"/>
    <w:rsid w:val="001D45CB"/>
    <w:rsid w:val="001D50CF"/>
    <w:rsid w:val="001D787E"/>
    <w:rsid w:val="001D7D7F"/>
    <w:rsid w:val="001E1EC9"/>
    <w:rsid w:val="001E3846"/>
    <w:rsid w:val="001E4A6A"/>
    <w:rsid w:val="001E4B26"/>
    <w:rsid w:val="001E5565"/>
    <w:rsid w:val="001E6B6A"/>
    <w:rsid w:val="001E7BEC"/>
    <w:rsid w:val="001F0FAF"/>
    <w:rsid w:val="001F11C7"/>
    <w:rsid w:val="001F4608"/>
    <w:rsid w:val="001F5375"/>
    <w:rsid w:val="001F6862"/>
    <w:rsid w:val="001F7659"/>
    <w:rsid w:val="00200400"/>
    <w:rsid w:val="00202ABA"/>
    <w:rsid w:val="00206735"/>
    <w:rsid w:val="00206DF7"/>
    <w:rsid w:val="002130D7"/>
    <w:rsid w:val="00214C36"/>
    <w:rsid w:val="002152E4"/>
    <w:rsid w:val="00217C0F"/>
    <w:rsid w:val="00217EF7"/>
    <w:rsid w:val="002224C9"/>
    <w:rsid w:val="00222D4F"/>
    <w:rsid w:val="00222E0E"/>
    <w:rsid w:val="00223333"/>
    <w:rsid w:val="002239C7"/>
    <w:rsid w:val="0022503C"/>
    <w:rsid w:val="0022562D"/>
    <w:rsid w:val="00226FA5"/>
    <w:rsid w:val="00227C80"/>
    <w:rsid w:val="00230696"/>
    <w:rsid w:val="0023144D"/>
    <w:rsid w:val="00231549"/>
    <w:rsid w:val="00231E2B"/>
    <w:rsid w:val="0023396B"/>
    <w:rsid w:val="00233DF4"/>
    <w:rsid w:val="00236073"/>
    <w:rsid w:val="002365AF"/>
    <w:rsid w:val="00240BA1"/>
    <w:rsid w:val="002417C4"/>
    <w:rsid w:val="0024188C"/>
    <w:rsid w:val="00243473"/>
    <w:rsid w:val="00243CE3"/>
    <w:rsid w:val="00246614"/>
    <w:rsid w:val="00246741"/>
    <w:rsid w:val="002469A1"/>
    <w:rsid w:val="00247B2D"/>
    <w:rsid w:val="00250087"/>
    <w:rsid w:val="00250F94"/>
    <w:rsid w:val="00251C6E"/>
    <w:rsid w:val="00253585"/>
    <w:rsid w:val="00256B46"/>
    <w:rsid w:val="00257503"/>
    <w:rsid w:val="002625C5"/>
    <w:rsid w:val="00262E97"/>
    <w:rsid w:val="00262EFA"/>
    <w:rsid w:val="00263671"/>
    <w:rsid w:val="00267A89"/>
    <w:rsid w:val="002711CC"/>
    <w:rsid w:val="00272B1C"/>
    <w:rsid w:val="00272DF7"/>
    <w:rsid w:val="002734F9"/>
    <w:rsid w:val="00275FA5"/>
    <w:rsid w:val="00276194"/>
    <w:rsid w:val="0027700C"/>
    <w:rsid w:val="002772A9"/>
    <w:rsid w:val="002801BE"/>
    <w:rsid w:val="002801F6"/>
    <w:rsid w:val="0028032F"/>
    <w:rsid w:val="00283332"/>
    <w:rsid w:val="00290A3D"/>
    <w:rsid w:val="00291C7D"/>
    <w:rsid w:val="002924F7"/>
    <w:rsid w:val="00293265"/>
    <w:rsid w:val="00293F77"/>
    <w:rsid w:val="002940A7"/>
    <w:rsid w:val="00296C98"/>
    <w:rsid w:val="00297230"/>
    <w:rsid w:val="002A03AC"/>
    <w:rsid w:val="002A23AC"/>
    <w:rsid w:val="002A26B8"/>
    <w:rsid w:val="002A2892"/>
    <w:rsid w:val="002B14B6"/>
    <w:rsid w:val="002B18E0"/>
    <w:rsid w:val="002B2E26"/>
    <w:rsid w:val="002B49E8"/>
    <w:rsid w:val="002B63B0"/>
    <w:rsid w:val="002B72B8"/>
    <w:rsid w:val="002C2322"/>
    <w:rsid w:val="002C24C1"/>
    <w:rsid w:val="002C30F7"/>
    <w:rsid w:val="002C3821"/>
    <w:rsid w:val="002C7630"/>
    <w:rsid w:val="002D20C4"/>
    <w:rsid w:val="002D231F"/>
    <w:rsid w:val="002D23D5"/>
    <w:rsid w:val="002D48DB"/>
    <w:rsid w:val="002D616A"/>
    <w:rsid w:val="002D6468"/>
    <w:rsid w:val="002E052F"/>
    <w:rsid w:val="002E079B"/>
    <w:rsid w:val="002E1A37"/>
    <w:rsid w:val="002E2B14"/>
    <w:rsid w:val="002E2CCF"/>
    <w:rsid w:val="002E42CA"/>
    <w:rsid w:val="002E44DF"/>
    <w:rsid w:val="002E6DD4"/>
    <w:rsid w:val="002E7B8A"/>
    <w:rsid w:val="002F01DD"/>
    <w:rsid w:val="002F65CF"/>
    <w:rsid w:val="002F7691"/>
    <w:rsid w:val="002F7EB7"/>
    <w:rsid w:val="003003F4"/>
    <w:rsid w:val="00300A15"/>
    <w:rsid w:val="00301CB6"/>
    <w:rsid w:val="00302320"/>
    <w:rsid w:val="003035E6"/>
    <w:rsid w:val="00304809"/>
    <w:rsid w:val="00305518"/>
    <w:rsid w:val="00307BE8"/>
    <w:rsid w:val="0031253E"/>
    <w:rsid w:val="00312B8E"/>
    <w:rsid w:val="0031368C"/>
    <w:rsid w:val="00314829"/>
    <w:rsid w:val="00315FAF"/>
    <w:rsid w:val="00316EEE"/>
    <w:rsid w:val="00316FC8"/>
    <w:rsid w:val="00317080"/>
    <w:rsid w:val="00317CE8"/>
    <w:rsid w:val="003215FA"/>
    <w:rsid w:val="00321F5E"/>
    <w:rsid w:val="00322981"/>
    <w:rsid w:val="003234D5"/>
    <w:rsid w:val="00323B6A"/>
    <w:rsid w:val="003242D2"/>
    <w:rsid w:val="003273FC"/>
    <w:rsid w:val="003279CF"/>
    <w:rsid w:val="00331A15"/>
    <w:rsid w:val="00332E21"/>
    <w:rsid w:val="0033456C"/>
    <w:rsid w:val="003365CC"/>
    <w:rsid w:val="00341AEB"/>
    <w:rsid w:val="003466CF"/>
    <w:rsid w:val="003475AF"/>
    <w:rsid w:val="0035040B"/>
    <w:rsid w:val="00351BA3"/>
    <w:rsid w:val="00353A13"/>
    <w:rsid w:val="00354D2D"/>
    <w:rsid w:val="00357A1C"/>
    <w:rsid w:val="0036528E"/>
    <w:rsid w:val="0036720B"/>
    <w:rsid w:val="0036752A"/>
    <w:rsid w:val="003675C1"/>
    <w:rsid w:val="003702C5"/>
    <w:rsid w:val="0037160E"/>
    <w:rsid w:val="00373F0F"/>
    <w:rsid w:val="0037498A"/>
    <w:rsid w:val="00374EA1"/>
    <w:rsid w:val="00374FC5"/>
    <w:rsid w:val="00376AFC"/>
    <w:rsid w:val="00377849"/>
    <w:rsid w:val="00380230"/>
    <w:rsid w:val="00380782"/>
    <w:rsid w:val="00381EA2"/>
    <w:rsid w:val="0038263F"/>
    <w:rsid w:val="003847C3"/>
    <w:rsid w:val="00387950"/>
    <w:rsid w:val="00390185"/>
    <w:rsid w:val="00390A40"/>
    <w:rsid w:val="00390AE6"/>
    <w:rsid w:val="0039194E"/>
    <w:rsid w:val="0039462E"/>
    <w:rsid w:val="00396371"/>
    <w:rsid w:val="00396414"/>
    <w:rsid w:val="00396D7A"/>
    <w:rsid w:val="00397553"/>
    <w:rsid w:val="003A0979"/>
    <w:rsid w:val="003A0DA9"/>
    <w:rsid w:val="003A17C4"/>
    <w:rsid w:val="003A4E03"/>
    <w:rsid w:val="003A4F6B"/>
    <w:rsid w:val="003A5121"/>
    <w:rsid w:val="003A5EAD"/>
    <w:rsid w:val="003A7658"/>
    <w:rsid w:val="003B027A"/>
    <w:rsid w:val="003B0CD4"/>
    <w:rsid w:val="003B1145"/>
    <w:rsid w:val="003B40D1"/>
    <w:rsid w:val="003B450B"/>
    <w:rsid w:val="003B53F3"/>
    <w:rsid w:val="003B63F6"/>
    <w:rsid w:val="003C08A9"/>
    <w:rsid w:val="003C1E14"/>
    <w:rsid w:val="003C1EEB"/>
    <w:rsid w:val="003C4308"/>
    <w:rsid w:val="003C476E"/>
    <w:rsid w:val="003C47AE"/>
    <w:rsid w:val="003C4B1E"/>
    <w:rsid w:val="003C4D7E"/>
    <w:rsid w:val="003C4DFC"/>
    <w:rsid w:val="003C4FD0"/>
    <w:rsid w:val="003D0433"/>
    <w:rsid w:val="003D050A"/>
    <w:rsid w:val="003D1821"/>
    <w:rsid w:val="003D63B7"/>
    <w:rsid w:val="003E0215"/>
    <w:rsid w:val="003E32B5"/>
    <w:rsid w:val="003E3374"/>
    <w:rsid w:val="003E3886"/>
    <w:rsid w:val="003E476D"/>
    <w:rsid w:val="003F25B6"/>
    <w:rsid w:val="003F3319"/>
    <w:rsid w:val="003F5CA3"/>
    <w:rsid w:val="003F7534"/>
    <w:rsid w:val="004006F0"/>
    <w:rsid w:val="00404290"/>
    <w:rsid w:val="004044C6"/>
    <w:rsid w:val="00407A57"/>
    <w:rsid w:val="00412C7F"/>
    <w:rsid w:val="00412E46"/>
    <w:rsid w:val="00415B77"/>
    <w:rsid w:val="004160B6"/>
    <w:rsid w:val="004179B6"/>
    <w:rsid w:val="00420506"/>
    <w:rsid w:val="00421A1E"/>
    <w:rsid w:val="00423055"/>
    <w:rsid w:val="0042312A"/>
    <w:rsid w:val="0042468D"/>
    <w:rsid w:val="00424A57"/>
    <w:rsid w:val="00425217"/>
    <w:rsid w:val="00427DB0"/>
    <w:rsid w:val="004360EA"/>
    <w:rsid w:val="00437954"/>
    <w:rsid w:val="00440159"/>
    <w:rsid w:val="00441CF1"/>
    <w:rsid w:val="0044377D"/>
    <w:rsid w:val="00443BA8"/>
    <w:rsid w:val="00446415"/>
    <w:rsid w:val="004507BB"/>
    <w:rsid w:val="00451B20"/>
    <w:rsid w:val="0045361A"/>
    <w:rsid w:val="00456AEC"/>
    <w:rsid w:val="004604A3"/>
    <w:rsid w:val="004607B9"/>
    <w:rsid w:val="00462530"/>
    <w:rsid w:val="004658FB"/>
    <w:rsid w:val="004661C8"/>
    <w:rsid w:val="0047212E"/>
    <w:rsid w:val="00472B69"/>
    <w:rsid w:val="00472B74"/>
    <w:rsid w:val="0047575D"/>
    <w:rsid w:val="004768B5"/>
    <w:rsid w:val="00477DCE"/>
    <w:rsid w:val="004813AE"/>
    <w:rsid w:val="00481FC3"/>
    <w:rsid w:val="00482868"/>
    <w:rsid w:val="00483109"/>
    <w:rsid w:val="00483C8C"/>
    <w:rsid w:val="00485201"/>
    <w:rsid w:val="00486191"/>
    <w:rsid w:val="004865D8"/>
    <w:rsid w:val="00492309"/>
    <w:rsid w:val="0049633F"/>
    <w:rsid w:val="004A0B0D"/>
    <w:rsid w:val="004A13D8"/>
    <w:rsid w:val="004A2D7C"/>
    <w:rsid w:val="004B064F"/>
    <w:rsid w:val="004B091C"/>
    <w:rsid w:val="004B0EEF"/>
    <w:rsid w:val="004B2406"/>
    <w:rsid w:val="004B28E5"/>
    <w:rsid w:val="004B32EF"/>
    <w:rsid w:val="004B4239"/>
    <w:rsid w:val="004B478A"/>
    <w:rsid w:val="004B537B"/>
    <w:rsid w:val="004B750B"/>
    <w:rsid w:val="004C3815"/>
    <w:rsid w:val="004C3F8B"/>
    <w:rsid w:val="004C4167"/>
    <w:rsid w:val="004C43D4"/>
    <w:rsid w:val="004C533F"/>
    <w:rsid w:val="004C6F5E"/>
    <w:rsid w:val="004D0EBF"/>
    <w:rsid w:val="004D1A2E"/>
    <w:rsid w:val="004D49C1"/>
    <w:rsid w:val="004E298F"/>
    <w:rsid w:val="004E3991"/>
    <w:rsid w:val="004E48BF"/>
    <w:rsid w:val="004E58A5"/>
    <w:rsid w:val="004E58E4"/>
    <w:rsid w:val="004E7397"/>
    <w:rsid w:val="004F1974"/>
    <w:rsid w:val="004F1E72"/>
    <w:rsid w:val="004F370A"/>
    <w:rsid w:val="004F5BD7"/>
    <w:rsid w:val="004F71ED"/>
    <w:rsid w:val="00500E40"/>
    <w:rsid w:val="00501A14"/>
    <w:rsid w:val="00502765"/>
    <w:rsid w:val="0050326C"/>
    <w:rsid w:val="00505233"/>
    <w:rsid w:val="00505E93"/>
    <w:rsid w:val="0050623C"/>
    <w:rsid w:val="00507DD5"/>
    <w:rsid w:val="00510A64"/>
    <w:rsid w:val="00510E6D"/>
    <w:rsid w:val="00512645"/>
    <w:rsid w:val="00512F97"/>
    <w:rsid w:val="00513E68"/>
    <w:rsid w:val="00514037"/>
    <w:rsid w:val="005157AE"/>
    <w:rsid w:val="00517399"/>
    <w:rsid w:val="00520427"/>
    <w:rsid w:val="00523209"/>
    <w:rsid w:val="00523A8C"/>
    <w:rsid w:val="00524B6D"/>
    <w:rsid w:val="00524EA5"/>
    <w:rsid w:val="0052639C"/>
    <w:rsid w:val="0052684D"/>
    <w:rsid w:val="00531A50"/>
    <w:rsid w:val="00532ABA"/>
    <w:rsid w:val="0053473F"/>
    <w:rsid w:val="005374EB"/>
    <w:rsid w:val="005379AA"/>
    <w:rsid w:val="00543ED4"/>
    <w:rsid w:val="00545B47"/>
    <w:rsid w:val="00547217"/>
    <w:rsid w:val="005516EC"/>
    <w:rsid w:val="00552523"/>
    <w:rsid w:val="005529E9"/>
    <w:rsid w:val="00553AA0"/>
    <w:rsid w:val="005540B1"/>
    <w:rsid w:val="005558E9"/>
    <w:rsid w:val="0056083E"/>
    <w:rsid w:val="00560CB6"/>
    <w:rsid w:val="005660E9"/>
    <w:rsid w:val="00566158"/>
    <w:rsid w:val="00566A19"/>
    <w:rsid w:val="00571027"/>
    <w:rsid w:val="0057189D"/>
    <w:rsid w:val="00571C0B"/>
    <w:rsid w:val="00572CCC"/>
    <w:rsid w:val="0057358C"/>
    <w:rsid w:val="00573E94"/>
    <w:rsid w:val="00576BF1"/>
    <w:rsid w:val="00576D1B"/>
    <w:rsid w:val="00584064"/>
    <w:rsid w:val="00584937"/>
    <w:rsid w:val="00585F5A"/>
    <w:rsid w:val="00586BD2"/>
    <w:rsid w:val="00587736"/>
    <w:rsid w:val="00590772"/>
    <w:rsid w:val="00593424"/>
    <w:rsid w:val="0059489E"/>
    <w:rsid w:val="005976F1"/>
    <w:rsid w:val="005A1FAE"/>
    <w:rsid w:val="005A6AE6"/>
    <w:rsid w:val="005A6FCE"/>
    <w:rsid w:val="005A7356"/>
    <w:rsid w:val="005B02E1"/>
    <w:rsid w:val="005B053E"/>
    <w:rsid w:val="005B48B8"/>
    <w:rsid w:val="005B6374"/>
    <w:rsid w:val="005B7CE2"/>
    <w:rsid w:val="005B7DE9"/>
    <w:rsid w:val="005C4A04"/>
    <w:rsid w:val="005C52A8"/>
    <w:rsid w:val="005C7666"/>
    <w:rsid w:val="005D03E0"/>
    <w:rsid w:val="005D0C7E"/>
    <w:rsid w:val="005D0EBE"/>
    <w:rsid w:val="005D134D"/>
    <w:rsid w:val="005D1C40"/>
    <w:rsid w:val="005D5EB7"/>
    <w:rsid w:val="005D653C"/>
    <w:rsid w:val="005D7C0C"/>
    <w:rsid w:val="005E01A2"/>
    <w:rsid w:val="005E0A98"/>
    <w:rsid w:val="005E1F82"/>
    <w:rsid w:val="005E3753"/>
    <w:rsid w:val="005E394B"/>
    <w:rsid w:val="005E440E"/>
    <w:rsid w:val="005E56AD"/>
    <w:rsid w:val="005E5FCC"/>
    <w:rsid w:val="005E6E5D"/>
    <w:rsid w:val="005E753F"/>
    <w:rsid w:val="005F03CF"/>
    <w:rsid w:val="005F1C61"/>
    <w:rsid w:val="005F20BE"/>
    <w:rsid w:val="005F2167"/>
    <w:rsid w:val="005F21B7"/>
    <w:rsid w:val="005F28EF"/>
    <w:rsid w:val="005F3889"/>
    <w:rsid w:val="005F5200"/>
    <w:rsid w:val="005F7B25"/>
    <w:rsid w:val="005F7B32"/>
    <w:rsid w:val="005F7B37"/>
    <w:rsid w:val="005F7DD0"/>
    <w:rsid w:val="00600A17"/>
    <w:rsid w:val="00601022"/>
    <w:rsid w:val="006018A7"/>
    <w:rsid w:val="006027A7"/>
    <w:rsid w:val="00603958"/>
    <w:rsid w:val="006048E2"/>
    <w:rsid w:val="006059E0"/>
    <w:rsid w:val="0061075C"/>
    <w:rsid w:val="00610D60"/>
    <w:rsid w:val="00611EF3"/>
    <w:rsid w:val="006122C6"/>
    <w:rsid w:val="00613CD5"/>
    <w:rsid w:val="0061640C"/>
    <w:rsid w:val="00620881"/>
    <w:rsid w:val="00620EAB"/>
    <w:rsid w:val="00621EEE"/>
    <w:rsid w:val="00622AFA"/>
    <w:rsid w:val="00623A15"/>
    <w:rsid w:val="00624ADC"/>
    <w:rsid w:val="00630C61"/>
    <w:rsid w:val="00632296"/>
    <w:rsid w:val="00636DAB"/>
    <w:rsid w:val="0063709B"/>
    <w:rsid w:val="00643511"/>
    <w:rsid w:val="00645CB8"/>
    <w:rsid w:val="0064637D"/>
    <w:rsid w:val="00647A7C"/>
    <w:rsid w:val="00650547"/>
    <w:rsid w:val="00650E83"/>
    <w:rsid w:val="00652285"/>
    <w:rsid w:val="00652736"/>
    <w:rsid w:val="00656269"/>
    <w:rsid w:val="00660713"/>
    <w:rsid w:val="0066082E"/>
    <w:rsid w:val="0066402F"/>
    <w:rsid w:val="00664192"/>
    <w:rsid w:val="00664271"/>
    <w:rsid w:val="00664D94"/>
    <w:rsid w:val="00665182"/>
    <w:rsid w:val="00667847"/>
    <w:rsid w:val="006707B4"/>
    <w:rsid w:val="006712E0"/>
    <w:rsid w:val="00671567"/>
    <w:rsid w:val="00671A4C"/>
    <w:rsid w:val="00672B23"/>
    <w:rsid w:val="00674BC0"/>
    <w:rsid w:val="00676A05"/>
    <w:rsid w:val="00680953"/>
    <w:rsid w:val="00681A07"/>
    <w:rsid w:val="006827D5"/>
    <w:rsid w:val="00682F05"/>
    <w:rsid w:val="0068491D"/>
    <w:rsid w:val="00693CE4"/>
    <w:rsid w:val="00697266"/>
    <w:rsid w:val="006A01F9"/>
    <w:rsid w:val="006A0C32"/>
    <w:rsid w:val="006A3493"/>
    <w:rsid w:val="006A450C"/>
    <w:rsid w:val="006A790A"/>
    <w:rsid w:val="006A7C10"/>
    <w:rsid w:val="006B1962"/>
    <w:rsid w:val="006B230F"/>
    <w:rsid w:val="006B2984"/>
    <w:rsid w:val="006B3B88"/>
    <w:rsid w:val="006B4B5D"/>
    <w:rsid w:val="006B4EC3"/>
    <w:rsid w:val="006B612A"/>
    <w:rsid w:val="006B77BE"/>
    <w:rsid w:val="006B7F08"/>
    <w:rsid w:val="006C0E50"/>
    <w:rsid w:val="006C0ECF"/>
    <w:rsid w:val="006C0F44"/>
    <w:rsid w:val="006C3340"/>
    <w:rsid w:val="006C47B6"/>
    <w:rsid w:val="006C5133"/>
    <w:rsid w:val="006C7A29"/>
    <w:rsid w:val="006C7A60"/>
    <w:rsid w:val="006C7DF1"/>
    <w:rsid w:val="006D1A7A"/>
    <w:rsid w:val="006D2117"/>
    <w:rsid w:val="006E1998"/>
    <w:rsid w:val="006E37F9"/>
    <w:rsid w:val="006E4843"/>
    <w:rsid w:val="006E6162"/>
    <w:rsid w:val="006E69A4"/>
    <w:rsid w:val="006F12D3"/>
    <w:rsid w:val="006F57E5"/>
    <w:rsid w:val="006F7F23"/>
    <w:rsid w:val="00701615"/>
    <w:rsid w:val="00702759"/>
    <w:rsid w:val="00703916"/>
    <w:rsid w:val="007065AC"/>
    <w:rsid w:val="00706902"/>
    <w:rsid w:val="00710D9B"/>
    <w:rsid w:val="00712286"/>
    <w:rsid w:val="0071321E"/>
    <w:rsid w:val="007140B2"/>
    <w:rsid w:val="00715209"/>
    <w:rsid w:val="00715E54"/>
    <w:rsid w:val="00721C19"/>
    <w:rsid w:val="007235A9"/>
    <w:rsid w:val="00724A53"/>
    <w:rsid w:val="00726AE0"/>
    <w:rsid w:val="00726B15"/>
    <w:rsid w:val="007344F8"/>
    <w:rsid w:val="00734CD7"/>
    <w:rsid w:val="0073515C"/>
    <w:rsid w:val="00736319"/>
    <w:rsid w:val="00737F83"/>
    <w:rsid w:val="00741DAB"/>
    <w:rsid w:val="007426A5"/>
    <w:rsid w:val="007454D0"/>
    <w:rsid w:val="00747283"/>
    <w:rsid w:val="00750230"/>
    <w:rsid w:val="007531A9"/>
    <w:rsid w:val="00753437"/>
    <w:rsid w:val="00754B59"/>
    <w:rsid w:val="00761FEA"/>
    <w:rsid w:val="00762029"/>
    <w:rsid w:val="00762C5F"/>
    <w:rsid w:val="007632B0"/>
    <w:rsid w:val="00764372"/>
    <w:rsid w:val="00766ADC"/>
    <w:rsid w:val="00772066"/>
    <w:rsid w:val="0077305D"/>
    <w:rsid w:val="00773E2C"/>
    <w:rsid w:val="0077552A"/>
    <w:rsid w:val="00776F80"/>
    <w:rsid w:val="00780336"/>
    <w:rsid w:val="0078310B"/>
    <w:rsid w:val="00783387"/>
    <w:rsid w:val="00783B5F"/>
    <w:rsid w:val="007842A0"/>
    <w:rsid w:val="00784841"/>
    <w:rsid w:val="007854EE"/>
    <w:rsid w:val="00786008"/>
    <w:rsid w:val="00786242"/>
    <w:rsid w:val="00790595"/>
    <w:rsid w:val="00790D67"/>
    <w:rsid w:val="00793A19"/>
    <w:rsid w:val="00793A79"/>
    <w:rsid w:val="0079758F"/>
    <w:rsid w:val="007A1B5A"/>
    <w:rsid w:val="007A2722"/>
    <w:rsid w:val="007A3C33"/>
    <w:rsid w:val="007A40CD"/>
    <w:rsid w:val="007A59FE"/>
    <w:rsid w:val="007A5CFF"/>
    <w:rsid w:val="007B0163"/>
    <w:rsid w:val="007B0E05"/>
    <w:rsid w:val="007B2569"/>
    <w:rsid w:val="007B3569"/>
    <w:rsid w:val="007B6E0E"/>
    <w:rsid w:val="007B744C"/>
    <w:rsid w:val="007B7B71"/>
    <w:rsid w:val="007C0223"/>
    <w:rsid w:val="007C41D2"/>
    <w:rsid w:val="007C502D"/>
    <w:rsid w:val="007C5150"/>
    <w:rsid w:val="007C52BD"/>
    <w:rsid w:val="007C5E6A"/>
    <w:rsid w:val="007C7F49"/>
    <w:rsid w:val="007D0984"/>
    <w:rsid w:val="007D1234"/>
    <w:rsid w:val="007D20E1"/>
    <w:rsid w:val="007D2CB8"/>
    <w:rsid w:val="007D368E"/>
    <w:rsid w:val="007D5844"/>
    <w:rsid w:val="007D68D7"/>
    <w:rsid w:val="007D787D"/>
    <w:rsid w:val="007E134D"/>
    <w:rsid w:val="007E5FC7"/>
    <w:rsid w:val="007E6598"/>
    <w:rsid w:val="007E66EC"/>
    <w:rsid w:val="007E716A"/>
    <w:rsid w:val="007E7930"/>
    <w:rsid w:val="007F20F0"/>
    <w:rsid w:val="007F37C1"/>
    <w:rsid w:val="007F3F72"/>
    <w:rsid w:val="007F4159"/>
    <w:rsid w:val="007F4202"/>
    <w:rsid w:val="007F6392"/>
    <w:rsid w:val="007F63D5"/>
    <w:rsid w:val="008003E5"/>
    <w:rsid w:val="00800949"/>
    <w:rsid w:val="00800A56"/>
    <w:rsid w:val="00801E91"/>
    <w:rsid w:val="00801F78"/>
    <w:rsid w:val="00802778"/>
    <w:rsid w:val="00806809"/>
    <w:rsid w:val="00806935"/>
    <w:rsid w:val="00806DCC"/>
    <w:rsid w:val="00806E34"/>
    <w:rsid w:val="00806EF2"/>
    <w:rsid w:val="00811AAE"/>
    <w:rsid w:val="0081303D"/>
    <w:rsid w:val="00814196"/>
    <w:rsid w:val="00814360"/>
    <w:rsid w:val="00816287"/>
    <w:rsid w:val="00816C3F"/>
    <w:rsid w:val="0082314E"/>
    <w:rsid w:val="00827EA0"/>
    <w:rsid w:val="008301DE"/>
    <w:rsid w:val="00830908"/>
    <w:rsid w:val="00835BE7"/>
    <w:rsid w:val="008376D5"/>
    <w:rsid w:val="00840AE5"/>
    <w:rsid w:val="008435ED"/>
    <w:rsid w:val="008447F5"/>
    <w:rsid w:val="00844C7B"/>
    <w:rsid w:val="0084552B"/>
    <w:rsid w:val="00850B68"/>
    <w:rsid w:val="00851C0D"/>
    <w:rsid w:val="00852D50"/>
    <w:rsid w:val="00860315"/>
    <w:rsid w:val="00862C9A"/>
    <w:rsid w:val="008654F0"/>
    <w:rsid w:val="00870BB1"/>
    <w:rsid w:val="00872B96"/>
    <w:rsid w:val="00875286"/>
    <w:rsid w:val="0087726B"/>
    <w:rsid w:val="008779B5"/>
    <w:rsid w:val="00877D61"/>
    <w:rsid w:val="008801CF"/>
    <w:rsid w:val="00882901"/>
    <w:rsid w:val="00883C72"/>
    <w:rsid w:val="00884B22"/>
    <w:rsid w:val="00885B5D"/>
    <w:rsid w:val="008876BD"/>
    <w:rsid w:val="00887FE8"/>
    <w:rsid w:val="00891A38"/>
    <w:rsid w:val="00891C11"/>
    <w:rsid w:val="00892C8F"/>
    <w:rsid w:val="00892D46"/>
    <w:rsid w:val="00896466"/>
    <w:rsid w:val="008974F2"/>
    <w:rsid w:val="008A36C2"/>
    <w:rsid w:val="008A3AAA"/>
    <w:rsid w:val="008A740D"/>
    <w:rsid w:val="008B0B10"/>
    <w:rsid w:val="008B0C01"/>
    <w:rsid w:val="008B4255"/>
    <w:rsid w:val="008B5653"/>
    <w:rsid w:val="008B643C"/>
    <w:rsid w:val="008B7846"/>
    <w:rsid w:val="008C223D"/>
    <w:rsid w:val="008C3DD3"/>
    <w:rsid w:val="008C4658"/>
    <w:rsid w:val="008C4EE2"/>
    <w:rsid w:val="008C7ABF"/>
    <w:rsid w:val="008D1891"/>
    <w:rsid w:val="008D3EFA"/>
    <w:rsid w:val="008D56ED"/>
    <w:rsid w:val="008E053A"/>
    <w:rsid w:val="008E2DE2"/>
    <w:rsid w:val="008E6EFD"/>
    <w:rsid w:val="008F04FF"/>
    <w:rsid w:val="008F3BC1"/>
    <w:rsid w:val="008F3D7B"/>
    <w:rsid w:val="008F4578"/>
    <w:rsid w:val="008F4B1B"/>
    <w:rsid w:val="00902C1B"/>
    <w:rsid w:val="00903191"/>
    <w:rsid w:val="0090336F"/>
    <w:rsid w:val="00904F93"/>
    <w:rsid w:val="00907CBC"/>
    <w:rsid w:val="00911D0F"/>
    <w:rsid w:val="00915982"/>
    <w:rsid w:val="00916006"/>
    <w:rsid w:val="00920382"/>
    <w:rsid w:val="009205C7"/>
    <w:rsid w:val="009222CE"/>
    <w:rsid w:val="00922924"/>
    <w:rsid w:val="00923266"/>
    <w:rsid w:val="009240DF"/>
    <w:rsid w:val="009248F5"/>
    <w:rsid w:val="00924B56"/>
    <w:rsid w:val="0093134D"/>
    <w:rsid w:val="00931FC1"/>
    <w:rsid w:val="00932E62"/>
    <w:rsid w:val="009330A7"/>
    <w:rsid w:val="00933C0B"/>
    <w:rsid w:val="00937146"/>
    <w:rsid w:val="00941451"/>
    <w:rsid w:val="00942CD7"/>
    <w:rsid w:val="0094340E"/>
    <w:rsid w:val="009443EE"/>
    <w:rsid w:val="009449F3"/>
    <w:rsid w:val="00945F51"/>
    <w:rsid w:val="009519C2"/>
    <w:rsid w:val="00954B54"/>
    <w:rsid w:val="00954B8F"/>
    <w:rsid w:val="00956641"/>
    <w:rsid w:val="00956690"/>
    <w:rsid w:val="00957F17"/>
    <w:rsid w:val="00961AF8"/>
    <w:rsid w:val="00965565"/>
    <w:rsid w:val="00966448"/>
    <w:rsid w:val="0097087E"/>
    <w:rsid w:val="00971B37"/>
    <w:rsid w:val="00976012"/>
    <w:rsid w:val="00976AF2"/>
    <w:rsid w:val="00980782"/>
    <w:rsid w:val="00981EE0"/>
    <w:rsid w:val="009831E2"/>
    <w:rsid w:val="00984D74"/>
    <w:rsid w:val="00985472"/>
    <w:rsid w:val="009868BF"/>
    <w:rsid w:val="00986AAB"/>
    <w:rsid w:val="00987362"/>
    <w:rsid w:val="00987EEC"/>
    <w:rsid w:val="00990FB0"/>
    <w:rsid w:val="009911E9"/>
    <w:rsid w:val="00992E5D"/>
    <w:rsid w:val="00994341"/>
    <w:rsid w:val="009947F8"/>
    <w:rsid w:val="00994B84"/>
    <w:rsid w:val="00995AA4"/>
    <w:rsid w:val="009979F0"/>
    <w:rsid w:val="009A1C6D"/>
    <w:rsid w:val="009A1D68"/>
    <w:rsid w:val="009A377E"/>
    <w:rsid w:val="009A5A3A"/>
    <w:rsid w:val="009B009E"/>
    <w:rsid w:val="009B046C"/>
    <w:rsid w:val="009B4C2E"/>
    <w:rsid w:val="009B5C2F"/>
    <w:rsid w:val="009B63DB"/>
    <w:rsid w:val="009B74ED"/>
    <w:rsid w:val="009C047D"/>
    <w:rsid w:val="009C29A1"/>
    <w:rsid w:val="009C2B26"/>
    <w:rsid w:val="009C38C3"/>
    <w:rsid w:val="009C44B6"/>
    <w:rsid w:val="009C61FE"/>
    <w:rsid w:val="009C6BD3"/>
    <w:rsid w:val="009C787D"/>
    <w:rsid w:val="009D0FB7"/>
    <w:rsid w:val="009D3C22"/>
    <w:rsid w:val="009D3D8D"/>
    <w:rsid w:val="009D4A11"/>
    <w:rsid w:val="009D4C55"/>
    <w:rsid w:val="009D5F04"/>
    <w:rsid w:val="009D63C2"/>
    <w:rsid w:val="009D6CC1"/>
    <w:rsid w:val="009D7C12"/>
    <w:rsid w:val="009E0283"/>
    <w:rsid w:val="009E045B"/>
    <w:rsid w:val="009E177B"/>
    <w:rsid w:val="009E3136"/>
    <w:rsid w:val="009E323D"/>
    <w:rsid w:val="009E48F8"/>
    <w:rsid w:val="009F0D51"/>
    <w:rsid w:val="009F1675"/>
    <w:rsid w:val="009F418D"/>
    <w:rsid w:val="009F5BB9"/>
    <w:rsid w:val="009F6245"/>
    <w:rsid w:val="009F65A5"/>
    <w:rsid w:val="009F6A47"/>
    <w:rsid w:val="00A01017"/>
    <w:rsid w:val="00A010BE"/>
    <w:rsid w:val="00A011ED"/>
    <w:rsid w:val="00A03754"/>
    <w:rsid w:val="00A044C1"/>
    <w:rsid w:val="00A06316"/>
    <w:rsid w:val="00A06C3D"/>
    <w:rsid w:val="00A06C71"/>
    <w:rsid w:val="00A07919"/>
    <w:rsid w:val="00A10039"/>
    <w:rsid w:val="00A128C0"/>
    <w:rsid w:val="00A12CEC"/>
    <w:rsid w:val="00A134FA"/>
    <w:rsid w:val="00A17F37"/>
    <w:rsid w:val="00A20BE8"/>
    <w:rsid w:val="00A219C5"/>
    <w:rsid w:val="00A2233A"/>
    <w:rsid w:val="00A23598"/>
    <w:rsid w:val="00A2654A"/>
    <w:rsid w:val="00A26883"/>
    <w:rsid w:val="00A26AE9"/>
    <w:rsid w:val="00A27526"/>
    <w:rsid w:val="00A30178"/>
    <w:rsid w:val="00A31310"/>
    <w:rsid w:val="00A36B3B"/>
    <w:rsid w:val="00A36D89"/>
    <w:rsid w:val="00A36E79"/>
    <w:rsid w:val="00A404F8"/>
    <w:rsid w:val="00A41A73"/>
    <w:rsid w:val="00A43394"/>
    <w:rsid w:val="00A43D1D"/>
    <w:rsid w:val="00A44DFA"/>
    <w:rsid w:val="00A44EF8"/>
    <w:rsid w:val="00A46F33"/>
    <w:rsid w:val="00A50076"/>
    <w:rsid w:val="00A508B3"/>
    <w:rsid w:val="00A5154E"/>
    <w:rsid w:val="00A5241E"/>
    <w:rsid w:val="00A5433F"/>
    <w:rsid w:val="00A54B7D"/>
    <w:rsid w:val="00A55F7B"/>
    <w:rsid w:val="00A57B89"/>
    <w:rsid w:val="00A62A7D"/>
    <w:rsid w:val="00A64E5A"/>
    <w:rsid w:val="00A66D7B"/>
    <w:rsid w:val="00A742BE"/>
    <w:rsid w:val="00A76D7A"/>
    <w:rsid w:val="00A77466"/>
    <w:rsid w:val="00A82B74"/>
    <w:rsid w:val="00A82B7D"/>
    <w:rsid w:val="00A82FC9"/>
    <w:rsid w:val="00A83088"/>
    <w:rsid w:val="00A84552"/>
    <w:rsid w:val="00A859FD"/>
    <w:rsid w:val="00A86776"/>
    <w:rsid w:val="00A9040A"/>
    <w:rsid w:val="00A90AEA"/>
    <w:rsid w:val="00A954CD"/>
    <w:rsid w:val="00A959BD"/>
    <w:rsid w:val="00A95AA3"/>
    <w:rsid w:val="00A95C0F"/>
    <w:rsid w:val="00A96DD0"/>
    <w:rsid w:val="00AA09CE"/>
    <w:rsid w:val="00AA1948"/>
    <w:rsid w:val="00AA4C9B"/>
    <w:rsid w:val="00AA5578"/>
    <w:rsid w:val="00AA5DEA"/>
    <w:rsid w:val="00AA6026"/>
    <w:rsid w:val="00AA60C5"/>
    <w:rsid w:val="00AA6F55"/>
    <w:rsid w:val="00AB1CF8"/>
    <w:rsid w:val="00AB2CF1"/>
    <w:rsid w:val="00AB31CB"/>
    <w:rsid w:val="00AB4AB7"/>
    <w:rsid w:val="00AB5AE0"/>
    <w:rsid w:val="00AB61CA"/>
    <w:rsid w:val="00AB6C1E"/>
    <w:rsid w:val="00AB738E"/>
    <w:rsid w:val="00AB7757"/>
    <w:rsid w:val="00AB7C69"/>
    <w:rsid w:val="00AC3493"/>
    <w:rsid w:val="00AC6217"/>
    <w:rsid w:val="00AC7004"/>
    <w:rsid w:val="00AD05D7"/>
    <w:rsid w:val="00AD1385"/>
    <w:rsid w:val="00AD328C"/>
    <w:rsid w:val="00AD4015"/>
    <w:rsid w:val="00AD439D"/>
    <w:rsid w:val="00AD54CA"/>
    <w:rsid w:val="00AD5739"/>
    <w:rsid w:val="00AD5F40"/>
    <w:rsid w:val="00AD66E3"/>
    <w:rsid w:val="00AD76F3"/>
    <w:rsid w:val="00AD7E0E"/>
    <w:rsid w:val="00AE1DDA"/>
    <w:rsid w:val="00AE2281"/>
    <w:rsid w:val="00AE2D25"/>
    <w:rsid w:val="00AE3E24"/>
    <w:rsid w:val="00AE3F5E"/>
    <w:rsid w:val="00AE5AEA"/>
    <w:rsid w:val="00AE6A95"/>
    <w:rsid w:val="00AE6DE5"/>
    <w:rsid w:val="00AE7584"/>
    <w:rsid w:val="00AE7EAB"/>
    <w:rsid w:val="00AF061D"/>
    <w:rsid w:val="00AF35A0"/>
    <w:rsid w:val="00B0098E"/>
    <w:rsid w:val="00B01933"/>
    <w:rsid w:val="00B031C0"/>
    <w:rsid w:val="00B051BB"/>
    <w:rsid w:val="00B05260"/>
    <w:rsid w:val="00B05434"/>
    <w:rsid w:val="00B05905"/>
    <w:rsid w:val="00B07162"/>
    <w:rsid w:val="00B0718F"/>
    <w:rsid w:val="00B10F16"/>
    <w:rsid w:val="00B1370E"/>
    <w:rsid w:val="00B17ADA"/>
    <w:rsid w:val="00B232EC"/>
    <w:rsid w:val="00B23A5F"/>
    <w:rsid w:val="00B25280"/>
    <w:rsid w:val="00B257EC"/>
    <w:rsid w:val="00B2600F"/>
    <w:rsid w:val="00B266D5"/>
    <w:rsid w:val="00B31588"/>
    <w:rsid w:val="00B31FCC"/>
    <w:rsid w:val="00B3246D"/>
    <w:rsid w:val="00B3534C"/>
    <w:rsid w:val="00B363B0"/>
    <w:rsid w:val="00B3640A"/>
    <w:rsid w:val="00B4177E"/>
    <w:rsid w:val="00B46654"/>
    <w:rsid w:val="00B47414"/>
    <w:rsid w:val="00B4756E"/>
    <w:rsid w:val="00B47A83"/>
    <w:rsid w:val="00B525CB"/>
    <w:rsid w:val="00B52659"/>
    <w:rsid w:val="00B52F1D"/>
    <w:rsid w:val="00B53D34"/>
    <w:rsid w:val="00B553A1"/>
    <w:rsid w:val="00B5558B"/>
    <w:rsid w:val="00B556E2"/>
    <w:rsid w:val="00B56801"/>
    <w:rsid w:val="00B573D0"/>
    <w:rsid w:val="00B57B62"/>
    <w:rsid w:val="00B62538"/>
    <w:rsid w:val="00B65365"/>
    <w:rsid w:val="00B6548B"/>
    <w:rsid w:val="00B70EBC"/>
    <w:rsid w:val="00B7142F"/>
    <w:rsid w:val="00B7291D"/>
    <w:rsid w:val="00B73F76"/>
    <w:rsid w:val="00B76655"/>
    <w:rsid w:val="00B76C03"/>
    <w:rsid w:val="00B80BA7"/>
    <w:rsid w:val="00B8175D"/>
    <w:rsid w:val="00B82A15"/>
    <w:rsid w:val="00B8369E"/>
    <w:rsid w:val="00B83B53"/>
    <w:rsid w:val="00B84890"/>
    <w:rsid w:val="00B85BF9"/>
    <w:rsid w:val="00B86946"/>
    <w:rsid w:val="00B93009"/>
    <w:rsid w:val="00B9438F"/>
    <w:rsid w:val="00B9643A"/>
    <w:rsid w:val="00B97A6A"/>
    <w:rsid w:val="00B97A96"/>
    <w:rsid w:val="00B97BC6"/>
    <w:rsid w:val="00BA0D0B"/>
    <w:rsid w:val="00BA0D99"/>
    <w:rsid w:val="00BA0E04"/>
    <w:rsid w:val="00BA1160"/>
    <w:rsid w:val="00BA1E51"/>
    <w:rsid w:val="00BA2457"/>
    <w:rsid w:val="00BA3C67"/>
    <w:rsid w:val="00BA467E"/>
    <w:rsid w:val="00BA4873"/>
    <w:rsid w:val="00BA5AB8"/>
    <w:rsid w:val="00BB02BC"/>
    <w:rsid w:val="00BB0EDB"/>
    <w:rsid w:val="00BB2673"/>
    <w:rsid w:val="00BB458D"/>
    <w:rsid w:val="00BB4C00"/>
    <w:rsid w:val="00BC05DD"/>
    <w:rsid w:val="00BC2223"/>
    <w:rsid w:val="00BC62C0"/>
    <w:rsid w:val="00BD12E0"/>
    <w:rsid w:val="00BD1BFB"/>
    <w:rsid w:val="00BD2476"/>
    <w:rsid w:val="00BD3FB1"/>
    <w:rsid w:val="00BD4CF4"/>
    <w:rsid w:val="00BD676F"/>
    <w:rsid w:val="00BD702D"/>
    <w:rsid w:val="00BD70A0"/>
    <w:rsid w:val="00BD7C30"/>
    <w:rsid w:val="00BE09C2"/>
    <w:rsid w:val="00BE1798"/>
    <w:rsid w:val="00BE2339"/>
    <w:rsid w:val="00BE3776"/>
    <w:rsid w:val="00BE499A"/>
    <w:rsid w:val="00BE5C24"/>
    <w:rsid w:val="00BE61AA"/>
    <w:rsid w:val="00BF1353"/>
    <w:rsid w:val="00BF1891"/>
    <w:rsid w:val="00BF4CB9"/>
    <w:rsid w:val="00BF53B6"/>
    <w:rsid w:val="00BF6FEE"/>
    <w:rsid w:val="00BF7754"/>
    <w:rsid w:val="00C01D96"/>
    <w:rsid w:val="00C03187"/>
    <w:rsid w:val="00C0451E"/>
    <w:rsid w:val="00C060FF"/>
    <w:rsid w:val="00C06641"/>
    <w:rsid w:val="00C10B12"/>
    <w:rsid w:val="00C10DAB"/>
    <w:rsid w:val="00C13D28"/>
    <w:rsid w:val="00C14B6E"/>
    <w:rsid w:val="00C170C3"/>
    <w:rsid w:val="00C2010A"/>
    <w:rsid w:val="00C21503"/>
    <w:rsid w:val="00C221D0"/>
    <w:rsid w:val="00C2279C"/>
    <w:rsid w:val="00C23383"/>
    <w:rsid w:val="00C25471"/>
    <w:rsid w:val="00C261CC"/>
    <w:rsid w:val="00C31106"/>
    <w:rsid w:val="00C31D2F"/>
    <w:rsid w:val="00C32833"/>
    <w:rsid w:val="00C32C2E"/>
    <w:rsid w:val="00C343D9"/>
    <w:rsid w:val="00C410FE"/>
    <w:rsid w:val="00C42D15"/>
    <w:rsid w:val="00C443BF"/>
    <w:rsid w:val="00C44B62"/>
    <w:rsid w:val="00C503DC"/>
    <w:rsid w:val="00C51180"/>
    <w:rsid w:val="00C52546"/>
    <w:rsid w:val="00C52E91"/>
    <w:rsid w:val="00C5353F"/>
    <w:rsid w:val="00C536A2"/>
    <w:rsid w:val="00C57B65"/>
    <w:rsid w:val="00C602F8"/>
    <w:rsid w:val="00C60CE1"/>
    <w:rsid w:val="00C64666"/>
    <w:rsid w:val="00C64704"/>
    <w:rsid w:val="00C64A6E"/>
    <w:rsid w:val="00C70320"/>
    <w:rsid w:val="00C732FE"/>
    <w:rsid w:val="00C73680"/>
    <w:rsid w:val="00C81267"/>
    <w:rsid w:val="00C8442D"/>
    <w:rsid w:val="00C84AAE"/>
    <w:rsid w:val="00C852FB"/>
    <w:rsid w:val="00C90BAC"/>
    <w:rsid w:val="00C91B73"/>
    <w:rsid w:val="00C93D55"/>
    <w:rsid w:val="00CA1347"/>
    <w:rsid w:val="00CA13B8"/>
    <w:rsid w:val="00CA25C4"/>
    <w:rsid w:val="00CA58B0"/>
    <w:rsid w:val="00CB0F9F"/>
    <w:rsid w:val="00CB54BD"/>
    <w:rsid w:val="00CB5E00"/>
    <w:rsid w:val="00CB6267"/>
    <w:rsid w:val="00CB6667"/>
    <w:rsid w:val="00CB672B"/>
    <w:rsid w:val="00CC2B2F"/>
    <w:rsid w:val="00CC2EC5"/>
    <w:rsid w:val="00CC5039"/>
    <w:rsid w:val="00CC5059"/>
    <w:rsid w:val="00CC5ED7"/>
    <w:rsid w:val="00CD381E"/>
    <w:rsid w:val="00CD3CC0"/>
    <w:rsid w:val="00CD46A2"/>
    <w:rsid w:val="00CD473A"/>
    <w:rsid w:val="00CD6C97"/>
    <w:rsid w:val="00CD6E14"/>
    <w:rsid w:val="00CE0C45"/>
    <w:rsid w:val="00CE11EB"/>
    <w:rsid w:val="00CE4DBC"/>
    <w:rsid w:val="00CE546F"/>
    <w:rsid w:val="00CE7E45"/>
    <w:rsid w:val="00CF2701"/>
    <w:rsid w:val="00CF37A5"/>
    <w:rsid w:val="00CF3FFC"/>
    <w:rsid w:val="00CF4844"/>
    <w:rsid w:val="00D00264"/>
    <w:rsid w:val="00D01F98"/>
    <w:rsid w:val="00D04700"/>
    <w:rsid w:val="00D04CE1"/>
    <w:rsid w:val="00D101C7"/>
    <w:rsid w:val="00D132F5"/>
    <w:rsid w:val="00D14F60"/>
    <w:rsid w:val="00D17E8D"/>
    <w:rsid w:val="00D2151D"/>
    <w:rsid w:val="00D2272E"/>
    <w:rsid w:val="00D23DB6"/>
    <w:rsid w:val="00D25030"/>
    <w:rsid w:val="00D273DE"/>
    <w:rsid w:val="00D3085E"/>
    <w:rsid w:val="00D31334"/>
    <w:rsid w:val="00D31E5F"/>
    <w:rsid w:val="00D32ABA"/>
    <w:rsid w:val="00D33678"/>
    <w:rsid w:val="00D33FE7"/>
    <w:rsid w:val="00D36F63"/>
    <w:rsid w:val="00D4184B"/>
    <w:rsid w:val="00D43509"/>
    <w:rsid w:val="00D4643A"/>
    <w:rsid w:val="00D46EDF"/>
    <w:rsid w:val="00D50230"/>
    <w:rsid w:val="00D51965"/>
    <w:rsid w:val="00D5323E"/>
    <w:rsid w:val="00D53CF7"/>
    <w:rsid w:val="00D5434C"/>
    <w:rsid w:val="00D564F8"/>
    <w:rsid w:val="00D60A69"/>
    <w:rsid w:val="00D61981"/>
    <w:rsid w:val="00D61BE2"/>
    <w:rsid w:val="00D61F9F"/>
    <w:rsid w:val="00D63A09"/>
    <w:rsid w:val="00D6455E"/>
    <w:rsid w:val="00D64563"/>
    <w:rsid w:val="00D64618"/>
    <w:rsid w:val="00D64803"/>
    <w:rsid w:val="00D669A5"/>
    <w:rsid w:val="00D70958"/>
    <w:rsid w:val="00D73828"/>
    <w:rsid w:val="00D76481"/>
    <w:rsid w:val="00D77798"/>
    <w:rsid w:val="00D80DB4"/>
    <w:rsid w:val="00D82567"/>
    <w:rsid w:val="00D82C13"/>
    <w:rsid w:val="00D83182"/>
    <w:rsid w:val="00D850D4"/>
    <w:rsid w:val="00D90BA7"/>
    <w:rsid w:val="00D96BAF"/>
    <w:rsid w:val="00DA2DF9"/>
    <w:rsid w:val="00DA2FAC"/>
    <w:rsid w:val="00DA4A4D"/>
    <w:rsid w:val="00DA4F7F"/>
    <w:rsid w:val="00DA6613"/>
    <w:rsid w:val="00DA673C"/>
    <w:rsid w:val="00DB0FA6"/>
    <w:rsid w:val="00DB219C"/>
    <w:rsid w:val="00DB6099"/>
    <w:rsid w:val="00DB623A"/>
    <w:rsid w:val="00DB6561"/>
    <w:rsid w:val="00DC0281"/>
    <w:rsid w:val="00DC0811"/>
    <w:rsid w:val="00DC1B2D"/>
    <w:rsid w:val="00DC3DD5"/>
    <w:rsid w:val="00DC4A3A"/>
    <w:rsid w:val="00DC62F2"/>
    <w:rsid w:val="00DC7EB6"/>
    <w:rsid w:val="00DC7F2D"/>
    <w:rsid w:val="00DD0141"/>
    <w:rsid w:val="00DD031F"/>
    <w:rsid w:val="00DD1FFD"/>
    <w:rsid w:val="00DD2963"/>
    <w:rsid w:val="00DD2A70"/>
    <w:rsid w:val="00DD2E7A"/>
    <w:rsid w:val="00DD3437"/>
    <w:rsid w:val="00DD35F0"/>
    <w:rsid w:val="00DD3765"/>
    <w:rsid w:val="00DD47CD"/>
    <w:rsid w:val="00DD584E"/>
    <w:rsid w:val="00DE1797"/>
    <w:rsid w:val="00DE195E"/>
    <w:rsid w:val="00DE3414"/>
    <w:rsid w:val="00DE520F"/>
    <w:rsid w:val="00DE5FEC"/>
    <w:rsid w:val="00DE6F1E"/>
    <w:rsid w:val="00DE7933"/>
    <w:rsid w:val="00DF0470"/>
    <w:rsid w:val="00DF23DC"/>
    <w:rsid w:val="00DF3687"/>
    <w:rsid w:val="00DF4DF5"/>
    <w:rsid w:val="00DF60D3"/>
    <w:rsid w:val="00DF7305"/>
    <w:rsid w:val="00DF785C"/>
    <w:rsid w:val="00E00657"/>
    <w:rsid w:val="00E02BBC"/>
    <w:rsid w:val="00E02D6B"/>
    <w:rsid w:val="00E0612C"/>
    <w:rsid w:val="00E06300"/>
    <w:rsid w:val="00E07CFB"/>
    <w:rsid w:val="00E105F1"/>
    <w:rsid w:val="00E10DAB"/>
    <w:rsid w:val="00E10EC2"/>
    <w:rsid w:val="00E11965"/>
    <w:rsid w:val="00E1348D"/>
    <w:rsid w:val="00E13AF6"/>
    <w:rsid w:val="00E14E92"/>
    <w:rsid w:val="00E15458"/>
    <w:rsid w:val="00E17B67"/>
    <w:rsid w:val="00E20E18"/>
    <w:rsid w:val="00E23E34"/>
    <w:rsid w:val="00E27A3B"/>
    <w:rsid w:val="00E30152"/>
    <w:rsid w:val="00E30A65"/>
    <w:rsid w:val="00E3155D"/>
    <w:rsid w:val="00E32009"/>
    <w:rsid w:val="00E32DF1"/>
    <w:rsid w:val="00E34CCD"/>
    <w:rsid w:val="00E3601B"/>
    <w:rsid w:val="00E36544"/>
    <w:rsid w:val="00E36886"/>
    <w:rsid w:val="00E4224A"/>
    <w:rsid w:val="00E43CF4"/>
    <w:rsid w:val="00E441EC"/>
    <w:rsid w:val="00E443AC"/>
    <w:rsid w:val="00E46407"/>
    <w:rsid w:val="00E46B26"/>
    <w:rsid w:val="00E52E18"/>
    <w:rsid w:val="00E53621"/>
    <w:rsid w:val="00E550B5"/>
    <w:rsid w:val="00E56256"/>
    <w:rsid w:val="00E60332"/>
    <w:rsid w:val="00E6634D"/>
    <w:rsid w:val="00E676C0"/>
    <w:rsid w:val="00E711B5"/>
    <w:rsid w:val="00E71FDA"/>
    <w:rsid w:val="00E74AFE"/>
    <w:rsid w:val="00E74E5E"/>
    <w:rsid w:val="00E76295"/>
    <w:rsid w:val="00E76F9C"/>
    <w:rsid w:val="00E77566"/>
    <w:rsid w:val="00E805C9"/>
    <w:rsid w:val="00E81302"/>
    <w:rsid w:val="00E82E5F"/>
    <w:rsid w:val="00E83ABB"/>
    <w:rsid w:val="00E844FE"/>
    <w:rsid w:val="00E85F91"/>
    <w:rsid w:val="00E85FC5"/>
    <w:rsid w:val="00E86766"/>
    <w:rsid w:val="00E872D5"/>
    <w:rsid w:val="00E878B3"/>
    <w:rsid w:val="00E92F5B"/>
    <w:rsid w:val="00E95D2F"/>
    <w:rsid w:val="00E96680"/>
    <w:rsid w:val="00E972C7"/>
    <w:rsid w:val="00EA51B2"/>
    <w:rsid w:val="00EA5B39"/>
    <w:rsid w:val="00EA78E6"/>
    <w:rsid w:val="00EB0AF1"/>
    <w:rsid w:val="00EC2D94"/>
    <w:rsid w:val="00EC3BCB"/>
    <w:rsid w:val="00EC63B6"/>
    <w:rsid w:val="00EC7BA5"/>
    <w:rsid w:val="00ED06B2"/>
    <w:rsid w:val="00ED3F57"/>
    <w:rsid w:val="00ED6379"/>
    <w:rsid w:val="00EE06DC"/>
    <w:rsid w:val="00EE0B71"/>
    <w:rsid w:val="00EE4D53"/>
    <w:rsid w:val="00EE5950"/>
    <w:rsid w:val="00EE7BF0"/>
    <w:rsid w:val="00EF17EF"/>
    <w:rsid w:val="00EF3D0C"/>
    <w:rsid w:val="00EF4CCA"/>
    <w:rsid w:val="00EF512A"/>
    <w:rsid w:val="00EF5E4D"/>
    <w:rsid w:val="00EF6A02"/>
    <w:rsid w:val="00F03FF3"/>
    <w:rsid w:val="00F04B56"/>
    <w:rsid w:val="00F06360"/>
    <w:rsid w:val="00F15022"/>
    <w:rsid w:val="00F15294"/>
    <w:rsid w:val="00F15A31"/>
    <w:rsid w:val="00F16CD6"/>
    <w:rsid w:val="00F201E9"/>
    <w:rsid w:val="00F2122C"/>
    <w:rsid w:val="00F23108"/>
    <w:rsid w:val="00F23BF2"/>
    <w:rsid w:val="00F249F9"/>
    <w:rsid w:val="00F27679"/>
    <w:rsid w:val="00F27E08"/>
    <w:rsid w:val="00F31518"/>
    <w:rsid w:val="00F329B9"/>
    <w:rsid w:val="00F33836"/>
    <w:rsid w:val="00F356FC"/>
    <w:rsid w:val="00F375F4"/>
    <w:rsid w:val="00F420E1"/>
    <w:rsid w:val="00F44811"/>
    <w:rsid w:val="00F46152"/>
    <w:rsid w:val="00F46A5A"/>
    <w:rsid w:val="00F46E32"/>
    <w:rsid w:val="00F51140"/>
    <w:rsid w:val="00F512B6"/>
    <w:rsid w:val="00F52187"/>
    <w:rsid w:val="00F5443B"/>
    <w:rsid w:val="00F55B91"/>
    <w:rsid w:val="00F63204"/>
    <w:rsid w:val="00F639C8"/>
    <w:rsid w:val="00F642D9"/>
    <w:rsid w:val="00F649E4"/>
    <w:rsid w:val="00F654C6"/>
    <w:rsid w:val="00F65FA8"/>
    <w:rsid w:val="00F7109E"/>
    <w:rsid w:val="00F71395"/>
    <w:rsid w:val="00F727D3"/>
    <w:rsid w:val="00F73E34"/>
    <w:rsid w:val="00F746FB"/>
    <w:rsid w:val="00F77A25"/>
    <w:rsid w:val="00F77D28"/>
    <w:rsid w:val="00F80429"/>
    <w:rsid w:val="00F80B0B"/>
    <w:rsid w:val="00F80E5B"/>
    <w:rsid w:val="00F8229A"/>
    <w:rsid w:val="00F839FA"/>
    <w:rsid w:val="00F85AE8"/>
    <w:rsid w:val="00F8602F"/>
    <w:rsid w:val="00F87257"/>
    <w:rsid w:val="00F91611"/>
    <w:rsid w:val="00F94460"/>
    <w:rsid w:val="00F94488"/>
    <w:rsid w:val="00F94D9C"/>
    <w:rsid w:val="00F95E91"/>
    <w:rsid w:val="00F95F8A"/>
    <w:rsid w:val="00F9789D"/>
    <w:rsid w:val="00FA0E4B"/>
    <w:rsid w:val="00FA17D1"/>
    <w:rsid w:val="00FA29A2"/>
    <w:rsid w:val="00FA31CE"/>
    <w:rsid w:val="00FA34B5"/>
    <w:rsid w:val="00FA40BB"/>
    <w:rsid w:val="00FA4E00"/>
    <w:rsid w:val="00FA58EC"/>
    <w:rsid w:val="00FA6B35"/>
    <w:rsid w:val="00FA7F05"/>
    <w:rsid w:val="00FB1ABB"/>
    <w:rsid w:val="00FB1E76"/>
    <w:rsid w:val="00FB410D"/>
    <w:rsid w:val="00FB4D8E"/>
    <w:rsid w:val="00FB6061"/>
    <w:rsid w:val="00FC05AC"/>
    <w:rsid w:val="00FC06EF"/>
    <w:rsid w:val="00FC082C"/>
    <w:rsid w:val="00FC33C2"/>
    <w:rsid w:val="00FD09FD"/>
    <w:rsid w:val="00FD209E"/>
    <w:rsid w:val="00FD21C8"/>
    <w:rsid w:val="00FD2A9F"/>
    <w:rsid w:val="00FD7CB9"/>
    <w:rsid w:val="00FE03A0"/>
    <w:rsid w:val="00FE07C7"/>
    <w:rsid w:val="00FE1648"/>
    <w:rsid w:val="00FE36FB"/>
    <w:rsid w:val="00FE5474"/>
    <w:rsid w:val="00FE5D1C"/>
    <w:rsid w:val="00FE6DC2"/>
    <w:rsid w:val="00FF0A84"/>
    <w:rsid w:val="00FF15C3"/>
    <w:rsid w:val="00FF34E4"/>
    <w:rsid w:val="00FF7971"/>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14753"/>
  <w15:docId w15:val="{2ED1670D-C97E-47ED-BBA9-45083221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uiPriority w:val="99"/>
    <w:rsid w:val="009248F5"/>
    <w:rPr>
      <w:sz w:val="20"/>
    </w:rPr>
  </w:style>
  <w:style w:type="character" w:styleId="FootnoteReference">
    <w:name w:val="footnote reference"/>
    <w:aliases w:val="o,fr"/>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uiPriority w:val="99"/>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link w:val="FootnoteText"/>
    <w:uiPriority w:val="99"/>
    <w:rsid w:val="006E6162"/>
  </w:style>
  <w:style w:type="character" w:styleId="CommentReference">
    <w:name w:val="annotation reference"/>
    <w:rsid w:val="008435ED"/>
    <w:rPr>
      <w:sz w:val="16"/>
      <w:szCs w:val="16"/>
    </w:rPr>
  </w:style>
  <w:style w:type="paragraph" w:styleId="CommentText">
    <w:name w:val="annotation text"/>
    <w:basedOn w:val="Normal"/>
    <w:link w:val="CommentTextChar"/>
    <w:rsid w:val="008435ED"/>
    <w:rPr>
      <w:sz w:val="20"/>
    </w:rPr>
  </w:style>
  <w:style w:type="character" w:customStyle="1" w:styleId="CommentTextChar">
    <w:name w:val="Comment Text Char"/>
    <w:basedOn w:val="DefaultParagraphFont"/>
    <w:link w:val="CommentText"/>
    <w:rsid w:val="008435ED"/>
  </w:style>
  <w:style w:type="paragraph" w:styleId="CommentSubject">
    <w:name w:val="annotation subject"/>
    <w:basedOn w:val="CommentText"/>
    <w:next w:val="CommentText"/>
    <w:link w:val="CommentSubjectChar"/>
    <w:rsid w:val="008435ED"/>
    <w:rPr>
      <w:b/>
      <w:bCs/>
    </w:rPr>
  </w:style>
  <w:style w:type="character" w:customStyle="1" w:styleId="CommentSubjectChar">
    <w:name w:val="Comment Subject Char"/>
    <w:link w:val="CommentSubject"/>
    <w:rsid w:val="008435ED"/>
    <w:rPr>
      <w:b/>
      <w:bCs/>
    </w:rPr>
  </w:style>
  <w:style w:type="table" w:styleId="TableGrid">
    <w:name w:val="Table Grid"/>
    <w:basedOn w:val="TableNormal"/>
    <w:rsid w:val="00B53D3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986A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758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9D63C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7027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22981"/>
    <w:rPr>
      <w:color w:val="0000FF"/>
      <w:u w:val="single"/>
    </w:rPr>
  </w:style>
  <w:style w:type="paragraph" w:styleId="EndnoteText">
    <w:name w:val="endnote text"/>
    <w:basedOn w:val="Normal"/>
    <w:link w:val="EndnoteTextChar"/>
    <w:rsid w:val="00990FB0"/>
    <w:rPr>
      <w:sz w:val="20"/>
    </w:rPr>
  </w:style>
  <w:style w:type="character" w:customStyle="1" w:styleId="EndnoteTextChar">
    <w:name w:val="Endnote Text Char"/>
    <w:basedOn w:val="DefaultParagraphFont"/>
    <w:link w:val="EndnoteText"/>
    <w:rsid w:val="00990FB0"/>
  </w:style>
  <w:style w:type="character" w:styleId="EndnoteReference">
    <w:name w:val="endnote reference"/>
    <w:rsid w:val="00990FB0"/>
    <w:rPr>
      <w:vertAlign w:val="superscript"/>
    </w:rPr>
  </w:style>
  <w:style w:type="paragraph" w:styleId="Caption">
    <w:name w:val="caption"/>
    <w:basedOn w:val="Normal"/>
    <w:next w:val="Normal"/>
    <w:unhideWhenUsed/>
    <w:qFormat/>
    <w:rsid w:val="00B73F76"/>
    <w:rPr>
      <w:b/>
      <w:bCs/>
      <w:sz w:val="20"/>
    </w:rPr>
  </w:style>
  <w:style w:type="paragraph" w:styleId="ListParagraph">
    <w:name w:val="List Paragraph"/>
    <w:basedOn w:val="Normal"/>
    <w:uiPriority w:val="99"/>
    <w:qFormat/>
    <w:rsid w:val="00B3640A"/>
    <w:pPr>
      <w:overflowPunct/>
      <w:autoSpaceDE/>
      <w:autoSpaceDN/>
      <w:adjustRightInd/>
      <w:ind w:left="720"/>
      <w:textAlignment w:val="auto"/>
    </w:pPr>
    <w:rPr>
      <w:sz w:val="20"/>
    </w:rPr>
  </w:style>
  <w:style w:type="paragraph" w:styleId="Revision">
    <w:name w:val="Revision"/>
    <w:hidden/>
    <w:uiPriority w:val="99"/>
    <w:semiHidden/>
    <w:rsid w:val="00937146"/>
    <w:rPr>
      <w:sz w:val="24"/>
    </w:rPr>
  </w:style>
  <w:style w:type="paragraph" w:styleId="TOCHeading">
    <w:name w:val="TOC Heading"/>
    <w:basedOn w:val="Heading1"/>
    <w:next w:val="Normal"/>
    <w:uiPriority w:val="39"/>
    <w:semiHidden/>
    <w:unhideWhenUsed/>
    <w:qFormat/>
    <w:rsid w:val="00415B77"/>
    <w:pPr>
      <w:keepLines/>
      <w:overflowPunct/>
      <w:autoSpaceDE/>
      <w:autoSpaceDN/>
      <w:adjustRightInd/>
      <w:spacing w:before="480" w:after="0" w:line="276" w:lineRule="auto"/>
      <w:textAlignment w:val="auto"/>
      <w:outlineLvl w:val="9"/>
    </w:pPr>
    <w:rPr>
      <w:rFonts w:ascii="Cambria" w:eastAsia="MS Gothic" w:hAnsi="Cambria" w:cs="Times New Roman"/>
      <w:color w:val="365F91"/>
      <w:kern w:val="0"/>
      <w:sz w:val="28"/>
      <w:szCs w:val="28"/>
      <w:lang w:eastAsia="ja-JP"/>
    </w:rPr>
  </w:style>
  <w:style w:type="paragraph" w:styleId="TOC1">
    <w:name w:val="toc 1"/>
    <w:basedOn w:val="Normal"/>
    <w:next w:val="Normal"/>
    <w:autoRedefine/>
    <w:uiPriority w:val="39"/>
    <w:rsid w:val="00415B77"/>
  </w:style>
  <w:style w:type="paragraph" w:styleId="TOC2">
    <w:name w:val="toc 2"/>
    <w:basedOn w:val="Normal"/>
    <w:next w:val="Normal"/>
    <w:autoRedefine/>
    <w:uiPriority w:val="39"/>
    <w:rsid w:val="00415B77"/>
    <w:pPr>
      <w:ind w:left="240"/>
    </w:pPr>
  </w:style>
  <w:style w:type="paragraph" w:styleId="TOC3">
    <w:name w:val="toc 3"/>
    <w:basedOn w:val="Normal"/>
    <w:next w:val="Normal"/>
    <w:autoRedefine/>
    <w:uiPriority w:val="39"/>
    <w:rsid w:val="00415B77"/>
    <w:pPr>
      <w:ind w:left="480"/>
    </w:pPr>
  </w:style>
  <w:style w:type="character" w:styleId="FollowedHyperlink">
    <w:name w:val="FollowedHyperlink"/>
    <w:rsid w:val="00197E3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4921">
      <w:bodyDiv w:val="1"/>
      <w:marLeft w:val="0"/>
      <w:marRight w:val="0"/>
      <w:marTop w:val="0"/>
      <w:marBottom w:val="0"/>
      <w:divBdr>
        <w:top w:val="none" w:sz="0" w:space="0" w:color="auto"/>
        <w:left w:val="none" w:sz="0" w:space="0" w:color="auto"/>
        <w:bottom w:val="none" w:sz="0" w:space="0" w:color="auto"/>
        <w:right w:val="none" w:sz="0" w:space="0" w:color="auto"/>
      </w:divBdr>
      <w:divsChild>
        <w:div w:id="184104020">
          <w:marLeft w:val="0"/>
          <w:marRight w:val="0"/>
          <w:marTop w:val="0"/>
          <w:marBottom w:val="0"/>
          <w:divBdr>
            <w:top w:val="none" w:sz="0" w:space="0" w:color="auto"/>
            <w:left w:val="none" w:sz="0" w:space="0" w:color="auto"/>
            <w:bottom w:val="none" w:sz="0" w:space="0" w:color="auto"/>
            <w:right w:val="none" w:sz="0" w:space="0" w:color="auto"/>
          </w:divBdr>
        </w:div>
        <w:div w:id="341323694">
          <w:marLeft w:val="0"/>
          <w:marRight w:val="0"/>
          <w:marTop w:val="0"/>
          <w:marBottom w:val="0"/>
          <w:divBdr>
            <w:top w:val="none" w:sz="0" w:space="0" w:color="auto"/>
            <w:left w:val="none" w:sz="0" w:space="0" w:color="auto"/>
            <w:bottom w:val="none" w:sz="0" w:space="0" w:color="auto"/>
            <w:right w:val="none" w:sz="0" w:space="0" w:color="auto"/>
          </w:divBdr>
        </w:div>
        <w:div w:id="856774564">
          <w:marLeft w:val="0"/>
          <w:marRight w:val="0"/>
          <w:marTop w:val="0"/>
          <w:marBottom w:val="0"/>
          <w:divBdr>
            <w:top w:val="none" w:sz="0" w:space="0" w:color="auto"/>
            <w:left w:val="none" w:sz="0" w:space="0" w:color="auto"/>
            <w:bottom w:val="none" w:sz="0" w:space="0" w:color="auto"/>
            <w:right w:val="none" w:sz="0" w:space="0" w:color="auto"/>
          </w:divBdr>
        </w:div>
        <w:div w:id="954287940">
          <w:marLeft w:val="0"/>
          <w:marRight w:val="0"/>
          <w:marTop w:val="0"/>
          <w:marBottom w:val="0"/>
          <w:divBdr>
            <w:top w:val="none" w:sz="0" w:space="0" w:color="auto"/>
            <w:left w:val="none" w:sz="0" w:space="0" w:color="auto"/>
            <w:bottom w:val="none" w:sz="0" w:space="0" w:color="auto"/>
            <w:right w:val="none" w:sz="0" w:space="0" w:color="auto"/>
          </w:divBdr>
        </w:div>
        <w:div w:id="1245918641">
          <w:marLeft w:val="0"/>
          <w:marRight w:val="0"/>
          <w:marTop w:val="0"/>
          <w:marBottom w:val="0"/>
          <w:divBdr>
            <w:top w:val="none" w:sz="0" w:space="0" w:color="auto"/>
            <w:left w:val="none" w:sz="0" w:space="0" w:color="auto"/>
            <w:bottom w:val="none" w:sz="0" w:space="0" w:color="auto"/>
            <w:right w:val="none" w:sz="0" w:space="0" w:color="auto"/>
          </w:divBdr>
        </w:div>
        <w:div w:id="1436710453">
          <w:marLeft w:val="0"/>
          <w:marRight w:val="0"/>
          <w:marTop w:val="0"/>
          <w:marBottom w:val="0"/>
          <w:divBdr>
            <w:top w:val="none" w:sz="0" w:space="0" w:color="auto"/>
            <w:left w:val="none" w:sz="0" w:space="0" w:color="auto"/>
            <w:bottom w:val="none" w:sz="0" w:space="0" w:color="auto"/>
            <w:right w:val="none" w:sz="0" w:space="0" w:color="auto"/>
          </w:divBdr>
        </w:div>
      </w:divsChild>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7865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filing_resources/issues_laws_regulations/act_129_information/energy_efficiency_and_conservation_ee_c_program.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brown@pa.gov" TargetMode="External"/><Relationship Id="rId4" Type="http://schemas.openxmlformats.org/officeDocument/2006/relationships/settings" Target="settings.xml"/><Relationship Id="rId9" Type="http://schemas.openxmlformats.org/officeDocument/2006/relationships/hyperlink" Target="mailto:josherrick@p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filing_resources/issues_laws_regulations/act_129_information/electric_distribution_company_act_129_reporting_requir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0345B-7CC4-4CA0-B0D0-1B3CC9F7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11097</Words>
  <Characters>63256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74205</CharactersWithSpaces>
  <SharedDoc>false</SharedDoc>
  <HLinks>
    <vt:vector size="24" baseType="variant">
      <vt:variant>
        <vt:i4>5570666</vt:i4>
      </vt:variant>
      <vt:variant>
        <vt:i4>6</vt:i4>
      </vt:variant>
      <vt:variant>
        <vt:i4>0</vt:i4>
      </vt:variant>
      <vt:variant>
        <vt:i4>5</vt:i4>
      </vt:variant>
      <vt:variant>
        <vt:lpwstr>mailto:kribrown@pa.gov</vt:lpwstr>
      </vt:variant>
      <vt:variant>
        <vt:lpwstr/>
      </vt:variant>
      <vt:variant>
        <vt:i4>4128780</vt:i4>
      </vt:variant>
      <vt:variant>
        <vt:i4>3</vt:i4>
      </vt:variant>
      <vt:variant>
        <vt:i4>0</vt:i4>
      </vt:variant>
      <vt:variant>
        <vt:i4>5</vt:i4>
      </vt:variant>
      <vt:variant>
        <vt:lpwstr>mailto:josherrick@pa.gov</vt:lpwstr>
      </vt:variant>
      <vt:variant>
        <vt:lpwstr/>
      </vt:variant>
      <vt:variant>
        <vt:i4>65594</vt:i4>
      </vt:variant>
      <vt:variant>
        <vt:i4>0</vt:i4>
      </vt:variant>
      <vt:variant>
        <vt:i4>0</vt:i4>
      </vt:variant>
      <vt:variant>
        <vt:i4>5</vt:i4>
      </vt:variant>
      <vt:variant>
        <vt:lpwstr>http://www.puc.pa.gov/filing_resources/issues_laws_regulations/act_129_information/energy_efficiency_and_conservation_ee_c_program.aspx</vt:lpwstr>
      </vt:variant>
      <vt:variant>
        <vt:lpwstr/>
      </vt:variant>
      <vt:variant>
        <vt:i4>655485</vt:i4>
      </vt:variant>
      <vt:variant>
        <vt:i4>0</vt:i4>
      </vt:variant>
      <vt:variant>
        <vt:i4>0</vt:i4>
      </vt:variant>
      <vt:variant>
        <vt:i4>5</vt:i4>
      </vt:variant>
      <vt:variant>
        <vt:lpwstr>http://www.puc.pa.gov/filing_resources/issues_laws_regulations/act_129_information/electric_distribution_company_act_129_reporting_requirements.aspx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Farner, Joyce</cp:lastModifiedBy>
  <cp:revision>11</cp:revision>
  <cp:lastPrinted>2017-08-03T11:33:00Z</cp:lastPrinted>
  <dcterms:created xsi:type="dcterms:W3CDTF">2017-07-25T15:00:00Z</dcterms:created>
  <dcterms:modified xsi:type="dcterms:W3CDTF">2017-08-03T11:34:00Z</dcterms:modified>
</cp:coreProperties>
</file>