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8" w:type="dxa"/>
        <w:tblCellMar>
          <w:left w:w="0" w:type="dxa"/>
          <w:right w:w="0" w:type="dxa"/>
        </w:tblCellMar>
        <w:tblLook w:val="0000" w:firstRow="0" w:lastRow="0" w:firstColumn="0" w:lastColumn="0" w:noHBand="0" w:noVBand="0"/>
      </w:tblPr>
      <w:tblGrid>
        <w:gridCol w:w="2256"/>
        <w:gridCol w:w="4572"/>
        <w:gridCol w:w="2760"/>
      </w:tblGrid>
      <w:tr w:rsidR="00B01749" w:rsidRPr="002D0091">
        <w:tc>
          <w:tcPr>
            <w:tcW w:w="2256" w:type="dxa"/>
            <w:tcMar>
              <w:top w:w="0" w:type="dxa"/>
              <w:left w:w="108" w:type="dxa"/>
              <w:bottom w:w="0" w:type="dxa"/>
              <w:right w:w="108" w:type="dxa"/>
            </w:tcMar>
          </w:tcPr>
          <w:p w:rsidR="00B01749" w:rsidRPr="002D0091" w:rsidRDefault="00B01749" w:rsidP="002D0091">
            <w:pPr>
              <w:contextualSpacing/>
              <w:rPr>
                <w:color w:val="000000"/>
              </w:rPr>
            </w:pPr>
          </w:p>
        </w:tc>
        <w:tc>
          <w:tcPr>
            <w:tcW w:w="4572" w:type="dxa"/>
            <w:tcMar>
              <w:top w:w="0" w:type="dxa"/>
              <w:left w:w="108" w:type="dxa"/>
              <w:bottom w:w="0" w:type="dxa"/>
              <w:right w:w="108" w:type="dxa"/>
            </w:tcMar>
          </w:tcPr>
          <w:p w:rsidR="008D3700" w:rsidRPr="002D0091" w:rsidRDefault="00B01749" w:rsidP="002D0091">
            <w:pPr>
              <w:ind w:right="-108"/>
              <w:contextualSpacing/>
              <w:jc w:val="center"/>
              <w:rPr>
                <w:color w:val="000000"/>
              </w:rPr>
            </w:pPr>
            <w:r w:rsidRPr="002D0091">
              <w:rPr>
                <w:b/>
                <w:bCs/>
                <w:color w:val="000000"/>
              </w:rPr>
              <w:t>PENNSYLVANIA</w:t>
            </w:r>
          </w:p>
          <w:p w:rsidR="00B01749" w:rsidRPr="002D0091" w:rsidRDefault="007771A2" w:rsidP="002D0091">
            <w:pPr>
              <w:ind w:right="-108"/>
              <w:contextualSpacing/>
              <w:jc w:val="center"/>
              <w:rPr>
                <w:color w:val="000000"/>
              </w:rPr>
            </w:pPr>
            <w:r w:rsidRPr="002D0091">
              <w:rPr>
                <w:b/>
                <w:bCs/>
                <w:color w:val="000000"/>
              </w:rPr>
              <w:t>PUBLIC UTILIT</w:t>
            </w:r>
            <w:r w:rsidR="00252B8E" w:rsidRPr="002D0091">
              <w:rPr>
                <w:b/>
                <w:bCs/>
                <w:color w:val="000000"/>
              </w:rPr>
              <w:t xml:space="preserve">Y </w:t>
            </w:r>
            <w:r w:rsidR="00B01749" w:rsidRPr="002D0091">
              <w:rPr>
                <w:b/>
                <w:bCs/>
                <w:color w:val="000000"/>
              </w:rPr>
              <w:t>COMMISSION</w:t>
            </w:r>
          </w:p>
          <w:p w:rsidR="00B01749" w:rsidRPr="002D0091" w:rsidRDefault="00944529" w:rsidP="002D0091">
            <w:pPr>
              <w:contextualSpacing/>
              <w:jc w:val="center"/>
              <w:rPr>
                <w:color w:val="000000"/>
              </w:rPr>
            </w:pPr>
            <w:r w:rsidRPr="002D0091">
              <w:rPr>
                <w:b/>
                <w:bCs/>
                <w:color w:val="000000"/>
              </w:rPr>
              <w:t xml:space="preserve">Harrisburg, PA </w:t>
            </w:r>
            <w:r w:rsidR="00B01749" w:rsidRPr="002D0091">
              <w:rPr>
                <w:b/>
                <w:bCs/>
                <w:color w:val="000000"/>
              </w:rPr>
              <w:t xml:space="preserve"> 17105-3265</w:t>
            </w:r>
          </w:p>
        </w:tc>
        <w:tc>
          <w:tcPr>
            <w:tcW w:w="2760" w:type="dxa"/>
            <w:tcMar>
              <w:top w:w="0" w:type="dxa"/>
              <w:left w:w="108" w:type="dxa"/>
              <w:bottom w:w="0" w:type="dxa"/>
              <w:right w:w="108" w:type="dxa"/>
            </w:tcMar>
          </w:tcPr>
          <w:p w:rsidR="00B01749" w:rsidRPr="002D0091" w:rsidRDefault="00B01749" w:rsidP="002D0091">
            <w:pPr>
              <w:contextualSpacing/>
              <w:rPr>
                <w:color w:val="000000"/>
              </w:rPr>
            </w:pPr>
            <w:r w:rsidRPr="002D0091">
              <w:rPr>
                <w:color w:val="000000"/>
              </w:rPr>
              <w:t> </w:t>
            </w:r>
          </w:p>
        </w:tc>
      </w:tr>
    </w:tbl>
    <w:p w:rsidR="00B01749" w:rsidRPr="002D0091" w:rsidRDefault="00B01749" w:rsidP="002D0091">
      <w:pPr>
        <w:contextualSpacing/>
        <w:rPr>
          <w:color w:val="000000"/>
        </w:rPr>
      </w:pPr>
      <w:r w:rsidRPr="002D0091">
        <w:rPr>
          <w:color w:val="000000"/>
        </w:rPr>
        <w:t> </w:t>
      </w:r>
    </w:p>
    <w:tbl>
      <w:tblPr>
        <w:tblW w:w="0" w:type="auto"/>
        <w:tblCellMar>
          <w:left w:w="0" w:type="dxa"/>
          <w:right w:w="0" w:type="dxa"/>
        </w:tblCellMar>
        <w:tblLook w:val="0000" w:firstRow="0" w:lastRow="0" w:firstColumn="0" w:lastColumn="0" w:noHBand="0" w:noVBand="0"/>
      </w:tblPr>
      <w:tblGrid>
        <w:gridCol w:w="4428"/>
        <w:gridCol w:w="5130"/>
      </w:tblGrid>
      <w:tr w:rsidR="00B01749" w:rsidRPr="002D0091">
        <w:tc>
          <w:tcPr>
            <w:tcW w:w="4428" w:type="dxa"/>
            <w:tcMar>
              <w:top w:w="0" w:type="dxa"/>
              <w:left w:w="108" w:type="dxa"/>
              <w:bottom w:w="0" w:type="dxa"/>
              <w:right w:w="108" w:type="dxa"/>
            </w:tcMar>
          </w:tcPr>
          <w:p w:rsidR="00B01749" w:rsidRPr="002D0091" w:rsidRDefault="00B01749" w:rsidP="002D0091">
            <w:pPr>
              <w:contextualSpacing/>
              <w:rPr>
                <w:color w:val="000000"/>
              </w:rPr>
            </w:pPr>
            <w:r w:rsidRPr="002D0091">
              <w:rPr>
                <w:color w:val="000000"/>
              </w:rPr>
              <w:t> </w:t>
            </w:r>
          </w:p>
        </w:tc>
        <w:tc>
          <w:tcPr>
            <w:tcW w:w="5130" w:type="dxa"/>
            <w:tcMar>
              <w:top w:w="0" w:type="dxa"/>
              <w:left w:w="108" w:type="dxa"/>
              <w:bottom w:w="0" w:type="dxa"/>
              <w:right w:w="108" w:type="dxa"/>
            </w:tcMar>
          </w:tcPr>
          <w:p w:rsidR="00734F19" w:rsidRDefault="00734F19" w:rsidP="002D0091">
            <w:pPr>
              <w:ind w:firstLine="612"/>
              <w:contextualSpacing/>
              <w:jc w:val="right"/>
              <w:rPr>
                <w:color w:val="000000"/>
              </w:rPr>
            </w:pPr>
          </w:p>
          <w:p w:rsidR="00B01749" w:rsidRDefault="00B01749" w:rsidP="002D0091">
            <w:pPr>
              <w:ind w:firstLine="612"/>
              <w:contextualSpacing/>
              <w:jc w:val="right"/>
              <w:rPr>
                <w:color w:val="000000"/>
              </w:rPr>
            </w:pPr>
            <w:r w:rsidRPr="002D0091">
              <w:rPr>
                <w:color w:val="000000"/>
              </w:rPr>
              <w:t xml:space="preserve">Public Meeting held May </w:t>
            </w:r>
            <w:r w:rsidR="00ED540B" w:rsidRPr="002D0091">
              <w:rPr>
                <w:color w:val="000000"/>
              </w:rPr>
              <w:t>18</w:t>
            </w:r>
            <w:r w:rsidR="00A43B3D" w:rsidRPr="002D0091">
              <w:rPr>
                <w:color w:val="000000"/>
              </w:rPr>
              <w:t>, 20</w:t>
            </w:r>
            <w:r w:rsidR="00F345E1" w:rsidRPr="002D0091">
              <w:rPr>
                <w:color w:val="000000"/>
              </w:rPr>
              <w:t>1</w:t>
            </w:r>
            <w:r w:rsidR="005E7FB3" w:rsidRPr="002D0091">
              <w:rPr>
                <w:color w:val="000000"/>
              </w:rPr>
              <w:t>7</w:t>
            </w:r>
          </w:p>
          <w:p w:rsidR="00045822" w:rsidRDefault="00045822" w:rsidP="002D0091">
            <w:pPr>
              <w:ind w:firstLine="612"/>
              <w:contextualSpacing/>
              <w:jc w:val="right"/>
              <w:rPr>
                <w:color w:val="000000"/>
              </w:rPr>
            </w:pPr>
          </w:p>
          <w:p w:rsidR="00045822" w:rsidRPr="002D0091" w:rsidRDefault="00045822" w:rsidP="002D0091">
            <w:pPr>
              <w:ind w:firstLine="612"/>
              <w:contextualSpacing/>
              <w:jc w:val="right"/>
              <w:rPr>
                <w:color w:val="000000"/>
              </w:rPr>
            </w:pPr>
          </w:p>
        </w:tc>
      </w:tr>
      <w:tr w:rsidR="00B01749" w:rsidRPr="002D0091">
        <w:tc>
          <w:tcPr>
            <w:tcW w:w="4428" w:type="dxa"/>
            <w:tcMar>
              <w:top w:w="0" w:type="dxa"/>
              <w:left w:w="108" w:type="dxa"/>
              <w:bottom w:w="0" w:type="dxa"/>
              <w:right w:w="108" w:type="dxa"/>
            </w:tcMar>
          </w:tcPr>
          <w:p w:rsidR="00734F19" w:rsidRDefault="00734F19" w:rsidP="002D0091">
            <w:pPr>
              <w:contextualSpacing/>
              <w:rPr>
                <w:color w:val="000000"/>
              </w:rPr>
            </w:pPr>
          </w:p>
          <w:p w:rsidR="00B01749" w:rsidRPr="002D0091" w:rsidRDefault="00B01749" w:rsidP="002D0091">
            <w:pPr>
              <w:contextualSpacing/>
              <w:rPr>
                <w:color w:val="000000"/>
              </w:rPr>
            </w:pPr>
            <w:r w:rsidRPr="002D0091">
              <w:rPr>
                <w:color w:val="000000"/>
              </w:rPr>
              <w:t>Commissioners Present:</w:t>
            </w:r>
          </w:p>
        </w:tc>
        <w:tc>
          <w:tcPr>
            <w:tcW w:w="5130" w:type="dxa"/>
            <w:tcMar>
              <w:top w:w="0" w:type="dxa"/>
              <w:left w:w="108" w:type="dxa"/>
              <w:bottom w:w="0" w:type="dxa"/>
              <w:right w:w="108" w:type="dxa"/>
            </w:tcMar>
          </w:tcPr>
          <w:p w:rsidR="00B01749" w:rsidRPr="002D0091" w:rsidRDefault="00B01749" w:rsidP="002D0091">
            <w:pPr>
              <w:contextualSpacing/>
              <w:rPr>
                <w:color w:val="000000"/>
              </w:rPr>
            </w:pPr>
            <w:r w:rsidRPr="002D0091">
              <w:rPr>
                <w:color w:val="000000"/>
              </w:rPr>
              <w:t> </w:t>
            </w:r>
          </w:p>
        </w:tc>
      </w:tr>
    </w:tbl>
    <w:p w:rsidR="00B01749" w:rsidRPr="002D0091" w:rsidRDefault="00B01749" w:rsidP="002D0091">
      <w:pPr>
        <w:contextualSpacing/>
        <w:rPr>
          <w:color w:val="000000"/>
        </w:rPr>
      </w:pPr>
      <w:r w:rsidRPr="002D0091">
        <w:rPr>
          <w:color w:val="000000"/>
        </w:rPr>
        <w:t> </w:t>
      </w:r>
    </w:p>
    <w:tbl>
      <w:tblPr>
        <w:tblW w:w="9843" w:type="dxa"/>
        <w:tblCellMar>
          <w:left w:w="0" w:type="dxa"/>
          <w:right w:w="0" w:type="dxa"/>
        </w:tblCellMar>
        <w:tblLook w:val="0000" w:firstRow="0" w:lastRow="0" w:firstColumn="0" w:lastColumn="0" w:noHBand="0" w:noVBand="0"/>
      </w:tblPr>
      <w:tblGrid>
        <w:gridCol w:w="9843"/>
      </w:tblGrid>
      <w:tr w:rsidR="00017D14" w:rsidRPr="002D0091" w:rsidTr="00F345E1">
        <w:trPr>
          <w:trHeight w:val="338"/>
        </w:trPr>
        <w:tc>
          <w:tcPr>
            <w:tcW w:w="9843" w:type="dxa"/>
            <w:tcMar>
              <w:top w:w="0" w:type="dxa"/>
              <w:left w:w="108" w:type="dxa"/>
              <w:bottom w:w="0" w:type="dxa"/>
              <w:right w:w="108" w:type="dxa"/>
            </w:tcMar>
          </w:tcPr>
          <w:tbl>
            <w:tblPr>
              <w:tblW w:w="9558" w:type="dxa"/>
              <w:tblLook w:val="0000" w:firstRow="0" w:lastRow="0" w:firstColumn="0" w:lastColumn="0" w:noHBand="0" w:noVBand="0"/>
            </w:tblPr>
            <w:tblGrid>
              <w:gridCol w:w="9558"/>
            </w:tblGrid>
            <w:tr w:rsidR="00017D14" w:rsidRPr="002D0091" w:rsidTr="008531F2">
              <w:tc>
                <w:tcPr>
                  <w:tcW w:w="9558" w:type="dxa"/>
                </w:tcPr>
                <w:p w:rsidR="00017D14" w:rsidRPr="002D0091" w:rsidRDefault="00B121DC" w:rsidP="002D0091">
                  <w:pPr>
                    <w:autoSpaceDE w:val="0"/>
                    <w:autoSpaceDN w:val="0"/>
                    <w:adjustRightInd w:val="0"/>
                    <w:ind w:firstLine="446"/>
                    <w:contextualSpacing/>
                    <w:rPr>
                      <w:rFonts w:cs="Arial"/>
                    </w:rPr>
                  </w:pPr>
                  <w:r w:rsidRPr="002D0091">
                    <w:rPr>
                      <w:rFonts w:cs="Arial"/>
                    </w:rPr>
                    <w:t>Gladys M. Brown</w:t>
                  </w:r>
                  <w:r w:rsidRPr="002D0091">
                    <w:t>, Chairman</w:t>
                  </w:r>
                </w:p>
              </w:tc>
            </w:tr>
            <w:tr w:rsidR="00017D14" w:rsidRPr="002D0091" w:rsidTr="008531F2">
              <w:trPr>
                <w:trHeight w:val="300"/>
              </w:trPr>
              <w:tc>
                <w:tcPr>
                  <w:tcW w:w="9558" w:type="dxa"/>
                </w:tcPr>
                <w:p w:rsidR="005E7FB3" w:rsidRPr="002D0091" w:rsidRDefault="005E7FB3" w:rsidP="002D0091">
                  <w:pPr>
                    <w:autoSpaceDE w:val="0"/>
                    <w:autoSpaceDN w:val="0"/>
                    <w:adjustRightInd w:val="0"/>
                    <w:ind w:firstLine="446"/>
                    <w:contextualSpacing/>
                    <w:rPr>
                      <w:rFonts w:cs="Arial"/>
                    </w:rPr>
                  </w:pPr>
                  <w:r w:rsidRPr="002D0091">
                    <w:t xml:space="preserve">Andrew G. Place, </w:t>
                  </w:r>
                  <w:r w:rsidRPr="002D0091">
                    <w:rPr>
                      <w:rFonts w:cs="Arial"/>
                    </w:rPr>
                    <w:t>Vice Chairman</w:t>
                  </w:r>
                </w:p>
                <w:p w:rsidR="006E7C64" w:rsidRPr="002D0091" w:rsidRDefault="005E7FB3" w:rsidP="002D0091">
                  <w:pPr>
                    <w:autoSpaceDE w:val="0"/>
                    <w:autoSpaceDN w:val="0"/>
                    <w:ind w:firstLine="446"/>
                    <w:contextualSpacing/>
                  </w:pPr>
                  <w:r w:rsidRPr="002D0091">
                    <w:t>John F. Coleman, Jr</w:t>
                  </w:r>
                  <w:r w:rsidR="002F24C4" w:rsidRPr="002D0091">
                    <w:t>.</w:t>
                  </w:r>
                  <w:r w:rsidR="00997483">
                    <w:t>, Joint Statement, dissenting</w:t>
                  </w:r>
                </w:p>
                <w:p w:rsidR="006E7C64" w:rsidRPr="002D0091" w:rsidRDefault="002F24C4" w:rsidP="002D0091">
                  <w:pPr>
                    <w:autoSpaceDE w:val="0"/>
                    <w:autoSpaceDN w:val="0"/>
                    <w:ind w:firstLine="446"/>
                    <w:contextualSpacing/>
                  </w:pPr>
                  <w:r w:rsidRPr="002D0091">
                    <w:t>Robert F. Powelson</w:t>
                  </w:r>
                  <w:r w:rsidR="00997483">
                    <w:t>, Joint Statement, dissenting</w:t>
                  </w:r>
                </w:p>
                <w:p w:rsidR="00017D14" w:rsidRPr="002D0091" w:rsidRDefault="005E7FB3" w:rsidP="002D0091">
                  <w:pPr>
                    <w:autoSpaceDE w:val="0"/>
                    <w:autoSpaceDN w:val="0"/>
                    <w:adjustRightInd w:val="0"/>
                    <w:ind w:firstLine="446"/>
                    <w:contextualSpacing/>
                    <w:rPr>
                      <w:rFonts w:cs="Arial"/>
                    </w:rPr>
                  </w:pPr>
                  <w:r w:rsidRPr="002D0091">
                    <w:t>David W. Sweet</w:t>
                  </w:r>
                </w:p>
              </w:tc>
            </w:tr>
          </w:tbl>
          <w:p w:rsidR="00017D14" w:rsidRPr="002D0091" w:rsidRDefault="00017D14" w:rsidP="002D0091">
            <w:pPr>
              <w:contextualSpacing/>
            </w:pPr>
          </w:p>
        </w:tc>
      </w:tr>
      <w:tr w:rsidR="00017D14" w:rsidRPr="002D0091" w:rsidTr="00F345E1">
        <w:trPr>
          <w:trHeight w:val="338"/>
        </w:trPr>
        <w:tc>
          <w:tcPr>
            <w:tcW w:w="9843" w:type="dxa"/>
            <w:tcMar>
              <w:top w:w="0" w:type="dxa"/>
              <w:left w:w="108" w:type="dxa"/>
              <w:bottom w:w="0" w:type="dxa"/>
              <w:right w:w="108" w:type="dxa"/>
            </w:tcMar>
          </w:tcPr>
          <w:p w:rsidR="00017D14" w:rsidRPr="002D0091" w:rsidRDefault="00017D14" w:rsidP="002D0091">
            <w:pPr>
              <w:contextualSpacing/>
            </w:pPr>
          </w:p>
        </w:tc>
      </w:tr>
    </w:tbl>
    <w:p w:rsidR="00B01749" w:rsidRDefault="00B01749" w:rsidP="002D0091">
      <w:pPr>
        <w:contextualSpacing/>
        <w:rPr>
          <w:color w:val="000000"/>
        </w:rPr>
      </w:pPr>
      <w:r w:rsidRPr="002D0091">
        <w:rPr>
          <w:color w:val="000000"/>
        </w:rPr>
        <w:t> </w:t>
      </w:r>
    </w:p>
    <w:p w:rsidR="00045822" w:rsidRPr="002D0091" w:rsidRDefault="00045822" w:rsidP="002D0091">
      <w:pPr>
        <w:contextualSpacing/>
        <w:rPr>
          <w:color w:val="000000"/>
        </w:rPr>
      </w:pPr>
    </w:p>
    <w:tbl>
      <w:tblPr>
        <w:tblW w:w="9603" w:type="dxa"/>
        <w:tblCellMar>
          <w:left w:w="0" w:type="dxa"/>
          <w:right w:w="0" w:type="dxa"/>
        </w:tblCellMar>
        <w:tblLook w:val="0000" w:firstRow="0" w:lastRow="0" w:firstColumn="0" w:lastColumn="0" w:noHBand="0" w:noVBand="0"/>
      </w:tblPr>
      <w:tblGrid>
        <w:gridCol w:w="5986"/>
        <w:gridCol w:w="3617"/>
      </w:tblGrid>
      <w:tr w:rsidR="00B01749" w:rsidRPr="002D0091" w:rsidTr="00F86619">
        <w:trPr>
          <w:trHeight w:val="661"/>
        </w:trPr>
        <w:tc>
          <w:tcPr>
            <w:tcW w:w="5986" w:type="dxa"/>
            <w:tcMar>
              <w:top w:w="0" w:type="dxa"/>
              <w:left w:w="108" w:type="dxa"/>
              <w:bottom w:w="0" w:type="dxa"/>
              <w:right w:w="108" w:type="dxa"/>
            </w:tcMar>
          </w:tcPr>
          <w:p w:rsidR="00B01749" w:rsidRPr="002D0091" w:rsidRDefault="00B01749" w:rsidP="002D0091">
            <w:pPr>
              <w:contextualSpacing/>
              <w:rPr>
                <w:color w:val="000000"/>
              </w:rPr>
            </w:pPr>
            <w:r w:rsidRPr="002D0091">
              <w:rPr>
                <w:color w:val="000000"/>
              </w:rPr>
              <w:t>Recalculation of the Pennsylvania</w:t>
            </w:r>
          </w:p>
          <w:p w:rsidR="00B01749" w:rsidRPr="002D0091" w:rsidRDefault="00B01749" w:rsidP="002D0091">
            <w:pPr>
              <w:contextualSpacing/>
              <w:rPr>
                <w:color w:val="000000"/>
              </w:rPr>
            </w:pPr>
            <w:r w:rsidRPr="002D0091">
              <w:rPr>
                <w:color w:val="000000"/>
              </w:rPr>
              <w:t>Telecommunications Relay Service Surcharge</w:t>
            </w:r>
          </w:p>
        </w:tc>
        <w:tc>
          <w:tcPr>
            <w:tcW w:w="3617" w:type="dxa"/>
            <w:tcMar>
              <w:top w:w="0" w:type="dxa"/>
              <w:left w:w="108" w:type="dxa"/>
              <w:bottom w:w="0" w:type="dxa"/>
              <w:right w:w="108" w:type="dxa"/>
            </w:tcMar>
          </w:tcPr>
          <w:p w:rsidR="00734F19" w:rsidRDefault="00B01749" w:rsidP="002D0091">
            <w:pPr>
              <w:ind w:firstLine="494"/>
              <w:contextualSpacing/>
              <w:jc w:val="right"/>
              <w:rPr>
                <w:color w:val="000000"/>
              </w:rPr>
            </w:pPr>
            <w:r w:rsidRPr="002D0091">
              <w:rPr>
                <w:color w:val="000000"/>
              </w:rPr>
              <w:t>M-</w:t>
            </w:r>
            <w:r w:rsidR="00AC2694" w:rsidRPr="002D0091">
              <w:rPr>
                <w:color w:val="000000"/>
              </w:rPr>
              <w:t>20</w:t>
            </w:r>
            <w:r w:rsidR="00F345E1" w:rsidRPr="002D0091">
              <w:rPr>
                <w:color w:val="000000"/>
              </w:rPr>
              <w:t>1</w:t>
            </w:r>
            <w:r w:rsidR="005E7FB3" w:rsidRPr="002D0091">
              <w:rPr>
                <w:color w:val="000000"/>
              </w:rPr>
              <w:t>7</w:t>
            </w:r>
            <w:r w:rsidR="00AC2694" w:rsidRPr="002D0091">
              <w:rPr>
                <w:color w:val="000000"/>
              </w:rPr>
              <w:t>-2</w:t>
            </w:r>
            <w:r w:rsidR="00C76597" w:rsidRPr="002D0091">
              <w:rPr>
                <w:color w:val="000000"/>
              </w:rPr>
              <w:t>5</w:t>
            </w:r>
            <w:r w:rsidR="005E7FB3" w:rsidRPr="002D0091">
              <w:rPr>
                <w:color w:val="000000"/>
              </w:rPr>
              <w:t>82552</w:t>
            </w:r>
          </w:p>
          <w:p w:rsidR="00F345E1" w:rsidRPr="002D0091" w:rsidRDefault="00734F19" w:rsidP="00734F19">
            <w:pPr>
              <w:ind w:firstLine="494"/>
              <w:contextualSpacing/>
              <w:rPr>
                <w:color w:val="000000"/>
              </w:rPr>
            </w:pPr>
            <w:r>
              <w:rPr>
                <w:color w:val="000000"/>
              </w:rPr>
              <w:tab/>
            </w:r>
            <w:r>
              <w:rPr>
                <w:color w:val="000000"/>
              </w:rPr>
              <w:tab/>
              <w:t xml:space="preserve">  </w:t>
            </w:r>
            <w:r w:rsidR="00F345E1" w:rsidRPr="002D0091">
              <w:rPr>
                <w:color w:val="000000"/>
              </w:rPr>
              <w:t>M-00900239</w:t>
            </w:r>
          </w:p>
        </w:tc>
      </w:tr>
    </w:tbl>
    <w:p w:rsidR="00B01749" w:rsidRDefault="00B01749" w:rsidP="002D0091">
      <w:pPr>
        <w:spacing w:line="360" w:lineRule="auto"/>
        <w:contextualSpacing/>
        <w:jc w:val="center"/>
        <w:rPr>
          <w:b/>
          <w:bCs/>
          <w:color w:val="000000"/>
        </w:rPr>
      </w:pPr>
    </w:p>
    <w:p w:rsidR="00027CA3" w:rsidRDefault="00027CA3" w:rsidP="002D0091">
      <w:pPr>
        <w:spacing w:line="360" w:lineRule="auto"/>
        <w:contextualSpacing/>
        <w:jc w:val="center"/>
        <w:rPr>
          <w:b/>
          <w:bCs/>
          <w:color w:val="000000"/>
        </w:rPr>
      </w:pPr>
    </w:p>
    <w:p w:rsidR="00B01749" w:rsidRDefault="005A1FD5" w:rsidP="002D0091">
      <w:pPr>
        <w:spacing w:after="240" w:line="360" w:lineRule="auto"/>
        <w:contextualSpacing/>
        <w:jc w:val="center"/>
        <w:rPr>
          <w:b/>
          <w:bCs/>
          <w:color w:val="000000"/>
        </w:rPr>
      </w:pPr>
      <w:r>
        <w:rPr>
          <w:b/>
          <w:bCs/>
          <w:color w:val="000000"/>
        </w:rPr>
        <w:t xml:space="preserve">OPINION AND </w:t>
      </w:r>
      <w:r w:rsidR="00B01749" w:rsidRPr="002D0091">
        <w:rPr>
          <w:b/>
          <w:bCs/>
          <w:color w:val="000000"/>
        </w:rPr>
        <w:t>ORDER</w:t>
      </w:r>
    </w:p>
    <w:p w:rsidR="005A1FD5" w:rsidRPr="002D0091" w:rsidRDefault="005A1FD5" w:rsidP="002D0091">
      <w:pPr>
        <w:spacing w:after="240" w:line="360" w:lineRule="auto"/>
        <w:contextualSpacing/>
        <w:jc w:val="center"/>
        <w:rPr>
          <w:b/>
          <w:bCs/>
          <w:color w:val="000000"/>
        </w:rPr>
      </w:pPr>
    </w:p>
    <w:p w:rsidR="00B01749" w:rsidRDefault="00B01749" w:rsidP="002D0091">
      <w:pPr>
        <w:spacing w:after="240" w:line="360" w:lineRule="auto"/>
        <w:contextualSpacing/>
        <w:rPr>
          <w:b/>
          <w:bCs/>
          <w:color w:val="000000"/>
        </w:rPr>
      </w:pPr>
      <w:r w:rsidRPr="002D0091">
        <w:rPr>
          <w:b/>
          <w:bCs/>
          <w:color w:val="000000"/>
        </w:rPr>
        <w:t>BY THE COMMISSION:</w:t>
      </w:r>
    </w:p>
    <w:p w:rsidR="005A1FD5" w:rsidRPr="002D0091" w:rsidRDefault="005A1FD5" w:rsidP="002D0091">
      <w:pPr>
        <w:spacing w:after="240" w:line="360" w:lineRule="auto"/>
        <w:contextualSpacing/>
        <w:rPr>
          <w:color w:val="000000"/>
        </w:rPr>
      </w:pPr>
    </w:p>
    <w:p w:rsidR="00027CA3" w:rsidRPr="00027CA3" w:rsidRDefault="00027CA3" w:rsidP="00027CA3">
      <w:pPr>
        <w:spacing w:line="360" w:lineRule="auto"/>
        <w:ind w:firstLine="1440"/>
        <w:rPr>
          <w:rFonts w:eastAsia="Calibri"/>
        </w:rPr>
      </w:pPr>
      <w:r w:rsidRPr="00027CA3">
        <w:t>Before the Pennsylvania Public Utility Commission (Commission) for consideration and disposition is the annual recalculation of the Pennsylvania Telecommunications Relay Service (TRS or Relay)</w:t>
      </w:r>
      <w:r w:rsidRPr="00027CA3">
        <w:rPr>
          <w:rFonts w:eastAsia="Calibri"/>
          <w:color w:val="000000"/>
          <w:vertAlign w:val="superscript"/>
        </w:rPr>
        <w:footnoteReference w:id="1"/>
      </w:r>
      <w:r w:rsidRPr="00027CA3">
        <w:rPr>
          <w:sz w:val="24"/>
          <w:szCs w:val="24"/>
        </w:rPr>
        <w:t xml:space="preserve"> </w:t>
      </w:r>
      <w:r w:rsidRPr="00027CA3">
        <w:t>and surcharge funding mechanism (TRS surcharge) as it will apply to residential and business wireline access lines for July</w:t>
      </w:r>
      <w:r w:rsidR="00045822">
        <w:t> </w:t>
      </w:r>
      <w:r w:rsidRPr="00027CA3">
        <w:t>1, 2017 through June 30, 2018.  This recalculation is made in accordance with our May</w:t>
      </w:r>
      <w:r w:rsidR="00045822">
        <w:t> </w:t>
      </w:r>
      <w:r w:rsidRPr="00027CA3">
        <w:t xml:space="preserve">29, 1990 Order at Docket No. M-00900239 </w:t>
      </w:r>
      <w:r w:rsidR="00B2672B">
        <w:t>(</w:t>
      </w:r>
      <w:r w:rsidR="00B2672B">
        <w:rPr>
          <w:i/>
        </w:rPr>
        <w:t>May 1990 Order</w:t>
      </w:r>
      <w:r w:rsidR="00B2672B">
        <w:t>)</w:t>
      </w:r>
      <w:r w:rsidR="00B2672B">
        <w:rPr>
          <w:i/>
        </w:rPr>
        <w:t xml:space="preserve"> </w:t>
      </w:r>
      <w:r w:rsidRPr="00027CA3">
        <w:t xml:space="preserve">and subsequent </w:t>
      </w:r>
      <w:r w:rsidRPr="00027CA3">
        <w:lastRenderedPageBreak/>
        <w:t>Commission orders and legislation.</w:t>
      </w:r>
      <w:r w:rsidRPr="00027CA3">
        <w:rPr>
          <w:rFonts w:eastAsia="Calibri"/>
          <w:color w:val="000000"/>
          <w:vertAlign w:val="superscript"/>
        </w:rPr>
        <w:footnoteReference w:id="2"/>
      </w:r>
      <w:r w:rsidRPr="00027CA3">
        <w:rPr>
          <w:sz w:val="24"/>
          <w:szCs w:val="24"/>
        </w:rPr>
        <w:t xml:space="preserve"> </w:t>
      </w:r>
      <w:r>
        <w:t xml:space="preserve"> </w:t>
      </w:r>
      <w:r w:rsidRPr="00027CA3">
        <w:t>For the reasons stated herein, the monthly residential and monthly business access line surcharge will remain at $0.08.</w:t>
      </w:r>
    </w:p>
    <w:p w:rsidR="009E6F44" w:rsidRPr="002D0091" w:rsidRDefault="009E6F44" w:rsidP="002D0091">
      <w:pPr>
        <w:spacing w:after="240" w:line="360" w:lineRule="auto"/>
        <w:ind w:firstLine="1440"/>
        <w:contextualSpacing/>
        <w:rPr>
          <w:color w:val="000000"/>
        </w:rPr>
      </w:pPr>
    </w:p>
    <w:p w:rsidR="002C209D" w:rsidRPr="00027CA3" w:rsidRDefault="004D2F65" w:rsidP="00734F19">
      <w:pPr>
        <w:keepNext/>
        <w:keepLines/>
        <w:spacing w:after="240" w:line="360" w:lineRule="auto"/>
        <w:contextualSpacing/>
        <w:jc w:val="center"/>
        <w:rPr>
          <w:b/>
          <w:color w:val="000000"/>
        </w:rPr>
      </w:pPr>
      <w:r w:rsidRPr="00027CA3">
        <w:rPr>
          <w:b/>
          <w:color w:val="000000"/>
        </w:rPr>
        <w:t>Background</w:t>
      </w:r>
    </w:p>
    <w:p w:rsidR="00027CA3" w:rsidRPr="00B2672B" w:rsidRDefault="00027CA3" w:rsidP="00734F19">
      <w:pPr>
        <w:keepNext/>
        <w:keepLines/>
        <w:spacing w:after="240" w:line="360" w:lineRule="auto"/>
        <w:contextualSpacing/>
        <w:rPr>
          <w:color w:val="000000"/>
        </w:rPr>
      </w:pPr>
    </w:p>
    <w:p w:rsidR="00417B27" w:rsidRPr="00417B27" w:rsidRDefault="00B2672B" w:rsidP="00B2672B">
      <w:pPr>
        <w:spacing w:after="240" w:line="360" w:lineRule="auto"/>
        <w:ind w:firstLine="1440"/>
        <w:contextualSpacing/>
        <w:rPr>
          <w:color w:val="000000"/>
        </w:rPr>
      </w:pPr>
      <w:r>
        <w:rPr>
          <w:color w:val="000000"/>
        </w:rPr>
        <w:t xml:space="preserve">TRS provides telephone transmission services that allow for qualified persons with a hearing or visual impairment who require appropriate technology in order to access telecommunications services to communicate by wire or radio in a functionally equivalent manner as non-disabled persons.  </w:t>
      </w:r>
      <w:r w:rsidR="00417B27">
        <w:rPr>
          <w:color w:val="000000"/>
        </w:rPr>
        <w:t xml:space="preserve">The Commission is charged with designing and implementing the TRS program to meet, at a minimum, the requirements of the Americans with </w:t>
      </w:r>
      <w:r w:rsidR="00A43AD7">
        <w:rPr>
          <w:color w:val="000000"/>
        </w:rPr>
        <w:t>Disabilities A</w:t>
      </w:r>
      <w:r w:rsidR="00417B27">
        <w:rPr>
          <w:color w:val="000000"/>
        </w:rPr>
        <w:t>ct of 1990 and Section 225 of the Federal Telecommunications Act of 1996, 47 U.S.C. § 225</w:t>
      </w:r>
      <w:r w:rsidR="00A43AD7">
        <w:rPr>
          <w:color w:val="000000"/>
        </w:rPr>
        <w:t xml:space="preserve"> </w:t>
      </w:r>
      <w:r w:rsidR="00417B27">
        <w:rPr>
          <w:color w:val="000000"/>
        </w:rPr>
        <w:t>(</w:t>
      </w:r>
      <w:r w:rsidR="00417B27">
        <w:rPr>
          <w:i/>
          <w:color w:val="000000"/>
        </w:rPr>
        <w:t>TA96</w:t>
      </w:r>
      <w:r w:rsidR="00417B27">
        <w:rPr>
          <w:color w:val="000000"/>
        </w:rPr>
        <w:t xml:space="preserve">).  In </w:t>
      </w:r>
      <w:r w:rsidR="00417B27">
        <w:rPr>
          <w:i/>
          <w:color w:val="000000"/>
        </w:rPr>
        <w:t xml:space="preserve">TA96, </w:t>
      </w:r>
      <w:r w:rsidR="00417B27">
        <w:rPr>
          <w:color w:val="000000"/>
        </w:rPr>
        <w:t>Congress addressed common carrier obligations to provide service to hearing or speech impaired individuals in compliance with federal mandates governing interstate and intrastate telecommunications and state certification that their programs comply with federal mandates.</w:t>
      </w:r>
    </w:p>
    <w:p w:rsidR="00417B27" w:rsidRDefault="00417B27" w:rsidP="00B2672B">
      <w:pPr>
        <w:spacing w:after="240" w:line="360" w:lineRule="auto"/>
        <w:ind w:firstLine="1440"/>
        <w:contextualSpacing/>
        <w:rPr>
          <w:color w:val="000000"/>
        </w:rPr>
      </w:pPr>
    </w:p>
    <w:p w:rsidR="00B2672B" w:rsidRPr="00B2672B" w:rsidRDefault="00417B27" w:rsidP="00B2672B">
      <w:pPr>
        <w:spacing w:after="240" w:line="360" w:lineRule="auto"/>
        <w:ind w:firstLine="1440"/>
        <w:contextualSpacing/>
        <w:rPr>
          <w:color w:val="000000"/>
        </w:rPr>
      </w:pPr>
      <w:r>
        <w:rPr>
          <w:color w:val="000000"/>
        </w:rPr>
        <w:t>In addition to providing equipment at no charge to qualified individuals that allows them to engage in telecommunications access on a functionally equivalent basis as non-impaired individuals, the program provides public education so that consumers are more familiar with, and can use</w:t>
      </w:r>
      <w:r w:rsidR="00B2672B">
        <w:rPr>
          <w:color w:val="000000"/>
        </w:rPr>
        <w:t xml:space="preserve">, </w:t>
      </w:r>
      <w:r w:rsidR="00B25053">
        <w:rPr>
          <w:color w:val="000000"/>
        </w:rPr>
        <w:t xml:space="preserve">TRS to access the Public Switched Network (PSN), a network that provides telecommunications and broadband access, and other telecommunications services.  Currently the TRS surcharge funds three individual </w:t>
      </w:r>
      <w:r w:rsidR="00C67BCC">
        <w:rPr>
          <w:color w:val="000000"/>
        </w:rPr>
        <w:lastRenderedPageBreak/>
        <w:t>programs</w:t>
      </w:r>
      <w:r w:rsidR="00B25053">
        <w:rPr>
          <w:color w:val="000000"/>
        </w:rPr>
        <w:t>: Relay (TTY style, Speech-to-Speech, Spanish Relay, and Captioned Telephone Relay Service</w:t>
      </w:r>
      <w:r w:rsidR="00C67BCC">
        <w:rPr>
          <w:color w:val="000000"/>
        </w:rPr>
        <w:t xml:space="preserve"> </w:t>
      </w:r>
      <w:r w:rsidR="00B25053">
        <w:rPr>
          <w:color w:val="000000"/>
        </w:rPr>
        <w:t>(CTRS)); TDDP; and the Wireless Equipment Initiative (WEI) two-year pilot program.  Additionally, the surcharge funds the PMASP, the</w:t>
      </w:r>
      <w:r w:rsidR="00B25053" w:rsidRPr="002D0091">
        <w:rPr>
          <w:color w:val="000000"/>
        </w:rPr>
        <w:t xml:space="preserve"> TRS Advisory Board activities</w:t>
      </w:r>
      <w:r w:rsidR="00B25053">
        <w:rPr>
          <w:color w:val="000000"/>
        </w:rPr>
        <w:t>,</w:t>
      </w:r>
      <w:r w:rsidR="00B25053" w:rsidRPr="002D0091">
        <w:rPr>
          <w:color w:val="000000"/>
        </w:rPr>
        <w:t xml:space="preserve"> and Fund administration costs.</w:t>
      </w:r>
      <w:r w:rsidR="00B25053">
        <w:rPr>
          <w:color w:val="000000"/>
        </w:rPr>
        <w:t xml:space="preserve">  Administration of the TRS program is tasked to the Executive Director of the Office of Vocational Rehabilitation (OVR) of the Department of Labor and Industry.</w:t>
      </w:r>
    </w:p>
    <w:p w:rsidR="00B2672B" w:rsidRPr="00B2672B" w:rsidRDefault="00B2672B" w:rsidP="00B2672B">
      <w:pPr>
        <w:spacing w:after="240" w:line="360" w:lineRule="auto"/>
        <w:contextualSpacing/>
        <w:rPr>
          <w:color w:val="000000"/>
        </w:rPr>
      </w:pPr>
    </w:p>
    <w:p w:rsidR="00C66262" w:rsidRDefault="00B25053" w:rsidP="002D0091">
      <w:pPr>
        <w:spacing w:after="240" w:line="360" w:lineRule="auto"/>
        <w:ind w:firstLine="1440"/>
        <w:contextualSpacing/>
        <w:rPr>
          <w:color w:val="000000"/>
        </w:rPr>
      </w:pPr>
      <w:r>
        <w:rPr>
          <w:color w:val="000000"/>
        </w:rPr>
        <w:t xml:space="preserve">By statute the Commission is charged with annually calculating the TRS program surcharge based on an annual budget. </w:t>
      </w:r>
      <w:r w:rsidR="001A241D">
        <w:rPr>
          <w:color w:val="000000"/>
        </w:rPr>
        <w:t xml:space="preserve"> The surcharge in its present form is assessed at $0.08 per wireline residential and business access line per month, or generally $0.96 per year for a typical residential customer.  </w:t>
      </w:r>
      <w:r w:rsidR="006B383A" w:rsidRPr="002D0091">
        <w:rPr>
          <w:color w:val="000000"/>
        </w:rPr>
        <w:t xml:space="preserve">The annual TRS </w:t>
      </w:r>
      <w:r w:rsidR="0046508E" w:rsidRPr="002D0091">
        <w:rPr>
          <w:color w:val="000000"/>
        </w:rPr>
        <w:t xml:space="preserve">surcharge </w:t>
      </w:r>
      <w:r w:rsidR="006B383A" w:rsidRPr="002D0091">
        <w:rPr>
          <w:color w:val="000000"/>
        </w:rPr>
        <w:t xml:space="preserve">recalculation is dependent on data from several sources.  </w:t>
      </w:r>
      <w:bookmarkStart w:id="0" w:name="_ftnref1"/>
      <w:r w:rsidR="00574915" w:rsidRPr="002D0091">
        <w:rPr>
          <w:color w:val="000000"/>
        </w:rPr>
        <w:t xml:space="preserve">Local </w:t>
      </w:r>
      <w:r w:rsidR="0074684A" w:rsidRPr="002D0091">
        <w:rPr>
          <w:color w:val="000000"/>
        </w:rPr>
        <w:t>E</w:t>
      </w:r>
      <w:r w:rsidR="00574915" w:rsidRPr="002D0091">
        <w:rPr>
          <w:color w:val="000000"/>
        </w:rPr>
        <w:t xml:space="preserve">xchange </w:t>
      </w:r>
      <w:r w:rsidR="0074684A" w:rsidRPr="002D0091">
        <w:rPr>
          <w:color w:val="000000"/>
        </w:rPr>
        <w:t>C</w:t>
      </w:r>
      <w:r w:rsidR="00574915" w:rsidRPr="002D0091">
        <w:rPr>
          <w:color w:val="000000"/>
        </w:rPr>
        <w:t>arrier</w:t>
      </w:r>
      <w:r w:rsidR="0074684A" w:rsidRPr="002D0091">
        <w:rPr>
          <w:color w:val="000000"/>
        </w:rPr>
        <w:t>s</w:t>
      </w:r>
      <w:bookmarkEnd w:id="0"/>
      <w:r w:rsidR="00574915" w:rsidRPr="002D0091">
        <w:rPr>
          <w:color w:val="000000"/>
        </w:rPr>
        <w:t xml:space="preserve"> (LECs)</w:t>
      </w:r>
      <w:r w:rsidR="00027CA3" w:rsidRPr="002D0091">
        <w:rPr>
          <w:rStyle w:val="FootnoteReference"/>
          <w:color w:val="000000"/>
        </w:rPr>
        <w:footnoteReference w:id="3"/>
      </w:r>
      <w:r w:rsidR="00C66262" w:rsidRPr="002D0091">
        <w:rPr>
          <w:color w:val="000000"/>
        </w:rPr>
        <w:t xml:space="preserve"> submit </w:t>
      </w:r>
      <w:r w:rsidR="00003BB6" w:rsidRPr="002D0091">
        <w:rPr>
          <w:color w:val="000000"/>
        </w:rPr>
        <w:t xml:space="preserve">annual </w:t>
      </w:r>
      <w:r w:rsidR="00C66262" w:rsidRPr="002D0091">
        <w:rPr>
          <w:color w:val="000000"/>
        </w:rPr>
        <w:t>wireline access line counts</w:t>
      </w:r>
      <w:r w:rsidR="00003BB6" w:rsidRPr="002D0091">
        <w:rPr>
          <w:color w:val="000000"/>
        </w:rPr>
        <w:t xml:space="preserve"> </w:t>
      </w:r>
      <w:r w:rsidR="004300CF" w:rsidRPr="002D0091">
        <w:rPr>
          <w:color w:val="000000"/>
        </w:rPr>
        <w:t>pursuant to</w:t>
      </w:r>
      <w:r w:rsidR="00003BB6" w:rsidRPr="002D0091">
        <w:rPr>
          <w:color w:val="000000"/>
        </w:rPr>
        <w:t xml:space="preserve"> 52 Pa</w:t>
      </w:r>
      <w:r w:rsidR="009F08FD" w:rsidRPr="002D0091">
        <w:rPr>
          <w:color w:val="000000"/>
        </w:rPr>
        <w:t>.</w:t>
      </w:r>
      <w:r w:rsidR="00BC58DF" w:rsidRPr="002D0091">
        <w:rPr>
          <w:color w:val="000000"/>
        </w:rPr>
        <w:t xml:space="preserve"> Code § </w:t>
      </w:r>
      <w:r w:rsidR="00003BB6" w:rsidRPr="002D0091">
        <w:rPr>
          <w:color w:val="000000"/>
        </w:rPr>
        <w:t>63.37</w:t>
      </w:r>
      <w:r w:rsidR="00C66262" w:rsidRPr="002D0091">
        <w:rPr>
          <w:color w:val="000000"/>
        </w:rPr>
        <w:t xml:space="preserve">.  The </w:t>
      </w:r>
      <w:r w:rsidR="006973EE" w:rsidRPr="002D0091">
        <w:rPr>
          <w:color w:val="000000"/>
        </w:rPr>
        <w:t>traditional r</w:t>
      </w:r>
      <w:r w:rsidR="0074684A" w:rsidRPr="002D0091">
        <w:rPr>
          <w:color w:val="000000"/>
        </w:rPr>
        <w:t xml:space="preserve">elay </w:t>
      </w:r>
      <w:r w:rsidR="006973EE" w:rsidRPr="002D0091">
        <w:rPr>
          <w:color w:val="000000"/>
        </w:rPr>
        <w:t>p</w:t>
      </w:r>
      <w:r w:rsidR="00C66262" w:rsidRPr="002D0091">
        <w:rPr>
          <w:color w:val="000000"/>
        </w:rPr>
        <w:t xml:space="preserve">rovider, </w:t>
      </w:r>
      <w:r w:rsidR="00D80EDE" w:rsidRPr="002D0091">
        <w:rPr>
          <w:color w:val="000000"/>
        </w:rPr>
        <w:t>Hamilton Relay</w:t>
      </w:r>
      <w:r w:rsidR="001E5808" w:rsidRPr="002D0091">
        <w:rPr>
          <w:color w:val="000000"/>
        </w:rPr>
        <w:t>,</w:t>
      </w:r>
      <w:r w:rsidR="00D80EDE" w:rsidRPr="002D0091">
        <w:rPr>
          <w:color w:val="000000"/>
        </w:rPr>
        <w:t xml:space="preserve"> Inc</w:t>
      </w:r>
      <w:r w:rsidR="00A13863" w:rsidRPr="002D0091">
        <w:rPr>
          <w:color w:val="000000"/>
        </w:rPr>
        <w:t>.,</w:t>
      </w:r>
      <w:r w:rsidR="00D80EDE" w:rsidRPr="002D0091">
        <w:rPr>
          <w:rStyle w:val="FootnoteReference"/>
          <w:color w:val="000000"/>
        </w:rPr>
        <w:footnoteReference w:id="4"/>
      </w:r>
      <w:r w:rsidR="00C66262" w:rsidRPr="002D0091">
        <w:rPr>
          <w:color w:val="000000"/>
        </w:rPr>
        <w:t xml:space="preserve"> submitted the estimated minutes of use and charges for July 1, </w:t>
      </w:r>
      <w:r w:rsidR="00F86619" w:rsidRPr="002D0091">
        <w:rPr>
          <w:color w:val="000000"/>
        </w:rPr>
        <w:t>20</w:t>
      </w:r>
      <w:r w:rsidR="00F07931" w:rsidRPr="002D0091">
        <w:rPr>
          <w:color w:val="000000"/>
        </w:rPr>
        <w:t>1</w:t>
      </w:r>
      <w:r w:rsidR="00AC2FA1" w:rsidRPr="002D0091">
        <w:rPr>
          <w:color w:val="000000"/>
        </w:rPr>
        <w:t>7</w:t>
      </w:r>
      <w:r w:rsidR="00C66A72" w:rsidRPr="002D0091">
        <w:rPr>
          <w:color w:val="000000"/>
        </w:rPr>
        <w:t>,</w:t>
      </w:r>
      <w:r w:rsidR="00C66262" w:rsidRPr="002D0091">
        <w:rPr>
          <w:color w:val="000000"/>
        </w:rPr>
        <w:t xml:space="preserve"> through June 30, 20</w:t>
      </w:r>
      <w:r w:rsidR="006E4C20" w:rsidRPr="002D0091">
        <w:rPr>
          <w:color w:val="000000"/>
        </w:rPr>
        <w:t>1</w:t>
      </w:r>
      <w:r w:rsidR="00AC2FA1" w:rsidRPr="002D0091">
        <w:rPr>
          <w:color w:val="000000"/>
        </w:rPr>
        <w:t>8</w:t>
      </w:r>
      <w:r w:rsidR="00C66262" w:rsidRPr="002D0091">
        <w:rPr>
          <w:color w:val="000000"/>
        </w:rPr>
        <w:t xml:space="preserve">.  </w:t>
      </w:r>
      <w:r w:rsidR="002F24C4" w:rsidRPr="002D0091">
        <w:rPr>
          <w:color w:val="000000"/>
        </w:rPr>
        <w:t>Hamilton Telephone</w:t>
      </w:r>
      <w:r w:rsidR="00B07366" w:rsidRPr="002D0091">
        <w:rPr>
          <w:color w:val="000000"/>
        </w:rPr>
        <w:t xml:space="preserve"> </w:t>
      </w:r>
      <w:r w:rsidR="00A13863" w:rsidRPr="002D0091">
        <w:rPr>
          <w:color w:val="000000"/>
        </w:rPr>
        <w:t>Company</w:t>
      </w:r>
      <w:r w:rsidR="002F24C4" w:rsidRPr="002D0091">
        <w:rPr>
          <w:color w:val="000000"/>
        </w:rPr>
        <w:t xml:space="preserve"> d/b/a Hamilton Telecommunications</w:t>
      </w:r>
      <w:r w:rsidR="00A13863" w:rsidRPr="002D0091">
        <w:rPr>
          <w:color w:val="000000"/>
        </w:rPr>
        <w:t xml:space="preserve"> </w:t>
      </w:r>
      <w:r w:rsidR="00B07366" w:rsidRPr="002D0091">
        <w:rPr>
          <w:color w:val="000000"/>
        </w:rPr>
        <w:t>submitted the estimated minutes</w:t>
      </w:r>
      <w:r w:rsidR="00C7152F" w:rsidRPr="002D0091">
        <w:rPr>
          <w:color w:val="000000"/>
        </w:rPr>
        <w:t>-</w:t>
      </w:r>
      <w:r w:rsidR="00B07366" w:rsidRPr="002D0091">
        <w:rPr>
          <w:color w:val="000000"/>
        </w:rPr>
        <w:t>of</w:t>
      </w:r>
      <w:r w:rsidR="00C7152F" w:rsidRPr="002D0091">
        <w:rPr>
          <w:color w:val="000000"/>
        </w:rPr>
        <w:t>-</w:t>
      </w:r>
      <w:r w:rsidR="00B07366" w:rsidRPr="002D0091">
        <w:rPr>
          <w:color w:val="000000"/>
        </w:rPr>
        <w:t xml:space="preserve">use </w:t>
      </w:r>
      <w:r w:rsidR="00822573" w:rsidRPr="002D0091">
        <w:rPr>
          <w:color w:val="000000"/>
        </w:rPr>
        <w:t xml:space="preserve">report for </w:t>
      </w:r>
      <w:r w:rsidR="00F35FF7">
        <w:rPr>
          <w:color w:val="000000"/>
        </w:rPr>
        <w:t>CTRS</w:t>
      </w:r>
      <w:r w:rsidR="00CD5C88" w:rsidRPr="002D0091">
        <w:rPr>
          <w:color w:val="000000"/>
        </w:rPr>
        <w:t xml:space="preserve">. </w:t>
      </w:r>
      <w:r w:rsidR="00187219" w:rsidRPr="002D0091">
        <w:rPr>
          <w:color w:val="000000"/>
        </w:rPr>
        <w:t xml:space="preserve"> </w:t>
      </w:r>
      <w:r w:rsidR="001A241D">
        <w:rPr>
          <w:color w:val="000000"/>
        </w:rPr>
        <w:t>OVR</w:t>
      </w:r>
      <w:r w:rsidR="00C66262" w:rsidRPr="002D0091">
        <w:rPr>
          <w:color w:val="000000"/>
        </w:rPr>
        <w:t xml:space="preserve"> submitted the 20</w:t>
      </w:r>
      <w:r w:rsidR="00F07931" w:rsidRPr="002D0091">
        <w:rPr>
          <w:color w:val="000000"/>
        </w:rPr>
        <w:t>1</w:t>
      </w:r>
      <w:r w:rsidR="00AC2FA1" w:rsidRPr="002D0091">
        <w:rPr>
          <w:color w:val="000000"/>
        </w:rPr>
        <w:t>7</w:t>
      </w:r>
      <w:r w:rsidR="00C66262" w:rsidRPr="002D0091">
        <w:rPr>
          <w:color w:val="000000"/>
        </w:rPr>
        <w:t>-20</w:t>
      </w:r>
      <w:r w:rsidR="006E4C20" w:rsidRPr="002D0091">
        <w:rPr>
          <w:color w:val="000000"/>
        </w:rPr>
        <w:t>1</w:t>
      </w:r>
      <w:r w:rsidR="00AC2FA1" w:rsidRPr="002D0091">
        <w:rPr>
          <w:color w:val="000000"/>
        </w:rPr>
        <w:t>8</w:t>
      </w:r>
      <w:r w:rsidR="00C66262" w:rsidRPr="002D0091">
        <w:rPr>
          <w:color w:val="000000"/>
        </w:rPr>
        <w:t xml:space="preserve"> TDDP </w:t>
      </w:r>
      <w:r w:rsidR="00F04E80" w:rsidRPr="002D0091">
        <w:rPr>
          <w:color w:val="000000"/>
        </w:rPr>
        <w:t>budget</w:t>
      </w:r>
      <w:r w:rsidR="00C66262" w:rsidRPr="002D0091">
        <w:rPr>
          <w:color w:val="000000"/>
        </w:rPr>
        <w:t xml:space="preserve"> and the 20</w:t>
      </w:r>
      <w:r w:rsidR="00F07931" w:rsidRPr="002D0091">
        <w:rPr>
          <w:color w:val="000000"/>
        </w:rPr>
        <w:t>1</w:t>
      </w:r>
      <w:r w:rsidR="00AC2FA1" w:rsidRPr="002D0091">
        <w:rPr>
          <w:color w:val="000000"/>
        </w:rPr>
        <w:t>7</w:t>
      </w:r>
      <w:r w:rsidR="00C66262" w:rsidRPr="002D0091">
        <w:rPr>
          <w:color w:val="000000"/>
        </w:rPr>
        <w:t>-20</w:t>
      </w:r>
      <w:r w:rsidR="006E4C20" w:rsidRPr="002D0091">
        <w:rPr>
          <w:color w:val="000000"/>
        </w:rPr>
        <w:t>1</w:t>
      </w:r>
      <w:r w:rsidR="00AC2FA1" w:rsidRPr="002D0091">
        <w:rPr>
          <w:color w:val="000000"/>
        </w:rPr>
        <w:t>8</w:t>
      </w:r>
      <w:r w:rsidR="00C66262" w:rsidRPr="002D0091">
        <w:rPr>
          <w:color w:val="000000"/>
        </w:rPr>
        <w:t xml:space="preserve"> PMASP </w:t>
      </w:r>
      <w:r w:rsidR="00F04E80" w:rsidRPr="002D0091">
        <w:rPr>
          <w:color w:val="000000"/>
        </w:rPr>
        <w:t>budget</w:t>
      </w:r>
      <w:r w:rsidR="00C66262" w:rsidRPr="002D0091">
        <w:rPr>
          <w:color w:val="000000"/>
        </w:rPr>
        <w:t xml:space="preserve">.  </w:t>
      </w:r>
      <w:r w:rsidR="00CD5C88" w:rsidRPr="002D0091">
        <w:rPr>
          <w:color w:val="000000"/>
        </w:rPr>
        <w:t>U.S. Bank</w:t>
      </w:r>
      <w:bookmarkStart w:id="1" w:name="_ftnref2"/>
      <w:r w:rsidR="00CD5C88" w:rsidRPr="002D0091">
        <w:rPr>
          <w:color w:val="000000"/>
        </w:rPr>
        <w:t>,</w:t>
      </w:r>
      <w:r w:rsidR="00CD5C88" w:rsidRPr="002D0091">
        <w:rPr>
          <w:rStyle w:val="FootnoteReference"/>
          <w:color w:val="000000"/>
        </w:rPr>
        <w:footnoteReference w:id="5"/>
      </w:r>
      <w:bookmarkEnd w:id="1"/>
      <w:r w:rsidR="00CD5C88" w:rsidRPr="002D0091">
        <w:rPr>
          <w:color w:val="000000"/>
        </w:rPr>
        <w:t xml:space="preserve"> the Fund Administrator, provided a statement of the financial status of the Fund</w:t>
      </w:r>
      <w:bookmarkStart w:id="2" w:name="_ftnref3"/>
      <w:r w:rsidR="00CD5C88" w:rsidRPr="002D0091">
        <w:rPr>
          <w:color w:val="000000"/>
        </w:rPr>
        <w:t>.</w:t>
      </w:r>
      <w:r w:rsidR="00CD5C88" w:rsidRPr="002D0091">
        <w:rPr>
          <w:rStyle w:val="FootnoteReference"/>
          <w:color w:val="000000"/>
        </w:rPr>
        <w:footnoteReference w:id="6"/>
      </w:r>
      <w:bookmarkEnd w:id="2"/>
      <w:r w:rsidR="00CD5C88" w:rsidRPr="002D0091">
        <w:rPr>
          <w:color w:val="000000"/>
        </w:rPr>
        <w:t xml:space="preserve">  </w:t>
      </w:r>
    </w:p>
    <w:p w:rsidR="00372019" w:rsidRPr="002D0091" w:rsidRDefault="00372019" w:rsidP="002D0091">
      <w:pPr>
        <w:spacing w:after="240" w:line="360" w:lineRule="auto"/>
        <w:ind w:firstLine="1440"/>
        <w:contextualSpacing/>
        <w:rPr>
          <w:color w:val="000000"/>
        </w:rPr>
      </w:pPr>
    </w:p>
    <w:p w:rsidR="00342CA2" w:rsidRDefault="00342CA2" w:rsidP="00342CA2">
      <w:pPr>
        <w:keepNext/>
        <w:keepLines/>
        <w:spacing w:after="240" w:line="360" w:lineRule="auto"/>
        <w:contextualSpacing/>
        <w:jc w:val="center"/>
        <w:rPr>
          <w:b/>
          <w:color w:val="000000"/>
        </w:rPr>
      </w:pPr>
      <w:r>
        <w:rPr>
          <w:b/>
          <w:color w:val="000000"/>
        </w:rPr>
        <w:t>Discussion</w:t>
      </w:r>
    </w:p>
    <w:p w:rsidR="00342CA2" w:rsidRDefault="00342CA2" w:rsidP="00C67BCC">
      <w:pPr>
        <w:keepNext/>
        <w:keepLines/>
        <w:spacing w:after="240" w:line="360" w:lineRule="auto"/>
        <w:contextualSpacing/>
        <w:rPr>
          <w:b/>
          <w:color w:val="000000"/>
        </w:rPr>
      </w:pPr>
    </w:p>
    <w:p w:rsidR="004D2F65" w:rsidRDefault="0065449B" w:rsidP="00C67BCC">
      <w:pPr>
        <w:keepNext/>
        <w:keepLines/>
        <w:spacing w:after="240" w:line="360" w:lineRule="auto"/>
        <w:contextualSpacing/>
        <w:rPr>
          <w:b/>
          <w:color w:val="000000"/>
        </w:rPr>
      </w:pPr>
      <w:r>
        <w:rPr>
          <w:b/>
          <w:color w:val="000000"/>
        </w:rPr>
        <w:t>Surcharge</w:t>
      </w:r>
      <w:r w:rsidR="008F4E52" w:rsidRPr="00C67BCC">
        <w:rPr>
          <w:b/>
          <w:color w:val="000000"/>
        </w:rPr>
        <w:t xml:space="preserve"> for 20</w:t>
      </w:r>
      <w:r w:rsidR="001E1AE2" w:rsidRPr="00C67BCC">
        <w:rPr>
          <w:b/>
          <w:color w:val="000000"/>
        </w:rPr>
        <w:t>1</w:t>
      </w:r>
      <w:r w:rsidR="00AC2FA1" w:rsidRPr="00C67BCC">
        <w:rPr>
          <w:b/>
          <w:color w:val="000000"/>
        </w:rPr>
        <w:t>7</w:t>
      </w:r>
      <w:r w:rsidR="008F4E52" w:rsidRPr="00C67BCC">
        <w:rPr>
          <w:b/>
          <w:color w:val="000000"/>
        </w:rPr>
        <w:t xml:space="preserve"> – 20</w:t>
      </w:r>
      <w:r w:rsidR="006E4C20" w:rsidRPr="00C67BCC">
        <w:rPr>
          <w:b/>
          <w:color w:val="000000"/>
        </w:rPr>
        <w:t>1</w:t>
      </w:r>
      <w:r w:rsidR="00AC2FA1" w:rsidRPr="00C67BCC">
        <w:rPr>
          <w:b/>
          <w:color w:val="000000"/>
        </w:rPr>
        <w:t>8</w:t>
      </w:r>
    </w:p>
    <w:p w:rsidR="00C67BCC" w:rsidRPr="00C67BCC" w:rsidRDefault="00C67BCC" w:rsidP="00C67BCC">
      <w:pPr>
        <w:keepNext/>
        <w:keepLines/>
        <w:spacing w:after="240" w:line="360" w:lineRule="auto"/>
        <w:contextualSpacing/>
        <w:rPr>
          <w:b/>
          <w:color w:val="000000"/>
        </w:rPr>
      </w:pPr>
    </w:p>
    <w:p w:rsidR="00BC3F35" w:rsidRPr="00725A12" w:rsidRDefault="007D4352" w:rsidP="00BC3F35">
      <w:pPr>
        <w:spacing w:line="360" w:lineRule="auto"/>
        <w:ind w:firstLine="1440"/>
      </w:pPr>
      <w:r>
        <w:rPr>
          <w:color w:val="000000"/>
        </w:rPr>
        <w:t>As</w:t>
      </w:r>
      <w:r w:rsidR="00E856D1">
        <w:rPr>
          <w:color w:val="000000"/>
        </w:rPr>
        <w:t xml:space="preserve"> noted above, the WEI is a two-year pilot program.  This program was initiated by an order of this Commission in </w:t>
      </w:r>
      <w:r w:rsidR="00E856D1">
        <w:rPr>
          <w:i/>
          <w:color w:val="000000"/>
        </w:rPr>
        <w:t>Petition of Department of Labor &amp; Industry Office of Vocational Rehabilitation for a Proposed Pilot for Distribution of Telecommunications Relay Service Wireless Equipment to People with Disabilities in Pennsylvania, et al.</w:t>
      </w:r>
      <w:r w:rsidR="00E856D1">
        <w:rPr>
          <w:color w:val="000000"/>
        </w:rPr>
        <w:t xml:space="preserve">, Docket No. P-2015-2484229, </w:t>
      </w:r>
      <w:r w:rsidR="00E856D1">
        <w:rPr>
          <w:i/>
          <w:color w:val="000000"/>
        </w:rPr>
        <w:t>et al.</w:t>
      </w:r>
      <w:r w:rsidR="00E856D1">
        <w:rPr>
          <w:color w:val="000000"/>
        </w:rPr>
        <w:t xml:space="preserve"> (Order entered July 8, 2015)</w:t>
      </w:r>
      <w:r w:rsidR="004472FB">
        <w:rPr>
          <w:color w:val="000000"/>
        </w:rPr>
        <w:t>(</w:t>
      </w:r>
      <w:r w:rsidR="004472FB">
        <w:rPr>
          <w:i/>
          <w:color w:val="000000"/>
        </w:rPr>
        <w:t>July 2015 Order</w:t>
      </w:r>
      <w:r w:rsidR="004472FB">
        <w:rPr>
          <w:color w:val="000000"/>
        </w:rPr>
        <w:t>)</w:t>
      </w:r>
      <w:r w:rsidR="00E856D1">
        <w:rPr>
          <w:color w:val="000000"/>
        </w:rPr>
        <w:t>, and pursuant to the UTPMAA.</w:t>
      </w:r>
      <w:r w:rsidR="00BC3F35">
        <w:rPr>
          <w:color w:val="000000"/>
        </w:rPr>
        <w:t xml:space="preserve">  </w:t>
      </w:r>
      <w:r w:rsidR="00BC3F35" w:rsidRPr="00725A12">
        <w:t xml:space="preserve">Because the UTPMAA includes communications service by wire or radio, we authorized this pilot to acknowledge the evolving landscape of telecommunications services from exclusively traditional landline based wireline facilities to multiple technology-based communications services, including but not limited to wireless and Voice over Internet Protocol services, and to test our need to further our obligations under federal and state law to provide services to the disabled under an increasingly changing technological construct.  </w:t>
      </w:r>
    </w:p>
    <w:p w:rsidR="00BC3F35" w:rsidRPr="00BC3F35" w:rsidRDefault="00BC3F35" w:rsidP="00BC3F35">
      <w:pPr>
        <w:spacing w:line="360" w:lineRule="auto"/>
        <w:ind w:firstLine="1440"/>
      </w:pPr>
    </w:p>
    <w:p w:rsidR="00BC3F35" w:rsidRPr="00BC3F35" w:rsidRDefault="00BC3F35" w:rsidP="00BC3F35">
      <w:pPr>
        <w:spacing w:line="360" w:lineRule="auto"/>
        <w:ind w:firstLine="1440"/>
      </w:pPr>
      <w:r w:rsidRPr="00BC3F35">
        <w:t xml:space="preserve">Under the pilot WEI, we authorized the conduct and funding of a project designed to test the availability and use of wireless devices by a limited number of eligible Pennsylvanians with disabilities for a limited period.  Specifically this test involved the participation of </w:t>
      </w:r>
      <w:r w:rsidR="008F096D">
        <w:t>thirty</w:t>
      </w:r>
      <w:r w:rsidRPr="00BC3F35">
        <w:t xml:space="preserve"> individuals in the first test year, and </w:t>
      </w:r>
      <w:r w:rsidR="008F096D">
        <w:t xml:space="preserve">sixty </w:t>
      </w:r>
      <w:r w:rsidRPr="00BC3F35">
        <w:t xml:space="preserve">in the second and final test year.  The related wireless devices and education are supported from and distributed to eligible end-users through the existing TDDP. </w:t>
      </w:r>
      <w:r w:rsidR="00D90877">
        <w:t xml:space="preserve"> </w:t>
      </w:r>
      <w:r w:rsidRPr="00BC3F35">
        <w:t xml:space="preserve">The first </w:t>
      </w:r>
      <w:r w:rsidR="008F096D">
        <w:t>thirty</w:t>
      </w:r>
      <w:r w:rsidRPr="00BC3F35">
        <w:t xml:space="preserve"> eligible individuals received their wireless devices on May 3, 2016.  Accordingly, the program will not have completed its two-year pilot until May of 2018.  </w:t>
      </w:r>
    </w:p>
    <w:p w:rsidR="00BC3F35" w:rsidRPr="00BC3F35" w:rsidRDefault="00BC3F35" w:rsidP="00BC3F35">
      <w:pPr>
        <w:spacing w:line="360" w:lineRule="auto"/>
        <w:ind w:firstLine="1440"/>
      </w:pPr>
    </w:p>
    <w:p w:rsidR="00BC3F35" w:rsidRPr="00BC3F35" w:rsidRDefault="00BC3F35" w:rsidP="00BC3F35">
      <w:pPr>
        <w:spacing w:line="360" w:lineRule="auto"/>
        <w:ind w:firstLine="1440"/>
      </w:pPr>
      <w:r w:rsidRPr="00BC3F35">
        <w:t>Further, under the WEI pilot</w:t>
      </w:r>
      <w:r w:rsidR="008F096D">
        <w:t>,</w:t>
      </w:r>
      <w:r w:rsidRPr="00BC3F35">
        <w:t xml:space="preserve"> we built in reporting requirements meant to assess the program. </w:t>
      </w:r>
      <w:r w:rsidR="008F096D">
        <w:t xml:space="preserve"> </w:t>
      </w:r>
      <w:r w:rsidRPr="00BC3F35">
        <w:t xml:space="preserve">No later than </w:t>
      </w:r>
      <w:r w:rsidR="008F096D">
        <w:t>eighteen</w:t>
      </w:r>
      <w:r w:rsidRPr="00BC3F35">
        <w:t xml:space="preserve"> months after the commencement of the WEI </w:t>
      </w:r>
      <w:r w:rsidRPr="00BC3F35">
        <w:lastRenderedPageBreak/>
        <w:t xml:space="preserve">pilot, or by November 2017, the OVR is required to file an interim report with the Commission evaluating the pilot and making recommendations for actions to be taken at the end of the </w:t>
      </w:r>
      <w:r w:rsidR="008F096D">
        <w:t>two</w:t>
      </w:r>
      <w:r w:rsidRPr="00BC3F35">
        <w:t xml:space="preserve">-year pilot. </w:t>
      </w:r>
      <w:r w:rsidR="00D90877">
        <w:t xml:space="preserve"> </w:t>
      </w:r>
      <w:r w:rsidRPr="00BC3F35">
        <w:t xml:space="preserve">Sixty days thereafter our Staff is required to submit a report to the Commission including its own recommendations and any recommendations proposed by the OVR on what, if any, action is appropriate.  </w:t>
      </w:r>
    </w:p>
    <w:p w:rsidR="00BC3F35" w:rsidRPr="00BC3F35" w:rsidRDefault="00BC3F35" w:rsidP="00BC3F35">
      <w:pPr>
        <w:spacing w:line="360" w:lineRule="auto"/>
        <w:ind w:firstLine="1440"/>
      </w:pPr>
    </w:p>
    <w:p w:rsidR="00BC3F35" w:rsidRPr="00BC3F35" w:rsidRDefault="00BC3F35" w:rsidP="00BC3F35">
      <w:pPr>
        <w:spacing w:line="360" w:lineRule="auto"/>
        <w:ind w:firstLine="1440"/>
      </w:pPr>
      <w:r w:rsidRPr="00BC3F35">
        <w:t xml:space="preserve">The estimated and actual access lines assessed to support this TRS program, including the WEI pilot, have declined markedly from 2011 through 2016, from approximately 6.1 million as of December 31, 2011, to approximately 4.7 million 5 years later.  </w:t>
      </w:r>
      <w:r w:rsidR="008F096D">
        <w:t>Further</w:t>
      </w:r>
      <w:r w:rsidRPr="00BC3F35">
        <w:t>, the current WEI is funded exclusively by wireline assessments with no contribution from the wireless providers who provide service to WEI consumers, an issue we recognized in authorizing the pilot but for which we then deferred, and continue to defer, action through at least the full conduct of the pilot.</w:t>
      </w:r>
      <w:r w:rsidRPr="00BC3F35">
        <w:rPr>
          <w:vertAlign w:val="superscript"/>
        </w:rPr>
        <w:footnoteReference w:id="7"/>
      </w:r>
      <w:r w:rsidRPr="00BC3F35">
        <w:t xml:space="preserve">  </w:t>
      </w:r>
    </w:p>
    <w:p w:rsidR="00BC3F35" w:rsidRPr="00BC3F35" w:rsidRDefault="00BC3F35" w:rsidP="00BC3F35">
      <w:pPr>
        <w:spacing w:line="360" w:lineRule="auto"/>
        <w:ind w:firstLine="1440"/>
      </w:pPr>
    </w:p>
    <w:p w:rsidR="00BC3F35" w:rsidRPr="00BC3F35" w:rsidRDefault="00BC3F35" w:rsidP="00BC3F35">
      <w:pPr>
        <w:spacing w:line="360" w:lineRule="auto"/>
        <w:ind w:firstLine="1440"/>
      </w:pPr>
      <w:r w:rsidRPr="00BC3F35">
        <w:t>Moreover, the Federal Communications Commission (FCC) has initiated a proposed rulemaking where it contemplates the shifting of certain federal TRS program costs associated with the Internet Protocol Captioned Telephone Service (</w:t>
      </w:r>
      <w:r w:rsidR="007D4352">
        <w:t>(</w:t>
      </w:r>
      <w:r w:rsidRPr="00BC3F35">
        <w:t>IP CTS</w:t>
      </w:r>
      <w:r w:rsidR="007D4352">
        <w:t>)</w:t>
      </w:r>
      <w:r w:rsidRPr="00BC3F35">
        <w:t xml:space="preserve"> – currently considered a jurisdictionally interstate service even though it also has an intrastate component) to the states.  Although the FCC has not yet acted on this proposed rulemaking, as recently as May 10, 2017, the FCC issued a Public Notice seeking comments on federal TRS-related rates, including the interstate/intrastate IP CTS.  As long as this matter remains open before the FCC, there is a substantial risk for </w:t>
      </w:r>
      <w:r w:rsidRPr="00BC3F35">
        <w:lastRenderedPageBreak/>
        <w:t>Pennsylvania that the FCC may effectuate a jurisdictional cost shift from the federal to the state level because of the observable growth in IP CTS use.</w:t>
      </w:r>
      <w:r w:rsidRPr="00BC3F35">
        <w:rPr>
          <w:vertAlign w:val="superscript"/>
        </w:rPr>
        <w:footnoteReference w:id="8"/>
      </w:r>
    </w:p>
    <w:p w:rsidR="00BC3F35" w:rsidRPr="00BC3F35" w:rsidRDefault="00BC3F35" w:rsidP="00BC3F35">
      <w:pPr>
        <w:spacing w:line="360" w:lineRule="auto"/>
        <w:ind w:firstLine="1440"/>
      </w:pPr>
    </w:p>
    <w:p w:rsidR="00BC3F35" w:rsidRPr="00BC3F35" w:rsidRDefault="00BC3F35" w:rsidP="00BC3F35">
      <w:pPr>
        <w:spacing w:line="360" w:lineRule="auto"/>
        <w:ind w:firstLine="1440"/>
      </w:pPr>
      <w:r w:rsidRPr="00BC3F35">
        <w:t xml:space="preserve">Given the uncertainties that exist with respect to the nature of the program going forward, the desire to evaluate the carrier assessment pool, and potential cost changes at the federal level, we prefer to take a cautious approach today in setting the TRS surcharge for next year, and for that reason </w:t>
      </w:r>
      <w:r w:rsidR="00CA1230">
        <w:t xml:space="preserve">we </w:t>
      </w:r>
      <w:r w:rsidRPr="00BC3F35">
        <w:t>shall make no change to the current $0.08 per line per month charge.  Retention of the current surcharge pending further resolution of these uncertainties ensure</w:t>
      </w:r>
      <w:r w:rsidR="00FA784F">
        <w:t>s</w:t>
      </w:r>
      <w:r w:rsidRPr="00BC3F35">
        <w:t xml:space="preserve"> that the program </w:t>
      </w:r>
      <w:r w:rsidR="0083736D">
        <w:t xml:space="preserve">will have </w:t>
      </w:r>
      <w:r w:rsidR="00CA1230">
        <w:t xml:space="preserve">sufficient </w:t>
      </w:r>
      <w:r w:rsidRPr="00BC3F35">
        <w:t xml:space="preserve">resources to support whatever decisions </w:t>
      </w:r>
      <w:r w:rsidR="00CD5A5E">
        <w:t>we may make to WEI after t</w:t>
      </w:r>
      <w:r w:rsidRPr="00BC3F35">
        <w:t xml:space="preserve">he WEI pilot </w:t>
      </w:r>
      <w:r w:rsidR="00CD5A5E">
        <w:t>program has been completed</w:t>
      </w:r>
      <w:r w:rsidR="00067973">
        <w:t>,</w:t>
      </w:r>
      <w:r w:rsidR="00CD5A5E">
        <w:t xml:space="preserve"> </w:t>
      </w:r>
      <w:r w:rsidRPr="00BC3F35">
        <w:t xml:space="preserve">and </w:t>
      </w:r>
      <w:r w:rsidR="00FA784F">
        <w:t xml:space="preserve">that we are </w:t>
      </w:r>
      <w:r w:rsidR="00067973">
        <w:t>able to respond</w:t>
      </w:r>
      <w:r w:rsidR="00FA784F">
        <w:t xml:space="preserve"> to </w:t>
      </w:r>
      <w:r w:rsidR="0083736D">
        <w:t xml:space="preserve">potential </w:t>
      </w:r>
      <w:r w:rsidRPr="00BC3F35">
        <w:t xml:space="preserve">significant cost increases to the program </w:t>
      </w:r>
      <w:r w:rsidR="00CD5A5E">
        <w:t xml:space="preserve">should </w:t>
      </w:r>
      <w:r w:rsidRPr="00BC3F35">
        <w:t xml:space="preserve">the FCC ultimately allocate certain </w:t>
      </w:r>
      <w:r w:rsidR="005879BD" w:rsidRPr="00BC3F35">
        <w:t xml:space="preserve">IP CTS </w:t>
      </w:r>
      <w:r w:rsidRPr="00BC3F35">
        <w:t>costs currently borne by the federal TRS program</w:t>
      </w:r>
      <w:r w:rsidR="0083736D">
        <w:t xml:space="preserve"> </w:t>
      </w:r>
      <w:r w:rsidR="0083736D" w:rsidRPr="00BC3F35">
        <w:t>to the states</w:t>
      </w:r>
      <w:r w:rsidRPr="00BC3F35">
        <w:t>.</w:t>
      </w:r>
    </w:p>
    <w:p w:rsidR="00372019" w:rsidRPr="002D0091" w:rsidRDefault="00372019" w:rsidP="002D0091">
      <w:pPr>
        <w:spacing w:after="240" w:line="360" w:lineRule="auto"/>
        <w:ind w:firstLine="1440"/>
        <w:contextualSpacing/>
        <w:rPr>
          <w:color w:val="000000"/>
        </w:rPr>
      </w:pPr>
    </w:p>
    <w:p w:rsidR="00631BC2" w:rsidRDefault="00574915" w:rsidP="00372019">
      <w:pPr>
        <w:spacing w:after="240" w:line="360" w:lineRule="auto"/>
        <w:ind w:firstLine="1440"/>
        <w:contextualSpacing/>
        <w:rPr>
          <w:color w:val="000000"/>
        </w:rPr>
      </w:pPr>
      <w:r w:rsidRPr="002D0091">
        <w:rPr>
          <w:color w:val="000000"/>
        </w:rPr>
        <w:t>All TRS surcharge revenues shall continue to be remitted to the Fund Administrator.</w:t>
      </w:r>
      <w:r w:rsidRPr="002D0091">
        <w:rPr>
          <w:rStyle w:val="FootnoteReference"/>
          <w:color w:val="000000"/>
        </w:rPr>
        <w:footnoteReference w:id="9"/>
      </w:r>
      <w:r w:rsidRPr="002D0091">
        <w:rPr>
          <w:color w:val="000000"/>
        </w:rPr>
        <w:t xml:space="preserve">  </w:t>
      </w:r>
      <w:r w:rsidR="00016120">
        <w:rPr>
          <w:color w:val="000000"/>
        </w:rPr>
        <w:t xml:space="preserve">Because the 2017-18 surcharge </w:t>
      </w:r>
      <w:r w:rsidR="00C63F24">
        <w:rPr>
          <w:color w:val="000000"/>
        </w:rPr>
        <w:t xml:space="preserve">will </w:t>
      </w:r>
      <w:r w:rsidR="00380E45">
        <w:rPr>
          <w:color w:val="000000"/>
        </w:rPr>
        <w:t xml:space="preserve">remain </w:t>
      </w:r>
      <w:r w:rsidR="00C63F24">
        <w:rPr>
          <w:color w:val="000000"/>
        </w:rPr>
        <w:t xml:space="preserve">at the same </w:t>
      </w:r>
      <w:r w:rsidR="000C0E03">
        <w:rPr>
          <w:color w:val="000000"/>
        </w:rPr>
        <w:t xml:space="preserve">monthly </w:t>
      </w:r>
      <w:r w:rsidR="00C63F24">
        <w:rPr>
          <w:color w:val="000000"/>
        </w:rPr>
        <w:t>rate of $0.08 that</w:t>
      </w:r>
      <w:r w:rsidR="00380E45">
        <w:rPr>
          <w:color w:val="000000"/>
        </w:rPr>
        <w:t xml:space="preserve"> was previously approved for the 2016-17 period</w:t>
      </w:r>
      <w:r w:rsidR="000C0E03">
        <w:rPr>
          <w:color w:val="000000"/>
        </w:rPr>
        <w:t xml:space="preserve"> for each residence and business access line</w:t>
      </w:r>
      <w:r w:rsidR="00380E45">
        <w:rPr>
          <w:color w:val="000000"/>
        </w:rPr>
        <w:t xml:space="preserve">, it will not be necessary for telephone companies to file </w:t>
      </w:r>
      <w:r w:rsidR="000C0E03">
        <w:rPr>
          <w:color w:val="000000"/>
        </w:rPr>
        <w:t xml:space="preserve">tariff revisions or supplements </w:t>
      </w:r>
      <w:r w:rsidR="000E654C">
        <w:rPr>
          <w:color w:val="000000"/>
        </w:rPr>
        <w:t>as a result of today’s decision.</w:t>
      </w:r>
      <w:r w:rsidR="00BC3F35">
        <w:rPr>
          <w:color w:val="000000"/>
        </w:rPr>
        <w:t xml:space="preserve">  </w:t>
      </w:r>
      <w:r w:rsidR="00C66262" w:rsidRPr="002D0091">
        <w:rPr>
          <w:color w:val="000000"/>
        </w:rPr>
        <w:t>Effective July 1, 20</w:t>
      </w:r>
      <w:r w:rsidR="00CD2B15" w:rsidRPr="002D0091">
        <w:rPr>
          <w:color w:val="000000"/>
        </w:rPr>
        <w:t>1</w:t>
      </w:r>
      <w:r w:rsidR="00412665" w:rsidRPr="002D0091">
        <w:rPr>
          <w:color w:val="000000"/>
        </w:rPr>
        <w:t>7</w:t>
      </w:r>
      <w:r w:rsidR="00C66262" w:rsidRPr="002D0091">
        <w:rPr>
          <w:color w:val="000000"/>
        </w:rPr>
        <w:t xml:space="preserve">, the monthly surcharge </w:t>
      </w:r>
      <w:r w:rsidR="00031809" w:rsidRPr="002D0091">
        <w:rPr>
          <w:color w:val="000000"/>
        </w:rPr>
        <w:t xml:space="preserve">allocation for </w:t>
      </w:r>
      <w:r w:rsidR="002C1EA2" w:rsidRPr="002D0091">
        <w:rPr>
          <w:color w:val="000000"/>
        </w:rPr>
        <w:t xml:space="preserve">each fund account </w:t>
      </w:r>
      <w:r w:rsidR="00CE2309" w:rsidRPr="002D0091">
        <w:rPr>
          <w:color w:val="000000"/>
        </w:rPr>
        <w:t>will be</w:t>
      </w:r>
      <w:r w:rsidR="00B52D11" w:rsidRPr="002D0091">
        <w:rPr>
          <w:color w:val="000000"/>
        </w:rPr>
        <w:t xml:space="preserve"> </w:t>
      </w:r>
      <w:r w:rsidR="00C66262" w:rsidRPr="002D0091">
        <w:rPr>
          <w:color w:val="000000"/>
        </w:rPr>
        <w:t>as follows</w:t>
      </w:r>
      <w:bookmarkStart w:id="3" w:name="_ftnref6"/>
      <w:r w:rsidR="000E27E1" w:rsidRPr="002D0091">
        <w:rPr>
          <w:color w:val="000000"/>
        </w:rPr>
        <w:t>:</w:t>
      </w:r>
      <w:r w:rsidR="00C66262" w:rsidRPr="002D0091">
        <w:rPr>
          <w:rStyle w:val="FootnoteReference"/>
          <w:color w:val="000000"/>
        </w:rPr>
        <w:footnoteReference w:id="10"/>
      </w:r>
      <w:bookmarkEnd w:id="3"/>
    </w:p>
    <w:p w:rsidR="00BC3F35" w:rsidRPr="002D0091" w:rsidRDefault="00BC3F35" w:rsidP="00372019">
      <w:pPr>
        <w:spacing w:after="240" w:line="360" w:lineRule="auto"/>
        <w:ind w:firstLine="1440"/>
        <w:contextualSpacing/>
        <w:rPr>
          <w:color w:val="000000"/>
        </w:rPr>
      </w:pPr>
    </w:p>
    <w:tbl>
      <w:tblPr>
        <w:tblW w:w="0" w:type="auto"/>
        <w:jc w:val="center"/>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2250"/>
        <w:gridCol w:w="2190"/>
      </w:tblGrid>
      <w:tr w:rsidR="00C66262" w:rsidRPr="002D0091" w:rsidTr="00A75196">
        <w:trPr>
          <w:cantSplit/>
          <w:jc w:val="center"/>
        </w:trPr>
        <w:tc>
          <w:tcPr>
            <w:tcW w:w="4440" w:type="dxa"/>
            <w:vAlign w:val="center"/>
          </w:tcPr>
          <w:p w:rsidR="00C66262" w:rsidRPr="00A75196" w:rsidRDefault="00A75196" w:rsidP="00A75196">
            <w:pPr>
              <w:keepNext/>
              <w:keepLines/>
              <w:contextualSpacing/>
              <w:jc w:val="center"/>
              <w:rPr>
                <w:color w:val="000000"/>
              </w:rPr>
            </w:pPr>
            <w:r w:rsidRPr="00A75196">
              <w:rPr>
                <w:color w:val="000000"/>
              </w:rPr>
              <w:t>TRS Component</w:t>
            </w:r>
          </w:p>
        </w:tc>
        <w:tc>
          <w:tcPr>
            <w:tcW w:w="4440" w:type="dxa"/>
            <w:gridSpan w:val="2"/>
          </w:tcPr>
          <w:p w:rsidR="000E654C" w:rsidRDefault="00C66262" w:rsidP="00BC3F35">
            <w:pPr>
              <w:keepNext/>
              <w:keepLines/>
              <w:contextualSpacing/>
              <w:jc w:val="center"/>
              <w:rPr>
                <w:color w:val="000000"/>
              </w:rPr>
            </w:pPr>
            <w:r w:rsidRPr="002D0091">
              <w:rPr>
                <w:color w:val="000000"/>
              </w:rPr>
              <w:t>20</w:t>
            </w:r>
            <w:r w:rsidR="0099572A" w:rsidRPr="002D0091">
              <w:rPr>
                <w:color w:val="000000"/>
              </w:rPr>
              <w:t>1</w:t>
            </w:r>
            <w:r w:rsidR="00412665" w:rsidRPr="002D0091">
              <w:rPr>
                <w:color w:val="000000"/>
              </w:rPr>
              <w:t>7</w:t>
            </w:r>
            <w:r w:rsidRPr="002D0091">
              <w:rPr>
                <w:color w:val="000000"/>
              </w:rPr>
              <w:t>-20</w:t>
            </w:r>
            <w:r w:rsidR="0099572A" w:rsidRPr="002D0091">
              <w:rPr>
                <w:color w:val="000000"/>
              </w:rPr>
              <w:t>1</w:t>
            </w:r>
            <w:r w:rsidR="00412665" w:rsidRPr="002D0091">
              <w:rPr>
                <w:color w:val="000000"/>
              </w:rPr>
              <w:t>8</w:t>
            </w:r>
          </w:p>
          <w:p w:rsidR="00C66262" w:rsidRPr="00A75196" w:rsidRDefault="00A75196" w:rsidP="00A75196">
            <w:pPr>
              <w:keepNext/>
              <w:keepLines/>
              <w:contextualSpacing/>
              <w:jc w:val="center"/>
              <w:rPr>
                <w:color w:val="000000"/>
              </w:rPr>
            </w:pPr>
            <w:r>
              <w:rPr>
                <w:color w:val="000000"/>
              </w:rPr>
              <w:t xml:space="preserve">Percentage of </w:t>
            </w:r>
            <w:r w:rsidR="00C66262" w:rsidRPr="00A75196">
              <w:rPr>
                <w:color w:val="000000"/>
              </w:rPr>
              <w:t>Monthly Surcharge</w:t>
            </w:r>
          </w:p>
        </w:tc>
      </w:tr>
      <w:tr w:rsidR="00C66262" w:rsidRPr="002D0091" w:rsidTr="000E654C">
        <w:trPr>
          <w:cantSplit/>
          <w:jc w:val="center"/>
        </w:trPr>
        <w:tc>
          <w:tcPr>
            <w:tcW w:w="4440" w:type="dxa"/>
          </w:tcPr>
          <w:p w:rsidR="00C66262" w:rsidRPr="002D0091" w:rsidRDefault="00C66262" w:rsidP="00BC3F35">
            <w:pPr>
              <w:keepNext/>
              <w:keepLines/>
              <w:contextualSpacing/>
              <w:rPr>
                <w:color w:val="000000"/>
              </w:rPr>
            </w:pPr>
          </w:p>
        </w:tc>
        <w:tc>
          <w:tcPr>
            <w:tcW w:w="2250" w:type="dxa"/>
          </w:tcPr>
          <w:p w:rsidR="00C66262" w:rsidRPr="002D0091" w:rsidRDefault="000E654C" w:rsidP="000E654C">
            <w:pPr>
              <w:keepNext/>
              <w:keepLines/>
              <w:contextualSpacing/>
              <w:jc w:val="center"/>
              <w:rPr>
                <w:color w:val="000000"/>
                <w:u w:val="single"/>
              </w:rPr>
            </w:pPr>
            <w:r w:rsidRPr="000E654C">
              <w:rPr>
                <w:color w:val="000000"/>
              </w:rPr>
              <w:t xml:space="preserve">  </w:t>
            </w:r>
            <w:r w:rsidR="00C66262" w:rsidRPr="002D0091">
              <w:rPr>
                <w:color w:val="000000"/>
                <w:u w:val="single"/>
              </w:rPr>
              <w:t>Residence</w:t>
            </w:r>
            <w:r w:rsidR="00893546" w:rsidRPr="002D0091">
              <w:rPr>
                <w:color w:val="000000"/>
                <w:u w:val="single"/>
              </w:rPr>
              <w:t xml:space="preserve"> </w:t>
            </w:r>
            <w:r>
              <w:rPr>
                <w:color w:val="000000"/>
                <w:u w:val="single"/>
              </w:rPr>
              <w:t xml:space="preserve">            (</w:t>
            </w:r>
            <w:r w:rsidR="00893546" w:rsidRPr="002D0091">
              <w:rPr>
                <w:color w:val="000000"/>
                <w:u w:val="single"/>
              </w:rPr>
              <w:t>%</w:t>
            </w:r>
            <w:r>
              <w:rPr>
                <w:color w:val="000000"/>
                <w:u w:val="single"/>
              </w:rPr>
              <w:t>)</w:t>
            </w:r>
          </w:p>
        </w:tc>
        <w:tc>
          <w:tcPr>
            <w:tcW w:w="2190" w:type="dxa"/>
          </w:tcPr>
          <w:p w:rsidR="000E654C" w:rsidRDefault="00C66262" w:rsidP="00BC3F35">
            <w:pPr>
              <w:keepNext/>
              <w:keepLines/>
              <w:contextualSpacing/>
              <w:jc w:val="center"/>
              <w:rPr>
                <w:color w:val="000000"/>
                <w:u w:val="single"/>
              </w:rPr>
            </w:pPr>
            <w:r w:rsidRPr="002D0091">
              <w:rPr>
                <w:color w:val="000000"/>
                <w:u w:val="single"/>
              </w:rPr>
              <w:t>Business</w:t>
            </w:r>
          </w:p>
          <w:p w:rsidR="00C66262" w:rsidRPr="002D0091" w:rsidRDefault="000E654C" w:rsidP="00BC3F35">
            <w:pPr>
              <w:keepNext/>
              <w:keepLines/>
              <w:contextualSpacing/>
              <w:jc w:val="center"/>
              <w:rPr>
                <w:color w:val="000000"/>
                <w:u w:val="single"/>
              </w:rPr>
            </w:pPr>
            <w:r>
              <w:rPr>
                <w:color w:val="000000"/>
                <w:u w:val="single"/>
              </w:rPr>
              <w:t>(</w:t>
            </w:r>
            <w:r w:rsidR="00AF7DF2" w:rsidRPr="002D0091">
              <w:rPr>
                <w:color w:val="000000"/>
                <w:u w:val="single"/>
              </w:rPr>
              <w:t>%</w:t>
            </w:r>
            <w:r>
              <w:rPr>
                <w:color w:val="000000"/>
                <w:u w:val="single"/>
              </w:rPr>
              <w:t>)</w:t>
            </w:r>
          </w:p>
        </w:tc>
      </w:tr>
      <w:tr w:rsidR="00C66262" w:rsidRPr="002D0091" w:rsidTr="000E654C">
        <w:trPr>
          <w:cantSplit/>
          <w:jc w:val="center"/>
        </w:trPr>
        <w:tc>
          <w:tcPr>
            <w:tcW w:w="4440" w:type="dxa"/>
          </w:tcPr>
          <w:p w:rsidR="00C66262" w:rsidRPr="002D0091" w:rsidRDefault="008E1448" w:rsidP="00BC3F35">
            <w:pPr>
              <w:keepNext/>
              <w:keepLines/>
              <w:contextualSpacing/>
              <w:rPr>
                <w:color w:val="000000"/>
              </w:rPr>
            </w:pPr>
            <w:r w:rsidRPr="002D0091">
              <w:rPr>
                <w:color w:val="000000"/>
              </w:rPr>
              <w:t>Relay</w:t>
            </w:r>
          </w:p>
        </w:tc>
        <w:tc>
          <w:tcPr>
            <w:tcW w:w="2250" w:type="dxa"/>
          </w:tcPr>
          <w:p w:rsidR="00C66262" w:rsidRPr="002D0091" w:rsidRDefault="00CE2309" w:rsidP="00BC3F35">
            <w:pPr>
              <w:keepNext/>
              <w:keepLines/>
              <w:contextualSpacing/>
              <w:jc w:val="center"/>
              <w:rPr>
                <w:color w:val="000000"/>
              </w:rPr>
            </w:pPr>
            <w:r w:rsidRPr="002D0091">
              <w:rPr>
                <w:color w:val="000000"/>
              </w:rPr>
              <w:t xml:space="preserve">  </w:t>
            </w:r>
            <w:r w:rsidR="00412665" w:rsidRPr="002D0091">
              <w:rPr>
                <w:color w:val="000000"/>
              </w:rPr>
              <w:t>85</w:t>
            </w:r>
            <w:r w:rsidR="008E1448" w:rsidRPr="002D0091">
              <w:rPr>
                <w:color w:val="000000"/>
              </w:rPr>
              <w:t>.0</w:t>
            </w:r>
          </w:p>
        </w:tc>
        <w:tc>
          <w:tcPr>
            <w:tcW w:w="2190" w:type="dxa"/>
          </w:tcPr>
          <w:p w:rsidR="00C66262" w:rsidRPr="002D0091" w:rsidRDefault="00CE2309" w:rsidP="00BC3F35">
            <w:pPr>
              <w:keepNext/>
              <w:keepLines/>
              <w:contextualSpacing/>
              <w:jc w:val="center"/>
              <w:rPr>
                <w:color w:val="000000"/>
              </w:rPr>
            </w:pPr>
            <w:r w:rsidRPr="002D0091">
              <w:rPr>
                <w:color w:val="000000"/>
              </w:rPr>
              <w:t xml:space="preserve">  </w:t>
            </w:r>
            <w:r w:rsidR="00412665" w:rsidRPr="002D0091">
              <w:rPr>
                <w:color w:val="000000"/>
              </w:rPr>
              <w:t>85</w:t>
            </w:r>
            <w:r w:rsidR="002B63BA" w:rsidRPr="002D0091">
              <w:rPr>
                <w:color w:val="000000"/>
              </w:rPr>
              <w:t>.0</w:t>
            </w:r>
          </w:p>
        </w:tc>
      </w:tr>
      <w:tr w:rsidR="00C66262" w:rsidRPr="002D0091" w:rsidTr="000E654C">
        <w:trPr>
          <w:cantSplit/>
          <w:jc w:val="center"/>
        </w:trPr>
        <w:tc>
          <w:tcPr>
            <w:tcW w:w="4440" w:type="dxa"/>
          </w:tcPr>
          <w:p w:rsidR="00C66262" w:rsidRPr="002D0091" w:rsidRDefault="008E1448" w:rsidP="00BC3F35">
            <w:pPr>
              <w:keepNext/>
              <w:keepLines/>
              <w:contextualSpacing/>
              <w:rPr>
                <w:color w:val="000000"/>
              </w:rPr>
            </w:pPr>
            <w:r w:rsidRPr="002D0091">
              <w:rPr>
                <w:color w:val="000000"/>
              </w:rPr>
              <w:t>TDDP</w:t>
            </w:r>
          </w:p>
        </w:tc>
        <w:tc>
          <w:tcPr>
            <w:tcW w:w="2250" w:type="dxa"/>
          </w:tcPr>
          <w:p w:rsidR="00C66262" w:rsidRPr="002D0091" w:rsidRDefault="00CE2309" w:rsidP="00BC3F35">
            <w:pPr>
              <w:keepNext/>
              <w:keepLines/>
              <w:contextualSpacing/>
              <w:jc w:val="center"/>
              <w:rPr>
                <w:color w:val="000000"/>
              </w:rPr>
            </w:pPr>
            <w:r w:rsidRPr="002D0091">
              <w:rPr>
                <w:color w:val="000000"/>
              </w:rPr>
              <w:t xml:space="preserve">  </w:t>
            </w:r>
            <w:r w:rsidR="00412665" w:rsidRPr="002D0091">
              <w:rPr>
                <w:color w:val="000000"/>
              </w:rPr>
              <w:t>10</w:t>
            </w:r>
            <w:r w:rsidR="00893546" w:rsidRPr="002D0091">
              <w:rPr>
                <w:color w:val="000000"/>
              </w:rPr>
              <w:t>.0</w:t>
            </w:r>
          </w:p>
        </w:tc>
        <w:tc>
          <w:tcPr>
            <w:tcW w:w="2190" w:type="dxa"/>
          </w:tcPr>
          <w:p w:rsidR="00C66262" w:rsidRPr="002D0091" w:rsidRDefault="00CE2309" w:rsidP="00BC3F35">
            <w:pPr>
              <w:keepNext/>
              <w:keepLines/>
              <w:contextualSpacing/>
              <w:jc w:val="center"/>
              <w:rPr>
                <w:color w:val="000000"/>
              </w:rPr>
            </w:pPr>
            <w:r w:rsidRPr="002D0091">
              <w:rPr>
                <w:color w:val="000000"/>
              </w:rPr>
              <w:t xml:space="preserve">  </w:t>
            </w:r>
            <w:r w:rsidR="00412665" w:rsidRPr="002D0091">
              <w:rPr>
                <w:color w:val="000000"/>
              </w:rPr>
              <w:t>10</w:t>
            </w:r>
            <w:r w:rsidR="002B63BA" w:rsidRPr="002D0091">
              <w:rPr>
                <w:color w:val="000000"/>
              </w:rPr>
              <w:t>.0</w:t>
            </w:r>
          </w:p>
        </w:tc>
      </w:tr>
      <w:tr w:rsidR="00C66262" w:rsidRPr="002D0091" w:rsidTr="000E654C">
        <w:trPr>
          <w:cantSplit/>
          <w:jc w:val="center"/>
        </w:trPr>
        <w:tc>
          <w:tcPr>
            <w:tcW w:w="4440" w:type="dxa"/>
          </w:tcPr>
          <w:p w:rsidR="00C66262" w:rsidRPr="002D0091" w:rsidRDefault="008E1448" w:rsidP="00BC3F35">
            <w:pPr>
              <w:keepNext/>
              <w:keepLines/>
              <w:contextualSpacing/>
              <w:rPr>
                <w:color w:val="000000"/>
              </w:rPr>
            </w:pPr>
            <w:r w:rsidRPr="002D0091">
              <w:rPr>
                <w:color w:val="000000"/>
              </w:rPr>
              <w:t>PMASP</w:t>
            </w:r>
          </w:p>
        </w:tc>
        <w:tc>
          <w:tcPr>
            <w:tcW w:w="2250" w:type="dxa"/>
          </w:tcPr>
          <w:p w:rsidR="00C66262" w:rsidRPr="002D0091" w:rsidRDefault="00954F4B" w:rsidP="00BC3F35">
            <w:pPr>
              <w:keepNext/>
              <w:keepLines/>
              <w:contextualSpacing/>
              <w:jc w:val="center"/>
              <w:rPr>
                <w:color w:val="000000"/>
                <w:u w:val="single"/>
              </w:rPr>
            </w:pPr>
            <w:r w:rsidRPr="002D0091">
              <w:rPr>
                <w:color w:val="000000"/>
                <w:u w:val="single"/>
              </w:rPr>
              <w:t xml:space="preserve"> </w:t>
            </w:r>
            <w:r w:rsidR="00CA0259" w:rsidRPr="002D0091">
              <w:rPr>
                <w:color w:val="000000"/>
                <w:u w:val="single"/>
              </w:rPr>
              <w:t xml:space="preserve"> </w:t>
            </w:r>
            <w:r w:rsidR="00CE2309" w:rsidRPr="002D0091">
              <w:rPr>
                <w:color w:val="000000"/>
                <w:u w:val="single"/>
              </w:rPr>
              <w:t xml:space="preserve">  </w:t>
            </w:r>
            <w:r w:rsidR="00C05CF2" w:rsidRPr="002D0091">
              <w:rPr>
                <w:color w:val="000000"/>
                <w:u w:val="single"/>
              </w:rPr>
              <w:t>5</w:t>
            </w:r>
            <w:r w:rsidR="00893546" w:rsidRPr="002D0091">
              <w:rPr>
                <w:color w:val="000000"/>
                <w:u w:val="single"/>
              </w:rPr>
              <w:t>.0</w:t>
            </w:r>
          </w:p>
        </w:tc>
        <w:tc>
          <w:tcPr>
            <w:tcW w:w="2190" w:type="dxa"/>
          </w:tcPr>
          <w:p w:rsidR="00C66262" w:rsidRPr="002D0091" w:rsidRDefault="00954F4B" w:rsidP="00BC3F35">
            <w:pPr>
              <w:keepNext/>
              <w:keepLines/>
              <w:contextualSpacing/>
              <w:jc w:val="center"/>
              <w:rPr>
                <w:color w:val="000000"/>
                <w:u w:val="single"/>
              </w:rPr>
            </w:pPr>
            <w:r w:rsidRPr="002D0091">
              <w:rPr>
                <w:color w:val="000000"/>
                <w:u w:val="single"/>
              </w:rPr>
              <w:t xml:space="preserve"> </w:t>
            </w:r>
            <w:r w:rsidR="00CE2309" w:rsidRPr="002D0091">
              <w:rPr>
                <w:color w:val="000000"/>
                <w:u w:val="single"/>
              </w:rPr>
              <w:t xml:space="preserve">  </w:t>
            </w:r>
            <w:r w:rsidR="00CA0259" w:rsidRPr="002D0091">
              <w:rPr>
                <w:color w:val="000000"/>
                <w:u w:val="single"/>
              </w:rPr>
              <w:t xml:space="preserve"> </w:t>
            </w:r>
            <w:r w:rsidR="00C05CF2" w:rsidRPr="002D0091">
              <w:rPr>
                <w:color w:val="000000"/>
                <w:u w:val="single"/>
              </w:rPr>
              <w:t>5</w:t>
            </w:r>
            <w:r w:rsidR="00CA0259" w:rsidRPr="002D0091">
              <w:rPr>
                <w:color w:val="000000"/>
                <w:u w:val="single"/>
              </w:rPr>
              <w:t>.</w:t>
            </w:r>
            <w:r w:rsidR="002B63BA" w:rsidRPr="002D0091">
              <w:rPr>
                <w:color w:val="000000"/>
                <w:u w:val="single"/>
              </w:rPr>
              <w:t>0</w:t>
            </w:r>
          </w:p>
        </w:tc>
      </w:tr>
      <w:tr w:rsidR="00C66262" w:rsidRPr="002D0091" w:rsidTr="000E654C">
        <w:trPr>
          <w:cantSplit/>
          <w:jc w:val="center"/>
        </w:trPr>
        <w:tc>
          <w:tcPr>
            <w:tcW w:w="4440" w:type="dxa"/>
          </w:tcPr>
          <w:p w:rsidR="00C66262" w:rsidRPr="002D0091" w:rsidRDefault="008E1448" w:rsidP="007D4352">
            <w:pPr>
              <w:keepNext/>
              <w:keepLines/>
              <w:contextualSpacing/>
              <w:rPr>
                <w:color w:val="000000"/>
              </w:rPr>
            </w:pPr>
            <w:r w:rsidRPr="002D0091">
              <w:rPr>
                <w:color w:val="000000"/>
              </w:rPr>
              <w:t>Total Percentage</w:t>
            </w:r>
          </w:p>
        </w:tc>
        <w:tc>
          <w:tcPr>
            <w:tcW w:w="2250" w:type="dxa"/>
          </w:tcPr>
          <w:p w:rsidR="00C66262" w:rsidRPr="002D0091" w:rsidRDefault="00893546" w:rsidP="00BC3F35">
            <w:pPr>
              <w:keepNext/>
              <w:keepLines/>
              <w:contextualSpacing/>
              <w:jc w:val="center"/>
              <w:rPr>
                <w:color w:val="000000"/>
              </w:rPr>
            </w:pPr>
            <w:r w:rsidRPr="002D0091">
              <w:rPr>
                <w:color w:val="000000"/>
              </w:rPr>
              <w:t xml:space="preserve">100.0 </w:t>
            </w:r>
          </w:p>
        </w:tc>
        <w:tc>
          <w:tcPr>
            <w:tcW w:w="2190" w:type="dxa"/>
          </w:tcPr>
          <w:p w:rsidR="00C66262" w:rsidRPr="002D0091" w:rsidRDefault="002B63BA" w:rsidP="00BC3F35">
            <w:pPr>
              <w:keepNext/>
              <w:keepLines/>
              <w:contextualSpacing/>
              <w:jc w:val="center"/>
              <w:rPr>
                <w:color w:val="000000"/>
              </w:rPr>
            </w:pPr>
            <w:r w:rsidRPr="002D0091">
              <w:rPr>
                <w:color w:val="000000"/>
              </w:rPr>
              <w:t>100.0</w:t>
            </w:r>
          </w:p>
        </w:tc>
      </w:tr>
    </w:tbl>
    <w:p w:rsidR="008C6F4D" w:rsidRDefault="008C6F4D" w:rsidP="002D0091">
      <w:pPr>
        <w:spacing w:line="360" w:lineRule="auto"/>
        <w:contextualSpacing/>
        <w:rPr>
          <w:color w:val="000000"/>
        </w:rPr>
      </w:pPr>
    </w:p>
    <w:p w:rsidR="00067973" w:rsidRPr="002D0091" w:rsidRDefault="00067973" w:rsidP="002D0091">
      <w:pPr>
        <w:spacing w:line="360" w:lineRule="auto"/>
        <w:contextualSpacing/>
        <w:rPr>
          <w:color w:val="000000"/>
        </w:rPr>
      </w:pPr>
    </w:p>
    <w:p w:rsidR="005B10C6" w:rsidRPr="00342CA2" w:rsidRDefault="005B10C6" w:rsidP="00734F19">
      <w:pPr>
        <w:keepNext/>
        <w:keepLines/>
        <w:spacing w:after="240" w:line="360" w:lineRule="auto"/>
        <w:contextualSpacing/>
        <w:rPr>
          <w:b/>
          <w:color w:val="000000"/>
        </w:rPr>
      </w:pPr>
      <w:r w:rsidRPr="00342CA2">
        <w:rPr>
          <w:b/>
          <w:color w:val="000000"/>
        </w:rPr>
        <w:t>Operations for 20</w:t>
      </w:r>
      <w:r w:rsidR="0039034B" w:rsidRPr="00342CA2">
        <w:rPr>
          <w:b/>
          <w:color w:val="000000"/>
        </w:rPr>
        <w:t>1</w:t>
      </w:r>
      <w:r w:rsidR="00412665" w:rsidRPr="00342CA2">
        <w:rPr>
          <w:b/>
          <w:color w:val="000000"/>
        </w:rPr>
        <w:t>7</w:t>
      </w:r>
      <w:r w:rsidRPr="00342CA2">
        <w:rPr>
          <w:b/>
          <w:color w:val="000000"/>
        </w:rPr>
        <w:t xml:space="preserve"> – 201</w:t>
      </w:r>
      <w:r w:rsidR="00412665" w:rsidRPr="00342CA2">
        <w:rPr>
          <w:b/>
          <w:color w:val="000000"/>
        </w:rPr>
        <w:t>8</w:t>
      </w:r>
      <w:bookmarkStart w:id="4" w:name="here"/>
      <w:bookmarkEnd w:id="4"/>
    </w:p>
    <w:p w:rsidR="00342CA2" w:rsidRDefault="00342CA2" w:rsidP="00734F19">
      <w:pPr>
        <w:keepNext/>
        <w:keepLines/>
        <w:spacing w:after="240" w:line="360" w:lineRule="auto"/>
        <w:ind w:firstLine="1440"/>
        <w:contextualSpacing/>
        <w:rPr>
          <w:color w:val="000000"/>
        </w:rPr>
      </w:pPr>
    </w:p>
    <w:p w:rsidR="00C66262" w:rsidRDefault="00C66262" w:rsidP="002D0091">
      <w:pPr>
        <w:spacing w:after="240" w:line="360" w:lineRule="auto"/>
        <w:ind w:firstLine="1440"/>
        <w:contextualSpacing/>
      </w:pPr>
      <w:r w:rsidRPr="002D0091">
        <w:rPr>
          <w:color w:val="000000"/>
        </w:rPr>
        <w:t xml:space="preserve">We shall continue our active oversight of the operations of the Pennsylvania </w:t>
      </w:r>
      <w:r w:rsidR="00066368" w:rsidRPr="002D0091">
        <w:rPr>
          <w:color w:val="000000"/>
        </w:rPr>
        <w:t xml:space="preserve">Telecommunications </w:t>
      </w:r>
      <w:r w:rsidRPr="002D0091">
        <w:rPr>
          <w:color w:val="000000"/>
        </w:rPr>
        <w:t>R</w:t>
      </w:r>
      <w:r w:rsidR="001C44FA" w:rsidRPr="002D0091">
        <w:rPr>
          <w:color w:val="000000"/>
        </w:rPr>
        <w:t>elay</w:t>
      </w:r>
      <w:r w:rsidR="00066368" w:rsidRPr="002D0091">
        <w:rPr>
          <w:color w:val="000000"/>
        </w:rPr>
        <w:t xml:space="preserve"> Service</w:t>
      </w:r>
      <w:r w:rsidR="00A45C81" w:rsidRPr="002D0091">
        <w:rPr>
          <w:color w:val="000000"/>
        </w:rPr>
        <w:t xml:space="preserve">.  </w:t>
      </w:r>
      <w:r w:rsidR="007B0389">
        <w:rPr>
          <w:color w:val="000000"/>
        </w:rPr>
        <w:t>In</w:t>
      </w:r>
      <w:r w:rsidR="00A45C81" w:rsidRPr="002D0091">
        <w:rPr>
          <w:color w:val="000000"/>
        </w:rPr>
        <w:t xml:space="preserve"> accordance with 35 </w:t>
      </w:r>
      <w:r w:rsidR="00897672" w:rsidRPr="002D0091">
        <w:rPr>
          <w:color w:val="000000"/>
        </w:rPr>
        <w:t>P.S. </w:t>
      </w:r>
      <w:r w:rsidR="00A45C81" w:rsidRPr="002D0091">
        <w:rPr>
          <w:color w:val="000000"/>
        </w:rPr>
        <w:t>§§</w:t>
      </w:r>
      <w:r w:rsidR="00897672" w:rsidRPr="002D0091">
        <w:rPr>
          <w:color w:val="000000"/>
        </w:rPr>
        <w:t> </w:t>
      </w:r>
      <w:r w:rsidR="00A45C81" w:rsidRPr="002D0091">
        <w:rPr>
          <w:color w:val="000000"/>
        </w:rPr>
        <w:t xml:space="preserve">6701.3a </w:t>
      </w:r>
      <w:r w:rsidR="00A45C81" w:rsidRPr="002D0091">
        <w:t xml:space="preserve">&amp; 4, we </w:t>
      </w:r>
      <w:r w:rsidR="004D2F65" w:rsidRPr="002D0091">
        <w:rPr>
          <w:color w:val="000000"/>
        </w:rPr>
        <w:t xml:space="preserve">shall </w:t>
      </w:r>
      <w:r w:rsidRPr="002D0091">
        <w:rPr>
          <w:color w:val="000000"/>
        </w:rPr>
        <w:t>continue to collaborate with OVR and its TDDP administrator</w:t>
      </w:r>
      <w:r w:rsidR="004F6E39" w:rsidRPr="002D0091">
        <w:rPr>
          <w:rStyle w:val="FootnoteReference"/>
          <w:color w:val="000000"/>
        </w:rPr>
        <w:footnoteReference w:id="11"/>
      </w:r>
      <w:r w:rsidRPr="002D0091">
        <w:rPr>
          <w:color w:val="000000"/>
        </w:rPr>
        <w:t xml:space="preserve"> to ensure </w:t>
      </w:r>
      <w:r w:rsidR="001C44FA" w:rsidRPr="002D0091">
        <w:rPr>
          <w:color w:val="000000"/>
        </w:rPr>
        <w:t xml:space="preserve">adequate funding for </w:t>
      </w:r>
      <w:r w:rsidRPr="002D0091">
        <w:rPr>
          <w:color w:val="000000"/>
        </w:rPr>
        <w:t xml:space="preserve">distribution of TDDP equipment to </w:t>
      </w:r>
      <w:r w:rsidR="00651D10" w:rsidRPr="002D0091">
        <w:rPr>
          <w:color w:val="000000"/>
        </w:rPr>
        <w:t>qualified Pennsylvanians</w:t>
      </w:r>
      <w:r w:rsidR="00942DAC" w:rsidRPr="002D0091">
        <w:rPr>
          <w:color w:val="000000"/>
        </w:rPr>
        <w:t xml:space="preserve">.  Further, we shall continue to assist OVR in its mission </w:t>
      </w:r>
      <w:r w:rsidR="001C44FA" w:rsidRPr="002D0091">
        <w:rPr>
          <w:color w:val="000000"/>
        </w:rPr>
        <w:t>to ensure adequate funding for</w:t>
      </w:r>
      <w:r w:rsidR="00476BEE" w:rsidRPr="002D0091">
        <w:rPr>
          <w:color w:val="000000"/>
        </w:rPr>
        <w:t xml:space="preserve"> </w:t>
      </w:r>
      <w:r w:rsidR="001C44FA" w:rsidRPr="002D0091">
        <w:rPr>
          <w:color w:val="000000"/>
        </w:rPr>
        <w:t>PMASP</w:t>
      </w:r>
      <w:r w:rsidR="001C44FA" w:rsidRPr="002D0091">
        <w:rPr>
          <w:i/>
        </w:rPr>
        <w:t>.</w:t>
      </w:r>
      <w:r w:rsidR="001C44FA" w:rsidRPr="002D0091">
        <w:t xml:space="preserve"> </w:t>
      </w:r>
    </w:p>
    <w:p w:rsidR="00372019" w:rsidRPr="002D0091" w:rsidRDefault="00372019" w:rsidP="002D0091">
      <w:pPr>
        <w:spacing w:after="240" w:line="360" w:lineRule="auto"/>
        <w:ind w:firstLine="1440"/>
        <w:contextualSpacing/>
      </w:pPr>
    </w:p>
    <w:p w:rsidR="009C507D" w:rsidRPr="00342CA2" w:rsidRDefault="009C507D" w:rsidP="00734F19">
      <w:pPr>
        <w:keepNext/>
        <w:keepLines/>
        <w:spacing w:after="240" w:line="360" w:lineRule="auto"/>
        <w:contextualSpacing/>
        <w:rPr>
          <w:b/>
        </w:rPr>
      </w:pPr>
      <w:r w:rsidRPr="00342CA2">
        <w:rPr>
          <w:b/>
        </w:rPr>
        <w:t>Audits</w:t>
      </w:r>
    </w:p>
    <w:p w:rsidR="00372019" w:rsidRPr="002D0091" w:rsidRDefault="00372019" w:rsidP="00734F19">
      <w:pPr>
        <w:keepNext/>
        <w:keepLines/>
        <w:spacing w:after="240" w:line="360" w:lineRule="auto"/>
        <w:contextualSpacing/>
        <w:rPr>
          <w:b/>
          <w:u w:val="single"/>
        </w:rPr>
      </w:pPr>
    </w:p>
    <w:p w:rsidR="00372D05" w:rsidRPr="002D0091" w:rsidRDefault="009F5330" w:rsidP="002D0091">
      <w:pPr>
        <w:spacing w:after="240" w:line="360" w:lineRule="auto"/>
        <w:ind w:firstLine="1440"/>
        <w:contextualSpacing/>
        <w:rPr>
          <w:rFonts w:eastAsiaTheme="minorHAnsi"/>
        </w:rPr>
      </w:pPr>
      <w:r w:rsidRPr="002D0091">
        <w:rPr>
          <w:rFonts w:eastAsiaTheme="minorHAnsi"/>
        </w:rPr>
        <w:t>On July 7, 2015, the Commission’s Bureau of Audits</w:t>
      </w:r>
      <w:r w:rsidR="00372D05" w:rsidRPr="002D0091">
        <w:rPr>
          <w:rFonts w:eastAsiaTheme="minorHAnsi"/>
        </w:rPr>
        <w:t xml:space="preserve"> (Audits) </w:t>
      </w:r>
      <w:r w:rsidRPr="002D0091">
        <w:rPr>
          <w:rFonts w:eastAsiaTheme="minorHAnsi"/>
        </w:rPr>
        <w:t>issued the audit report for TDDP and PMASP covering the twelve-month periods ended June 30, 2013, and June 30, 2012, at Docket No. D-2014-2406981.</w:t>
      </w:r>
      <w:r w:rsidR="00372D05" w:rsidRPr="002D0091">
        <w:rPr>
          <w:rFonts w:eastAsiaTheme="minorHAnsi"/>
        </w:rPr>
        <w:t xml:space="preserve">  </w:t>
      </w:r>
    </w:p>
    <w:p w:rsidR="00372019" w:rsidRDefault="00372019" w:rsidP="002D0091">
      <w:pPr>
        <w:spacing w:after="240" w:line="360" w:lineRule="auto"/>
        <w:ind w:firstLine="1440"/>
        <w:contextualSpacing/>
        <w:rPr>
          <w:rFonts w:eastAsiaTheme="minorHAnsi"/>
        </w:rPr>
      </w:pPr>
    </w:p>
    <w:p w:rsidR="00897672" w:rsidRDefault="003C4D76" w:rsidP="002D0091">
      <w:pPr>
        <w:spacing w:after="240" w:line="360" w:lineRule="auto"/>
        <w:ind w:firstLine="1440"/>
        <w:contextualSpacing/>
      </w:pPr>
      <w:r w:rsidRPr="002D0091">
        <w:rPr>
          <w:rFonts w:eastAsiaTheme="minorHAnsi"/>
        </w:rPr>
        <w:t>Audits has also completed t</w:t>
      </w:r>
      <w:r w:rsidR="00372D05" w:rsidRPr="002D0091">
        <w:rPr>
          <w:rFonts w:eastAsiaTheme="minorHAnsi"/>
        </w:rPr>
        <w:t>he audit of the TRS Program</w:t>
      </w:r>
      <w:r w:rsidRPr="002D0091">
        <w:t xml:space="preserve"> (collection and disbursement of the TRS funds)</w:t>
      </w:r>
      <w:r w:rsidR="00372D05" w:rsidRPr="002D0091">
        <w:t xml:space="preserve"> for</w:t>
      </w:r>
      <w:r w:rsidR="009F5330" w:rsidRPr="002D0091">
        <w:t xml:space="preserve"> the twelve</w:t>
      </w:r>
      <w:r w:rsidR="009F5330" w:rsidRPr="002D0091">
        <w:noBreakHyphen/>
        <w:t>month periods</w:t>
      </w:r>
      <w:r w:rsidR="00B918E6" w:rsidRPr="002D0091">
        <w:t xml:space="preserve"> ended February 29, 2016, </w:t>
      </w:r>
      <w:r w:rsidR="00B918E6" w:rsidRPr="002D0091">
        <w:lastRenderedPageBreak/>
        <w:t>February 28, 2015, February 28, 2014, and February 28, 2013</w:t>
      </w:r>
      <w:r w:rsidR="009F5330" w:rsidRPr="002D0091">
        <w:t>,</w:t>
      </w:r>
      <w:r w:rsidRPr="002D0091">
        <w:t xml:space="preserve"> and</w:t>
      </w:r>
      <w:r w:rsidR="00372D05" w:rsidRPr="002D0091">
        <w:t xml:space="preserve"> the audit report is in the final stages of preparation.</w:t>
      </w:r>
    </w:p>
    <w:p w:rsidR="00372019" w:rsidRPr="002D0091" w:rsidRDefault="00372019" w:rsidP="002D0091">
      <w:pPr>
        <w:spacing w:after="240" w:line="360" w:lineRule="auto"/>
        <w:ind w:firstLine="1440"/>
        <w:contextualSpacing/>
        <w:rPr>
          <w:rFonts w:eastAsiaTheme="minorHAnsi"/>
        </w:rPr>
      </w:pPr>
    </w:p>
    <w:p w:rsidR="00F650B5" w:rsidRPr="00342CA2" w:rsidRDefault="004300CF" w:rsidP="00BC3F3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contextualSpacing/>
        <w:rPr>
          <w:b/>
        </w:rPr>
      </w:pPr>
      <w:r w:rsidRPr="00342CA2">
        <w:rPr>
          <w:b/>
        </w:rPr>
        <w:t>Service of Paper Copies</w:t>
      </w:r>
    </w:p>
    <w:p w:rsidR="00372019" w:rsidRDefault="00372019" w:rsidP="00BC3F35">
      <w:pPr>
        <w:keepNext/>
        <w:keepLines/>
        <w:spacing w:after="240" w:line="360" w:lineRule="auto"/>
        <w:ind w:firstLine="1440"/>
        <w:contextualSpacing/>
      </w:pPr>
    </w:p>
    <w:p w:rsidR="00342CA2" w:rsidRPr="00342CA2" w:rsidRDefault="00342CA2" w:rsidP="00BC3F35">
      <w:pPr>
        <w:keepNext/>
        <w:keepLines/>
        <w:spacing w:after="240" w:line="360" w:lineRule="auto"/>
        <w:ind w:firstLine="1440"/>
        <w:contextualSpacing/>
      </w:pPr>
      <w:r w:rsidRPr="00342CA2">
        <w:t xml:space="preserve">In the past, our practice has been to serve the annual TRS surcharge recalculation order on every LEC in the Commonwealth, in addition to the service providers, Office of Vocational Rehabilitation, Office of Consumer Advocate, Office of Small Business Advocate, Pennsylvania Telephone Association, and the Fund Administrator.  As proposed in the TRS Surcharge Recalculation order at Docket No M 2013-2341301, entered May 23, 2013, service of paper copies of the recalculation orders on the LECs will only henceforth be served if there is a change in the TRS surcharge or other provision in the order requiring that the LECs file a tariff change or take other action.  As this order does not change the set surcharge rate or require any other tariff changes in response to this order, paper copies will not be served.  Additionally, we will continue to publish the recalculation orders in the </w:t>
      </w:r>
      <w:r w:rsidRPr="00342CA2">
        <w:rPr>
          <w:i/>
        </w:rPr>
        <w:t>Pennsylvania Bulletin</w:t>
      </w:r>
      <w:r w:rsidRPr="00342CA2">
        <w:t xml:space="preserve"> and on the Commission’s website. </w:t>
      </w:r>
    </w:p>
    <w:p w:rsidR="00372019" w:rsidRPr="002D0091" w:rsidRDefault="00372019" w:rsidP="00342CA2">
      <w:pPr>
        <w:spacing w:after="240" w:line="360" w:lineRule="auto"/>
        <w:ind w:firstLine="1440"/>
        <w:contextualSpacing/>
      </w:pPr>
    </w:p>
    <w:p w:rsidR="00E575CC" w:rsidRPr="00342CA2" w:rsidRDefault="009C507D" w:rsidP="00734F19">
      <w:pPr>
        <w:keepNext/>
        <w:keepLines/>
        <w:autoSpaceDE w:val="0"/>
        <w:autoSpaceDN w:val="0"/>
        <w:adjustRightInd w:val="0"/>
        <w:spacing w:after="240" w:line="360" w:lineRule="auto"/>
        <w:contextualSpacing/>
        <w:jc w:val="center"/>
        <w:rPr>
          <w:b/>
        </w:rPr>
      </w:pPr>
      <w:r w:rsidRPr="00342CA2">
        <w:rPr>
          <w:b/>
        </w:rPr>
        <w:t>Conclusion</w:t>
      </w:r>
    </w:p>
    <w:p w:rsidR="00372019" w:rsidRPr="002D0091" w:rsidRDefault="00372019" w:rsidP="00734F19">
      <w:pPr>
        <w:keepNext/>
        <w:keepLines/>
        <w:autoSpaceDE w:val="0"/>
        <w:autoSpaceDN w:val="0"/>
        <w:adjustRightInd w:val="0"/>
        <w:spacing w:after="240" w:line="360" w:lineRule="auto"/>
        <w:contextualSpacing/>
        <w:rPr>
          <w:b/>
          <w:u w:val="single"/>
        </w:rPr>
      </w:pPr>
    </w:p>
    <w:p w:rsidR="00342CA2" w:rsidRPr="00342CA2" w:rsidRDefault="0065449B" w:rsidP="00342CA2">
      <w:pPr>
        <w:spacing w:after="240" w:line="360" w:lineRule="auto"/>
        <w:ind w:firstLine="1440"/>
        <w:contextualSpacing/>
        <w:rPr>
          <w:kern w:val="1"/>
        </w:rPr>
      </w:pPr>
      <w:r>
        <w:rPr>
          <w:kern w:val="1"/>
        </w:rPr>
        <w:t>We have completed</w:t>
      </w:r>
      <w:r w:rsidR="00342CA2" w:rsidRPr="00342CA2">
        <w:rPr>
          <w:kern w:val="1"/>
        </w:rPr>
        <w:t xml:space="preserve"> the annual recalculation of the TRS Surcharge.  The surcharge to be applied beginning July 1, 201</w:t>
      </w:r>
      <w:r>
        <w:rPr>
          <w:kern w:val="1"/>
        </w:rPr>
        <w:t>7</w:t>
      </w:r>
      <w:r w:rsidR="00342CA2" w:rsidRPr="00342CA2">
        <w:rPr>
          <w:kern w:val="1"/>
        </w:rPr>
        <w:t>, through June 30, 201</w:t>
      </w:r>
      <w:r>
        <w:rPr>
          <w:kern w:val="1"/>
        </w:rPr>
        <w:t>8</w:t>
      </w:r>
      <w:r w:rsidR="00342CA2" w:rsidRPr="00342CA2">
        <w:rPr>
          <w:kern w:val="1"/>
        </w:rPr>
        <w:t xml:space="preserve">, will remain at $0.08 </w:t>
      </w:r>
      <w:r w:rsidR="00634AFB">
        <w:rPr>
          <w:kern w:val="1"/>
        </w:rPr>
        <w:t xml:space="preserve">per month </w:t>
      </w:r>
      <w:r w:rsidR="00342CA2" w:rsidRPr="00342CA2">
        <w:rPr>
          <w:kern w:val="1"/>
        </w:rPr>
        <w:t xml:space="preserve">for residential and business access lines.  We also note that paper copies of this order will not be served on the LECs as there is no change in the set surcharge rate or to impose new requirements on the LECs requiring tariff changes in response to this Order; </w:t>
      </w:r>
      <w:r w:rsidR="00342CA2" w:rsidRPr="00342CA2">
        <w:rPr>
          <w:b/>
          <w:bCs/>
          <w:kern w:val="1"/>
        </w:rPr>
        <w:t>THEREFORE</w:t>
      </w:r>
      <w:r w:rsidR="00342CA2" w:rsidRPr="00342CA2">
        <w:rPr>
          <w:kern w:val="1"/>
        </w:rPr>
        <w:t xml:space="preserve">, </w:t>
      </w:r>
    </w:p>
    <w:p w:rsidR="00C66262" w:rsidRDefault="00C66262" w:rsidP="00342CA2">
      <w:pPr>
        <w:spacing w:after="240" w:line="360" w:lineRule="auto"/>
        <w:ind w:firstLine="1440"/>
        <w:contextualSpacing/>
      </w:pPr>
    </w:p>
    <w:p w:rsidR="003114E6" w:rsidRDefault="00634AFB" w:rsidP="00634AFB">
      <w:pPr>
        <w:keepNext/>
        <w:keepLines/>
        <w:spacing w:after="240" w:line="360" w:lineRule="auto"/>
        <w:ind w:firstLine="720"/>
        <w:contextualSpacing/>
        <w:rPr>
          <w:b/>
          <w:bCs/>
          <w:color w:val="000000"/>
        </w:rPr>
      </w:pPr>
      <w:r>
        <w:rPr>
          <w:b/>
          <w:bCs/>
          <w:color w:val="000000"/>
        </w:rPr>
        <w:lastRenderedPageBreak/>
        <w:tab/>
      </w:r>
      <w:r w:rsidR="00C66262" w:rsidRPr="002D0091">
        <w:rPr>
          <w:b/>
          <w:bCs/>
          <w:color w:val="000000"/>
        </w:rPr>
        <w:t>IT IS ORDERED:</w:t>
      </w:r>
    </w:p>
    <w:p w:rsidR="002D0091" w:rsidRPr="002D0091" w:rsidRDefault="002D0091" w:rsidP="00634AFB">
      <w:pPr>
        <w:keepNext/>
        <w:keepLines/>
        <w:spacing w:after="240" w:line="360" w:lineRule="auto"/>
        <w:ind w:firstLine="720"/>
        <w:contextualSpacing/>
        <w:rPr>
          <w:color w:val="000000"/>
        </w:rPr>
      </w:pPr>
    </w:p>
    <w:p w:rsidR="00342CA2" w:rsidRPr="00342CA2" w:rsidRDefault="00D90877" w:rsidP="00634AFB">
      <w:pPr>
        <w:spacing w:after="240" w:line="360" w:lineRule="auto"/>
        <w:contextualSpacing/>
        <w:rPr>
          <w:color w:val="000000"/>
        </w:rPr>
      </w:pPr>
      <w:r>
        <w:rPr>
          <w:color w:val="000000"/>
        </w:rPr>
        <w:tab/>
      </w:r>
      <w:r>
        <w:rPr>
          <w:color w:val="000000"/>
        </w:rPr>
        <w:tab/>
      </w:r>
      <w:r w:rsidR="00342CA2" w:rsidRPr="00342CA2">
        <w:rPr>
          <w:color w:val="000000"/>
        </w:rPr>
        <w:t>1.</w:t>
      </w:r>
      <w:r w:rsidR="00634AFB">
        <w:rPr>
          <w:color w:val="000000"/>
        </w:rPr>
        <w:tab/>
      </w:r>
      <w:r w:rsidR="00342CA2" w:rsidRPr="00342CA2">
        <w:rPr>
          <w:color w:val="000000"/>
        </w:rPr>
        <w:t>That for the period of July 1, 201</w:t>
      </w:r>
      <w:r w:rsidR="0065449B">
        <w:rPr>
          <w:color w:val="000000"/>
        </w:rPr>
        <w:t>7</w:t>
      </w:r>
      <w:r w:rsidR="00342CA2" w:rsidRPr="00342CA2">
        <w:rPr>
          <w:color w:val="000000"/>
        </w:rPr>
        <w:t>, through June 30, 201</w:t>
      </w:r>
      <w:r w:rsidR="0065449B">
        <w:rPr>
          <w:color w:val="000000"/>
        </w:rPr>
        <w:t>8</w:t>
      </w:r>
      <w:r w:rsidR="00342CA2" w:rsidRPr="00342CA2">
        <w:rPr>
          <w:color w:val="000000"/>
        </w:rPr>
        <w:t>, the monthly TRS surcharge rate shall be $0.08 for residence and business, unless we take further action to revise the TRS surcharge prior to June 30, 201</w:t>
      </w:r>
      <w:r w:rsidR="0065449B">
        <w:rPr>
          <w:color w:val="000000"/>
        </w:rPr>
        <w:t>8</w:t>
      </w:r>
      <w:r w:rsidR="00342CA2" w:rsidRPr="00342CA2">
        <w:rPr>
          <w:color w:val="000000"/>
        </w:rPr>
        <w:t xml:space="preserve">.  </w:t>
      </w:r>
    </w:p>
    <w:p w:rsidR="00342CA2" w:rsidRPr="00342CA2" w:rsidRDefault="00342CA2" w:rsidP="00634AFB">
      <w:pPr>
        <w:spacing w:after="240" w:line="360" w:lineRule="auto"/>
        <w:contextualSpacing/>
        <w:rPr>
          <w:color w:val="000000"/>
        </w:rPr>
      </w:pPr>
    </w:p>
    <w:p w:rsidR="00342CA2" w:rsidRPr="00342CA2" w:rsidRDefault="00342CA2" w:rsidP="00634AFB">
      <w:pPr>
        <w:spacing w:after="240" w:line="360" w:lineRule="auto"/>
        <w:contextualSpacing/>
        <w:rPr>
          <w:color w:val="000000"/>
        </w:rPr>
      </w:pPr>
      <w:r w:rsidRPr="00342CA2">
        <w:rPr>
          <w:color w:val="000000"/>
        </w:rPr>
        <w:tab/>
      </w:r>
      <w:r w:rsidR="00D90877">
        <w:rPr>
          <w:color w:val="000000"/>
        </w:rPr>
        <w:tab/>
      </w:r>
      <w:r w:rsidRPr="00342CA2">
        <w:rPr>
          <w:color w:val="000000"/>
        </w:rPr>
        <w:t>2.</w:t>
      </w:r>
      <w:r w:rsidR="00634AFB">
        <w:rPr>
          <w:color w:val="000000"/>
        </w:rPr>
        <w:tab/>
      </w:r>
      <w:r w:rsidRPr="00342CA2">
        <w:rPr>
          <w:color w:val="000000"/>
        </w:rPr>
        <w:t xml:space="preserve">That all local exchange carriers are directed to use the attached blank form, which contains the new mailing address, to remit the monthly TRS surcharge collections to U.S. Bank, Institutional Trust &amp; Custody.  The entered Order and blank remittance form shall be posted to the PUC web site </w:t>
      </w:r>
      <w:hyperlink r:id="rId8" w:history="1">
        <w:r w:rsidRPr="00342CA2">
          <w:rPr>
            <w:rStyle w:val="Hyperlink"/>
          </w:rPr>
          <w:t>http://www.puc.pa.gov</w:t>
        </w:r>
      </w:hyperlink>
      <w:r w:rsidRPr="00342CA2">
        <w:rPr>
          <w:color w:val="000000"/>
        </w:rPr>
        <w:t>.  All local exchange carriers are required to collect and remit the TRS surcharge revenue with the completed remittance form monthly by the 20th of each month.</w:t>
      </w:r>
    </w:p>
    <w:p w:rsidR="00342CA2" w:rsidRPr="00342CA2" w:rsidRDefault="00342CA2" w:rsidP="00634AFB">
      <w:pPr>
        <w:spacing w:after="240" w:line="360" w:lineRule="auto"/>
        <w:contextualSpacing/>
        <w:rPr>
          <w:color w:val="000000"/>
        </w:rPr>
      </w:pPr>
    </w:p>
    <w:p w:rsidR="00342CA2" w:rsidRPr="00342CA2" w:rsidRDefault="00342CA2" w:rsidP="00634AFB">
      <w:pPr>
        <w:spacing w:after="240" w:line="360" w:lineRule="auto"/>
        <w:contextualSpacing/>
        <w:rPr>
          <w:i/>
          <w:color w:val="000000"/>
        </w:rPr>
      </w:pPr>
      <w:r w:rsidRPr="00342CA2">
        <w:rPr>
          <w:color w:val="000000"/>
        </w:rPr>
        <w:tab/>
      </w:r>
      <w:r w:rsidR="00D90877">
        <w:rPr>
          <w:color w:val="000000"/>
        </w:rPr>
        <w:tab/>
      </w:r>
      <w:r w:rsidRPr="00342CA2">
        <w:rPr>
          <w:color w:val="000000"/>
        </w:rPr>
        <w:t>3.</w:t>
      </w:r>
      <w:r w:rsidR="00634AFB">
        <w:rPr>
          <w:color w:val="000000"/>
        </w:rPr>
        <w:tab/>
      </w:r>
      <w:r w:rsidRPr="00342CA2">
        <w:rPr>
          <w:color w:val="000000"/>
        </w:rPr>
        <w:t xml:space="preserve">That a copy of this Order be published in the </w:t>
      </w:r>
      <w:r w:rsidRPr="00342CA2">
        <w:rPr>
          <w:i/>
          <w:color w:val="000000"/>
        </w:rPr>
        <w:t>Pennsylvania Bulletin.</w:t>
      </w:r>
    </w:p>
    <w:p w:rsidR="00342CA2" w:rsidRPr="00342CA2" w:rsidRDefault="00342CA2" w:rsidP="00634AFB">
      <w:pPr>
        <w:spacing w:after="240" w:line="360" w:lineRule="auto"/>
        <w:contextualSpacing/>
        <w:rPr>
          <w:color w:val="000000"/>
        </w:rPr>
      </w:pPr>
    </w:p>
    <w:p w:rsidR="00342CA2" w:rsidRPr="00342CA2" w:rsidRDefault="00342CA2" w:rsidP="00734F19">
      <w:pPr>
        <w:keepNext/>
        <w:keepLines/>
        <w:spacing w:after="240" w:line="360" w:lineRule="auto"/>
        <w:contextualSpacing/>
        <w:rPr>
          <w:color w:val="000000"/>
        </w:rPr>
      </w:pPr>
      <w:r w:rsidRPr="00342CA2">
        <w:rPr>
          <w:color w:val="000000"/>
        </w:rPr>
        <w:tab/>
      </w:r>
      <w:r w:rsidR="00D90877">
        <w:rPr>
          <w:color w:val="000000"/>
        </w:rPr>
        <w:tab/>
      </w:r>
      <w:r w:rsidRPr="00342CA2">
        <w:rPr>
          <w:color w:val="000000"/>
        </w:rPr>
        <w:t>4.</w:t>
      </w:r>
      <w:r w:rsidR="00634AFB">
        <w:rPr>
          <w:color w:val="000000"/>
        </w:rPr>
        <w:tab/>
      </w:r>
      <w:r w:rsidRPr="00342CA2">
        <w:rPr>
          <w:color w:val="000000"/>
        </w:rPr>
        <w:t xml:space="preserve">That a copy of this Order be posted to the Commission’s website.   </w:t>
      </w:r>
    </w:p>
    <w:p w:rsidR="002D0091" w:rsidRPr="002D0091" w:rsidRDefault="002D0091" w:rsidP="00734F19">
      <w:pPr>
        <w:keepNext/>
        <w:keepLines/>
        <w:spacing w:after="240" w:line="360" w:lineRule="auto"/>
        <w:contextualSpacing/>
        <w:rPr>
          <w:color w:val="000000"/>
        </w:rPr>
      </w:pPr>
    </w:p>
    <w:p w:rsidR="008213B7" w:rsidRPr="002D0091" w:rsidRDefault="008213B7" w:rsidP="00734F19">
      <w:pPr>
        <w:keepNext/>
        <w:keepLines/>
        <w:tabs>
          <w:tab w:val="left" w:pos="0"/>
          <w:tab w:val="left" w:pos="720"/>
          <w:tab w:val="left" w:pos="1440"/>
          <w:tab w:val="left" w:pos="3060"/>
        </w:tabs>
        <w:spacing w:after="240" w:line="360" w:lineRule="auto"/>
        <w:contextualSpacing/>
        <w:rPr>
          <w:color w:val="000000"/>
        </w:rPr>
      </w:pPr>
    </w:p>
    <w:p w:rsidR="00C66262" w:rsidRPr="002D0091" w:rsidRDefault="00997483" w:rsidP="00734F19">
      <w:pPr>
        <w:keepNext/>
        <w:keepLines/>
        <w:tabs>
          <w:tab w:val="left" w:pos="1440"/>
        </w:tabs>
        <w:spacing w:line="360" w:lineRule="auto"/>
        <w:contextualSpacing/>
        <w:rPr>
          <w:color w:val="000000"/>
        </w:rPr>
      </w:pPr>
      <w:r>
        <w:rPr>
          <w:noProof/>
        </w:rPr>
        <w:drawing>
          <wp:anchor distT="0" distB="0" distL="114300" distR="114300" simplePos="0" relativeHeight="251659264" behindDoc="1" locked="0" layoutInCell="1" allowOverlap="1" wp14:anchorId="62A34E11" wp14:editId="2DF6DA83">
            <wp:simplePos x="0" y="0"/>
            <wp:positionH relativeFrom="column">
              <wp:posOffset>2990850</wp:posOffset>
            </wp:positionH>
            <wp:positionV relativeFrom="paragraph">
              <wp:posOffset>207645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B2EAC" w:rsidRPr="002D0091">
        <w:rPr>
          <w:color w:val="000000"/>
        </w:rPr>
        <w:tab/>
      </w:r>
      <w:r w:rsidR="001E5808" w:rsidRPr="002D0091">
        <w:rPr>
          <w:color w:val="000000"/>
        </w:rPr>
        <w:t xml:space="preserve"> </w:t>
      </w:r>
      <w:r w:rsidR="001E5808" w:rsidRPr="002D0091">
        <w:rPr>
          <w:color w:val="000000"/>
        </w:rPr>
        <w:tab/>
      </w:r>
      <w:r w:rsidR="001E5808" w:rsidRPr="002D0091">
        <w:rPr>
          <w:color w:val="000000"/>
        </w:rPr>
        <w:tab/>
      </w:r>
      <w:r w:rsidR="001E5808" w:rsidRPr="002D0091">
        <w:rPr>
          <w:color w:val="000000"/>
        </w:rPr>
        <w:tab/>
      </w:r>
      <w:r w:rsidR="00C66262" w:rsidRPr="002D0091">
        <w:rPr>
          <w:b/>
          <w:bCs/>
          <w:color w:val="000000"/>
        </w:rPr>
        <w:tab/>
      </w:r>
      <w:r w:rsidR="00C66262" w:rsidRPr="002D0091">
        <w:rPr>
          <w:b/>
          <w:bCs/>
          <w:color w:val="000000"/>
        </w:rPr>
        <w:tab/>
        <w:t>BY THE COMMISSION</w:t>
      </w:r>
    </w:p>
    <w:p w:rsidR="00C66262" w:rsidRDefault="00C66262" w:rsidP="00734F19">
      <w:pPr>
        <w:keepNext/>
        <w:keepLines/>
        <w:contextualSpacing/>
        <w:rPr>
          <w:color w:val="000000"/>
        </w:rPr>
      </w:pPr>
    </w:p>
    <w:p w:rsidR="00634AFB" w:rsidRPr="002D0091" w:rsidRDefault="00634AFB" w:rsidP="00734F19">
      <w:pPr>
        <w:keepNext/>
        <w:keepLines/>
        <w:contextualSpacing/>
        <w:rPr>
          <w:color w:val="000000"/>
        </w:rPr>
      </w:pPr>
    </w:p>
    <w:p w:rsidR="00997483" w:rsidRDefault="00997483"/>
    <w:p w:rsidR="00C66262" w:rsidRPr="002D0091" w:rsidRDefault="00C66262" w:rsidP="00734F19">
      <w:pPr>
        <w:keepNext/>
        <w:keepLines/>
        <w:contextualSpacing/>
        <w:rPr>
          <w:color w:val="000000"/>
        </w:rPr>
      </w:pPr>
    </w:p>
    <w:p w:rsidR="00C66262" w:rsidRPr="002D0091" w:rsidRDefault="00C66262" w:rsidP="00734F19">
      <w:pPr>
        <w:keepNext/>
        <w:keepLines/>
        <w:contextualSpacing/>
        <w:rPr>
          <w:color w:val="000000"/>
        </w:rPr>
      </w:pPr>
      <w:r w:rsidRPr="002D0091">
        <w:rPr>
          <w:color w:val="000000"/>
        </w:rPr>
        <w:tab/>
      </w:r>
      <w:r w:rsidRPr="002D0091">
        <w:rPr>
          <w:color w:val="000000"/>
        </w:rPr>
        <w:tab/>
      </w:r>
      <w:r w:rsidRPr="002D0091">
        <w:rPr>
          <w:color w:val="000000"/>
        </w:rPr>
        <w:tab/>
      </w:r>
      <w:r w:rsidRPr="002D0091">
        <w:rPr>
          <w:color w:val="000000"/>
        </w:rPr>
        <w:tab/>
      </w:r>
      <w:r w:rsidRPr="002D0091">
        <w:rPr>
          <w:color w:val="000000"/>
        </w:rPr>
        <w:tab/>
      </w:r>
      <w:r w:rsidRPr="002D0091">
        <w:rPr>
          <w:color w:val="000000"/>
        </w:rPr>
        <w:tab/>
      </w:r>
      <w:r w:rsidRPr="002D0091">
        <w:rPr>
          <w:color w:val="000000"/>
        </w:rPr>
        <w:tab/>
      </w:r>
      <w:r w:rsidR="0051423B" w:rsidRPr="002D0091">
        <w:rPr>
          <w:color w:val="000000"/>
        </w:rPr>
        <w:t>Rosemary Chiavetta</w:t>
      </w:r>
    </w:p>
    <w:p w:rsidR="0051423B" w:rsidRDefault="00C66262" w:rsidP="00734F19">
      <w:pPr>
        <w:keepNext/>
        <w:keepLines/>
        <w:ind w:firstLine="3600"/>
        <w:contextualSpacing/>
        <w:rPr>
          <w:color w:val="000000"/>
        </w:rPr>
      </w:pPr>
      <w:r w:rsidRPr="002D0091">
        <w:rPr>
          <w:color w:val="000000"/>
        </w:rPr>
        <w:tab/>
      </w:r>
      <w:r w:rsidRPr="002D0091">
        <w:rPr>
          <w:color w:val="000000"/>
        </w:rPr>
        <w:tab/>
        <w:t>Secretary</w:t>
      </w:r>
    </w:p>
    <w:p w:rsidR="00634AFB" w:rsidRPr="002D0091" w:rsidRDefault="00634AFB" w:rsidP="00734F19">
      <w:pPr>
        <w:keepNext/>
        <w:keepLines/>
        <w:ind w:firstLine="3600"/>
        <w:contextualSpacing/>
        <w:rPr>
          <w:color w:val="000000"/>
        </w:rPr>
      </w:pPr>
    </w:p>
    <w:p w:rsidR="001E5808" w:rsidRPr="002D0091" w:rsidRDefault="001E5808" w:rsidP="00734F19">
      <w:pPr>
        <w:keepNext/>
        <w:keepLines/>
        <w:ind w:firstLine="3600"/>
        <w:contextualSpacing/>
        <w:rPr>
          <w:color w:val="000000"/>
        </w:rPr>
      </w:pPr>
    </w:p>
    <w:p w:rsidR="001E5808" w:rsidRPr="002D0091" w:rsidRDefault="00C66262" w:rsidP="00734F19">
      <w:pPr>
        <w:keepNext/>
        <w:keepLines/>
        <w:contextualSpacing/>
        <w:rPr>
          <w:color w:val="000000"/>
        </w:rPr>
      </w:pPr>
      <w:r w:rsidRPr="002D0091">
        <w:rPr>
          <w:color w:val="000000"/>
        </w:rPr>
        <w:t>(SEAL)</w:t>
      </w:r>
    </w:p>
    <w:p w:rsidR="00E465B1" w:rsidRPr="002D0091" w:rsidRDefault="00E465B1" w:rsidP="00734F19">
      <w:pPr>
        <w:keepNext/>
        <w:keepLines/>
        <w:contextualSpacing/>
        <w:rPr>
          <w:color w:val="000000"/>
        </w:rPr>
      </w:pPr>
    </w:p>
    <w:p w:rsidR="001E5808" w:rsidRDefault="00C66262" w:rsidP="00734F19">
      <w:pPr>
        <w:keepNext/>
        <w:keepLines/>
        <w:contextualSpacing/>
        <w:rPr>
          <w:color w:val="000000"/>
        </w:rPr>
      </w:pPr>
      <w:r w:rsidRPr="002D0091">
        <w:rPr>
          <w:color w:val="000000"/>
        </w:rPr>
        <w:t xml:space="preserve">ORDER ADOPTED:  </w:t>
      </w:r>
      <w:r w:rsidR="00A3375F" w:rsidRPr="002D0091">
        <w:rPr>
          <w:color w:val="000000"/>
        </w:rPr>
        <w:t xml:space="preserve">May </w:t>
      </w:r>
      <w:r w:rsidR="00ED540B" w:rsidRPr="002D0091">
        <w:rPr>
          <w:color w:val="000000"/>
        </w:rPr>
        <w:t>18</w:t>
      </w:r>
      <w:r w:rsidR="00A3375F" w:rsidRPr="002D0091">
        <w:rPr>
          <w:color w:val="000000"/>
        </w:rPr>
        <w:t>, 20</w:t>
      </w:r>
      <w:r w:rsidR="0050154F" w:rsidRPr="002D0091">
        <w:rPr>
          <w:color w:val="000000"/>
        </w:rPr>
        <w:t>1</w:t>
      </w:r>
      <w:r w:rsidR="001612AA" w:rsidRPr="002D0091">
        <w:rPr>
          <w:color w:val="000000"/>
        </w:rPr>
        <w:t>7</w:t>
      </w:r>
    </w:p>
    <w:p w:rsidR="00634AFB" w:rsidRPr="002D0091" w:rsidRDefault="00634AFB" w:rsidP="00734F19">
      <w:pPr>
        <w:keepNext/>
        <w:keepLines/>
        <w:contextualSpacing/>
        <w:rPr>
          <w:color w:val="000000"/>
        </w:rPr>
      </w:pPr>
    </w:p>
    <w:p w:rsidR="00C96A66" w:rsidRDefault="00C66262" w:rsidP="00734F19">
      <w:pPr>
        <w:keepNext/>
        <w:keepLines/>
        <w:contextualSpacing/>
        <w:rPr>
          <w:color w:val="000000"/>
        </w:rPr>
      </w:pPr>
      <w:r w:rsidRPr="002D0091">
        <w:rPr>
          <w:color w:val="000000"/>
        </w:rPr>
        <w:t xml:space="preserve">ORDER ENTERED: </w:t>
      </w:r>
      <w:r w:rsidR="00997483">
        <w:rPr>
          <w:color w:val="000000"/>
        </w:rPr>
        <w:t xml:space="preserve">  June 27, 2017</w:t>
      </w:r>
      <w:bookmarkStart w:id="5" w:name="_GoBack"/>
      <w:bookmarkEnd w:id="5"/>
    </w:p>
    <w:p w:rsidR="002D0091" w:rsidRDefault="002D0091" w:rsidP="002D0091">
      <w:pPr>
        <w:spacing w:line="360" w:lineRule="auto"/>
        <w:contextualSpacing/>
        <w:rPr>
          <w:color w:val="000000"/>
        </w:rPr>
      </w:pPr>
    </w:p>
    <w:p w:rsidR="002D0091" w:rsidRPr="002D0091" w:rsidRDefault="002D0091" w:rsidP="002D0091">
      <w:pPr>
        <w:spacing w:line="360" w:lineRule="auto"/>
        <w:contextualSpacing/>
        <w:rPr>
          <w:color w:val="000000"/>
        </w:rPr>
        <w:sectPr w:rsidR="002D0091" w:rsidRPr="002D0091" w:rsidSect="00734F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2D0091" w:rsidRPr="00E74B2A" w:rsidRDefault="002D0091" w:rsidP="002D0091">
      <w:pPr>
        <w:jc w:val="center"/>
        <w:rPr>
          <w:b/>
          <w:sz w:val="22"/>
          <w:szCs w:val="22"/>
        </w:rPr>
      </w:pPr>
      <w:r w:rsidRPr="00E74B2A">
        <w:rPr>
          <w:b/>
          <w:sz w:val="22"/>
          <w:szCs w:val="22"/>
        </w:rPr>
        <w:lastRenderedPageBreak/>
        <w:t xml:space="preserve">REMITTANCE FORM FOR MONTHLY TRS SURCHARGE COLLECTIONS </w:t>
      </w:r>
    </w:p>
    <w:p w:rsidR="002D0091" w:rsidRPr="00E74B2A" w:rsidRDefault="002D0091" w:rsidP="002D0091">
      <w:pPr>
        <w:jc w:val="center"/>
        <w:rPr>
          <w:sz w:val="22"/>
          <w:szCs w:val="22"/>
        </w:rPr>
      </w:pPr>
      <w:r w:rsidRPr="00E74B2A">
        <w:rPr>
          <w:sz w:val="22"/>
          <w:szCs w:val="22"/>
        </w:rPr>
        <w:t xml:space="preserve">Effective July 1, 2017 through June 30, 2018                            M-2017-2582552 </w:t>
      </w:r>
    </w:p>
    <w:p w:rsidR="002D0091" w:rsidRPr="00E74B2A" w:rsidRDefault="002D0091" w:rsidP="002D0091">
      <w:pPr>
        <w:jc w:val="center"/>
        <w:rPr>
          <w:sz w:val="22"/>
          <w:szCs w:val="22"/>
        </w:rPr>
      </w:pPr>
    </w:p>
    <w:p w:rsidR="002D0091" w:rsidRPr="00E74B2A" w:rsidRDefault="002D0091" w:rsidP="002D0091">
      <w:pPr>
        <w:rPr>
          <w:sz w:val="22"/>
          <w:szCs w:val="22"/>
        </w:rPr>
      </w:pPr>
      <w:r w:rsidRPr="00E74B2A">
        <w:rPr>
          <w:sz w:val="22"/>
          <w:szCs w:val="22"/>
        </w:rPr>
        <w:t>All local exchange carriers are required to collect and remit the TRS surcharge revenue monthly, by the 20</w:t>
      </w:r>
      <w:r w:rsidRPr="00E74B2A">
        <w:rPr>
          <w:sz w:val="22"/>
          <w:szCs w:val="22"/>
          <w:vertAlign w:val="superscript"/>
        </w:rPr>
        <w:t>th</w:t>
      </w:r>
      <w:r w:rsidRPr="00E74B2A">
        <w:rPr>
          <w:sz w:val="22"/>
          <w:szCs w:val="22"/>
        </w:rPr>
        <w:t xml:space="preserve"> of each month using the following format for the monthly remittance:</w:t>
      </w:r>
    </w:p>
    <w:p w:rsidR="002D0091" w:rsidRPr="00E74B2A" w:rsidRDefault="002D0091" w:rsidP="002D0091">
      <w:pPr>
        <w:rPr>
          <w:sz w:val="22"/>
          <w:szCs w:val="22"/>
        </w:rPr>
      </w:pPr>
    </w:p>
    <w:p w:rsidR="002D0091" w:rsidRPr="00E74B2A" w:rsidRDefault="002D0091" w:rsidP="002D0091">
      <w:pPr>
        <w:jc w:val="center"/>
        <w:rPr>
          <w:b/>
          <w:bCs/>
          <w:i/>
          <w:iCs/>
          <w:sz w:val="22"/>
          <w:szCs w:val="22"/>
          <w:u w:val="single"/>
        </w:rPr>
      </w:pPr>
      <w:r w:rsidRPr="00E74B2A">
        <w:rPr>
          <w:b/>
          <w:bCs/>
          <w:i/>
          <w:iCs/>
          <w:sz w:val="22"/>
          <w:szCs w:val="22"/>
          <w:u w:val="single"/>
        </w:rPr>
        <w:t>Pennsylvania TRS Surcharge</w:t>
      </w:r>
    </w:p>
    <w:p w:rsidR="002D0091" w:rsidRPr="00E74B2A" w:rsidRDefault="002D0091" w:rsidP="002D0091">
      <w:pPr>
        <w:jc w:val="center"/>
        <w:rPr>
          <w:b/>
          <w:i/>
          <w:sz w:val="22"/>
          <w:szCs w:val="22"/>
          <w:u w:val="single"/>
        </w:rPr>
      </w:pPr>
    </w:p>
    <w:p w:rsidR="002D0091" w:rsidRPr="00E74B2A" w:rsidRDefault="002D0091" w:rsidP="002D0091">
      <w:pPr>
        <w:rPr>
          <w:sz w:val="22"/>
          <w:szCs w:val="22"/>
        </w:rPr>
      </w:pPr>
      <w:r w:rsidRPr="00E74B2A">
        <w:rPr>
          <w:sz w:val="22"/>
          <w:szCs w:val="22"/>
        </w:rPr>
        <w:t>For the Month Ending</w:t>
      </w:r>
      <w:r w:rsidRPr="00E74B2A">
        <w:rPr>
          <w:sz w:val="22"/>
          <w:szCs w:val="22"/>
        </w:rPr>
        <w:tab/>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p>
    <w:p w:rsidR="002D0091" w:rsidRPr="00E74B2A" w:rsidRDefault="002D0091" w:rsidP="002D0091">
      <w:pPr>
        <w:rPr>
          <w:sz w:val="22"/>
          <w:szCs w:val="22"/>
          <w:u w:val="single"/>
        </w:rPr>
      </w:pPr>
      <w:r w:rsidRPr="00E74B2A">
        <w:rPr>
          <w:sz w:val="22"/>
          <w:szCs w:val="22"/>
        </w:rPr>
        <w:tab/>
        <w:t xml:space="preserve">Number of </w:t>
      </w:r>
      <w:r w:rsidRPr="00E74B2A">
        <w:rPr>
          <w:b/>
          <w:sz w:val="22"/>
          <w:szCs w:val="22"/>
        </w:rPr>
        <w:t>Residential</w:t>
      </w:r>
      <w:r w:rsidRPr="00E74B2A">
        <w:rPr>
          <w:sz w:val="22"/>
          <w:szCs w:val="22"/>
        </w:rPr>
        <w:t xml:space="preserve"> access lines</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u w:val="single"/>
        </w:rPr>
      </w:pPr>
      <w:r w:rsidRPr="00E74B2A">
        <w:rPr>
          <w:sz w:val="22"/>
          <w:szCs w:val="22"/>
        </w:rPr>
        <w:tab/>
        <w:t>X</w:t>
      </w:r>
      <w:r w:rsidRPr="00E74B2A">
        <w:rPr>
          <w:sz w:val="22"/>
          <w:szCs w:val="22"/>
        </w:rPr>
        <w:tab/>
        <w:t>$0.0</w:t>
      </w:r>
      <w:r w:rsidR="000067E2" w:rsidRPr="00E74B2A">
        <w:rPr>
          <w:sz w:val="22"/>
          <w:szCs w:val="22"/>
        </w:rPr>
        <w:t>8</w:t>
      </w:r>
      <w:r w:rsidRPr="00E74B2A">
        <w:rPr>
          <w:sz w:val="22"/>
          <w:szCs w:val="22"/>
        </w:rPr>
        <w:t xml:space="preserve"> per line</w:t>
      </w:r>
      <w:r w:rsidRPr="00E74B2A">
        <w:rPr>
          <w:sz w:val="22"/>
          <w:szCs w:val="22"/>
        </w:rPr>
        <w:tab/>
      </w:r>
      <w:r w:rsidRPr="00E74B2A">
        <w:rPr>
          <w:sz w:val="22"/>
          <w:szCs w:val="22"/>
        </w:rPr>
        <w:tab/>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r w:rsidRPr="00E74B2A">
        <w:rPr>
          <w:sz w:val="22"/>
          <w:szCs w:val="22"/>
        </w:rPr>
        <w:tab/>
      </w:r>
    </w:p>
    <w:p w:rsidR="002D0091" w:rsidRPr="00E74B2A" w:rsidRDefault="002D0091" w:rsidP="002D0091">
      <w:pPr>
        <w:rPr>
          <w:sz w:val="22"/>
          <w:szCs w:val="22"/>
        </w:rPr>
      </w:pPr>
      <w:r w:rsidRPr="00E74B2A">
        <w:rPr>
          <w:sz w:val="22"/>
          <w:szCs w:val="22"/>
        </w:rPr>
        <w:tab/>
        <w:t xml:space="preserve">Allocated: </w:t>
      </w:r>
    </w:p>
    <w:p w:rsidR="002D0091" w:rsidRPr="00E74B2A" w:rsidRDefault="002D0091" w:rsidP="002D0091">
      <w:pPr>
        <w:ind w:left="720" w:firstLine="720"/>
        <w:rPr>
          <w:sz w:val="22"/>
          <w:szCs w:val="22"/>
        </w:rPr>
      </w:pPr>
      <w:r w:rsidRPr="00E74B2A">
        <w:rPr>
          <w:sz w:val="22"/>
          <w:szCs w:val="22"/>
        </w:rPr>
        <w:t>TRS Relay   85.0 percent</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r w:rsidRPr="00E74B2A">
        <w:rPr>
          <w:sz w:val="22"/>
          <w:szCs w:val="22"/>
        </w:rPr>
        <w:tab/>
      </w:r>
      <w:r w:rsidRPr="00E74B2A">
        <w:rPr>
          <w:sz w:val="22"/>
          <w:szCs w:val="22"/>
        </w:rPr>
        <w:tab/>
        <w:t>TDDP            10.0 percent</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r w:rsidRPr="00E74B2A">
        <w:rPr>
          <w:sz w:val="22"/>
          <w:szCs w:val="22"/>
        </w:rPr>
        <w:tab/>
      </w:r>
      <w:r w:rsidRPr="00E74B2A">
        <w:rPr>
          <w:sz w:val="22"/>
          <w:szCs w:val="22"/>
        </w:rPr>
        <w:tab/>
        <w:t>PMASP         5.0 percent</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p>
    <w:p w:rsidR="002D0091" w:rsidRPr="00E74B2A" w:rsidRDefault="002D0091" w:rsidP="002D0091">
      <w:pPr>
        <w:rPr>
          <w:sz w:val="22"/>
          <w:szCs w:val="22"/>
        </w:rPr>
      </w:pPr>
    </w:p>
    <w:p w:rsidR="002D0091" w:rsidRPr="00E74B2A" w:rsidRDefault="002D0091" w:rsidP="002D0091">
      <w:pPr>
        <w:ind w:firstLine="720"/>
        <w:rPr>
          <w:sz w:val="22"/>
          <w:szCs w:val="22"/>
          <w:u w:val="single"/>
        </w:rPr>
      </w:pPr>
      <w:r w:rsidRPr="00E74B2A">
        <w:rPr>
          <w:sz w:val="22"/>
          <w:szCs w:val="22"/>
        </w:rPr>
        <w:t xml:space="preserve">Number of </w:t>
      </w:r>
      <w:r w:rsidRPr="00E74B2A">
        <w:rPr>
          <w:b/>
          <w:sz w:val="22"/>
          <w:szCs w:val="22"/>
        </w:rPr>
        <w:t xml:space="preserve">Business </w:t>
      </w:r>
      <w:r w:rsidRPr="00E74B2A">
        <w:rPr>
          <w:sz w:val="22"/>
          <w:szCs w:val="22"/>
        </w:rPr>
        <w:t>access lines</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u w:val="single"/>
        </w:rPr>
      </w:pPr>
      <w:r w:rsidRPr="00E74B2A">
        <w:rPr>
          <w:sz w:val="22"/>
          <w:szCs w:val="22"/>
        </w:rPr>
        <w:tab/>
        <w:t>X</w:t>
      </w:r>
      <w:r w:rsidRPr="00E74B2A">
        <w:rPr>
          <w:sz w:val="22"/>
          <w:szCs w:val="22"/>
        </w:rPr>
        <w:tab/>
        <w:t>$0.0</w:t>
      </w:r>
      <w:r w:rsidR="000067E2" w:rsidRPr="00E74B2A">
        <w:rPr>
          <w:sz w:val="22"/>
          <w:szCs w:val="22"/>
        </w:rPr>
        <w:t>8</w:t>
      </w:r>
      <w:r w:rsidRPr="00E74B2A">
        <w:rPr>
          <w:sz w:val="22"/>
          <w:szCs w:val="22"/>
        </w:rPr>
        <w:t xml:space="preserve"> per line</w:t>
      </w:r>
      <w:r w:rsidRPr="00E74B2A">
        <w:rPr>
          <w:sz w:val="22"/>
          <w:szCs w:val="22"/>
        </w:rPr>
        <w:tab/>
      </w:r>
      <w:r w:rsidRPr="00E74B2A">
        <w:rPr>
          <w:sz w:val="22"/>
          <w:szCs w:val="22"/>
        </w:rPr>
        <w:tab/>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r w:rsidRPr="00E74B2A">
        <w:rPr>
          <w:sz w:val="22"/>
          <w:szCs w:val="22"/>
        </w:rPr>
        <w:tab/>
      </w:r>
    </w:p>
    <w:p w:rsidR="002D0091" w:rsidRPr="00E74B2A" w:rsidRDefault="002D0091" w:rsidP="002D0091">
      <w:pPr>
        <w:rPr>
          <w:sz w:val="22"/>
          <w:szCs w:val="22"/>
        </w:rPr>
      </w:pPr>
      <w:r w:rsidRPr="00E74B2A">
        <w:rPr>
          <w:sz w:val="22"/>
          <w:szCs w:val="22"/>
        </w:rPr>
        <w:tab/>
        <w:t xml:space="preserve">Allocated: </w:t>
      </w:r>
    </w:p>
    <w:p w:rsidR="002D0091" w:rsidRPr="00E74B2A" w:rsidRDefault="002D0091" w:rsidP="002D0091">
      <w:pPr>
        <w:ind w:left="720" w:firstLine="720"/>
        <w:rPr>
          <w:sz w:val="22"/>
          <w:szCs w:val="22"/>
        </w:rPr>
      </w:pPr>
      <w:r w:rsidRPr="00E74B2A">
        <w:rPr>
          <w:sz w:val="22"/>
          <w:szCs w:val="22"/>
        </w:rPr>
        <w:t>TRS Relay   85.0 percent</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r w:rsidRPr="00E74B2A">
        <w:rPr>
          <w:sz w:val="22"/>
          <w:szCs w:val="22"/>
        </w:rPr>
        <w:tab/>
      </w:r>
      <w:r w:rsidRPr="00E74B2A">
        <w:rPr>
          <w:sz w:val="22"/>
          <w:szCs w:val="22"/>
        </w:rPr>
        <w:tab/>
        <w:t>TDDP            10.0 percent</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u w:val="single"/>
        </w:rPr>
      </w:pPr>
      <w:r w:rsidRPr="00E74B2A">
        <w:rPr>
          <w:sz w:val="22"/>
          <w:szCs w:val="22"/>
        </w:rPr>
        <w:tab/>
      </w:r>
      <w:r w:rsidRPr="00E74B2A">
        <w:rPr>
          <w:sz w:val="22"/>
          <w:szCs w:val="22"/>
        </w:rPr>
        <w:tab/>
        <w:t>PMASP         5.0 percent</w:t>
      </w:r>
      <w:r w:rsidRPr="00E74B2A">
        <w:rPr>
          <w:sz w:val="22"/>
          <w:szCs w:val="22"/>
        </w:rPr>
        <w:tab/>
      </w:r>
      <w:r w:rsidRPr="00E74B2A">
        <w:rPr>
          <w:sz w:val="22"/>
          <w:szCs w:val="22"/>
        </w:rPr>
        <w:tab/>
      </w:r>
      <w:r w:rsidRPr="00E74B2A">
        <w:rPr>
          <w:sz w:val="22"/>
          <w:szCs w:val="22"/>
          <w:u w:val="single"/>
        </w:rPr>
        <w:tab/>
      </w:r>
      <w:r w:rsidRPr="00E74B2A">
        <w:rPr>
          <w:sz w:val="22"/>
          <w:szCs w:val="22"/>
          <w:u w:val="single"/>
        </w:rPr>
        <w:tab/>
      </w:r>
      <w:r w:rsidRPr="00E74B2A">
        <w:rPr>
          <w:sz w:val="22"/>
          <w:szCs w:val="22"/>
          <w:u w:val="single"/>
        </w:rPr>
        <w:tab/>
      </w:r>
    </w:p>
    <w:p w:rsidR="002D0091" w:rsidRPr="00E74B2A" w:rsidRDefault="002D0091" w:rsidP="002D0091">
      <w:pPr>
        <w:rPr>
          <w:sz w:val="22"/>
          <w:szCs w:val="22"/>
        </w:rPr>
      </w:pPr>
    </w:p>
    <w:p w:rsidR="002D0091" w:rsidRPr="00E74B2A" w:rsidRDefault="002D0091" w:rsidP="002D0091">
      <w:pPr>
        <w:rPr>
          <w:w w:val="150"/>
          <w:sz w:val="22"/>
          <w:szCs w:val="22"/>
        </w:rPr>
      </w:pPr>
      <w:r w:rsidRPr="00E74B2A">
        <w:rPr>
          <w:sz w:val="22"/>
          <w:szCs w:val="22"/>
        </w:rPr>
        <w:tab/>
      </w:r>
      <w:r w:rsidRPr="00E74B2A">
        <w:rPr>
          <w:sz w:val="22"/>
          <w:szCs w:val="22"/>
        </w:rPr>
        <w:tab/>
      </w:r>
      <w:r w:rsidRPr="00E74B2A">
        <w:rPr>
          <w:w w:val="150"/>
          <w:sz w:val="22"/>
          <w:szCs w:val="22"/>
        </w:rPr>
        <w:t>Total Remittance</w:t>
      </w:r>
      <w:r w:rsidRPr="00E74B2A">
        <w:rPr>
          <w:w w:val="150"/>
          <w:sz w:val="22"/>
          <w:szCs w:val="22"/>
        </w:rPr>
        <w:tab/>
      </w:r>
      <w:r w:rsidRPr="00E74B2A">
        <w:rPr>
          <w:w w:val="150"/>
          <w:sz w:val="22"/>
          <w:szCs w:val="22"/>
        </w:rPr>
        <w:tab/>
      </w:r>
      <w:r w:rsidRPr="00E74B2A">
        <w:rPr>
          <w:w w:val="150"/>
          <w:sz w:val="22"/>
          <w:szCs w:val="22"/>
          <w:u w:val="double"/>
        </w:rPr>
        <w:tab/>
      </w:r>
      <w:r w:rsidRPr="00E74B2A">
        <w:rPr>
          <w:w w:val="150"/>
          <w:sz w:val="22"/>
          <w:szCs w:val="22"/>
          <w:u w:val="double"/>
        </w:rPr>
        <w:tab/>
      </w:r>
      <w:r w:rsidRPr="00E74B2A">
        <w:rPr>
          <w:w w:val="150"/>
          <w:sz w:val="22"/>
          <w:szCs w:val="22"/>
          <w:u w:val="double"/>
        </w:rPr>
        <w:tab/>
      </w:r>
    </w:p>
    <w:p w:rsidR="002D0091" w:rsidRPr="00E74B2A" w:rsidRDefault="002D0091" w:rsidP="002D0091">
      <w:pPr>
        <w:rPr>
          <w:sz w:val="22"/>
          <w:szCs w:val="22"/>
        </w:rPr>
      </w:pPr>
    </w:p>
    <w:p w:rsidR="002D0091" w:rsidRPr="00E74B2A" w:rsidRDefault="002D0091" w:rsidP="002D0091">
      <w:pPr>
        <w:outlineLvl w:val="0"/>
        <w:rPr>
          <w:kern w:val="36"/>
          <w:sz w:val="22"/>
          <w:szCs w:val="22"/>
        </w:rPr>
      </w:pPr>
      <w:r w:rsidRPr="00E74B2A">
        <w:rPr>
          <w:kern w:val="36"/>
          <w:sz w:val="22"/>
          <w:szCs w:val="22"/>
        </w:rPr>
        <w:t>Make check payable to:</w:t>
      </w:r>
      <w:r w:rsidRPr="00E74B2A">
        <w:rPr>
          <w:kern w:val="36"/>
          <w:sz w:val="22"/>
          <w:szCs w:val="22"/>
        </w:rPr>
        <w:tab/>
      </w:r>
      <w:r w:rsidRPr="00E74B2A">
        <w:rPr>
          <w:b/>
          <w:kern w:val="36"/>
          <w:sz w:val="22"/>
          <w:szCs w:val="22"/>
        </w:rPr>
        <w:t>Pennsylvania TRS Fund</w:t>
      </w:r>
    </w:p>
    <w:p w:rsidR="002D0091" w:rsidRPr="00C33BD8" w:rsidRDefault="002D0091" w:rsidP="002D009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2D0091" w:rsidRPr="00C33BD8" w:rsidTr="0030057F">
        <w:tc>
          <w:tcPr>
            <w:tcW w:w="4788" w:type="dxa"/>
          </w:tcPr>
          <w:p w:rsidR="002D0091" w:rsidRPr="00C33BD8" w:rsidRDefault="002D0091" w:rsidP="0030057F">
            <w:pPr>
              <w:rPr>
                <w:sz w:val="24"/>
                <w:szCs w:val="24"/>
              </w:rPr>
            </w:pPr>
            <w:r w:rsidRPr="00C33BD8">
              <w:rPr>
                <w:b/>
                <w:sz w:val="24"/>
                <w:szCs w:val="24"/>
              </w:rPr>
              <w:t>Mail Report and payment to</w:t>
            </w:r>
            <w:r w:rsidRPr="00C33BD8">
              <w:rPr>
                <w:sz w:val="24"/>
                <w:szCs w:val="24"/>
              </w:rPr>
              <w:t>:</w:t>
            </w:r>
          </w:p>
        </w:tc>
        <w:tc>
          <w:tcPr>
            <w:tcW w:w="4788" w:type="dxa"/>
          </w:tcPr>
          <w:p w:rsidR="002D0091" w:rsidRPr="00C33BD8" w:rsidRDefault="002D0091" w:rsidP="0030057F">
            <w:pPr>
              <w:rPr>
                <w:sz w:val="24"/>
                <w:szCs w:val="24"/>
              </w:rPr>
            </w:pPr>
            <w:r w:rsidRPr="00C33BD8">
              <w:rPr>
                <w:b/>
                <w:i/>
                <w:sz w:val="24"/>
                <w:szCs w:val="24"/>
              </w:rPr>
              <w:t>Wire Instructions:</w:t>
            </w:r>
          </w:p>
        </w:tc>
      </w:tr>
      <w:tr w:rsidR="002D0091" w:rsidRPr="00C33BD8" w:rsidTr="0030057F">
        <w:tc>
          <w:tcPr>
            <w:tcW w:w="4788" w:type="dxa"/>
          </w:tcPr>
          <w:p w:rsidR="002D0091" w:rsidRDefault="002D0091" w:rsidP="0030057F">
            <w:pPr>
              <w:rPr>
                <w:sz w:val="24"/>
                <w:szCs w:val="24"/>
              </w:rPr>
            </w:pPr>
            <w:r w:rsidRPr="00C33BD8">
              <w:rPr>
                <w:sz w:val="24"/>
                <w:szCs w:val="24"/>
              </w:rPr>
              <w:t>U.S. Bank Institutional Trust &amp; Custody</w:t>
            </w:r>
          </w:p>
          <w:p w:rsidR="002D0091" w:rsidRPr="00C33BD8" w:rsidRDefault="002D0091" w:rsidP="0030057F">
            <w:pPr>
              <w:rPr>
                <w:sz w:val="24"/>
                <w:szCs w:val="24"/>
              </w:rPr>
            </w:pPr>
            <w:r>
              <w:rPr>
                <w:sz w:val="24"/>
                <w:szCs w:val="24"/>
              </w:rPr>
              <w:t xml:space="preserve">Attn: Dina </w:t>
            </w:r>
            <w:proofErr w:type="spellStart"/>
            <w:r>
              <w:rPr>
                <w:sz w:val="24"/>
                <w:szCs w:val="24"/>
              </w:rPr>
              <w:t>Buccieri</w:t>
            </w:r>
            <w:proofErr w:type="spellEnd"/>
            <w:r w:rsidRPr="00C33BD8">
              <w:rPr>
                <w:sz w:val="24"/>
                <w:szCs w:val="24"/>
              </w:rPr>
              <w:t xml:space="preserve"> </w:t>
            </w:r>
            <w:r w:rsidRPr="00C33BD8">
              <w:rPr>
                <w:sz w:val="24"/>
                <w:szCs w:val="24"/>
              </w:rPr>
              <w:br/>
            </w:r>
            <w:r>
              <w:rPr>
                <w:sz w:val="24"/>
                <w:szCs w:val="24"/>
              </w:rPr>
              <w:t>50 S. 16</w:t>
            </w:r>
            <w:r w:rsidRPr="001612AA">
              <w:rPr>
                <w:sz w:val="24"/>
                <w:szCs w:val="24"/>
                <w:vertAlign w:val="superscript"/>
              </w:rPr>
              <w:t>th</w:t>
            </w:r>
            <w:r>
              <w:rPr>
                <w:sz w:val="24"/>
                <w:szCs w:val="24"/>
              </w:rPr>
              <w:t xml:space="preserve"> Street, Suite 2000</w:t>
            </w:r>
            <w:r w:rsidRPr="00C33BD8">
              <w:rPr>
                <w:sz w:val="24"/>
                <w:szCs w:val="24"/>
              </w:rPr>
              <w:t xml:space="preserve"> </w:t>
            </w:r>
            <w:r w:rsidRPr="00C33BD8">
              <w:rPr>
                <w:sz w:val="24"/>
                <w:szCs w:val="24"/>
              </w:rPr>
              <w:br/>
            </w:r>
            <w:r>
              <w:rPr>
                <w:sz w:val="24"/>
                <w:szCs w:val="24"/>
              </w:rPr>
              <w:t>Philadelphia, PA 19102</w:t>
            </w:r>
            <w:r w:rsidRPr="00C33BD8">
              <w:rPr>
                <w:sz w:val="24"/>
                <w:szCs w:val="24"/>
              </w:rPr>
              <w:t xml:space="preserve"> </w:t>
            </w:r>
            <w:r w:rsidRPr="00C33BD8">
              <w:rPr>
                <w:sz w:val="24"/>
                <w:szCs w:val="24"/>
              </w:rPr>
              <w:br/>
            </w:r>
          </w:p>
          <w:p w:rsidR="002D0091" w:rsidRPr="00C33BD8" w:rsidRDefault="002D0091" w:rsidP="0030057F">
            <w:pPr>
              <w:ind w:left="2880" w:hanging="2880"/>
              <w:rPr>
                <w:sz w:val="24"/>
                <w:szCs w:val="24"/>
              </w:rPr>
            </w:pPr>
          </w:p>
          <w:p w:rsidR="002D0091" w:rsidRPr="00C33BD8" w:rsidRDefault="002D0091" w:rsidP="0030057F">
            <w:pPr>
              <w:rPr>
                <w:sz w:val="24"/>
                <w:szCs w:val="24"/>
              </w:rPr>
            </w:pPr>
          </w:p>
        </w:tc>
        <w:tc>
          <w:tcPr>
            <w:tcW w:w="4788" w:type="dxa"/>
          </w:tcPr>
          <w:p w:rsidR="002D0091" w:rsidRPr="00C33BD8" w:rsidRDefault="002D0091" w:rsidP="0030057F">
            <w:pPr>
              <w:ind w:left="5040" w:hanging="5040"/>
              <w:jc w:val="both"/>
              <w:rPr>
                <w:sz w:val="24"/>
                <w:szCs w:val="24"/>
              </w:rPr>
            </w:pPr>
            <w:r w:rsidRPr="00C33BD8">
              <w:rPr>
                <w:b/>
                <w:sz w:val="24"/>
                <w:szCs w:val="24"/>
              </w:rPr>
              <w:t>BANK</w:t>
            </w:r>
            <w:r w:rsidRPr="00C33BD8">
              <w:rPr>
                <w:sz w:val="24"/>
                <w:szCs w:val="24"/>
              </w:rPr>
              <w:t xml:space="preserve">        U.S. Bank N.A </w:t>
            </w:r>
          </w:p>
          <w:p w:rsidR="002D0091" w:rsidRPr="00C33BD8" w:rsidRDefault="002D0091" w:rsidP="0030057F">
            <w:pPr>
              <w:ind w:left="5040" w:hanging="5040"/>
              <w:jc w:val="both"/>
              <w:rPr>
                <w:sz w:val="24"/>
                <w:szCs w:val="24"/>
              </w:rPr>
            </w:pPr>
            <w:r w:rsidRPr="00C33BD8">
              <w:rPr>
                <w:b/>
                <w:sz w:val="24"/>
                <w:szCs w:val="24"/>
              </w:rPr>
              <w:t>ADDRESS</w:t>
            </w:r>
            <w:r w:rsidRPr="00C33BD8">
              <w:rPr>
                <w:sz w:val="24"/>
                <w:szCs w:val="24"/>
              </w:rPr>
              <w:t xml:space="preserve"> 60 Livingston Avenue, St Paul</w:t>
            </w:r>
          </w:p>
          <w:p w:rsidR="002D0091" w:rsidRPr="00C33BD8" w:rsidRDefault="002D0091" w:rsidP="0030057F">
            <w:pPr>
              <w:ind w:left="5040" w:hanging="5040"/>
              <w:jc w:val="both"/>
              <w:rPr>
                <w:sz w:val="24"/>
                <w:szCs w:val="24"/>
              </w:rPr>
            </w:pPr>
            <w:r w:rsidRPr="00C33BD8">
              <w:rPr>
                <w:sz w:val="24"/>
                <w:szCs w:val="24"/>
              </w:rPr>
              <w:t xml:space="preserve">                    MN 55107-2292</w:t>
            </w:r>
          </w:p>
          <w:p w:rsidR="002D0091" w:rsidRPr="00C33BD8" w:rsidRDefault="002D0091" w:rsidP="0030057F">
            <w:pPr>
              <w:rPr>
                <w:sz w:val="24"/>
                <w:szCs w:val="24"/>
              </w:rPr>
            </w:pPr>
            <w:r w:rsidRPr="00C33BD8">
              <w:rPr>
                <w:b/>
                <w:sz w:val="24"/>
                <w:szCs w:val="24"/>
              </w:rPr>
              <w:t xml:space="preserve">ABA            </w:t>
            </w:r>
            <w:r w:rsidRPr="00C33BD8">
              <w:rPr>
                <w:sz w:val="24"/>
                <w:szCs w:val="24"/>
              </w:rPr>
              <w:t>091 000 022</w:t>
            </w:r>
          </w:p>
          <w:p w:rsidR="002D0091" w:rsidRPr="00C33BD8" w:rsidRDefault="002D0091" w:rsidP="0030057F">
            <w:pPr>
              <w:rPr>
                <w:sz w:val="24"/>
                <w:szCs w:val="24"/>
              </w:rPr>
            </w:pPr>
            <w:r w:rsidRPr="00C33BD8">
              <w:rPr>
                <w:b/>
                <w:sz w:val="24"/>
                <w:szCs w:val="24"/>
              </w:rPr>
              <w:t xml:space="preserve">BNF            </w:t>
            </w:r>
            <w:r w:rsidRPr="00C33BD8">
              <w:rPr>
                <w:sz w:val="24"/>
                <w:szCs w:val="24"/>
              </w:rPr>
              <w:t>ITC Depository South &amp; East</w:t>
            </w:r>
          </w:p>
          <w:p w:rsidR="002D0091" w:rsidRPr="00C33BD8" w:rsidRDefault="002D0091" w:rsidP="0030057F">
            <w:pPr>
              <w:rPr>
                <w:sz w:val="24"/>
                <w:szCs w:val="24"/>
              </w:rPr>
            </w:pPr>
            <w:r w:rsidRPr="00C33BD8">
              <w:rPr>
                <w:b/>
                <w:sz w:val="22"/>
                <w:szCs w:val="24"/>
              </w:rPr>
              <w:t>ACCOUNT</w:t>
            </w:r>
            <w:r w:rsidRPr="00C33BD8">
              <w:rPr>
                <w:b/>
                <w:sz w:val="24"/>
                <w:szCs w:val="24"/>
              </w:rPr>
              <w:t xml:space="preserve"> </w:t>
            </w:r>
            <w:r w:rsidRPr="00C33BD8">
              <w:rPr>
                <w:sz w:val="24"/>
                <w:szCs w:val="24"/>
              </w:rPr>
              <w:t>173 103 781 832</w:t>
            </w:r>
          </w:p>
          <w:p w:rsidR="002D0091" w:rsidRPr="00C33BD8" w:rsidRDefault="002D0091" w:rsidP="0030057F">
            <w:pPr>
              <w:rPr>
                <w:sz w:val="24"/>
                <w:szCs w:val="24"/>
              </w:rPr>
            </w:pPr>
            <w:r w:rsidRPr="00C33BD8">
              <w:rPr>
                <w:b/>
                <w:sz w:val="24"/>
                <w:szCs w:val="24"/>
              </w:rPr>
              <w:t>OBI</w:t>
            </w:r>
            <w:r w:rsidRPr="00C33BD8">
              <w:rPr>
                <w:sz w:val="24"/>
                <w:szCs w:val="24"/>
              </w:rPr>
              <w:t xml:space="preserve">             PA Relay</w:t>
            </w:r>
          </w:p>
          <w:p w:rsidR="002D0091" w:rsidRPr="00C33BD8" w:rsidRDefault="002D0091" w:rsidP="0030057F">
            <w:pPr>
              <w:rPr>
                <w:sz w:val="24"/>
                <w:szCs w:val="24"/>
              </w:rPr>
            </w:pPr>
            <w:r w:rsidRPr="00C33BD8">
              <w:rPr>
                <w:b/>
                <w:sz w:val="24"/>
                <w:szCs w:val="24"/>
              </w:rPr>
              <w:t>ATTN</w:t>
            </w:r>
            <w:r w:rsidRPr="00C33BD8">
              <w:rPr>
                <w:sz w:val="24"/>
                <w:szCs w:val="24"/>
              </w:rPr>
              <w:t xml:space="preserve">:        </w:t>
            </w:r>
            <w:r>
              <w:rPr>
                <w:sz w:val="24"/>
                <w:szCs w:val="24"/>
              </w:rPr>
              <w:t xml:space="preserve">Dina </w:t>
            </w:r>
            <w:proofErr w:type="spellStart"/>
            <w:r>
              <w:rPr>
                <w:sz w:val="24"/>
                <w:szCs w:val="24"/>
              </w:rPr>
              <w:t>Buccieri</w:t>
            </w:r>
            <w:proofErr w:type="spellEnd"/>
          </w:p>
        </w:tc>
      </w:tr>
    </w:tbl>
    <w:p w:rsidR="002D0091" w:rsidRPr="00E74B2A" w:rsidRDefault="002D0091" w:rsidP="002D0091">
      <w:pPr>
        <w:rPr>
          <w:sz w:val="22"/>
          <w:szCs w:val="22"/>
        </w:rPr>
      </w:pPr>
      <w:r w:rsidRPr="00E74B2A">
        <w:rPr>
          <w:b/>
          <w:sz w:val="22"/>
          <w:szCs w:val="22"/>
        </w:rPr>
        <w:t>Remittance for</w:t>
      </w:r>
      <w:r w:rsidRPr="00E74B2A">
        <w:rPr>
          <w:sz w:val="22"/>
          <w:szCs w:val="22"/>
        </w:rPr>
        <w:t>:</w:t>
      </w:r>
    </w:p>
    <w:p w:rsidR="002D0091" w:rsidRPr="00E74B2A" w:rsidRDefault="002D0091" w:rsidP="003C2373">
      <w:pPr>
        <w:rPr>
          <w:sz w:val="22"/>
          <w:szCs w:val="22"/>
        </w:rPr>
      </w:pPr>
      <w:r w:rsidRPr="00E74B2A">
        <w:rPr>
          <w:sz w:val="22"/>
          <w:szCs w:val="22"/>
        </w:rPr>
        <w:t>Company Name: _______________________________________________________________</w:t>
      </w:r>
      <w:r w:rsidR="003C2373" w:rsidRPr="00E74B2A">
        <w:rPr>
          <w:sz w:val="22"/>
          <w:szCs w:val="22"/>
        </w:rPr>
        <w:t>__</w:t>
      </w:r>
    </w:p>
    <w:p w:rsidR="002D0091" w:rsidRPr="00E74B2A" w:rsidRDefault="002D0091" w:rsidP="003C2373">
      <w:pPr>
        <w:rPr>
          <w:sz w:val="22"/>
          <w:szCs w:val="22"/>
        </w:rPr>
      </w:pPr>
      <w:r w:rsidRPr="00E74B2A">
        <w:rPr>
          <w:sz w:val="22"/>
          <w:szCs w:val="22"/>
        </w:rPr>
        <w:t>Utility Code: _______________________________</w:t>
      </w:r>
    </w:p>
    <w:p w:rsidR="002D0091" w:rsidRPr="00E74B2A" w:rsidRDefault="003C2373" w:rsidP="003C2373">
      <w:pPr>
        <w:rPr>
          <w:sz w:val="22"/>
          <w:szCs w:val="22"/>
        </w:rPr>
      </w:pPr>
      <w:r w:rsidRPr="00E74B2A">
        <w:rPr>
          <w:sz w:val="22"/>
          <w:szCs w:val="22"/>
        </w:rPr>
        <w:t xml:space="preserve">Contact Person: </w:t>
      </w:r>
      <w:r w:rsidR="002D0091" w:rsidRPr="00E74B2A">
        <w:rPr>
          <w:sz w:val="22"/>
          <w:szCs w:val="22"/>
        </w:rPr>
        <w:t>___________________</w:t>
      </w:r>
      <w:r w:rsidR="007B5FFA" w:rsidRPr="00E74B2A">
        <w:rPr>
          <w:sz w:val="22"/>
          <w:szCs w:val="22"/>
        </w:rPr>
        <w:t>________________________________</w:t>
      </w:r>
      <w:r w:rsidRPr="00E74B2A">
        <w:rPr>
          <w:sz w:val="22"/>
          <w:szCs w:val="22"/>
        </w:rPr>
        <w:t>_______________</w:t>
      </w:r>
    </w:p>
    <w:p w:rsidR="002D0091" w:rsidRPr="00E74B2A" w:rsidRDefault="002D0091" w:rsidP="003C2373">
      <w:pPr>
        <w:rPr>
          <w:sz w:val="22"/>
          <w:szCs w:val="22"/>
        </w:rPr>
      </w:pPr>
      <w:r w:rsidRPr="00E74B2A">
        <w:rPr>
          <w:sz w:val="22"/>
          <w:szCs w:val="22"/>
        </w:rPr>
        <w:t>Voice Phone Number: (____</w:t>
      </w:r>
      <w:proofErr w:type="gramStart"/>
      <w:r w:rsidRPr="00E74B2A">
        <w:rPr>
          <w:sz w:val="22"/>
          <w:szCs w:val="22"/>
        </w:rPr>
        <w:t>)_</w:t>
      </w:r>
      <w:proofErr w:type="gramEnd"/>
      <w:r w:rsidRPr="00E74B2A">
        <w:rPr>
          <w:sz w:val="22"/>
          <w:szCs w:val="22"/>
        </w:rPr>
        <w:t>____________________  FAX: (____)______________________</w:t>
      </w:r>
      <w:r w:rsidR="003C2373" w:rsidRPr="00E74B2A">
        <w:rPr>
          <w:sz w:val="22"/>
          <w:szCs w:val="22"/>
        </w:rPr>
        <w:t>_</w:t>
      </w:r>
    </w:p>
    <w:p w:rsidR="002D0091" w:rsidRPr="00E74B2A" w:rsidRDefault="002D0091" w:rsidP="003C2373">
      <w:pPr>
        <w:rPr>
          <w:sz w:val="22"/>
          <w:szCs w:val="22"/>
        </w:rPr>
      </w:pPr>
      <w:r w:rsidRPr="00E74B2A">
        <w:rPr>
          <w:sz w:val="22"/>
          <w:szCs w:val="22"/>
        </w:rPr>
        <w:t>E-mail address __________________________________________________________________</w:t>
      </w:r>
      <w:r w:rsidR="003C2373" w:rsidRPr="00E74B2A">
        <w:rPr>
          <w:sz w:val="22"/>
          <w:szCs w:val="22"/>
        </w:rPr>
        <w:t>_</w:t>
      </w:r>
    </w:p>
    <w:p w:rsidR="002D0091" w:rsidRPr="00E74B2A" w:rsidRDefault="002D0091" w:rsidP="003C2373">
      <w:pPr>
        <w:rPr>
          <w:i/>
          <w:sz w:val="22"/>
          <w:szCs w:val="22"/>
        </w:rPr>
      </w:pPr>
    </w:p>
    <w:p w:rsidR="003C2373" w:rsidRPr="00E74B2A" w:rsidRDefault="002D0091" w:rsidP="003C2373">
      <w:pPr>
        <w:rPr>
          <w:sz w:val="22"/>
          <w:szCs w:val="22"/>
          <w:u w:val="single"/>
        </w:rPr>
      </w:pPr>
      <w:r w:rsidRPr="00E74B2A">
        <w:rPr>
          <w:i/>
          <w:sz w:val="22"/>
          <w:szCs w:val="22"/>
        </w:rPr>
        <w:t>Authorized Signature:</w:t>
      </w:r>
      <w:r w:rsidR="007B5FFA" w:rsidRPr="00E74B2A">
        <w:rPr>
          <w:i/>
          <w:sz w:val="22"/>
          <w:szCs w:val="22"/>
        </w:rPr>
        <w:t xml:space="preserve"> </w:t>
      </w:r>
      <w:r w:rsidR="007B5FFA" w:rsidRPr="00E74B2A">
        <w:rPr>
          <w:sz w:val="22"/>
          <w:szCs w:val="22"/>
        </w:rPr>
        <w:t>___________________________________________</w:t>
      </w:r>
      <w:r w:rsidR="003C2373" w:rsidRPr="00E74B2A">
        <w:rPr>
          <w:sz w:val="22"/>
          <w:szCs w:val="22"/>
        </w:rPr>
        <w:t xml:space="preserve"> </w:t>
      </w:r>
      <w:r w:rsidRPr="00E74B2A">
        <w:rPr>
          <w:i/>
          <w:sz w:val="22"/>
          <w:szCs w:val="22"/>
        </w:rPr>
        <w:t>Date</w:t>
      </w:r>
      <w:proofErr w:type="gramStart"/>
      <w:r w:rsidRPr="00E74B2A">
        <w:rPr>
          <w:i/>
          <w:sz w:val="22"/>
          <w:szCs w:val="22"/>
        </w:rPr>
        <w:t>:</w:t>
      </w:r>
      <w:r w:rsidR="007B5FFA" w:rsidRPr="00E74B2A">
        <w:rPr>
          <w:sz w:val="22"/>
          <w:szCs w:val="22"/>
        </w:rPr>
        <w:t>_</w:t>
      </w:r>
      <w:proofErr w:type="gramEnd"/>
      <w:r w:rsidR="007B5FFA" w:rsidRPr="00E74B2A">
        <w:rPr>
          <w:sz w:val="22"/>
          <w:szCs w:val="22"/>
        </w:rPr>
        <w:t>____________</w:t>
      </w:r>
    </w:p>
    <w:p w:rsidR="003C2373" w:rsidRPr="00E74B2A" w:rsidRDefault="003C2373" w:rsidP="003C2373">
      <w:pPr>
        <w:rPr>
          <w:sz w:val="22"/>
          <w:szCs w:val="22"/>
          <w:u w:val="single"/>
        </w:rPr>
      </w:pPr>
    </w:p>
    <w:p w:rsidR="003F419A" w:rsidRPr="00E74B2A" w:rsidRDefault="002D0091" w:rsidP="003C2373">
      <w:pPr>
        <w:rPr>
          <w:color w:val="000000"/>
          <w:sz w:val="22"/>
          <w:szCs w:val="22"/>
        </w:rPr>
      </w:pPr>
      <w:r w:rsidRPr="00E74B2A">
        <w:rPr>
          <w:sz w:val="22"/>
          <w:szCs w:val="22"/>
        </w:rPr>
        <w:t>Please direct any questions regarding the TRS Surcharge remittance to Mr. Eric Jeschke at (717) 783</w:t>
      </w:r>
      <w:r w:rsidRPr="00E74B2A">
        <w:rPr>
          <w:sz w:val="22"/>
          <w:szCs w:val="22"/>
        </w:rPr>
        <w:noBreakHyphen/>
        <w:t>3850 or ejeschke@pa.gov.</w:t>
      </w:r>
    </w:p>
    <w:sectPr w:rsidR="003F419A" w:rsidRPr="00E74B2A" w:rsidSect="00A05AD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BF" w:rsidRDefault="00272DBF">
      <w:r>
        <w:separator/>
      </w:r>
    </w:p>
  </w:endnote>
  <w:endnote w:type="continuationSeparator" w:id="0">
    <w:p w:rsidR="00272DBF" w:rsidRDefault="0027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end"/>
    </w:r>
  </w:p>
  <w:p w:rsidR="007E2F5E" w:rsidRDefault="007E2F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F5E" w:rsidRDefault="00BC1CF8" w:rsidP="00C96A66">
    <w:pPr>
      <w:pStyle w:val="Footer"/>
      <w:framePr w:wrap="around" w:vAnchor="text" w:hAnchor="margin" w:xAlign="center" w:y="1"/>
      <w:rPr>
        <w:rStyle w:val="PageNumber"/>
      </w:rPr>
    </w:pPr>
    <w:r>
      <w:rPr>
        <w:rStyle w:val="PageNumber"/>
      </w:rPr>
      <w:fldChar w:fldCharType="begin"/>
    </w:r>
    <w:r w:rsidR="007E2F5E">
      <w:rPr>
        <w:rStyle w:val="PageNumber"/>
      </w:rPr>
      <w:instrText xml:space="preserve">PAGE  </w:instrText>
    </w:r>
    <w:r>
      <w:rPr>
        <w:rStyle w:val="PageNumber"/>
      </w:rPr>
      <w:fldChar w:fldCharType="separate"/>
    </w:r>
    <w:r w:rsidR="00997483">
      <w:rPr>
        <w:rStyle w:val="PageNumber"/>
        <w:noProof/>
      </w:rPr>
      <w:t>3</w:t>
    </w:r>
    <w:r>
      <w:rPr>
        <w:rStyle w:val="PageNumber"/>
      </w:rPr>
      <w:fldChar w:fldCharType="end"/>
    </w:r>
  </w:p>
  <w:p w:rsidR="007E2F5E" w:rsidRDefault="007E2F5E" w:rsidP="00C96A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3A" w:rsidRDefault="00510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BF" w:rsidRDefault="00272DBF">
      <w:r>
        <w:separator/>
      </w:r>
    </w:p>
  </w:footnote>
  <w:footnote w:type="continuationSeparator" w:id="0">
    <w:p w:rsidR="00272DBF" w:rsidRDefault="00272DBF">
      <w:r>
        <w:continuationSeparator/>
      </w:r>
    </w:p>
  </w:footnote>
  <w:footnote w:id="1">
    <w:p w:rsidR="00027CA3" w:rsidRPr="00027CA3" w:rsidRDefault="00027CA3" w:rsidP="00027CA3">
      <w:pPr>
        <w:pStyle w:val="FootnoteText"/>
        <w:keepLines/>
        <w:contextualSpacing/>
        <w:rPr>
          <w:sz w:val="26"/>
          <w:szCs w:val="26"/>
        </w:rPr>
      </w:pPr>
      <w:r>
        <w:rPr>
          <w:sz w:val="26"/>
          <w:szCs w:val="26"/>
        </w:rPr>
        <w:tab/>
      </w:r>
      <w:r w:rsidRPr="00027CA3">
        <w:rPr>
          <w:rStyle w:val="FootnoteReference"/>
          <w:sz w:val="26"/>
          <w:szCs w:val="26"/>
        </w:rPr>
        <w:footnoteRef/>
      </w:r>
      <w:r>
        <w:rPr>
          <w:sz w:val="26"/>
          <w:szCs w:val="26"/>
        </w:rPr>
        <w:tab/>
      </w:r>
      <w:r w:rsidRPr="00027CA3">
        <w:rPr>
          <w:sz w:val="26"/>
          <w:szCs w:val="26"/>
        </w:rPr>
        <w:t xml:space="preserve">Additional information on TRS may be found at </w:t>
      </w:r>
      <w:hyperlink r:id="rId1" w:history="1">
        <w:r w:rsidRPr="00027CA3">
          <w:rPr>
            <w:rStyle w:val="Hyperlink"/>
            <w:sz w:val="26"/>
            <w:szCs w:val="26"/>
          </w:rPr>
          <w:t>http://www.puc.pa.gov/utility_industry/telecommunications/telecommunications_relay_service.aspx</w:t>
        </w:r>
      </w:hyperlink>
      <w:r w:rsidR="00045822">
        <w:rPr>
          <w:sz w:val="26"/>
          <w:szCs w:val="26"/>
        </w:rPr>
        <w:t>.</w:t>
      </w:r>
    </w:p>
  </w:footnote>
  <w:footnote w:id="2">
    <w:p w:rsidR="00027CA3" w:rsidRPr="00027CA3" w:rsidRDefault="00070BBD" w:rsidP="00027CA3">
      <w:pPr>
        <w:pStyle w:val="FootnoteText"/>
        <w:keepLines/>
        <w:spacing w:after="0"/>
        <w:contextualSpacing/>
        <w:rPr>
          <w:color w:val="000000"/>
          <w:sz w:val="26"/>
          <w:szCs w:val="26"/>
        </w:rPr>
      </w:pPr>
      <w:r>
        <w:rPr>
          <w:i/>
          <w:color w:val="000000"/>
          <w:sz w:val="26"/>
          <w:szCs w:val="26"/>
        </w:rPr>
        <w:tab/>
      </w:r>
      <w:r w:rsidR="00027CA3" w:rsidRPr="00027CA3">
        <w:rPr>
          <w:rStyle w:val="FootnoteReference"/>
          <w:color w:val="000000"/>
          <w:sz w:val="26"/>
          <w:szCs w:val="26"/>
        </w:rPr>
        <w:footnoteRef/>
      </w:r>
      <w:r>
        <w:rPr>
          <w:i/>
          <w:color w:val="000000"/>
          <w:sz w:val="26"/>
          <w:szCs w:val="26"/>
        </w:rPr>
        <w:tab/>
      </w:r>
      <w:r w:rsidR="00027CA3" w:rsidRPr="00027CA3">
        <w:rPr>
          <w:i/>
          <w:color w:val="000000"/>
          <w:sz w:val="26"/>
          <w:szCs w:val="26"/>
        </w:rPr>
        <w:t xml:space="preserve">See </w:t>
      </w:r>
      <w:r w:rsidR="00027CA3" w:rsidRPr="00027CA3">
        <w:rPr>
          <w:color w:val="000000"/>
          <w:sz w:val="26"/>
          <w:szCs w:val="26"/>
        </w:rPr>
        <w:t>Act 34 of 1995, 35 P.S. §§ 6701.1 – 6701.4 (the statutory provisions were amended by Act 181 of 2002 to be more inclusive of persons with disabilities), establishing the Telecommunication Device Distribution Program (TDDP) to be funded by the TRS surcharge and which codified Relay and use of the TRS surcharge funding mechanism; and Act 174 of 2004, 35 P.S. § 6701.3a, which established the Print Medi</w:t>
      </w:r>
      <w:r w:rsidR="00B25053">
        <w:rPr>
          <w:color w:val="000000"/>
          <w:sz w:val="26"/>
          <w:szCs w:val="26"/>
        </w:rPr>
        <w:t>a Access System Program (PMASP)</w:t>
      </w:r>
      <w:r w:rsidR="00027CA3" w:rsidRPr="00027CA3">
        <w:rPr>
          <w:color w:val="000000"/>
          <w:sz w:val="26"/>
          <w:szCs w:val="26"/>
        </w:rPr>
        <w:t>.  PMASP is a reading service for persons with certain vision-related physical disabilities.  The law is now called the “Universal Telecommunicat</w:t>
      </w:r>
      <w:r>
        <w:rPr>
          <w:color w:val="000000"/>
          <w:sz w:val="26"/>
          <w:szCs w:val="26"/>
        </w:rPr>
        <w:t>ions and Print Media Access Act</w:t>
      </w:r>
      <w:r w:rsidR="00027CA3" w:rsidRPr="00027CA3">
        <w:rPr>
          <w:color w:val="000000"/>
          <w:sz w:val="26"/>
          <w:szCs w:val="26"/>
        </w:rPr>
        <w:t>”</w:t>
      </w:r>
      <w:r>
        <w:rPr>
          <w:color w:val="000000"/>
          <w:sz w:val="26"/>
          <w:szCs w:val="26"/>
        </w:rPr>
        <w:t xml:space="preserve"> (UTPMAA).</w:t>
      </w:r>
    </w:p>
  </w:footnote>
  <w:footnote w:id="3">
    <w:p w:rsidR="00027CA3" w:rsidRPr="00027CA3" w:rsidRDefault="001A241D" w:rsidP="00027CA3">
      <w:pPr>
        <w:pStyle w:val="FootnoteText"/>
        <w:keepLines/>
        <w:contextualSpacing/>
        <w:rPr>
          <w:sz w:val="26"/>
          <w:szCs w:val="26"/>
        </w:rPr>
      </w:pPr>
      <w:r>
        <w:rPr>
          <w:sz w:val="26"/>
          <w:szCs w:val="26"/>
        </w:rPr>
        <w:tab/>
      </w:r>
      <w:r w:rsidR="00027CA3" w:rsidRPr="00027CA3">
        <w:rPr>
          <w:rStyle w:val="FootnoteReference"/>
          <w:sz w:val="26"/>
          <w:szCs w:val="26"/>
        </w:rPr>
        <w:footnoteRef/>
      </w:r>
      <w:r>
        <w:rPr>
          <w:sz w:val="26"/>
          <w:szCs w:val="26"/>
        </w:rPr>
        <w:tab/>
      </w:r>
      <w:r w:rsidR="00027CA3" w:rsidRPr="00027CA3">
        <w:rPr>
          <w:color w:val="000000"/>
          <w:sz w:val="26"/>
          <w:szCs w:val="26"/>
        </w:rPr>
        <w:t xml:space="preserve">LECs include both incumbent and competitive local exchange carriers.  </w:t>
      </w:r>
    </w:p>
  </w:footnote>
  <w:footnote w:id="4">
    <w:p w:rsidR="00D80EDE" w:rsidRPr="00027CA3" w:rsidRDefault="001A241D" w:rsidP="00027CA3">
      <w:pPr>
        <w:pStyle w:val="FootnoteText"/>
        <w:keepLines/>
        <w:contextualSpacing/>
        <w:rPr>
          <w:sz w:val="26"/>
          <w:szCs w:val="26"/>
        </w:rPr>
      </w:pPr>
      <w:r>
        <w:rPr>
          <w:sz w:val="26"/>
          <w:szCs w:val="26"/>
        </w:rPr>
        <w:tab/>
      </w:r>
      <w:r w:rsidR="00D80EDE" w:rsidRPr="00027CA3">
        <w:rPr>
          <w:rStyle w:val="FootnoteReference"/>
          <w:sz w:val="26"/>
          <w:szCs w:val="26"/>
        </w:rPr>
        <w:footnoteRef/>
      </w:r>
      <w:r>
        <w:rPr>
          <w:sz w:val="26"/>
          <w:szCs w:val="26"/>
        </w:rPr>
        <w:tab/>
      </w:r>
      <w:r w:rsidR="009E6F44" w:rsidRPr="00027CA3">
        <w:rPr>
          <w:sz w:val="26"/>
          <w:szCs w:val="26"/>
        </w:rPr>
        <w:t>Hamilton Relay</w:t>
      </w:r>
      <w:r w:rsidR="00954F4B" w:rsidRPr="00027CA3">
        <w:rPr>
          <w:sz w:val="26"/>
          <w:szCs w:val="26"/>
        </w:rPr>
        <w:t>,</w:t>
      </w:r>
      <w:r w:rsidR="009E6F44" w:rsidRPr="00027CA3">
        <w:rPr>
          <w:sz w:val="26"/>
          <w:szCs w:val="26"/>
        </w:rPr>
        <w:t xml:space="preserve"> Inc. </w:t>
      </w:r>
      <w:r w:rsidR="00D80EDE" w:rsidRPr="00027CA3">
        <w:rPr>
          <w:sz w:val="26"/>
          <w:szCs w:val="26"/>
        </w:rPr>
        <w:t xml:space="preserve">(Hamilton) holds the TRS Certificate of Public Convenience to provide TRS throughout the Commonwealth of Pennsylvania.  The Commission approved Hamilton’s Application filed at A-2014-2447601 by order entered December 4, 2014. </w:t>
      </w:r>
    </w:p>
  </w:footnote>
  <w:footnote w:id="5">
    <w:p w:rsidR="007E2F5E" w:rsidRPr="00027CA3" w:rsidRDefault="00F35FF7" w:rsidP="00027CA3">
      <w:pPr>
        <w:pStyle w:val="FootnoteText"/>
        <w:keepLines/>
        <w:contextualSpacing/>
        <w:rPr>
          <w:color w:val="000000"/>
          <w:sz w:val="26"/>
          <w:szCs w:val="26"/>
        </w:rPr>
      </w:pPr>
      <w:r>
        <w:rPr>
          <w:color w:val="000000"/>
          <w:sz w:val="26"/>
          <w:szCs w:val="26"/>
        </w:rPr>
        <w:tab/>
      </w:r>
      <w:r w:rsidR="007E2F5E" w:rsidRPr="00027CA3">
        <w:rPr>
          <w:rStyle w:val="FootnoteReference"/>
          <w:color w:val="000000"/>
          <w:sz w:val="26"/>
          <w:szCs w:val="26"/>
        </w:rPr>
        <w:footnoteRef/>
      </w:r>
      <w:r>
        <w:rPr>
          <w:color w:val="000000"/>
          <w:sz w:val="26"/>
          <w:szCs w:val="26"/>
        </w:rPr>
        <w:tab/>
      </w:r>
      <w:r w:rsidR="007E2F5E" w:rsidRPr="00027CA3">
        <w:rPr>
          <w:color w:val="000000"/>
          <w:sz w:val="26"/>
          <w:szCs w:val="26"/>
        </w:rPr>
        <w:t>As a result of mergers, acquisitions, and name changes, Fund administration has been handled by Hamilton Bank (1990), CoreStates Bank N.A. (1995), First Union National Bank (1999), Wachovia Bank, N.A. (2002), and U.S. Bank Institutional Trust &amp; Custody (2006).</w:t>
      </w:r>
    </w:p>
  </w:footnote>
  <w:footnote w:id="6">
    <w:p w:rsidR="007E2F5E" w:rsidRPr="00027CA3" w:rsidRDefault="00F35FF7" w:rsidP="00027CA3">
      <w:pPr>
        <w:pStyle w:val="FootnoteText"/>
        <w:keepLines/>
        <w:contextualSpacing/>
        <w:rPr>
          <w:color w:val="000000"/>
          <w:sz w:val="26"/>
          <w:szCs w:val="26"/>
        </w:rPr>
      </w:pPr>
      <w:r>
        <w:rPr>
          <w:color w:val="000000"/>
          <w:sz w:val="26"/>
          <w:szCs w:val="26"/>
        </w:rPr>
        <w:tab/>
      </w:r>
      <w:r w:rsidR="007E2F5E" w:rsidRPr="00027CA3">
        <w:rPr>
          <w:rStyle w:val="FootnoteReference"/>
          <w:color w:val="000000"/>
          <w:sz w:val="26"/>
          <w:szCs w:val="26"/>
        </w:rPr>
        <w:footnoteRef/>
      </w:r>
      <w:r>
        <w:rPr>
          <w:color w:val="000000"/>
          <w:sz w:val="26"/>
          <w:szCs w:val="26"/>
        </w:rPr>
        <w:tab/>
      </w:r>
      <w:r w:rsidR="007E2F5E" w:rsidRPr="00027CA3">
        <w:rPr>
          <w:color w:val="000000"/>
          <w:sz w:val="26"/>
          <w:szCs w:val="26"/>
        </w:rPr>
        <w:t xml:space="preserve">Separate accounts are maintained for the portions of the surcharge allocated to Relay, TDDP, and PMASP.  </w:t>
      </w:r>
      <w:r w:rsidR="00921C0C" w:rsidRPr="00027CA3">
        <w:rPr>
          <w:color w:val="000000"/>
          <w:sz w:val="26"/>
          <w:szCs w:val="26"/>
        </w:rPr>
        <w:t xml:space="preserve">TRS </w:t>
      </w:r>
      <w:r w:rsidR="007E2F5E" w:rsidRPr="00027CA3">
        <w:rPr>
          <w:color w:val="000000"/>
          <w:sz w:val="26"/>
          <w:szCs w:val="26"/>
        </w:rPr>
        <w:t>Advisory Board</w:t>
      </w:r>
      <w:r w:rsidR="00476BEE" w:rsidRPr="00027CA3">
        <w:rPr>
          <w:color w:val="000000"/>
          <w:sz w:val="26"/>
          <w:szCs w:val="26"/>
        </w:rPr>
        <w:t xml:space="preserve"> expenses</w:t>
      </w:r>
      <w:r w:rsidR="007E2F5E" w:rsidRPr="00027CA3">
        <w:rPr>
          <w:color w:val="000000"/>
          <w:sz w:val="26"/>
          <w:szCs w:val="26"/>
        </w:rPr>
        <w:t xml:space="preserve">, CTRS, and outreach activities are funded from the Relay account; </w:t>
      </w:r>
      <w:r w:rsidR="00921C0C" w:rsidRPr="00027CA3">
        <w:rPr>
          <w:color w:val="000000"/>
          <w:sz w:val="26"/>
          <w:szCs w:val="26"/>
        </w:rPr>
        <w:t xml:space="preserve">TRS </w:t>
      </w:r>
      <w:r w:rsidR="007E2F5E" w:rsidRPr="00027CA3">
        <w:rPr>
          <w:color w:val="000000"/>
          <w:sz w:val="26"/>
          <w:szCs w:val="26"/>
        </w:rPr>
        <w:t xml:space="preserve">Fund administration </w:t>
      </w:r>
      <w:r w:rsidR="00921C0C" w:rsidRPr="00027CA3">
        <w:rPr>
          <w:color w:val="000000"/>
          <w:sz w:val="26"/>
          <w:szCs w:val="26"/>
        </w:rPr>
        <w:t>costs are drawn</w:t>
      </w:r>
      <w:r w:rsidR="007E2F5E" w:rsidRPr="00027CA3">
        <w:rPr>
          <w:color w:val="000000"/>
          <w:sz w:val="26"/>
          <w:szCs w:val="26"/>
        </w:rPr>
        <w:t xml:space="preserve"> from each respective account.</w:t>
      </w:r>
    </w:p>
  </w:footnote>
  <w:footnote w:id="7">
    <w:p w:rsidR="00BC3F35" w:rsidRPr="00725A12" w:rsidRDefault="00BC3F35" w:rsidP="00BC3F35">
      <w:pPr>
        <w:pStyle w:val="FootnoteText"/>
        <w:keepLines/>
        <w:contextualSpacing/>
        <w:rPr>
          <w:sz w:val="26"/>
          <w:szCs w:val="26"/>
        </w:rPr>
      </w:pPr>
      <w:r>
        <w:rPr>
          <w:sz w:val="26"/>
          <w:szCs w:val="26"/>
        </w:rPr>
        <w:tab/>
      </w:r>
      <w:r w:rsidRPr="00725A12">
        <w:rPr>
          <w:rStyle w:val="FootnoteReference"/>
          <w:sz w:val="26"/>
          <w:szCs w:val="26"/>
        </w:rPr>
        <w:footnoteRef/>
      </w:r>
      <w:r>
        <w:rPr>
          <w:sz w:val="26"/>
          <w:szCs w:val="26"/>
        </w:rPr>
        <w:tab/>
      </w:r>
      <w:r w:rsidRPr="00725A12">
        <w:rPr>
          <w:sz w:val="26"/>
          <w:szCs w:val="26"/>
        </w:rPr>
        <w:t xml:space="preserve">As we stated in our </w:t>
      </w:r>
      <w:r w:rsidR="004472FB">
        <w:rPr>
          <w:i/>
          <w:sz w:val="26"/>
          <w:szCs w:val="26"/>
        </w:rPr>
        <w:t>July 2015 Order</w:t>
      </w:r>
      <w:r w:rsidRPr="00725A12">
        <w:rPr>
          <w:sz w:val="26"/>
          <w:szCs w:val="26"/>
        </w:rPr>
        <w:t xml:space="preserve">: “Certain commenting parties have addressed issues pertaining to the future funding of TDDP wireless device availability on a permanent and statewide basis from the TRS Fund. We are fully cognizant of these issues but will not address them at this time. Rather, we will address them in due course in collaboration with OVR and Temple University [which serves as administrator of the TDDP on behalf of OVR].” </w:t>
      </w:r>
      <w:r w:rsidR="007D4352">
        <w:rPr>
          <w:sz w:val="26"/>
          <w:szCs w:val="26"/>
        </w:rPr>
        <w:t xml:space="preserve"> </w:t>
      </w:r>
      <w:proofErr w:type="gramStart"/>
      <w:r w:rsidR="007D4352">
        <w:rPr>
          <w:i/>
          <w:sz w:val="26"/>
          <w:szCs w:val="26"/>
        </w:rPr>
        <w:t>July 2015 Order</w:t>
      </w:r>
      <w:r w:rsidRPr="00725A12">
        <w:rPr>
          <w:sz w:val="26"/>
          <w:szCs w:val="26"/>
        </w:rPr>
        <w:t xml:space="preserve"> at 14.</w:t>
      </w:r>
      <w:proofErr w:type="gramEnd"/>
    </w:p>
  </w:footnote>
  <w:footnote w:id="8">
    <w:p w:rsidR="00BC3F35" w:rsidRPr="00725A12" w:rsidRDefault="00BC3F35" w:rsidP="00BC3F35">
      <w:pPr>
        <w:pStyle w:val="FootnoteText"/>
        <w:keepLines/>
        <w:contextualSpacing/>
        <w:rPr>
          <w:sz w:val="26"/>
          <w:szCs w:val="26"/>
        </w:rPr>
      </w:pPr>
      <w:r>
        <w:rPr>
          <w:sz w:val="26"/>
          <w:szCs w:val="26"/>
        </w:rPr>
        <w:tab/>
      </w:r>
      <w:r w:rsidRPr="00725A12">
        <w:rPr>
          <w:rStyle w:val="FootnoteReference"/>
          <w:sz w:val="26"/>
          <w:szCs w:val="26"/>
        </w:rPr>
        <w:footnoteRef/>
      </w:r>
      <w:r>
        <w:rPr>
          <w:sz w:val="26"/>
          <w:szCs w:val="26"/>
        </w:rPr>
        <w:tab/>
      </w:r>
      <w:r w:rsidR="00D90877">
        <w:rPr>
          <w:i/>
          <w:sz w:val="26"/>
          <w:szCs w:val="26"/>
        </w:rPr>
        <w:t xml:space="preserve">See </w:t>
      </w:r>
      <w:r w:rsidRPr="00725A12">
        <w:rPr>
          <w:i/>
          <w:sz w:val="26"/>
          <w:szCs w:val="26"/>
        </w:rPr>
        <w:t>In re Misuse of Internet Protocol (IP) Captioned Telephone Service, et al.</w:t>
      </w:r>
      <w:r w:rsidRPr="00725A12">
        <w:rPr>
          <w:sz w:val="26"/>
          <w:szCs w:val="26"/>
        </w:rPr>
        <w:t xml:space="preserve">, CG Docket No. </w:t>
      </w:r>
      <w:proofErr w:type="gramStart"/>
      <w:r w:rsidRPr="00725A12">
        <w:rPr>
          <w:sz w:val="26"/>
          <w:szCs w:val="26"/>
        </w:rPr>
        <w:t xml:space="preserve">13-24 </w:t>
      </w:r>
      <w:r w:rsidRPr="00725A12">
        <w:rPr>
          <w:i/>
          <w:sz w:val="26"/>
          <w:szCs w:val="26"/>
        </w:rPr>
        <w:t>et</w:t>
      </w:r>
      <w:proofErr w:type="gramEnd"/>
      <w:r w:rsidRPr="00725A12">
        <w:rPr>
          <w:i/>
          <w:sz w:val="26"/>
          <w:szCs w:val="26"/>
        </w:rPr>
        <w:t xml:space="preserve"> al.</w:t>
      </w:r>
      <w:r w:rsidRPr="00725A12">
        <w:rPr>
          <w:sz w:val="26"/>
          <w:szCs w:val="26"/>
        </w:rPr>
        <w:t xml:space="preserve">, (FCC Rel. August 26, 2013), Report and Order and Further Notice of Proposed Rulemaking, </w:t>
      </w:r>
      <w:r w:rsidRPr="00725A12">
        <w:rPr>
          <w:i/>
          <w:sz w:val="26"/>
          <w:szCs w:val="26"/>
        </w:rPr>
        <w:t>slip op.</w:t>
      </w:r>
      <w:r w:rsidRPr="00725A12">
        <w:rPr>
          <w:sz w:val="26"/>
          <w:szCs w:val="26"/>
        </w:rPr>
        <w:t xml:space="preserve"> FCC 13-118, ¶¶ 131-40, at 62-65.  </w:t>
      </w:r>
      <w:r w:rsidRPr="00725A12">
        <w:rPr>
          <w:i/>
          <w:sz w:val="26"/>
          <w:szCs w:val="26"/>
        </w:rPr>
        <w:t>See also</w:t>
      </w:r>
      <w:r w:rsidRPr="00725A12">
        <w:rPr>
          <w:sz w:val="26"/>
          <w:szCs w:val="26"/>
        </w:rPr>
        <w:t xml:space="preserve"> FCC Public Notice, </w:t>
      </w:r>
      <w:proofErr w:type="spellStart"/>
      <w:r w:rsidRPr="00725A12">
        <w:rPr>
          <w:sz w:val="26"/>
          <w:szCs w:val="26"/>
        </w:rPr>
        <w:t>Rolka</w:t>
      </w:r>
      <w:proofErr w:type="spellEnd"/>
      <w:r w:rsidRPr="00725A12">
        <w:rPr>
          <w:sz w:val="26"/>
          <w:szCs w:val="26"/>
        </w:rPr>
        <w:t xml:space="preserve"> </w:t>
      </w:r>
      <w:proofErr w:type="spellStart"/>
      <w:r w:rsidRPr="00725A12">
        <w:rPr>
          <w:sz w:val="26"/>
          <w:szCs w:val="26"/>
        </w:rPr>
        <w:t>Loube</w:t>
      </w:r>
      <w:proofErr w:type="spellEnd"/>
      <w:r w:rsidRPr="00725A12">
        <w:rPr>
          <w:sz w:val="26"/>
          <w:szCs w:val="26"/>
        </w:rPr>
        <w:t xml:space="preserve"> Associates Submits Payment Formulas and Funding Requirement for the Interstate Telecommunications Relay Services Fund for the 2017-18 Fund Year, CG Docket Nos. 03-123 &amp; 10-51, DA 17-445, May 10, 2017, at 1, 4.</w:t>
      </w:r>
    </w:p>
  </w:footnote>
  <w:footnote w:id="9">
    <w:p w:rsidR="00574915" w:rsidRPr="00027CA3" w:rsidRDefault="007B0389" w:rsidP="00027CA3">
      <w:pPr>
        <w:pStyle w:val="FootnoteText"/>
        <w:keepLines/>
        <w:contextualSpacing/>
        <w:rPr>
          <w:color w:val="000000"/>
          <w:sz w:val="26"/>
          <w:szCs w:val="26"/>
        </w:rPr>
      </w:pPr>
      <w:r>
        <w:rPr>
          <w:color w:val="000000"/>
          <w:sz w:val="26"/>
          <w:szCs w:val="26"/>
        </w:rPr>
        <w:tab/>
      </w:r>
      <w:r w:rsidR="00574915" w:rsidRPr="00027CA3">
        <w:rPr>
          <w:rStyle w:val="FootnoteReference"/>
          <w:color w:val="000000"/>
          <w:sz w:val="26"/>
          <w:szCs w:val="26"/>
        </w:rPr>
        <w:footnoteRef/>
      </w:r>
      <w:r>
        <w:rPr>
          <w:color w:val="000000"/>
          <w:sz w:val="26"/>
          <w:szCs w:val="26"/>
        </w:rPr>
        <w:tab/>
      </w:r>
      <w:r w:rsidR="00574915" w:rsidRPr="00027CA3">
        <w:rPr>
          <w:color w:val="000000"/>
          <w:sz w:val="26"/>
          <w:szCs w:val="26"/>
        </w:rPr>
        <w:t xml:space="preserve">U.S. Bank Institutional Trust &amp; Custody, Attn: Dina </w:t>
      </w:r>
      <w:proofErr w:type="spellStart"/>
      <w:r w:rsidR="00574915" w:rsidRPr="00027CA3">
        <w:rPr>
          <w:color w:val="000000"/>
          <w:sz w:val="26"/>
          <w:szCs w:val="26"/>
        </w:rPr>
        <w:t>Buccieri</w:t>
      </w:r>
      <w:proofErr w:type="spellEnd"/>
      <w:r w:rsidR="00574915" w:rsidRPr="00027CA3">
        <w:rPr>
          <w:color w:val="000000"/>
          <w:sz w:val="26"/>
          <w:szCs w:val="26"/>
        </w:rPr>
        <w:t>, 50 S. 16</w:t>
      </w:r>
      <w:r w:rsidR="00574915" w:rsidRPr="00027CA3">
        <w:rPr>
          <w:color w:val="000000"/>
          <w:sz w:val="26"/>
          <w:szCs w:val="26"/>
          <w:vertAlign w:val="superscript"/>
        </w:rPr>
        <w:t>th</w:t>
      </w:r>
      <w:r w:rsidR="00574915" w:rsidRPr="00027CA3">
        <w:rPr>
          <w:color w:val="000000"/>
          <w:sz w:val="26"/>
          <w:szCs w:val="26"/>
        </w:rPr>
        <w:t xml:space="preserve"> Street, Suite 2000, Philadelphia, PA 19102</w:t>
      </w:r>
      <w:r w:rsidR="00574915" w:rsidRPr="00027CA3">
        <w:rPr>
          <w:sz w:val="26"/>
          <w:szCs w:val="26"/>
        </w:rPr>
        <w:t>.  Remittances are p</w:t>
      </w:r>
      <w:r w:rsidR="00574915" w:rsidRPr="00027CA3">
        <w:rPr>
          <w:color w:val="000000"/>
          <w:sz w:val="26"/>
          <w:szCs w:val="26"/>
        </w:rPr>
        <w:t xml:space="preserve">ayable to the “PA Relay Service Fund” and designated for Relay.  Bank wire instructions can be </w:t>
      </w:r>
      <w:r w:rsidR="005879BD">
        <w:rPr>
          <w:color w:val="000000"/>
          <w:sz w:val="26"/>
          <w:szCs w:val="26"/>
        </w:rPr>
        <w:t>found on the remittance form.</w:t>
      </w:r>
    </w:p>
  </w:footnote>
  <w:footnote w:id="10">
    <w:p w:rsidR="007E2F5E" w:rsidRPr="00027CA3" w:rsidRDefault="00C67BCC" w:rsidP="00027CA3">
      <w:pPr>
        <w:pStyle w:val="FootnoteText"/>
        <w:keepLines/>
        <w:contextualSpacing/>
        <w:rPr>
          <w:color w:val="000000"/>
          <w:sz w:val="26"/>
          <w:szCs w:val="26"/>
        </w:rPr>
      </w:pPr>
      <w:r>
        <w:rPr>
          <w:color w:val="000000"/>
          <w:sz w:val="26"/>
          <w:szCs w:val="26"/>
        </w:rPr>
        <w:tab/>
      </w:r>
      <w:r w:rsidR="007E2F5E" w:rsidRPr="00027CA3">
        <w:rPr>
          <w:rStyle w:val="FootnoteReference"/>
          <w:color w:val="000000"/>
          <w:sz w:val="26"/>
          <w:szCs w:val="26"/>
        </w:rPr>
        <w:footnoteRef/>
      </w:r>
      <w:r>
        <w:rPr>
          <w:color w:val="000000"/>
          <w:sz w:val="26"/>
          <w:szCs w:val="26"/>
        </w:rPr>
        <w:tab/>
      </w:r>
      <w:r w:rsidR="007E2F5E" w:rsidRPr="00027CA3">
        <w:rPr>
          <w:color w:val="000000"/>
          <w:sz w:val="26"/>
          <w:szCs w:val="26"/>
        </w:rPr>
        <w:t>The TRS surcharge appears as a single line item on customers’ bills but actually has three components (Relay</w:t>
      </w:r>
      <w:r w:rsidR="00C21544" w:rsidRPr="00027CA3">
        <w:rPr>
          <w:color w:val="000000"/>
          <w:sz w:val="26"/>
          <w:szCs w:val="26"/>
        </w:rPr>
        <w:t>,</w:t>
      </w:r>
      <w:r w:rsidR="007E2F5E" w:rsidRPr="00027CA3">
        <w:rPr>
          <w:color w:val="000000"/>
          <w:sz w:val="26"/>
          <w:szCs w:val="26"/>
        </w:rPr>
        <w:t xml:space="preserve"> TDDP</w:t>
      </w:r>
      <w:r w:rsidR="00476BEE" w:rsidRPr="00027CA3">
        <w:rPr>
          <w:color w:val="000000"/>
          <w:sz w:val="26"/>
          <w:szCs w:val="26"/>
        </w:rPr>
        <w:t>,</w:t>
      </w:r>
      <w:r w:rsidR="007E2F5E" w:rsidRPr="00027CA3">
        <w:rPr>
          <w:color w:val="000000"/>
          <w:sz w:val="26"/>
          <w:szCs w:val="26"/>
        </w:rPr>
        <w:t xml:space="preserve"> and PMASP).</w:t>
      </w:r>
    </w:p>
  </w:footnote>
  <w:footnote w:id="11">
    <w:p w:rsidR="007E2F5E" w:rsidRPr="00027CA3" w:rsidRDefault="00822130" w:rsidP="00027CA3">
      <w:pPr>
        <w:pStyle w:val="FootnoteText"/>
        <w:keepLines/>
        <w:contextualSpacing/>
        <w:rPr>
          <w:sz w:val="26"/>
          <w:szCs w:val="26"/>
        </w:rPr>
      </w:pPr>
      <w:r>
        <w:rPr>
          <w:sz w:val="26"/>
          <w:szCs w:val="26"/>
        </w:rPr>
        <w:tab/>
      </w:r>
      <w:r w:rsidR="007E2F5E" w:rsidRPr="00027CA3">
        <w:rPr>
          <w:rStyle w:val="FootnoteReference"/>
          <w:sz w:val="26"/>
          <w:szCs w:val="26"/>
        </w:rPr>
        <w:footnoteRef/>
      </w:r>
      <w:r>
        <w:rPr>
          <w:sz w:val="26"/>
          <w:szCs w:val="26"/>
        </w:rPr>
        <w:tab/>
      </w:r>
      <w:r w:rsidR="00FC21CD">
        <w:rPr>
          <w:sz w:val="26"/>
          <w:szCs w:val="26"/>
        </w:rPr>
        <w:t xml:space="preserve">Since </w:t>
      </w:r>
      <w:r w:rsidR="007E2F5E" w:rsidRPr="00027CA3">
        <w:rPr>
          <w:color w:val="000000"/>
          <w:sz w:val="26"/>
          <w:szCs w:val="26"/>
        </w:rPr>
        <w:t xml:space="preserve">January 1, 2007, the TDD program </w:t>
      </w:r>
      <w:r w:rsidR="00FC21CD">
        <w:rPr>
          <w:color w:val="000000"/>
          <w:sz w:val="26"/>
          <w:szCs w:val="26"/>
        </w:rPr>
        <w:t xml:space="preserve">has been </w:t>
      </w:r>
      <w:r w:rsidR="007E2F5E" w:rsidRPr="00027CA3">
        <w:rPr>
          <w:color w:val="000000"/>
          <w:sz w:val="26"/>
          <w:szCs w:val="26"/>
        </w:rPr>
        <w:t>administered by Pennsylvania’s Initiativ</w:t>
      </w:r>
      <w:r w:rsidR="00E465B1" w:rsidRPr="00027CA3">
        <w:rPr>
          <w:color w:val="000000"/>
          <w:sz w:val="26"/>
          <w:szCs w:val="26"/>
        </w:rPr>
        <w:t>e on Assistive Technology</w:t>
      </w:r>
      <w:r w:rsidR="007E2F5E" w:rsidRPr="00027CA3">
        <w:rPr>
          <w:color w:val="000000"/>
          <w:sz w:val="26"/>
          <w:szCs w:val="26"/>
        </w:rPr>
        <w:t>, Institute on Disab</w:t>
      </w:r>
      <w:r w:rsidR="00E465B1" w:rsidRPr="00027CA3">
        <w:rPr>
          <w:color w:val="000000"/>
          <w:sz w:val="26"/>
          <w:szCs w:val="26"/>
        </w:rPr>
        <w:t>ilities, Temple University</w:t>
      </w:r>
      <w:r w:rsidR="007E2F5E" w:rsidRPr="00027CA3">
        <w:rPr>
          <w:color w:val="000000"/>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3A" w:rsidRDefault="00510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3A" w:rsidRDefault="005105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53A" w:rsidRDefault="005105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14"/>
    <w:rsid w:val="00003BB6"/>
    <w:rsid w:val="000067E2"/>
    <w:rsid w:val="00007E4E"/>
    <w:rsid w:val="00012992"/>
    <w:rsid w:val="00012DF8"/>
    <w:rsid w:val="0001349A"/>
    <w:rsid w:val="00016120"/>
    <w:rsid w:val="0001703F"/>
    <w:rsid w:val="00017D14"/>
    <w:rsid w:val="00020318"/>
    <w:rsid w:val="00021B2E"/>
    <w:rsid w:val="00027CA3"/>
    <w:rsid w:val="00030F48"/>
    <w:rsid w:val="00031809"/>
    <w:rsid w:val="00045822"/>
    <w:rsid w:val="0004679F"/>
    <w:rsid w:val="00056DEC"/>
    <w:rsid w:val="00066368"/>
    <w:rsid w:val="00067973"/>
    <w:rsid w:val="00070BBD"/>
    <w:rsid w:val="000808C5"/>
    <w:rsid w:val="00081CDD"/>
    <w:rsid w:val="000834BC"/>
    <w:rsid w:val="00083547"/>
    <w:rsid w:val="00084583"/>
    <w:rsid w:val="0008470F"/>
    <w:rsid w:val="00084F8E"/>
    <w:rsid w:val="000853E5"/>
    <w:rsid w:val="000868CA"/>
    <w:rsid w:val="00094BCC"/>
    <w:rsid w:val="0009542D"/>
    <w:rsid w:val="000A7F87"/>
    <w:rsid w:val="000B2AC1"/>
    <w:rsid w:val="000B2EAC"/>
    <w:rsid w:val="000C0E03"/>
    <w:rsid w:val="000C1AE3"/>
    <w:rsid w:val="000E0937"/>
    <w:rsid w:val="000E0ED0"/>
    <w:rsid w:val="000E27E1"/>
    <w:rsid w:val="000E3865"/>
    <w:rsid w:val="000E654C"/>
    <w:rsid w:val="000F34CE"/>
    <w:rsid w:val="000F4EAD"/>
    <w:rsid w:val="000F5106"/>
    <w:rsid w:val="000F5344"/>
    <w:rsid w:val="000F6354"/>
    <w:rsid w:val="00134A83"/>
    <w:rsid w:val="00135072"/>
    <w:rsid w:val="00135814"/>
    <w:rsid w:val="00141822"/>
    <w:rsid w:val="00142ACD"/>
    <w:rsid w:val="00146C38"/>
    <w:rsid w:val="00153ACF"/>
    <w:rsid w:val="00155989"/>
    <w:rsid w:val="00157CD3"/>
    <w:rsid w:val="00160C11"/>
    <w:rsid w:val="001612AA"/>
    <w:rsid w:val="00165FED"/>
    <w:rsid w:val="001716B7"/>
    <w:rsid w:val="001723FE"/>
    <w:rsid w:val="001729FA"/>
    <w:rsid w:val="001762D4"/>
    <w:rsid w:val="00180B5A"/>
    <w:rsid w:val="001815B1"/>
    <w:rsid w:val="00181F2D"/>
    <w:rsid w:val="00181F84"/>
    <w:rsid w:val="00183680"/>
    <w:rsid w:val="00187219"/>
    <w:rsid w:val="00194426"/>
    <w:rsid w:val="00197E58"/>
    <w:rsid w:val="001A241D"/>
    <w:rsid w:val="001A7E7C"/>
    <w:rsid w:val="001C44FA"/>
    <w:rsid w:val="001C7D5D"/>
    <w:rsid w:val="001D1D22"/>
    <w:rsid w:val="001E0747"/>
    <w:rsid w:val="001E1AE2"/>
    <w:rsid w:val="001E5808"/>
    <w:rsid w:val="001E7F67"/>
    <w:rsid w:val="001F0441"/>
    <w:rsid w:val="001F2C92"/>
    <w:rsid w:val="001F46EA"/>
    <w:rsid w:val="00201A6F"/>
    <w:rsid w:val="002146EB"/>
    <w:rsid w:val="00223452"/>
    <w:rsid w:val="002264E6"/>
    <w:rsid w:val="0023666A"/>
    <w:rsid w:val="002439F9"/>
    <w:rsid w:val="0024684D"/>
    <w:rsid w:val="002473DE"/>
    <w:rsid w:val="002512DA"/>
    <w:rsid w:val="00252B8E"/>
    <w:rsid w:val="00253E85"/>
    <w:rsid w:val="00262FC5"/>
    <w:rsid w:val="00265ABC"/>
    <w:rsid w:val="00267209"/>
    <w:rsid w:val="00272DBF"/>
    <w:rsid w:val="002763EF"/>
    <w:rsid w:val="00276D47"/>
    <w:rsid w:val="00280708"/>
    <w:rsid w:val="00295663"/>
    <w:rsid w:val="002975B2"/>
    <w:rsid w:val="002A46DA"/>
    <w:rsid w:val="002A6489"/>
    <w:rsid w:val="002A694E"/>
    <w:rsid w:val="002B2F88"/>
    <w:rsid w:val="002B63BA"/>
    <w:rsid w:val="002B67C3"/>
    <w:rsid w:val="002C0FE8"/>
    <w:rsid w:val="002C1EA2"/>
    <w:rsid w:val="002C209D"/>
    <w:rsid w:val="002D0091"/>
    <w:rsid w:val="002D3D82"/>
    <w:rsid w:val="002D76EC"/>
    <w:rsid w:val="002E4F6A"/>
    <w:rsid w:val="002F24C4"/>
    <w:rsid w:val="002F4F42"/>
    <w:rsid w:val="003112D3"/>
    <w:rsid w:val="003114E6"/>
    <w:rsid w:val="00312668"/>
    <w:rsid w:val="003143AC"/>
    <w:rsid w:val="00314915"/>
    <w:rsid w:val="00320789"/>
    <w:rsid w:val="0032286B"/>
    <w:rsid w:val="003305A4"/>
    <w:rsid w:val="00342CA2"/>
    <w:rsid w:val="00356054"/>
    <w:rsid w:val="00366C7F"/>
    <w:rsid w:val="00372019"/>
    <w:rsid w:val="003726E2"/>
    <w:rsid w:val="00372D05"/>
    <w:rsid w:val="00380E45"/>
    <w:rsid w:val="00384952"/>
    <w:rsid w:val="00384DC9"/>
    <w:rsid w:val="00386A87"/>
    <w:rsid w:val="0039034B"/>
    <w:rsid w:val="00394A6F"/>
    <w:rsid w:val="00397E22"/>
    <w:rsid w:val="003A3353"/>
    <w:rsid w:val="003A3CE3"/>
    <w:rsid w:val="003A4B94"/>
    <w:rsid w:val="003B3408"/>
    <w:rsid w:val="003C0617"/>
    <w:rsid w:val="003C2373"/>
    <w:rsid w:val="003C4D76"/>
    <w:rsid w:val="003D0BAE"/>
    <w:rsid w:val="003E13FD"/>
    <w:rsid w:val="003E1731"/>
    <w:rsid w:val="003F419A"/>
    <w:rsid w:val="003F4223"/>
    <w:rsid w:val="00401E79"/>
    <w:rsid w:val="00412665"/>
    <w:rsid w:val="0041712B"/>
    <w:rsid w:val="00417522"/>
    <w:rsid w:val="00417B27"/>
    <w:rsid w:val="00425630"/>
    <w:rsid w:val="004300CF"/>
    <w:rsid w:val="004344AB"/>
    <w:rsid w:val="00435979"/>
    <w:rsid w:val="00444B95"/>
    <w:rsid w:val="004472FB"/>
    <w:rsid w:val="004519C9"/>
    <w:rsid w:val="0045231A"/>
    <w:rsid w:val="0045630C"/>
    <w:rsid w:val="00461B32"/>
    <w:rsid w:val="00464A3B"/>
    <w:rsid w:val="0046508E"/>
    <w:rsid w:val="00472AB2"/>
    <w:rsid w:val="00476BEE"/>
    <w:rsid w:val="00477803"/>
    <w:rsid w:val="0048224D"/>
    <w:rsid w:val="00483332"/>
    <w:rsid w:val="00484C1A"/>
    <w:rsid w:val="00485962"/>
    <w:rsid w:val="0049258C"/>
    <w:rsid w:val="00493F00"/>
    <w:rsid w:val="004A05E7"/>
    <w:rsid w:val="004A4647"/>
    <w:rsid w:val="004A4AD3"/>
    <w:rsid w:val="004A6435"/>
    <w:rsid w:val="004B52FF"/>
    <w:rsid w:val="004B549B"/>
    <w:rsid w:val="004C20F0"/>
    <w:rsid w:val="004D2F65"/>
    <w:rsid w:val="004D48AA"/>
    <w:rsid w:val="004D4B83"/>
    <w:rsid w:val="004D7984"/>
    <w:rsid w:val="004E332C"/>
    <w:rsid w:val="004F6E39"/>
    <w:rsid w:val="004F7188"/>
    <w:rsid w:val="0050154F"/>
    <w:rsid w:val="0050290B"/>
    <w:rsid w:val="00504B01"/>
    <w:rsid w:val="0051053A"/>
    <w:rsid w:val="0051423B"/>
    <w:rsid w:val="00517304"/>
    <w:rsid w:val="00517565"/>
    <w:rsid w:val="005205B9"/>
    <w:rsid w:val="00520A41"/>
    <w:rsid w:val="005213EC"/>
    <w:rsid w:val="00531F5E"/>
    <w:rsid w:val="00533E8A"/>
    <w:rsid w:val="005449EB"/>
    <w:rsid w:val="00546B5E"/>
    <w:rsid w:val="00551949"/>
    <w:rsid w:val="00553BAE"/>
    <w:rsid w:val="0056185C"/>
    <w:rsid w:val="005672C0"/>
    <w:rsid w:val="00572E2B"/>
    <w:rsid w:val="00574915"/>
    <w:rsid w:val="005859BB"/>
    <w:rsid w:val="005879BD"/>
    <w:rsid w:val="00590381"/>
    <w:rsid w:val="00594759"/>
    <w:rsid w:val="0059569C"/>
    <w:rsid w:val="0059660D"/>
    <w:rsid w:val="005A1FD5"/>
    <w:rsid w:val="005B10C6"/>
    <w:rsid w:val="005B1C45"/>
    <w:rsid w:val="005D2030"/>
    <w:rsid w:val="005D5358"/>
    <w:rsid w:val="005D7B5B"/>
    <w:rsid w:val="005D7BF9"/>
    <w:rsid w:val="005E5514"/>
    <w:rsid w:val="005E6184"/>
    <w:rsid w:val="005E7FB3"/>
    <w:rsid w:val="005F65A2"/>
    <w:rsid w:val="0060737C"/>
    <w:rsid w:val="00611017"/>
    <w:rsid w:val="006156BD"/>
    <w:rsid w:val="00621CDE"/>
    <w:rsid w:val="00631972"/>
    <w:rsid w:val="00631BC2"/>
    <w:rsid w:val="00634AFB"/>
    <w:rsid w:val="0063706C"/>
    <w:rsid w:val="00641AD2"/>
    <w:rsid w:val="00642BE9"/>
    <w:rsid w:val="00644B60"/>
    <w:rsid w:val="00651D10"/>
    <w:rsid w:val="00652D38"/>
    <w:rsid w:val="0065449B"/>
    <w:rsid w:val="00680EEC"/>
    <w:rsid w:val="00683764"/>
    <w:rsid w:val="0068666D"/>
    <w:rsid w:val="006973EE"/>
    <w:rsid w:val="006A3CC4"/>
    <w:rsid w:val="006B0268"/>
    <w:rsid w:val="006B383A"/>
    <w:rsid w:val="006B5BB9"/>
    <w:rsid w:val="006C1836"/>
    <w:rsid w:val="006C442A"/>
    <w:rsid w:val="006C4F3E"/>
    <w:rsid w:val="006D0FE2"/>
    <w:rsid w:val="006D439D"/>
    <w:rsid w:val="006D737B"/>
    <w:rsid w:val="006D7791"/>
    <w:rsid w:val="006D7901"/>
    <w:rsid w:val="006E4C20"/>
    <w:rsid w:val="006E7C64"/>
    <w:rsid w:val="007027F2"/>
    <w:rsid w:val="007033A8"/>
    <w:rsid w:val="00706844"/>
    <w:rsid w:val="007107EF"/>
    <w:rsid w:val="007145F3"/>
    <w:rsid w:val="007253AD"/>
    <w:rsid w:val="00733080"/>
    <w:rsid w:val="00734F19"/>
    <w:rsid w:val="00744E2C"/>
    <w:rsid w:val="0074684A"/>
    <w:rsid w:val="0075061C"/>
    <w:rsid w:val="0075082F"/>
    <w:rsid w:val="00754B85"/>
    <w:rsid w:val="00755C73"/>
    <w:rsid w:val="00756E6B"/>
    <w:rsid w:val="0075753A"/>
    <w:rsid w:val="00762DE5"/>
    <w:rsid w:val="007642C7"/>
    <w:rsid w:val="00764C6B"/>
    <w:rsid w:val="0077277E"/>
    <w:rsid w:val="00773444"/>
    <w:rsid w:val="00774AD5"/>
    <w:rsid w:val="00776899"/>
    <w:rsid w:val="007771A2"/>
    <w:rsid w:val="00781954"/>
    <w:rsid w:val="00782E0F"/>
    <w:rsid w:val="00796E50"/>
    <w:rsid w:val="007A7807"/>
    <w:rsid w:val="007B0389"/>
    <w:rsid w:val="007B5FFA"/>
    <w:rsid w:val="007D4352"/>
    <w:rsid w:val="007D68AA"/>
    <w:rsid w:val="007E14C6"/>
    <w:rsid w:val="007E2F5E"/>
    <w:rsid w:val="007E4433"/>
    <w:rsid w:val="007E7F59"/>
    <w:rsid w:val="00800251"/>
    <w:rsid w:val="00800E5B"/>
    <w:rsid w:val="00802400"/>
    <w:rsid w:val="00812B46"/>
    <w:rsid w:val="008165D4"/>
    <w:rsid w:val="008213B7"/>
    <w:rsid w:val="00821ACD"/>
    <w:rsid w:val="00822130"/>
    <w:rsid w:val="00822573"/>
    <w:rsid w:val="008257EF"/>
    <w:rsid w:val="008306C4"/>
    <w:rsid w:val="0083736D"/>
    <w:rsid w:val="008449C3"/>
    <w:rsid w:val="00851C5C"/>
    <w:rsid w:val="008663C0"/>
    <w:rsid w:val="00873BEB"/>
    <w:rsid w:val="00874BE1"/>
    <w:rsid w:val="0087658E"/>
    <w:rsid w:val="00885BCD"/>
    <w:rsid w:val="00893546"/>
    <w:rsid w:val="0089619A"/>
    <w:rsid w:val="00897672"/>
    <w:rsid w:val="008A0401"/>
    <w:rsid w:val="008A4737"/>
    <w:rsid w:val="008A6A36"/>
    <w:rsid w:val="008B3A2D"/>
    <w:rsid w:val="008B515B"/>
    <w:rsid w:val="008B5EB4"/>
    <w:rsid w:val="008B6BA8"/>
    <w:rsid w:val="008C37CE"/>
    <w:rsid w:val="008C6F4D"/>
    <w:rsid w:val="008D0365"/>
    <w:rsid w:val="008D3700"/>
    <w:rsid w:val="008E0EF6"/>
    <w:rsid w:val="008E1448"/>
    <w:rsid w:val="008E1E1A"/>
    <w:rsid w:val="008E6B43"/>
    <w:rsid w:val="008F096D"/>
    <w:rsid w:val="008F4E52"/>
    <w:rsid w:val="008F5E4A"/>
    <w:rsid w:val="008F600A"/>
    <w:rsid w:val="00903A9A"/>
    <w:rsid w:val="0090431B"/>
    <w:rsid w:val="009053BF"/>
    <w:rsid w:val="009124F4"/>
    <w:rsid w:val="00920060"/>
    <w:rsid w:val="00921C0C"/>
    <w:rsid w:val="0092590F"/>
    <w:rsid w:val="00931678"/>
    <w:rsid w:val="00932844"/>
    <w:rsid w:val="00934AEE"/>
    <w:rsid w:val="00942DAC"/>
    <w:rsid w:val="00944529"/>
    <w:rsid w:val="00954F4B"/>
    <w:rsid w:val="00955379"/>
    <w:rsid w:val="00973384"/>
    <w:rsid w:val="00974D19"/>
    <w:rsid w:val="00986E0F"/>
    <w:rsid w:val="0099532B"/>
    <w:rsid w:val="0099572A"/>
    <w:rsid w:val="00996592"/>
    <w:rsid w:val="00997483"/>
    <w:rsid w:val="00997663"/>
    <w:rsid w:val="009A1EBB"/>
    <w:rsid w:val="009A3B7D"/>
    <w:rsid w:val="009A49C3"/>
    <w:rsid w:val="009A700D"/>
    <w:rsid w:val="009B4E4A"/>
    <w:rsid w:val="009C4675"/>
    <w:rsid w:val="009C507D"/>
    <w:rsid w:val="009C5601"/>
    <w:rsid w:val="009D6F4F"/>
    <w:rsid w:val="009D730F"/>
    <w:rsid w:val="009D74F9"/>
    <w:rsid w:val="009E057C"/>
    <w:rsid w:val="009E6F44"/>
    <w:rsid w:val="009F08FD"/>
    <w:rsid w:val="009F14E1"/>
    <w:rsid w:val="009F5330"/>
    <w:rsid w:val="00A04838"/>
    <w:rsid w:val="00A108EE"/>
    <w:rsid w:val="00A13863"/>
    <w:rsid w:val="00A13A75"/>
    <w:rsid w:val="00A15E2D"/>
    <w:rsid w:val="00A24BDF"/>
    <w:rsid w:val="00A27D51"/>
    <w:rsid w:val="00A3375F"/>
    <w:rsid w:val="00A351B8"/>
    <w:rsid w:val="00A35237"/>
    <w:rsid w:val="00A43AD7"/>
    <w:rsid w:val="00A43B3D"/>
    <w:rsid w:val="00A45C81"/>
    <w:rsid w:val="00A5133F"/>
    <w:rsid w:val="00A536B1"/>
    <w:rsid w:val="00A738D9"/>
    <w:rsid w:val="00A73BC9"/>
    <w:rsid w:val="00A74E34"/>
    <w:rsid w:val="00A75196"/>
    <w:rsid w:val="00A809C9"/>
    <w:rsid w:val="00A80B4D"/>
    <w:rsid w:val="00AA70D3"/>
    <w:rsid w:val="00AA71E9"/>
    <w:rsid w:val="00AB1BD5"/>
    <w:rsid w:val="00AC1C26"/>
    <w:rsid w:val="00AC2694"/>
    <w:rsid w:val="00AC27BB"/>
    <w:rsid w:val="00AC2FA1"/>
    <w:rsid w:val="00AD17D3"/>
    <w:rsid w:val="00AE2C3A"/>
    <w:rsid w:val="00AF42E1"/>
    <w:rsid w:val="00AF7DF2"/>
    <w:rsid w:val="00B00111"/>
    <w:rsid w:val="00B01749"/>
    <w:rsid w:val="00B07366"/>
    <w:rsid w:val="00B121DC"/>
    <w:rsid w:val="00B126DE"/>
    <w:rsid w:val="00B127B5"/>
    <w:rsid w:val="00B1621E"/>
    <w:rsid w:val="00B17968"/>
    <w:rsid w:val="00B208DF"/>
    <w:rsid w:val="00B20DD4"/>
    <w:rsid w:val="00B25053"/>
    <w:rsid w:val="00B2593A"/>
    <w:rsid w:val="00B2672B"/>
    <w:rsid w:val="00B3046A"/>
    <w:rsid w:val="00B30610"/>
    <w:rsid w:val="00B32235"/>
    <w:rsid w:val="00B353B5"/>
    <w:rsid w:val="00B421C6"/>
    <w:rsid w:val="00B510DE"/>
    <w:rsid w:val="00B52254"/>
    <w:rsid w:val="00B52D11"/>
    <w:rsid w:val="00B57E86"/>
    <w:rsid w:val="00B62001"/>
    <w:rsid w:val="00B73AAB"/>
    <w:rsid w:val="00B756C9"/>
    <w:rsid w:val="00B75782"/>
    <w:rsid w:val="00B75B59"/>
    <w:rsid w:val="00B81638"/>
    <w:rsid w:val="00B841D1"/>
    <w:rsid w:val="00B8447E"/>
    <w:rsid w:val="00B918E6"/>
    <w:rsid w:val="00B94D8D"/>
    <w:rsid w:val="00BA731D"/>
    <w:rsid w:val="00BA7D2B"/>
    <w:rsid w:val="00BB753C"/>
    <w:rsid w:val="00BC1CF8"/>
    <w:rsid w:val="00BC3181"/>
    <w:rsid w:val="00BC3F35"/>
    <w:rsid w:val="00BC4A3E"/>
    <w:rsid w:val="00BC58DF"/>
    <w:rsid w:val="00BD1EE1"/>
    <w:rsid w:val="00BD50D4"/>
    <w:rsid w:val="00BF4AA7"/>
    <w:rsid w:val="00C05CF2"/>
    <w:rsid w:val="00C06182"/>
    <w:rsid w:val="00C070B5"/>
    <w:rsid w:val="00C116D3"/>
    <w:rsid w:val="00C1637E"/>
    <w:rsid w:val="00C21544"/>
    <w:rsid w:val="00C25C0F"/>
    <w:rsid w:val="00C25DD7"/>
    <w:rsid w:val="00C300E8"/>
    <w:rsid w:val="00C31DD3"/>
    <w:rsid w:val="00C33BD8"/>
    <w:rsid w:val="00C42C48"/>
    <w:rsid w:val="00C451A8"/>
    <w:rsid w:val="00C553A2"/>
    <w:rsid w:val="00C56B9B"/>
    <w:rsid w:val="00C63F24"/>
    <w:rsid w:val="00C66262"/>
    <w:rsid w:val="00C66A72"/>
    <w:rsid w:val="00C6777E"/>
    <w:rsid w:val="00C67BCC"/>
    <w:rsid w:val="00C7152F"/>
    <w:rsid w:val="00C76597"/>
    <w:rsid w:val="00C7791D"/>
    <w:rsid w:val="00C82B55"/>
    <w:rsid w:val="00C86564"/>
    <w:rsid w:val="00C87C33"/>
    <w:rsid w:val="00C91214"/>
    <w:rsid w:val="00C93828"/>
    <w:rsid w:val="00C96A66"/>
    <w:rsid w:val="00CA0259"/>
    <w:rsid w:val="00CA0697"/>
    <w:rsid w:val="00CA1230"/>
    <w:rsid w:val="00CA3D7D"/>
    <w:rsid w:val="00CB0487"/>
    <w:rsid w:val="00CC2168"/>
    <w:rsid w:val="00CC2960"/>
    <w:rsid w:val="00CD06B3"/>
    <w:rsid w:val="00CD1642"/>
    <w:rsid w:val="00CD256A"/>
    <w:rsid w:val="00CD260A"/>
    <w:rsid w:val="00CD2B15"/>
    <w:rsid w:val="00CD48B3"/>
    <w:rsid w:val="00CD5557"/>
    <w:rsid w:val="00CD5A5E"/>
    <w:rsid w:val="00CD5C88"/>
    <w:rsid w:val="00CE2309"/>
    <w:rsid w:val="00CF0C58"/>
    <w:rsid w:val="00CF1008"/>
    <w:rsid w:val="00CF1071"/>
    <w:rsid w:val="00CF2FB0"/>
    <w:rsid w:val="00CF479B"/>
    <w:rsid w:val="00D015CA"/>
    <w:rsid w:val="00D04F8F"/>
    <w:rsid w:val="00D05277"/>
    <w:rsid w:val="00D12740"/>
    <w:rsid w:val="00D14446"/>
    <w:rsid w:val="00D23651"/>
    <w:rsid w:val="00D33837"/>
    <w:rsid w:val="00D412D4"/>
    <w:rsid w:val="00D423FC"/>
    <w:rsid w:val="00D47076"/>
    <w:rsid w:val="00D54659"/>
    <w:rsid w:val="00D57946"/>
    <w:rsid w:val="00D61902"/>
    <w:rsid w:val="00D62ABC"/>
    <w:rsid w:val="00D63117"/>
    <w:rsid w:val="00D63EEF"/>
    <w:rsid w:val="00D6417D"/>
    <w:rsid w:val="00D6752F"/>
    <w:rsid w:val="00D72114"/>
    <w:rsid w:val="00D73346"/>
    <w:rsid w:val="00D73822"/>
    <w:rsid w:val="00D80EDE"/>
    <w:rsid w:val="00D829EB"/>
    <w:rsid w:val="00D83271"/>
    <w:rsid w:val="00D90877"/>
    <w:rsid w:val="00D916DE"/>
    <w:rsid w:val="00DA06E6"/>
    <w:rsid w:val="00DA7AD6"/>
    <w:rsid w:val="00DB33A2"/>
    <w:rsid w:val="00DC39C8"/>
    <w:rsid w:val="00DC5D3A"/>
    <w:rsid w:val="00DC6E65"/>
    <w:rsid w:val="00DD1C5A"/>
    <w:rsid w:val="00DD5A24"/>
    <w:rsid w:val="00DE7E5A"/>
    <w:rsid w:val="00DF01F1"/>
    <w:rsid w:val="00DF22AF"/>
    <w:rsid w:val="00DF2372"/>
    <w:rsid w:val="00DF411E"/>
    <w:rsid w:val="00DF7F04"/>
    <w:rsid w:val="00E02A2D"/>
    <w:rsid w:val="00E02B7D"/>
    <w:rsid w:val="00E03CC0"/>
    <w:rsid w:val="00E04298"/>
    <w:rsid w:val="00E11E9A"/>
    <w:rsid w:val="00E12531"/>
    <w:rsid w:val="00E125A7"/>
    <w:rsid w:val="00E12A31"/>
    <w:rsid w:val="00E14C82"/>
    <w:rsid w:val="00E1649C"/>
    <w:rsid w:val="00E24262"/>
    <w:rsid w:val="00E27ABA"/>
    <w:rsid w:val="00E3112E"/>
    <w:rsid w:val="00E3419B"/>
    <w:rsid w:val="00E37788"/>
    <w:rsid w:val="00E465B1"/>
    <w:rsid w:val="00E47A41"/>
    <w:rsid w:val="00E57262"/>
    <w:rsid w:val="00E575CC"/>
    <w:rsid w:val="00E615CE"/>
    <w:rsid w:val="00E6598E"/>
    <w:rsid w:val="00E66BD6"/>
    <w:rsid w:val="00E7293C"/>
    <w:rsid w:val="00E7386A"/>
    <w:rsid w:val="00E74B2A"/>
    <w:rsid w:val="00E758DF"/>
    <w:rsid w:val="00E838DA"/>
    <w:rsid w:val="00E856D1"/>
    <w:rsid w:val="00E86D94"/>
    <w:rsid w:val="00E957C6"/>
    <w:rsid w:val="00E96BF2"/>
    <w:rsid w:val="00E9724D"/>
    <w:rsid w:val="00EB2DA5"/>
    <w:rsid w:val="00EB36C1"/>
    <w:rsid w:val="00EC0490"/>
    <w:rsid w:val="00EC3762"/>
    <w:rsid w:val="00EC615B"/>
    <w:rsid w:val="00ED3E6B"/>
    <w:rsid w:val="00ED540B"/>
    <w:rsid w:val="00ED682E"/>
    <w:rsid w:val="00EE40DA"/>
    <w:rsid w:val="00EE4919"/>
    <w:rsid w:val="00EF659F"/>
    <w:rsid w:val="00EF704D"/>
    <w:rsid w:val="00F00823"/>
    <w:rsid w:val="00F04473"/>
    <w:rsid w:val="00F04E80"/>
    <w:rsid w:val="00F057B5"/>
    <w:rsid w:val="00F07931"/>
    <w:rsid w:val="00F14A4E"/>
    <w:rsid w:val="00F15657"/>
    <w:rsid w:val="00F1728A"/>
    <w:rsid w:val="00F22C7C"/>
    <w:rsid w:val="00F23DF7"/>
    <w:rsid w:val="00F25CEA"/>
    <w:rsid w:val="00F31096"/>
    <w:rsid w:val="00F32A32"/>
    <w:rsid w:val="00F345E1"/>
    <w:rsid w:val="00F35FF7"/>
    <w:rsid w:val="00F37004"/>
    <w:rsid w:val="00F415D3"/>
    <w:rsid w:val="00F43C9A"/>
    <w:rsid w:val="00F4419F"/>
    <w:rsid w:val="00F47E85"/>
    <w:rsid w:val="00F500F1"/>
    <w:rsid w:val="00F5422D"/>
    <w:rsid w:val="00F624D9"/>
    <w:rsid w:val="00F62BC3"/>
    <w:rsid w:val="00F650B5"/>
    <w:rsid w:val="00F70CCC"/>
    <w:rsid w:val="00F735A6"/>
    <w:rsid w:val="00F74614"/>
    <w:rsid w:val="00F81E27"/>
    <w:rsid w:val="00F83213"/>
    <w:rsid w:val="00F835A8"/>
    <w:rsid w:val="00F86619"/>
    <w:rsid w:val="00F92CDE"/>
    <w:rsid w:val="00F978DE"/>
    <w:rsid w:val="00FA2B07"/>
    <w:rsid w:val="00FA3B74"/>
    <w:rsid w:val="00FA784F"/>
    <w:rsid w:val="00FA79ED"/>
    <w:rsid w:val="00FB00E4"/>
    <w:rsid w:val="00FB160A"/>
    <w:rsid w:val="00FC21CD"/>
    <w:rsid w:val="00FC35FA"/>
    <w:rsid w:val="00FC4B5E"/>
    <w:rsid w:val="00FD4D10"/>
    <w:rsid w:val="00FD697B"/>
    <w:rsid w:val="00FE019B"/>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 w:type="character" w:styleId="FollowedHyperlink">
    <w:name w:val="FollowedHyperlink"/>
    <w:basedOn w:val="DefaultParagraphFont"/>
    <w:rsid w:val="002F24C4"/>
    <w:rPr>
      <w:color w:val="800080" w:themeColor="followedHyperlink"/>
      <w:u w:val="single"/>
    </w:rPr>
  </w:style>
  <w:style w:type="character" w:customStyle="1" w:styleId="FootnoteTextChar">
    <w:name w:val="Footnote Text Char"/>
    <w:basedOn w:val="DefaultParagraphFont"/>
    <w:link w:val="FootnoteText"/>
    <w:semiHidden/>
    <w:rsid w:val="00027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213"/>
    <w:rPr>
      <w:sz w:val="26"/>
      <w:szCs w:val="26"/>
    </w:rPr>
  </w:style>
  <w:style w:type="paragraph" w:styleId="Heading1">
    <w:name w:val="heading 1"/>
    <w:basedOn w:val="Normal"/>
    <w:link w:val="Heading1Char"/>
    <w:qFormat/>
    <w:rsid w:val="009053BF"/>
    <w:pPr>
      <w:outlineLvl w:val="0"/>
    </w:pPr>
    <w:rPr>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053BF"/>
    <w:pPr>
      <w:spacing w:after="120"/>
    </w:pPr>
    <w:rPr>
      <w:sz w:val="20"/>
      <w:szCs w:val="20"/>
    </w:rPr>
  </w:style>
  <w:style w:type="paragraph" w:styleId="Header">
    <w:name w:val="header"/>
    <w:basedOn w:val="Normal"/>
    <w:rsid w:val="009053BF"/>
    <w:rPr>
      <w:sz w:val="20"/>
      <w:szCs w:val="20"/>
    </w:rPr>
  </w:style>
  <w:style w:type="paragraph" w:styleId="Caption">
    <w:name w:val="caption"/>
    <w:basedOn w:val="Normal"/>
    <w:qFormat/>
    <w:rsid w:val="009053BF"/>
    <w:pPr>
      <w:jc w:val="center"/>
    </w:pPr>
    <w:rPr>
      <w:b/>
      <w:bCs/>
      <w:color w:val="0000FF"/>
    </w:rPr>
  </w:style>
  <w:style w:type="paragraph" w:styleId="Title">
    <w:name w:val="Title"/>
    <w:basedOn w:val="Normal"/>
    <w:link w:val="TitleChar"/>
    <w:qFormat/>
    <w:rsid w:val="009053BF"/>
    <w:pPr>
      <w:jc w:val="center"/>
    </w:pPr>
    <w:rPr>
      <w:b/>
      <w:bCs/>
      <w:i/>
      <w:iCs/>
      <w:sz w:val="32"/>
      <w:szCs w:val="32"/>
      <w:u w:val="single"/>
    </w:rPr>
  </w:style>
  <w:style w:type="character" w:styleId="FootnoteReference">
    <w:name w:val="footnote reference"/>
    <w:basedOn w:val="DefaultParagraphFont"/>
    <w:semiHidden/>
    <w:rsid w:val="009053BF"/>
    <w:rPr>
      <w:vertAlign w:val="superscript"/>
    </w:rPr>
  </w:style>
  <w:style w:type="paragraph" w:styleId="Footer">
    <w:name w:val="footer"/>
    <w:basedOn w:val="Normal"/>
    <w:rsid w:val="00C96A66"/>
    <w:pPr>
      <w:tabs>
        <w:tab w:val="center" w:pos="4320"/>
        <w:tab w:val="right" w:pos="8640"/>
      </w:tabs>
    </w:pPr>
  </w:style>
  <w:style w:type="character" w:styleId="PageNumber">
    <w:name w:val="page number"/>
    <w:basedOn w:val="DefaultParagraphFont"/>
    <w:rsid w:val="00C96A66"/>
  </w:style>
  <w:style w:type="paragraph" w:styleId="BalloonText">
    <w:name w:val="Balloon Text"/>
    <w:basedOn w:val="Normal"/>
    <w:semiHidden/>
    <w:rsid w:val="00181F2D"/>
    <w:rPr>
      <w:rFonts w:ascii="Tahoma" w:hAnsi="Tahoma" w:cs="Tahoma"/>
      <w:sz w:val="16"/>
      <w:szCs w:val="16"/>
    </w:rPr>
  </w:style>
  <w:style w:type="table" w:styleId="TableGrid">
    <w:name w:val="Table Grid"/>
    <w:basedOn w:val="TableNormal"/>
    <w:rsid w:val="004A4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A7E7C"/>
    <w:rPr>
      <w:color w:val="0000FF"/>
      <w:u w:val="single"/>
    </w:rPr>
  </w:style>
  <w:style w:type="character" w:customStyle="1" w:styleId="Heading1Char">
    <w:name w:val="Heading 1 Char"/>
    <w:basedOn w:val="DefaultParagraphFont"/>
    <w:link w:val="Heading1"/>
    <w:rsid w:val="0050154F"/>
    <w:rPr>
      <w:kern w:val="36"/>
      <w:sz w:val="24"/>
      <w:szCs w:val="24"/>
    </w:rPr>
  </w:style>
  <w:style w:type="character" w:customStyle="1" w:styleId="TitleChar">
    <w:name w:val="Title Char"/>
    <w:basedOn w:val="DefaultParagraphFont"/>
    <w:link w:val="Title"/>
    <w:rsid w:val="0050154F"/>
    <w:rPr>
      <w:b/>
      <w:bCs/>
      <w:i/>
      <w:iCs/>
      <w:sz w:val="32"/>
      <w:szCs w:val="32"/>
      <w:u w:val="single"/>
    </w:rPr>
  </w:style>
  <w:style w:type="character" w:styleId="FollowedHyperlink">
    <w:name w:val="FollowedHyperlink"/>
    <w:basedOn w:val="DefaultParagraphFont"/>
    <w:rsid w:val="002F24C4"/>
    <w:rPr>
      <w:color w:val="800080" w:themeColor="followedHyperlink"/>
      <w:u w:val="single"/>
    </w:rPr>
  </w:style>
  <w:style w:type="character" w:customStyle="1" w:styleId="FootnoteTextChar">
    <w:name w:val="Footnote Text Char"/>
    <w:basedOn w:val="DefaultParagraphFont"/>
    <w:link w:val="FootnoteText"/>
    <w:semiHidden/>
    <w:rsid w:val="00027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89436">
      <w:bodyDiv w:val="1"/>
      <w:marLeft w:val="0"/>
      <w:marRight w:val="0"/>
      <w:marTop w:val="0"/>
      <w:marBottom w:val="0"/>
      <w:divBdr>
        <w:top w:val="none" w:sz="0" w:space="0" w:color="auto"/>
        <w:left w:val="none" w:sz="0" w:space="0" w:color="auto"/>
        <w:bottom w:val="none" w:sz="0" w:space="0" w:color="auto"/>
        <w:right w:val="none" w:sz="0" w:space="0" w:color="auto"/>
      </w:divBdr>
    </w:div>
    <w:div w:id="642656932">
      <w:bodyDiv w:val="1"/>
      <w:marLeft w:val="0"/>
      <w:marRight w:val="0"/>
      <w:marTop w:val="0"/>
      <w:marBottom w:val="0"/>
      <w:divBdr>
        <w:top w:val="none" w:sz="0" w:space="0" w:color="auto"/>
        <w:left w:val="none" w:sz="0" w:space="0" w:color="auto"/>
        <w:bottom w:val="none" w:sz="0" w:space="0" w:color="auto"/>
        <w:right w:val="none" w:sz="0" w:space="0" w:color="auto"/>
      </w:divBdr>
    </w:div>
    <w:div w:id="644547830">
      <w:bodyDiv w:val="1"/>
      <w:marLeft w:val="0"/>
      <w:marRight w:val="0"/>
      <w:marTop w:val="0"/>
      <w:marBottom w:val="0"/>
      <w:divBdr>
        <w:top w:val="none" w:sz="0" w:space="0" w:color="auto"/>
        <w:left w:val="none" w:sz="0" w:space="0" w:color="auto"/>
        <w:bottom w:val="none" w:sz="0" w:space="0" w:color="auto"/>
        <w:right w:val="none" w:sz="0" w:space="0" w:color="auto"/>
      </w:divBdr>
    </w:div>
    <w:div w:id="836337192">
      <w:bodyDiv w:val="1"/>
      <w:marLeft w:val="0"/>
      <w:marRight w:val="0"/>
      <w:marTop w:val="0"/>
      <w:marBottom w:val="0"/>
      <w:divBdr>
        <w:top w:val="none" w:sz="0" w:space="0" w:color="auto"/>
        <w:left w:val="none" w:sz="0" w:space="0" w:color="auto"/>
        <w:bottom w:val="none" w:sz="0" w:space="0" w:color="auto"/>
        <w:right w:val="none" w:sz="0" w:space="0" w:color="auto"/>
      </w:divBdr>
    </w:div>
    <w:div w:id="915281933">
      <w:bodyDiv w:val="1"/>
      <w:marLeft w:val="0"/>
      <w:marRight w:val="0"/>
      <w:marTop w:val="0"/>
      <w:marBottom w:val="0"/>
      <w:divBdr>
        <w:top w:val="none" w:sz="0" w:space="0" w:color="auto"/>
        <w:left w:val="none" w:sz="0" w:space="0" w:color="auto"/>
        <w:bottom w:val="none" w:sz="0" w:space="0" w:color="auto"/>
        <w:right w:val="none" w:sz="0" w:space="0" w:color="auto"/>
      </w:divBdr>
    </w:div>
    <w:div w:id="1024285627">
      <w:bodyDiv w:val="1"/>
      <w:marLeft w:val="0"/>
      <w:marRight w:val="0"/>
      <w:marTop w:val="0"/>
      <w:marBottom w:val="0"/>
      <w:divBdr>
        <w:top w:val="none" w:sz="0" w:space="0" w:color="auto"/>
        <w:left w:val="none" w:sz="0" w:space="0" w:color="auto"/>
        <w:bottom w:val="none" w:sz="0" w:space="0" w:color="auto"/>
        <w:right w:val="none" w:sz="0" w:space="0" w:color="auto"/>
      </w:divBdr>
    </w:div>
    <w:div w:id="1145048230">
      <w:bodyDiv w:val="1"/>
      <w:marLeft w:val="0"/>
      <w:marRight w:val="0"/>
      <w:marTop w:val="0"/>
      <w:marBottom w:val="0"/>
      <w:divBdr>
        <w:top w:val="none" w:sz="0" w:space="0" w:color="auto"/>
        <w:left w:val="none" w:sz="0" w:space="0" w:color="auto"/>
        <w:bottom w:val="none" w:sz="0" w:space="0" w:color="auto"/>
        <w:right w:val="none" w:sz="0" w:space="0" w:color="auto"/>
      </w:divBdr>
    </w:div>
    <w:div w:id="1611738781">
      <w:bodyDiv w:val="1"/>
      <w:marLeft w:val="0"/>
      <w:marRight w:val="0"/>
      <w:marTop w:val="0"/>
      <w:marBottom w:val="0"/>
      <w:divBdr>
        <w:top w:val="none" w:sz="0" w:space="0" w:color="auto"/>
        <w:left w:val="none" w:sz="0" w:space="0" w:color="auto"/>
        <w:bottom w:val="none" w:sz="0" w:space="0" w:color="auto"/>
        <w:right w:val="none" w:sz="0" w:space="0" w:color="auto"/>
      </w:divBdr>
    </w:div>
    <w:div w:id="1627858895">
      <w:bodyDiv w:val="1"/>
      <w:marLeft w:val="0"/>
      <w:marRight w:val="0"/>
      <w:marTop w:val="0"/>
      <w:marBottom w:val="0"/>
      <w:divBdr>
        <w:top w:val="none" w:sz="0" w:space="0" w:color="auto"/>
        <w:left w:val="none" w:sz="0" w:space="0" w:color="auto"/>
        <w:bottom w:val="none" w:sz="0" w:space="0" w:color="auto"/>
        <w:right w:val="none" w:sz="0" w:space="0" w:color="auto"/>
      </w:divBdr>
    </w:div>
    <w:div w:id="1756782016">
      <w:bodyDiv w:val="1"/>
      <w:marLeft w:val="0"/>
      <w:marRight w:val="0"/>
      <w:marTop w:val="0"/>
      <w:marBottom w:val="0"/>
      <w:divBdr>
        <w:top w:val="none" w:sz="0" w:space="0" w:color="auto"/>
        <w:left w:val="none" w:sz="0" w:space="0" w:color="auto"/>
        <w:bottom w:val="none" w:sz="0" w:space="0" w:color="auto"/>
        <w:right w:val="none" w:sz="0" w:space="0" w:color="auto"/>
      </w:divBdr>
    </w:div>
    <w:div w:id="2011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utility_industry/telecommunications/telecommunications_relay_serv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F9FC-CB19-463F-A5A2-BC717F85E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2117</Words>
  <Characters>12072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14161</CharactersWithSpaces>
  <SharedDoc>false</SharedDoc>
  <HLinks>
    <vt:vector size="6" baseType="variant">
      <vt:variant>
        <vt:i4>1638424</vt:i4>
      </vt:variant>
      <vt:variant>
        <vt:i4>0</vt:i4>
      </vt:variant>
      <vt:variant>
        <vt:i4>0</vt:i4>
      </vt:variant>
      <vt:variant>
        <vt:i4>5</vt:i4>
      </vt:variant>
      <vt:variant>
        <vt:lpwstr>http://www.puc.state.pa.us/telecom/telecom_relay_service.aspx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2017-06-27T15:47:00Z</dcterms:created>
  <dcterms:modified xsi:type="dcterms:W3CDTF">2017-06-27T17:43:00Z</dcterms:modified>
</cp:coreProperties>
</file>