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E91F49" w:rsidRPr="00F66C7A" w:rsidTr="00E0055A">
        <w:tc>
          <w:tcPr>
            <w:tcW w:w="2448" w:type="dxa"/>
          </w:tcPr>
          <w:p w:rsidR="00E91F49" w:rsidRPr="00F66C7A" w:rsidRDefault="00E91F49" w:rsidP="00CE520F">
            <w:pPr>
              <w:pStyle w:val="Heading2"/>
            </w:pPr>
          </w:p>
        </w:tc>
        <w:tc>
          <w:tcPr>
            <w:tcW w:w="5130" w:type="dxa"/>
          </w:tcPr>
          <w:p w:rsidR="00E91F49" w:rsidRPr="00FA016E" w:rsidRDefault="00E91F49" w:rsidP="00E0055A">
            <w:pPr>
              <w:jc w:val="center"/>
              <w:rPr>
                <w:rFonts w:cstheme="minorHAnsi"/>
                <w:b/>
                <w:sz w:val="26"/>
                <w:szCs w:val="26"/>
              </w:rPr>
            </w:pPr>
            <w:r w:rsidRPr="00FA016E">
              <w:rPr>
                <w:rFonts w:cstheme="minorHAnsi"/>
                <w:b/>
                <w:sz w:val="26"/>
                <w:szCs w:val="26"/>
              </w:rPr>
              <w:t>PENNSYLVANIA</w:t>
            </w:r>
          </w:p>
          <w:p w:rsidR="00E91F49" w:rsidRPr="00DB7855" w:rsidRDefault="00E91F49" w:rsidP="00E0055A">
            <w:pPr>
              <w:jc w:val="center"/>
              <w:rPr>
                <w:rFonts w:cstheme="minorHAnsi"/>
                <w:b/>
                <w:sz w:val="26"/>
                <w:szCs w:val="26"/>
              </w:rPr>
            </w:pPr>
            <w:r w:rsidRPr="00DB7855">
              <w:rPr>
                <w:rFonts w:cstheme="minorHAnsi"/>
                <w:b/>
                <w:sz w:val="26"/>
                <w:szCs w:val="26"/>
              </w:rPr>
              <w:t>PUBLIC UTILITY COMMISSION</w:t>
            </w:r>
          </w:p>
          <w:p w:rsidR="00E91F49" w:rsidRPr="00F66C7A" w:rsidRDefault="00E91F49" w:rsidP="00E0055A">
            <w:pPr>
              <w:pStyle w:val="StyleCentered"/>
              <w:rPr>
                <w:rFonts w:asciiTheme="minorHAnsi" w:hAnsiTheme="minorHAnsi" w:cstheme="minorHAnsi"/>
                <w:b/>
                <w:sz w:val="26"/>
                <w:szCs w:val="26"/>
              </w:rPr>
            </w:pPr>
            <w:r w:rsidRPr="00F66C7A">
              <w:rPr>
                <w:rFonts w:asciiTheme="minorHAnsi" w:hAnsiTheme="minorHAnsi" w:cstheme="minorHAnsi"/>
                <w:b/>
                <w:sz w:val="26"/>
                <w:szCs w:val="26"/>
              </w:rPr>
              <w:t>Harrisburg, PA  17105-3265</w:t>
            </w:r>
          </w:p>
        </w:tc>
        <w:tc>
          <w:tcPr>
            <w:tcW w:w="2700" w:type="dxa"/>
          </w:tcPr>
          <w:p w:rsidR="00E91F49" w:rsidRPr="00FA016E" w:rsidRDefault="00E91F49" w:rsidP="00E0055A">
            <w:pPr>
              <w:rPr>
                <w:rFonts w:cstheme="minorHAnsi"/>
                <w:sz w:val="26"/>
                <w:szCs w:val="26"/>
              </w:rPr>
            </w:pPr>
          </w:p>
        </w:tc>
      </w:tr>
    </w:tbl>
    <w:p w:rsidR="00E91F49" w:rsidRPr="00F66C7A" w:rsidRDefault="00E91F49" w:rsidP="00E91F49">
      <w:pPr>
        <w:rPr>
          <w:rFonts w:cstheme="minorHAnsi"/>
          <w:sz w:val="26"/>
          <w:szCs w:val="26"/>
        </w:rPr>
      </w:pPr>
    </w:p>
    <w:tbl>
      <w:tblPr>
        <w:tblW w:w="0" w:type="auto"/>
        <w:tblLayout w:type="fixed"/>
        <w:tblLook w:val="0000" w:firstRow="0" w:lastRow="0" w:firstColumn="0" w:lastColumn="0" w:noHBand="0" w:noVBand="0"/>
      </w:tblPr>
      <w:tblGrid>
        <w:gridCol w:w="5148"/>
        <w:gridCol w:w="5148"/>
      </w:tblGrid>
      <w:tr w:rsidR="00E91F49" w:rsidRPr="00F66C7A" w:rsidTr="00E0055A">
        <w:tc>
          <w:tcPr>
            <w:tcW w:w="5148" w:type="dxa"/>
          </w:tcPr>
          <w:p w:rsidR="00E91F49" w:rsidRPr="00F66C7A" w:rsidRDefault="00E91F49" w:rsidP="00E0055A">
            <w:pPr>
              <w:rPr>
                <w:rFonts w:cstheme="minorHAnsi"/>
                <w:sz w:val="26"/>
                <w:szCs w:val="26"/>
              </w:rPr>
            </w:pPr>
          </w:p>
        </w:tc>
        <w:tc>
          <w:tcPr>
            <w:tcW w:w="5148" w:type="dxa"/>
          </w:tcPr>
          <w:p w:rsidR="00E91F49" w:rsidRPr="00F66C7A" w:rsidRDefault="00E91F49" w:rsidP="009318CC">
            <w:pPr>
              <w:ind w:firstLine="612"/>
              <w:rPr>
                <w:rFonts w:cstheme="minorHAnsi"/>
                <w:sz w:val="26"/>
                <w:szCs w:val="26"/>
              </w:rPr>
            </w:pPr>
            <w:r w:rsidRPr="00F66C7A">
              <w:rPr>
                <w:rFonts w:cstheme="minorHAnsi"/>
                <w:sz w:val="26"/>
                <w:szCs w:val="26"/>
              </w:rPr>
              <w:t xml:space="preserve">Public Meeting held </w:t>
            </w:r>
            <w:r w:rsidR="009318CC" w:rsidRPr="009318CC">
              <w:rPr>
                <w:rFonts w:cstheme="minorHAnsi"/>
                <w:sz w:val="26"/>
                <w:szCs w:val="26"/>
              </w:rPr>
              <w:t>April</w:t>
            </w:r>
            <w:r w:rsidR="00BE07F6" w:rsidRPr="009318CC">
              <w:rPr>
                <w:rFonts w:cstheme="minorHAnsi"/>
                <w:sz w:val="26"/>
                <w:szCs w:val="26"/>
              </w:rPr>
              <w:t xml:space="preserve"> </w:t>
            </w:r>
            <w:r w:rsidR="009318CC" w:rsidRPr="009318CC">
              <w:rPr>
                <w:rFonts w:cstheme="minorHAnsi"/>
                <w:sz w:val="26"/>
                <w:szCs w:val="26"/>
              </w:rPr>
              <w:t>21</w:t>
            </w:r>
            <w:r w:rsidR="0006456E" w:rsidRPr="009318CC">
              <w:rPr>
                <w:rFonts w:cstheme="minorHAnsi"/>
                <w:sz w:val="26"/>
                <w:szCs w:val="26"/>
              </w:rPr>
              <w:t>, 20</w:t>
            </w:r>
            <w:r w:rsidR="007F35CE" w:rsidRPr="009318CC">
              <w:rPr>
                <w:rFonts w:cstheme="minorHAnsi"/>
                <w:sz w:val="26"/>
                <w:szCs w:val="26"/>
              </w:rPr>
              <w:t>16</w:t>
            </w:r>
          </w:p>
        </w:tc>
      </w:tr>
      <w:tr w:rsidR="00E91F49" w:rsidRPr="00F66C7A" w:rsidTr="00E0055A">
        <w:tc>
          <w:tcPr>
            <w:tcW w:w="5148" w:type="dxa"/>
          </w:tcPr>
          <w:p w:rsidR="00E91F49" w:rsidRPr="00F66C7A" w:rsidRDefault="00E91F49" w:rsidP="00E0055A">
            <w:pPr>
              <w:rPr>
                <w:rFonts w:cstheme="minorHAnsi"/>
                <w:sz w:val="26"/>
                <w:szCs w:val="26"/>
              </w:rPr>
            </w:pPr>
            <w:r w:rsidRPr="00F66C7A">
              <w:rPr>
                <w:rFonts w:cstheme="minorHAnsi"/>
                <w:sz w:val="26"/>
                <w:szCs w:val="26"/>
              </w:rPr>
              <w:t>Commissioners Present:</w:t>
            </w:r>
          </w:p>
        </w:tc>
        <w:tc>
          <w:tcPr>
            <w:tcW w:w="5148" w:type="dxa"/>
          </w:tcPr>
          <w:p w:rsidR="00E91F49" w:rsidRPr="00F66C7A" w:rsidRDefault="00E91F49" w:rsidP="00E0055A">
            <w:pPr>
              <w:rPr>
                <w:rFonts w:cstheme="minorHAnsi"/>
                <w:sz w:val="26"/>
                <w:szCs w:val="26"/>
              </w:rPr>
            </w:pPr>
          </w:p>
        </w:tc>
      </w:tr>
    </w:tbl>
    <w:p w:rsidR="00E91F49" w:rsidRPr="00F66C7A" w:rsidRDefault="00E91F49" w:rsidP="00E91F49">
      <w:pPr>
        <w:rPr>
          <w:rFonts w:cstheme="minorHAnsi"/>
          <w:sz w:val="26"/>
          <w:szCs w:val="26"/>
        </w:rPr>
      </w:pPr>
    </w:p>
    <w:tbl>
      <w:tblPr>
        <w:tblW w:w="10296" w:type="dxa"/>
        <w:tblLayout w:type="fixed"/>
        <w:tblLook w:val="0000" w:firstRow="0" w:lastRow="0" w:firstColumn="0" w:lastColumn="0" w:noHBand="0" w:noVBand="0"/>
      </w:tblPr>
      <w:tblGrid>
        <w:gridCol w:w="5958"/>
        <w:gridCol w:w="2898"/>
        <w:gridCol w:w="522"/>
        <w:gridCol w:w="180"/>
        <w:gridCol w:w="738"/>
      </w:tblGrid>
      <w:tr w:rsidR="00E91F49" w:rsidRPr="00F66C7A" w:rsidTr="00E0055A">
        <w:tc>
          <w:tcPr>
            <w:tcW w:w="9378" w:type="dxa"/>
            <w:gridSpan w:val="3"/>
          </w:tcPr>
          <w:p w:rsidR="00E91F49" w:rsidRPr="00F66C7A" w:rsidRDefault="0002403C" w:rsidP="00E0055A">
            <w:pPr>
              <w:ind w:left="720"/>
              <w:rPr>
                <w:rFonts w:cstheme="minorHAnsi"/>
                <w:sz w:val="26"/>
                <w:szCs w:val="26"/>
              </w:rPr>
            </w:pPr>
            <w:r w:rsidRPr="00F66C7A">
              <w:rPr>
                <w:rFonts w:cstheme="minorHAnsi"/>
                <w:sz w:val="26"/>
                <w:szCs w:val="26"/>
              </w:rPr>
              <w:t>Gladys M. Brown</w:t>
            </w:r>
            <w:r w:rsidR="00E91F49" w:rsidRPr="00F66C7A">
              <w:rPr>
                <w:rFonts w:cstheme="minorHAnsi"/>
                <w:sz w:val="26"/>
                <w:szCs w:val="26"/>
              </w:rPr>
              <w:t>, Chairman</w:t>
            </w:r>
          </w:p>
        </w:tc>
        <w:tc>
          <w:tcPr>
            <w:tcW w:w="918" w:type="dxa"/>
            <w:gridSpan w:val="2"/>
          </w:tcPr>
          <w:p w:rsidR="00E91F49" w:rsidRPr="00F66C7A" w:rsidRDefault="00E91F49" w:rsidP="00E0055A">
            <w:pPr>
              <w:rPr>
                <w:rFonts w:cstheme="minorHAnsi"/>
                <w:sz w:val="26"/>
                <w:szCs w:val="26"/>
              </w:rPr>
            </w:pPr>
          </w:p>
        </w:tc>
      </w:tr>
      <w:tr w:rsidR="00E91F49" w:rsidRPr="00F66C7A" w:rsidTr="00E0055A">
        <w:tc>
          <w:tcPr>
            <w:tcW w:w="9378" w:type="dxa"/>
            <w:gridSpan w:val="3"/>
          </w:tcPr>
          <w:p w:rsidR="00E91F49" w:rsidRPr="00F66C7A" w:rsidRDefault="00DC723C" w:rsidP="00E0055A">
            <w:pPr>
              <w:ind w:left="720"/>
              <w:rPr>
                <w:rFonts w:cstheme="minorHAnsi"/>
                <w:sz w:val="26"/>
                <w:szCs w:val="26"/>
              </w:rPr>
            </w:pPr>
            <w:r>
              <w:rPr>
                <w:rFonts w:cstheme="minorHAnsi"/>
                <w:sz w:val="26"/>
                <w:szCs w:val="26"/>
              </w:rPr>
              <w:t>Andrew G. Place,</w:t>
            </w:r>
            <w:r w:rsidRPr="00F66C7A">
              <w:rPr>
                <w:rFonts w:cstheme="minorHAnsi"/>
                <w:sz w:val="26"/>
                <w:szCs w:val="26"/>
              </w:rPr>
              <w:t xml:space="preserve"> </w:t>
            </w:r>
            <w:r w:rsidR="00E91F49" w:rsidRPr="00F66C7A">
              <w:rPr>
                <w:rFonts w:cstheme="minorHAnsi"/>
                <w:sz w:val="26"/>
                <w:szCs w:val="26"/>
              </w:rPr>
              <w:t>Vice Chairman</w:t>
            </w:r>
          </w:p>
        </w:tc>
        <w:tc>
          <w:tcPr>
            <w:tcW w:w="918" w:type="dxa"/>
            <w:gridSpan w:val="2"/>
          </w:tcPr>
          <w:p w:rsidR="00E91F49" w:rsidRPr="00F66C7A" w:rsidRDefault="00E91F49" w:rsidP="00E0055A">
            <w:pPr>
              <w:rPr>
                <w:rFonts w:cstheme="minorHAnsi"/>
                <w:sz w:val="26"/>
                <w:szCs w:val="26"/>
              </w:rPr>
            </w:pPr>
          </w:p>
        </w:tc>
      </w:tr>
      <w:tr w:rsidR="00E91F49" w:rsidRPr="00F66C7A" w:rsidTr="00E0055A">
        <w:tc>
          <w:tcPr>
            <w:tcW w:w="9378" w:type="dxa"/>
            <w:gridSpan w:val="3"/>
          </w:tcPr>
          <w:p w:rsidR="00E91F49" w:rsidRPr="00F66C7A" w:rsidRDefault="0002403C" w:rsidP="00E0055A">
            <w:pPr>
              <w:ind w:left="720"/>
              <w:rPr>
                <w:rFonts w:cstheme="minorHAnsi"/>
                <w:sz w:val="26"/>
                <w:szCs w:val="26"/>
              </w:rPr>
            </w:pPr>
            <w:r w:rsidRPr="00F66C7A">
              <w:rPr>
                <w:rFonts w:cstheme="minorHAnsi"/>
                <w:sz w:val="26"/>
                <w:szCs w:val="26"/>
              </w:rPr>
              <w:t xml:space="preserve">Pamela A. </w:t>
            </w:r>
            <w:proofErr w:type="spellStart"/>
            <w:r w:rsidRPr="00F66C7A">
              <w:rPr>
                <w:rFonts w:cstheme="minorHAnsi"/>
                <w:sz w:val="26"/>
                <w:szCs w:val="26"/>
              </w:rPr>
              <w:t>Witmer</w:t>
            </w:r>
            <w:proofErr w:type="spellEnd"/>
            <w:r w:rsidR="00402927">
              <w:rPr>
                <w:rFonts w:cstheme="minorHAnsi"/>
                <w:sz w:val="26"/>
                <w:szCs w:val="26"/>
              </w:rPr>
              <w:t>, Statement, recusal</w:t>
            </w:r>
          </w:p>
        </w:tc>
        <w:tc>
          <w:tcPr>
            <w:tcW w:w="918" w:type="dxa"/>
            <w:gridSpan w:val="2"/>
          </w:tcPr>
          <w:p w:rsidR="00E91F49" w:rsidRPr="00F66C7A" w:rsidRDefault="00E91F49" w:rsidP="00E0055A">
            <w:pPr>
              <w:rPr>
                <w:rFonts w:cstheme="minorHAnsi"/>
                <w:sz w:val="26"/>
                <w:szCs w:val="26"/>
              </w:rPr>
            </w:pPr>
          </w:p>
        </w:tc>
      </w:tr>
      <w:tr w:rsidR="00E91F49" w:rsidRPr="00F66C7A" w:rsidTr="00E0055A">
        <w:tc>
          <w:tcPr>
            <w:tcW w:w="9378" w:type="dxa"/>
            <w:gridSpan w:val="3"/>
          </w:tcPr>
          <w:p w:rsidR="00E91F49" w:rsidRPr="00F66C7A" w:rsidRDefault="001E7775" w:rsidP="001E7775">
            <w:pPr>
              <w:ind w:left="720"/>
              <w:rPr>
                <w:rFonts w:cstheme="minorHAnsi"/>
                <w:sz w:val="26"/>
                <w:szCs w:val="26"/>
              </w:rPr>
            </w:pPr>
            <w:r w:rsidRPr="00F66C7A">
              <w:rPr>
                <w:rFonts w:cstheme="minorHAnsi"/>
                <w:sz w:val="26"/>
                <w:szCs w:val="26"/>
              </w:rPr>
              <w:t>John F. Coleman, Jr.</w:t>
            </w:r>
          </w:p>
        </w:tc>
        <w:tc>
          <w:tcPr>
            <w:tcW w:w="918" w:type="dxa"/>
            <w:gridSpan w:val="2"/>
          </w:tcPr>
          <w:p w:rsidR="00E91F49" w:rsidRPr="00F66C7A" w:rsidRDefault="00E91F49" w:rsidP="00E0055A">
            <w:pPr>
              <w:rPr>
                <w:rFonts w:cstheme="minorHAnsi"/>
                <w:sz w:val="26"/>
                <w:szCs w:val="26"/>
              </w:rPr>
            </w:pPr>
          </w:p>
        </w:tc>
      </w:tr>
      <w:tr w:rsidR="00E91F49" w:rsidRPr="00F66C7A" w:rsidTr="00E0055A">
        <w:trPr>
          <w:gridAfter w:val="3"/>
          <w:wAfter w:w="1440" w:type="dxa"/>
        </w:trPr>
        <w:tc>
          <w:tcPr>
            <w:tcW w:w="5958" w:type="dxa"/>
          </w:tcPr>
          <w:p w:rsidR="00E91F49" w:rsidRPr="00F66C7A" w:rsidRDefault="001E7775" w:rsidP="00DC723C">
            <w:pPr>
              <w:ind w:left="720"/>
              <w:rPr>
                <w:rFonts w:cstheme="minorHAnsi"/>
                <w:sz w:val="26"/>
                <w:szCs w:val="26"/>
              </w:rPr>
            </w:pPr>
            <w:r w:rsidRPr="00F66C7A">
              <w:rPr>
                <w:rFonts w:cstheme="minorHAnsi"/>
                <w:sz w:val="26"/>
                <w:szCs w:val="26"/>
              </w:rPr>
              <w:t xml:space="preserve">Robert F. </w:t>
            </w:r>
            <w:proofErr w:type="spellStart"/>
            <w:r w:rsidRPr="00F66C7A">
              <w:rPr>
                <w:rFonts w:cstheme="minorHAnsi"/>
                <w:sz w:val="26"/>
                <w:szCs w:val="26"/>
              </w:rPr>
              <w:t>Powelson</w:t>
            </w:r>
            <w:proofErr w:type="spellEnd"/>
            <w:r>
              <w:rPr>
                <w:rFonts w:cstheme="minorHAnsi"/>
                <w:sz w:val="26"/>
                <w:szCs w:val="26"/>
              </w:rPr>
              <w:t xml:space="preserve"> </w:t>
            </w:r>
          </w:p>
        </w:tc>
        <w:tc>
          <w:tcPr>
            <w:tcW w:w="2898" w:type="dxa"/>
          </w:tcPr>
          <w:p w:rsidR="00E91F49" w:rsidRPr="00F66C7A" w:rsidRDefault="00E91F49" w:rsidP="00E0055A">
            <w:pPr>
              <w:rPr>
                <w:rFonts w:cstheme="minorHAnsi"/>
                <w:sz w:val="26"/>
                <w:szCs w:val="26"/>
              </w:rPr>
            </w:pPr>
          </w:p>
        </w:tc>
      </w:tr>
      <w:tr w:rsidR="00E91F49" w:rsidRPr="00F66C7A" w:rsidTr="00E0055A">
        <w:trPr>
          <w:gridAfter w:val="3"/>
          <w:wAfter w:w="1440" w:type="dxa"/>
        </w:trPr>
        <w:tc>
          <w:tcPr>
            <w:tcW w:w="5958" w:type="dxa"/>
          </w:tcPr>
          <w:p w:rsidR="00E91F49" w:rsidRPr="00F66C7A" w:rsidRDefault="00E91F49" w:rsidP="00E0055A">
            <w:pPr>
              <w:rPr>
                <w:rFonts w:cstheme="minorHAnsi"/>
                <w:sz w:val="26"/>
                <w:szCs w:val="26"/>
              </w:rPr>
            </w:pPr>
          </w:p>
        </w:tc>
        <w:tc>
          <w:tcPr>
            <w:tcW w:w="2898" w:type="dxa"/>
          </w:tcPr>
          <w:p w:rsidR="00E91F49" w:rsidRPr="00F66C7A" w:rsidRDefault="00E91F49" w:rsidP="00E0055A">
            <w:pPr>
              <w:rPr>
                <w:rFonts w:cstheme="minorHAnsi"/>
                <w:sz w:val="26"/>
                <w:szCs w:val="26"/>
              </w:rPr>
            </w:pPr>
          </w:p>
        </w:tc>
      </w:tr>
      <w:tr w:rsidR="00E91F49" w:rsidRPr="002530E7" w:rsidTr="00E0055A">
        <w:trPr>
          <w:gridAfter w:val="1"/>
          <w:wAfter w:w="738" w:type="dxa"/>
        </w:trPr>
        <w:tc>
          <w:tcPr>
            <w:tcW w:w="5958" w:type="dxa"/>
          </w:tcPr>
          <w:p w:rsidR="00E91F49" w:rsidRPr="00D951A6" w:rsidRDefault="00E91F49" w:rsidP="00C53F4F">
            <w:pPr>
              <w:rPr>
                <w:rFonts w:cstheme="minorHAnsi"/>
                <w:sz w:val="26"/>
                <w:szCs w:val="26"/>
              </w:rPr>
            </w:pPr>
            <w:r w:rsidRPr="00F66C7A">
              <w:rPr>
                <w:rFonts w:cstheme="minorHAnsi"/>
                <w:sz w:val="26"/>
                <w:szCs w:val="26"/>
              </w:rPr>
              <w:t>Rulemaking to Amend</w:t>
            </w:r>
            <w:r w:rsidR="00C53F4F">
              <w:rPr>
                <w:rFonts w:cstheme="minorHAnsi"/>
                <w:sz w:val="26"/>
                <w:szCs w:val="26"/>
              </w:rPr>
              <w:t xml:space="preserve"> and Add Regulations</w:t>
            </w:r>
            <w:r w:rsidRPr="00F66C7A">
              <w:rPr>
                <w:rFonts w:cstheme="minorHAnsi"/>
                <w:sz w:val="26"/>
                <w:szCs w:val="26"/>
              </w:rPr>
              <w:t xml:space="preserve"> </w:t>
            </w:r>
            <w:r w:rsidR="00CF1287">
              <w:rPr>
                <w:rFonts w:cstheme="minorHAnsi"/>
                <w:sz w:val="26"/>
                <w:szCs w:val="26"/>
              </w:rPr>
              <w:t>t</w:t>
            </w:r>
            <w:r w:rsidR="00C53F4F">
              <w:rPr>
                <w:rFonts w:cstheme="minorHAnsi"/>
                <w:sz w:val="26"/>
                <w:szCs w:val="26"/>
              </w:rPr>
              <w:t>o</w:t>
            </w:r>
            <w:r w:rsidRPr="00F66C7A">
              <w:rPr>
                <w:rFonts w:cstheme="minorHAnsi"/>
                <w:sz w:val="26"/>
                <w:szCs w:val="26"/>
              </w:rPr>
              <w:t xml:space="preserve"> </w:t>
            </w:r>
            <w:r w:rsidR="00C53F4F">
              <w:rPr>
                <w:rFonts w:cstheme="minorHAnsi"/>
                <w:sz w:val="26"/>
                <w:szCs w:val="26"/>
              </w:rPr>
              <w:t xml:space="preserve">Title </w:t>
            </w:r>
            <w:r w:rsidRPr="00F66C7A">
              <w:rPr>
                <w:rFonts w:cstheme="minorHAnsi"/>
                <w:sz w:val="26"/>
                <w:szCs w:val="26"/>
              </w:rPr>
              <w:t xml:space="preserve">52 </w:t>
            </w:r>
            <w:r w:rsidR="00C53F4F">
              <w:rPr>
                <w:rFonts w:cstheme="minorHAnsi"/>
                <w:sz w:val="26"/>
                <w:szCs w:val="26"/>
              </w:rPr>
              <w:t xml:space="preserve">of the Pennsylvania </w:t>
            </w:r>
            <w:r w:rsidRPr="00F66C7A">
              <w:rPr>
                <w:rFonts w:cstheme="minorHAnsi"/>
                <w:sz w:val="26"/>
                <w:szCs w:val="26"/>
              </w:rPr>
              <w:t xml:space="preserve">Code, </w:t>
            </w:r>
            <w:r w:rsidR="00540676">
              <w:rPr>
                <w:rFonts w:cstheme="minorHAnsi"/>
                <w:sz w:val="26"/>
                <w:szCs w:val="26"/>
              </w:rPr>
              <w:t>Sections 62.72, 62.75</w:t>
            </w:r>
            <w:r w:rsidR="00C53F4F">
              <w:rPr>
                <w:rFonts w:cstheme="minorHAnsi"/>
                <w:sz w:val="26"/>
                <w:szCs w:val="26"/>
              </w:rPr>
              <w:t>, and 62.81</w:t>
            </w:r>
            <w:r w:rsidR="00F330A4" w:rsidRPr="00F66C7A">
              <w:rPr>
                <w:rFonts w:cstheme="minorHAnsi"/>
                <w:sz w:val="26"/>
                <w:szCs w:val="26"/>
              </w:rPr>
              <w:t xml:space="preserve"> </w:t>
            </w:r>
            <w:r w:rsidRPr="00E074DD">
              <w:rPr>
                <w:rFonts w:cstheme="minorHAnsi"/>
                <w:sz w:val="26"/>
                <w:szCs w:val="26"/>
              </w:rPr>
              <w:t xml:space="preserve">Regarding </w:t>
            </w:r>
            <w:r w:rsidR="00C53F4F">
              <w:rPr>
                <w:rFonts w:cstheme="minorHAnsi"/>
                <w:sz w:val="26"/>
                <w:szCs w:val="26"/>
              </w:rPr>
              <w:t xml:space="preserve">Customer Information </w:t>
            </w:r>
            <w:r w:rsidRPr="00E074DD">
              <w:rPr>
                <w:rFonts w:cstheme="minorHAnsi"/>
                <w:sz w:val="26"/>
                <w:szCs w:val="26"/>
              </w:rPr>
              <w:t xml:space="preserve">Disclosure </w:t>
            </w:r>
            <w:r w:rsidR="00C53F4F">
              <w:rPr>
                <w:rFonts w:cstheme="minorHAnsi"/>
                <w:sz w:val="26"/>
                <w:szCs w:val="26"/>
              </w:rPr>
              <w:t>Requirements for Natural Gas Suppliers Providing Natural Gas Supply to</w:t>
            </w:r>
            <w:r w:rsidRPr="00E074DD">
              <w:rPr>
                <w:rFonts w:cstheme="minorHAnsi"/>
                <w:sz w:val="26"/>
                <w:szCs w:val="26"/>
              </w:rPr>
              <w:t xml:space="preserve"> Residential and Small Business Customers</w:t>
            </w:r>
            <w:r w:rsidR="00415DB6" w:rsidRPr="00E074DD">
              <w:rPr>
                <w:rFonts w:cstheme="minorHAnsi"/>
                <w:sz w:val="26"/>
                <w:szCs w:val="26"/>
              </w:rPr>
              <w:t xml:space="preserve"> </w:t>
            </w:r>
          </w:p>
        </w:tc>
        <w:tc>
          <w:tcPr>
            <w:tcW w:w="3600" w:type="dxa"/>
            <w:gridSpan w:val="3"/>
          </w:tcPr>
          <w:p w:rsidR="00E91F49" w:rsidRPr="00BE0FF4" w:rsidRDefault="0006456E" w:rsidP="0006456E">
            <w:pPr>
              <w:jc w:val="right"/>
              <w:rPr>
                <w:rFonts w:cstheme="minorHAnsi"/>
                <w:sz w:val="26"/>
                <w:szCs w:val="26"/>
              </w:rPr>
            </w:pPr>
            <w:r>
              <w:rPr>
                <w:rFonts w:cstheme="minorHAnsi"/>
                <w:sz w:val="26"/>
                <w:szCs w:val="26"/>
              </w:rPr>
              <w:t>L-2015</w:t>
            </w:r>
            <w:r w:rsidR="00E91F49" w:rsidRPr="00D951A6">
              <w:rPr>
                <w:rFonts w:cstheme="minorHAnsi"/>
                <w:color w:val="000000"/>
                <w:sz w:val="26"/>
                <w:szCs w:val="26"/>
              </w:rPr>
              <w:t>-</w:t>
            </w:r>
            <w:r w:rsidR="00540676">
              <w:rPr>
                <w:rFonts w:cstheme="minorHAnsi"/>
                <w:color w:val="000000"/>
                <w:sz w:val="26"/>
                <w:szCs w:val="26"/>
              </w:rPr>
              <w:t>2465942</w:t>
            </w:r>
          </w:p>
        </w:tc>
      </w:tr>
    </w:tbl>
    <w:p w:rsidR="002C74D1" w:rsidRPr="002530E7" w:rsidRDefault="002C74D1" w:rsidP="00E91F49">
      <w:pPr>
        <w:jc w:val="center"/>
        <w:rPr>
          <w:rFonts w:cstheme="minorHAnsi"/>
          <w:b/>
          <w:sz w:val="26"/>
          <w:szCs w:val="26"/>
        </w:rPr>
      </w:pPr>
    </w:p>
    <w:p w:rsidR="00E91F49" w:rsidRPr="002530E7" w:rsidRDefault="00BE07F6" w:rsidP="00E91F49">
      <w:pPr>
        <w:spacing w:line="360" w:lineRule="auto"/>
        <w:jc w:val="center"/>
        <w:rPr>
          <w:rFonts w:cstheme="minorHAnsi"/>
          <w:b/>
          <w:sz w:val="26"/>
          <w:szCs w:val="26"/>
        </w:rPr>
      </w:pPr>
      <w:r>
        <w:rPr>
          <w:rFonts w:cstheme="minorHAnsi"/>
          <w:b/>
          <w:sz w:val="26"/>
          <w:szCs w:val="26"/>
        </w:rPr>
        <w:t>FINAL</w:t>
      </w:r>
      <w:r w:rsidR="00E91F49" w:rsidRPr="002530E7">
        <w:rPr>
          <w:rFonts w:cstheme="minorHAnsi"/>
          <w:b/>
          <w:sz w:val="26"/>
          <w:szCs w:val="26"/>
        </w:rPr>
        <w:t xml:space="preserve"> RULEMAKING ORDER</w:t>
      </w:r>
    </w:p>
    <w:p w:rsidR="00F330A4" w:rsidRPr="002530E7" w:rsidRDefault="00F330A4" w:rsidP="009D3EA0">
      <w:pPr>
        <w:jc w:val="center"/>
        <w:rPr>
          <w:rFonts w:cstheme="minorHAnsi"/>
          <w:b/>
          <w:sz w:val="26"/>
          <w:szCs w:val="26"/>
        </w:rPr>
      </w:pPr>
    </w:p>
    <w:p w:rsidR="009D3EA0" w:rsidRPr="002530E7" w:rsidRDefault="009D3EA0" w:rsidP="009D3EA0">
      <w:pPr>
        <w:rPr>
          <w:rFonts w:cstheme="minorHAnsi"/>
          <w:b/>
          <w:sz w:val="26"/>
          <w:szCs w:val="26"/>
        </w:rPr>
      </w:pPr>
      <w:r w:rsidRPr="002530E7">
        <w:rPr>
          <w:rFonts w:cstheme="minorHAnsi"/>
          <w:b/>
          <w:sz w:val="26"/>
          <w:szCs w:val="26"/>
        </w:rPr>
        <w:t>BY THE COMMISSION:</w:t>
      </w:r>
    </w:p>
    <w:p w:rsidR="00E10378" w:rsidRDefault="00E10378" w:rsidP="009D3EA0">
      <w:pPr>
        <w:pStyle w:val="p3"/>
        <w:tabs>
          <w:tab w:val="clear" w:pos="204"/>
        </w:tabs>
        <w:spacing w:line="360" w:lineRule="auto"/>
        <w:rPr>
          <w:rFonts w:asciiTheme="minorHAnsi" w:hAnsiTheme="minorHAnsi" w:cstheme="minorHAnsi"/>
          <w:sz w:val="26"/>
          <w:szCs w:val="26"/>
        </w:rPr>
      </w:pPr>
    </w:p>
    <w:p w:rsidR="005004B5" w:rsidRDefault="009D3EA0" w:rsidP="00B43972">
      <w:pPr>
        <w:pStyle w:val="p3"/>
        <w:tabs>
          <w:tab w:val="clear" w:pos="204"/>
        </w:tabs>
        <w:spacing w:line="360" w:lineRule="auto"/>
        <w:rPr>
          <w:rFonts w:asciiTheme="minorHAnsi" w:hAnsiTheme="minorHAnsi" w:cstheme="minorHAnsi"/>
          <w:sz w:val="26"/>
          <w:szCs w:val="26"/>
        </w:rPr>
        <w:sectPr w:rsidR="005004B5" w:rsidSect="005004B5">
          <w:footerReference w:type="default" r:id="rId9"/>
          <w:pgSz w:w="12240" w:h="15840"/>
          <w:pgMar w:top="1440" w:right="1440" w:bottom="1440" w:left="1440" w:header="720" w:footer="720" w:gutter="0"/>
          <w:pgNumType w:start="1"/>
          <w:cols w:space="720"/>
          <w:titlePg/>
          <w:docGrid w:linePitch="360"/>
        </w:sectPr>
      </w:pPr>
      <w:r w:rsidRPr="001908BB">
        <w:rPr>
          <w:rFonts w:asciiTheme="minorHAnsi" w:hAnsiTheme="minorHAnsi" w:cstheme="minorHAnsi"/>
          <w:sz w:val="26"/>
          <w:szCs w:val="26"/>
        </w:rPr>
        <w:tab/>
      </w:r>
      <w:r w:rsidR="005004B5">
        <w:rPr>
          <w:rFonts w:asciiTheme="minorHAnsi" w:hAnsiTheme="minorHAnsi" w:cstheme="minorHAnsi"/>
          <w:sz w:val="26"/>
          <w:szCs w:val="26"/>
        </w:rPr>
        <w:t>In this Rulemaking Order, t</w:t>
      </w:r>
      <w:r w:rsidR="00700F91">
        <w:rPr>
          <w:rFonts w:asciiTheme="minorHAnsi" w:hAnsiTheme="minorHAnsi" w:cstheme="minorHAnsi"/>
          <w:sz w:val="26"/>
          <w:szCs w:val="26"/>
        </w:rPr>
        <w:t xml:space="preserve">he </w:t>
      </w:r>
      <w:r w:rsidR="007E3C35">
        <w:rPr>
          <w:rFonts w:asciiTheme="minorHAnsi" w:hAnsiTheme="minorHAnsi" w:cstheme="minorHAnsi"/>
          <w:sz w:val="26"/>
          <w:szCs w:val="26"/>
        </w:rPr>
        <w:t xml:space="preserve">Pennsylvania Public Utility </w:t>
      </w:r>
      <w:r w:rsidR="00700F91">
        <w:rPr>
          <w:rFonts w:asciiTheme="minorHAnsi" w:hAnsiTheme="minorHAnsi" w:cstheme="minorHAnsi"/>
          <w:sz w:val="26"/>
          <w:szCs w:val="26"/>
        </w:rPr>
        <w:t>Commission</w:t>
      </w:r>
      <w:r w:rsidR="007E3C35">
        <w:rPr>
          <w:rFonts w:asciiTheme="minorHAnsi" w:hAnsiTheme="minorHAnsi" w:cstheme="minorHAnsi"/>
          <w:sz w:val="26"/>
          <w:szCs w:val="26"/>
        </w:rPr>
        <w:t xml:space="preserve"> (Commission)</w:t>
      </w:r>
      <w:r w:rsidR="00700F91">
        <w:rPr>
          <w:rFonts w:asciiTheme="minorHAnsi" w:hAnsiTheme="minorHAnsi" w:cstheme="minorHAnsi"/>
          <w:sz w:val="26"/>
          <w:szCs w:val="26"/>
        </w:rPr>
        <w:t xml:space="preserve"> </w:t>
      </w:r>
      <w:r w:rsidR="00C06AB5">
        <w:rPr>
          <w:rFonts w:asciiTheme="minorHAnsi" w:hAnsiTheme="minorHAnsi" w:cstheme="minorHAnsi"/>
          <w:sz w:val="26"/>
          <w:szCs w:val="26"/>
        </w:rPr>
        <w:t xml:space="preserve">finalizes </w:t>
      </w:r>
      <w:r w:rsidR="00AC65DD">
        <w:rPr>
          <w:rFonts w:asciiTheme="minorHAnsi" w:hAnsiTheme="minorHAnsi" w:cstheme="minorHAnsi"/>
          <w:sz w:val="26"/>
          <w:szCs w:val="26"/>
        </w:rPr>
        <w:t>its</w:t>
      </w:r>
      <w:r w:rsidR="00700F91">
        <w:rPr>
          <w:rFonts w:asciiTheme="minorHAnsi" w:hAnsiTheme="minorHAnsi" w:cstheme="minorHAnsi"/>
          <w:sz w:val="26"/>
          <w:szCs w:val="26"/>
        </w:rPr>
        <w:t xml:space="preserve"> </w:t>
      </w:r>
      <w:r w:rsidR="00C06AB5">
        <w:rPr>
          <w:rFonts w:asciiTheme="minorHAnsi" w:hAnsiTheme="minorHAnsi" w:cstheme="minorHAnsi"/>
          <w:sz w:val="26"/>
          <w:szCs w:val="26"/>
        </w:rPr>
        <w:t xml:space="preserve">amended </w:t>
      </w:r>
      <w:r w:rsidR="00001D53">
        <w:rPr>
          <w:rFonts w:asciiTheme="minorHAnsi" w:hAnsiTheme="minorHAnsi" w:cstheme="minorHAnsi"/>
          <w:sz w:val="26"/>
          <w:szCs w:val="26"/>
        </w:rPr>
        <w:t xml:space="preserve">customer information </w:t>
      </w:r>
      <w:r w:rsidR="00AC65DD">
        <w:rPr>
          <w:rFonts w:asciiTheme="minorHAnsi" w:hAnsiTheme="minorHAnsi" w:cstheme="minorHAnsi"/>
          <w:sz w:val="26"/>
          <w:szCs w:val="26"/>
        </w:rPr>
        <w:t xml:space="preserve">disclosure </w:t>
      </w:r>
      <w:r w:rsidR="00700F91">
        <w:rPr>
          <w:rFonts w:asciiTheme="minorHAnsi" w:hAnsiTheme="minorHAnsi" w:cstheme="minorHAnsi"/>
          <w:sz w:val="26"/>
          <w:szCs w:val="26"/>
        </w:rPr>
        <w:t>regul</w:t>
      </w:r>
      <w:r w:rsidR="00990B66">
        <w:rPr>
          <w:rFonts w:asciiTheme="minorHAnsi" w:hAnsiTheme="minorHAnsi" w:cstheme="minorHAnsi"/>
          <w:sz w:val="26"/>
          <w:szCs w:val="26"/>
        </w:rPr>
        <w:t>ations at 52 Pa. Code §</w:t>
      </w:r>
      <w:r w:rsidR="00540676">
        <w:rPr>
          <w:rFonts w:asciiTheme="minorHAnsi" w:hAnsiTheme="minorHAnsi" w:cstheme="minorHAnsi"/>
          <w:sz w:val="26"/>
          <w:szCs w:val="26"/>
        </w:rPr>
        <w:t>§</w:t>
      </w:r>
      <w:r w:rsidR="00990B66">
        <w:rPr>
          <w:rFonts w:asciiTheme="minorHAnsi" w:hAnsiTheme="minorHAnsi" w:cstheme="minorHAnsi"/>
          <w:sz w:val="26"/>
          <w:szCs w:val="26"/>
        </w:rPr>
        <w:t xml:space="preserve"> </w:t>
      </w:r>
      <w:r w:rsidR="00207D03">
        <w:rPr>
          <w:rFonts w:cstheme="minorHAnsi"/>
          <w:sz w:val="26"/>
          <w:szCs w:val="26"/>
        </w:rPr>
        <w:t xml:space="preserve">62.72 and </w:t>
      </w:r>
      <w:r w:rsidR="00540676">
        <w:rPr>
          <w:rFonts w:cstheme="minorHAnsi"/>
          <w:sz w:val="26"/>
          <w:szCs w:val="26"/>
        </w:rPr>
        <w:t>62.75</w:t>
      </w:r>
      <w:r w:rsidR="00AC65DD">
        <w:rPr>
          <w:rFonts w:cstheme="minorHAnsi"/>
          <w:sz w:val="26"/>
          <w:szCs w:val="26"/>
        </w:rPr>
        <w:t xml:space="preserve"> </w:t>
      </w:r>
      <w:r w:rsidR="00700F91">
        <w:rPr>
          <w:rFonts w:asciiTheme="minorHAnsi" w:hAnsiTheme="minorHAnsi" w:cstheme="minorHAnsi"/>
          <w:sz w:val="26"/>
          <w:szCs w:val="26"/>
        </w:rPr>
        <w:t xml:space="preserve">for residential and small business </w:t>
      </w:r>
      <w:r w:rsidR="00AC65DD">
        <w:rPr>
          <w:rFonts w:asciiTheme="minorHAnsi" w:hAnsiTheme="minorHAnsi" w:cstheme="minorHAnsi"/>
          <w:sz w:val="26"/>
          <w:szCs w:val="26"/>
        </w:rPr>
        <w:t xml:space="preserve">natural gas supply </w:t>
      </w:r>
      <w:r w:rsidR="00700F91">
        <w:rPr>
          <w:rFonts w:asciiTheme="minorHAnsi" w:hAnsiTheme="minorHAnsi" w:cstheme="minorHAnsi"/>
          <w:sz w:val="26"/>
          <w:szCs w:val="26"/>
        </w:rPr>
        <w:t xml:space="preserve">customers.  </w:t>
      </w:r>
      <w:r w:rsidR="00AC65DD">
        <w:rPr>
          <w:rFonts w:asciiTheme="minorHAnsi" w:hAnsiTheme="minorHAnsi" w:cstheme="minorHAnsi"/>
          <w:sz w:val="26"/>
          <w:szCs w:val="26"/>
        </w:rPr>
        <w:t>Section 62.72 provides regulatory definitions while Section 62.75 in Title 52 of the Pennsylvania Code discusses the disclosure statement and notice requirements of the natural gas suppl</w:t>
      </w:r>
      <w:r w:rsidR="00B85130">
        <w:rPr>
          <w:rFonts w:asciiTheme="minorHAnsi" w:hAnsiTheme="minorHAnsi" w:cstheme="minorHAnsi"/>
          <w:sz w:val="26"/>
          <w:szCs w:val="26"/>
        </w:rPr>
        <w:t>ier</w:t>
      </w:r>
      <w:r w:rsidR="0077606E">
        <w:rPr>
          <w:rFonts w:asciiTheme="minorHAnsi" w:hAnsiTheme="minorHAnsi" w:cstheme="minorHAnsi"/>
          <w:sz w:val="26"/>
          <w:szCs w:val="26"/>
        </w:rPr>
        <w:t xml:space="preserve"> (NGS)</w:t>
      </w:r>
      <w:r w:rsidR="00AC65DD">
        <w:rPr>
          <w:rFonts w:asciiTheme="minorHAnsi" w:hAnsiTheme="minorHAnsi" w:cstheme="minorHAnsi"/>
          <w:sz w:val="26"/>
          <w:szCs w:val="26"/>
        </w:rPr>
        <w:t xml:space="preserve"> to the customer.</w:t>
      </w:r>
      <w:r w:rsidR="00C53F4F">
        <w:rPr>
          <w:rFonts w:asciiTheme="minorHAnsi" w:hAnsiTheme="minorHAnsi" w:cstheme="minorHAnsi"/>
          <w:sz w:val="26"/>
          <w:szCs w:val="26"/>
        </w:rPr>
        <w:t xml:space="preserve">  The Commission </w:t>
      </w:r>
      <w:r w:rsidR="00C06AB5">
        <w:rPr>
          <w:rFonts w:asciiTheme="minorHAnsi" w:hAnsiTheme="minorHAnsi" w:cstheme="minorHAnsi"/>
          <w:sz w:val="26"/>
          <w:szCs w:val="26"/>
        </w:rPr>
        <w:t xml:space="preserve">also </w:t>
      </w:r>
      <w:r w:rsidR="00C53F4F">
        <w:rPr>
          <w:rFonts w:asciiTheme="minorHAnsi" w:hAnsiTheme="minorHAnsi" w:cstheme="minorHAnsi"/>
          <w:sz w:val="26"/>
          <w:szCs w:val="26"/>
        </w:rPr>
        <w:t>add</w:t>
      </w:r>
      <w:r w:rsidR="00C06AB5">
        <w:rPr>
          <w:rFonts w:asciiTheme="minorHAnsi" w:hAnsiTheme="minorHAnsi" w:cstheme="minorHAnsi"/>
          <w:sz w:val="26"/>
          <w:szCs w:val="26"/>
        </w:rPr>
        <w:t>s</w:t>
      </w:r>
      <w:r w:rsidR="00C53F4F">
        <w:rPr>
          <w:rFonts w:asciiTheme="minorHAnsi" w:hAnsiTheme="minorHAnsi" w:cstheme="minorHAnsi"/>
          <w:sz w:val="26"/>
          <w:szCs w:val="26"/>
        </w:rPr>
        <w:t xml:space="preserve"> new regulations in Section 62.81 governing notice requirements for NGSs regarding the expiration or change in terms for residential and small business customers.</w:t>
      </w:r>
      <w:r w:rsidR="00C06AB5">
        <w:rPr>
          <w:rFonts w:asciiTheme="minorHAnsi" w:hAnsiTheme="minorHAnsi" w:cstheme="minorHAnsi"/>
          <w:sz w:val="26"/>
          <w:szCs w:val="26"/>
        </w:rPr>
        <w:t xml:space="preserve">  The Commission finalizes these enhanced disclosure requirements as part of its broader </w:t>
      </w:r>
      <w:r w:rsidR="00C06AB5">
        <w:rPr>
          <w:rFonts w:asciiTheme="minorHAnsi" w:hAnsiTheme="minorHAnsi" w:cstheme="minorHAnsi"/>
          <w:i/>
          <w:sz w:val="26"/>
          <w:szCs w:val="26"/>
        </w:rPr>
        <w:t>Investigation of Pennsylvania’s Retail Natural Gas Supply Market</w:t>
      </w:r>
      <w:r w:rsidR="00C06AB5">
        <w:rPr>
          <w:rFonts w:asciiTheme="minorHAnsi" w:hAnsiTheme="minorHAnsi" w:cstheme="minorHAnsi"/>
          <w:sz w:val="26"/>
          <w:szCs w:val="26"/>
        </w:rPr>
        <w:t xml:space="preserve">.  </w:t>
      </w:r>
      <w:r w:rsidR="00C06AB5">
        <w:rPr>
          <w:rFonts w:asciiTheme="minorHAnsi" w:hAnsiTheme="minorHAnsi" w:cstheme="minorHAnsi"/>
          <w:i/>
          <w:sz w:val="26"/>
          <w:szCs w:val="26"/>
        </w:rPr>
        <w:t xml:space="preserve">See </w:t>
      </w:r>
      <w:r w:rsidR="00C06AB5">
        <w:rPr>
          <w:rFonts w:asciiTheme="minorHAnsi" w:hAnsiTheme="minorHAnsi" w:cstheme="minorHAnsi"/>
          <w:sz w:val="26"/>
          <w:szCs w:val="26"/>
        </w:rPr>
        <w:t xml:space="preserve">Docket No. I-2013-2381742 (Final Order entered December 18, 2014) (hereinafter </w:t>
      </w:r>
      <w:r w:rsidR="00C06AB5" w:rsidRPr="00B85130">
        <w:rPr>
          <w:rFonts w:cstheme="minorHAnsi"/>
          <w:i/>
          <w:sz w:val="26"/>
          <w:szCs w:val="26"/>
        </w:rPr>
        <w:t>Gas RMI Final Order</w:t>
      </w:r>
      <w:r w:rsidR="00C06AB5">
        <w:rPr>
          <w:rFonts w:asciiTheme="minorHAnsi" w:hAnsiTheme="minorHAnsi" w:cstheme="minorHAnsi"/>
          <w:sz w:val="26"/>
          <w:szCs w:val="26"/>
        </w:rPr>
        <w:t xml:space="preserve">).   </w:t>
      </w:r>
      <w:r w:rsidR="00C53F4F">
        <w:rPr>
          <w:rFonts w:asciiTheme="minorHAnsi" w:hAnsiTheme="minorHAnsi" w:cstheme="minorHAnsi"/>
          <w:sz w:val="26"/>
          <w:szCs w:val="26"/>
        </w:rPr>
        <w:t xml:space="preserve">  </w:t>
      </w:r>
    </w:p>
    <w:p w:rsidR="00B71C33" w:rsidRDefault="00300FB4" w:rsidP="002C74D1">
      <w:pPr>
        <w:pStyle w:val="p3"/>
        <w:tabs>
          <w:tab w:val="clear" w:pos="204"/>
          <w:tab w:val="left" w:pos="0"/>
        </w:tabs>
        <w:rPr>
          <w:rFonts w:asciiTheme="minorHAnsi" w:hAnsiTheme="minorHAnsi" w:cstheme="minorHAnsi"/>
          <w:b/>
          <w:sz w:val="26"/>
          <w:szCs w:val="26"/>
        </w:rPr>
      </w:pPr>
      <w:r>
        <w:rPr>
          <w:rFonts w:asciiTheme="minorHAnsi" w:hAnsiTheme="minorHAnsi" w:cstheme="minorHAnsi"/>
          <w:b/>
          <w:sz w:val="26"/>
          <w:szCs w:val="26"/>
        </w:rPr>
        <w:lastRenderedPageBreak/>
        <w:t>BACKGROUND</w:t>
      </w:r>
    </w:p>
    <w:p w:rsidR="00D40277" w:rsidRDefault="00D40277" w:rsidP="00E10378">
      <w:pPr>
        <w:pStyle w:val="p3"/>
        <w:tabs>
          <w:tab w:val="clear" w:pos="204"/>
          <w:tab w:val="left" w:pos="0"/>
        </w:tabs>
        <w:spacing w:line="360" w:lineRule="auto"/>
        <w:rPr>
          <w:rFonts w:asciiTheme="minorHAnsi" w:hAnsiTheme="minorHAnsi" w:cstheme="minorHAnsi"/>
          <w:b/>
          <w:sz w:val="26"/>
          <w:szCs w:val="26"/>
        </w:rPr>
      </w:pPr>
    </w:p>
    <w:p w:rsidR="005004B5" w:rsidRDefault="00E10378" w:rsidP="00DE33F0">
      <w:pPr>
        <w:pStyle w:val="p3"/>
        <w:tabs>
          <w:tab w:val="clear" w:pos="204"/>
          <w:tab w:val="left" w:pos="0"/>
        </w:tabs>
        <w:spacing w:line="360" w:lineRule="auto"/>
        <w:rPr>
          <w:sz w:val="26"/>
          <w:szCs w:val="26"/>
          <w:vertAlign w:val="superscript"/>
        </w:rPr>
      </w:pPr>
      <w:r>
        <w:rPr>
          <w:sz w:val="26"/>
          <w:szCs w:val="26"/>
        </w:rPr>
        <w:tab/>
      </w:r>
      <w:r w:rsidR="00EE15A1">
        <w:rPr>
          <w:sz w:val="26"/>
          <w:szCs w:val="26"/>
        </w:rPr>
        <w:t>The Public Utility Code requires the Commission to establish regulatory requirements for both NGSs and natural gas distribution companies (NGDC</w:t>
      </w:r>
      <w:r w:rsidR="00CF1287">
        <w:rPr>
          <w:sz w:val="26"/>
          <w:szCs w:val="26"/>
        </w:rPr>
        <w:t>s</w:t>
      </w:r>
      <w:r w:rsidR="00EE15A1">
        <w:rPr>
          <w:sz w:val="26"/>
          <w:szCs w:val="26"/>
        </w:rPr>
        <w:t xml:space="preserve">) to ensure that retail gas supply customers receive accurate information in an understandable format so that customers may make informed choices when purchasing retail gas supply.  66 Pa. C.S. § 2206(c).  </w:t>
      </w:r>
      <w:r w:rsidR="00AC65DD" w:rsidRPr="009A4CF6">
        <w:rPr>
          <w:sz w:val="26"/>
          <w:szCs w:val="26"/>
        </w:rPr>
        <w:t>The</w:t>
      </w:r>
      <w:r w:rsidR="00DE33F0">
        <w:rPr>
          <w:sz w:val="26"/>
          <w:szCs w:val="26"/>
        </w:rPr>
        <w:t xml:space="preserve"> Commission’s disclosure regulations in the electric industry</w:t>
      </w:r>
      <w:r w:rsidR="00AC65DD" w:rsidRPr="009A4CF6">
        <w:rPr>
          <w:sz w:val="26"/>
          <w:szCs w:val="26"/>
        </w:rPr>
        <w:t xml:space="preserve">, </w:t>
      </w:r>
      <w:r w:rsidR="00971F57">
        <w:rPr>
          <w:sz w:val="26"/>
          <w:szCs w:val="26"/>
        </w:rPr>
        <w:t>52 Pa. Code §§ 54.5 and 54.10</w:t>
      </w:r>
      <w:r w:rsidR="00AC65DD" w:rsidRPr="009A4CF6">
        <w:rPr>
          <w:sz w:val="26"/>
          <w:szCs w:val="26"/>
        </w:rPr>
        <w:t xml:space="preserve">, are now significantly different than the analogous natural gas industry regulations at 52 Pa. Code § 62.75 (Disclosure statement for residential </w:t>
      </w:r>
      <w:r w:rsidR="00DE33F0">
        <w:rPr>
          <w:sz w:val="26"/>
          <w:szCs w:val="26"/>
        </w:rPr>
        <w:t xml:space="preserve">and small business customers).  </w:t>
      </w:r>
      <w:r w:rsidR="00971F57">
        <w:rPr>
          <w:sz w:val="26"/>
          <w:szCs w:val="26"/>
        </w:rPr>
        <w:t xml:space="preserve">The electric disclosure rules were expeditiously promulgated in July 2014 in response to the </w:t>
      </w:r>
      <w:r w:rsidR="00FE44DD">
        <w:rPr>
          <w:sz w:val="26"/>
          <w:szCs w:val="26"/>
        </w:rPr>
        <w:t xml:space="preserve">polar vortex events </w:t>
      </w:r>
      <w:r w:rsidR="00CF1287">
        <w:rPr>
          <w:sz w:val="26"/>
          <w:szCs w:val="26"/>
        </w:rPr>
        <w:t>of the w</w:t>
      </w:r>
      <w:r w:rsidR="00971F57">
        <w:rPr>
          <w:sz w:val="26"/>
          <w:szCs w:val="26"/>
        </w:rPr>
        <w:t>inter of 2014.</w:t>
      </w:r>
      <w:r w:rsidR="00971F57" w:rsidRPr="009A4CF6">
        <w:rPr>
          <w:sz w:val="26"/>
          <w:szCs w:val="26"/>
          <w:vertAlign w:val="superscript"/>
        </w:rPr>
        <w:footnoteReference w:id="1"/>
      </w:r>
      <w:r w:rsidR="00FB0017">
        <w:rPr>
          <w:sz w:val="26"/>
          <w:szCs w:val="26"/>
        </w:rPr>
        <w:t xml:space="preserve"> </w:t>
      </w:r>
      <w:r w:rsidR="00971F57" w:rsidRPr="00D51BBE">
        <w:rPr>
          <w:sz w:val="26"/>
          <w:szCs w:val="26"/>
          <w:vertAlign w:val="superscript"/>
        </w:rPr>
        <w:t xml:space="preserve"> </w:t>
      </w:r>
      <w:r w:rsidR="005004B5">
        <w:rPr>
          <w:sz w:val="26"/>
          <w:szCs w:val="26"/>
          <w:vertAlign w:val="superscript"/>
        </w:rPr>
        <w:t xml:space="preserve"> </w:t>
      </w:r>
    </w:p>
    <w:p w:rsidR="005004B5" w:rsidRPr="005004B5" w:rsidRDefault="005004B5" w:rsidP="00DE33F0">
      <w:pPr>
        <w:pStyle w:val="p3"/>
        <w:tabs>
          <w:tab w:val="clear" w:pos="204"/>
          <w:tab w:val="left" w:pos="0"/>
        </w:tabs>
        <w:spacing w:line="360" w:lineRule="auto"/>
        <w:rPr>
          <w:sz w:val="26"/>
          <w:szCs w:val="26"/>
          <w:vertAlign w:val="superscript"/>
        </w:rPr>
      </w:pPr>
    </w:p>
    <w:p w:rsidR="005004B5" w:rsidRDefault="005004B5" w:rsidP="00DE33F0">
      <w:pPr>
        <w:pStyle w:val="p3"/>
        <w:tabs>
          <w:tab w:val="clear" w:pos="204"/>
          <w:tab w:val="left" w:pos="0"/>
        </w:tabs>
        <w:spacing w:line="360" w:lineRule="auto"/>
        <w:rPr>
          <w:sz w:val="26"/>
          <w:szCs w:val="26"/>
        </w:rPr>
      </w:pPr>
      <w:r>
        <w:rPr>
          <w:sz w:val="26"/>
          <w:szCs w:val="26"/>
          <w:vertAlign w:val="superscript"/>
        </w:rPr>
        <w:tab/>
      </w:r>
      <w:r w:rsidR="00FB0017">
        <w:rPr>
          <w:sz w:val="26"/>
          <w:szCs w:val="26"/>
        </w:rPr>
        <w:t>T</w:t>
      </w:r>
      <w:r w:rsidR="00971F57">
        <w:rPr>
          <w:sz w:val="26"/>
          <w:szCs w:val="26"/>
        </w:rPr>
        <w:t>h</w:t>
      </w:r>
      <w:r w:rsidR="00AC65DD" w:rsidRPr="009A4CF6">
        <w:rPr>
          <w:sz w:val="26"/>
          <w:szCs w:val="26"/>
        </w:rPr>
        <w:t>e natural gas disclosure rules</w:t>
      </w:r>
      <w:r w:rsidR="00E10378">
        <w:rPr>
          <w:sz w:val="26"/>
          <w:szCs w:val="26"/>
        </w:rPr>
        <w:t xml:space="preserve"> in Section</w:t>
      </w:r>
      <w:r w:rsidR="00AC65DD" w:rsidRPr="009A4CF6">
        <w:rPr>
          <w:sz w:val="26"/>
          <w:szCs w:val="26"/>
        </w:rPr>
        <w:t xml:space="preserve"> 62.75 we</w:t>
      </w:r>
      <w:r w:rsidR="00E10378">
        <w:rPr>
          <w:sz w:val="26"/>
          <w:szCs w:val="26"/>
        </w:rPr>
        <w:t>re promulgated in</w:t>
      </w:r>
      <w:r w:rsidR="00AC65DD" w:rsidRPr="009A4CF6">
        <w:rPr>
          <w:sz w:val="26"/>
          <w:szCs w:val="26"/>
        </w:rPr>
        <w:t xml:space="preserve"> April 2001 and have not been formally reviewed since.</w:t>
      </w:r>
      <w:r w:rsidR="00AC65DD" w:rsidRPr="009A4CF6">
        <w:rPr>
          <w:rStyle w:val="FootnoteReference"/>
          <w:rFonts w:eastAsiaTheme="majorEastAsia"/>
        </w:rPr>
        <w:footnoteReference w:id="2"/>
      </w:r>
      <w:r w:rsidR="00AC65DD" w:rsidRPr="009A4CF6">
        <w:rPr>
          <w:sz w:val="26"/>
          <w:szCs w:val="26"/>
        </w:rPr>
        <w:t xml:space="preserve"> </w:t>
      </w:r>
      <w:r w:rsidR="00C06AB5">
        <w:rPr>
          <w:sz w:val="26"/>
          <w:szCs w:val="26"/>
        </w:rPr>
        <w:t xml:space="preserve"> The Commission </w:t>
      </w:r>
      <w:r>
        <w:rPr>
          <w:sz w:val="26"/>
          <w:szCs w:val="26"/>
        </w:rPr>
        <w:t xml:space="preserve">has </w:t>
      </w:r>
      <w:r w:rsidR="00C06AB5">
        <w:rPr>
          <w:sz w:val="26"/>
          <w:szCs w:val="26"/>
        </w:rPr>
        <w:t>determined that concerns regarding v</w:t>
      </w:r>
      <w:r w:rsidR="00C06AB5" w:rsidRPr="009A4CF6">
        <w:rPr>
          <w:sz w:val="26"/>
          <w:szCs w:val="26"/>
        </w:rPr>
        <w:t>ariable rates</w:t>
      </w:r>
      <w:r w:rsidR="00C06AB5">
        <w:rPr>
          <w:sz w:val="26"/>
          <w:szCs w:val="26"/>
        </w:rPr>
        <w:t xml:space="preserve"> and disclosure statements</w:t>
      </w:r>
      <w:r w:rsidR="00C06AB5" w:rsidRPr="009A4CF6">
        <w:rPr>
          <w:sz w:val="26"/>
          <w:szCs w:val="26"/>
        </w:rPr>
        <w:t xml:space="preserve"> </w:t>
      </w:r>
      <w:r w:rsidR="00C06AB5">
        <w:rPr>
          <w:sz w:val="26"/>
          <w:szCs w:val="26"/>
        </w:rPr>
        <w:t xml:space="preserve">in </w:t>
      </w:r>
      <w:r w:rsidR="00C06AB5" w:rsidRPr="009A4CF6">
        <w:rPr>
          <w:sz w:val="26"/>
          <w:szCs w:val="26"/>
        </w:rPr>
        <w:t xml:space="preserve">the electric </w:t>
      </w:r>
      <w:r w:rsidR="00C06AB5">
        <w:rPr>
          <w:sz w:val="26"/>
          <w:szCs w:val="26"/>
        </w:rPr>
        <w:t>supply industry are</w:t>
      </w:r>
      <w:r w:rsidR="00C06AB5" w:rsidRPr="009A4CF6">
        <w:rPr>
          <w:sz w:val="26"/>
          <w:szCs w:val="26"/>
        </w:rPr>
        <w:t xml:space="preserve"> relevant to the </w:t>
      </w:r>
      <w:r w:rsidR="00C06AB5">
        <w:rPr>
          <w:sz w:val="26"/>
          <w:szCs w:val="26"/>
        </w:rPr>
        <w:t xml:space="preserve">customer disclosure information in the </w:t>
      </w:r>
      <w:r w:rsidR="00C06AB5" w:rsidRPr="009A4CF6">
        <w:rPr>
          <w:sz w:val="26"/>
          <w:szCs w:val="26"/>
        </w:rPr>
        <w:t xml:space="preserve">natural gas industry.  This </w:t>
      </w:r>
      <w:r w:rsidR="00C06AB5">
        <w:rPr>
          <w:sz w:val="26"/>
          <w:szCs w:val="26"/>
        </w:rPr>
        <w:t xml:space="preserve">customer disclosure information </w:t>
      </w:r>
      <w:r w:rsidR="00C06AB5" w:rsidRPr="009A4CF6">
        <w:rPr>
          <w:sz w:val="26"/>
          <w:szCs w:val="26"/>
        </w:rPr>
        <w:t>includes the availability of historical pricing information, notice of price changes</w:t>
      </w:r>
      <w:r w:rsidR="00C06AB5">
        <w:rPr>
          <w:sz w:val="26"/>
          <w:szCs w:val="26"/>
        </w:rPr>
        <w:t xml:space="preserve">, </w:t>
      </w:r>
      <w:r w:rsidR="00C06AB5" w:rsidRPr="009A4CF6">
        <w:rPr>
          <w:sz w:val="26"/>
          <w:szCs w:val="26"/>
        </w:rPr>
        <w:t>explicit disclosure of limits or the lack of limits on price variability</w:t>
      </w:r>
      <w:r w:rsidR="00F269A7">
        <w:rPr>
          <w:sz w:val="26"/>
          <w:szCs w:val="26"/>
        </w:rPr>
        <w:t xml:space="preserve">, </w:t>
      </w:r>
      <w:r w:rsidR="00C06AB5">
        <w:rPr>
          <w:sz w:val="26"/>
          <w:szCs w:val="26"/>
        </w:rPr>
        <w:t>supplier contract summary pages</w:t>
      </w:r>
      <w:r w:rsidR="00F269A7">
        <w:rPr>
          <w:sz w:val="26"/>
          <w:szCs w:val="26"/>
        </w:rPr>
        <w:t>,</w:t>
      </w:r>
      <w:r w:rsidR="00C06AB5">
        <w:rPr>
          <w:sz w:val="26"/>
          <w:szCs w:val="26"/>
        </w:rPr>
        <w:t xml:space="preserve"> and supply contract expiration notice requirements.  We believe that both customers and suppliers benefit from </w:t>
      </w:r>
      <w:r w:rsidR="00983B56">
        <w:rPr>
          <w:sz w:val="26"/>
          <w:szCs w:val="26"/>
        </w:rPr>
        <w:t xml:space="preserve">substantially </w:t>
      </w:r>
      <w:r w:rsidR="00C06AB5" w:rsidRPr="009A4CF6">
        <w:rPr>
          <w:sz w:val="26"/>
          <w:szCs w:val="26"/>
        </w:rPr>
        <w:t>consistent cross</w:t>
      </w:r>
      <w:r w:rsidR="00FE44DD">
        <w:rPr>
          <w:sz w:val="26"/>
          <w:szCs w:val="26"/>
        </w:rPr>
        <w:noBreakHyphen/>
      </w:r>
      <w:r w:rsidR="00C06AB5" w:rsidRPr="009A4CF6">
        <w:rPr>
          <w:sz w:val="26"/>
          <w:szCs w:val="26"/>
        </w:rPr>
        <w:t xml:space="preserve">industry rules.  </w:t>
      </w:r>
      <w:r w:rsidR="00983B56">
        <w:rPr>
          <w:sz w:val="26"/>
          <w:szCs w:val="26"/>
        </w:rPr>
        <w:t>I</w:t>
      </w:r>
      <w:r w:rsidR="00C06AB5" w:rsidRPr="009A4CF6">
        <w:rPr>
          <w:sz w:val="26"/>
          <w:szCs w:val="26"/>
        </w:rPr>
        <w:t>nconsistencies between the two set</w:t>
      </w:r>
      <w:r w:rsidR="00C06AB5">
        <w:rPr>
          <w:sz w:val="26"/>
          <w:szCs w:val="26"/>
        </w:rPr>
        <w:t>s</w:t>
      </w:r>
      <w:r w:rsidR="00C06AB5" w:rsidRPr="009A4CF6">
        <w:rPr>
          <w:sz w:val="26"/>
          <w:szCs w:val="26"/>
        </w:rPr>
        <w:t xml:space="preserve"> of rules can lead to </w:t>
      </w:r>
    </w:p>
    <w:p w:rsidR="005004B5" w:rsidRDefault="005004B5" w:rsidP="005004B5">
      <w:pPr>
        <w:rPr>
          <w:rFonts w:ascii="Times New Roman" w:eastAsia="Times New Roman" w:hAnsi="Times New Roman"/>
          <w:lang w:bidi="ar-SA"/>
        </w:rPr>
      </w:pPr>
      <w:r>
        <w:br w:type="page"/>
      </w:r>
    </w:p>
    <w:p w:rsidR="00C06AB5" w:rsidRDefault="00C06AB5" w:rsidP="00DE33F0">
      <w:pPr>
        <w:pStyle w:val="p3"/>
        <w:tabs>
          <w:tab w:val="clear" w:pos="204"/>
          <w:tab w:val="left" w:pos="0"/>
        </w:tabs>
        <w:spacing w:line="360" w:lineRule="auto"/>
        <w:rPr>
          <w:sz w:val="26"/>
          <w:szCs w:val="26"/>
        </w:rPr>
      </w:pPr>
      <w:r w:rsidRPr="009A4CF6">
        <w:rPr>
          <w:sz w:val="26"/>
          <w:szCs w:val="26"/>
        </w:rPr>
        <w:lastRenderedPageBreak/>
        <w:t>customer confusion and</w:t>
      </w:r>
      <w:r>
        <w:rPr>
          <w:sz w:val="26"/>
          <w:szCs w:val="26"/>
        </w:rPr>
        <w:t xml:space="preserve"> inefficiencies for suppliers, </w:t>
      </w:r>
      <w:r w:rsidRPr="009A4CF6">
        <w:rPr>
          <w:sz w:val="26"/>
          <w:szCs w:val="26"/>
        </w:rPr>
        <w:t>especially for those customers who obtain both gas and electric service from the same supplier.</w:t>
      </w:r>
      <w:r w:rsidRPr="009A4CF6">
        <w:rPr>
          <w:sz w:val="26"/>
          <w:szCs w:val="26"/>
          <w:vertAlign w:val="superscript"/>
        </w:rPr>
        <w:footnoteReference w:id="3"/>
      </w:r>
      <w:r w:rsidRPr="009A4CF6">
        <w:rPr>
          <w:sz w:val="26"/>
          <w:szCs w:val="26"/>
        </w:rPr>
        <w:t xml:space="preserve">      </w:t>
      </w:r>
    </w:p>
    <w:p w:rsidR="005004B5" w:rsidRPr="00DE33F0" w:rsidRDefault="005004B5" w:rsidP="00DE33F0">
      <w:pPr>
        <w:pStyle w:val="p3"/>
        <w:tabs>
          <w:tab w:val="clear" w:pos="204"/>
          <w:tab w:val="left" w:pos="0"/>
        </w:tabs>
        <w:spacing w:line="360" w:lineRule="auto"/>
        <w:rPr>
          <w:sz w:val="26"/>
          <w:szCs w:val="26"/>
        </w:rPr>
      </w:pPr>
    </w:p>
    <w:p w:rsidR="00AC65DD" w:rsidRPr="00983B56" w:rsidRDefault="00983B56" w:rsidP="00E10378">
      <w:pPr>
        <w:pStyle w:val="p3"/>
        <w:tabs>
          <w:tab w:val="clear" w:pos="204"/>
          <w:tab w:val="left" w:pos="0"/>
        </w:tabs>
        <w:spacing w:line="360" w:lineRule="auto"/>
        <w:rPr>
          <w:sz w:val="26"/>
          <w:szCs w:val="26"/>
        </w:rPr>
      </w:pPr>
      <w:r>
        <w:rPr>
          <w:rFonts w:asciiTheme="minorHAnsi" w:hAnsiTheme="minorHAnsi" w:cstheme="minorHAnsi"/>
          <w:sz w:val="26"/>
          <w:szCs w:val="26"/>
        </w:rPr>
        <w:tab/>
      </w:r>
      <w:r w:rsidR="00C06AB5">
        <w:rPr>
          <w:rFonts w:asciiTheme="minorHAnsi" w:hAnsiTheme="minorHAnsi" w:cstheme="minorHAnsi"/>
          <w:sz w:val="26"/>
          <w:szCs w:val="26"/>
        </w:rPr>
        <w:t xml:space="preserve">In the </w:t>
      </w:r>
      <w:r w:rsidR="00C06AB5">
        <w:rPr>
          <w:rFonts w:asciiTheme="minorHAnsi" w:hAnsiTheme="minorHAnsi" w:cstheme="minorHAnsi"/>
          <w:i/>
          <w:sz w:val="26"/>
          <w:szCs w:val="26"/>
        </w:rPr>
        <w:t>Gas RMI</w:t>
      </w:r>
      <w:r w:rsidR="00C06AB5">
        <w:rPr>
          <w:rFonts w:asciiTheme="minorHAnsi" w:hAnsiTheme="minorHAnsi" w:cstheme="minorHAnsi"/>
          <w:sz w:val="26"/>
          <w:szCs w:val="26"/>
        </w:rPr>
        <w:t xml:space="preserve"> </w:t>
      </w:r>
      <w:r w:rsidR="00C06AB5" w:rsidRPr="009E0016">
        <w:rPr>
          <w:rFonts w:asciiTheme="minorHAnsi" w:hAnsiTheme="minorHAnsi" w:cstheme="minorHAnsi"/>
          <w:i/>
          <w:sz w:val="26"/>
          <w:szCs w:val="26"/>
        </w:rPr>
        <w:t>Final Order</w:t>
      </w:r>
      <w:r w:rsidR="00C06AB5">
        <w:rPr>
          <w:rFonts w:asciiTheme="minorHAnsi" w:hAnsiTheme="minorHAnsi" w:cstheme="minorHAnsi"/>
          <w:sz w:val="26"/>
          <w:szCs w:val="26"/>
        </w:rPr>
        <w:t xml:space="preserve">, the Commission specifically sought from stakeholders comments and recommended revisions to the existing natural gas supplier disclosure requirements in Chapter 62 of our regulations.  </w:t>
      </w:r>
      <w:r w:rsidR="00C06AB5">
        <w:rPr>
          <w:rFonts w:asciiTheme="minorHAnsi" w:hAnsiTheme="minorHAnsi" w:cstheme="minorHAnsi"/>
          <w:i/>
          <w:sz w:val="26"/>
          <w:szCs w:val="26"/>
        </w:rPr>
        <w:t xml:space="preserve">See </w:t>
      </w:r>
      <w:r w:rsidR="00971F57" w:rsidRPr="00983B56">
        <w:rPr>
          <w:i/>
          <w:sz w:val="26"/>
          <w:szCs w:val="26"/>
        </w:rPr>
        <w:t>Gas RMI Final Order</w:t>
      </w:r>
      <w:r w:rsidR="00971F57">
        <w:rPr>
          <w:sz w:val="26"/>
          <w:szCs w:val="26"/>
        </w:rPr>
        <w:t xml:space="preserve"> </w:t>
      </w:r>
      <w:r w:rsidR="00C06AB5">
        <w:rPr>
          <w:rFonts w:asciiTheme="minorHAnsi" w:hAnsiTheme="minorHAnsi" w:cstheme="minorHAnsi"/>
          <w:sz w:val="26"/>
          <w:szCs w:val="26"/>
        </w:rPr>
        <w:t xml:space="preserve">at 37-40.  </w:t>
      </w:r>
      <w:r>
        <w:rPr>
          <w:sz w:val="26"/>
          <w:szCs w:val="26"/>
        </w:rPr>
        <w:t>The Commission</w:t>
      </w:r>
      <w:r w:rsidR="008D1C78">
        <w:rPr>
          <w:sz w:val="26"/>
          <w:szCs w:val="26"/>
        </w:rPr>
        <w:t xml:space="preserve"> directed </w:t>
      </w:r>
      <w:r>
        <w:rPr>
          <w:sz w:val="26"/>
          <w:szCs w:val="26"/>
        </w:rPr>
        <w:t>its</w:t>
      </w:r>
      <w:r w:rsidR="008D1C78">
        <w:rPr>
          <w:sz w:val="26"/>
          <w:szCs w:val="26"/>
        </w:rPr>
        <w:t xml:space="preserve"> Office of Competitive Market Oversight (OCMO) to review any comments submitted and develop a Notice of Proposed Rulemaking to amend the disclosure provisions for natural gas customers.  </w:t>
      </w:r>
      <w:r w:rsidR="00971F57" w:rsidRPr="00971F57">
        <w:rPr>
          <w:i/>
          <w:sz w:val="26"/>
          <w:szCs w:val="26"/>
        </w:rPr>
        <w:t>Id.</w:t>
      </w:r>
      <w:r w:rsidR="008D1C78">
        <w:rPr>
          <w:sz w:val="26"/>
          <w:szCs w:val="26"/>
        </w:rPr>
        <w:t xml:space="preserve"> at </w:t>
      </w:r>
      <w:r w:rsidR="002B0DA1">
        <w:rPr>
          <w:sz w:val="26"/>
          <w:szCs w:val="26"/>
        </w:rPr>
        <w:t xml:space="preserve">38-40.  </w:t>
      </w:r>
      <w:r w:rsidR="001B2398">
        <w:rPr>
          <w:rFonts w:cstheme="minorHAnsi"/>
          <w:sz w:val="26"/>
          <w:szCs w:val="26"/>
        </w:rPr>
        <w:t xml:space="preserve">Accordingly, the </w:t>
      </w:r>
      <w:r w:rsidR="001B2398">
        <w:rPr>
          <w:rFonts w:cstheme="minorHAnsi"/>
          <w:i/>
          <w:sz w:val="26"/>
          <w:szCs w:val="26"/>
        </w:rPr>
        <w:t>Gas RMI Final Order</w:t>
      </w:r>
      <w:r w:rsidR="001B2398">
        <w:rPr>
          <w:rFonts w:cstheme="minorHAnsi"/>
          <w:sz w:val="26"/>
          <w:szCs w:val="26"/>
        </w:rPr>
        <w:t xml:space="preserve"> served, in essence, as</w:t>
      </w:r>
      <w:r w:rsidR="001B2398" w:rsidRPr="009A4CF6">
        <w:rPr>
          <w:sz w:val="26"/>
          <w:szCs w:val="26"/>
        </w:rPr>
        <w:t xml:space="preserve"> an Advanced Notice of P</w:t>
      </w:r>
      <w:r w:rsidR="001B2398">
        <w:rPr>
          <w:sz w:val="26"/>
          <w:szCs w:val="26"/>
        </w:rPr>
        <w:t>roposed Rulemaking Order</w:t>
      </w:r>
      <w:r w:rsidR="001B2398" w:rsidRPr="009A4CF6">
        <w:rPr>
          <w:sz w:val="26"/>
          <w:szCs w:val="26"/>
        </w:rPr>
        <w:t xml:space="preserve">, </w:t>
      </w:r>
      <w:r w:rsidR="001B2398">
        <w:rPr>
          <w:sz w:val="26"/>
          <w:szCs w:val="26"/>
        </w:rPr>
        <w:t xml:space="preserve">enabling </w:t>
      </w:r>
      <w:r w:rsidR="00CF1287">
        <w:rPr>
          <w:sz w:val="26"/>
          <w:szCs w:val="26"/>
        </w:rPr>
        <w:t>the Commission</w:t>
      </w:r>
      <w:r w:rsidR="001B2398">
        <w:rPr>
          <w:sz w:val="26"/>
          <w:szCs w:val="26"/>
        </w:rPr>
        <w:t xml:space="preserve"> to </w:t>
      </w:r>
      <w:r w:rsidR="001B2398" w:rsidRPr="009A4CF6">
        <w:rPr>
          <w:sz w:val="26"/>
          <w:szCs w:val="26"/>
        </w:rPr>
        <w:t>solicit comments</w:t>
      </w:r>
      <w:r w:rsidR="001B2398">
        <w:rPr>
          <w:rStyle w:val="FootnoteReference"/>
          <w:sz w:val="26"/>
          <w:szCs w:val="26"/>
        </w:rPr>
        <w:footnoteReference w:id="4"/>
      </w:r>
      <w:r w:rsidR="001B2398" w:rsidRPr="009A4CF6">
        <w:rPr>
          <w:sz w:val="26"/>
          <w:szCs w:val="26"/>
        </w:rPr>
        <w:t xml:space="preserve"> from all parties and then use those comments to frame the issues </w:t>
      </w:r>
      <w:r w:rsidR="001B2398">
        <w:rPr>
          <w:sz w:val="26"/>
          <w:szCs w:val="26"/>
        </w:rPr>
        <w:t xml:space="preserve">in a </w:t>
      </w:r>
      <w:r w:rsidR="001B2398" w:rsidRPr="009A4CF6">
        <w:rPr>
          <w:sz w:val="26"/>
          <w:szCs w:val="26"/>
        </w:rPr>
        <w:t xml:space="preserve">Notice of </w:t>
      </w:r>
      <w:r w:rsidR="00F269A7">
        <w:rPr>
          <w:sz w:val="26"/>
          <w:szCs w:val="26"/>
        </w:rPr>
        <w:t>Proposed Rulemaking Order</w:t>
      </w:r>
      <w:r w:rsidR="001B2398" w:rsidRPr="009A4CF6">
        <w:rPr>
          <w:sz w:val="26"/>
          <w:szCs w:val="26"/>
        </w:rPr>
        <w:t>.</w:t>
      </w:r>
      <w:r w:rsidR="001B2398">
        <w:rPr>
          <w:sz w:val="26"/>
          <w:szCs w:val="26"/>
        </w:rPr>
        <w:t xml:space="preserve">  </w:t>
      </w:r>
      <w:r w:rsidR="00C06AB5">
        <w:rPr>
          <w:sz w:val="26"/>
          <w:szCs w:val="26"/>
        </w:rPr>
        <w:t xml:space="preserve">On March 26, 2015, the Commission issued </w:t>
      </w:r>
      <w:r w:rsidR="001B2398">
        <w:rPr>
          <w:sz w:val="26"/>
          <w:szCs w:val="26"/>
        </w:rPr>
        <w:t>that</w:t>
      </w:r>
      <w:r w:rsidR="00C06AB5">
        <w:rPr>
          <w:sz w:val="26"/>
          <w:szCs w:val="26"/>
        </w:rPr>
        <w:t xml:space="preserve"> </w:t>
      </w:r>
      <w:r w:rsidR="001B2398">
        <w:rPr>
          <w:sz w:val="26"/>
          <w:szCs w:val="26"/>
        </w:rPr>
        <w:t>Proposed Rulemaking Order</w:t>
      </w:r>
      <w:r w:rsidR="002B0DA1">
        <w:rPr>
          <w:sz w:val="26"/>
          <w:szCs w:val="26"/>
        </w:rPr>
        <w:t>.</w:t>
      </w:r>
      <w:r>
        <w:rPr>
          <w:sz w:val="26"/>
          <w:szCs w:val="26"/>
        </w:rPr>
        <w:t xml:space="preserve">  </w:t>
      </w:r>
      <w:r w:rsidRPr="00983B56">
        <w:rPr>
          <w:rFonts w:cstheme="minorHAnsi"/>
          <w:i/>
          <w:sz w:val="26"/>
          <w:szCs w:val="26"/>
        </w:rPr>
        <w:t>Rulemaking to Amend and Add Regulations To Title 52 of the Pennsylvania Code, Sections 62.72, 62.75, and 62.81 Regarding Customer Information Disclosure Requirements for Natural Gas Suppliers Providing Natural Gas Supply to Residential and Small Business Customers</w:t>
      </w:r>
      <w:r>
        <w:rPr>
          <w:rFonts w:cstheme="minorHAnsi"/>
          <w:sz w:val="26"/>
          <w:szCs w:val="26"/>
        </w:rPr>
        <w:t>, Docket No. L-2015</w:t>
      </w:r>
      <w:r w:rsidRPr="00D951A6">
        <w:rPr>
          <w:rFonts w:cstheme="minorHAnsi"/>
          <w:color w:val="000000"/>
          <w:sz w:val="26"/>
          <w:szCs w:val="26"/>
        </w:rPr>
        <w:t>-</w:t>
      </w:r>
      <w:r>
        <w:rPr>
          <w:rFonts w:cstheme="minorHAnsi"/>
          <w:color w:val="000000"/>
          <w:sz w:val="26"/>
          <w:szCs w:val="26"/>
        </w:rPr>
        <w:t>2465942</w:t>
      </w:r>
      <w:r w:rsidR="008D1C78">
        <w:rPr>
          <w:sz w:val="26"/>
          <w:szCs w:val="26"/>
        </w:rPr>
        <w:t xml:space="preserve"> </w:t>
      </w:r>
      <w:r>
        <w:rPr>
          <w:sz w:val="26"/>
          <w:szCs w:val="26"/>
        </w:rPr>
        <w:t>(entered Mar</w:t>
      </w:r>
      <w:r w:rsidR="009318CC">
        <w:rPr>
          <w:sz w:val="26"/>
          <w:szCs w:val="26"/>
        </w:rPr>
        <w:t>ch</w:t>
      </w:r>
      <w:r>
        <w:rPr>
          <w:sz w:val="26"/>
          <w:szCs w:val="26"/>
        </w:rPr>
        <w:t xml:space="preserve"> 26, 2015)</w:t>
      </w:r>
      <w:r w:rsidR="00AC65DD" w:rsidRPr="009A4CF6">
        <w:rPr>
          <w:sz w:val="26"/>
          <w:szCs w:val="26"/>
        </w:rPr>
        <w:t xml:space="preserve"> </w:t>
      </w:r>
      <w:r>
        <w:rPr>
          <w:sz w:val="26"/>
          <w:szCs w:val="26"/>
        </w:rPr>
        <w:t xml:space="preserve">(hereinafter </w:t>
      </w:r>
      <w:r>
        <w:rPr>
          <w:i/>
          <w:sz w:val="26"/>
          <w:szCs w:val="26"/>
        </w:rPr>
        <w:t>Proposed Rulemaking Order</w:t>
      </w:r>
      <w:r>
        <w:rPr>
          <w:sz w:val="26"/>
          <w:szCs w:val="26"/>
        </w:rPr>
        <w:t>)</w:t>
      </w:r>
      <w:r w:rsidR="00971F57">
        <w:rPr>
          <w:sz w:val="26"/>
          <w:szCs w:val="26"/>
        </w:rPr>
        <w:t>.</w:t>
      </w:r>
    </w:p>
    <w:p w:rsidR="00AC65DD" w:rsidRDefault="00AC65DD" w:rsidP="00AC65DD">
      <w:pPr>
        <w:spacing w:line="360" w:lineRule="auto"/>
        <w:ind w:firstLine="720"/>
        <w:rPr>
          <w:sz w:val="26"/>
          <w:szCs w:val="26"/>
        </w:rPr>
      </w:pPr>
    </w:p>
    <w:p w:rsidR="001B2398" w:rsidRDefault="001B2398" w:rsidP="001B2398">
      <w:pPr>
        <w:spacing w:line="360" w:lineRule="auto"/>
        <w:rPr>
          <w:sz w:val="26"/>
          <w:szCs w:val="26"/>
        </w:rPr>
      </w:pPr>
      <w:r>
        <w:rPr>
          <w:sz w:val="26"/>
          <w:szCs w:val="26"/>
        </w:rPr>
        <w:tab/>
        <w:t>As required by the Regulatory Review Act</w:t>
      </w:r>
      <w:r w:rsidR="00CF1287">
        <w:rPr>
          <w:sz w:val="26"/>
          <w:szCs w:val="26"/>
        </w:rPr>
        <w:t xml:space="preserve"> (71 P.S. § 745)</w:t>
      </w:r>
      <w:r>
        <w:rPr>
          <w:sz w:val="26"/>
          <w:szCs w:val="26"/>
        </w:rPr>
        <w:t xml:space="preserve">, the </w:t>
      </w:r>
      <w:r w:rsidRPr="00BC435B">
        <w:rPr>
          <w:i/>
          <w:sz w:val="26"/>
          <w:szCs w:val="26"/>
        </w:rPr>
        <w:t>Proposed Rulemaking Order</w:t>
      </w:r>
      <w:r>
        <w:rPr>
          <w:sz w:val="26"/>
          <w:szCs w:val="26"/>
        </w:rPr>
        <w:t xml:space="preserve">, Executive Summary thereof, and </w:t>
      </w:r>
      <w:r w:rsidR="00F269A7">
        <w:rPr>
          <w:sz w:val="26"/>
          <w:szCs w:val="26"/>
        </w:rPr>
        <w:t xml:space="preserve">the </w:t>
      </w:r>
      <w:r>
        <w:rPr>
          <w:sz w:val="26"/>
          <w:szCs w:val="26"/>
        </w:rPr>
        <w:t xml:space="preserve">Regulatory Analysis Form were submitted to the Office of Attorney General and the Office of Budget on </w:t>
      </w:r>
      <w:r w:rsidR="005D4FAA">
        <w:rPr>
          <w:sz w:val="26"/>
          <w:szCs w:val="26"/>
        </w:rPr>
        <w:t>April 15, 2015,</w:t>
      </w:r>
      <w:r>
        <w:rPr>
          <w:sz w:val="26"/>
          <w:szCs w:val="26"/>
        </w:rPr>
        <w:t xml:space="preserve"> </w:t>
      </w:r>
      <w:r>
        <w:rPr>
          <w:sz w:val="26"/>
          <w:szCs w:val="26"/>
        </w:rPr>
        <w:lastRenderedPageBreak/>
        <w:t xml:space="preserve">receiving approval by the Attorney General </w:t>
      </w:r>
      <w:r w:rsidR="005D4FAA">
        <w:rPr>
          <w:sz w:val="26"/>
          <w:szCs w:val="26"/>
        </w:rPr>
        <w:t xml:space="preserve">as to form and legality </w:t>
      </w:r>
      <w:r>
        <w:rPr>
          <w:sz w:val="26"/>
          <w:szCs w:val="26"/>
        </w:rPr>
        <w:t xml:space="preserve">on </w:t>
      </w:r>
      <w:r w:rsidR="005D4FAA">
        <w:rPr>
          <w:sz w:val="26"/>
          <w:szCs w:val="26"/>
        </w:rPr>
        <w:t>May 8, 2015</w:t>
      </w:r>
      <w:r w:rsidR="00CF1287">
        <w:rPr>
          <w:sz w:val="26"/>
          <w:szCs w:val="26"/>
        </w:rPr>
        <w:t xml:space="preserve">.  </w:t>
      </w:r>
      <w:r>
        <w:rPr>
          <w:sz w:val="26"/>
          <w:szCs w:val="26"/>
        </w:rPr>
        <w:t xml:space="preserve">The </w:t>
      </w:r>
      <w:r w:rsidRPr="00BC435B">
        <w:rPr>
          <w:i/>
          <w:sz w:val="26"/>
          <w:szCs w:val="26"/>
        </w:rPr>
        <w:t>Proposed Rulemaking Order</w:t>
      </w:r>
      <w:r>
        <w:rPr>
          <w:sz w:val="26"/>
          <w:szCs w:val="26"/>
        </w:rPr>
        <w:t xml:space="preserve">, Executive Summary, and Regulatory Analysis Form were submitted on </w:t>
      </w:r>
      <w:r w:rsidR="005D4FAA">
        <w:rPr>
          <w:sz w:val="26"/>
          <w:szCs w:val="26"/>
        </w:rPr>
        <w:t>May 20, 2015</w:t>
      </w:r>
      <w:r w:rsidR="003B4341">
        <w:rPr>
          <w:sz w:val="26"/>
          <w:szCs w:val="26"/>
        </w:rPr>
        <w:t>,</w:t>
      </w:r>
      <w:r>
        <w:rPr>
          <w:sz w:val="26"/>
          <w:szCs w:val="26"/>
        </w:rPr>
        <w:t xml:space="preserve"> to the Independent Regulatory Review Commission (IRRC), the Legislative Reference Bureau, and the legislative committees.  </w:t>
      </w:r>
      <w:r>
        <w:rPr>
          <w:i/>
          <w:sz w:val="26"/>
          <w:szCs w:val="26"/>
        </w:rPr>
        <w:t>See</w:t>
      </w:r>
      <w:r>
        <w:rPr>
          <w:sz w:val="26"/>
          <w:szCs w:val="26"/>
        </w:rPr>
        <w:t xml:space="preserve"> 71 P.S. § 745.5a; 1 Pa. Code § 305.1.  The Legislative Reference Bureau published the </w:t>
      </w:r>
      <w:r w:rsidRPr="00BC435B">
        <w:rPr>
          <w:i/>
          <w:sz w:val="26"/>
          <w:szCs w:val="26"/>
        </w:rPr>
        <w:t>Proposed Rulemaking Order</w:t>
      </w:r>
      <w:r>
        <w:rPr>
          <w:sz w:val="26"/>
          <w:szCs w:val="26"/>
        </w:rPr>
        <w:t xml:space="preserve"> in the </w:t>
      </w:r>
      <w:r>
        <w:rPr>
          <w:i/>
          <w:sz w:val="26"/>
          <w:szCs w:val="26"/>
        </w:rPr>
        <w:t>Pennsylvania Bulletin</w:t>
      </w:r>
      <w:r>
        <w:rPr>
          <w:sz w:val="26"/>
          <w:szCs w:val="26"/>
        </w:rPr>
        <w:t>, providing for a 30-day public comment period</w:t>
      </w:r>
      <w:r w:rsidRPr="005D4FAA">
        <w:rPr>
          <w:sz w:val="26"/>
          <w:szCs w:val="26"/>
        </w:rPr>
        <w:t>.  4</w:t>
      </w:r>
      <w:r w:rsidR="005D4FAA" w:rsidRPr="005D4FAA">
        <w:rPr>
          <w:sz w:val="26"/>
          <w:szCs w:val="26"/>
        </w:rPr>
        <w:t>5</w:t>
      </w:r>
      <w:r w:rsidRPr="005D4FAA">
        <w:rPr>
          <w:sz w:val="26"/>
          <w:szCs w:val="26"/>
        </w:rPr>
        <w:t xml:space="preserve"> </w:t>
      </w:r>
      <w:proofErr w:type="spellStart"/>
      <w:r w:rsidRPr="005D4FAA">
        <w:rPr>
          <w:sz w:val="26"/>
          <w:szCs w:val="26"/>
        </w:rPr>
        <w:t>Pa.B</w:t>
      </w:r>
      <w:proofErr w:type="spellEnd"/>
      <w:r w:rsidRPr="005D4FAA">
        <w:rPr>
          <w:sz w:val="26"/>
          <w:szCs w:val="26"/>
        </w:rPr>
        <w:t xml:space="preserve">. </w:t>
      </w:r>
      <w:r w:rsidR="005D4FAA" w:rsidRPr="005D4FAA">
        <w:rPr>
          <w:sz w:val="26"/>
          <w:szCs w:val="26"/>
        </w:rPr>
        <w:t>2705</w:t>
      </w:r>
      <w:r w:rsidR="00CF1287">
        <w:rPr>
          <w:sz w:val="26"/>
          <w:szCs w:val="26"/>
        </w:rPr>
        <w:t xml:space="preserve"> (</w:t>
      </w:r>
      <w:r w:rsidR="00CF1287" w:rsidRPr="005D4FAA">
        <w:rPr>
          <w:sz w:val="26"/>
          <w:szCs w:val="26"/>
        </w:rPr>
        <w:t>June 6, 2015</w:t>
      </w:r>
      <w:r w:rsidR="00CF1287">
        <w:rPr>
          <w:sz w:val="26"/>
          <w:szCs w:val="26"/>
        </w:rPr>
        <w:t>).</w:t>
      </w:r>
      <w:r>
        <w:rPr>
          <w:sz w:val="26"/>
          <w:szCs w:val="26"/>
        </w:rPr>
        <w:t xml:space="preserve">  </w:t>
      </w:r>
    </w:p>
    <w:p w:rsidR="00CF1287" w:rsidRDefault="00CF1287" w:rsidP="001B2398">
      <w:pPr>
        <w:spacing w:line="360" w:lineRule="auto"/>
        <w:rPr>
          <w:sz w:val="26"/>
          <w:szCs w:val="26"/>
        </w:rPr>
      </w:pPr>
    </w:p>
    <w:p w:rsidR="001B2398" w:rsidRDefault="006A3160" w:rsidP="002C74D1">
      <w:pPr>
        <w:rPr>
          <w:b/>
          <w:sz w:val="26"/>
          <w:szCs w:val="26"/>
        </w:rPr>
      </w:pPr>
      <w:r>
        <w:rPr>
          <w:b/>
          <w:sz w:val="26"/>
          <w:szCs w:val="26"/>
        </w:rPr>
        <w:t>COMMENTS TO THE PROPOSED RULEMAKING ORDER</w:t>
      </w:r>
    </w:p>
    <w:p w:rsidR="00D40277" w:rsidRDefault="00D40277" w:rsidP="002C74D1">
      <w:pPr>
        <w:rPr>
          <w:b/>
          <w:sz w:val="26"/>
          <w:szCs w:val="26"/>
        </w:rPr>
      </w:pPr>
    </w:p>
    <w:p w:rsidR="009A521A" w:rsidRPr="009247E8" w:rsidRDefault="009A521A" w:rsidP="009A521A">
      <w:pPr>
        <w:spacing w:line="360" w:lineRule="auto"/>
        <w:rPr>
          <w:sz w:val="26"/>
          <w:szCs w:val="26"/>
        </w:rPr>
      </w:pPr>
      <w:r>
        <w:rPr>
          <w:b/>
          <w:sz w:val="26"/>
          <w:szCs w:val="26"/>
        </w:rPr>
        <w:tab/>
      </w:r>
      <w:r>
        <w:rPr>
          <w:sz w:val="26"/>
          <w:szCs w:val="26"/>
        </w:rPr>
        <w:t xml:space="preserve">As a preliminary matter, the Commission notes that </w:t>
      </w:r>
      <w:r w:rsidR="00D53BA1">
        <w:rPr>
          <w:sz w:val="26"/>
          <w:szCs w:val="26"/>
        </w:rPr>
        <w:t xml:space="preserve">there are three versions of </w:t>
      </w:r>
      <w:r>
        <w:rPr>
          <w:sz w:val="26"/>
          <w:szCs w:val="26"/>
        </w:rPr>
        <w:t xml:space="preserve">Annex A.  The first version is Annex A to the Commission’s Proposed Rulemaking Order Entered </w:t>
      </w:r>
      <w:r w:rsidR="009247E8">
        <w:rPr>
          <w:rFonts w:cstheme="minorHAnsi"/>
          <w:sz w:val="26"/>
          <w:szCs w:val="26"/>
        </w:rPr>
        <w:t xml:space="preserve">on March 26, 2015, </w:t>
      </w:r>
      <w:r w:rsidRPr="009A521A">
        <w:rPr>
          <w:rFonts w:cstheme="minorHAnsi"/>
          <w:sz w:val="26"/>
          <w:szCs w:val="26"/>
        </w:rPr>
        <w:t>available on the Commission’s website at www.puc.pa.gov/pcdocs/1349995.docx.</w:t>
      </w:r>
      <w:r w:rsidRPr="009A521A">
        <w:rPr>
          <w:sz w:val="26"/>
          <w:szCs w:val="26"/>
        </w:rPr>
        <w:t xml:space="preserve">  </w:t>
      </w:r>
      <w:r w:rsidR="007C2B18">
        <w:rPr>
          <w:sz w:val="26"/>
          <w:szCs w:val="26"/>
        </w:rPr>
        <w:t>The second version is proposed-f</w:t>
      </w:r>
      <w:r>
        <w:rPr>
          <w:sz w:val="26"/>
          <w:szCs w:val="26"/>
        </w:rPr>
        <w:t xml:space="preserve">orm Annex A, which was published in the </w:t>
      </w:r>
      <w:r>
        <w:rPr>
          <w:i/>
          <w:sz w:val="26"/>
          <w:szCs w:val="26"/>
        </w:rPr>
        <w:t>Pennsylvania Bulletin</w:t>
      </w:r>
      <w:r>
        <w:rPr>
          <w:sz w:val="26"/>
          <w:szCs w:val="26"/>
        </w:rPr>
        <w:t xml:space="preserve"> on June 6, 2015.  45 </w:t>
      </w:r>
      <w:proofErr w:type="spellStart"/>
      <w:r>
        <w:rPr>
          <w:sz w:val="26"/>
          <w:szCs w:val="26"/>
        </w:rPr>
        <w:t>Pa.B</w:t>
      </w:r>
      <w:proofErr w:type="spellEnd"/>
      <w:r>
        <w:rPr>
          <w:sz w:val="26"/>
          <w:szCs w:val="26"/>
        </w:rPr>
        <w:t>. 2705.  The third is final-form Annex A, which is attached to this Final Rulemaking Order.  Of importance, Annex A available on the Commission’s website and</w:t>
      </w:r>
      <w:r w:rsidR="007C2B18">
        <w:rPr>
          <w:sz w:val="26"/>
          <w:szCs w:val="26"/>
        </w:rPr>
        <w:t xml:space="preserve"> proposed-form </w:t>
      </w:r>
      <w:r>
        <w:rPr>
          <w:sz w:val="26"/>
          <w:szCs w:val="26"/>
        </w:rPr>
        <w:t xml:space="preserve">Annex A as published in the </w:t>
      </w:r>
      <w:r>
        <w:rPr>
          <w:i/>
          <w:sz w:val="26"/>
          <w:szCs w:val="26"/>
        </w:rPr>
        <w:t>Pennsylvania Bulletin</w:t>
      </w:r>
      <w:r>
        <w:rPr>
          <w:sz w:val="26"/>
          <w:szCs w:val="26"/>
        </w:rPr>
        <w:t xml:space="preserve"> differ in their treatm</w:t>
      </w:r>
      <w:r w:rsidR="009247E8">
        <w:rPr>
          <w:sz w:val="26"/>
          <w:szCs w:val="26"/>
        </w:rPr>
        <w:t xml:space="preserve">ent of proposed Section 62.81.  </w:t>
      </w:r>
      <w:r w:rsidR="009247E8">
        <w:rPr>
          <w:rFonts w:ascii="Times New Roman" w:eastAsia="Times New Roman" w:hAnsi="Times New Roman"/>
          <w:color w:val="000000"/>
          <w:spacing w:val="4"/>
          <w:sz w:val="26"/>
          <w:szCs w:val="26"/>
        </w:rPr>
        <w:t>Comments to the Proposed Rulemaking Order were filed by the Office of Consumer Advocate (OCA); the Public Utility Law Project (PULP); WGL Energy Services, Inc. (WGL Energy or WGL); the Pennsylvania Energy Marketers Coalition (PA Marketers); the National Energy Marketers Association (National Marketers); the Retail Energy Supply Association (RESA); and IRRC.</w:t>
      </w:r>
      <w:r w:rsidR="009247E8">
        <w:rPr>
          <w:sz w:val="26"/>
          <w:szCs w:val="26"/>
        </w:rPr>
        <w:t xml:space="preserve">  Of those who commented on Section 62.81, IRRC, RESA and PULP referred to </w:t>
      </w:r>
      <w:r w:rsidR="007C2B18">
        <w:rPr>
          <w:sz w:val="26"/>
          <w:szCs w:val="26"/>
        </w:rPr>
        <w:t xml:space="preserve">proposed-form </w:t>
      </w:r>
      <w:r w:rsidR="009247E8">
        <w:rPr>
          <w:sz w:val="26"/>
          <w:szCs w:val="26"/>
        </w:rPr>
        <w:t xml:space="preserve">Annex A as published in the </w:t>
      </w:r>
      <w:r w:rsidR="009247E8">
        <w:rPr>
          <w:i/>
          <w:sz w:val="26"/>
          <w:szCs w:val="26"/>
        </w:rPr>
        <w:t>Pennsylvania Bulletin</w:t>
      </w:r>
      <w:r w:rsidR="009247E8">
        <w:rPr>
          <w:sz w:val="26"/>
          <w:szCs w:val="26"/>
        </w:rPr>
        <w:t xml:space="preserve">, while </w:t>
      </w:r>
      <w:r w:rsidR="00EB730A">
        <w:rPr>
          <w:sz w:val="26"/>
          <w:szCs w:val="26"/>
        </w:rPr>
        <w:t xml:space="preserve">OCA, </w:t>
      </w:r>
      <w:r w:rsidR="0025210D">
        <w:rPr>
          <w:sz w:val="26"/>
          <w:szCs w:val="26"/>
        </w:rPr>
        <w:t>WG</w:t>
      </w:r>
      <w:r w:rsidR="009247E8">
        <w:rPr>
          <w:sz w:val="26"/>
          <w:szCs w:val="26"/>
        </w:rPr>
        <w:t xml:space="preserve">L and NEMA referred to Annex A available on the Commission’s website.  The Commission believes that the commentators were clear in their references to Section 62.81, and for ease of review </w:t>
      </w:r>
      <w:r w:rsidR="007C2B18">
        <w:rPr>
          <w:sz w:val="26"/>
          <w:szCs w:val="26"/>
        </w:rPr>
        <w:t xml:space="preserve">we </w:t>
      </w:r>
      <w:r w:rsidR="009247E8">
        <w:rPr>
          <w:sz w:val="26"/>
          <w:szCs w:val="26"/>
        </w:rPr>
        <w:t xml:space="preserve">will refer in this document to </w:t>
      </w:r>
      <w:r w:rsidR="007C2B18">
        <w:rPr>
          <w:sz w:val="26"/>
          <w:szCs w:val="26"/>
        </w:rPr>
        <w:t xml:space="preserve">proposed-form </w:t>
      </w:r>
      <w:r w:rsidR="009247E8">
        <w:rPr>
          <w:sz w:val="26"/>
          <w:szCs w:val="26"/>
        </w:rPr>
        <w:t xml:space="preserve">Annex A as published in the </w:t>
      </w:r>
      <w:r w:rsidR="009247E8">
        <w:rPr>
          <w:i/>
          <w:sz w:val="26"/>
          <w:szCs w:val="26"/>
        </w:rPr>
        <w:t>Pennsylvania Bulletin</w:t>
      </w:r>
      <w:r w:rsidR="009247E8">
        <w:rPr>
          <w:sz w:val="26"/>
          <w:szCs w:val="26"/>
        </w:rPr>
        <w:t xml:space="preserve">.  </w:t>
      </w:r>
    </w:p>
    <w:p w:rsidR="009A521A" w:rsidRPr="00733235" w:rsidRDefault="009A521A" w:rsidP="002C74D1">
      <w:pPr>
        <w:rPr>
          <w:b/>
          <w:sz w:val="26"/>
          <w:szCs w:val="26"/>
        </w:rPr>
      </w:pPr>
    </w:p>
    <w:p w:rsidR="00C63181" w:rsidRDefault="001B2398" w:rsidP="001B2398">
      <w:pPr>
        <w:spacing w:line="360" w:lineRule="auto"/>
        <w:rPr>
          <w:sz w:val="26"/>
          <w:szCs w:val="26"/>
        </w:rPr>
      </w:pPr>
      <w:r>
        <w:rPr>
          <w:sz w:val="26"/>
          <w:szCs w:val="26"/>
        </w:rPr>
        <w:lastRenderedPageBreak/>
        <w:tab/>
      </w:r>
      <w:r w:rsidR="00934FC1">
        <w:rPr>
          <w:sz w:val="26"/>
          <w:szCs w:val="26"/>
        </w:rPr>
        <w:t>Per</w:t>
      </w:r>
      <w:r>
        <w:rPr>
          <w:sz w:val="26"/>
          <w:szCs w:val="26"/>
        </w:rPr>
        <w:t xml:space="preserve"> the Commonwealth Documents Law, we reviewed the comments, which we will summarize and discuss, as necessary and applicable, to explain the determination of our final-form regulations.  </w:t>
      </w:r>
      <w:r>
        <w:rPr>
          <w:i/>
          <w:sz w:val="26"/>
          <w:szCs w:val="26"/>
        </w:rPr>
        <w:t>See</w:t>
      </w:r>
      <w:r>
        <w:rPr>
          <w:sz w:val="26"/>
          <w:szCs w:val="26"/>
        </w:rPr>
        <w:t xml:space="preserve"> 45 P.S. § 1202.</w:t>
      </w:r>
    </w:p>
    <w:p w:rsidR="00C63181" w:rsidRDefault="00C63181" w:rsidP="001B2398">
      <w:pPr>
        <w:spacing w:line="360" w:lineRule="auto"/>
        <w:rPr>
          <w:sz w:val="26"/>
          <w:szCs w:val="26"/>
        </w:rPr>
      </w:pPr>
    </w:p>
    <w:p w:rsidR="001B2398" w:rsidRPr="00381549" w:rsidRDefault="00C63181" w:rsidP="00381549">
      <w:pPr>
        <w:spacing w:line="360" w:lineRule="auto"/>
        <w:ind w:firstLine="720"/>
        <w:rPr>
          <w:rFonts w:ascii="Times New Roman" w:eastAsia="Times New Roman" w:hAnsi="Times New Roman"/>
          <w:color w:val="000000"/>
          <w:spacing w:val="1"/>
          <w:sz w:val="26"/>
          <w:szCs w:val="26"/>
        </w:rPr>
      </w:pPr>
      <w:r>
        <w:rPr>
          <w:sz w:val="26"/>
          <w:szCs w:val="26"/>
        </w:rPr>
        <w:t xml:space="preserve">First, we will summarize IRRC’s comments.  </w:t>
      </w:r>
      <w:r w:rsidR="00043D18">
        <w:rPr>
          <w:sz w:val="26"/>
          <w:szCs w:val="26"/>
        </w:rPr>
        <w:t xml:space="preserve">Next, </w:t>
      </w:r>
      <w:r w:rsidR="006848C2">
        <w:rPr>
          <w:sz w:val="26"/>
          <w:szCs w:val="26"/>
        </w:rPr>
        <w:t>w</w:t>
      </w:r>
      <w:r>
        <w:rPr>
          <w:sz w:val="26"/>
          <w:szCs w:val="26"/>
        </w:rPr>
        <w:t>e will organize our summaries of comments into f</w:t>
      </w:r>
      <w:r w:rsidR="005931B8">
        <w:rPr>
          <w:sz w:val="26"/>
          <w:szCs w:val="26"/>
        </w:rPr>
        <w:t>ive</w:t>
      </w:r>
      <w:r>
        <w:rPr>
          <w:sz w:val="26"/>
          <w:szCs w:val="26"/>
        </w:rPr>
        <w:t xml:space="preserve"> main subject areas</w:t>
      </w:r>
      <w:r w:rsidRPr="00AF2FBF">
        <w:rPr>
          <w:sz w:val="26"/>
          <w:szCs w:val="26"/>
        </w:rPr>
        <w:t>: 1) Regulation Uniformity, Variable Pricing, and Historical Pricing Information</w:t>
      </w:r>
      <w:r w:rsidR="006848C2" w:rsidRPr="00AF2FBF">
        <w:rPr>
          <w:sz w:val="26"/>
          <w:szCs w:val="26"/>
        </w:rPr>
        <w:t xml:space="preserve"> in the Disclosure Statement</w:t>
      </w:r>
      <w:r w:rsidRPr="00AF2FBF">
        <w:rPr>
          <w:sz w:val="26"/>
          <w:szCs w:val="26"/>
        </w:rPr>
        <w:t>; 2)</w:t>
      </w:r>
      <w:r w:rsidR="006848C2" w:rsidRPr="00AF2FBF">
        <w:rPr>
          <w:rFonts w:ascii="Times New Roman" w:eastAsia="Times New Roman" w:hAnsi="Times New Roman"/>
          <w:color w:val="000000"/>
          <w:spacing w:val="4"/>
          <w:sz w:val="26"/>
          <w:szCs w:val="26"/>
        </w:rPr>
        <w:t xml:space="preserve"> </w:t>
      </w:r>
      <w:r w:rsidR="00381549" w:rsidRPr="00AF2FBF">
        <w:rPr>
          <w:rFonts w:ascii="Times New Roman" w:eastAsia="Times New Roman" w:hAnsi="Times New Roman"/>
          <w:color w:val="000000"/>
          <w:spacing w:val="4"/>
          <w:sz w:val="26"/>
          <w:szCs w:val="26"/>
        </w:rPr>
        <w:t>Disclosure Statement Customer Notification Requirement</w:t>
      </w:r>
      <w:r w:rsidR="00AF2FBF" w:rsidRPr="00AF2FBF">
        <w:rPr>
          <w:rFonts w:ascii="Times New Roman" w:eastAsia="Times New Roman" w:hAnsi="Times New Roman"/>
          <w:color w:val="000000"/>
          <w:spacing w:val="4"/>
          <w:sz w:val="26"/>
          <w:szCs w:val="26"/>
        </w:rPr>
        <w:t>s</w:t>
      </w:r>
      <w:r w:rsidR="00381549" w:rsidRPr="00AF2FBF">
        <w:rPr>
          <w:rFonts w:ascii="Times New Roman" w:eastAsia="Times New Roman" w:hAnsi="Times New Roman"/>
          <w:color w:val="000000"/>
          <w:spacing w:val="4"/>
          <w:sz w:val="26"/>
          <w:szCs w:val="26"/>
        </w:rPr>
        <w:t>;</w:t>
      </w:r>
      <w:r w:rsidR="00381549" w:rsidRPr="00AF2FBF">
        <w:rPr>
          <w:rFonts w:ascii="Times New Roman" w:eastAsia="Times New Roman" w:hAnsi="Times New Roman"/>
          <w:color w:val="000000"/>
          <w:spacing w:val="1"/>
          <w:sz w:val="26"/>
          <w:szCs w:val="26"/>
        </w:rPr>
        <w:t xml:space="preserve"> </w:t>
      </w:r>
      <w:r w:rsidR="00AF2FBF">
        <w:rPr>
          <w:rFonts w:ascii="Times New Roman" w:eastAsia="Times New Roman" w:hAnsi="Times New Roman"/>
          <w:color w:val="000000"/>
          <w:spacing w:val="1"/>
          <w:sz w:val="26"/>
          <w:szCs w:val="26"/>
        </w:rPr>
        <w:t>3</w:t>
      </w:r>
      <w:r w:rsidR="00381549" w:rsidRPr="00AF2FBF">
        <w:rPr>
          <w:rFonts w:ascii="Times New Roman" w:eastAsia="Times New Roman" w:hAnsi="Times New Roman"/>
          <w:color w:val="000000"/>
          <w:spacing w:val="1"/>
          <w:sz w:val="26"/>
          <w:szCs w:val="26"/>
        </w:rPr>
        <w:t xml:space="preserve">) </w:t>
      </w:r>
      <w:r w:rsidR="006848C2" w:rsidRPr="00AF2FBF">
        <w:rPr>
          <w:sz w:val="26"/>
          <w:szCs w:val="26"/>
        </w:rPr>
        <w:t>Contract Summaries;</w:t>
      </w:r>
      <w:r w:rsidR="00381549" w:rsidRPr="00AF2FBF">
        <w:rPr>
          <w:rFonts w:ascii="Times New Roman" w:eastAsia="Times New Roman" w:hAnsi="Times New Roman"/>
          <w:color w:val="000000"/>
          <w:spacing w:val="4"/>
          <w:sz w:val="26"/>
          <w:szCs w:val="26"/>
        </w:rPr>
        <w:t xml:space="preserve"> </w:t>
      </w:r>
      <w:r w:rsidR="00AF2FBF">
        <w:rPr>
          <w:rFonts w:ascii="Times New Roman" w:eastAsia="Times New Roman" w:hAnsi="Times New Roman"/>
          <w:color w:val="000000"/>
          <w:spacing w:val="4"/>
          <w:sz w:val="26"/>
          <w:szCs w:val="26"/>
        </w:rPr>
        <w:t>4</w:t>
      </w:r>
      <w:r w:rsidRPr="00AF2FBF">
        <w:rPr>
          <w:rFonts w:ascii="Times New Roman" w:eastAsia="Times New Roman" w:hAnsi="Times New Roman"/>
          <w:color w:val="000000"/>
          <w:spacing w:val="4"/>
          <w:sz w:val="26"/>
          <w:szCs w:val="26"/>
        </w:rPr>
        <w:t>) Supplier Requests for Commission Review of Contract Terms</w:t>
      </w:r>
      <w:r w:rsidR="00AF2FBF" w:rsidRPr="00AF2FBF">
        <w:rPr>
          <w:rFonts w:ascii="Times New Roman" w:eastAsia="Times New Roman" w:hAnsi="Times New Roman"/>
          <w:color w:val="000000"/>
          <w:spacing w:val="4"/>
          <w:sz w:val="26"/>
          <w:szCs w:val="26"/>
        </w:rPr>
        <w:t xml:space="preserve">; and </w:t>
      </w:r>
      <w:r w:rsidR="00AF2FBF">
        <w:rPr>
          <w:rFonts w:ascii="Times New Roman" w:eastAsia="Times New Roman" w:hAnsi="Times New Roman"/>
          <w:color w:val="000000"/>
          <w:spacing w:val="4"/>
          <w:sz w:val="26"/>
          <w:szCs w:val="26"/>
        </w:rPr>
        <w:t>5</w:t>
      </w:r>
      <w:r w:rsidR="00AF2FBF" w:rsidRPr="00AF2FBF">
        <w:rPr>
          <w:rFonts w:ascii="Times New Roman" w:eastAsia="Times New Roman" w:hAnsi="Times New Roman"/>
          <w:color w:val="000000"/>
          <w:spacing w:val="4"/>
          <w:sz w:val="26"/>
          <w:szCs w:val="26"/>
        </w:rPr>
        <w:t>) Notices Regarding Contract Expiration or Changes in Terms</w:t>
      </w:r>
      <w:r w:rsidR="00AF2FBF">
        <w:rPr>
          <w:rFonts w:ascii="Times New Roman" w:eastAsia="Times New Roman" w:hAnsi="Times New Roman"/>
          <w:color w:val="000000"/>
          <w:spacing w:val="4"/>
          <w:sz w:val="26"/>
          <w:szCs w:val="26"/>
        </w:rPr>
        <w:t xml:space="preserve">.  </w:t>
      </w:r>
      <w:r>
        <w:rPr>
          <w:rFonts w:ascii="Times New Roman" w:eastAsia="Times New Roman" w:hAnsi="Times New Roman"/>
          <w:color w:val="000000"/>
          <w:spacing w:val="4"/>
          <w:sz w:val="26"/>
          <w:szCs w:val="26"/>
        </w:rPr>
        <w:t>In the Discussion section of this Order, we will provide dispositions of the comments</w:t>
      </w:r>
      <w:r w:rsidR="00F639DE">
        <w:rPr>
          <w:rFonts w:ascii="Times New Roman" w:eastAsia="Times New Roman" w:hAnsi="Times New Roman"/>
          <w:color w:val="000000"/>
          <w:spacing w:val="4"/>
          <w:sz w:val="26"/>
          <w:szCs w:val="26"/>
        </w:rPr>
        <w:t xml:space="preserve"> in finalizing the changes to our </w:t>
      </w:r>
      <w:r w:rsidR="005931B8">
        <w:rPr>
          <w:rFonts w:ascii="Times New Roman" w:eastAsia="Times New Roman" w:hAnsi="Times New Roman"/>
          <w:color w:val="000000"/>
          <w:spacing w:val="4"/>
          <w:sz w:val="26"/>
          <w:szCs w:val="26"/>
        </w:rPr>
        <w:t xml:space="preserve">specific </w:t>
      </w:r>
      <w:r w:rsidR="00F639DE">
        <w:rPr>
          <w:rFonts w:ascii="Times New Roman" w:eastAsia="Times New Roman" w:hAnsi="Times New Roman"/>
          <w:color w:val="000000"/>
          <w:spacing w:val="4"/>
          <w:sz w:val="26"/>
          <w:szCs w:val="26"/>
        </w:rPr>
        <w:t>regulat</w:t>
      </w:r>
      <w:r w:rsidR="005931B8">
        <w:rPr>
          <w:rFonts w:ascii="Times New Roman" w:eastAsia="Times New Roman" w:hAnsi="Times New Roman"/>
          <w:color w:val="000000"/>
          <w:spacing w:val="4"/>
          <w:sz w:val="26"/>
          <w:szCs w:val="26"/>
        </w:rPr>
        <w:t>ory provisions</w:t>
      </w:r>
      <w:r w:rsidR="006848C2">
        <w:rPr>
          <w:rFonts w:ascii="Times New Roman" w:eastAsia="Times New Roman" w:hAnsi="Times New Roman"/>
          <w:color w:val="000000"/>
          <w:spacing w:val="4"/>
          <w:sz w:val="26"/>
          <w:szCs w:val="26"/>
        </w:rPr>
        <w:t>.</w:t>
      </w:r>
      <w:r w:rsidR="001B2398">
        <w:rPr>
          <w:sz w:val="26"/>
          <w:szCs w:val="26"/>
        </w:rPr>
        <w:t xml:space="preserve"> </w:t>
      </w:r>
    </w:p>
    <w:p w:rsidR="00C63181" w:rsidRDefault="00C63181" w:rsidP="001B2398">
      <w:pPr>
        <w:spacing w:line="360" w:lineRule="auto"/>
        <w:rPr>
          <w:sz w:val="26"/>
          <w:szCs w:val="26"/>
          <w:u w:val="single"/>
        </w:rPr>
      </w:pPr>
    </w:p>
    <w:p w:rsidR="00D40277" w:rsidRDefault="001B2398" w:rsidP="002C74D1">
      <w:pPr>
        <w:rPr>
          <w:sz w:val="26"/>
          <w:szCs w:val="26"/>
          <w:u w:val="single"/>
        </w:rPr>
      </w:pPr>
      <w:r w:rsidRPr="00733235">
        <w:rPr>
          <w:sz w:val="26"/>
          <w:szCs w:val="26"/>
          <w:u w:val="single"/>
        </w:rPr>
        <w:t>IRRC’s Comments</w:t>
      </w:r>
    </w:p>
    <w:p w:rsidR="001B2398" w:rsidRDefault="001B2398" w:rsidP="002C74D1">
      <w:pPr>
        <w:rPr>
          <w:sz w:val="26"/>
          <w:szCs w:val="26"/>
          <w:u w:val="single"/>
        </w:rPr>
      </w:pPr>
    </w:p>
    <w:p w:rsidR="00F639DE" w:rsidRDefault="00F639DE" w:rsidP="004F6751">
      <w:pPr>
        <w:pStyle w:val="p3"/>
        <w:tabs>
          <w:tab w:val="clear" w:pos="204"/>
        </w:tabs>
        <w:spacing w:line="360" w:lineRule="auto"/>
        <w:rPr>
          <w:rFonts w:asciiTheme="minorHAnsi" w:hAnsiTheme="minorHAnsi" w:cstheme="minorHAnsi"/>
          <w:sz w:val="26"/>
          <w:szCs w:val="26"/>
        </w:rPr>
      </w:pPr>
      <w:r>
        <w:rPr>
          <w:rFonts w:asciiTheme="minorHAnsi" w:hAnsiTheme="minorHAnsi" w:cstheme="minorHAnsi"/>
          <w:b/>
          <w:sz w:val="26"/>
          <w:szCs w:val="26"/>
        </w:rPr>
        <w:tab/>
      </w:r>
      <w:r>
        <w:rPr>
          <w:rFonts w:asciiTheme="minorHAnsi" w:hAnsiTheme="minorHAnsi" w:cstheme="minorHAnsi"/>
          <w:sz w:val="26"/>
          <w:szCs w:val="26"/>
        </w:rPr>
        <w:t xml:space="preserve">In finalizing this rulemaking, IRRC </w:t>
      </w:r>
      <w:r w:rsidR="006A3160">
        <w:rPr>
          <w:rFonts w:asciiTheme="minorHAnsi" w:hAnsiTheme="minorHAnsi" w:cstheme="minorHAnsi"/>
          <w:sz w:val="26"/>
          <w:szCs w:val="26"/>
        </w:rPr>
        <w:t xml:space="preserve">asks </w:t>
      </w:r>
      <w:r>
        <w:rPr>
          <w:rFonts w:asciiTheme="minorHAnsi" w:hAnsiTheme="minorHAnsi" w:cstheme="minorHAnsi"/>
          <w:sz w:val="26"/>
          <w:szCs w:val="26"/>
        </w:rPr>
        <w:t xml:space="preserve">the Commission to provide more details as to the costs and expenses pertaining to the rulemaking in the Regulatory Analysis Form submitted to IRRC with the final rulemaking.  IRRC Comments at 1.  </w:t>
      </w:r>
    </w:p>
    <w:p w:rsidR="00F639DE" w:rsidRDefault="00F639DE" w:rsidP="004F6751">
      <w:pPr>
        <w:pStyle w:val="p3"/>
        <w:tabs>
          <w:tab w:val="clear" w:pos="204"/>
        </w:tabs>
        <w:spacing w:line="360" w:lineRule="auto"/>
        <w:rPr>
          <w:rFonts w:asciiTheme="minorHAnsi" w:hAnsiTheme="minorHAnsi" w:cstheme="minorHAnsi"/>
          <w:sz w:val="26"/>
          <w:szCs w:val="26"/>
        </w:rPr>
      </w:pPr>
    </w:p>
    <w:p w:rsidR="00F639DE" w:rsidRDefault="00F639DE" w:rsidP="004F6751">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t xml:space="preserve">As to proposed Section 62.72, IRRC </w:t>
      </w:r>
      <w:r w:rsidR="006A3160">
        <w:rPr>
          <w:rFonts w:asciiTheme="minorHAnsi" w:hAnsiTheme="minorHAnsi" w:cstheme="minorHAnsi"/>
          <w:sz w:val="26"/>
          <w:szCs w:val="26"/>
        </w:rPr>
        <w:t xml:space="preserve">asks </w:t>
      </w:r>
      <w:r>
        <w:rPr>
          <w:rFonts w:asciiTheme="minorHAnsi" w:hAnsiTheme="minorHAnsi" w:cstheme="minorHAnsi"/>
          <w:sz w:val="26"/>
          <w:szCs w:val="26"/>
        </w:rPr>
        <w:t xml:space="preserve">the Commission to </w:t>
      </w:r>
      <w:r w:rsidR="00BD2644">
        <w:rPr>
          <w:rFonts w:asciiTheme="minorHAnsi" w:hAnsiTheme="minorHAnsi" w:cstheme="minorHAnsi"/>
          <w:sz w:val="26"/>
          <w:szCs w:val="26"/>
        </w:rPr>
        <w:t>en</w:t>
      </w:r>
      <w:r>
        <w:rPr>
          <w:rFonts w:asciiTheme="minorHAnsi" w:hAnsiTheme="minorHAnsi" w:cstheme="minorHAnsi"/>
          <w:sz w:val="26"/>
          <w:szCs w:val="26"/>
        </w:rPr>
        <w:t>sure that terms such as billing cycle and billing month are clear, consistent, and unambiguous.</w:t>
      </w:r>
      <w:r w:rsidR="00BD2644">
        <w:rPr>
          <w:rFonts w:asciiTheme="minorHAnsi" w:hAnsiTheme="minorHAnsi" w:cstheme="minorHAnsi"/>
          <w:sz w:val="26"/>
          <w:szCs w:val="26"/>
        </w:rPr>
        <w:t xml:space="preserve">  </w:t>
      </w:r>
      <w:r w:rsidR="00BD2644">
        <w:rPr>
          <w:rFonts w:asciiTheme="minorHAnsi" w:hAnsiTheme="minorHAnsi" w:cstheme="minorHAnsi"/>
          <w:i/>
          <w:sz w:val="26"/>
          <w:szCs w:val="26"/>
        </w:rPr>
        <w:t>Id.</w:t>
      </w:r>
      <w:r w:rsidR="00BD2644">
        <w:rPr>
          <w:rFonts w:asciiTheme="minorHAnsi" w:hAnsiTheme="minorHAnsi" w:cstheme="minorHAnsi"/>
          <w:sz w:val="26"/>
          <w:szCs w:val="26"/>
        </w:rPr>
        <w:t xml:space="preserve"> at 2.</w:t>
      </w:r>
      <w:r>
        <w:rPr>
          <w:rFonts w:asciiTheme="minorHAnsi" w:hAnsiTheme="minorHAnsi" w:cstheme="minorHAnsi"/>
          <w:sz w:val="26"/>
          <w:szCs w:val="26"/>
        </w:rPr>
        <w:t xml:space="preserve">  </w:t>
      </w:r>
    </w:p>
    <w:p w:rsidR="00160689" w:rsidRDefault="00160689" w:rsidP="004F6751">
      <w:pPr>
        <w:pStyle w:val="p3"/>
        <w:tabs>
          <w:tab w:val="clear" w:pos="204"/>
        </w:tabs>
        <w:spacing w:line="360" w:lineRule="auto"/>
        <w:rPr>
          <w:rFonts w:asciiTheme="minorHAnsi" w:hAnsiTheme="minorHAnsi" w:cstheme="minorHAnsi"/>
          <w:sz w:val="26"/>
          <w:szCs w:val="26"/>
        </w:rPr>
      </w:pPr>
    </w:p>
    <w:p w:rsidR="00BD2644" w:rsidRDefault="00F639DE" w:rsidP="004F6751">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t xml:space="preserve">As to proposed Section 62.75(c)(2)(iii), IRRC </w:t>
      </w:r>
      <w:r w:rsidR="006A3160">
        <w:rPr>
          <w:rFonts w:asciiTheme="minorHAnsi" w:hAnsiTheme="minorHAnsi" w:cstheme="minorHAnsi"/>
          <w:sz w:val="26"/>
          <w:szCs w:val="26"/>
        </w:rPr>
        <w:t xml:space="preserve">asks </w:t>
      </w:r>
      <w:r>
        <w:rPr>
          <w:rFonts w:asciiTheme="minorHAnsi" w:hAnsiTheme="minorHAnsi" w:cstheme="minorHAnsi"/>
          <w:sz w:val="26"/>
          <w:szCs w:val="26"/>
        </w:rPr>
        <w:t xml:space="preserve">the Commission to ensure that the specific requirements for the variable pricing statement are clear to the regulated community.  As to proposed Section 62.75(c)(2)(iv), IRRC </w:t>
      </w:r>
      <w:r w:rsidR="006A3160">
        <w:rPr>
          <w:rFonts w:asciiTheme="minorHAnsi" w:hAnsiTheme="minorHAnsi" w:cstheme="minorHAnsi"/>
          <w:sz w:val="26"/>
          <w:szCs w:val="26"/>
        </w:rPr>
        <w:t xml:space="preserve">recommends </w:t>
      </w:r>
      <w:r>
        <w:rPr>
          <w:rFonts w:asciiTheme="minorHAnsi" w:hAnsiTheme="minorHAnsi" w:cstheme="minorHAnsi"/>
          <w:sz w:val="26"/>
          <w:szCs w:val="26"/>
        </w:rPr>
        <w:t>that the Commission revise the final-form regulation to require the NGS to state the guaranteed length of time that the starting price will be in effect and to require the NGS</w:t>
      </w:r>
      <w:r w:rsidR="00BD2644">
        <w:rPr>
          <w:rFonts w:asciiTheme="minorHAnsi" w:hAnsiTheme="minorHAnsi" w:cstheme="minorHAnsi"/>
          <w:sz w:val="26"/>
          <w:szCs w:val="26"/>
        </w:rPr>
        <w:t xml:space="preserve"> to provide the price to be charged, per billing unit, for the first month of service after the introductory period.  IRRC Comments</w:t>
      </w:r>
      <w:r w:rsidR="00BD2644">
        <w:rPr>
          <w:rFonts w:asciiTheme="minorHAnsi" w:hAnsiTheme="minorHAnsi" w:cstheme="minorHAnsi"/>
          <w:i/>
          <w:sz w:val="26"/>
          <w:szCs w:val="26"/>
        </w:rPr>
        <w:t xml:space="preserve"> </w:t>
      </w:r>
      <w:r w:rsidR="00BD2644">
        <w:rPr>
          <w:rFonts w:asciiTheme="minorHAnsi" w:hAnsiTheme="minorHAnsi" w:cstheme="minorHAnsi"/>
          <w:sz w:val="26"/>
          <w:szCs w:val="26"/>
        </w:rPr>
        <w:t xml:space="preserve">at 2-3.  As to proposed Section 62.75(c)(2)(v), </w:t>
      </w:r>
      <w:r w:rsidR="005F449D">
        <w:rPr>
          <w:rFonts w:asciiTheme="minorHAnsi" w:hAnsiTheme="minorHAnsi" w:cstheme="minorHAnsi"/>
          <w:sz w:val="26"/>
          <w:szCs w:val="26"/>
        </w:rPr>
        <w:lastRenderedPageBreak/>
        <w:t xml:space="preserve">IRRC </w:t>
      </w:r>
      <w:r w:rsidR="006A3160">
        <w:rPr>
          <w:rFonts w:asciiTheme="minorHAnsi" w:hAnsiTheme="minorHAnsi" w:cstheme="minorHAnsi"/>
          <w:sz w:val="26"/>
          <w:szCs w:val="26"/>
        </w:rPr>
        <w:t xml:space="preserve">recommends </w:t>
      </w:r>
      <w:r w:rsidR="005F449D">
        <w:rPr>
          <w:rFonts w:cstheme="minorHAnsi"/>
          <w:sz w:val="26"/>
          <w:szCs w:val="26"/>
        </w:rPr>
        <w:t xml:space="preserve">that </w:t>
      </w:r>
      <w:r w:rsidR="005F449D">
        <w:rPr>
          <w:rFonts w:asciiTheme="minorHAnsi" w:hAnsiTheme="minorHAnsi" w:cstheme="minorHAnsi"/>
          <w:sz w:val="26"/>
          <w:szCs w:val="26"/>
        </w:rPr>
        <w:t>the Commission specif</w:t>
      </w:r>
      <w:r w:rsidR="005F449D">
        <w:rPr>
          <w:rFonts w:cstheme="minorHAnsi"/>
          <w:sz w:val="26"/>
          <w:szCs w:val="26"/>
        </w:rPr>
        <w:t>y</w:t>
      </w:r>
      <w:r w:rsidR="005F449D">
        <w:rPr>
          <w:rFonts w:asciiTheme="minorHAnsi" w:hAnsiTheme="minorHAnsi" w:cstheme="minorHAnsi"/>
          <w:sz w:val="26"/>
          <w:szCs w:val="26"/>
        </w:rPr>
        <w:t xml:space="preserve"> not just “when,” but “how” a customer will receive notification of price </w:t>
      </w:r>
      <w:r w:rsidR="005F449D">
        <w:rPr>
          <w:rFonts w:cstheme="minorHAnsi"/>
          <w:sz w:val="26"/>
          <w:szCs w:val="26"/>
        </w:rPr>
        <w:t>changes</w:t>
      </w:r>
      <w:r w:rsidR="00BD2644">
        <w:rPr>
          <w:rFonts w:asciiTheme="minorHAnsi" w:hAnsiTheme="minorHAnsi" w:cstheme="minorHAnsi"/>
          <w:sz w:val="26"/>
          <w:szCs w:val="26"/>
        </w:rPr>
        <w:t xml:space="preserve">.  </w:t>
      </w:r>
      <w:r w:rsidR="00BD2644">
        <w:rPr>
          <w:rFonts w:asciiTheme="minorHAnsi" w:hAnsiTheme="minorHAnsi" w:cstheme="minorHAnsi"/>
          <w:i/>
          <w:sz w:val="26"/>
          <w:szCs w:val="26"/>
        </w:rPr>
        <w:t>Id.</w:t>
      </w:r>
      <w:r w:rsidR="00BD2644">
        <w:rPr>
          <w:rFonts w:asciiTheme="minorHAnsi" w:hAnsiTheme="minorHAnsi" w:cstheme="minorHAnsi"/>
          <w:sz w:val="26"/>
          <w:szCs w:val="26"/>
        </w:rPr>
        <w:t xml:space="preserve"> at 3.  IRRC </w:t>
      </w:r>
      <w:r w:rsidR="006A3160">
        <w:rPr>
          <w:rFonts w:asciiTheme="minorHAnsi" w:hAnsiTheme="minorHAnsi" w:cstheme="minorHAnsi"/>
          <w:sz w:val="26"/>
          <w:szCs w:val="26"/>
        </w:rPr>
        <w:t xml:space="preserve">recommends </w:t>
      </w:r>
      <w:r w:rsidR="00BD2644">
        <w:rPr>
          <w:rFonts w:asciiTheme="minorHAnsi" w:hAnsiTheme="minorHAnsi" w:cstheme="minorHAnsi"/>
          <w:sz w:val="26"/>
          <w:szCs w:val="26"/>
        </w:rPr>
        <w:t xml:space="preserve">deleting “The NGS’s information shall appear first and be prominent” from proposed Section 62.75(c)(10), finding it unnecessary.  </w:t>
      </w:r>
      <w:r w:rsidR="00BD2644">
        <w:rPr>
          <w:rFonts w:asciiTheme="minorHAnsi" w:hAnsiTheme="minorHAnsi" w:cstheme="minorHAnsi"/>
          <w:i/>
          <w:sz w:val="26"/>
          <w:szCs w:val="26"/>
        </w:rPr>
        <w:t>Id.</w:t>
      </w:r>
      <w:r w:rsidR="00BD2644">
        <w:rPr>
          <w:rFonts w:asciiTheme="minorHAnsi" w:hAnsiTheme="minorHAnsi" w:cstheme="minorHAnsi"/>
          <w:sz w:val="26"/>
          <w:szCs w:val="26"/>
        </w:rPr>
        <w:t xml:space="preserve">  As to proposed Section 62.75(c)(11), IRRC asks the Commission to consider keeping the language about Commission contact information, should a customer have a concern about the NGS disclosure statement.  </w:t>
      </w:r>
      <w:r w:rsidR="00BD2644">
        <w:rPr>
          <w:rFonts w:asciiTheme="minorHAnsi" w:hAnsiTheme="minorHAnsi" w:cstheme="minorHAnsi"/>
          <w:i/>
          <w:sz w:val="26"/>
          <w:szCs w:val="26"/>
        </w:rPr>
        <w:t>Id.</w:t>
      </w:r>
      <w:r w:rsidR="00BD2644">
        <w:rPr>
          <w:rFonts w:asciiTheme="minorHAnsi" w:hAnsiTheme="minorHAnsi" w:cstheme="minorHAnsi"/>
          <w:sz w:val="26"/>
          <w:szCs w:val="26"/>
        </w:rPr>
        <w:t xml:space="preserve"> at 3-4.  Similarly, IRRC </w:t>
      </w:r>
      <w:r w:rsidR="006A3160">
        <w:rPr>
          <w:rFonts w:asciiTheme="minorHAnsi" w:hAnsiTheme="minorHAnsi" w:cstheme="minorHAnsi"/>
          <w:sz w:val="26"/>
          <w:szCs w:val="26"/>
        </w:rPr>
        <w:t xml:space="preserve">asks </w:t>
      </w:r>
      <w:r w:rsidR="00BD2644">
        <w:rPr>
          <w:rFonts w:asciiTheme="minorHAnsi" w:hAnsiTheme="minorHAnsi" w:cstheme="minorHAnsi"/>
          <w:sz w:val="26"/>
          <w:szCs w:val="26"/>
        </w:rPr>
        <w:t xml:space="preserve">the Commission to consider retaining the universal service program information </w:t>
      </w:r>
      <w:r w:rsidR="00CF1287">
        <w:rPr>
          <w:rFonts w:asciiTheme="minorHAnsi" w:hAnsiTheme="minorHAnsi" w:cstheme="minorHAnsi"/>
          <w:sz w:val="26"/>
          <w:szCs w:val="26"/>
        </w:rPr>
        <w:t xml:space="preserve">in Section 62.75(c)(13) </w:t>
      </w:r>
      <w:r w:rsidR="00BD2644">
        <w:rPr>
          <w:rFonts w:asciiTheme="minorHAnsi" w:hAnsiTheme="minorHAnsi" w:cstheme="minorHAnsi"/>
          <w:sz w:val="26"/>
          <w:szCs w:val="26"/>
        </w:rPr>
        <w:t xml:space="preserve">or explaining why it should be removed.  </w:t>
      </w:r>
      <w:r w:rsidR="00BD2644">
        <w:rPr>
          <w:rFonts w:asciiTheme="minorHAnsi" w:hAnsiTheme="minorHAnsi" w:cstheme="minorHAnsi"/>
          <w:i/>
          <w:sz w:val="26"/>
          <w:szCs w:val="26"/>
        </w:rPr>
        <w:t>Id.</w:t>
      </w:r>
    </w:p>
    <w:p w:rsidR="00BD2644" w:rsidRDefault="00BD2644" w:rsidP="004F6751">
      <w:pPr>
        <w:pStyle w:val="p3"/>
        <w:tabs>
          <w:tab w:val="clear" w:pos="204"/>
        </w:tabs>
        <w:spacing w:line="360" w:lineRule="auto"/>
        <w:rPr>
          <w:rFonts w:asciiTheme="minorHAnsi" w:hAnsiTheme="minorHAnsi" w:cstheme="minorHAnsi"/>
          <w:sz w:val="26"/>
          <w:szCs w:val="26"/>
        </w:rPr>
      </w:pPr>
    </w:p>
    <w:p w:rsidR="007739B4" w:rsidRDefault="00BD2644" w:rsidP="004F6751">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t>As to proposed Section 62.75(</w:t>
      </w:r>
      <w:proofErr w:type="spellStart"/>
      <w:r>
        <w:rPr>
          <w:rFonts w:asciiTheme="minorHAnsi" w:hAnsiTheme="minorHAnsi" w:cstheme="minorHAnsi"/>
          <w:sz w:val="26"/>
          <w:szCs w:val="26"/>
        </w:rPr>
        <w:t>i</w:t>
      </w:r>
      <w:proofErr w:type="spellEnd"/>
      <w:r>
        <w:rPr>
          <w:rFonts w:asciiTheme="minorHAnsi" w:hAnsiTheme="minorHAnsi" w:cstheme="minorHAnsi"/>
          <w:sz w:val="26"/>
          <w:szCs w:val="26"/>
        </w:rPr>
        <w:t>), IRRC</w:t>
      </w:r>
      <w:r w:rsidR="007739B4">
        <w:rPr>
          <w:rFonts w:asciiTheme="minorHAnsi" w:hAnsiTheme="minorHAnsi" w:cstheme="minorHAnsi"/>
          <w:sz w:val="26"/>
          <w:szCs w:val="26"/>
        </w:rPr>
        <w:t xml:space="preserve"> </w:t>
      </w:r>
      <w:r w:rsidR="006A3160">
        <w:rPr>
          <w:rFonts w:asciiTheme="minorHAnsi" w:hAnsiTheme="minorHAnsi" w:cstheme="minorHAnsi"/>
          <w:sz w:val="26"/>
          <w:szCs w:val="26"/>
        </w:rPr>
        <w:t xml:space="preserve">asks </w:t>
      </w:r>
      <w:r w:rsidR="007739B4">
        <w:rPr>
          <w:rFonts w:asciiTheme="minorHAnsi" w:hAnsiTheme="minorHAnsi" w:cstheme="minorHAnsi"/>
          <w:sz w:val="26"/>
          <w:szCs w:val="26"/>
        </w:rPr>
        <w:t xml:space="preserve">the Commission to explain in the final rulemaking how the regulated community could access the contract summary and how the regulated community would be made aware of any contract summary changes.  IRRC Comments at 4.  </w:t>
      </w:r>
      <w:r w:rsidR="007739B4" w:rsidRPr="00005E9C">
        <w:rPr>
          <w:rFonts w:asciiTheme="minorHAnsi" w:hAnsiTheme="minorHAnsi" w:cstheme="minorHAnsi"/>
          <w:sz w:val="26"/>
          <w:szCs w:val="26"/>
        </w:rPr>
        <w:t xml:space="preserve">As to proposed Section 62.75(j), IRRC </w:t>
      </w:r>
      <w:r w:rsidR="006A3160" w:rsidRPr="00005E9C">
        <w:rPr>
          <w:rFonts w:asciiTheme="minorHAnsi" w:hAnsiTheme="minorHAnsi" w:cstheme="minorHAnsi"/>
          <w:sz w:val="26"/>
          <w:szCs w:val="26"/>
        </w:rPr>
        <w:t>recommend</w:t>
      </w:r>
      <w:r w:rsidR="006A3160">
        <w:rPr>
          <w:rFonts w:asciiTheme="minorHAnsi" w:hAnsiTheme="minorHAnsi" w:cstheme="minorHAnsi"/>
          <w:sz w:val="26"/>
          <w:szCs w:val="26"/>
        </w:rPr>
        <w:t>s</w:t>
      </w:r>
      <w:r w:rsidR="006A3160" w:rsidRPr="00005E9C">
        <w:rPr>
          <w:rFonts w:asciiTheme="minorHAnsi" w:hAnsiTheme="minorHAnsi" w:cstheme="minorHAnsi"/>
          <w:sz w:val="26"/>
          <w:szCs w:val="26"/>
        </w:rPr>
        <w:t xml:space="preserve"> </w:t>
      </w:r>
      <w:r w:rsidR="007739B4" w:rsidRPr="00005E9C">
        <w:rPr>
          <w:rFonts w:asciiTheme="minorHAnsi" w:hAnsiTheme="minorHAnsi" w:cstheme="minorHAnsi"/>
          <w:sz w:val="26"/>
          <w:szCs w:val="26"/>
        </w:rPr>
        <w:t>that the Commission further require the NGS to provide the customer with notice if the contract is assigned and to include the name and contact information</w:t>
      </w:r>
      <w:r w:rsidR="00CF1287">
        <w:rPr>
          <w:rFonts w:asciiTheme="minorHAnsi" w:hAnsiTheme="minorHAnsi" w:cstheme="minorHAnsi"/>
          <w:sz w:val="26"/>
          <w:szCs w:val="26"/>
        </w:rPr>
        <w:t xml:space="preserve"> of the new NGS</w:t>
      </w:r>
      <w:r w:rsidR="007739B4" w:rsidRPr="00005E9C">
        <w:rPr>
          <w:rFonts w:asciiTheme="minorHAnsi" w:hAnsiTheme="minorHAnsi" w:cstheme="minorHAnsi"/>
          <w:sz w:val="26"/>
          <w:szCs w:val="26"/>
        </w:rPr>
        <w:t xml:space="preserve">.  </w:t>
      </w:r>
      <w:r w:rsidR="007739B4" w:rsidRPr="00005E9C">
        <w:rPr>
          <w:rFonts w:asciiTheme="minorHAnsi" w:hAnsiTheme="minorHAnsi" w:cstheme="minorHAnsi"/>
          <w:i/>
          <w:sz w:val="26"/>
          <w:szCs w:val="26"/>
        </w:rPr>
        <w:t>Id.</w:t>
      </w:r>
      <w:r w:rsidR="007739B4" w:rsidRPr="00005E9C">
        <w:rPr>
          <w:rFonts w:asciiTheme="minorHAnsi" w:hAnsiTheme="minorHAnsi" w:cstheme="minorHAnsi"/>
          <w:sz w:val="26"/>
          <w:szCs w:val="26"/>
        </w:rPr>
        <w:t xml:space="preserve"> at 5.</w:t>
      </w:r>
      <w:r w:rsidR="007739B4">
        <w:rPr>
          <w:rFonts w:asciiTheme="minorHAnsi" w:hAnsiTheme="minorHAnsi" w:cstheme="minorHAnsi"/>
          <w:sz w:val="26"/>
          <w:szCs w:val="26"/>
        </w:rPr>
        <w:t xml:space="preserve">  </w:t>
      </w:r>
    </w:p>
    <w:p w:rsidR="007739B4" w:rsidRDefault="007739B4" w:rsidP="004F6751">
      <w:pPr>
        <w:pStyle w:val="p3"/>
        <w:tabs>
          <w:tab w:val="clear" w:pos="204"/>
        </w:tabs>
        <w:spacing w:line="360" w:lineRule="auto"/>
        <w:rPr>
          <w:rFonts w:asciiTheme="minorHAnsi" w:hAnsiTheme="minorHAnsi" w:cstheme="minorHAnsi"/>
          <w:sz w:val="26"/>
          <w:szCs w:val="26"/>
        </w:rPr>
      </w:pPr>
    </w:p>
    <w:p w:rsidR="007739B4" w:rsidRPr="00C6577E" w:rsidRDefault="007739B4" w:rsidP="004F6751">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t>As to proposed Section</w:t>
      </w:r>
      <w:r w:rsidR="00CF1287">
        <w:rPr>
          <w:rFonts w:asciiTheme="minorHAnsi" w:hAnsiTheme="minorHAnsi" w:cstheme="minorHAnsi"/>
          <w:sz w:val="26"/>
          <w:szCs w:val="26"/>
        </w:rPr>
        <w:t>s</w:t>
      </w:r>
      <w:r>
        <w:rPr>
          <w:rFonts w:asciiTheme="minorHAnsi" w:hAnsiTheme="minorHAnsi" w:cstheme="minorHAnsi"/>
          <w:sz w:val="26"/>
          <w:szCs w:val="26"/>
        </w:rPr>
        <w:t xml:space="preserve"> 62.81</w:t>
      </w:r>
      <w:r w:rsidR="00C6577E">
        <w:rPr>
          <w:rFonts w:asciiTheme="minorHAnsi" w:hAnsiTheme="minorHAnsi" w:cstheme="minorHAnsi"/>
          <w:sz w:val="26"/>
          <w:szCs w:val="26"/>
        </w:rPr>
        <w:t>(a)(1) and (2)</w:t>
      </w:r>
      <w:r>
        <w:rPr>
          <w:rFonts w:asciiTheme="minorHAnsi" w:hAnsiTheme="minorHAnsi" w:cstheme="minorHAnsi"/>
          <w:sz w:val="26"/>
          <w:szCs w:val="26"/>
        </w:rPr>
        <w:t>, IRRC</w:t>
      </w:r>
      <w:r w:rsidR="00C6577E">
        <w:rPr>
          <w:rFonts w:asciiTheme="minorHAnsi" w:hAnsiTheme="minorHAnsi" w:cstheme="minorHAnsi"/>
          <w:sz w:val="26"/>
          <w:szCs w:val="26"/>
        </w:rPr>
        <w:t xml:space="preserve"> </w:t>
      </w:r>
      <w:r w:rsidR="006A3160">
        <w:rPr>
          <w:rFonts w:asciiTheme="minorHAnsi" w:hAnsiTheme="minorHAnsi" w:cstheme="minorHAnsi"/>
          <w:sz w:val="26"/>
          <w:szCs w:val="26"/>
        </w:rPr>
        <w:t xml:space="preserve">questions </w:t>
      </w:r>
      <w:r w:rsidR="00C6577E">
        <w:rPr>
          <w:rFonts w:asciiTheme="minorHAnsi" w:hAnsiTheme="minorHAnsi" w:cstheme="minorHAnsi"/>
          <w:sz w:val="26"/>
          <w:szCs w:val="26"/>
        </w:rPr>
        <w:t xml:space="preserve">the reasonableness of reducing the existing notice timeframes and </w:t>
      </w:r>
      <w:r w:rsidR="006A3160">
        <w:rPr>
          <w:rFonts w:asciiTheme="minorHAnsi" w:hAnsiTheme="minorHAnsi" w:cstheme="minorHAnsi"/>
          <w:sz w:val="26"/>
          <w:szCs w:val="26"/>
        </w:rPr>
        <w:t xml:space="preserve">recommends </w:t>
      </w:r>
      <w:r w:rsidR="00C6577E">
        <w:rPr>
          <w:rFonts w:asciiTheme="minorHAnsi" w:hAnsiTheme="minorHAnsi" w:cstheme="minorHAnsi"/>
          <w:sz w:val="26"/>
          <w:szCs w:val="26"/>
        </w:rPr>
        <w:t xml:space="preserve">that the </w:t>
      </w:r>
      <w:r w:rsidR="006D1C8E">
        <w:rPr>
          <w:rFonts w:asciiTheme="minorHAnsi" w:hAnsiTheme="minorHAnsi" w:cstheme="minorHAnsi"/>
          <w:sz w:val="26"/>
          <w:szCs w:val="26"/>
        </w:rPr>
        <w:t>Commission</w:t>
      </w:r>
      <w:r w:rsidR="00C6577E">
        <w:rPr>
          <w:rFonts w:asciiTheme="minorHAnsi" w:hAnsiTheme="minorHAnsi" w:cstheme="minorHAnsi"/>
          <w:sz w:val="26"/>
          <w:szCs w:val="26"/>
        </w:rPr>
        <w:t xml:space="preserve"> keep the current timeframes in place until the gas industry moves to accelerated switching.  IRRC Comments at 5.  IRRC also </w:t>
      </w:r>
      <w:r w:rsidR="006A3160">
        <w:rPr>
          <w:rFonts w:asciiTheme="minorHAnsi" w:hAnsiTheme="minorHAnsi" w:cstheme="minorHAnsi"/>
          <w:sz w:val="26"/>
          <w:szCs w:val="26"/>
        </w:rPr>
        <w:t xml:space="preserve">asks </w:t>
      </w:r>
      <w:r w:rsidR="00C6577E">
        <w:rPr>
          <w:rFonts w:asciiTheme="minorHAnsi" w:hAnsiTheme="minorHAnsi" w:cstheme="minorHAnsi"/>
          <w:sz w:val="26"/>
          <w:szCs w:val="26"/>
        </w:rPr>
        <w:t xml:space="preserve">that the Commission clarify the phrase “at least 30 days prior” in Section 62.81(a)(2).  </w:t>
      </w:r>
      <w:r w:rsidR="00C6577E">
        <w:rPr>
          <w:rFonts w:asciiTheme="minorHAnsi" w:hAnsiTheme="minorHAnsi" w:cstheme="minorHAnsi"/>
          <w:i/>
          <w:sz w:val="26"/>
          <w:szCs w:val="26"/>
        </w:rPr>
        <w:t>Id.</w:t>
      </w:r>
      <w:r w:rsidR="00C6577E">
        <w:rPr>
          <w:rFonts w:asciiTheme="minorHAnsi" w:hAnsiTheme="minorHAnsi" w:cstheme="minorHAnsi"/>
          <w:sz w:val="26"/>
          <w:szCs w:val="26"/>
        </w:rPr>
        <w:t xml:space="preserve"> at 5-6.  IRRC also </w:t>
      </w:r>
      <w:r w:rsidR="006A3160">
        <w:rPr>
          <w:rFonts w:asciiTheme="minorHAnsi" w:hAnsiTheme="minorHAnsi" w:cstheme="minorHAnsi"/>
          <w:sz w:val="26"/>
          <w:szCs w:val="26"/>
        </w:rPr>
        <w:t xml:space="preserve">asks </w:t>
      </w:r>
      <w:r w:rsidR="00C6577E">
        <w:rPr>
          <w:rFonts w:asciiTheme="minorHAnsi" w:hAnsiTheme="minorHAnsi" w:cstheme="minorHAnsi"/>
          <w:sz w:val="26"/>
          <w:szCs w:val="26"/>
        </w:rPr>
        <w:t xml:space="preserve">for clarification on proposed Section 62.81(a)(1)(vi).  </w:t>
      </w:r>
      <w:r w:rsidR="00C6577E">
        <w:rPr>
          <w:rFonts w:asciiTheme="minorHAnsi" w:hAnsiTheme="minorHAnsi" w:cstheme="minorHAnsi"/>
          <w:i/>
          <w:sz w:val="26"/>
          <w:szCs w:val="26"/>
        </w:rPr>
        <w:t>Id.</w:t>
      </w:r>
      <w:r w:rsidR="00C6577E">
        <w:rPr>
          <w:rFonts w:asciiTheme="minorHAnsi" w:hAnsiTheme="minorHAnsi" w:cstheme="minorHAnsi"/>
          <w:sz w:val="26"/>
          <w:szCs w:val="26"/>
        </w:rPr>
        <w:t xml:space="preserve"> at 6.  As to Section 62.81(a)(2), IRRC </w:t>
      </w:r>
      <w:r w:rsidR="00877B60">
        <w:rPr>
          <w:rFonts w:asciiTheme="minorHAnsi" w:hAnsiTheme="minorHAnsi" w:cstheme="minorHAnsi"/>
          <w:sz w:val="26"/>
          <w:szCs w:val="26"/>
        </w:rPr>
        <w:t xml:space="preserve">recommends </w:t>
      </w:r>
      <w:r w:rsidR="00C6577E">
        <w:rPr>
          <w:rFonts w:asciiTheme="minorHAnsi" w:hAnsiTheme="minorHAnsi" w:cstheme="minorHAnsi"/>
          <w:sz w:val="26"/>
          <w:szCs w:val="26"/>
        </w:rPr>
        <w:t xml:space="preserve">that the Commission revise the final-form regulation to allow a customer to elect to receive the options notice in electronic form as an alternative to first-class mail.  </w:t>
      </w:r>
      <w:r w:rsidR="00C6577E">
        <w:rPr>
          <w:rFonts w:asciiTheme="minorHAnsi" w:hAnsiTheme="minorHAnsi" w:cstheme="minorHAnsi"/>
          <w:i/>
          <w:sz w:val="26"/>
          <w:szCs w:val="26"/>
        </w:rPr>
        <w:t>Id.</w:t>
      </w:r>
      <w:r w:rsidR="00C6577E">
        <w:rPr>
          <w:rFonts w:asciiTheme="minorHAnsi" w:hAnsiTheme="minorHAnsi" w:cstheme="minorHAnsi"/>
          <w:sz w:val="26"/>
          <w:szCs w:val="26"/>
        </w:rPr>
        <w:t xml:space="preserve">  IRRC </w:t>
      </w:r>
      <w:r w:rsidR="00877B60">
        <w:rPr>
          <w:rFonts w:asciiTheme="minorHAnsi" w:hAnsiTheme="minorHAnsi" w:cstheme="minorHAnsi"/>
          <w:sz w:val="26"/>
          <w:szCs w:val="26"/>
        </w:rPr>
        <w:t xml:space="preserve">asks </w:t>
      </w:r>
      <w:r w:rsidR="00C6577E">
        <w:rPr>
          <w:rFonts w:asciiTheme="minorHAnsi" w:hAnsiTheme="minorHAnsi" w:cstheme="minorHAnsi"/>
          <w:sz w:val="26"/>
          <w:szCs w:val="26"/>
        </w:rPr>
        <w:t>the Commission to correct and clarify clauses in Sections 62.81(a)(2)(ii</w:t>
      </w:r>
      <w:r w:rsidR="00005E9C">
        <w:rPr>
          <w:rFonts w:asciiTheme="minorHAnsi" w:hAnsiTheme="minorHAnsi" w:cstheme="minorHAnsi"/>
          <w:sz w:val="26"/>
          <w:szCs w:val="26"/>
        </w:rPr>
        <w:t>)</w:t>
      </w:r>
      <w:r w:rsidR="00C6577E">
        <w:rPr>
          <w:rFonts w:asciiTheme="minorHAnsi" w:hAnsiTheme="minorHAnsi" w:cstheme="minorHAnsi"/>
          <w:sz w:val="26"/>
          <w:szCs w:val="26"/>
        </w:rPr>
        <w:t xml:space="preserve">(C) and (D).  As to proposed Section 62.81(b), IRRC </w:t>
      </w:r>
      <w:r w:rsidR="00877B60">
        <w:rPr>
          <w:rFonts w:asciiTheme="minorHAnsi" w:hAnsiTheme="minorHAnsi" w:cstheme="minorHAnsi"/>
          <w:sz w:val="26"/>
          <w:szCs w:val="26"/>
        </w:rPr>
        <w:t xml:space="preserve">recommends </w:t>
      </w:r>
      <w:r w:rsidR="0014462D">
        <w:rPr>
          <w:rFonts w:asciiTheme="minorHAnsi" w:hAnsiTheme="minorHAnsi" w:cstheme="minorHAnsi"/>
          <w:sz w:val="26"/>
          <w:szCs w:val="26"/>
        </w:rPr>
        <w:t>requiring the disclosure statement to inform</w:t>
      </w:r>
      <w:r w:rsidR="00005E9C">
        <w:rPr>
          <w:rFonts w:asciiTheme="minorHAnsi" w:hAnsiTheme="minorHAnsi" w:cstheme="minorHAnsi"/>
          <w:sz w:val="26"/>
          <w:szCs w:val="26"/>
        </w:rPr>
        <w:t xml:space="preserve"> the</w:t>
      </w:r>
      <w:r w:rsidR="0014462D">
        <w:rPr>
          <w:rFonts w:asciiTheme="minorHAnsi" w:hAnsiTheme="minorHAnsi" w:cstheme="minorHAnsi"/>
          <w:sz w:val="26"/>
          <w:szCs w:val="26"/>
        </w:rPr>
        <w:t xml:space="preserve"> customer as to the possibility of being rolled onto a variable rate plan at the end of a fixed duration contract if the customer does not respond to the notices.  </w:t>
      </w:r>
      <w:r w:rsidR="0014462D">
        <w:rPr>
          <w:rFonts w:asciiTheme="minorHAnsi" w:hAnsiTheme="minorHAnsi" w:cstheme="minorHAnsi"/>
          <w:i/>
          <w:sz w:val="26"/>
          <w:szCs w:val="26"/>
        </w:rPr>
        <w:t>Id.</w:t>
      </w:r>
      <w:r w:rsidR="00C6577E">
        <w:rPr>
          <w:rFonts w:asciiTheme="minorHAnsi" w:hAnsiTheme="minorHAnsi" w:cstheme="minorHAnsi"/>
          <w:sz w:val="26"/>
          <w:szCs w:val="26"/>
        </w:rPr>
        <w:t xml:space="preserve"> </w:t>
      </w:r>
    </w:p>
    <w:p w:rsidR="009D55D3" w:rsidRDefault="009D55D3" w:rsidP="002C74D1">
      <w:pPr>
        <w:rPr>
          <w:rFonts w:ascii="Times New Roman" w:eastAsia="Times New Roman" w:hAnsi="Times New Roman"/>
          <w:color w:val="000000"/>
          <w:spacing w:val="4"/>
          <w:sz w:val="26"/>
          <w:szCs w:val="26"/>
          <w:u w:val="single"/>
        </w:rPr>
      </w:pPr>
      <w:r w:rsidRPr="00BE07F6">
        <w:rPr>
          <w:rFonts w:ascii="Times New Roman" w:eastAsia="Times New Roman" w:hAnsi="Times New Roman"/>
          <w:color w:val="000000"/>
          <w:spacing w:val="4"/>
          <w:sz w:val="26"/>
          <w:szCs w:val="26"/>
          <w:u w:val="single"/>
        </w:rPr>
        <w:lastRenderedPageBreak/>
        <w:t>Regulation Uniformity, Variable Pricing, and Historical Pricing Information</w:t>
      </w:r>
      <w:r w:rsidR="006848C2">
        <w:rPr>
          <w:rFonts w:ascii="Times New Roman" w:eastAsia="Times New Roman" w:hAnsi="Times New Roman"/>
          <w:color w:val="000000"/>
          <w:spacing w:val="4"/>
          <w:sz w:val="26"/>
          <w:szCs w:val="26"/>
          <w:u w:val="single"/>
        </w:rPr>
        <w:t xml:space="preserve"> in the Disclosure Statement</w:t>
      </w:r>
      <w:r w:rsidR="00027048">
        <w:rPr>
          <w:rFonts w:ascii="Times New Roman" w:eastAsia="Times New Roman" w:hAnsi="Times New Roman"/>
          <w:color w:val="000000"/>
          <w:spacing w:val="4"/>
          <w:sz w:val="26"/>
          <w:szCs w:val="26"/>
          <w:u w:val="single"/>
        </w:rPr>
        <w:t>:</w:t>
      </w:r>
      <w:r w:rsidR="006848C2">
        <w:rPr>
          <w:rFonts w:ascii="Times New Roman" w:eastAsia="Times New Roman" w:hAnsi="Times New Roman"/>
          <w:color w:val="000000"/>
          <w:spacing w:val="4"/>
          <w:sz w:val="26"/>
          <w:szCs w:val="26"/>
          <w:u w:val="single"/>
        </w:rPr>
        <w:t xml:space="preserve"> Sections 62.</w:t>
      </w:r>
      <w:r w:rsidR="004D7316">
        <w:rPr>
          <w:rFonts w:ascii="Times New Roman" w:eastAsia="Times New Roman" w:hAnsi="Times New Roman"/>
          <w:color w:val="000000"/>
          <w:spacing w:val="4"/>
          <w:sz w:val="26"/>
          <w:szCs w:val="26"/>
          <w:u w:val="single"/>
        </w:rPr>
        <w:t>7</w:t>
      </w:r>
      <w:r w:rsidR="006848C2">
        <w:rPr>
          <w:rFonts w:ascii="Times New Roman" w:eastAsia="Times New Roman" w:hAnsi="Times New Roman"/>
          <w:color w:val="000000"/>
          <w:spacing w:val="4"/>
          <w:sz w:val="26"/>
          <w:szCs w:val="26"/>
          <w:u w:val="single"/>
        </w:rPr>
        <w:t>2 and 62.75</w:t>
      </w:r>
      <w:r w:rsidR="00027048">
        <w:rPr>
          <w:rFonts w:ascii="Times New Roman" w:eastAsia="Times New Roman" w:hAnsi="Times New Roman"/>
          <w:color w:val="000000"/>
          <w:spacing w:val="4"/>
          <w:sz w:val="26"/>
          <w:szCs w:val="26"/>
          <w:u w:val="single"/>
        </w:rPr>
        <w:t>(c)</w:t>
      </w:r>
    </w:p>
    <w:p w:rsidR="00D40277" w:rsidRDefault="00D40277" w:rsidP="002C74D1">
      <w:pPr>
        <w:rPr>
          <w:rFonts w:ascii="Times New Roman" w:eastAsia="Times New Roman" w:hAnsi="Times New Roman"/>
          <w:color w:val="000000"/>
          <w:spacing w:val="4"/>
          <w:sz w:val="26"/>
          <w:szCs w:val="26"/>
          <w:u w:val="single"/>
        </w:rPr>
      </w:pPr>
    </w:p>
    <w:p w:rsidR="00BE07F6" w:rsidRPr="004C75FF" w:rsidRDefault="007C48A3" w:rsidP="00BE07F6">
      <w:pPr>
        <w:pStyle w:val="NoSpacing"/>
        <w:spacing w:line="360" w:lineRule="auto"/>
        <w:ind w:firstLine="720"/>
        <w:rPr>
          <w:rFonts w:ascii="Times New Roman" w:hAnsi="Times New Roman"/>
          <w:sz w:val="26"/>
          <w:szCs w:val="26"/>
        </w:rPr>
      </w:pPr>
      <w:r w:rsidRPr="004C75FF">
        <w:rPr>
          <w:rFonts w:ascii="Times New Roman" w:eastAsia="Times New Roman" w:hAnsi="Times New Roman"/>
          <w:color w:val="000000"/>
          <w:sz w:val="26"/>
          <w:szCs w:val="26"/>
        </w:rPr>
        <w:t>RESA urges the Commission to use this rulemaking as an opportunity to establish a set of fair and balanced rules that adequately protect consumers while not stifling natural gas competition</w:t>
      </w:r>
      <w:r>
        <w:rPr>
          <w:rFonts w:ascii="Times New Roman" w:eastAsia="Times New Roman" w:hAnsi="Times New Roman"/>
          <w:color w:val="000000"/>
          <w:sz w:val="26"/>
          <w:szCs w:val="26"/>
        </w:rPr>
        <w:t>.  RESA Comments at 1</w:t>
      </w:r>
      <w:r w:rsidR="005729E3">
        <w:rPr>
          <w:rFonts w:ascii="Times New Roman" w:eastAsia="Times New Roman" w:hAnsi="Times New Roman"/>
          <w:color w:val="000000"/>
          <w:sz w:val="26"/>
          <w:szCs w:val="26"/>
        </w:rPr>
        <w:t xml:space="preserve">; </w:t>
      </w:r>
      <w:r w:rsidR="005729E3">
        <w:rPr>
          <w:rFonts w:ascii="Times New Roman" w:eastAsia="Times New Roman" w:hAnsi="Times New Roman"/>
          <w:i/>
          <w:color w:val="000000"/>
          <w:sz w:val="26"/>
          <w:szCs w:val="26"/>
        </w:rPr>
        <w:t>see also</w:t>
      </w:r>
      <w:r w:rsidR="005729E3">
        <w:rPr>
          <w:rFonts w:ascii="Times New Roman" w:eastAsia="Times New Roman" w:hAnsi="Times New Roman"/>
          <w:color w:val="000000"/>
          <w:sz w:val="26"/>
          <w:szCs w:val="26"/>
        </w:rPr>
        <w:t xml:space="preserve"> National Marketers Comments at 1</w:t>
      </w:r>
      <w:r>
        <w:rPr>
          <w:rFonts w:ascii="Times New Roman" w:eastAsia="Times New Roman" w:hAnsi="Times New Roman"/>
          <w:color w:val="000000"/>
          <w:sz w:val="26"/>
          <w:szCs w:val="26"/>
        </w:rPr>
        <w:t>.</w:t>
      </w:r>
      <w:r w:rsidRPr="00DA59D4">
        <w:rPr>
          <w:rFonts w:ascii="Times New Roman" w:hAnsi="Times New Roman"/>
          <w:spacing w:val="1"/>
          <w:sz w:val="26"/>
          <w:szCs w:val="26"/>
        </w:rPr>
        <w:t xml:space="preserve"> </w:t>
      </w:r>
      <w:r>
        <w:rPr>
          <w:rFonts w:ascii="Times New Roman" w:hAnsi="Times New Roman"/>
          <w:spacing w:val="1"/>
          <w:sz w:val="26"/>
          <w:szCs w:val="26"/>
        </w:rPr>
        <w:t xml:space="preserve"> </w:t>
      </w:r>
      <w:r w:rsidR="00BE07F6" w:rsidRPr="00DA59D4">
        <w:rPr>
          <w:rFonts w:ascii="Times New Roman" w:hAnsi="Times New Roman"/>
          <w:spacing w:val="1"/>
          <w:sz w:val="26"/>
          <w:szCs w:val="26"/>
        </w:rPr>
        <w:t xml:space="preserve">RESA </w:t>
      </w:r>
      <w:r w:rsidR="00BE07F6" w:rsidRPr="00DA59D4">
        <w:rPr>
          <w:rFonts w:ascii="Times New Roman" w:hAnsi="Times New Roman"/>
          <w:sz w:val="26"/>
          <w:szCs w:val="26"/>
        </w:rPr>
        <w:t>notes</w:t>
      </w:r>
      <w:r w:rsidR="00BE07F6" w:rsidRPr="004C75FF">
        <w:rPr>
          <w:rFonts w:ascii="Times New Roman" w:hAnsi="Times New Roman"/>
          <w:sz w:val="26"/>
          <w:szCs w:val="26"/>
        </w:rPr>
        <w:t xml:space="preserve"> that consistency in the disclosure rules between the electric and natural gas industries is important since unnecessary differences may confuse customers and burden NGSs' operations.</w:t>
      </w:r>
      <w:r>
        <w:rPr>
          <w:rFonts w:ascii="Times New Roman" w:hAnsi="Times New Roman"/>
          <w:sz w:val="26"/>
          <w:szCs w:val="26"/>
        </w:rPr>
        <w:t xml:space="preserve">  </w:t>
      </w:r>
      <w:r w:rsidR="00B6048C">
        <w:rPr>
          <w:rFonts w:ascii="Times New Roman" w:hAnsi="Times New Roman"/>
          <w:sz w:val="26"/>
          <w:szCs w:val="26"/>
        </w:rPr>
        <w:t>RESA Comments</w:t>
      </w:r>
      <w:r>
        <w:rPr>
          <w:rFonts w:ascii="Times New Roman" w:hAnsi="Times New Roman"/>
          <w:sz w:val="26"/>
          <w:szCs w:val="26"/>
        </w:rPr>
        <w:t xml:space="preserve"> at 3.</w:t>
      </w:r>
      <w:r w:rsidR="00BE07F6">
        <w:rPr>
          <w:rFonts w:ascii="Times New Roman" w:hAnsi="Times New Roman"/>
          <w:sz w:val="26"/>
          <w:szCs w:val="26"/>
        </w:rPr>
        <w:t xml:space="preserve"> </w:t>
      </w:r>
      <w:r w:rsidR="00BE07F6" w:rsidRPr="004C75FF">
        <w:rPr>
          <w:rFonts w:ascii="Times New Roman" w:hAnsi="Times New Roman"/>
          <w:sz w:val="26"/>
          <w:szCs w:val="26"/>
        </w:rPr>
        <w:t xml:space="preserve"> </w:t>
      </w:r>
      <w:r w:rsidR="00BE07F6" w:rsidRPr="004C75FF">
        <w:rPr>
          <w:rFonts w:ascii="Times New Roman" w:eastAsia="Times New Roman" w:hAnsi="Times New Roman"/>
          <w:color w:val="000000"/>
          <w:sz w:val="26"/>
          <w:szCs w:val="26"/>
        </w:rPr>
        <w:t>RESA generally agrees</w:t>
      </w:r>
      <w:r>
        <w:rPr>
          <w:rFonts w:ascii="Times New Roman" w:eastAsia="Times New Roman" w:hAnsi="Times New Roman"/>
          <w:color w:val="000000"/>
          <w:sz w:val="26"/>
          <w:szCs w:val="26"/>
        </w:rPr>
        <w:t xml:space="preserve"> with the Commission</w:t>
      </w:r>
      <w:r w:rsidR="00BE07F6" w:rsidRPr="004C75FF">
        <w:rPr>
          <w:rFonts w:ascii="Times New Roman" w:eastAsia="Times New Roman" w:hAnsi="Times New Roman"/>
          <w:color w:val="000000"/>
          <w:sz w:val="26"/>
          <w:szCs w:val="26"/>
        </w:rPr>
        <w:t xml:space="preserve"> </w:t>
      </w:r>
      <w:r w:rsidR="00BE07F6" w:rsidRPr="004C75FF">
        <w:rPr>
          <w:rFonts w:ascii="Times New Roman" w:hAnsi="Times New Roman"/>
          <w:sz w:val="26"/>
          <w:szCs w:val="26"/>
        </w:rPr>
        <w:t>that modifications should be made to the rules to reflect</w:t>
      </w:r>
      <w:r w:rsidR="002C74D1">
        <w:rPr>
          <w:rFonts w:ascii="Times New Roman" w:hAnsi="Times New Roman"/>
          <w:sz w:val="26"/>
          <w:szCs w:val="26"/>
        </w:rPr>
        <w:t xml:space="preserve"> </w:t>
      </w:r>
      <w:r w:rsidR="00877B60">
        <w:rPr>
          <w:rFonts w:ascii="Times New Roman" w:hAnsi="Times New Roman"/>
          <w:sz w:val="26"/>
          <w:szCs w:val="26"/>
        </w:rPr>
        <w:t>“</w:t>
      </w:r>
      <w:r w:rsidR="00BE07F6" w:rsidRPr="004C75FF">
        <w:rPr>
          <w:rFonts w:ascii="Times New Roman" w:hAnsi="Times New Roman"/>
          <w:sz w:val="26"/>
          <w:szCs w:val="26"/>
        </w:rPr>
        <w:t>lessons learned,</w:t>
      </w:r>
      <w:r w:rsidR="00877B60">
        <w:rPr>
          <w:rFonts w:ascii="Times New Roman" w:hAnsi="Times New Roman"/>
          <w:sz w:val="26"/>
          <w:szCs w:val="26"/>
        </w:rPr>
        <w:t>”</w:t>
      </w:r>
      <w:r w:rsidR="00BE07F6" w:rsidRPr="004C75FF">
        <w:rPr>
          <w:rFonts w:ascii="Times New Roman" w:hAnsi="Times New Roman"/>
          <w:sz w:val="26"/>
          <w:szCs w:val="26"/>
        </w:rPr>
        <w:t xml:space="preserve"> and that the electric rules can later be aligned, as </w:t>
      </w:r>
      <w:r w:rsidR="00BE07F6">
        <w:rPr>
          <w:rFonts w:ascii="Times New Roman" w:hAnsi="Times New Roman"/>
          <w:sz w:val="26"/>
          <w:szCs w:val="26"/>
        </w:rPr>
        <w:t>n</w:t>
      </w:r>
      <w:r w:rsidR="00BE07F6" w:rsidRPr="004C75FF">
        <w:rPr>
          <w:rFonts w:ascii="Times New Roman" w:hAnsi="Times New Roman"/>
          <w:sz w:val="26"/>
          <w:szCs w:val="26"/>
        </w:rPr>
        <w:t xml:space="preserve">ecessary, </w:t>
      </w:r>
      <w:r>
        <w:rPr>
          <w:rFonts w:ascii="Times New Roman" w:hAnsi="Times New Roman"/>
          <w:sz w:val="26"/>
          <w:szCs w:val="26"/>
        </w:rPr>
        <w:t>based on the Commission’s</w:t>
      </w:r>
      <w:r w:rsidR="00BE07F6" w:rsidRPr="004C75FF">
        <w:rPr>
          <w:rFonts w:ascii="Times New Roman" w:hAnsi="Times New Roman"/>
          <w:sz w:val="26"/>
          <w:szCs w:val="26"/>
        </w:rPr>
        <w:t xml:space="preserve"> final determination in this rulemaking.</w:t>
      </w:r>
      <w:r w:rsidR="00BE07F6">
        <w:rPr>
          <w:rFonts w:ascii="Times New Roman" w:hAnsi="Times New Roman"/>
          <w:sz w:val="26"/>
          <w:szCs w:val="26"/>
        </w:rPr>
        <w:t xml:space="preserve">  </w:t>
      </w:r>
      <w:r>
        <w:rPr>
          <w:rFonts w:ascii="Times New Roman" w:hAnsi="Times New Roman"/>
          <w:i/>
          <w:sz w:val="26"/>
          <w:szCs w:val="26"/>
        </w:rPr>
        <w:t xml:space="preserve">Id. </w:t>
      </w:r>
      <w:r>
        <w:rPr>
          <w:rFonts w:ascii="Times New Roman" w:hAnsi="Times New Roman"/>
          <w:sz w:val="26"/>
          <w:szCs w:val="26"/>
        </w:rPr>
        <w:t xml:space="preserve"> </w:t>
      </w:r>
      <w:r w:rsidR="00BE07F6">
        <w:rPr>
          <w:rFonts w:ascii="Times New Roman" w:eastAsia="Times New Roman" w:hAnsi="Times New Roman"/>
          <w:color w:val="000000"/>
          <w:sz w:val="26"/>
          <w:szCs w:val="26"/>
        </w:rPr>
        <w:t xml:space="preserve">  </w:t>
      </w:r>
    </w:p>
    <w:p w:rsidR="00BE07F6" w:rsidRPr="004C75FF" w:rsidRDefault="00BE07F6" w:rsidP="00BE07F6">
      <w:pPr>
        <w:pStyle w:val="NoSpacing"/>
        <w:spacing w:line="360" w:lineRule="auto"/>
        <w:rPr>
          <w:rFonts w:ascii="Times New Roman" w:hAnsi="Times New Roman"/>
          <w:sz w:val="26"/>
          <w:szCs w:val="26"/>
        </w:rPr>
      </w:pPr>
    </w:p>
    <w:p w:rsidR="001C1682" w:rsidRDefault="00DE6E0F" w:rsidP="00BE07F6">
      <w:pPr>
        <w:pStyle w:val="NoSpacing"/>
        <w:spacing w:line="360" w:lineRule="auto"/>
        <w:ind w:firstLine="720"/>
        <w:rPr>
          <w:rFonts w:ascii="Times New Roman" w:eastAsia="Times New Roman" w:hAnsi="Times New Roman"/>
          <w:color w:val="000000"/>
          <w:sz w:val="26"/>
          <w:szCs w:val="26"/>
        </w:rPr>
      </w:pPr>
      <w:r>
        <w:rPr>
          <w:rFonts w:ascii="Times New Roman" w:hAnsi="Times New Roman"/>
          <w:sz w:val="26"/>
          <w:szCs w:val="26"/>
        </w:rPr>
        <w:t xml:space="preserve">Although we did not propose in the </w:t>
      </w:r>
      <w:r>
        <w:rPr>
          <w:rFonts w:ascii="Times New Roman" w:hAnsi="Times New Roman"/>
          <w:i/>
          <w:sz w:val="26"/>
          <w:szCs w:val="26"/>
        </w:rPr>
        <w:t xml:space="preserve">Proposed Rulemaking Order </w:t>
      </w:r>
      <w:r w:rsidR="00766410">
        <w:rPr>
          <w:rFonts w:ascii="Times New Roman" w:hAnsi="Times New Roman"/>
          <w:sz w:val="26"/>
          <w:szCs w:val="26"/>
        </w:rPr>
        <w:t>to alter</w:t>
      </w:r>
      <w:r>
        <w:rPr>
          <w:rFonts w:ascii="Times New Roman" w:hAnsi="Times New Roman"/>
          <w:sz w:val="26"/>
          <w:szCs w:val="26"/>
        </w:rPr>
        <w:t xml:space="preserve"> </w:t>
      </w:r>
      <w:r w:rsidR="009C3578">
        <w:rPr>
          <w:rFonts w:ascii="Times New Roman" w:hAnsi="Times New Roman"/>
          <w:sz w:val="26"/>
          <w:szCs w:val="26"/>
        </w:rPr>
        <w:t xml:space="preserve">the </w:t>
      </w:r>
      <w:r>
        <w:rPr>
          <w:rFonts w:ascii="Times New Roman" w:hAnsi="Times New Roman"/>
          <w:sz w:val="26"/>
          <w:szCs w:val="26"/>
        </w:rPr>
        <w:t>Section 62.75</w:t>
      </w:r>
      <w:r w:rsidR="001C1682">
        <w:rPr>
          <w:rFonts w:ascii="Times New Roman" w:hAnsi="Times New Roman"/>
          <w:sz w:val="26"/>
          <w:szCs w:val="26"/>
        </w:rPr>
        <w:t>(c)</w:t>
      </w:r>
      <w:r>
        <w:rPr>
          <w:rFonts w:ascii="Times New Roman" w:hAnsi="Times New Roman"/>
          <w:sz w:val="26"/>
          <w:szCs w:val="26"/>
        </w:rPr>
        <w:t>(2)(ii) requir</w:t>
      </w:r>
      <w:r w:rsidR="001C1682">
        <w:rPr>
          <w:rFonts w:ascii="Times New Roman" w:hAnsi="Times New Roman"/>
          <w:sz w:val="26"/>
          <w:szCs w:val="26"/>
        </w:rPr>
        <w:t>ement that an</w:t>
      </w:r>
      <w:r>
        <w:rPr>
          <w:rFonts w:ascii="Times New Roman" w:hAnsi="Times New Roman"/>
          <w:sz w:val="26"/>
          <w:szCs w:val="26"/>
        </w:rPr>
        <w:t xml:space="preserve"> NGS </w:t>
      </w:r>
      <w:r w:rsidR="001C1682">
        <w:rPr>
          <w:rFonts w:ascii="Times New Roman" w:hAnsi="Times New Roman"/>
          <w:sz w:val="26"/>
          <w:szCs w:val="26"/>
        </w:rPr>
        <w:t>must</w:t>
      </w:r>
      <w:r>
        <w:rPr>
          <w:rFonts w:ascii="Times New Roman" w:hAnsi="Times New Roman"/>
          <w:sz w:val="26"/>
          <w:szCs w:val="26"/>
        </w:rPr>
        <w:t xml:space="preserve"> provide the starting price in a variable contract, </w:t>
      </w:r>
      <w:r w:rsidR="00BE07F6">
        <w:rPr>
          <w:rFonts w:ascii="Times New Roman" w:hAnsi="Times New Roman"/>
          <w:sz w:val="26"/>
          <w:szCs w:val="26"/>
        </w:rPr>
        <w:t xml:space="preserve">RESA </w:t>
      </w:r>
      <w:r>
        <w:rPr>
          <w:rFonts w:ascii="Times New Roman" w:hAnsi="Times New Roman"/>
          <w:sz w:val="26"/>
          <w:szCs w:val="26"/>
        </w:rPr>
        <w:t xml:space="preserve">contends </w:t>
      </w:r>
      <w:r w:rsidR="00BE07F6">
        <w:rPr>
          <w:rFonts w:ascii="Times New Roman" w:hAnsi="Times New Roman"/>
          <w:sz w:val="26"/>
          <w:szCs w:val="26"/>
        </w:rPr>
        <w:t xml:space="preserve">that </w:t>
      </w:r>
      <w:r>
        <w:rPr>
          <w:rFonts w:ascii="Times New Roman" w:hAnsi="Times New Roman"/>
          <w:sz w:val="26"/>
          <w:szCs w:val="26"/>
        </w:rPr>
        <w:t xml:space="preserve">NGSs should not be required to include a starting price in the disclosure statement for a variable price contract.  RESA Comments at 2, 4-5.  RESA explains that </w:t>
      </w:r>
      <w:r w:rsidRPr="004C75FF">
        <w:rPr>
          <w:rFonts w:ascii="Times New Roman" w:hAnsi="Times New Roman"/>
          <w:sz w:val="26"/>
          <w:szCs w:val="26"/>
        </w:rPr>
        <w:t>it can be difficult to include a starting price</w:t>
      </w:r>
      <w:r>
        <w:rPr>
          <w:rFonts w:ascii="Times New Roman" w:hAnsi="Times New Roman"/>
          <w:sz w:val="26"/>
          <w:szCs w:val="26"/>
        </w:rPr>
        <w:t>, as some NGSs</w:t>
      </w:r>
      <w:r w:rsidR="00BE07F6" w:rsidRPr="004C75FF">
        <w:rPr>
          <w:rFonts w:ascii="Times New Roman" w:hAnsi="Times New Roman"/>
          <w:sz w:val="26"/>
          <w:szCs w:val="26"/>
        </w:rPr>
        <w:t xml:space="preserve"> base their variable prices on the actual costs incur</w:t>
      </w:r>
      <w:r>
        <w:rPr>
          <w:rFonts w:ascii="Times New Roman" w:hAnsi="Times New Roman"/>
          <w:sz w:val="26"/>
          <w:szCs w:val="26"/>
        </w:rPr>
        <w:t>red</w:t>
      </w:r>
      <w:r w:rsidR="00BE07F6" w:rsidRPr="004C75FF">
        <w:rPr>
          <w:rFonts w:ascii="Times New Roman" w:hAnsi="Times New Roman"/>
          <w:sz w:val="26"/>
          <w:szCs w:val="26"/>
        </w:rPr>
        <w:t xml:space="preserve"> to purchase n</w:t>
      </w:r>
      <w:r>
        <w:rPr>
          <w:rFonts w:ascii="Times New Roman" w:hAnsi="Times New Roman"/>
          <w:sz w:val="26"/>
          <w:szCs w:val="26"/>
        </w:rPr>
        <w:t xml:space="preserve">atural gas supply in the market.  </w:t>
      </w:r>
      <w:r>
        <w:rPr>
          <w:rFonts w:ascii="Times New Roman" w:hAnsi="Times New Roman"/>
          <w:i/>
          <w:sz w:val="26"/>
          <w:szCs w:val="26"/>
        </w:rPr>
        <w:t>Id.</w:t>
      </w:r>
      <w:r>
        <w:rPr>
          <w:rFonts w:ascii="Times New Roman" w:hAnsi="Times New Roman"/>
          <w:sz w:val="26"/>
          <w:szCs w:val="26"/>
        </w:rPr>
        <w:t xml:space="preserve"> at 4.  Disclosing the starting price</w:t>
      </w:r>
      <w:r w:rsidR="00BE07F6">
        <w:rPr>
          <w:rFonts w:ascii="Times New Roman" w:hAnsi="Times New Roman"/>
          <w:sz w:val="26"/>
          <w:szCs w:val="26"/>
        </w:rPr>
        <w:t xml:space="preserve"> </w:t>
      </w:r>
      <w:r>
        <w:rPr>
          <w:rFonts w:ascii="Times New Roman" w:hAnsi="Times New Roman"/>
          <w:sz w:val="26"/>
          <w:szCs w:val="26"/>
        </w:rPr>
        <w:t>requires those</w:t>
      </w:r>
      <w:r w:rsidR="00BE07F6" w:rsidRPr="004C75FF">
        <w:rPr>
          <w:rFonts w:ascii="Times New Roman" w:hAnsi="Times New Roman"/>
          <w:sz w:val="26"/>
          <w:szCs w:val="26"/>
        </w:rPr>
        <w:t xml:space="preserve"> NGS</w:t>
      </w:r>
      <w:r>
        <w:rPr>
          <w:rFonts w:ascii="Times New Roman" w:hAnsi="Times New Roman"/>
          <w:sz w:val="26"/>
          <w:szCs w:val="26"/>
        </w:rPr>
        <w:t>s</w:t>
      </w:r>
      <w:r w:rsidR="00BE07F6" w:rsidRPr="004C75FF">
        <w:rPr>
          <w:rFonts w:ascii="Times New Roman" w:hAnsi="Times New Roman"/>
          <w:sz w:val="26"/>
          <w:szCs w:val="26"/>
        </w:rPr>
        <w:t xml:space="preserve"> to estimate future costs and assume the risk for at least one billing cycle.</w:t>
      </w:r>
      <w:r w:rsidR="00BE07F6">
        <w:rPr>
          <w:rFonts w:ascii="Times New Roman" w:hAnsi="Times New Roman"/>
          <w:sz w:val="26"/>
          <w:szCs w:val="26"/>
        </w:rPr>
        <w:t xml:space="preserve"> </w:t>
      </w:r>
      <w:r w:rsidR="00BE07F6" w:rsidRPr="004C75FF">
        <w:rPr>
          <w:rFonts w:ascii="Times New Roman" w:hAnsi="Times New Roman"/>
          <w:sz w:val="26"/>
          <w:szCs w:val="26"/>
        </w:rPr>
        <w:t xml:space="preserve"> </w:t>
      </w:r>
      <w:r>
        <w:rPr>
          <w:rFonts w:ascii="Times New Roman" w:hAnsi="Times New Roman"/>
          <w:i/>
          <w:sz w:val="26"/>
          <w:szCs w:val="26"/>
        </w:rPr>
        <w:t xml:space="preserve">See id. </w:t>
      </w:r>
      <w:r>
        <w:rPr>
          <w:rFonts w:ascii="Times New Roman" w:hAnsi="Times New Roman"/>
          <w:sz w:val="26"/>
          <w:szCs w:val="26"/>
        </w:rPr>
        <w:t xml:space="preserve"> </w:t>
      </w:r>
      <w:r w:rsidR="00BE07F6" w:rsidRPr="004C75FF">
        <w:rPr>
          <w:rFonts w:ascii="Times New Roman" w:hAnsi="Times New Roman"/>
          <w:sz w:val="26"/>
          <w:szCs w:val="26"/>
        </w:rPr>
        <w:t xml:space="preserve">In turn, the NGS may need to charge the customer a higher starting price than otherwise </w:t>
      </w:r>
      <w:r w:rsidR="00BC435B">
        <w:rPr>
          <w:rFonts w:ascii="Times New Roman" w:hAnsi="Times New Roman"/>
          <w:sz w:val="26"/>
          <w:szCs w:val="26"/>
        </w:rPr>
        <w:t>necessary</w:t>
      </w:r>
      <w:r w:rsidR="00BE07F6" w:rsidRPr="004C75FF">
        <w:rPr>
          <w:rFonts w:ascii="Times New Roman" w:hAnsi="Times New Roman"/>
          <w:sz w:val="26"/>
          <w:szCs w:val="26"/>
        </w:rPr>
        <w:t xml:space="preserve"> to ensure that this risk is covered.</w:t>
      </w:r>
      <w:r w:rsidR="001C1682">
        <w:rPr>
          <w:rFonts w:ascii="Times New Roman" w:hAnsi="Times New Roman"/>
          <w:sz w:val="26"/>
          <w:szCs w:val="26"/>
        </w:rPr>
        <w:t xml:space="preserve">  </w:t>
      </w:r>
      <w:r w:rsidR="001C1682">
        <w:rPr>
          <w:rFonts w:ascii="Times New Roman" w:hAnsi="Times New Roman"/>
          <w:i/>
          <w:sz w:val="26"/>
          <w:szCs w:val="26"/>
        </w:rPr>
        <w:t>Id.</w:t>
      </w:r>
      <w:r w:rsidR="00BE07F6" w:rsidRPr="004C75FF">
        <w:rPr>
          <w:rFonts w:ascii="Times New Roman" w:hAnsi="Times New Roman"/>
          <w:sz w:val="26"/>
          <w:szCs w:val="26"/>
        </w:rPr>
        <w:t xml:space="preserve"> </w:t>
      </w:r>
      <w:r w:rsidR="00BE07F6">
        <w:rPr>
          <w:rFonts w:ascii="Times New Roman" w:hAnsi="Times New Roman"/>
          <w:sz w:val="26"/>
          <w:szCs w:val="26"/>
        </w:rPr>
        <w:t xml:space="preserve"> </w:t>
      </w:r>
      <w:r>
        <w:rPr>
          <w:rFonts w:ascii="Times New Roman" w:hAnsi="Times New Roman"/>
          <w:sz w:val="26"/>
          <w:szCs w:val="26"/>
        </w:rPr>
        <w:t xml:space="preserve">RESA contends that this could </w:t>
      </w:r>
      <w:r w:rsidR="00BE07F6" w:rsidRPr="004C75FF">
        <w:rPr>
          <w:rFonts w:ascii="Times New Roman" w:hAnsi="Times New Roman"/>
          <w:sz w:val="26"/>
          <w:szCs w:val="26"/>
        </w:rPr>
        <w:t xml:space="preserve">result in </w:t>
      </w:r>
      <w:r w:rsidR="00005E9C">
        <w:rPr>
          <w:rFonts w:ascii="Times New Roman" w:hAnsi="Times New Roman"/>
          <w:sz w:val="26"/>
          <w:szCs w:val="26"/>
        </w:rPr>
        <w:t xml:space="preserve">an </w:t>
      </w:r>
      <w:r w:rsidR="00BE07F6" w:rsidRPr="004C75FF">
        <w:rPr>
          <w:rFonts w:ascii="Times New Roman" w:hAnsi="Times New Roman"/>
          <w:sz w:val="26"/>
          <w:szCs w:val="26"/>
        </w:rPr>
        <w:t xml:space="preserve">NGS making a business decision not to offer a </w:t>
      </w:r>
      <w:r w:rsidR="00BE07F6" w:rsidRPr="004C75FF">
        <w:rPr>
          <w:rFonts w:ascii="Times New Roman" w:eastAsia="Times New Roman" w:hAnsi="Times New Roman"/>
          <w:color w:val="000000"/>
          <w:sz w:val="26"/>
          <w:szCs w:val="26"/>
        </w:rPr>
        <w:t>variable price product or not to offer any products at all</w:t>
      </w:r>
      <w:r w:rsidR="00BE07F6">
        <w:rPr>
          <w:rFonts w:ascii="Times New Roman" w:eastAsia="Times New Roman" w:hAnsi="Times New Roman"/>
          <w:color w:val="000000"/>
          <w:sz w:val="26"/>
          <w:szCs w:val="26"/>
        </w:rPr>
        <w:t>.</w:t>
      </w:r>
      <w:r w:rsidR="00BE07F6" w:rsidRPr="004C75FF">
        <w:rPr>
          <w:rFonts w:ascii="Times New Roman" w:eastAsia="Times New Roman" w:hAnsi="Times New Roman"/>
          <w:color w:val="000000"/>
          <w:sz w:val="26"/>
          <w:szCs w:val="26"/>
        </w:rPr>
        <w:t xml:space="preserve">  </w:t>
      </w:r>
      <w:r>
        <w:rPr>
          <w:rFonts w:ascii="Times New Roman" w:eastAsia="Times New Roman" w:hAnsi="Times New Roman"/>
          <w:i/>
          <w:color w:val="000000"/>
          <w:sz w:val="26"/>
          <w:szCs w:val="26"/>
        </w:rPr>
        <w:t xml:space="preserve">Id. </w:t>
      </w:r>
      <w:r>
        <w:rPr>
          <w:rFonts w:ascii="Times New Roman" w:eastAsia="Times New Roman" w:hAnsi="Times New Roman"/>
          <w:color w:val="000000"/>
          <w:sz w:val="26"/>
          <w:szCs w:val="26"/>
        </w:rPr>
        <w:t>at 4-5</w:t>
      </w:r>
      <w:r w:rsidR="00BE07F6" w:rsidRPr="004C75FF">
        <w:rPr>
          <w:rFonts w:ascii="Times New Roman" w:eastAsia="Times New Roman" w:hAnsi="Times New Roman"/>
          <w:color w:val="000000"/>
          <w:sz w:val="26"/>
          <w:szCs w:val="26"/>
        </w:rPr>
        <w:t>.</w:t>
      </w:r>
      <w:r w:rsidR="00BE07F6">
        <w:rPr>
          <w:rFonts w:ascii="Times New Roman" w:eastAsia="Times New Roman" w:hAnsi="Times New Roman"/>
          <w:color w:val="000000"/>
          <w:sz w:val="26"/>
          <w:szCs w:val="26"/>
        </w:rPr>
        <w:t xml:space="preserve">  </w:t>
      </w:r>
    </w:p>
    <w:p w:rsidR="001C1682" w:rsidRDefault="001C1682" w:rsidP="00BE07F6">
      <w:pPr>
        <w:pStyle w:val="NoSpacing"/>
        <w:spacing w:line="360" w:lineRule="auto"/>
        <w:ind w:firstLine="720"/>
        <w:rPr>
          <w:rFonts w:ascii="Times New Roman" w:eastAsia="Times New Roman" w:hAnsi="Times New Roman"/>
          <w:color w:val="000000"/>
          <w:sz w:val="26"/>
          <w:szCs w:val="26"/>
        </w:rPr>
      </w:pPr>
    </w:p>
    <w:p w:rsidR="00BE07F6" w:rsidRPr="004C75FF" w:rsidRDefault="00BE07F6" w:rsidP="001C1682">
      <w:pPr>
        <w:pStyle w:val="NoSpacing"/>
        <w:spacing w:line="360" w:lineRule="auto"/>
        <w:ind w:firstLine="720"/>
        <w:rPr>
          <w:rFonts w:ascii="Times New Roman" w:hAnsi="Times New Roman"/>
          <w:sz w:val="26"/>
          <w:szCs w:val="26"/>
        </w:rPr>
      </w:pPr>
      <w:r w:rsidRPr="004C75FF">
        <w:rPr>
          <w:rFonts w:ascii="Times New Roman" w:hAnsi="Times New Roman"/>
          <w:sz w:val="26"/>
          <w:szCs w:val="26"/>
        </w:rPr>
        <w:t xml:space="preserve">Rather than mandating that NGSs include a starting price in the disclosure statement, </w:t>
      </w:r>
      <w:r>
        <w:rPr>
          <w:rFonts w:ascii="Times New Roman" w:hAnsi="Times New Roman"/>
          <w:sz w:val="26"/>
          <w:szCs w:val="26"/>
        </w:rPr>
        <w:t xml:space="preserve">RESA believes that </w:t>
      </w:r>
      <w:r w:rsidRPr="004C75FF">
        <w:rPr>
          <w:rFonts w:ascii="Times New Roman" w:hAnsi="Times New Roman"/>
          <w:sz w:val="26"/>
          <w:szCs w:val="26"/>
        </w:rPr>
        <w:t xml:space="preserve">the Commission should require NGSs to either include a starting price or prominently disclose to the customer </w:t>
      </w:r>
      <w:r w:rsidR="001C1682">
        <w:rPr>
          <w:rFonts w:ascii="Times New Roman" w:hAnsi="Times New Roman"/>
          <w:sz w:val="26"/>
          <w:szCs w:val="26"/>
        </w:rPr>
        <w:t>that</w:t>
      </w:r>
      <w:r w:rsidRPr="004C75FF">
        <w:rPr>
          <w:rFonts w:ascii="Times New Roman" w:hAnsi="Times New Roman"/>
          <w:sz w:val="26"/>
          <w:szCs w:val="26"/>
        </w:rPr>
        <w:t xml:space="preserve"> the starting price will </w:t>
      </w:r>
      <w:r w:rsidR="001C1682">
        <w:rPr>
          <w:rFonts w:ascii="Times New Roman" w:hAnsi="Times New Roman"/>
          <w:sz w:val="26"/>
          <w:szCs w:val="26"/>
        </w:rPr>
        <w:t xml:space="preserve">be </w:t>
      </w:r>
      <w:r w:rsidRPr="004C75FF">
        <w:rPr>
          <w:rFonts w:ascii="Times New Roman" w:hAnsi="Times New Roman"/>
          <w:sz w:val="26"/>
          <w:szCs w:val="26"/>
        </w:rPr>
        <w:t>provided</w:t>
      </w:r>
      <w:r w:rsidRPr="004C75FF">
        <w:rPr>
          <w:rFonts w:ascii="Times New Roman" w:hAnsi="Times New Roman"/>
          <w:i/>
          <w:sz w:val="26"/>
          <w:szCs w:val="26"/>
        </w:rPr>
        <w:t xml:space="preserve"> </w:t>
      </w:r>
      <w:r w:rsidRPr="004C75FF">
        <w:rPr>
          <w:rFonts w:ascii="Times New Roman" w:hAnsi="Times New Roman"/>
          <w:sz w:val="26"/>
          <w:szCs w:val="26"/>
        </w:rPr>
        <w:t>when the first bill is received or through th</w:t>
      </w:r>
      <w:r w:rsidR="006D1C8E">
        <w:rPr>
          <w:rFonts w:ascii="Times New Roman" w:hAnsi="Times New Roman"/>
          <w:sz w:val="26"/>
          <w:szCs w:val="26"/>
        </w:rPr>
        <w:t>e</w:t>
      </w:r>
      <w:r w:rsidRPr="004C75FF">
        <w:rPr>
          <w:rFonts w:ascii="Times New Roman" w:hAnsi="Times New Roman"/>
          <w:sz w:val="26"/>
          <w:szCs w:val="26"/>
        </w:rPr>
        <w:t xml:space="preserve"> website</w:t>
      </w:r>
      <w:r w:rsidR="006D1C8E">
        <w:rPr>
          <w:rFonts w:ascii="Times New Roman" w:hAnsi="Times New Roman"/>
          <w:sz w:val="26"/>
          <w:szCs w:val="26"/>
        </w:rPr>
        <w:t xml:space="preserve"> of the NGS</w:t>
      </w:r>
      <w:r w:rsidRPr="004C75FF">
        <w:rPr>
          <w:rFonts w:ascii="Times New Roman" w:hAnsi="Times New Roman"/>
          <w:sz w:val="26"/>
          <w:szCs w:val="26"/>
        </w:rPr>
        <w:t>.</w:t>
      </w:r>
      <w:r w:rsidR="001C1682">
        <w:rPr>
          <w:rFonts w:ascii="Times New Roman" w:hAnsi="Times New Roman"/>
          <w:sz w:val="26"/>
          <w:szCs w:val="26"/>
        </w:rPr>
        <w:t xml:space="preserve">  RESA Comments at 5.</w:t>
      </w:r>
      <w:r w:rsidRPr="004C75FF">
        <w:rPr>
          <w:rFonts w:ascii="Times New Roman" w:hAnsi="Times New Roman"/>
          <w:sz w:val="26"/>
          <w:szCs w:val="26"/>
        </w:rPr>
        <w:t xml:space="preserve"> </w:t>
      </w:r>
      <w:r>
        <w:rPr>
          <w:rFonts w:ascii="Times New Roman" w:hAnsi="Times New Roman"/>
          <w:sz w:val="26"/>
          <w:szCs w:val="26"/>
        </w:rPr>
        <w:t xml:space="preserve"> </w:t>
      </w:r>
      <w:r w:rsidR="001C1682">
        <w:rPr>
          <w:rFonts w:ascii="Times New Roman" w:hAnsi="Times New Roman"/>
          <w:sz w:val="26"/>
          <w:szCs w:val="26"/>
        </w:rPr>
        <w:t xml:space="preserve">RESA believes this would empower the customer to decide whether or </w:t>
      </w:r>
      <w:r w:rsidR="001C1682">
        <w:rPr>
          <w:rFonts w:ascii="Times New Roman" w:hAnsi="Times New Roman"/>
          <w:sz w:val="26"/>
          <w:szCs w:val="26"/>
        </w:rPr>
        <w:lastRenderedPageBreak/>
        <w:t>not to switch to an NGS that does not provide the starting price, thereby</w:t>
      </w:r>
      <w:r w:rsidRPr="004C75FF">
        <w:rPr>
          <w:rFonts w:ascii="Times New Roman" w:hAnsi="Times New Roman"/>
          <w:sz w:val="26"/>
          <w:szCs w:val="26"/>
        </w:rPr>
        <w:t xml:space="preserve"> allowing the market to dictate wh</w:t>
      </w:r>
      <w:r w:rsidR="001C1682">
        <w:rPr>
          <w:rFonts w:ascii="Times New Roman" w:hAnsi="Times New Roman"/>
          <w:sz w:val="26"/>
          <w:szCs w:val="26"/>
        </w:rPr>
        <w:t>en and what</w:t>
      </w:r>
      <w:r w:rsidRPr="004C75FF">
        <w:rPr>
          <w:rFonts w:ascii="Times New Roman" w:hAnsi="Times New Roman"/>
          <w:sz w:val="26"/>
          <w:szCs w:val="26"/>
        </w:rPr>
        <w:t xml:space="preserve"> pricing information is shared. </w:t>
      </w:r>
      <w:r w:rsidR="001C1682">
        <w:rPr>
          <w:rFonts w:ascii="Times New Roman" w:hAnsi="Times New Roman"/>
          <w:sz w:val="26"/>
          <w:szCs w:val="26"/>
        </w:rPr>
        <w:t xml:space="preserve"> </w:t>
      </w:r>
      <w:r w:rsidR="001C1682">
        <w:rPr>
          <w:rFonts w:ascii="Times New Roman" w:hAnsi="Times New Roman"/>
          <w:i/>
          <w:sz w:val="26"/>
          <w:szCs w:val="26"/>
        </w:rPr>
        <w:t>Id</w:t>
      </w:r>
      <w:r w:rsidRPr="004C75FF">
        <w:rPr>
          <w:rFonts w:ascii="Times New Roman" w:hAnsi="Times New Roman"/>
          <w:sz w:val="26"/>
          <w:szCs w:val="26"/>
        </w:rPr>
        <w:t>.</w:t>
      </w:r>
      <w:r>
        <w:rPr>
          <w:rFonts w:ascii="Times New Roman" w:hAnsi="Times New Roman"/>
          <w:sz w:val="26"/>
          <w:szCs w:val="26"/>
        </w:rPr>
        <w:t xml:space="preserve"> </w:t>
      </w:r>
      <w:r w:rsidR="001C1682">
        <w:rPr>
          <w:rFonts w:ascii="Times New Roman" w:hAnsi="Times New Roman"/>
          <w:sz w:val="26"/>
          <w:szCs w:val="26"/>
        </w:rPr>
        <w:t xml:space="preserve"> </w:t>
      </w:r>
      <w:r w:rsidRPr="004C75FF">
        <w:rPr>
          <w:rFonts w:ascii="Times New Roman" w:eastAsia="Times New Roman" w:hAnsi="Times New Roman"/>
          <w:color w:val="000000"/>
          <w:sz w:val="26"/>
          <w:szCs w:val="26"/>
        </w:rPr>
        <w:t xml:space="preserve">Alternatively, if the Commission </w:t>
      </w:r>
      <w:r w:rsidR="001C1682">
        <w:rPr>
          <w:rFonts w:ascii="Times New Roman" w:eastAsia="Times New Roman" w:hAnsi="Times New Roman"/>
          <w:color w:val="000000"/>
          <w:sz w:val="26"/>
          <w:szCs w:val="26"/>
        </w:rPr>
        <w:t>retains the s</w:t>
      </w:r>
      <w:r w:rsidRPr="004C75FF">
        <w:rPr>
          <w:rFonts w:ascii="Times New Roman" w:eastAsia="Times New Roman" w:hAnsi="Times New Roman"/>
          <w:color w:val="000000"/>
          <w:sz w:val="26"/>
          <w:szCs w:val="26"/>
        </w:rPr>
        <w:t xml:space="preserve">tarting price </w:t>
      </w:r>
      <w:r w:rsidR="001C1682">
        <w:rPr>
          <w:rFonts w:ascii="Times New Roman" w:eastAsia="Times New Roman" w:hAnsi="Times New Roman"/>
          <w:color w:val="000000"/>
          <w:sz w:val="26"/>
          <w:szCs w:val="26"/>
        </w:rPr>
        <w:t xml:space="preserve">requirement in </w:t>
      </w:r>
      <w:r w:rsidRPr="004C75FF">
        <w:rPr>
          <w:rFonts w:ascii="Times New Roman" w:eastAsia="Times New Roman" w:hAnsi="Times New Roman"/>
          <w:color w:val="000000"/>
          <w:sz w:val="26"/>
          <w:szCs w:val="26"/>
        </w:rPr>
        <w:t>the disclosure statement for the first full billing month</w:t>
      </w:r>
      <w:r w:rsidR="001C1682">
        <w:rPr>
          <w:rFonts w:ascii="Times New Roman" w:eastAsia="Times New Roman" w:hAnsi="Times New Roman"/>
          <w:color w:val="000000"/>
          <w:sz w:val="26"/>
          <w:szCs w:val="26"/>
        </w:rPr>
        <w:t xml:space="preserve"> per existing Section 62.75(c)(2)(ii)</w:t>
      </w:r>
      <w:r w:rsidRPr="004C75FF">
        <w:rPr>
          <w:rFonts w:ascii="Times New Roman" w:eastAsia="Times New Roman" w:hAnsi="Times New Roman"/>
          <w:color w:val="000000"/>
          <w:sz w:val="26"/>
          <w:szCs w:val="26"/>
        </w:rPr>
        <w:t xml:space="preserve">, </w:t>
      </w:r>
      <w:r w:rsidR="001C1682">
        <w:rPr>
          <w:rFonts w:ascii="Times New Roman" w:eastAsia="Times New Roman" w:hAnsi="Times New Roman"/>
          <w:color w:val="000000"/>
          <w:sz w:val="26"/>
          <w:szCs w:val="26"/>
        </w:rPr>
        <w:t>R</w:t>
      </w:r>
      <w:r w:rsidRPr="004C75FF">
        <w:rPr>
          <w:rFonts w:ascii="Times New Roman" w:eastAsia="Times New Roman" w:hAnsi="Times New Roman"/>
          <w:color w:val="000000"/>
          <w:sz w:val="26"/>
          <w:szCs w:val="26"/>
        </w:rPr>
        <w:t>ESA urges the Commission to permit this mandate to be fulfilled through the use of a formulaic contract price that enables the customer to calculate the bill using the contract, publicly available rates</w:t>
      </w:r>
      <w:r w:rsidR="001C1682">
        <w:rPr>
          <w:rFonts w:ascii="Times New Roman" w:eastAsia="Times New Roman" w:hAnsi="Times New Roman"/>
          <w:color w:val="000000"/>
          <w:sz w:val="26"/>
          <w:szCs w:val="26"/>
        </w:rPr>
        <w:t>,</w:t>
      </w:r>
      <w:r w:rsidRPr="004C75FF">
        <w:rPr>
          <w:rFonts w:ascii="Times New Roman" w:eastAsia="Times New Roman" w:hAnsi="Times New Roman"/>
          <w:color w:val="000000"/>
          <w:sz w:val="26"/>
          <w:szCs w:val="26"/>
        </w:rPr>
        <w:t xml:space="preserve"> or price indices.  </w:t>
      </w:r>
      <w:r w:rsidR="001C1682">
        <w:rPr>
          <w:rFonts w:ascii="Times New Roman" w:eastAsia="Times New Roman" w:hAnsi="Times New Roman"/>
          <w:i/>
          <w:color w:val="000000"/>
          <w:sz w:val="26"/>
          <w:szCs w:val="26"/>
        </w:rPr>
        <w:t xml:space="preserve">Id. </w:t>
      </w:r>
      <w:r w:rsidR="001C1682">
        <w:rPr>
          <w:rFonts w:ascii="Times New Roman" w:eastAsia="Times New Roman" w:hAnsi="Times New Roman"/>
          <w:color w:val="000000"/>
          <w:sz w:val="26"/>
          <w:szCs w:val="26"/>
        </w:rPr>
        <w:t xml:space="preserve">at </w:t>
      </w:r>
      <w:r w:rsidRPr="004C75FF">
        <w:rPr>
          <w:rFonts w:ascii="Times New Roman" w:eastAsia="Times New Roman" w:hAnsi="Times New Roman"/>
          <w:color w:val="000000"/>
          <w:sz w:val="26"/>
          <w:szCs w:val="26"/>
        </w:rPr>
        <w:t>5.</w:t>
      </w:r>
      <w:r>
        <w:rPr>
          <w:rFonts w:ascii="Times New Roman" w:eastAsia="Times New Roman" w:hAnsi="Times New Roman"/>
          <w:color w:val="000000"/>
          <w:sz w:val="26"/>
          <w:szCs w:val="26"/>
        </w:rPr>
        <w:t xml:space="preserve">  </w:t>
      </w:r>
      <w:r w:rsidRPr="004C75FF">
        <w:rPr>
          <w:rFonts w:ascii="Times New Roman" w:eastAsia="Times New Roman" w:hAnsi="Times New Roman"/>
          <w:color w:val="000000"/>
          <w:spacing w:val="1"/>
          <w:sz w:val="26"/>
          <w:szCs w:val="26"/>
        </w:rPr>
        <w:t xml:space="preserve">RESA </w:t>
      </w:r>
      <w:r>
        <w:rPr>
          <w:rFonts w:ascii="Times New Roman" w:eastAsia="Times New Roman" w:hAnsi="Times New Roman"/>
          <w:color w:val="000000"/>
          <w:spacing w:val="1"/>
          <w:sz w:val="26"/>
          <w:szCs w:val="26"/>
        </w:rPr>
        <w:t xml:space="preserve">further </w:t>
      </w:r>
      <w:r w:rsidRPr="004C75FF">
        <w:rPr>
          <w:rFonts w:ascii="Times New Roman" w:eastAsia="Times New Roman" w:hAnsi="Times New Roman"/>
          <w:color w:val="000000"/>
          <w:spacing w:val="1"/>
          <w:sz w:val="26"/>
          <w:szCs w:val="26"/>
        </w:rPr>
        <w:t>stresses</w:t>
      </w:r>
      <w:r>
        <w:rPr>
          <w:rFonts w:ascii="Times New Roman" w:eastAsia="Times New Roman" w:hAnsi="Times New Roman"/>
          <w:color w:val="000000"/>
          <w:spacing w:val="1"/>
          <w:sz w:val="26"/>
          <w:szCs w:val="26"/>
        </w:rPr>
        <w:t xml:space="preserve"> </w:t>
      </w:r>
      <w:r w:rsidR="00BC435B">
        <w:rPr>
          <w:rFonts w:ascii="Times New Roman" w:eastAsia="Times New Roman" w:hAnsi="Times New Roman"/>
          <w:color w:val="000000"/>
          <w:spacing w:val="1"/>
          <w:sz w:val="26"/>
          <w:szCs w:val="26"/>
        </w:rPr>
        <w:t xml:space="preserve">that </w:t>
      </w:r>
      <w:r w:rsidR="00701B66">
        <w:rPr>
          <w:rFonts w:ascii="Times New Roman" w:eastAsia="Times New Roman" w:hAnsi="Times New Roman"/>
          <w:color w:val="000000"/>
          <w:spacing w:val="1"/>
          <w:sz w:val="26"/>
          <w:szCs w:val="26"/>
        </w:rPr>
        <w:t xml:space="preserve">NGSs should be permitted to decide whether ceiling prices are part of their contracts.  </w:t>
      </w:r>
      <w:r w:rsidR="00701B66">
        <w:rPr>
          <w:rFonts w:ascii="Times New Roman" w:eastAsia="Times New Roman" w:hAnsi="Times New Roman"/>
          <w:i/>
          <w:color w:val="000000"/>
          <w:spacing w:val="1"/>
          <w:sz w:val="26"/>
          <w:szCs w:val="26"/>
        </w:rPr>
        <w:t xml:space="preserve">See id. </w:t>
      </w:r>
      <w:r w:rsidR="00701B66">
        <w:rPr>
          <w:rFonts w:ascii="Times New Roman" w:eastAsia="Times New Roman" w:hAnsi="Times New Roman"/>
          <w:color w:val="000000"/>
          <w:spacing w:val="1"/>
          <w:sz w:val="26"/>
          <w:szCs w:val="26"/>
        </w:rPr>
        <w:t>at 2, 6.</w:t>
      </w:r>
    </w:p>
    <w:p w:rsidR="00BE07F6" w:rsidRPr="004C75FF" w:rsidRDefault="00BE07F6" w:rsidP="00BE07F6">
      <w:pPr>
        <w:pStyle w:val="NoSpacing"/>
        <w:spacing w:line="360" w:lineRule="auto"/>
        <w:rPr>
          <w:rFonts w:ascii="Times New Roman" w:hAnsi="Times New Roman"/>
          <w:sz w:val="26"/>
          <w:szCs w:val="26"/>
        </w:rPr>
      </w:pPr>
    </w:p>
    <w:p w:rsidR="00BE07F6" w:rsidRPr="004C75FF" w:rsidRDefault="00BE07F6" w:rsidP="00BE07F6">
      <w:pPr>
        <w:pStyle w:val="NoSpacing"/>
        <w:spacing w:line="360" w:lineRule="auto"/>
        <w:ind w:firstLine="720"/>
        <w:rPr>
          <w:rFonts w:ascii="Times New Roman" w:eastAsia="Times New Roman" w:hAnsi="Times New Roman"/>
          <w:color w:val="000000"/>
          <w:spacing w:val="2"/>
          <w:sz w:val="26"/>
          <w:szCs w:val="26"/>
        </w:rPr>
      </w:pPr>
      <w:r w:rsidRPr="004C75FF">
        <w:rPr>
          <w:rFonts w:ascii="Times New Roman" w:eastAsia="Times New Roman" w:hAnsi="Times New Roman"/>
          <w:color w:val="000000"/>
          <w:sz w:val="26"/>
          <w:szCs w:val="26"/>
        </w:rPr>
        <w:t xml:space="preserve">RESA </w:t>
      </w:r>
      <w:r w:rsidR="00701B66">
        <w:rPr>
          <w:rFonts w:ascii="Times New Roman" w:eastAsia="Times New Roman" w:hAnsi="Times New Roman"/>
          <w:color w:val="000000"/>
          <w:sz w:val="26"/>
          <w:szCs w:val="26"/>
        </w:rPr>
        <w:t xml:space="preserve">explains that advance notice to customers of variable price changes would be very burdensome to NGSs and unhelpful to customers who will not know about price changes until after receiving their bills.  RESA Comments at 6-7.  </w:t>
      </w:r>
      <w:r w:rsidRPr="004C75FF">
        <w:rPr>
          <w:rFonts w:ascii="Times New Roman" w:hAnsi="Times New Roman"/>
          <w:sz w:val="26"/>
          <w:szCs w:val="26"/>
        </w:rPr>
        <w:t xml:space="preserve">RESA strongly opposes the proposal to provide 24-month historical </w:t>
      </w:r>
      <w:r w:rsidR="006D1C8E">
        <w:rPr>
          <w:rFonts w:ascii="Times New Roman" w:hAnsi="Times New Roman"/>
          <w:sz w:val="26"/>
          <w:szCs w:val="26"/>
        </w:rPr>
        <w:t>pricing data</w:t>
      </w:r>
      <w:r w:rsidRPr="004C75FF">
        <w:rPr>
          <w:rFonts w:ascii="Times New Roman" w:hAnsi="Times New Roman"/>
          <w:sz w:val="26"/>
          <w:szCs w:val="26"/>
        </w:rPr>
        <w:t xml:space="preserve">, largely based on the </w:t>
      </w:r>
      <w:r>
        <w:rPr>
          <w:rFonts w:ascii="Times New Roman" w:hAnsi="Times New Roman"/>
          <w:sz w:val="26"/>
          <w:szCs w:val="26"/>
        </w:rPr>
        <w:t xml:space="preserve">proposed </w:t>
      </w:r>
      <w:r w:rsidRPr="004C75FF">
        <w:rPr>
          <w:rFonts w:ascii="Times New Roman" w:hAnsi="Times New Roman"/>
          <w:sz w:val="26"/>
          <w:szCs w:val="26"/>
        </w:rPr>
        <w:t xml:space="preserve">disclaimer language itself, </w:t>
      </w:r>
      <w:r w:rsidR="00701B66">
        <w:rPr>
          <w:rFonts w:ascii="Times New Roman" w:hAnsi="Times New Roman"/>
          <w:sz w:val="26"/>
          <w:szCs w:val="26"/>
        </w:rPr>
        <w:t>“</w:t>
      </w:r>
      <w:r w:rsidRPr="004C75FF">
        <w:rPr>
          <w:rFonts w:ascii="Times New Roman" w:hAnsi="Times New Roman"/>
          <w:sz w:val="26"/>
          <w:szCs w:val="26"/>
        </w:rPr>
        <w:t>which accurately suggests that the data is essentially meaningless.</w:t>
      </w:r>
      <w:r w:rsidR="00701B66">
        <w:rPr>
          <w:rFonts w:ascii="Times New Roman" w:hAnsi="Times New Roman"/>
          <w:sz w:val="26"/>
          <w:szCs w:val="26"/>
        </w:rPr>
        <w:t>”</w:t>
      </w:r>
      <w:r w:rsidRPr="004C75FF">
        <w:rPr>
          <w:rFonts w:ascii="Times New Roman" w:hAnsi="Times New Roman"/>
          <w:sz w:val="26"/>
          <w:szCs w:val="26"/>
        </w:rPr>
        <w:t xml:space="preserve">  </w:t>
      </w:r>
      <w:r w:rsidR="00701B66">
        <w:rPr>
          <w:rFonts w:ascii="Times New Roman" w:hAnsi="Times New Roman"/>
          <w:i/>
          <w:sz w:val="26"/>
          <w:szCs w:val="26"/>
        </w:rPr>
        <w:t>Id.</w:t>
      </w:r>
      <w:r w:rsidRPr="004C75FF">
        <w:rPr>
          <w:rFonts w:ascii="Times New Roman" w:hAnsi="Times New Roman"/>
          <w:sz w:val="26"/>
          <w:szCs w:val="26"/>
        </w:rPr>
        <w:t xml:space="preserve"> at 7.</w:t>
      </w:r>
      <w:r>
        <w:rPr>
          <w:rFonts w:ascii="Times New Roman" w:hAnsi="Times New Roman"/>
          <w:sz w:val="26"/>
          <w:szCs w:val="26"/>
        </w:rPr>
        <w:t xml:space="preserve">  </w:t>
      </w:r>
      <w:r w:rsidR="00701B66">
        <w:rPr>
          <w:rFonts w:ascii="Times New Roman" w:hAnsi="Times New Roman"/>
          <w:sz w:val="26"/>
          <w:szCs w:val="26"/>
        </w:rPr>
        <w:t>RESA contends that p</w:t>
      </w:r>
      <w:r w:rsidRPr="004C75FF">
        <w:rPr>
          <w:rFonts w:ascii="Times New Roman" w:eastAsia="Times New Roman" w:hAnsi="Times New Roman"/>
          <w:color w:val="000000"/>
          <w:sz w:val="26"/>
          <w:szCs w:val="26"/>
        </w:rPr>
        <w:t xml:space="preserve">roviding </w:t>
      </w:r>
      <w:r w:rsidR="00701B66">
        <w:rPr>
          <w:rFonts w:ascii="Times New Roman" w:eastAsia="Times New Roman" w:hAnsi="Times New Roman"/>
          <w:color w:val="000000"/>
          <w:sz w:val="26"/>
          <w:szCs w:val="26"/>
        </w:rPr>
        <w:t xml:space="preserve">such </w:t>
      </w:r>
      <w:r w:rsidRPr="004C75FF">
        <w:rPr>
          <w:rFonts w:ascii="Times New Roman" w:eastAsia="Times New Roman" w:hAnsi="Times New Roman"/>
          <w:color w:val="000000"/>
          <w:sz w:val="26"/>
          <w:szCs w:val="26"/>
        </w:rPr>
        <w:t>historical data w</w:t>
      </w:r>
      <w:r w:rsidR="00701B66">
        <w:rPr>
          <w:rFonts w:ascii="Times New Roman" w:eastAsia="Times New Roman" w:hAnsi="Times New Roman"/>
          <w:color w:val="000000"/>
          <w:sz w:val="26"/>
          <w:szCs w:val="26"/>
        </w:rPr>
        <w:t xml:space="preserve">ill more likely confuse and frustrate customers than effectively educate </w:t>
      </w:r>
      <w:r w:rsidRPr="004C75FF">
        <w:rPr>
          <w:rFonts w:ascii="Times New Roman" w:eastAsia="Times New Roman" w:hAnsi="Times New Roman"/>
          <w:color w:val="000000"/>
          <w:sz w:val="26"/>
          <w:szCs w:val="26"/>
        </w:rPr>
        <w:t>customers.</w:t>
      </w:r>
      <w:r w:rsidR="00877B60">
        <w:rPr>
          <w:rFonts w:ascii="Times New Roman" w:eastAsia="Times New Roman" w:hAnsi="Times New Roman"/>
          <w:color w:val="000000"/>
          <w:sz w:val="26"/>
          <w:szCs w:val="26"/>
        </w:rPr>
        <w:t xml:space="preserve"> </w:t>
      </w:r>
      <w:r w:rsidRPr="004C75FF">
        <w:rPr>
          <w:rFonts w:ascii="Times New Roman" w:eastAsia="Times New Roman" w:hAnsi="Times New Roman"/>
          <w:color w:val="000000"/>
          <w:sz w:val="26"/>
          <w:szCs w:val="26"/>
        </w:rPr>
        <w:t xml:space="preserve"> </w:t>
      </w:r>
      <w:r w:rsidR="00701B66">
        <w:rPr>
          <w:rFonts w:ascii="Times New Roman" w:eastAsia="Times New Roman" w:hAnsi="Times New Roman"/>
          <w:i/>
          <w:color w:val="000000"/>
          <w:sz w:val="26"/>
          <w:szCs w:val="26"/>
        </w:rPr>
        <w:t xml:space="preserve">Id. </w:t>
      </w:r>
      <w:r w:rsidR="00701B66">
        <w:rPr>
          <w:rFonts w:ascii="Times New Roman" w:eastAsia="Times New Roman" w:hAnsi="Times New Roman"/>
          <w:color w:val="000000"/>
          <w:sz w:val="26"/>
          <w:szCs w:val="26"/>
        </w:rPr>
        <w:t>at</w:t>
      </w:r>
      <w:r w:rsidRPr="004C75FF">
        <w:rPr>
          <w:rFonts w:ascii="Times New Roman" w:eastAsia="Times New Roman" w:hAnsi="Times New Roman"/>
          <w:color w:val="000000"/>
          <w:sz w:val="26"/>
          <w:szCs w:val="26"/>
        </w:rPr>
        <w:t xml:space="preserve"> 7</w:t>
      </w:r>
      <w:r w:rsidR="00701B66">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w:t>
      </w:r>
      <w:r w:rsidRPr="004C75FF">
        <w:rPr>
          <w:rFonts w:ascii="Times New Roman" w:eastAsia="Times New Roman" w:hAnsi="Times New Roman"/>
          <w:color w:val="000000"/>
          <w:spacing w:val="2"/>
          <w:sz w:val="26"/>
          <w:szCs w:val="26"/>
        </w:rPr>
        <w:t xml:space="preserve">RESA </w:t>
      </w:r>
      <w:r w:rsidR="00701B66">
        <w:rPr>
          <w:rFonts w:ascii="Times New Roman" w:eastAsia="Times New Roman" w:hAnsi="Times New Roman"/>
          <w:color w:val="000000"/>
          <w:spacing w:val="2"/>
          <w:sz w:val="26"/>
          <w:szCs w:val="26"/>
        </w:rPr>
        <w:t xml:space="preserve">suggests instead that </w:t>
      </w:r>
      <w:r w:rsidRPr="004C75FF">
        <w:rPr>
          <w:rFonts w:ascii="Times New Roman" w:eastAsia="Times New Roman" w:hAnsi="Times New Roman"/>
          <w:color w:val="000000"/>
          <w:spacing w:val="2"/>
          <w:sz w:val="26"/>
          <w:szCs w:val="26"/>
        </w:rPr>
        <w:t xml:space="preserve">the Commission </w:t>
      </w:r>
      <w:r>
        <w:rPr>
          <w:rFonts w:ascii="Times New Roman" w:eastAsia="Times New Roman" w:hAnsi="Times New Roman"/>
          <w:color w:val="000000"/>
          <w:spacing w:val="2"/>
          <w:sz w:val="26"/>
          <w:szCs w:val="26"/>
        </w:rPr>
        <w:t xml:space="preserve">could </w:t>
      </w:r>
      <w:r w:rsidRPr="004C75FF">
        <w:rPr>
          <w:rFonts w:ascii="Times New Roman" w:eastAsia="Times New Roman" w:hAnsi="Times New Roman"/>
          <w:color w:val="000000"/>
          <w:spacing w:val="2"/>
          <w:sz w:val="26"/>
          <w:szCs w:val="26"/>
        </w:rPr>
        <w:t>require</w:t>
      </w:r>
      <w:r>
        <w:rPr>
          <w:rFonts w:ascii="Times New Roman" w:eastAsia="Times New Roman" w:hAnsi="Times New Roman"/>
          <w:color w:val="000000"/>
          <w:spacing w:val="2"/>
          <w:sz w:val="26"/>
          <w:szCs w:val="26"/>
        </w:rPr>
        <w:t xml:space="preserve"> an NGS </w:t>
      </w:r>
      <w:r w:rsidRPr="004C75FF">
        <w:rPr>
          <w:rFonts w:ascii="Times New Roman" w:eastAsia="Times New Roman" w:hAnsi="Times New Roman"/>
          <w:color w:val="000000"/>
          <w:spacing w:val="2"/>
          <w:sz w:val="26"/>
          <w:szCs w:val="26"/>
        </w:rPr>
        <w:t xml:space="preserve">to share historical information only in the event that </w:t>
      </w:r>
      <w:r w:rsidR="00C94911">
        <w:rPr>
          <w:rFonts w:ascii="Times New Roman" w:eastAsia="Times New Roman" w:hAnsi="Times New Roman"/>
          <w:color w:val="000000"/>
          <w:spacing w:val="2"/>
          <w:sz w:val="26"/>
          <w:szCs w:val="26"/>
        </w:rPr>
        <w:t xml:space="preserve">a </w:t>
      </w:r>
      <w:r w:rsidRPr="004C75FF">
        <w:rPr>
          <w:rFonts w:ascii="Times New Roman" w:eastAsia="Times New Roman" w:hAnsi="Times New Roman"/>
          <w:color w:val="000000"/>
          <w:spacing w:val="2"/>
          <w:sz w:val="26"/>
          <w:szCs w:val="26"/>
        </w:rPr>
        <w:t xml:space="preserve">customer requests </w:t>
      </w:r>
      <w:r w:rsidR="00C94911">
        <w:rPr>
          <w:rFonts w:ascii="Times New Roman" w:eastAsia="Times New Roman" w:hAnsi="Times New Roman"/>
          <w:color w:val="000000"/>
          <w:spacing w:val="2"/>
          <w:sz w:val="26"/>
          <w:szCs w:val="26"/>
        </w:rPr>
        <w:t>that kind of historical</w:t>
      </w:r>
      <w:r w:rsidRPr="004C75FF">
        <w:rPr>
          <w:rFonts w:ascii="Times New Roman" w:eastAsia="Times New Roman" w:hAnsi="Times New Roman"/>
          <w:color w:val="000000"/>
          <w:spacing w:val="2"/>
          <w:sz w:val="26"/>
          <w:szCs w:val="26"/>
        </w:rPr>
        <w:t xml:space="preserve"> data. </w:t>
      </w:r>
      <w:r w:rsidR="00C94911">
        <w:rPr>
          <w:rFonts w:ascii="Times New Roman" w:eastAsia="Times New Roman" w:hAnsi="Times New Roman"/>
          <w:color w:val="000000"/>
          <w:spacing w:val="2"/>
          <w:sz w:val="26"/>
          <w:szCs w:val="26"/>
        </w:rPr>
        <w:t xml:space="preserve"> </w:t>
      </w:r>
      <w:r w:rsidR="00C94911">
        <w:rPr>
          <w:rFonts w:ascii="Times New Roman" w:eastAsia="Times New Roman" w:hAnsi="Times New Roman"/>
          <w:i/>
          <w:color w:val="000000"/>
          <w:spacing w:val="2"/>
          <w:sz w:val="26"/>
          <w:szCs w:val="26"/>
        </w:rPr>
        <w:t xml:space="preserve">Id. </w:t>
      </w:r>
      <w:r w:rsidR="00C94911">
        <w:rPr>
          <w:rFonts w:ascii="Times New Roman" w:eastAsia="Times New Roman" w:hAnsi="Times New Roman"/>
          <w:color w:val="000000"/>
          <w:spacing w:val="2"/>
          <w:sz w:val="26"/>
          <w:szCs w:val="26"/>
        </w:rPr>
        <w:t xml:space="preserve">at 8.  RESA also urges a less stringent requirement wherein </w:t>
      </w:r>
      <w:r w:rsidRPr="004C75FF">
        <w:rPr>
          <w:rFonts w:ascii="Times New Roman" w:eastAsia="Times New Roman" w:hAnsi="Times New Roman"/>
          <w:color w:val="000000"/>
          <w:spacing w:val="2"/>
          <w:sz w:val="26"/>
          <w:szCs w:val="26"/>
        </w:rPr>
        <w:t xml:space="preserve">NGSs </w:t>
      </w:r>
      <w:r w:rsidR="00C94911">
        <w:rPr>
          <w:rFonts w:ascii="Times New Roman" w:eastAsia="Times New Roman" w:hAnsi="Times New Roman"/>
          <w:color w:val="000000"/>
          <w:spacing w:val="2"/>
          <w:sz w:val="26"/>
          <w:szCs w:val="26"/>
        </w:rPr>
        <w:t xml:space="preserve">would </w:t>
      </w:r>
      <w:r w:rsidRPr="004C75FF">
        <w:rPr>
          <w:rFonts w:ascii="Times New Roman" w:eastAsia="Times New Roman" w:hAnsi="Times New Roman"/>
          <w:color w:val="000000"/>
          <w:spacing w:val="2"/>
          <w:sz w:val="26"/>
          <w:szCs w:val="26"/>
        </w:rPr>
        <w:t xml:space="preserve">only need to disclose general historical trends, such as a range of percentages by which prices have changed over the prior two years. </w:t>
      </w:r>
      <w:r w:rsidR="00C94911">
        <w:rPr>
          <w:rFonts w:ascii="Times New Roman" w:eastAsia="Times New Roman" w:hAnsi="Times New Roman"/>
          <w:color w:val="000000"/>
          <w:spacing w:val="2"/>
          <w:sz w:val="26"/>
          <w:szCs w:val="26"/>
        </w:rPr>
        <w:t xml:space="preserve"> </w:t>
      </w:r>
      <w:r w:rsidR="00C94911">
        <w:rPr>
          <w:rFonts w:ascii="Times New Roman" w:eastAsia="Times New Roman" w:hAnsi="Times New Roman"/>
          <w:i/>
          <w:color w:val="000000"/>
          <w:spacing w:val="2"/>
          <w:sz w:val="26"/>
          <w:szCs w:val="26"/>
        </w:rPr>
        <w:t>Id.</w:t>
      </w:r>
      <w:r w:rsidRPr="004C75FF">
        <w:rPr>
          <w:rFonts w:ascii="Times New Roman" w:eastAsia="Times New Roman" w:hAnsi="Times New Roman"/>
          <w:color w:val="000000"/>
          <w:spacing w:val="2"/>
          <w:sz w:val="26"/>
          <w:szCs w:val="26"/>
        </w:rPr>
        <w:t xml:space="preserve"> </w:t>
      </w:r>
      <w:r w:rsidRPr="004C75FF">
        <w:rPr>
          <w:rFonts w:ascii="Times New Roman" w:eastAsia="Times New Roman" w:hAnsi="Times New Roman"/>
          <w:color w:val="000000"/>
          <w:sz w:val="26"/>
          <w:szCs w:val="26"/>
        </w:rPr>
        <w:t xml:space="preserve">Moreover, if the Commission maintains the historical data requirement in the final regulations, </w:t>
      </w:r>
      <w:r w:rsidR="00C94911">
        <w:rPr>
          <w:rFonts w:ascii="Times New Roman" w:eastAsia="Times New Roman" w:hAnsi="Times New Roman"/>
          <w:color w:val="000000"/>
          <w:sz w:val="26"/>
          <w:szCs w:val="26"/>
        </w:rPr>
        <w:t>RESA asks for an express exemption as to the provision of this historical information for</w:t>
      </w:r>
      <w:r w:rsidRPr="004C75FF">
        <w:rPr>
          <w:rFonts w:ascii="Times New Roman" w:eastAsia="Times New Roman" w:hAnsi="Times New Roman"/>
          <w:color w:val="000000"/>
          <w:sz w:val="26"/>
          <w:szCs w:val="26"/>
        </w:rPr>
        <w:t xml:space="preserve"> </w:t>
      </w:r>
      <w:r w:rsidR="00C94911">
        <w:rPr>
          <w:rFonts w:ascii="Times New Roman" w:eastAsia="Times New Roman" w:hAnsi="Times New Roman"/>
          <w:color w:val="000000"/>
          <w:sz w:val="26"/>
          <w:szCs w:val="26"/>
        </w:rPr>
        <w:t xml:space="preserve">an </w:t>
      </w:r>
      <w:r w:rsidRPr="004C75FF">
        <w:rPr>
          <w:rFonts w:ascii="Times New Roman" w:eastAsia="Times New Roman" w:hAnsi="Times New Roman"/>
          <w:color w:val="000000"/>
          <w:sz w:val="26"/>
          <w:szCs w:val="26"/>
        </w:rPr>
        <w:t>NGS</w:t>
      </w:r>
      <w:r w:rsidR="00C94911">
        <w:rPr>
          <w:rFonts w:ascii="Times New Roman" w:eastAsia="Times New Roman" w:hAnsi="Times New Roman"/>
          <w:color w:val="000000"/>
          <w:sz w:val="26"/>
          <w:szCs w:val="26"/>
        </w:rPr>
        <w:t xml:space="preserve"> </w:t>
      </w:r>
      <w:r w:rsidRPr="004C75FF">
        <w:rPr>
          <w:rFonts w:ascii="Times New Roman" w:eastAsia="Times New Roman" w:hAnsi="Times New Roman"/>
          <w:color w:val="000000"/>
          <w:sz w:val="26"/>
          <w:szCs w:val="26"/>
        </w:rPr>
        <w:t xml:space="preserve">product </w:t>
      </w:r>
      <w:r w:rsidR="00C94911">
        <w:rPr>
          <w:rFonts w:ascii="Times New Roman" w:eastAsia="Times New Roman" w:hAnsi="Times New Roman"/>
          <w:color w:val="000000"/>
          <w:sz w:val="26"/>
          <w:szCs w:val="26"/>
        </w:rPr>
        <w:t xml:space="preserve">that </w:t>
      </w:r>
      <w:r w:rsidRPr="004C75FF">
        <w:rPr>
          <w:rFonts w:ascii="Times New Roman" w:eastAsia="Times New Roman" w:hAnsi="Times New Roman"/>
          <w:color w:val="000000"/>
          <w:sz w:val="26"/>
          <w:szCs w:val="26"/>
        </w:rPr>
        <w:t xml:space="preserve">is based on a pre-defined pricing formula or </w:t>
      </w:r>
      <w:r w:rsidR="006D1C8E">
        <w:rPr>
          <w:rFonts w:ascii="Times New Roman" w:eastAsia="Times New Roman" w:hAnsi="Times New Roman"/>
          <w:color w:val="000000"/>
          <w:sz w:val="26"/>
          <w:szCs w:val="26"/>
        </w:rPr>
        <w:t xml:space="preserve">on </w:t>
      </w:r>
      <w:r w:rsidRPr="004C75FF">
        <w:rPr>
          <w:rFonts w:ascii="Times New Roman" w:eastAsia="Times New Roman" w:hAnsi="Times New Roman"/>
          <w:color w:val="000000"/>
          <w:sz w:val="26"/>
          <w:szCs w:val="26"/>
        </w:rPr>
        <w:t xml:space="preserve">publicly available market indices.  </w:t>
      </w:r>
      <w:r w:rsidR="00C94911">
        <w:rPr>
          <w:rFonts w:ascii="Times New Roman" w:eastAsia="Times New Roman" w:hAnsi="Times New Roman"/>
          <w:i/>
          <w:color w:val="000000"/>
          <w:sz w:val="26"/>
          <w:szCs w:val="26"/>
        </w:rPr>
        <w:t xml:space="preserve">Id. </w:t>
      </w:r>
      <w:r w:rsidR="00C94911">
        <w:rPr>
          <w:rFonts w:ascii="Times New Roman" w:eastAsia="Times New Roman" w:hAnsi="Times New Roman"/>
          <w:color w:val="000000"/>
          <w:sz w:val="26"/>
          <w:szCs w:val="26"/>
        </w:rPr>
        <w:t>at 8</w:t>
      </w:r>
      <w:r w:rsidRPr="004C75FF">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w:t>
      </w:r>
      <w:r w:rsidR="00BF11BE">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RESA notes that </w:t>
      </w:r>
      <w:r w:rsidR="00C94911">
        <w:rPr>
          <w:rFonts w:ascii="Times New Roman" w:eastAsia="Times New Roman" w:hAnsi="Times New Roman"/>
          <w:color w:val="000000"/>
          <w:sz w:val="26"/>
          <w:szCs w:val="26"/>
        </w:rPr>
        <w:t xml:space="preserve">new </w:t>
      </w:r>
      <w:r w:rsidRPr="004C75FF">
        <w:rPr>
          <w:rFonts w:ascii="Times New Roman" w:eastAsia="Times New Roman" w:hAnsi="Times New Roman"/>
          <w:color w:val="000000"/>
          <w:spacing w:val="1"/>
          <w:sz w:val="26"/>
          <w:szCs w:val="26"/>
        </w:rPr>
        <w:t xml:space="preserve">NGSs </w:t>
      </w:r>
      <w:r w:rsidR="00C94911">
        <w:rPr>
          <w:rFonts w:ascii="Times New Roman" w:eastAsia="Times New Roman" w:hAnsi="Times New Roman"/>
          <w:color w:val="000000"/>
          <w:spacing w:val="1"/>
          <w:sz w:val="26"/>
          <w:szCs w:val="26"/>
        </w:rPr>
        <w:t xml:space="preserve">and </w:t>
      </w:r>
      <w:r w:rsidR="00993527">
        <w:rPr>
          <w:rFonts w:ascii="Times New Roman" w:eastAsia="Times New Roman" w:hAnsi="Times New Roman"/>
          <w:color w:val="000000"/>
          <w:spacing w:val="1"/>
          <w:sz w:val="26"/>
          <w:szCs w:val="26"/>
        </w:rPr>
        <w:t>those</w:t>
      </w:r>
      <w:r w:rsidR="00C94911">
        <w:rPr>
          <w:rFonts w:ascii="Times New Roman" w:eastAsia="Times New Roman" w:hAnsi="Times New Roman"/>
          <w:color w:val="000000"/>
          <w:spacing w:val="1"/>
          <w:sz w:val="26"/>
          <w:szCs w:val="26"/>
        </w:rPr>
        <w:t xml:space="preserve"> with new variable priced products </w:t>
      </w:r>
      <w:r w:rsidRPr="004C75FF">
        <w:rPr>
          <w:rFonts w:ascii="Times New Roman" w:eastAsia="Times New Roman" w:hAnsi="Times New Roman"/>
          <w:color w:val="000000"/>
          <w:spacing w:val="1"/>
          <w:sz w:val="26"/>
          <w:szCs w:val="26"/>
        </w:rPr>
        <w:t xml:space="preserve">would not </w:t>
      </w:r>
      <w:r w:rsidR="00C94911">
        <w:rPr>
          <w:rFonts w:ascii="Times New Roman" w:eastAsia="Times New Roman" w:hAnsi="Times New Roman"/>
          <w:color w:val="000000"/>
          <w:spacing w:val="1"/>
          <w:sz w:val="26"/>
          <w:szCs w:val="26"/>
        </w:rPr>
        <w:t>be able to provide t</w:t>
      </w:r>
      <w:r w:rsidRPr="004C75FF">
        <w:rPr>
          <w:rFonts w:ascii="Times New Roman" w:eastAsia="Times New Roman" w:hAnsi="Times New Roman"/>
          <w:color w:val="000000"/>
          <w:spacing w:val="1"/>
          <w:sz w:val="26"/>
          <w:szCs w:val="26"/>
        </w:rPr>
        <w:t>his historical data</w:t>
      </w:r>
      <w:r w:rsidR="00C94911">
        <w:rPr>
          <w:rFonts w:ascii="Times New Roman" w:eastAsia="Times New Roman" w:hAnsi="Times New Roman"/>
          <w:color w:val="000000"/>
          <w:spacing w:val="1"/>
          <w:sz w:val="26"/>
          <w:szCs w:val="26"/>
        </w:rPr>
        <w:t xml:space="preserve">, thereby </w:t>
      </w:r>
      <w:r w:rsidRPr="004C75FF">
        <w:rPr>
          <w:rFonts w:ascii="Times New Roman" w:eastAsia="Times New Roman" w:hAnsi="Times New Roman"/>
          <w:color w:val="000000"/>
          <w:spacing w:val="1"/>
          <w:sz w:val="26"/>
          <w:szCs w:val="26"/>
        </w:rPr>
        <w:t xml:space="preserve">placing them on uneven footing with </w:t>
      </w:r>
      <w:r w:rsidR="00C94911">
        <w:rPr>
          <w:rFonts w:ascii="Times New Roman" w:eastAsia="Times New Roman" w:hAnsi="Times New Roman"/>
          <w:color w:val="000000"/>
          <w:spacing w:val="1"/>
          <w:sz w:val="26"/>
          <w:szCs w:val="26"/>
        </w:rPr>
        <w:t xml:space="preserve">incumbent </w:t>
      </w:r>
      <w:r w:rsidRPr="004C75FF">
        <w:rPr>
          <w:rFonts w:ascii="Times New Roman" w:eastAsia="Times New Roman" w:hAnsi="Times New Roman"/>
          <w:color w:val="000000"/>
          <w:spacing w:val="1"/>
          <w:sz w:val="26"/>
          <w:szCs w:val="26"/>
        </w:rPr>
        <w:t>NGSs</w:t>
      </w:r>
      <w:r w:rsidR="00C94911">
        <w:rPr>
          <w:rFonts w:ascii="Times New Roman" w:eastAsia="Times New Roman" w:hAnsi="Times New Roman"/>
          <w:color w:val="000000"/>
          <w:spacing w:val="1"/>
          <w:sz w:val="26"/>
          <w:szCs w:val="26"/>
        </w:rPr>
        <w:t xml:space="preserve">.  </w:t>
      </w:r>
      <w:r w:rsidR="00C94911">
        <w:rPr>
          <w:rFonts w:ascii="Times New Roman" w:eastAsia="Times New Roman" w:hAnsi="Times New Roman"/>
          <w:i/>
          <w:color w:val="000000"/>
          <w:spacing w:val="1"/>
          <w:sz w:val="26"/>
          <w:szCs w:val="26"/>
        </w:rPr>
        <w:t>Id.</w:t>
      </w:r>
      <w:r w:rsidR="00C94911">
        <w:rPr>
          <w:rFonts w:ascii="Times New Roman" w:eastAsia="Times New Roman" w:hAnsi="Times New Roman"/>
          <w:color w:val="000000"/>
          <w:spacing w:val="1"/>
          <w:sz w:val="26"/>
          <w:szCs w:val="26"/>
        </w:rPr>
        <w:t xml:space="preserve"> at 9</w:t>
      </w:r>
      <w:r w:rsidRPr="004C75FF">
        <w:rPr>
          <w:rFonts w:ascii="Times New Roman" w:eastAsia="Times New Roman" w:hAnsi="Times New Roman"/>
          <w:color w:val="000000"/>
          <w:spacing w:val="1"/>
          <w:sz w:val="26"/>
          <w:szCs w:val="26"/>
        </w:rPr>
        <w:t>.</w:t>
      </w:r>
    </w:p>
    <w:p w:rsidR="00BE07F6" w:rsidRPr="004C75FF" w:rsidRDefault="00BE07F6" w:rsidP="00BE07F6">
      <w:pPr>
        <w:pStyle w:val="NoSpacing"/>
        <w:spacing w:line="360" w:lineRule="auto"/>
        <w:rPr>
          <w:rFonts w:ascii="Times New Roman" w:eastAsia="Times New Roman" w:hAnsi="Times New Roman"/>
          <w:color w:val="000000"/>
          <w:sz w:val="26"/>
          <w:szCs w:val="26"/>
        </w:rPr>
      </w:pPr>
    </w:p>
    <w:p w:rsidR="00BE07F6" w:rsidRDefault="00BE07F6" w:rsidP="00BE07F6">
      <w:pPr>
        <w:pStyle w:val="NoSpacing"/>
        <w:spacing w:line="360" w:lineRule="auto"/>
        <w:ind w:firstLine="720"/>
        <w:rPr>
          <w:rFonts w:ascii="Times New Roman" w:hAnsi="Times New Roman"/>
          <w:sz w:val="26"/>
          <w:szCs w:val="26"/>
        </w:rPr>
      </w:pPr>
      <w:r w:rsidRPr="004C75FF">
        <w:rPr>
          <w:rFonts w:ascii="Times New Roman" w:hAnsi="Times New Roman"/>
          <w:sz w:val="26"/>
          <w:szCs w:val="26"/>
        </w:rPr>
        <w:lastRenderedPageBreak/>
        <w:t xml:space="preserve">RESA </w:t>
      </w:r>
      <w:r w:rsidR="005729E3">
        <w:rPr>
          <w:rFonts w:ascii="Times New Roman" w:hAnsi="Times New Roman"/>
          <w:sz w:val="26"/>
          <w:szCs w:val="26"/>
        </w:rPr>
        <w:t xml:space="preserve">also believes that NGSs should not be required to include a </w:t>
      </w:r>
      <w:r w:rsidRPr="004C75FF">
        <w:rPr>
          <w:rFonts w:ascii="Times New Roman" w:hAnsi="Times New Roman"/>
          <w:sz w:val="26"/>
          <w:szCs w:val="26"/>
        </w:rPr>
        <w:t xml:space="preserve">specific </w:t>
      </w:r>
      <w:r w:rsidR="005729E3">
        <w:rPr>
          <w:rFonts w:ascii="Times New Roman" w:hAnsi="Times New Roman"/>
          <w:sz w:val="26"/>
          <w:szCs w:val="26"/>
        </w:rPr>
        <w:t xml:space="preserve">prescribed pricing </w:t>
      </w:r>
      <w:r w:rsidRPr="004C75FF">
        <w:rPr>
          <w:rFonts w:ascii="Times New Roman" w:hAnsi="Times New Roman"/>
          <w:sz w:val="26"/>
          <w:szCs w:val="26"/>
        </w:rPr>
        <w:t>methodology</w:t>
      </w:r>
      <w:r w:rsidR="005729E3">
        <w:rPr>
          <w:rFonts w:ascii="Times New Roman" w:hAnsi="Times New Roman"/>
          <w:sz w:val="26"/>
          <w:szCs w:val="26"/>
        </w:rPr>
        <w:t xml:space="preserve"> in the disclosure statement, finding that setting forth general conditions of variability is sufficient and consistent with the rules in the electric industry</w:t>
      </w:r>
      <w:r w:rsidRPr="004C75FF">
        <w:rPr>
          <w:rFonts w:ascii="Times New Roman" w:hAnsi="Times New Roman"/>
          <w:sz w:val="26"/>
          <w:szCs w:val="26"/>
        </w:rPr>
        <w:t>.</w:t>
      </w:r>
      <w:r w:rsidR="005729E3">
        <w:rPr>
          <w:rFonts w:ascii="Times New Roman" w:hAnsi="Times New Roman"/>
          <w:sz w:val="26"/>
          <w:szCs w:val="26"/>
        </w:rPr>
        <w:t xml:space="preserve">  RESA Comments at 2, 9-10.</w:t>
      </w:r>
      <w:r w:rsidRPr="004C75FF">
        <w:rPr>
          <w:rFonts w:ascii="Times New Roman" w:hAnsi="Times New Roman"/>
          <w:sz w:val="26"/>
          <w:szCs w:val="26"/>
        </w:rPr>
        <w:t xml:space="preserve"> </w:t>
      </w:r>
    </w:p>
    <w:p w:rsidR="005729E3" w:rsidRDefault="005729E3" w:rsidP="00BE07F6">
      <w:pPr>
        <w:pStyle w:val="NoSpacing"/>
        <w:spacing w:line="360" w:lineRule="auto"/>
        <w:ind w:firstLine="720"/>
        <w:rPr>
          <w:rFonts w:ascii="Times New Roman" w:hAnsi="Times New Roman"/>
          <w:sz w:val="26"/>
          <w:szCs w:val="26"/>
        </w:rPr>
      </w:pPr>
    </w:p>
    <w:p w:rsidR="00BE07F6" w:rsidRDefault="005729E3" w:rsidP="00BE07F6">
      <w:pPr>
        <w:pStyle w:val="NoSpacing"/>
        <w:spacing w:line="360" w:lineRule="auto"/>
        <w:ind w:firstLine="720"/>
        <w:rPr>
          <w:rFonts w:ascii="Times New Roman" w:eastAsia="Times New Roman" w:hAnsi="Times New Roman"/>
          <w:color w:val="000000"/>
          <w:spacing w:val="1"/>
          <w:sz w:val="26"/>
          <w:szCs w:val="26"/>
        </w:rPr>
      </w:pPr>
      <w:r>
        <w:rPr>
          <w:rFonts w:ascii="Times New Roman" w:hAnsi="Times New Roman"/>
          <w:sz w:val="26"/>
          <w:szCs w:val="26"/>
        </w:rPr>
        <w:t xml:space="preserve">In a similar vein </w:t>
      </w:r>
      <w:r w:rsidR="006D1C8E">
        <w:rPr>
          <w:rFonts w:ascii="Times New Roman" w:hAnsi="Times New Roman"/>
          <w:sz w:val="26"/>
          <w:szCs w:val="26"/>
        </w:rPr>
        <w:t>to</w:t>
      </w:r>
      <w:r>
        <w:rPr>
          <w:rFonts w:ascii="Times New Roman" w:hAnsi="Times New Roman"/>
          <w:sz w:val="26"/>
          <w:szCs w:val="26"/>
        </w:rPr>
        <w:t xml:space="preserve"> RESA, the National Marketers express</w:t>
      </w:r>
      <w:r w:rsidR="00BE07F6" w:rsidRPr="004C75FF">
        <w:rPr>
          <w:rFonts w:ascii="Times New Roman" w:hAnsi="Times New Roman"/>
          <w:sz w:val="26"/>
          <w:szCs w:val="26"/>
        </w:rPr>
        <w:t xml:space="preserve"> concern</w:t>
      </w:r>
      <w:r>
        <w:rPr>
          <w:rFonts w:ascii="Times New Roman" w:hAnsi="Times New Roman"/>
          <w:sz w:val="26"/>
          <w:szCs w:val="26"/>
        </w:rPr>
        <w:t xml:space="preserve"> </w:t>
      </w:r>
      <w:r w:rsidR="00BE07F6" w:rsidRPr="004C75FF">
        <w:rPr>
          <w:rFonts w:ascii="Times New Roman" w:hAnsi="Times New Roman"/>
          <w:sz w:val="26"/>
          <w:szCs w:val="26"/>
        </w:rPr>
        <w:t xml:space="preserve">that the requirement to include the initial starting price </w:t>
      </w:r>
      <w:r>
        <w:rPr>
          <w:rFonts w:ascii="Times New Roman" w:hAnsi="Times New Roman"/>
          <w:sz w:val="26"/>
          <w:szCs w:val="26"/>
        </w:rPr>
        <w:t xml:space="preserve">will prevent the offering of </w:t>
      </w:r>
      <w:r w:rsidR="00BE07F6" w:rsidRPr="004C75FF">
        <w:rPr>
          <w:rFonts w:ascii="Times New Roman" w:hAnsi="Times New Roman"/>
          <w:sz w:val="26"/>
          <w:szCs w:val="26"/>
        </w:rPr>
        <w:t xml:space="preserve">certain products </w:t>
      </w:r>
      <w:r>
        <w:rPr>
          <w:rFonts w:ascii="Times New Roman" w:hAnsi="Times New Roman"/>
          <w:sz w:val="26"/>
          <w:szCs w:val="26"/>
        </w:rPr>
        <w:t>i</w:t>
      </w:r>
      <w:r w:rsidR="00BE07F6" w:rsidRPr="004C75FF">
        <w:rPr>
          <w:rFonts w:ascii="Times New Roman" w:hAnsi="Times New Roman"/>
          <w:sz w:val="26"/>
          <w:szCs w:val="26"/>
        </w:rPr>
        <w:t>n the competitive retail natural gas marketplace.</w:t>
      </w:r>
      <w:r>
        <w:rPr>
          <w:rFonts w:ascii="Times New Roman" w:hAnsi="Times New Roman"/>
          <w:sz w:val="26"/>
          <w:szCs w:val="26"/>
        </w:rPr>
        <w:t xml:space="preserve">  National Marketers Comments at 2 (discussing </w:t>
      </w:r>
      <w:r w:rsidR="00BE07F6" w:rsidRPr="004C75FF">
        <w:rPr>
          <w:rFonts w:ascii="Times New Roman" w:hAnsi="Times New Roman"/>
          <w:sz w:val="26"/>
          <w:szCs w:val="26"/>
        </w:rPr>
        <w:t xml:space="preserve">products that utilize NYMEX-plus pricing, </w:t>
      </w:r>
      <w:r>
        <w:rPr>
          <w:rFonts w:ascii="Times New Roman" w:hAnsi="Times New Roman"/>
          <w:sz w:val="26"/>
          <w:szCs w:val="26"/>
        </w:rPr>
        <w:t xml:space="preserve">where </w:t>
      </w:r>
      <w:r w:rsidR="00BE07F6" w:rsidRPr="004C75FF">
        <w:rPr>
          <w:rFonts w:ascii="Times New Roman" w:hAnsi="Times New Roman"/>
          <w:sz w:val="26"/>
          <w:szCs w:val="26"/>
        </w:rPr>
        <w:t xml:space="preserve">the initial price will likely not be known </w:t>
      </w:r>
      <w:r>
        <w:rPr>
          <w:rFonts w:ascii="Times New Roman" w:hAnsi="Times New Roman"/>
          <w:sz w:val="26"/>
          <w:szCs w:val="26"/>
        </w:rPr>
        <w:t>when</w:t>
      </w:r>
      <w:r w:rsidR="00BE07F6" w:rsidRPr="004C75FF">
        <w:rPr>
          <w:rFonts w:ascii="Times New Roman" w:hAnsi="Times New Roman"/>
          <w:sz w:val="26"/>
          <w:szCs w:val="26"/>
        </w:rPr>
        <w:t xml:space="preserve"> the disclosure statement</w:t>
      </w:r>
      <w:r>
        <w:rPr>
          <w:rFonts w:ascii="Times New Roman" w:hAnsi="Times New Roman"/>
          <w:sz w:val="26"/>
          <w:szCs w:val="26"/>
        </w:rPr>
        <w:t xml:space="preserve"> is provided)</w:t>
      </w:r>
      <w:r w:rsidR="00BE07F6" w:rsidRPr="004C75FF">
        <w:rPr>
          <w:rFonts w:ascii="Times New Roman" w:hAnsi="Times New Roman"/>
          <w:sz w:val="26"/>
          <w:szCs w:val="26"/>
        </w:rPr>
        <w:t xml:space="preserve">. </w:t>
      </w:r>
      <w:r w:rsidR="009D6E45">
        <w:rPr>
          <w:rFonts w:ascii="Times New Roman" w:hAnsi="Times New Roman"/>
          <w:sz w:val="26"/>
          <w:szCs w:val="26"/>
        </w:rPr>
        <w:t xml:space="preserve">  </w:t>
      </w:r>
      <w:r>
        <w:rPr>
          <w:rFonts w:ascii="Times New Roman" w:hAnsi="Times New Roman"/>
          <w:sz w:val="26"/>
          <w:szCs w:val="26"/>
        </w:rPr>
        <w:t xml:space="preserve"> The National Marketers </w:t>
      </w:r>
      <w:r w:rsidR="009D6E45">
        <w:rPr>
          <w:rFonts w:ascii="Times New Roman" w:hAnsi="Times New Roman"/>
          <w:sz w:val="26"/>
          <w:szCs w:val="26"/>
        </w:rPr>
        <w:t xml:space="preserve">note that if </w:t>
      </w:r>
      <w:r w:rsidR="00BE07F6" w:rsidRPr="004C75FF">
        <w:rPr>
          <w:rFonts w:ascii="Times New Roman" w:hAnsi="Times New Roman"/>
          <w:sz w:val="26"/>
          <w:szCs w:val="26"/>
        </w:rPr>
        <w:t xml:space="preserve">a competitive variable priced product is </w:t>
      </w:r>
      <w:r w:rsidR="009D6E45">
        <w:rPr>
          <w:rFonts w:ascii="Times New Roman" w:hAnsi="Times New Roman"/>
          <w:sz w:val="26"/>
          <w:szCs w:val="26"/>
        </w:rPr>
        <w:t>linke</w:t>
      </w:r>
      <w:r w:rsidR="00BE07F6" w:rsidRPr="004C75FF">
        <w:rPr>
          <w:rFonts w:ascii="Times New Roman" w:hAnsi="Times New Roman"/>
          <w:sz w:val="26"/>
          <w:szCs w:val="26"/>
        </w:rPr>
        <w:t xml:space="preserve">d </w:t>
      </w:r>
      <w:r w:rsidR="009D6E45">
        <w:rPr>
          <w:rFonts w:ascii="Times New Roman" w:hAnsi="Times New Roman"/>
          <w:sz w:val="26"/>
          <w:szCs w:val="26"/>
        </w:rPr>
        <w:t xml:space="preserve">to </w:t>
      </w:r>
      <w:r w:rsidR="00BE07F6" w:rsidRPr="004C75FF">
        <w:rPr>
          <w:rFonts w:ascii="Times New Roman" w:hAnsi="Times New Roman"/>
          <w:sz w:val="26"/>
          <w:szCs w:val="26"/>
        </w:rPr>
        <w:t xml:space="preserve">the utility </w:t>
      </w:r>
      <w:r w:rsidR="009D6E45">
        <w:rPr>
          <w:rFonts w:ascii="Times New Roman" w:hAnsi="Times New Roman"/>
          <w:sz w:val="26"/>
          <w:szCs w:val="26"/>
        </w:rPr>
        <w:t xml:space="preserve">default service </w:t>
      </w:r>
      <w:r w:rsidR="00BE07F6" w:rsidRPr="004C75FF">
        <w:rPr>
          <w:rFonts w:ascii="Times New Roman" w:hAnsi="Times New Roman"/>
          <w:sz w:val="26"/>
          <w:szCs w:val="26"/>
        </w:rPr>
        <w:t>price, which changes on a quarterly basis, the</w:t>
      </w:r>
      <w:r w:rsidR="009D6E45">
        <w:rPr>
          <w:rFonts w:ascii="Times New Roman" w:hAnsi="Times New Roman"/>
          <w:sz w:val="26"/>
          <w:szCs w:val="26"/>
        </w:rPr>
        <w:t>n the</w:t>
      </w:r>
      <w:r w:rsidR="00BE07F6" w:rsidRPr="004C75FF">
        <w:rPr>
          <w:rFonts w:ascii="Times New Roman" w:hAnsi="Times New Roman"/>
          <w:sz w:val="26"/>
          <w:szCs w:val="26"/>
        </w:rPr>
        <w:t xml:space="preserve"> NGS will not know or be able to calculate the initial starting price for a contract term beginning after the next quarterly </w:t>
      </w:r>
      <w:r w:rsidR="009D6E45">
        <w:rPr>
          <w:rFonts w:ascii="Times New Roman" w:hAnsi="Times New Roman"/>
          <w:sz w:val="26"/>
          <w:szCs w:val="26"/>
        </w:rPr>
        <w:t xml:space="preserve">utility default service </w:t>
      </w:r>
      <w:r w:rsidR="00BE07F6" w:rsidRPr="004C75FF">
        <w:rPr>
          <w:rFonts w:ascii="Times New Roman" w:hAnsi="Times New Roman"/>
          <w:sz w:val="26"/>
          <w:szCs w:val="26"/>
        </w:rPr>
        <w:t xml:space="preserve">price change. </w:t>
      </w:r>
      <w:r w:rsidR="009D6E45">
        <w:rPr>
          <w:rFonts w:ascii="Times New Roman" w:hAnsi="Times New Roman"/>
          <w:sz w:val="26"/>
          <w:szCs w:val="26"/>
        </w:rPr>
        <w:t xml:space="preserve"> </w:t>
      </w:r>
      <w:r w:rsidR="009D6E45">
        <w:rPr>
          <w:rFonts w:ascii="Times New Roman" w:hAnsi="Times New Roman"/>
          <w:i/>
          <w:sz w:val="26"/>
          <w:szCs w:val="26"/>
        </w:rPr>
        <w:t xml:space="preserve">Id. </w:t>
      </w:r>
      <w:r w:rsidR="00BE07F6" w:rsidRPr="004C75FF">
        <w:rPr>
          <w:rFonts w:ascii="Times New Roman" w:hAnsi="Times New Roman"/>
          <w:sz w:val="26"/>
          <w:szCs w:val="26"/>
        </w:rPr>
        <w:t xml:space="preserve"> </w:t>
      </w:r>
      <w:r w:rsidR="006D776C">
        <w:rPr>
          <w:rFonts w:ascii="Times New Roman" w:hAnsi="Times New Roman"/>
          <w:sz w:val="26"/>
          <w:szCs w:val="26"/>
        </w:rPr>
        <w:t>Similar to RESA, the National Marketers contend that disclosing a formulaic contract price sho</w:t>
      </w:r>
      <w:r w:rsidR="00101520">
        <w:rPr>
          <w:rFonts w:ascii="Times New Roman" w:hAnsi="Times New Roman"/>
          <w:sz w:val="26"/>
          <w:szCs w:val="26"/>
        </w:rPr>
        <w:t>u</w:t>
      </w:r>
      <w:r w:rsidR="006D776C">
        <w:rPr>
          <w:rFonts w:ascii="Times New Roman" w:hAnsi="Times New Roman"/>
          <w:sz w:val="26"/>
          <w:szCs w:val="26"/>
        </w:rPr>
        <w:t xml:space="preserve">ld be sufficient to comply with the initial starting price requirement in the variable pricing disclosure statement.  </w:t>
      </w:r>
      <w:r w:rsidR="006D776C">
        <w:rPr>
          <w:rFonts w:ascii="Times New Roman" w:hAnsi="Times New Roman"/>
          <w:i/>
          <w:sz w:val="26"/>
          <w:szCs w:val="26"/>
        </w:rPr>
        <w:t xml:space="preserve">Id.  </w:t>
      </w:r>
      <w:r w:rsidR="006D776C">
        <w:rPr>
          <w:rFonts w:ascii="Times New Roman" w:hAnsi="Times New Roman"/>
          <w:sz w:val="26"/>
          <w:szCs w:val="26"/>
        </w:rPr>
        <w:t>The National Marketers also assert</w:t>
      </w:r>
      <w:r w:rsidR="00BE07F6" w:rsidRPr="004C75FF">
        <w:rPr>
          <w:rFonts w:ascii="Times New Roman" w:eastAsia="Times New Roman" w:hAnsi="Times New Roman"/>
          <w:color w:val="000000"/>
          <w:spacing w:val="1"/>
          <w:sz w:val="26"/>
          <w:szCs w:val="26"/>
        </w:rPr>
        <w:t xml:space="preserve"> that changing to a billing month construct instead of a billing cycle construct for the natural gas industry may present operational problems for suppliers and utilities and unnecessarily</w:t>
      </w:r>
      <w:r w:rsidR="00877B60">
        <w:rPr>
          <w:rFonts w:ascii="Times New Roman" w:eastAsia="Times New Roman" w:hAnsi="Times New Roman"/>
          <w:color w:val="000000"/>
          <w:spacing w:val="1"/>
          <w:sz w:val="26"/>
          <w:szCs w:val="26"/>
        </w:rPr>
        <w:t xml:space="preserve"> and</w:t>
      </w:r>
      <w:r w:rsidR="00BE07F6" w:rsidRPr="004C75FF">
        <w:rPr>
          <w:rFonts w:ascii="Times New Roman" w:eastAsia="Times New Roman" w:hAnsi="Times New Roman"/>
          <w:color w:val="000000"/>
          <w:spacing w:val="1"/>
          <w:sz w:val="26"/>
          <w:szCs w:val="26"/>
        </w:rPr>
        <w:t xml:space="preserve"> negatively impact the pricing structure of competitive products.  </w:t>
      </w:r>
      <w:r w:rsidR="00101520">
        <w:rPr>
          <w:rFonts w:ascii="Times New Roman" w:eastAsia="Times New Roman" w:hAnsi="Times New Roman"/>
          <w:color w:val="000000"/>
          <w:spacing w:val="1"/>
          <w:sz w:val="26"/>
          <w:szCs w:val="26"/>
        </w:rPr>
        <w:t>The National Marketers believe t</w:t>
      </w:r>
      <w:r w:rsidR="00BE07F6" w:rsidRPr="004C75FF">
        <w:rPr>
          <w:rFonts w:ascii="Times New Roman" w:eastAsia="Times New Roman" w:hAnsi="Times New Roman"/>
          <w:color w:val="000000"/>
          <w:spacing w:val="1"/>
          <w:sz w:val="26"/>
          <w:szCs w:val="26"/>
        </w:rPr>
        <w:t xml:space="preserve">his </w:t>
      </w:r>
      <w:r w:rsidR="00101520">
        <w:rPr>
          <w:rFonts w:ascii="Times New Roman" w:eastAsia="Times New Roman" w:hAnsi="Times New Roman"/>
          <w:color w:val="000000"/>
          <w:spacing w:val="1"/>
          <w:sz w:val="26"/>
          <w:szCs w:val="26"/>
        </w:rPr>
        <w:t>change in billing system logic would be costly, time-consuming, and un</w:t>
      </w:r>
      <w:r w:rsidR="00BE07F6" w:rsidRPr="004C75FF">
        <w:rPr>
          <w:rFonts w:ascii="Times New Roman" w:eastAsia="Times New Roman" w:hAnsi="Times New Roman"/>
          <w:color w:val="000000"/>
          <w:spacing w:val="1"/>
          <w:sz w:val="26"/>
          <w:szCs w:val="26"/>
        </w:rPr>
        <w:t xml:space="preserve">justified.  </w:t>
      </w:r>
      <w:r w:rsidR="00101520">
        <w:rPr>
          <w:rFonts w:ascii="Times New Roman" w:eastAsia="Times New Roman" w:hAnsi="Times New Roman"/>
          <w:i/>
          <w:color w:val="000000"/>
          <w:spacing w:val="1"/>
          <w:sz w:val="26"/>
          <w:szCs w:val="26"/>
        </w:rPr>
        <w:t>Id.</w:t>
      </w:r>
      <w:r w:rsidR="00101520">
        <w:rPr>
          <w:rFonts w:ascii="Times New Roman" w:eastAsia="Times New Roman" w:hAnsi="Times New Roman"/>
          <w:color w:val="000000"/>
          <w:spacing w:val="1"/>
          <w:sz w:val="26"/>
          <w:szCs w:val="26"/>
        </w:rPr>
        <w:t xml:space="preserve"> at 3 (further recommending that these changes to the initial starting price requirements may not be prudent until the accelerated switching process and timeline has been fully vetted by stakeholders).  </w:t>
      </w:r>
    </w:p>
    <w:p w:rsidR="00BC435B" w:rsidRPr="00101520" w:rsidRDefault="00BC435B" w:rsidP="00BE07F6">
      <w:pPr>
        <w:pStyle w:val="NoSpacing"/>
        <w:spacing w:line="360" w:lineRule="auto"/>
        <w:ind w:firstLine="720"/>
        <w:rPr>
          <w:rFonts w:ascii="Times New Roman" w:eastAsia="Times New Roman" w:hAnsi="Times New Roman"/>
          <w:color w:val="000000"/>
          <w:spacing w:val="1"/>
          <w:sz w:val="26"/>
          <w:szCs w:val="26"/>
        </w:rPr>
      </w:pPr>
    </w:p>
    <w:p w:rsidR="00BE07F6" w:rsidRPr="004C75FF" w:rsidRDefault="00BE07F6" w:rsidP="00BE07F6">
      <w:pPr>
        <w:spacing w:line="360" w:lineRule="auto"/>
        <w:ind w:firstLine="720"/>
        <w:rPr>
          <w:rFonts w:ascii="Times New Roman" w:hAnsi="Times New Roman"/>
          <w:sz w:val="26"/>
          <w:szCs w:val="26"/>
        </w:rPr>
      </w:pPr>
      <w:r w:rsidRPr="004C75FF">
        <w:rPr>
          <w:rFonts w:ascii="Times New Roman" w:eastAsia="Times New Roman" w:hAnsi="Times New Roman"/>
          <w:color w:val="000000"/>
          <w:sz w:val="26"/>
          <w:szCs w:val="26"/>
        </w:rPr>
        <w:t xml:space="preserve">WGL </w:t>
      </w:r>
      <w:r w:rsidR="00101520">
        <w:rPr>
          <w:rFonts w:ascii="Times New Roman" w:eastAsia="Times New Roman" w:hAnsi="Times New Roman"/>
          <w:color w:val="000000"/>
          <w:sz w:val="26"/>
          <w:szCs w:val="26"/>
        </w:rPr>
        <w:t xml:space="preserve">Energy </w:t>
      </w:r>
      <w:r w:rsidRPr="004C75FF">
        <w:rPr>
          <w:rFonts w:ascii="Times New Roman" w:eastAsia="Times New Roman" w:hAnsi="Times New Roman"/>
          <w:color w:val="000000"/>
          <w:sz w:val="26"/>
          <w:szCs w:val="26"/>
        </w:rPr>
        <w:t xml:space="preserve">generally supports the uniformity of the </w:t>
      </w:r>
      <w:r w:rsidR="00101520">
        <w:rPr>
          <w:rFonts w:ascii="Times New Roman" w:eastAsia="Times New Roman" w:hAnsi="Times New Roman"/>
          <w:color w:val="000000"/>
          <w:sz w:val="26"/>
          <w:szCs w:val="26"/>
        </w:rPr>
        <w:t xml:space="preserve">disclosure rules between the gas and electric industries, but emphasizes that its comments focus on “recommending enhancement tweaks” and “not broad revisions.” </w:t>
      </w:r>
      <w:r w:rsidRPr="004C75FF">
        <w:rPr>
          <w:rFonts w:ascii="Times New Roman" w:eastAsia="Times New Roman" w:hAnsi="Times New Roman"/>
          <w:color w:val="000000"/>
          <w:sz w:val="26"/>
          <w:szCs w:val="26"/>
        </w:rPr>
        <w:t xml:space="preserve"> WGL</w:t>
      </w:r>
      <w:r w:rsidR="00101520">
        <w:rPr>
          <w:rFonts w:ascii="Times New Roman" w:eastAsia="Times New Roman" w:hAnsi="Times New Roman"/>
          <w:color w:val="000000"/>
          <w:sz w:val="26"/>
          <w:szCs w:val="26"/>
        </w:rPr>
        <w:t xml:space="preserve"> Energy Comments at 2-3</w:t>
      </w:r>
      <w:r w:rsidRPr="004C75FF">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w:t>
      </w:r>
      <w:r w:rsidRPr="004C75FF">
        <w:rPr>
          <w:rFonts w:ascii="Times New Roman" w:hAnsi="Times New Roman"/>
          <w:sz w:val="26"/>
          <w:szCs w:val="26"/>
        </w:rPr>
        <w:t xml:space="preserve">WGL </w:t>
      </w:r>
      <w:r w:rsidR="00101520">
        <w:rPr>
          <w:rFonts w:ascii="Times New Roman" w:hAnsi="Times New Roman"/>
          <w:sz w:val="26"/>
          <w:szCs w:val="26"/>
        </w:rPr>
        <w:t xml:space="preserve">Energy </w:t>
      </w:r>
      <w:r w:rsidR="00B05ECF">
        <w:rPr>
          <w:rFonts w:ascii="Times New Roman" w:hAnsi="Times New Roman"/>
          <w:sz w:val="26"/>
          <w:szCs w:val="26"/>
        </w:rPr>
        <w:t xml:space="preserve">also </w:t>
      </w:r>
      <w:r w:rsidR="00101520">
        <w:rPr>
          <w:rFonts w:ascii="Times New Roman" w:hAnsi="Times New Roman"/>
          <w:sz w:val="26"/>
          <w:szCs w:val="26"/>
        </w:rPr>
        <w:t xml:space="preserve">contends that disclosing </w:t>
      </w:r>
      <w:r w:rsidRPr="004C75FF">
        <w:rPr>
          <w:rFonts w:ascii="Times New Roman" w:hAnsi="Times New Roman"/>
          <w:sz w:val="26"/>
          <w:szCs w:val="26"/>
        </w:rPr>
        <w:t xml:space="preserve">the initial starting price </w:t>
      </w:r>
      <w:r w:rsidR="006D1C8E">
        <w:rPr>
          <w:rFonts w:ascii="Times New Roman" w:hAnsi="Times New Roman"/>
          <w:sz w:val="26"/>
          <w:szCs w:val="26"/>
        </w:rPr>
        <w:t xml:space="preserve">for a variable </w:t>
      </w:r>
      <w:r w:rsidR="00101520">
        <w:rPr>
          <w:rFonts w:ascii="Times New Roman" w:hAnsi="Times New Roman"/>
          <w:sz w:val="26"/>
          <w:szCs w:val="26"/>
        </w:rPr>
        <w:t xml:space="preserve">priced product is problematic.  </w:t>
      </w:r>
      <w:r w:rsidR="00101520">
        <w:rPr>
          <w:rFonts w:ascii="Times New Roman" w:hAnsi="Times New Roman"/>
          <w:i/>
          <w:sz w:val="26"/>
          <w:szCs w:val="26"/>
        </w:rPr>
        <w:t>Id.</w:t>
      </w:r>
      <w:r w:rsidR="005C1E8F">
        <w:rPr>
          <w:rFonts w:ascii="Times New Roman" w:hAnsi="Times New Roman"/>
          <w:sz w:val="26"/>
          <w:szCs w:val="26"/>
        </w:rPr>
        <w:t xml:space="preserve"> at 4.  WGL Energy believes </w:t>
      </w:r>
      <w:r w:rsidRPr="004C75FF">
        <w:rPr>
          <w:rFonts w:ascii="Times New Roman" w:hAnsi="Times New Roman"/>
          <w:sz w:val="26"/>
          <w:szCs w:val="26"/>
        </w:rPr>
        <w:t>a contract formula</w:t>
      </w:r>
      <w:r w:rsidR="005C1E8F">
        <w:rPr>
          <w:rFonts w:ascii="Times New Roman" w:hAnsi="Times New Roman"/>
          <w:sz w:val="26"/>
          <w:szCs w:val="26"/>
        </w:rPr>
        <w:t xml:space="preserve"> or</w:t>
      </w:r>
      <w:r w:rsidRPr="004C75FF">
        <w:rPr>
          <w:rFonts w:ascii="Times New Roman" w:hAnsi="Times New Roman"/>
          <w:sz w:val="26"/>
          <w:szCs w:val="26"/>
        </w:rPr>
        <w:t xml:space="preserve"> a publicly stated </w:t>
      </w:r>
      <w:r w:rsidRPr="004C75FF">
        <w:rPr>
          <w:rFonts w:ascii="Times New Roman" w:hAnsi="Times New Roman"/>
          <w:sz w:val="26"/>
          <w:szCs w:val="26"/>
        </w:rPr>
        <w:lastRenderedPageBreak/>
        <w:t xml:space="preserve">price or an industry index </w:t>
      </w:r>
      <w:r w:rsidR="005C1E8F">
        <w:rPr>
          <w:rFonts w:ascii="Times New Roman" w:hAnsi="Times New Roman"/>
          <w:sz w:val="26"/>
          <w:szCs w:val="26"/>
        </w:rPr>
        <w:t>s</w:t>
      </w:r>
      <w:r w:rsidRPr="004C75FF">
        <w:rPr>
          <w:rFonts w:ascii="Times New Roman" w:hAnsi="Times New Roman"/>
          <w:sz w:val="26"/>
          <w:szCs w:val="26"/>
        </w:rPr>
        <w:t xml:space="preserve">hould </w:t>
      </w:r>
      <w:r>
        <w:rPr>
          <w:rFonts w:ascii="Times New Roman" w:hAnsi="Times New Roman"/>
          <w:sz w:val="26"/>
          <w:szCs w:val="26"/>
        </w:rPr>
        <w:t xml:space="preserve">be </w:t>
      </w:r>
      <w:r w:rsidR="005C1E8F">
        <w:rPr>
          <w:rFonts w:ascii="Times New Roman" w:hAnsi="Times New Roman"/>
          <w:sz w:val="26"/>
          <w:szCs w:val="26"/>
        </w:rPr>
        <w:t>sufficient under</w:t>
      </w:r>
      <w:r w:rsidRPr="004C75FF">
        <w:rPr>
          <w:rFonts w:ascii="Times New Roman" w:hAnsi="Times New Roman"/>
          <w:sz w:val="26"/>
          <w:szCs w:val="26"/>
        </w:rPr>
        <w:t xml:space="preserve"> the rules. </w:t>
      </w:r>
      <w:r w:rsidR="005C1E8F">
        <w:rPr>
          <w:rFonts w:ascii="Times New Roman" w:hAnsi="Times New Roman"/>
          <w:sz w:val="26"/>
          <w:szCs w:val="26"/>
        </w:rPr>
        <w:t xml:space="preserve"> </w:t>
      </w:r>
      <w:r w:rsidR="005C1E8F">
        <w:rPr>
          <w:rFonts w:ascii="Times New Roman" w:hAnsi="Times New Roman"/>
          <w:i/>
          <w:sz w:val="26"/>
          <w:szCs w:val="26"/>
        </w:rPr>
        <w:t>Id.</w:t>
      </w:r>
      <w:r w:rsidR="005C1E8F">
        <w:rPr>
          <w:rFonts w:ascii="Times New Roman" w:hAnsi="Times New Roman"/>
          <w:sz w:val="26"/>
          <w:szCs w:val="26"/>
        </w:rPr>
        <w:t xml:space="preserve">  </w:t>
      </w:r>
      <w:r>
        <w:rPr>
          <w:rFonts w:ascii="Times New Roman" w:hAnsi="Times New Roman"/>
          <w:sz w:val="26"/>
          <w:szCs w:val="26"/>
        </w:rPr>
        <w:t xml:space="preserve"> </w:t>
      </w:r>
      <w:r w:rsidR="005C1E8F">
        <w:rPr>
          <w:rFonts w:ascii="Times New Roman" w:hAnsi="Times New Roman"/>
          <w:sz w:val="26"/>
          <w:szCs w:val="26"/>
        </w:rPr>
        <w:t xml:space="preserve">WGL Energy does not oppose the Commission’s proposal in Section 62.75(c)(2)(ii) requiring the NGS to disclose the ceiling price, if applicable, or </w:t>
      </w:r>
      <w:r w:rsidR="00F52B43">
        <w:rPr>
          <w:rFonts w:ascii="Times New Roman" w:hAnsi="Times New Roman"/>
          <w:sz w:val="26"/>
          <w:szCs w:val="26"/>
        </w:rPr>
        <w:t xml:space="preserve">the proposal in Section 62.75(c)(2)(iii) </w:t>
      </w:r>
      <w:r w:rsidR="005C1E8F">
        <w:rPr>
          <w:rFonts w:ascii="Times New Roman" w:hAnsi="Times New Roman"/>
          <w:sz w:val="26"/>
          <w:szCs w:val="26"/>
        </w:rPr>
        <w:t xml:space="preserve">to conspicuously state that there are no price limits.  </w:t>
      </w:r>
      <w:r w:rsidR="005C1E8F">
        <w:rPr>
          <w:rFonts w:ascii="Times New Roman" w:hAnsi="Times New Roman"/>
          <w:i/>
          <w:sz w:val="26"/>
          <w:szCs w:val="26"/>
        </w:rPr>
        <w:t>Id.</w:t>
      </w:r>
      <w:r w:rsidR="005C1E8F">
        <w:rPr>
          <w:rFonts w:ascii="Times New Roman" w:hAnsi="Times New Roman"/>
          <w:sz w:val="26"/>
          <w:szCs w:val="26"/>
        </w:rPr>
        <w:t xml:space="preserve"> at 3.</w:t>
      </w:r>
      <w:r>
        <w:rPr>
          <w:rFonts w:ascii="Times New Roman" w:hAnsi="Times New Roman"/>
          <w:sz w:val="26"/>
          <w:szCs w:val="26"/>
        </w:rPr>
        <w:t xml:space="preserve"> </w:t>
      </w:r>
      <w:r w:rsidRPr="004C75FF">
        <w:rPr>
          <w:rFonts w:ascii="Times New Roman" w:eastAsia="Times New Roman" w:hAnsi="Times New Roman"/>
          <w:color w:val="000000"/>
          <w:sz w:val="26"/>
          <w:szCs w:val="26"/>
        </w:rPr>
        <w:t xml:space="preserve">WGL </w:t>
      </w:r>
      <w:r w:rsidR="005C1E8F">
        <w:rPr>
          <w:rFonts w:ascii="Times New Roman" w:eastAsia="Times New Roman" w:hAnsi="Times New Roman"/>
          <w:color w:val="000000"/>
          <w:sz w:val="26"/>
          <w:szCs w:val="26"/>
        </w:rPr>
        <w:t xml:space="preserve">also </w:t>
      </w:r>
      <w:r w:rsidRPr="004C75FF">
        <w:rPr>
          <w:rFonts w:ascii="Times New Roman" w:eastAsia="Times New Roman" w:hAnsi="Times New Roman"/>
          <w:color w:val="000000"/>
          <w:sz w:val="26"/>
          <w:szCs w:val="26"/>
        </w:rPr>
        <w:t xml:space="preserve">does not oppose a rule that will require NGSs to notify customers when and how they will be informed of future price changes, but </w:t>
      </w:r>
      <w:r>
        <w:rPr>
          <w:rFonts w:ascii="Times New Roman" w:eastAsia="Times New Roman" w:hAnsi="Times New Roman"/>
          <w:color w:val="000000"/>
          <w:sz w:val="26"/>
          <w:szCs w:val="26"/>
        </w:rPr>
        <w:t xml:space="preserve">does think that </w:t>
      </w:r>
      <w:r w:rsidRPr="004C75FF">
        <w:rPr>
          <w:rFonts w:ascii="Times New Roman" w:eastAsia="Times New Roman" w:hAnsi="Times New Roman"/>
          <w:color w:val="000000"/>
          <w:sz w:val="26"/>
          <w:szCs w:val="26"/>
        </w:rPr>
        <w:t>requir</w:t>
      </w:r>
      <w:r>
        <w:rPr>
          <w:rFonts w:ascii="Times New Roman" w:eastAsia="Times New Roman" w:hAnsi="Times New Roman"/>
          <w:color w:val="000000"/>
          <w:sz w:val="26"/>
          <w:szCs w:val="26"/>
        </w:rPr>
        <w:t>ing</w:t>
      </w:r>
      <w:r w:rsidRPr="004C75FF">
        <w:rPr>
          <w:rFonts w:ascii="Times New Roman" w:eastAsia="Times New Roman" w:hAnsi="Times New Roman"/>
          <w:color w:val="000000"/>
          <w:sz w:val="26"/>
          <w:szCs w:val="26"/>
        </w:rPr>
        <w:t xml:space="preserve"> advance notice of all price changes would be overly burdensome</w:t>
      </w:r>
      <w:r>
        <w:rPr>
          <w:rFonts w:ascii="Times New Roman" w:eastAsia="Times New Roman" w:hAnsi="Times New Roman"/>
          <w:color w:val="000000"/>
          <w:sz w:val="26"/>
          <w:szCs w:val="26"/>
        </w:rPr>
        <w:t xml:space="preserve">.  </w:t>
      </w:r>
      <w:r w:rsidR="005C1E8F">
        <w:rPr>
          <w:rFonts w:ascii="Times New Roman" w:eastAsia="Times New Roman" w:hAnsi="Times New Roman"/>
          <w:i/>
          <w:color w:val="000000"/>
          <w:sz w:val="26"/>
          <w:szCs w:val="26"/>
        </w:rPr>
        <w:t>Id.</w:t>
      </w:r>
      <w:r w:rsidRPr="004C75FF">
        <w:rPr>
          <w:rFonts w:ascii="Times New Roman" w:eastAsia="Times New Roman" w:hAnsi="Times New Roman"/>
          <w:color w:val="000000"/>
          <w:sz w:val="26"/>
          <w:szCs w:val="26"/>
        </w:rPr>
        <w:t xml:space="preserve"> at 4.</w:t>
      </w:r>
      <w:r>
        <w:rPr>
          <w:rFonts w:ascii="Times New Roman" w:eastAsia="Times New Roman" w:hAnsi="Times New Roman"/>
          <w:color w:val="000000"/>
          <w:sz w:val="26"/>
          <w:szCs w:val="26"/>
        </w:rPr>
        <w:t xml:space="preserve">  </w:t>
      </w:r>
      <w:r w:rsidRPr="004C75FF">
        <w:rPr>
          <w:rFonts w:ascii="Times New Roman" w:hAnsi="Times New Roman"/>
          <w:sz w:val="26"/>
          <w:szCs w:val="26"/>
        </w:rPr>
        <w:t xml:space="preserve">WGL suggests </w:t>
      </w:r>
      <w:r w:rsidR="005C1E8F">
        <w:rPr>
          <w:rFonts w:ascii="Times New Roman" w:hAnsi="Times New Roman"/>
          <w:sz w:val="26"/>
          <w:szCs w:val="26"/>
        </w:rPr>
        <w:t>permitting</w:t>
      </w:r>
      <w:r w:rsidRPr="004C75FF">
        <w:rPr>
          <w:rFonts w:ascii="Times New Roman" w:hAnsi="Times New Roman"/>
          <w:sz w:val="26"/>
          <w:szCs w:val="26"/>
        </w:rPr>
        <w:t xml:space="preserve"> NGSs to prov</w:t>
      </w:r>
      <w:r w:rsidR="005C1E8F">
        <w:rPr>
          <w:rFonts w:ascii="Times New Roman" w:hAnsi="Times New Roman"/>
          <w:sz w:val="26"/>
          <w:szCs w:val="26"/>
        </w:rPr>
        <w:t xml:space="preserve">ide publicly available 24-month historical </w:t>
      </w:r>
      <w:r w:rsidR="00F52B43">
        <w:rPr>
          <w:rFonts w:ascii="Times New Roman" w:hAnsi="Times New Roman"/>
          <w:sz w:val="26"/>
          <w:szCs w:val="26"/>
        </w:rPr>
        <w:t xml:space="preserve">pricing </w:t>
      </w:r>
      <w:r w:rsidR="005C1E8F">
        <w:rPr>
          <w:rFonts w:ascii="Times New Roman" w:hAnsi="Times New Roman"/>
          <w:sz w:val="26"/>
          <w:szCs w:val="26"/>
        </w:rPr>
        <w:t>d</w:t>
      </w:r>
      <w:r w:rsidRPr="004C75FF">
        <w:rPr>
          <w:rFonts w:ascii="Times New Roman" w:hAnsi="Times New Roman"/>
          <w:sz w:val="26"/>
          <w:szCs w:val="26"/>
        </w:rPr>
        <w:t xml:space="preserve">ata </w:t>
      </w:r>
      <w:r w:rsidR="005C1E8F">
        <w:rPr>
          <w:rFonts w:ascii="Times New Roman" w:hAnsi="Times New Roman"/>
          <w:sz w:val="26"/>
          <w:szCs w:val="26"/>
        </w:rPr>
        <w:t>“</w:t>
      </w:r>
      <w:r w:rsidRPr="004C75FF">
        <w:rPr>
          <w:rFonts w:ascii="Times New Roman" w:hAnsi="Times New Roman"/>
          <w:sz w:val="26"/>
          <w:szCs w:val="26"/>
        </w:rPr>
        <w:t>to the extent it exists</w:t>
      </w:r>
      <w:r w:rsidR="005C1E8F">
        <w:rPr>
          <w:rFonts w:ascii="Times New Roman" w:hAnsi="Times New Roman"/>
          <w:sz w:val="26"/>
          <w:szCs w:val="26"/>
        </w:rPr>
        <w:t>.”</w:t>
      </w:r>
      <w:r w:rsidRPr="004C75FF">
        <w:rPr>
          <w:rFonts w:ascii="Times New Roman" w:hAnsi="Times New Roman"/>
          <w:sz w:val="26"/>
          <w:szCs w:val="26"/>
        </w:rPr>
        <w:t xml:space="preserve"> </w:t>
      </w:r>
      <w:r w:rsidR="005C1E8F">
        <w:rPr>
          <w:rFonts w:ascii="Times New Roman" w:hAnsi="Times New Roman"/>
          <w:sz w:val="26"/>
          <w:szCs w:val="26"/>
        </w:rPr>
        <w:t xml:space="preserve"> </w:t>
      </w:r>
      <w:r w:rsidR="005C1E8F">
        <w:rPr>
          <w:rFonts w:ascii="Times New Roman" w:hAnsi="Times New Roman"/>
          <w:i/>
          <w:sz w:val="26"/>
          <w:szCs w:val="26"/>
        </w:rPr>
        <w:t>Id.</w:t>
      </w:r>
      <w:r w:rsidR="005C1E8F">
        <w:rPr>
          <w:rFonts w:ascii="Times New Roman" w:hAnsi="Times New Roman"/>
          <w:sz w:val="26"/>
          <w:szCs w:val="26"/>
        </w:rPr>
        <w:t xml:space="preserve"> at 5.</w:t>
      </w:r>
      <w:r w:rsidRPr="004C75FF">
        <w:rPr>
          <w:rFonts w:ascii="Times New Roman" w:hAnsi="Times New Roman"/>
          <w:sz w:val="26"/>
          <w:szCs w:val="26"/>
        </w:rPr>
        <w:t xml:space="preserve"> </w:t>
      </w:r>
      <w:r w:rsidR="005C1E8F">
        <w:rPr>
          <w:rFonts w:ascii="Times New Roman" w:hAnsi="Times New Roman"/>
          <w:sz w:val="26"/>
          <w:szCs w:val="26"/>
        </w:rPr>
        <w:t xml:space="preserve"> WGL Energy seeks clarification from the Commission </w:t>
      </w:r>
      <w:r w:rsidR="00F52B43">
        <w:rPr>
          <w:rFonts w:ascii="Times New Roman" w:hAnsi="Times New Roman"/>
          <w:sz w:val="26"/>
          <w:szCs w:val="26"/>
        </w:rPr>
        <w:t>on</w:t>
      </w:r>
      <w:r w:rsidR="005C1E8F">
        <w:rPr>
          <w:rFonts w:ascii="Times New Roman" w:hAnsi="Times New Roman"/>
          <w:sz w:val="26"/>
          <w:szCs w:val="26"/>
        </w:rPr>
        <w:t xml:space="preserve"> how new NGSs or new products could meet the 24-month historical pricing requirement.   </w:t>
      </w:r>
      <w:r w:rsidR="005C1E8F">
        <w:rPr>
          <w:rFonts w:ascii="Times New Roman" w:hAnsi="Times New Roman"/>
          <w:i/>
          <w:sz w:val="26"/>
          <w:szCs w:val="26"/>
        </w:rPr>
        <w:t>Id.</w:t>
      </w:r>
      <w:r w:rsidRPr="004C75FF">
        <w:rPr>
          <w:rFonts w:ascii="Times New Roman" w:hAnsi="Times New Roman"/>
          <w:sz w:val="26"/>
          <w:szCs w:val="26"/>
        </w:rPr>
        <w:t xml:space="preserve"> at 5.</w:t>
      </w:r>
    </w:p>
    <w:p w:rsidR="00BE07F6" w:rsidRPr="004C75FF" w:rsidRDefault="00BE07F6" w:rsidP="00BE07F6">
      <w:pPr>
        <w:pStyle w:val="NoSpacing"/>
        <w:spacing w:line="360" w:lineRule="auto"/>
        <w:rPr>
          <w:rFonts w:ascii="Times New Roman" w:hAnsi="Times New Roman"/>
          <w:sz w:val="26"/>
          <w:szCs w:val="26"/>
        </w:rPr>
      </w:pPr>
    </w:p>
    <w:p w:rsidR="001B6835" w:rsidRDefault="00091848" w:rsidP="00BE07F6">
      <w:pPr>
        <w:pStyle w:val="NoSpacing"/>
        <w:spacing w:line="360" w:lineRule="auto"/>
        <w:ind w:firstLine="720"/>
        <w:rPr>
          <w:rFonts w:ascii="Times New Roman" w:eastAsia="Cambria" w:hAnsi="Times New Roman"/>
          <w:color w:val="000000"/>
          <w:sz w:val="26"/>
          <w:szCs w:val="26"/>
        </w:rPr>
      </w:pPr>
      <w:r>
        <w:rPr>
          <w:rFonts w:ascii="Times New Roman" w:hAnsi="Times New Roman"/>
          <w:sz w:val="26"/>
          <w:szCs w:val="26"/>
        </w:rPr>
        <w:t>The PA Marketers agree that i</w:t>
      </w:r>
      <w:r w:rsidR="00BE07F6" w:rsidRPr="004C75FF">
        <w:rPr>
          <w:rFonts w:ascii="Times New Roman" w:hAnsi="Times New Roman"/>
          <w:sz w:val="26"/>
          <w:szCs w:val="26"/>
        </w:rPr>
        <w:t>nforming the customer of the risks and benefits of a variable rate product is critical to ensur</w:t>
      </w:r>
      <w:r>
        <w:rPr>
          <w:rFonts w:ascii="Times New Roman" w:hAnsi="Times New Roman"/>
          <w:sz w:val="26"/>
          <w:szCs w:val="26"/>
        </w:rPr>
        <w:t>ing</w:t>
      </w:r>
      <w:r w:rsidR="00BE07F6" w:rsidRPr="004C75FF">
        <w:rPr>
          <w:rFonts w:ascii="Times New Roman" w:hAnsi="Times New Roman"/>
          <w:sz w:val="26"/>
          <w:szCs w:val="26"/>
        </w:rPr>
        <w:t xml:space="preserve"> that the customer knows what to expect with respect to price changes.</w:t>
      </w:r>
      <w:r>
        <w:rPr>
          <w:rFonts w:ascii="Times New Roman" w:hAnsi="Times New Roman"/>
          <w:sz w:val="26"/>
          <w:szCs w:val="26"/>
        </w:rPr>
        <w:t xml:space="preserve">  PA Marketers Comments at </w:t>
      </w:r>
      <w:r w:rsidR="001B6835">
        <w:rPr>
          <w:rFonts w:ascii="Times New Roman" w:hAnsi="Times New Roman"/>
          <w:sz w:val="26"/>
          <w:szCs w:val="26"/>
        </w:rPr>
        <w:t>2.</w:t>
      </w:r>
      <w:r w:rsidR="00BE07F6" w:rsidRPr="004C75FF">
        <w:rPr>
          <w:rFonts w:ascii="Times New Roman" w:hAnsi="Times New Roman"/>
          <w:sz w:val="26"/>
          <w:szCs w:val="26"/>
        </w:rPr>
        <w:t xml:space="preserve"> </w:t>
      </w:r>
      <w:r w:rsidR="00BE07F6">
        <w:rPr>
          <w:rFonts w:ascii="Times New Roman" w:hAnsi="Times New Roman"/>
          <w:sz w:val="26"/>
          <w:szCs w:val="26"/>
        </w:rPr>
        <w:t xml:space="preserve"> </w:t>
      </w:r>
      <w:r w:rsidR="00BE07F6" w:rsidRPr="004C75FF">
        <w:rPr>
          <w:rFonts w:ascii="Times New Roman" w:hAnsi="Times New Roman"/>
          <w:sz w:val="26"/>
          <w:szCs w:val="26"/>
        </w:rPr>
        <w:t xml:space="preserve">However, </w:t>
      </w:r>
      <w:r w:rsidR="001B6835">
        <w:rPr>
          <w:rFonts w:ascii="Times New Roman" w:hAnsi="Times New Roman"/>
          <w:sz w:val="26"/>
          <w:szCs w:val="26"/>
        </w:rPr>
        <w:t>the PA Marketers stress that</w:t>
      </w:r>
      <w:r w:rsidR="00F52B43">
        <w:rPr>
          <w:rFonts w:ascii="Times New Roman" w:hAnsi="Times New Roman"/>
          <w:sz w:val="26"/>
          <w:szCs w:val="26"/>
        </w:rPr>
        <w:t xml:space="preserve"> in a truly competitive market</w:t>
      </w:r>
      <w:r w:rsidR="00BE07F6" w:rsidRPr="004C75FF">
        <w:rPr>
          <w:rFonts w:ascii="Times New Roman" w:hAnsi="Times New Roman"/>
          <w:sz w:val="26"/>
          <w:szCs w:val="26"/>
        </w:rPr>
        <w:t xml:space="preserve">place NGSs should have the ability to sell an authorized product without discouraging customer interest and understanding.  </w:t>
      </w:r>
      <w:r w:rsidR="001B6835">
        <w:rPr>
          <w:rFonts w:ascii="Times New Roman" w:eastAsia="Cambria" w:hAnsi="Times New Roman"/>
          <w:i/>
          <w:color w:val="000000"/>
          <w:sz w:val="26"/>
          <w:szCs w:val="26"/>
        </w:rPr>
        <w:t>Id</w:t>
      </w:r>
      <w:r w:rsidR="001B6835" w:rsidRPr="004C75FF">
        <w:rPr>
          <w:rFonts w:ascii="Times New Roman" w:eastAsia="Cambria" w:hAnsi="Times New Roman"/>
          <w:color w:val="000000"/>
          <w:sz w:val="26"/>
          <w:szCs w:val="26"/>
        </w:rPr>
        <w:t>.</w:t>
      </w:r>
      <w:r w:rsidR="001B6835">
        <w:rPr>
          <w:rFonts w:ascii="Times New Roman" w:eastAsia="Cambria" w:hAnsi="Times New Roman"/>
          <w:color w:val="000000"/>
          <w:sz w:val="26"/>
          <w:szCs w:val="26"/>
        </w:rPr>
        <w:t xml:space="preserve">  </w:t>
      </w:r>
      <w:r w:rsidR="001B6835">
        <w:rPr>
          <w:rFonts w:ascii="Times New Roman" w:hAnsi="Times New Roman"/>
          <w:sz w:val="26"/>
          <w:szCs w:val="26"/>
        </w:rPr>
        <w:t xml:space="preserve">The PA Marketers </w:t>
      </w:r>
      <w:r w:rsidR="00BE07F6" w:rsidRPr="004C75FF">
        <w:rPr>
          <w:rFonts w:ascii="Times New Roman" w:eastAsia="Cambria" w:hAnsi="Times New Roman"/>
          <w:color w:val="000000"/>
          <w:sz w:val="26"/>
          <w:szCs w:val="26"/>
        </w:rPr>
        <w:t xml:space="preserve">recommend </w:t>
      </w:r>
      <w:r w:rsidR="001B6835">
        <w:rPr>
          <w:rFonts w:ascii="Times New Roman" w:eastAsia="Cambria" w:hAnsi="Times New Roman"/>
          <w:color w:val="000000"/>
          <w:sz w:val="26"/>
          <w:szCs w:val="26"/>
        </w:rPr>
        <w:t xml:space="preserve">allowing </w:t>
      </w:r>
      <w:r w:rsidR="00BE07F6" w:rsidRPr="004C75FF">
        <w:rPr>
          <w:rFonts w:ascii="Times New Roman" w:eastAsia="Cambria" w:hAnsi="Times New Roman"/>
          <w:color w:val="000000"/>
          <w:sz w:val="26"/>
          <w:szCs w:val="26"/>
        </w:rPr>
        <w:t>NGSs to include</w:t>
      </w:r>
      <w:r w:rsidR="001B6835">
        <w:rPr>
          <w:rFonts w:ascii="Times New Roman" w:eastAsia="Cambria" w:hAnsi="Times New Roman"/>
          <w:color w:val="000000"/>
          <w:sz w:val="26"/>
          <w:szCs w:val="26"/>
        </w:rPr>
        <w:t xml:space="preserve"> (beyond the “no ceiling statement</w:t>
      </w:r>
      <w:r w:rsidR="00B905F7">
        <w:rPr>
          <w:rFonts w:ascii="Times New Roman" w:eastAsia="Cambria" w:hAnsi="Times New Roman"/>
          <w:color w:val="000000"/>
          <w:sz w:val="26"/>
          <w:szCs w:val="26"/>
        </w:rPr>
        <w:t>”</w:t>
      </w:r>
      <w:r w:rsidR="001B6835">
        <w:rPr>
          <w:rFonts w:ascii="Times New Roman" w:eastAsia="Cambria" w:hAnsi="Times New Roman"/>
          <w:color w:val="000000"/>
          <w:sz w:val="26"/>
          <w:szCs w:val="26"/>
        </w:rPr>
        <w:t>)</w:t>
      </w:r>
      <w:r w:rsidR="00BE07F6" w:rsidRPr="004C75FF">
        <w:rPr>
          <w:rFonts w:ascii="Times New Roman" w:eastAsia="Cambria" w:hAnsi="Times New Roman"/>
          <w:color w:val="000000"/>
          <w:sz w:val="26"/>
          <w:szCs w:val="26"/>
        </w:rPr>
        <w:t xml:space="preserve"> additional educational language </w:t>
      </w:r>
      <w:r w:rsidR="001B6835">
        <w:rPr>
          <w:rFonts w:ascii="Times New Roman" w:eastAsia="Cambria" w:hAnsi="Times New Roman"/>
          <w:color w:val="000000"/>
          <w:sz w:val="26"/>
          <w:szCs w:val="26"/>
        </w:rPr>
        <w:t xml:space="preserve">that is </w:t>
      </w:r>
      <w:r w:rsidR="00BE07F6" w:rsidRPr="004C75FF">
        <w:rPr>
          <w:rFonts w:ascii="Times New Roman" w:eastAsia="Cambria" w:hAnsi="Times New Roman"/>
          <w:color w:val="000000"/>
          <w:sz w:val="26"/>
          <w:szCs w:val="26"/>
        </w:rPr>
        <w:t>short</w:t>
      </w:r>
      <w:r w:rsidR="001B6835">
        <w:rPr>
          <w:rFonts w:ascii="Times New Roman" w:eastAsia="Cambria" w:hAnsi="Times New Roman"/>
          <w:color w:val="000000"/>
          <w:sz w:val="26"/>
          <w:szCs w:val="26"/>
        </w:rPr>
        <w:t>,</w:t>
      </w:r>
      <w:r w:rsidR="00BE07F6" w:rsidRPr="004C75FF">
        <w:rPr>
          <w:rFonts w:ascii="Times New Roman" w:eastAsia="Cambria" w:hAnsi="Times New Roman"/>
          <w:color w:val="000000"/>
          <w:sz w:val="26"/>
          <w:szCs w:val="26"/>
        </w:rPr>
        <w:t xml:space="preserve"> concise</w:t>
      </w:r>
      <w:r w:rsidR="001B6835">
        <w:rPr>
          <w:rFonts w:ascii="Times New Roman" w:eastAsia="Cambria" w:hAnsi="Times New Roman"/>
          <w:color w:val="000000"/>
          <w:sz w:val="26"/>
          <w:szCs w:val="26"/>
        </w:rPr>
        <w:t>, and</w:t>
      </w:r>
      <w:r w:rsidR="00BE07F6" w:rsidRPr="004C75FF">
        <w:rPr>
          <w:rFonts w:ascii="Times New Roman" w:eastAsia="Cambria" w:hAnsi="Times New Roman"/>
          <w:color w:val="000000"/>
          <w:sz w:val="26"/>
          <w:szCs w:val="26"/>
        </w:rPr>
        <w:t xml:space="preserve"> accurately informs the </w:t>
      </w:r>
      <w:r w:rsidR="001B6835">
        <w:rPr>
          <w:rFonts w:ascii="Times New Roman" w:eastAsia="Cambria" w:hAnsi="Times New Roman"/>
          <w:color w:val="000000"/>
          <w:sz w:val="26"/>
          <w:szCs w:val="26"/>
        </w:rPr>
        <w:t xml:space="preserve">customer of the </w:t>
      </w:r>
      <w:r w:rsidR="00BE07F6" w:rsidRPr="004C75FF">
        <w:rPr>
          <w:rFonts w:ascii="Times New Roman" w:eastAsia="Cambria" w:hAnsi="Times New Roman"/>
          <w:color w:val="000000"/>
          <w:sz w:val="26"/>
          <w:szCs w:val="26"/>
        </w:rPr>
        <w:t xml:space="preserve">potential benefits of a product.  </w:t>
      </w:r>
      <w:r w:rsidR="001B6835">
        <w:rPr>
          <w:rFonts w:ascii="Times New Roman" w:eastAsia="Cambria" w:hAnsi="Times New Roman"/>
          <w:i/>
          <w:color w:val="000000"/>
          <w:sz w:val="26"/>
          <w:szCs w:val="26"/>
        </w:rPr>
        <w:t>Id</w:t>
      </w:r>
      <w:r w:rsidR="00BE07F6" w:rsidRPr="004C75FF">
        <w:rPr>
          <w:rFonts w:ascii="Times New Roman" w:eastAsia="Cambria" w:hAnsi="Times New Roman"/>
          <w:color w:val="000000"/>
          <w:sz w:val="26"/>
          <w:szCs w:val="26"/>
        </w:rPr>
        <w:t>.</w:t>
      </w:r>
      <w:r w:rsidR="00BE07F6">
        <w:rPr>
          <w:rFonts w:ascii="Times New Roman" w:eastAsia="Cambria" w:hAnsi="Times New Roman"/>
          <w:color w:val="000000"/>
          <w:sz w:val="26"/>
          <w:szCs w:val="26"/>
        </w:rPr>
        <w:t xml:space="preserve">  </w:t>
      </w:r>
    </w:p>
    <w:p w:rsidR="001B6835" w:rsidRDefault="001B6835" w:rsidP="00BE07F6">
      <w:pPr>
        <w:pStyle w:val="NoSpacing"/>
        <w:spacing w:line="360" w:lineRule="auto"/>
        <w:ind w:firstLine="720"/>
        <w:rPr>
          <w:rFonts w:ascii="Times New Roman" w:eastAsia="Cambria" w:hAnsi="Times New Roman"/>
          <w:color w:val="000000"/>
          <w:sz w:val="26"/>
          <w:szCs w:val="26"/>
        </w:rPr>
      </w:pPr>
    </w:p>
    <w:p w:rsidR="00BE07F6" w:rsidRPr="004C75FF" w:rsidRDefault="001B6835" w:rsidP="00BE07F6">
      <w:pPr>
        <w:pStyle w:val="NoSpacing"/>
        <w:spacing w:line="360" w:lineRule="auto"/>
        <w:ind w:firstLine="720"/>
        <w:rPr>
          <w:rFonts w:ascii="Times New Roman" w:hAnsi="Times New Roman"/>
          <w:sz w:val="26"/>
          <w:szCs w:val="26"/>
        </w:rPr>
      </w:pPr>
      <w:r>
        <w:rPr>
          <w:rFonts w:ascii="Times New Roman" w:eastAsia="Cambria" w:hAnsi="Times New Roman"/>
          <w:color w:val="000000"/>
          <w:sz w:val="26"/>
          <w:szCs w:val="26"/>
        </w:rPr>
        <w:t xml:space="preserve">The PA Marketers urge the Commission “to chart a middle course between allowing suppliers to only say ‘the variable price will vary’ and requiring a calculable formula based on public indices.”  </w:t>
      </w:r>
      <w:r>
        <w:rPr>
          <w:rFonts w:ascii="Times New Roman" w:eastAsia="Cambria" w:hAnsi="Times New Roman"/>
          <w:i/>
          <w:color w:val="000000"/>
          <w:sz w:val="26"/>
          <w:szCs w:val="26"/>
        </w:rPr>
        <w:t xml:space="preserve">Id. </w:t>
      </w:r>
      <w:r>
        <w:rPr>
          <w:rFonts w:ascii="Times New Roman" w:eastAsia="Cambria" w:hAnsi="Times New Roman"/>
          <w:color w:val="000000"/>
          <w:sz w:val="26"/>
          <w:szCs w:val="26"/>
        </w:rPr>
        <w:t>at 3.  The PA Marketers c</w:t>
      </w:r>
      <w:r w:rsidR="00BE07F6" w:rsidRPr="004C75FF">
        <w:rPr>
          <w:rFonts w:ascii="Times New Roman" w:hAnsi="Times New Roman"/>
          <w:sz w:val="26"/>
          <w:szCs w:val="26"/>
        </w:rPr>
        <w:t>aution that a specific formula that a customer can use to calculate their bill total for service ahead of receiving the monthly bill may be impossible.</w:t>
      </w:r>
      <w:r>
        <w:rPr>
          <w:rFonts w:ascii="Times New Roman" w:hAnsi="Times New Roman"/>
          <w:sz w:val="26"/>
          <w:szCs w:val="26"/>
        </w:rPr>
        <w:t xml:space="preserve">  </w:t>
      </w:r>
      <w:r>
        <w:rPr>
          <w:rFonts w:ascii="Times New Roman" w:hAnsi="Times New Roman"/>
          <w:i/>
          <w:sz w:val="26"/>
          <w:szCs w:val="26"/>
        </w:rPr>
        <w:t>Id.</w:t>
      </w:r>
      <w:r>
        <w:rPr>
          <w:rFonts w:ascii="Times New Roman" w:hAnsi="Times New Roman"/>
          <w:sz w:val="26"/>
          <w:szCs w:val="26"/>
        </w:rPr>
        <w:t xml:space="preserve">  </w:t>
      </w:r>
      <w:r w:rsidR="008D05A1">
        <w:rPr>
          <w:rFonts w:ascii="Times New Roman" w:hAnsi="Times New Roman"/>
          <w:sz w:val="26"/>
          <w:szCs w:val="26"/>
        </w:rPr>
        <w:t xml:space="preserve">The PA Marketers </w:t>
      </w:r>
      <w:r>
        <w:rPr>
          <w:rFonts w:ascii="Times New Roman" w:hAnsi="Times New Roman"/>
          <w:sz w:val="26"/>
          <w:szCs w:val="26"/>
        </w:rPr>
        <w:t xml:space="preserve">explain that </w:t>
      </w:r>
      <w:r w:rsidR="008D05A1" w:rsidRPr="004C75FF">
        <w:rPr>
          <w:rFonts w:ascii="Times New Roman" w:hAnsi="Times New Roman"/>
          <w:sz w:val="26"/>
          <w:szCs w:val="26"/>
        </w:rPr>
        <w:t>the calculation of a variable rate price each month</w:t>
      </w:r>
      <w:r w:rsidR="008D05A1">
        <w:rPr>
          <w:rFonts w:ascii="Times New Roman" w:hAnsi="Times New Roman"/>
          <w:sz w:val="26"/>
          <w:szCs w:val="26"/>
        </w:rPr>
        <w:t xml:space="preserve"> depends on </w:t>
      </w:r>
      <w:r>
        <w:rPr>
          <w:rFonts w:ascii="Times New Roman" w:hAnsi="Times New Roman"/>
          <w:sz w:val="26"/>
          <w:szCs w:val="26"/>
        </w:rPr>
        <w:t>a</w:t>
      </w:r>
      <w:r w:rsidR="00BE07F6" w:rsidRPr="004C75FF">
        <w:rPr>
          <w:rFonts w:ascii="Times New Roman" w:hAnsi="Times New Roman"/>
          <w:sz w:val="26"/>
          <w:szCs w:val="26"/>
        </w:rPr>
        <w:t xml:space="preserve"> range of factors</w:t>
      </w:r>
      <w:r w:rsidR="00F52B43">
        <w:rPr>
          <w:rFonts w:ascii="Times New Roman" w:hAnsi="Times New Roman"/>
          <w:sz w:val="26"/>
          <w:szCs w:val="26"/>
        </w:rPr>
        <w:t>:</w:t>
      </w:r>
      <w:r w:rsidR="00BE07F6" w:rsidRPr="004C75FF">
        <w:rPr>
          <w:rFonts w:ascii="Times New Roman" w:hAnsi="Times New Roman"/>
          <w:sz w:val="26"/>
          <w:szCs w:val="26"/>
        </w:rPr>
        <w:t xml:space="preserve"> </w:t>
      </w:r>
      <w:r w:rsidR="008D05A1">
        <w:rPr>
          <w:rFonts w:ascii="Times New Roman" w:hAnsi="Times New Roman"/>
          <w:sz w:val="26"/>
          <w:szCs w:val="26"/>
        </w:rPr>
        <w:t>publicly available</w:t>
      </w:r>
      <w:r w:rsidR="00BE07F6" w:rsidRPr="004C75FF">
        <w:rPr>
          <w:rFonts w:ascii="Times New Roman" w:hAnsi="Times New Roman"/>
          <w:sz w:val="26"/>
          <w:szCs w:val="26"/>
        </w:rPr>
        <w:t xml:space="preserve"> commodity prices</w:t>
      </w:r>
      <w:r w:rsidR="00F52B43">
        <w:rPr>
          <w:rFonts w:ascii="Times New Roman" w:hAnsi="Times New Roman"/>
          <w:sz w:val="26"/>
          <w:szCs w:val="26"/>
        </w:rPr>
        <w:t xml:space="preserve">; </w:t>
      </w:r>
      <w:r w:rsidR="008D05A1">
        <w:rPr>
          <w:rFonts w:ascii="Times New Roman" w:hAnsi="Times New Roman"/>
          <w:sz w:val="26"/>
          <w:szCs w:val="26"/>
        </w:rPr>
        <w:t>private factors</w:t>
      </w:r>
      <w:r w:rsidR="00BE07F6" w:rsidRPr="004C75FF">
        <w:rPr>
          <w:rFonts w:ascii="Times New Roman" w:hAnsi="Times New Roman"/>
          <w:sz w:val="26"/>
          <w:szCs w:val="26"/>
        </w:rPr>
        <w:t xml:space="preserve"> like hedging and risk mitigation activities</w:t>
      </w:r>
      <w:r w:rsidR="00F52B43">
        <w:rPr>
          <w:rFonts w:ascii="Times New Roman" w:hAnsi="Times New Roman"/>
          <w:sz w:val="26"/>
          <w:szCs w:val="26"/>
        </w:rPr>
        <w:t>;</w:t>
      </w:r>
      <w:r w:rsidR="00BE07F6" w:rsidRPr="004C75FF">
        <w:rPr>
          <w:rFonts w:ascii="Times New Roman" w:hAnsi="Times New Roman"/>
          <w:sz w:val="26"/>
          <w:szCs w:val="26"/>
        </w:rPr>
        <w:t xml:space="preserve"> </w:t>
      </w:r>
      <w:r w:rsidR="008D05A1">
        <w:rPr>
          <w:rFonts w:ascii="Times New Roman" w:hAnsi="Times New Roman"/>
          <w:sz w:val="26"/>
          <w:szCs w:val="26"/>
        </w:rPr>
        <w:t>and</w:t>
      </w:r>
      <w:r w:rsidR="00BE07F6" w:rsidRPr="004C75FF">
        <w:rPr>
          <w:rFonts w:ascii="Times New Roman" w:hAnsi="Times New Roman"/>
          <w:sz w:val="26"/>
          <w:szCs w:val="26"/>
        </w:rPr>
        <w:t xml:space="preserve"> internal corporate factors (</w:t>
      </w:r>
      <w:r w:rsidR="008D05A1" w:rsidRPr="00877B60">
        <w:rPr>
          <w:rFonts w:ascii="Times New Roman" w:hAnsi="Times New Roman"/>
          <w:i/>
          <w:sz w:val="26"/>
          <w:szCs w:val="26"/>
        </w:rPr>
        <w:t>e.g.,</w:t>
      </w:r>
      <w:r w:rsidR="00BE07F6" w:rsidRPr="004C75FF">
        <w:rPr>
          <w:rFonts w:ascii="Times New Roman" w:hAnsi="Times New Roman"/>
          <w:sz w:val="26"/>
          <w:szCs w:val="26"/>
        </w:rPr>
        <w:t xml:space="preserve"> customer service and operations expenses, legal and regulatory </w:t>
      </w:r>
      <w:r w:rsidR="00BE07F6" w:rsidRPr="004C75FF">
        <w:rPr>
          <w:rFonts w:ascii="Times New Roman" w:hAnsi="Times New Roman"/>
          <w:sz w:val="26"/>
          <w:szCs w:val="26"/>
        </w:rPr>
        <w:lastRenderedPageBreak/>
        <w:t xml:space="preserve">compliance fees, etc.). </w:t>
      </w:r>
      <w:r w:rsidR="008D05A1">
        <w:rPr>
          <w:rFonts w:ascii="Times New Roman" w:hAnsi="Times New Roman"/>
          <w:sz w:val="26"/>
          <w:szCs w:val="26"/>
        </w:rPr>
        <w:t xml:space="preserve"> </w:t>
      </w:r>
      <w:r w:rsidR="008D05A1">
        <w:rPr>
          <w:rFonts w:ascii="Times New Roman" w:hAnsi="Times New Roman"/>
          <w:i/>
          <w:sz w:val="26"/>
          <w:szCs w:val="26"/>
        </w:rPr>
        <w:t>Id.</w:t>
      </w:r>
      <w:r w:rsidR="008D05A1">
        <w:rPr>
          <w:rFonts w:ascii="Times New Roman" w:hAnsi="Times New Roman"/>
          <w:sz w:val="26"/>
          <w:szCs w:val="26"/>
        </w:rPr>
        <w:t xml:space="preserve">  Therefore, the PA Marketers seek</w:t>
      </w:r>
      <w:r w:rsidR="00BE07F6" w:rsidRPr="004C75FF">
        <w:rPr>
          <w:rFonts w:ascii="Times New Roman" w:hAnsi="Times New Roman"/>
          <w:sz w:val="26"/>
          <w:szCs w:val="26"/>
        </w:rPr>
        <w:t xml:space="preserve"> flexibility </w:t>
      </w:r>
      <w:r w:rsidR="008D05A1">
        <w:rPr>
          <w:rFonts w:ascii="Times New Roman" w:hAnsi="Times New Roman"/>
          <w:sz w:val="26"/>
          <w:szCs w:val="26"/>
        </w:rPr>
        <w:t>for</w:t>
      </w:r>
      <w:r w:rsidR="00BE07F6" w:rsidRPr="004C75FF">
        <w:rPr>
          <w:rFonts w:ascii="Times New Roman" w:hAnsi="Times New Roman"/>
          <w:sz w:val="26"/>
          <w:szCs w:val="26"/>
        </w:rPr>
        <w:t xml:space="preserve"> supplier</w:t>
      </w:r>
      <w:r w:rsidR="008D05A1">
        <w:rPr>
          <w:rFonts w:ascii="Times New Roman" w:hAnsi="Times New Roman"/>
          <w:sz w:val="26"/>
          <w:szCs w:val="26"/>
        </w:rPr>
        <w:t xml:space="preserve">s who do not have </w:t>
      </w:r>
      <w:r w:rsidR="00BE07F6" w:rsidRPr="004C75FF">
        <w:rPr>
          <w:rFonts w:ascii="Times New Roman" w:hAnsi="Times New Roman"/>
          <w:sz w:val="26"/>
          <w:szCs w:val="26"/>
        </w:rPr>
        <w:t xml:space="preserve">the advantage of </w:t>
      </w:r>
      <w:r w:rsidR="008D05A1">
        <w:rPr>
          <w:rFonts w:ascii="Times New Roman" w:hAnsi="Times New Roman"/>
          <w:sz w:val="26"/>
          <w:szCs w:val="26"/>
        </w:rPr>
        <w:t xml:space="preserve">cost </w:t>
      </w:r>
      <w:r w:rsidR="00BE07F6" w:rsidRPr="004C75FF">
        <w:rPr>
          <w:rFonts w:ascii="Times New Roman" w:hAnsi="Times New Roman"/>
          <w:sz w:val="26"/>
          <w:szCs w:val="26"/>
        </w:rPr>
        <w:t>recover</w:t>
      </w:r>
      <w:r w:rsidR="008D05A1">
        <w:rPr>
          <w:rFonts w:ascii="Times New Roman" w:hAnsi="Times New Roman"/>
          <w:sz w:val="26"/>
          <w:szCs w:val="26"/>
        </w:rPr>
        <w:t xml:space="preserve">y and reconciliation like the utilities.  </w:t>
      </w:r>
      <w:r w:rsidR="008D05A1">
        <w:rPr>
          <w:rFonts w:ascii="Times New Roman" w:hAnsi="Times New Roman"/>
          <w:i/>
          <w:sz w:val="26"/>
          <w:szCs w:val="26"/>
        </w:rPr>
        <w:t>Id</w:t>
      </w:r>
      <w:r w:rsidR="00BE07F6" w:rsidRPr="004C75FF">
        <w:rPr>
          <w:rFonts w:ascii="Times New Roman" w:hAnsi="Times New Roman"/>
          <w:sz w:val="26"/>
          <w:szCs w:val="26"/>
        </w:rPr>
        <w:t>.</w:t>
      </w:r>
    </w:p>
    <w:p w:rsidR="00BE07F6" w:rsidRPr="004C75FF" w:rsidRDefault="00BE07F6" w:rsidP="00BE07F6">
      <w:pPr>
        <w:pStyle w:val="NoSpacing"/>
        <w:spacing w:line="360" w:lineRule="auto"/>
        <w:rPr>
          <w:rFonts w:ascii="Times New Roman" w:hAnsi="Times New Roman"/>
          <w:sz w:val="26"/>
          <w:szCs w:val="26"/>
        </w:rPr>
      </w:pPr>
    </w:p>
    <w:p w:rsidR="00BE07F6" w:rsidRPr="004C75FF" w:rsidRDefault="005470AC" w:rsidP="00952BD1">
      <w:pPr>
        <w:pStyle w:val="NoSpacing"/>
        <w:spacing w:line="360" w:lineRule="auto"/>
        <w:ind w:firstLine="720"/>
        <w:rPr>
          <w:rFonts w:ascii="Times New Roman" w:hAnsi="Times New Roman"/>
          <w:sz w:val="26"/>
          <w:szCs w:val="26"/>
        </w:rPr>
      </w:pPr>
      <w:r>
        <w:rPr>
          <w:rFonts w:ascii="Times New Roman" w:hAnsi="Times New Roman"/>
          <w:sz w:val="26"/>
          <w:szCs w:val="26"/>
        </w:rPr>
        <w:t>The PA Marketers ask</w:t>
      </w:r>
      <w:r w:rsidR="004D7316">
        <w:rPr>
          <w:rFonts w:ascii="Times New Roman" w:hAnsi="Times New Roman"/>
          <w:sz w:val="26"/>
          <w:szCs w:val="26"/>
        </w:rPr>
        <w:t xml:space="preserve"> the </w:t>
      </w:r>
      <w:r w:rsidR="00F52B43">
        <w:rPr>
          <w:rFonts w:ascii="Times New Roman" w:hAnsi="Times New Roman"/>
          <w:sz w:val="26"/>
          <w:szCs w:val="26"/>
        </w:rPr>
        <w:t>Commission</w:t>
      </w:r>
      <w:r w:rsidR="004D7316">
        <w:rPr>
          <w:rFonts w:ascii="Times New Roman" w:hAnsi="Times New Roman"/>
          <w:sz w:val="26"/>
          <w:szCs w:val="26"/>
        </w:rPr>
        <w:t xml:space="preserve"> to reconsider requiring </w:t>
      </w:r>
      <w:r w:rsidR="00BE07F6" w:rsidRPr="004C75FF">
        <w:rPr>
          <w:rFonts w:ascii="Times New Roman" w:hAnsi="Times New Roman"/>
          <w:sz w:val="26"/>
          <w:szCs w:val="26"/>
        </w:rPr>
        <w:t xml:space="preserve">suppliers to disclose to </w:t>
      </w:r>
      <w:r w:rsidR="00860CB8">
        <w:rPr>
          <w:rFonts w:ascii="Times New Roman" w:hAnsi="Times New Roman"/>
          <w:sz w:val="26"/>
          <w:szCs w:val="26"/>
        </w:rPr>
        <w:t xml:space="preserve">a </w:t>
      </w:r>
      <w:r w:rsidR="00BE07F6" w:rsidRPr="004C75FF">
        <w:rPr>
          <w:rFonts w:ascii="Times New Roman" w:hAnsi="Times New Roman"/>
          <w:sz w:val="26"/>
          <w:szCs w:val="26"/>
        </w:rPr>
        <w:t xml:space="preserve">potential new customer the previous 24 months’ average monthly billed prices for that customer’s rate class and NGDC service territory. </w:t>
      </w:r>
      <w:r w:rsidR="003C0995">
        <w:rPr>
          <w:rFonts w:ascii="Times New Roman" w:hAnsi="Times New Roman"/>
          <w:sz w:val="26"/>
          <w:szCs w:val="26"/>
        </w:rPr>
        <w:t xml:space="preserve"> The</w:t>
      </w:r>
      <w:r w:rsidR="00BE07F6" w:rsidRPr="004C75FF">
        <w:rPr>
          <w:rFonts w:ascii="Times New Roman" w:hAnsi="Times New Roman"/>
          <w:sz w:val="26"/>
          <w:szCs w:val="26"/>
        </w:rPr>
        <w:t xml:space="preserve"> </w:t>
      </w:r>
      <w:r w:rsidR="003C0995">
        <w:rPr>
          <w:rFonts w:ascii="Times New Roman" w:hAnsi="Times New Roman"/>
          <w:sz w:val="26"/>
          <w:szCs w:val="26"/>
        </w:rPr>
        <w:t xml:space="preserve">PA Marketers </w:t>
      </w:r>
      <w:r w:rsidR="004D7316">
        <w:rPr>
          <w:rFonts w:ascii="Times New Roman" w:hAnsi="Times New Roman"/>
          <w:sz w:val="26"/>
          <w:szCs w:val="26"/>
        </w:rPr>
        <w:t>question the efficacy of this information in light of</w:t>
      </w:r>
      <w:r w:rsidR="00BE07F6" w:rsidRPr="004C75FF">
        <w:rPr>
          <w:rFonts w:ascii="Times New Roman" w:hAnsi="Times New Roman"/>
          <w:sz w:val="26"/>
          <w:szCs w:val="26"/>
        </w:rPr>
        <w:t xml:space="preserve"> wholesale energy markets </w:t>
      </w:r>
      <w:r w:rsidR="004D7316">
        <w:rPr>
          <w:rFonts w:ascii="Times New Roman" w:hAnsi="Times New Roman"/>
          <w:sz w:val="26"/>
          <w:szCs w:val="26"/>
        </w:rPr>
        <w:t>subject to unpredictable price patterns and shifts (</w:t>
      </w:r>
      <w:r w:rsidR="004D7316" w:rsidRPr="00877B60">
        <w:rPr>
          <w:rFonts w:ascii="Times New Roman" w:hAnsi="Times New Roman"/>
          <w:i/>
          <w:sz w:val="26"/>
          <w:szCs w:val="26"/>
        </w:rPr>
        <w:t>e.g.,</w:t>
      </w:r>
      <w:r w:rsidR="004D7316">
        <w:rPr>
          <w:rFonts w:ascii="Times New Roman" w:hAnsi="Times New Roman"/>
          <w:sz w:val="26"/>
          <w:szCs w:val="26"/>
        </w:rPr>
        <w:t xml:space="preserve"> </w:t>
      </w:r>
      <w:r w:rsidR="00BE07F6">
        <w:rPr>
          <w:rFonts w:ascii="Times New Roman" w:eastAsia="Cambria" w:hAnsi="Times New Roman"/>
          <w:color w:val="000000"/>
          <w:spacing w:val="-1"/>
          <w:sz w:val="26"/>
          <w:szCs w:val="26"/>
        </w:rPr>
        <w:t xml:space="preserve">the </w:t>
      </w:r>
      <w:r w:rsidR="00BE07F6" w:rsidRPr="004C75FF">
        <w:rPr>
          <w:rFonts w:ascii="Times New Roman" w:eastAsia="Cambria" w:hAnsi="Times New Roman"/>
          <w:color w:val="000000"/>
          <w:spacing w:val="-1"/>
          <w:sz w:val="26"/>
          <w:szCs w:val="26"/>
        </w:rPr>
        <w:t>historic drop in natural gas prices due to hydraulic fracturing</w:t>
      </w:r>
      <w:r w:rsidR="004D7316">
        <w:rPr>
          <w:rFonts w:ascii="Times New Roman" w:eastAsia="Cambria" w:hAnsi="Times New Roman"/>
          <w:color w:val="000000"/>
          <w:spacing w:val="-1"/>
          <w:sz w:val="26"/>
          <w:szCs w:val="26"/>
        </w:rPr>
        <w:t>)</w:t>
      </w:r>
      <w:r w:rsidR="00BE07F6" w:rsidRPr="004C75FF">
        <w:rPr>
          <w:rFonts w:ascii="Times New Roman" w:eastAsia="Cambria" w:hAnsi="Times New Roman"/>
          <w:color w:val="000000"/>
          <w:spacing w:val="-1"/>
          <w:sz w:val="26"/>
          <w:szCs w:val="26"/>
        </w:rPr>
        <w:t>.  P</w:t>
      </w:r>
      <w:r w:rsidR="004D7316">
        <w:rPr>
          <w:rFonts w:ascii="Times New Roman" w:eastAsia="Cambria" w:hAnsi="Times New Roman"/>
          <w:color w:val="000000"/>
          <w:spacing w:val="-1"/>
          <w:sz w:val="26"/>
          <w:szCs w:val="26"/>
        </w:rPr>
        <w:t>A Marketers Comments at 4-5</w:t>
      </w:r>
      <w:r w:rsidR="00BE07F6" w:rsidRPr="004C75FF">
        <w:rPr>
          <w:rFonts w:ascii="Times New Roman" w:eastAsia="Cambria" w:hAnsi="Times New Roman"/>
          <w:color w:val="000000"/>
          <w:spacing w:val="-1"/>
          <w:sz w:val="26"/>
          <w:szCs w:val="26"/>
        </w:rPr>
        <w:t>.</w:t>
      </w:r>
      <w:r w:rsidR="00BE07F6">
        <w:rPr>
          <w:rFonts w:ascii="Times New Roman" w:eastAsia="Cambria" w:hAnsi="Times New Roman"/>
          <w:color w:val="000000"/>
          <w:spacing w:val="-1"/>
          <w:sz w:val="26"/>
          <w:szCs w:val="26"/>
        </w:rPr>
        <w:t xml:space="preserve">  If the Commission proceeds with this proposal, </w:t>
      </w:r>
      <w:r w:rsidR="00952BD1">
        <w:rPr>
          <w:rFonts w:ascii="Times New Roman" w:eastAsia="Cambria" w:hAnsi="Times New Roman"/>
          <w:color w:val="000000"/>
          <w:spacing w:val="-1"/>
          <w:sz w:val="26"/>
          <w:szCs w:val="26"/>
        </w:rPr>
        <w:t xml:space="preserve">the PA Marketers contend </w:t>
      </w:r>
      <w:r w:rsidR="00BE07F6">
        <w:rPr>
          <w:rFonts w:ascii="Times New Roman" w:eastAsia="Cambria" w:hAnsi="Times New Roman"/>
          <w:color w:val="000000"/>
          <w:spacing w:val="-1"/>
          <w:sz w:val="26"/>
          <w:szCs w:val="26"/>
        </w:rPr>
        <w:t xml:space="preserve">that </w:t>
      </w:r>
      <w:r w:rsidR="00BE07F6" w:rsidRPr="004C75FF">
        <w:rPr>
          <w:rFonts w:ascii="Times New Roman" w:hAnsi="Times New Roman"/>
          <w:sz w:val="26"/>
          <w:szCs w:val="26"/>
        </w:rPr>
        <w:t xml:space="preserve">the 24-month price history </w:t>
      </w:r>
      <w:r w:rsidR="00BE07F6">
        <w:rPr>
          <w:rFonts w:ascii="Times New Roman" w:hAnsi="Times New Roman"/>
          <w:sz w:val="26"/>
          <w:szCs w:val="26"/>
        </w:rPr>
        <w:t>should be</w:t>
      </w:r>
      <w:r w:rsidR="00BE07F6" w:rsidRPr="004C75FF">
        <w:rPr>
          <w:rFonts w:ascii="Times New Roman" w:hAnsi="Times New Roman"/>
          <w:sz w:val="26"/>
          <w:szCs w:val="26"/>
        </w:rPr>
        <w:t xml:space="preserve"> accompanied by a disclaimer noting: (1) that historical pricing is not indicative of present or future</w:t>
      </w:r>
      <w:r w:rsidR="00F52B43">
        <w:rPr>
          <w:rFonts w:ascii="Times New Roman" w:hAnsi="Times New Roman"/>
          <w:sz w:val="26"/>
          <w:szCs w:val="26"/>
        </w:rPr>
        <w:t xml:space="preserve"> pricing; (2) that the utility price to c</w:t>
      </w:r>
      <w:r w:rsidR="00BE07F6" w:rsidRPr="004C75FF">
        <w:rPr>
          <w:rFonts w:ascii="Times New Roman" w:hAnsi="Times New Roman"/>
          <w:sz w:val="26"/>
          <w:szCs w:val="26"/>
        </w:rPr>
        <w:t xml:space="preserve">ompare </w:t>
      </w:r>
      <w:r w:rsidR="00B26C38">
        <w:rPr>
          <w:rFonts w:ascii="Times New Roman" w:hAnsi="Times New Roman"/>
          <w:sz w:val="26"/>
          <w:szCs w:val="26"/>
        </w:rPr>
        <w:t xml:space="preserve">(PTC) </w:t>
      </w:r>
      <w:r w:rsidR="00BE07F6" w:rsidRPr="004C75FF">
        <w:rPr>
          <w:rFonts w:ascii="Times New Roman" w:hAnsi="Times New Roman"/>
          <w:sz w:val="26"/>
          <w:szCs w:val="26"/>
        </w:rPr>
        <w:t xml:space="preserve">and the supplier price term may differ, meaning straight comparisons of rates may be misleading; and (3) that the </w:t>
      </w:r>
      <w:r w:rsidR="00952BD1">
        <w:rPr>
          <w:rFonts w:ascii="Times New Roman" w:hAnsi="Times New Roman"/>
          <w:sz w:val="26"/>
          <w:szCs w:val="26"/>
        </w:rPr>
        <w:t xml:space="preserve">entire </w:t>
      </w:r>
      <w:r w:rsidR="00BE07F6" w:rsidRPr="004C75FF">
        <w:rPr>
          <w:rFonts w:ascii="Times New Roman" w:hAnsi="Times New Roman"/>
          <w:sz w:val="26"/>
          <w:szCs w:val="26"/>
        </w:rPr>
        <w:t xml:space="preserve">value of a supplier’s </w:t>
      </w:r>
      <w:r w:rsidR="00952BD1">
        <w:rPr>
          <w:rFonts w:ascii="Times New Roman" w:hAnsi="Times New Roman"/>
          <w:sz w:val="26"/>
          <w:szCs w:val="26"/>
        </w:rPr>
        <w:t xml:space="preserve">fixed </w:t>
      </w:r>
      <w:r w:rsidR="00BE07F6" w:rsidRPr="004C75FF">
        <w:rPr>
          <w:rFonts w:ascii="Times New Roman" w:hAnsi="Times New Roman"/>
          <w:sz w:val="26"/>
          <w:szCs w:val="26"/>
        </w:rPr>
        <w:t xml:space="preserve">price offer must be considered when comparing </w:t>
      </w:r>
      <w:r w:rsidR="00952BD1">
        <w:rPr>
          <w:rFonts w:ascii="Times New Roman" w:hAnsi="Times New Roman"/>
          <w:sz w:val="26"/>
          <w:szCs w:val="26"/>
        </w:rPr>
        <w:t>to</w:t>
      </w:r>
      <w:r w:rsidR="00BE07F6" w:rsidRPr="004C75FF">
        <w:rPr>
          <w:rFonts w:ascii="Times New Roman" w:hAnsi="Times New Roman"/>
          <w:sz w:val="26"/>
          <w:szCs w:val="26"/>
        </w:rPr>
        <w:t xml:space="preserve"> the utility rate</w:t>
      </w:r>
      <w:r w:rsidR="00BE07F6">
        <w:rPr>
          <w:rFonts w:ascii="Times New Roman" w:hAnsi="Times New Roman"/>
          <w:sz w:val="26"/>
          <w:szCs w:val="26"/>
        </w:rPr>
        <w:t xml:space="preserve">.  </w:t>
      </w:r>
      <w:r w:rsidR="004D7316">
        <w:rPr>
          <w:rFonts w:ascii="Times New Roman" w:hAnsi="Times New Roman"/>
          <w:i/>
          <w:sz w:val="26"/>
          <w:szCs w:val="26"/>
        </w:rPr>
        <w:t>Id.</w:t>
      </w:r>
      <w:r w:rsidR="004D7316">
        <w:rPr>
          <w:rFonts w:ascii="Times New Roman" w:hAnsi="Times New Roman"/>
          <w:sz w:val="26"/>
          <w:szCs w:val="26"/>
        </w:rPr>
        <w:t xml:space="preserve"> at 4</w:t>
      </w:r>
      <w:r w:rsidR="00BE07F6" w:rsidRPr="004C75FF">
        <w:rPr>
          <w:rFonts w:ascii="Times New Roman" w:hAnsi="Times New Roman"/>
          <w:sz w:val="26"/>
          <w:szCs w:val="26"/>
        </w:rPr>
        <w:t>.</w:t>
      </w:r>
      <w:r w:rsidR="00952BD1">
        <w:rPr>
          <w:rFonts w:ascii="Times New Roman" w:hAnsi="Times New Roman"/>
          <w:sz w:val="26"/>
          <w:szCs w:val="26"/>
        </w:rPr>
        <w:t xml:space="preserve">  </w:t>
      </w:r>
      <w:r w:rsidR="00BE07F6">
        <w:rPr>
          <w:rFonts w:ascii="Times New Roman" w:hAnsi="Times New Roman"/>
          <w:sz w:val="26"/>
          <w:szCs w:val="26"/>
        </w:rPr>
        <w:t>As f</w:t>
      </w:r>
      <w:r w:rsidR="00BE07F6" w:rsidRPr="004C75FF">
        <w:rPr>
          <w:rFonts w:ascii="Times New Roman" w:hAnsi="Times New Roman"/>
          <w:sz w:val="26"/>
          <w:szCs w:val="26"/>
        </w:rPr>
        <w:t>or</w:t>
      </w:r>
      <w:r w:rsidR="00B26C38">
        <w:rPr>
          <w:rFonts w:ascii="Times New Roman" w:hAnsi="Times New Roman"/>
          <w:sz w:val="26"/>
          <w:szCs w:val="26"/>
        </w:rPr>
        <w:t xml:space="preserve"> a new NGS</w:t>
      </w:r>
      <w:r w:rsidR="00952BD1">
        <w:rPr>
          <w:rFonts w:ascii="Times New Roman" w:hAnsi="Times New Roman"/>
          <w:sz w:val="26"/>
          <w:szCs w:val="26"/>
        </w:rPr>
        <w:t xml:space="preserve"> entering the market, the PA Marketers </w:t>
      </w:r>
      <w:r w:rsidR="00BE07F6" w:rsidRPr="004C75FF">
        <w:rPr>
          <w:rFonts w:ascii="Times New Roman" w:hAnsi="Times New Roman"/>
          <w:sz w:val="26"/>
          <w:szCs w:val="26"/>
        </w:rPr>
        <w:t>recommend that the NGS disclose that it has no historic prices to provide</w:t>
      </w:r>
      <w:r w:rsidR="00952BD1">
        <w:rPr>
          <w:rFonts w:ascii="Times New Roman" w:hAnsi="Times New Roman"/>
          <w:sz w:val="26"/>
          <w:szCs w:val="26"/>
        </w:rPr>
        <w:t>, but moving forward will</w:t>
      </w:r>
      <w:r w:rsidR="00BE07F6" w:rsidRPr="004C75FF">
        <w:rPr>
          <w:rFonts w:ascii="Times New Roman" w:hAnsi="Times New Roman"/>
          <w:sz w:val="26"/>
          <w:szCs w:val="26"/>
        </w:rPr>
        <w:t xml:space="preserve"> </w:t>
      </w:r>
      <w:r>
        <w:rPr>
          <w:rFonts w:ascii="Times New Roman" w:hAnsi="Times New Roman"/>
          <w:sz w:val="26"/>
          <w:szCs w:val="26"/>
        </w:rPr>
        <w:t xml:space="preserve">provide </w:t>
      </w:r>
      <w:r w:rsidR="00BE07F6" w:rsidRPr="004C75FF">
        <w:rPr>
          <w:rFonts w:ascii="Times New Roman" w:hAnsi="Times New Roman"/>
          <w:sz w:val="26"/>
          <w:szCs w:val="26"/>
        </w:rPr>
        <w:t>historical price information</w:t>
      </w:r>
      <w:r w:rsidR="00952BD1">
        <w:rPr>
          <w:rFonts w:ascii="Times New Roman" w:hAnsi="Times New Roman"/>
          <w:sz w:val="26"/>
          <w:szCs w:val="26"/>
        </w:rPr>
        <w:t xml:space="preserve"> </w:t>
      </w:r>
      <w:r w:rsidR="00B26C38">
        <w:rPr>
          <w:rFonts w:ascii="Times New Roman" w:hAnsi="Times New Roman"/>
          <w:sz w:val="26"/>
          <w:szCs w:val="26"/>
        </w:rPr>
        <w:t xml:space="preserve">on each bill </w:t>
      </w:r>
      <w:r w:rsidR="00952BD1">
        <w:rPr>
          <w:rFonts w:ascii="Times New Roman" w:hAnsi="Times New Roman"/>
          <w:sz w:val="26"/>
          <w:szCs w:val="26"/>
        </w:rPr>
        <w:t>with an</w:t>
      </w:r>
      <w:r w:rsidR="00BE07F6" w:rsidRPr="004C75FF">
        <w:rPr>
          <w:rFonts w:ascii="Times New Roman" w:hAnsi="Times New Roman"/>
          <w:sz w:val="26"/>
          <w:szCs w:val="26"/>
        </w:rPr>
        <w:t xml:space="preserve"> additional disclaimer</w:t>
      </w:r>
      <w:r w:rsidR="00952BD1">
        <w:rPr>
          <w:rFonts w:ascii="Times New Roman" w:hAnsi="Times New Roman"/>
          <w:sz w:val="26"/>
          <w:szCs w:val="26"/>
        </w:rPr>
        <w:t xml:space="preserve"> </w:t>
      </w:r>
      <w:r w:rsidR="00B26C38">
        <w:rPr>
          <w:rFonts w:ascii="Times New Roman" w:hAnsi="Times New Roman"/>
          <w:sz w:val="26"/>
          <w:szCs w:val="26"/>
        </w:rPr>
        <w:t>until 24 months</w:t>
      </w:r>
      <w:r w:rsidR="00BE07F6" w:rsidRPr="004C75FF">
        <w:rPr>
          <w:rFonts w:ascii="Times New Roman" w:hAnsi="Times New Roman"/>
          <w:sz w:val="26"/>
          <w:szCs w:val="26"/>
        </w:rPr>
        <w:t xml:space="preserve"> of</w:t>
      </w:r>
      <w:r w:rsidR="00952BD1">
        <w:rPr>
          <w:rFonts w:ascii="Times New Roman" w:hAnsi="Times New Roman"/>
          <w:sz w:val="26"/>
          <w:szCs w:val="26"/>
        </w:rPr>
        <w:t xml:space="preserve"> data is available.  </w:t>
      </w:r>
      <w:r w:rsidR="00952BD1">
        <w:rPr>
          <w:rFonts w:ascii="Times New Roman" w:hAnsi="Times New Roman"/>
          <w:i/>
          <w:sz w:val="26"/>
          <w:szCs w:val="26"/>
        </w:rPr>
        <w:t>Id.</w:t>
      </w:r>
      <w:r w:rsidR="00952BD1">
        <w:rPr>
          <w:rFonts w:ascii="Times New Roman" w:hAnsi="Times New Roman"/>
          <w:sz w:val="26"/>
          <w:szCs w:val="26"/>
        </w:rPr>
        <w:t xml:space="preserve"> at 5</w:t>
      </w:r>
      <w:r w:rsidR="00BE07F6" w:rsidRPr="004C75FF">
        <w:rPr>
          <w:rFonts w:ascii="Times New Roman" w:hAnsi="Times New Roman"/>
          <w:sz w:val="26"/>
          <w:szCs w:val="26"/>
        </w:rPr>
        <w:t>.</w:t>
      </w:r>
    </w:p>
    <w:p w:rsidR="00BE07F6" w:rsidRPr="004C75FF" w:rsidRDefault="00BE07F6" w:rsidP="00BE07F6">
      <w:pPr>
        <w:pStyle w:val="NoSpacing"/>
        <w:spacing w:line="360" w:lineRule="auto"/>
        <w:rPr>
          <w:rFonts w:ascii="Times New Roman" w:hAnsi="Times New Roman"/>
          <w:sz w:val="26"/>
          <w:szCs w:val="26"/>
        </w:rPr>
      </w:pPr>
    </w:p>
    <w:p w:rsidR="00BE07F6" w:rsidRPr="004C75FF" w:rsidRDefault="00BE07F6" w:rsidP="00CD47BC">
      <w:pPr>
        <w:pStyle w:val="NoSpacing"/>
        <w:spacing w:line="360" w:lineRule="auto"/>
        <w:ind w:firstLine="720"/>
        <w:rPr>
          <w:rFonts w:ascii="Times New Roman" w:hAnsi="Times New Roman"/>
          <w:sz w:val="26"/>
          <w:szCs w:val="26"/>
        </w:rPr>
      </w:pPr>
      <w:r w:rsidRPr="00F5515D">
        <w:rPr>
          <w:rFonts w:ascii="Times New Roman" w:hAnsi="Times New Roman"/>
          <w:sz w:val="26"/>
          <w:szCs w:val="26"/>
        </w:rPr>
        <w:t xml:space="preserve">OCA </w:t>
      </w:r>
      <w:r w:rsidR="00F5515D" w:rsidRPr="00F5515D">
        <w:rPr>
          <w:rFonts w:ascii="Times New Roman" w:hAnsi="Times New Roman"/>
          <w:sz w:val="26"/>
          <w:szCs w:val="26"/>
        </w:rPr>
        <w:t>believes that</w:t>
      </w:r>
      <w:r w:rsidRPr="004C75FF">
        <w:rPr>
          <w:rFonts w:ascii="Times New Roman" w:hAnsi="Times New Roman"/>
          <w:sz w:val="26"/>
          <w:szCs w:val="26"/>
        </w:rPr>
        <w:t xml:space="preserve"> while the proposed additional </w:t>
      </w:r>
      <w:r w:rsidR="00B26C38">
        <w:rPr>
          <w:rFonts w:ascii="Times New Roman" w:hAnsi="Times New Roman"/>
          <w:sz w:val="26"/>
          <w:szCs w:val="26"/>
        </w:rPr>
        <w:t>subparagraphs</w:t>
      </w:r>
      <w:r w:rsidRPr="004C75FF">
        <w:rPr>
          <w:rFonts w:ascii="Times New Roman" w:hAnsi="Times New Roman"/>
          <w:sz w:val="26"/>
          <w:szCs w:val="26"/>
        </w:rPr>
        <w:t xml:space="preserve"> to Section 62.75(c)(2) are beneficial to consumers, Section 62.75(c)(2) may </w:t>
      </w:r>
      <w:r w:rsidR="00F5515D">
        <w:rPr>
          <w:rFonts w:ascii="Times New Roman" w:hAnsi="Times New Roman"/>
          <w:sz w:val="26"/>
          <w:szCs w:val="26"/>
        </w:rPr>
        <w:t>still not provide</w:t>
      </w:r>
      <w:r w:rsidRPr="004C75FF">
        <w:rPr>
          <w:rFonts w:ascii="Times New Roman" w:hAnsi="Times New Roman"/>
          <w:sz w:val="26"/>
          <w:szCs w:val="26"/>
        </w:rPr>
        <w:t xml:space="preserve"> the necessary level of protection for consumers since the proposal allows a</w:t>
      </w:r>
      <w:r w:rsidR="005470AC">
        <w:rPr>
          <w:rFonts w:ascii="Times New Roman" w:hAnsi="Times New Roman"/>
          <w:sz w:val="26"/>
          <w:szCs w:val="26"/>
        </w:rPr>
        <w:t>n</w:t>
      </w:r>
      <w:r w:rsidRPr="004C75FF">
        <w:rPr>
          <w:rFonts w:ascii="Times New Roman" w:hAnsi="Times New Roman"/>
          <w:sz w:val="26"/>
          <w:szCs w:val="26"/>
        </w:rPr>
        <w:t xml:space="preserve"> NGS to state that there is no limit for the pricing.</w:t>
      </w:r>
      <w:r>
        <w:rPr>
          <w:rFonts w:ascii="Times New Roman" w:hAnsi="Times New Roman"/>
          <w:sz w:val="26"/>
          <w:szCs w:val="26"/>
        </w:rPr>
        <w:t xml:space="preserve"> </w:t>
      </w:r>
      <w:r w:rsidRPr="004C75FF">
        <w:rPr>
          <w:rFonts w:ascii="Times New Roman" w:hAnsi="Times New Roman"/>
          <w:sz w:val="26"/>
          <w:szCs w:val="26"/>
        </w:rPr>
        <w:t xml:space="preserve"> </w:t>
      </w:r>
      <w:r w:rsidR="00F5515D">
        <w:rPr>
          <w:rFonts w:ascii="Times New Roman" w:hAnsi="Times New Roman"/>
          <w:sz w:val="26"/>
          <w:szCs w:val="26"/>
        </w:rPr>
        <w:t>OCA Comments at 4</w:t>
      </w:r>
      <w:r w:rsidR="00E77AA7">
        <w:rPr>
          <w:rFonts w:ascii="Times New Roman" w:hAnsi="Times New Roman"/>
          <w:sz w:val="26"/>
          <w:szCs w:val="26"/>
        </w:rPr>
        <w:t xml:space="preserve">, OCA’s Annex A.  </w:t>
      </w:r>
      <w:r w:rsidRPr="004C75FF">
        <w:rPr>
          <w:rFonts w:ascii="Times New Roman" w:hAnsi="Times New Roman"/>
          <w:sz w:val="26"/>
          <w:szCs w:val="26"/>
        </w:rPr>
        <w:t xml:space="preserve">In OCA's view, </w:t>
      </w:r>
      <w:r w:rsidR="00F5515D">
        <w:rPr>
          <w:rFonts w:ascii="Times New Roman" w:hAnsi="Times New Roman"/>
          <w:sz w:val="26"/>
          <w:szCs w:val="26"/>
        </w:rPr>
        <w:t xml:space="preserve">this simple statement </w:t>
      </w:r>
      <w:r w:rsidRPr="004C75FF">
        <w:rPr>
          <w:rFonts w:ascii="Times New Roman" w:hAnsi="Times New Roman"/>
          <w:sz w:val="26"/>
          <w:szCs w:val="26"/>
        </w:rPr>
        <w:t xml:space="preserve">of no limit to the price does not allow the consumer to make an informed choice or </w:t>
      </w:r>
      <w:r w:rsidR="00F5515D">
        <w:rPr>
          <w:rFonts w:ascii="Times New Roman" w:hAnsi="Times New Roman"/>
          <w:sz w:val="26"/>
          <w:szCs w:val="26"/>
        </w:rPr>
        <w:t xml:space="preserve">assess the risks in a highly complex market.  </w:t>
      </w:r>
      <w:r w:rsidR="00F5515D">
        <w:rPr>
          <w:rFonts w:ascii="Times New Roman" w:hAnsi="Times New Roman"/>
          <w:i/>
          <w:sz w:val="26"/>
          <w:szCs w:val="26"/>
        </w:rPr>
        <w:t>Id.</w:t>
      </w:r>
      <w:r>
        <w:rPr>
          <w:rFonts w:ascii="Times New Roman" w:hAnsi="Times New Roman"/>
          <w:sz w:val="26"/>
          <w:szCs w:val="26"/>
        </w:rPr>
        <w:t xml:space="preserve">  </w:t>
      </w:r>
      <w:r w:rsidRPr="004C75FF">
        <w:rPr>
          <w:rFonts w:ascii="Times New Roman" w:hAnsi="Times New Roman"/>
          <w:sz w:val="26"/>
          <w:szCs w:val="26"/>
        </w:rPr>
        <w:t>The</w:t>
      </w:r>
      <w:r w:rsidR="00F5515D">
        <w:rPr>
          <w:rFonts w:ascii="Times New Roman" w:hAnsi="Times New Roman"/>
          <w:sz w:val="26"/>
          <w:szCs w:val="26"/>
        </w:rPr>
        <w:t>refore,</w:t>
      </w:r>
      <w:r w:rsidRPr="004C75FF">
        <w:rPr>
          <w:rFonts w:ascii="Times New Roman" w:hAnsi="Times New Roman"/>
          <w:sz w:val="26"/>
          <w:szCs w:val="26"/>
        </w:rPr>
        <w:t xml:space="preserve"> OCA recommends that the Commission require that a ceiling price be stated for the maximum price or change that can occur under the </w:t>
      </w:r>
      <w:r w:rsidR="00F5515D">
        <w:rPr>
          <w:rFonts w:ascii="Times New Roman" w:hAnsi="Times New Roman"/>
          <w:sz w:val="26"/>
          <w:szCs w:val="26"/>
        </w:rPr>
        <w:t xml:space="preserve">variable price plan.  </w:t>
      </w:r>
      <w:r w:rsidR="00F5515D">
        <w:rPr>
          <w:rFonts w:ascii="Times New Roman" w:hAnsi="Times New Roman"/>
          <w:i/>
          <w:sz w:val="26"/>
          <w:szCs w:val="26"/>
        </w:rPr>
        <w:t>Id</w:t>
      </w:r>
      <w:r w:rsidRPr="004C75FF">
        <w:rPr>
          <w:rFonts w:ascii="Times New Roman" w:hAnsi="Times New Roman"/>
          <w:sz w:val="26"/>
          <w:szCs w:val="26"/>
        </w:rPr>
        <w:t>.</w:t>
      </w:r>
      <w:r w:rsidR="00F5515D">
        <w:rPr>
          <w:rFonts w:ascii="Times New Roman" w:hAnsi="Times New Roman"/>
          <w:sz w:val="26"/>
          <w:szCs w:val="26"/>
        </w:rPr>
        <w:t xml:space="preserve"> at 5.</w:t>
      </w:r>
      <w:r w:rsidR="00CD47BC">
        <w:rPr>
          <w:rFonts w:ascii="Times New Roman" w:hAnsi="Times New Roman"/>
          <w:sz w:val="26"/>
          <w:szCs w:val="26"/>
        </w:rPr>
        <w:t xml:space="preserve">  </w:t>
      </w:r>
      <w:r w:rsidRPr="00CD47BC">
        <w:rPr>
          <w:rFonts w:ascii="Times New Roman" w:hAnsi="Times New Roman"/>
          <w:sz w:val="26"/>
          <w:szCs w:val="26"/>
        </w:rPr>
        <w:t xml:space="preserve">OCA </w:t>
      </w:r>
      <w:r w:rsidR="00CD47BC">
        <w:rPr>
          <w:rFonts w:ascii="Times New Roman" w:hAnsi="Times New Roman"/>
          <w:sz w:val="26"/>
          <w:szCs w:val="26"/>
        </w:rPr>
        <w:t xml:space="preserve">further </w:t>
      </w:r>
      <w:r w:rsidR="00CD47BC" w:rsidRPr="00CD47BC">
        <w:rPr>
          <w:rFonts w:ascii="Times New Roman" w:hAnsi="Times New Roman"/>
          <w:sz w:val="26"/>
          <w:szCs w:val="26"/>
        </w:rPr>
        <w:t xml:space="preserve">contends that </w:t>
      </w:r>
      <w:r w:rsidRPr="00CD47BC">
        <w:rPr>
          <w:rFonts w:ascii="Times New Roman" w:hAnsi="Times New Roman"/>
          <w:sz w:val="26"/>
          <w:szCs w:val="26"/>
        </w:rPr>
        <w:t>requir</w:t>
      </w:r>
      <w:r w:rsidR="00CD47BC" w:rsidRPr="00CD47BC">
        <w:rPr>
          <w:rFonts w:ascii="Times New Roman" w:hAnsi="Times New Roman"/>
          <w:sz w:val="26"/>
          <w:szCs w:val="26"/>
        </w:rPr>
        <w:t>ing a ceiling price on an</w:t>
      </w:r>
      <w:r w:rsidRPr="00CD47BC">
        <w:rPr>
          <w:rFonts w:ascii="Times New Roman" w:hAnsi="Times New Roman"/>
          <w:sz w:val="26"/>
          <w:szCs w:val="26"/>
        </w:rPr>
        <w:t xml:space="preserve"> NGS</w:t>
      </w:r>
      <w:r w:rsidR="00CD47BC" w:rsidRPr="00CD47BC">
        <w:rPr>
          <w:rFonts w:ascii="Times New Roman" w:hAnsi="Times New Roman"/>
          <w:sz w:val="26"/>
          <w:szCs w:val="26"/>
        </w:rPr>
        <w:t xml:space="preserve"> offer does not constitute price regulation because the NGS would dictate the ceiling price</w:t>
      </w:r>
      <w:r w:rsidRPr="00CD47BC">
        <w:rPr>
          <w:rFonts w:ascii="Times New Roman" w:hAnsi="Times New Roman"/>
          <w:sz w:val="26"/>
          <w:szCs w:val="26"/>
        </w:rPr>
        <w:t xml:space="preserve">, not the Commission. </w:t>
      </w:r>
      <w:r w:rsidR="00CD47BC">
        <w:rPr>
          <w:rFonts w:ascii="Times New Roman" w:hAnsi="Times New Roman"/>
          <w:sz w:val="26"/>
          <w:szCs w:val="26"/>
        </w:rPr>
        <w:t xml:space="preserve"> OCA </w:t>
      </w:r>
      <w:r w:rsidR="00CD47BC">
        <w:rPr>
          <w:rFonts w:ascii="Times New Roman" w:hAnsi="Times New Roman"/>
          <w:sz w:val="26"/>
          <w:szCs w:val="26"/>
        </w:rPr>
        <w:lastRenderedPageBreak/>
        <w:t>Comments at 5 (explaining that t</w:t>
      </w:r>
      <w:r w:rsidRPr="00CD47BC">
        <w:rPr>
          <w:rFonts w:ascii="Times New Roman" w:hAnsi="Times New Roman"/>
          <w:sz w:val="26"/>
          <w:szCs w:val="26"/>
        </w:rPr>
        <w:t>he ceiling price merely serves as notice to the consumer of how high the price</w:t>
      </w:r>
      <w:r w:rsidR="00CD47BC">
        <w:rPr>
          <w:rFonts w:ascii="Times New Roman" w:hAnsi="Times New Roman"/>
          <w:sz w:val="26"/>
          <w:szCs w:val="26"/>
        </w:rPr>
        <w:t xml:space="preserve"> could go, thereby </w:t>
      </w:r>
      <w:r w:rsidRPr="004C75FF">
        <w:rPr>
          <w:rFonts w:ascii="Times New Roman" w:hAnsi="Times New Roman"/>
          <w:sz w:val="26"/>
          <w:szCs w:val="26"/>
        </w:rPr>
        <w:t>offer</w:t>
      </w:r>
      <w:r w:rsidR="00CD47BC">
        <w:rPr>
          <w:rFonts w:ascii="Times New Roman" w:hAnsi="Times New Roman"/>
          <w:sz w:val="26"/>
          <w:szCs w:val="26"/>
        </w:rPr>
        <w:t>ing some protection and knowledge to</w:t>
      </w:r>
      <w:r w:rsidRPr="004C75FF">
        <w:rPr>
          <w:rFonts w:ascii="Times New Roman" w:hAnsi="Times New Roman"/>
          <w:sz w:val="26"/>
          <w:szCs w:val="26"/>
        </w:rPr>
        <w:t xml:space="preserve"> the consumer</w:t>
      </w:r>
      <w:r w:rsidR="00CD47BC">
        <w:rPr>
          <w:rFonts w:ascii="Times New Roman" w:hAnsi="Times New Roman"/>
          <w:sz w:val="26"/>
          <w:szCs w:val="26"/>
        </w:rPr>
        <w:t>)</w:t>
      </w:r>
      <w:r w:rsidRPr="004C75FF">
        <w:rPr>
          <w:rFonts w:ascii="Times New Roman" w:hAnsi="Times New Roman"/>
          <w:sz w:val="26"/>
          <w:szCs w:val="26"/>
        </w:rPr>
        <w:t>.</w:t>
      </w:r>
      <w:r>
        <w:rPr>
          <w:rFonts w:ascii="Times New Roman" w:hAnsi="Times New Roman"/>
          <w:sz w:val="26"/>
          <w:szCs w:val="26"/>
        </w:rPr>
        <w:t xml:space="preserve">  </w:t>
      </w:r>
      <w:r w:rsidRPr="004C75FF">
        <w:rPr>
          <w:rFonts w:ascii="Times New Roman" w:eastAsia="Times New Roman" w:hAnsi="Times New Roman"/>
          <w:color w:val="000000"/>
          <w:sz w:val="26"/>
          <w:szCs w:val="26"/>
        </w:rPr>
        <w:t xml:space="preserve">If the Commission allows variable price products to be marketed without specifying a ceiling price, OCA </w:t>
      </w:r>
      <w:r>
        <w:rPr>
          <w:rFonts w:ascii="Times New Roman" w:eastAsia="Times New Roman" w:hAnsi="Times New Roman"/>
          <w:color w:val="000000"/>
          <w:sz w:val="26"/>
          <w:szCs w:val="26"/>
        </w:rPr>
        <w:t xml:space="preserve">believes </w:t>
      </w:r>
      <w:r w:rsidRPr="004C75FF">
        <w:rPr>
          <w:rFonts w:ascii="Times New Roman" w:eastAsia="Times New Roman" w:hAnsi="Times New Roman"/>
          <w:color w:val="000000"/>
          <w:sz w:val="26"/>
          <w:szCs w:val="26"/>
        </w:rPr>
        <w:t xml:space="preserve">that the regulations should be amended to require that the variable pricing statement include a specific statement </w:t>
      </w:r>
      <w:r w:rsidR="00B26C38">
        <w:rPr>
          <w:rFonts w:ascii="Times New Roman" w:eastAsia="Times New Roman" w:hAnsi="Times New Roman"/>
          <w:color w:val="000000"/>
          <w:sz w:val="26"/>
          <w:szCs w:val="26"/>
        </w:rPr>
        <w:t>clearly indicating</w:t>
      </w:r>
      <w:r w:rsidRPr="004C75FF">
        <w:rPr>
          <w:rFonts w:ascii="Times New Roman" w:eastAsia="Times New Roman" w:hAnsi="Times New Roman"/>
          <w:color w:val="000000"/>
          <w:sz w:val="26"/>
          <w:szCs w:val="26"/>
        </w:rPr>
        <w:t xml:space="preserve"> that there is no limit o</w:t>
      </w:r>
      <w:r w:rsidR="005470AC">
        <w:rPr>
          <w:rFonts w:ascii="Times New Roman" w:eastAsia="Times New Roman" w:hAnsi="Times New Roman"/>
          <w:color w:val="000000"/>
          <w:sz w:val="26"/>
          <w:szCs w:val="26"/>
        </w:rPr>
        <w:t>n</w:t>
      </w:r>
      <w:r w:rsidRPr="004C75FF">
        <w:rPr>
          <w:rFonts w:ascii="Times New Roman" w:eastAsia="Times New Roman" w:hAnsi="Times New Roman"/>
          <w:color w:val="000000"/>
          <w:sz w:val="26"/>
          <w:szCs w:val="26"/>
        </w:rPr>
        <w:t xml:space="preserve"> how much the price may increase and that the price can fluctuate each billing period.  </w:t>
      </w:r>
      <w:r w:rsidR="00CD47BC">
        <w:rPr>
          <w:rFonts w:ascii="Times New Roman" w:eastAsia="Times New Roman" w:hAnsi="Times New Roman"/>
          <w:i/>
          <w:color w:val="000000"/>
          <w:sz w:val="26"/>
          <w:szCs w:val="26"/>
        </w:rPr>
        <w:t xml:space="preserve">Id. </w:t>
      </w:r>
      <w:r w:rsidR="00CD47BC" w:rsidRPr="00CD47BC">
        <w:rPr>
          <w:rFonts w:ascii="Times New Roman" w:eastAsia="Times New Roman" w:hAnsi="Times New Roman"/>
          <w:color w:val="000000"/>
          <w:sz w:val="26"/>
          <w:szCs w:val="26"/>
        </w:rPr>
        <w:t>a</w:t>
      </w:r>
      <w:r w:rsidRPr="004C75FF">
        <w:rPr>
          <w:rFonts w:ascii="Times New Roman" w:eastAsia="Times New Roman" w:hAnsi="Times New Roman"/>
          <w:color w:val="000000"/>
          <w:sz w:val="26"/>
          <w:szCs w:val="26"/>
        </w:rPr>
        <w:t>t 5</w:t>
      </w:r>
      <w:r w:rsidR="00CD47BC">
        <w:rPr>
          <w:rFonts w:ascii="Times New Roman" w:eastAsia="Times New Roman" w:hAnsi="Times New Roman"/>
          <w:color w:val="000000"/>
          <w:sz w:val="26"/>
          <w:szCs w:val="26"/>
        </w:rPr>
        <w:t>-6</w:t>
      </w:r>
      <w:r w:rsidR="00E77AA7">
        <w:rPr>
          <w:rFonts w:ascii="Times New Roman" w:eastAsia="Times New Roman" w:hAnsi="Times New Roman"/>
          <w:color w:val="000000"/>
          <w:sz w:val="26"/>
          <w:szCs w:val="26"/>
        </w:rPr>
        <w:t xml:space="preserve">, </w:t>
      </w:r>
      <w:r w:rsidR="00E77AA7">
        <w:rPr>
          <w:rFonts w:ascii="Times New Roman" w:hAnsi="Times New Roman"/>
          <w:sz w:val="26"/>
          <w:szCs w:val="26"/>
        </w:rPr>
        <w:t>OCA’s Annex A</w:t>
      </w:r>
      <w:r w:rsidRPr="004C75FF">
        <w:rPr>
          <w:rFonts w:ascii="Times New Roman" w:eastAsia="Times New Roman" w:hAnsi="Times New Roman"/>
          <w:color w:val="000000"/>
          <w:sz w:val="26"/>
          <w:szCs w:val="26"/>
        </w:rPr>
        <w:t>.</w:t>
      </w:r>
    </w:p>
    <w:p w:rsidR="00BE07F6" w:rsidRPr="004C75FF" w:rsidRDefault="00BE07F6" w:rsidP="00BE07F6">
      <w:pPr>
        <w:pStyle w:val="NoSpacing"/>
        <w:spacing w:line="360" w:lineRule="auto"/>
        <w:rPr>
          <w:rFonts w:ascii="Times New Roman" w:hAnsi="Times New Roman"/>
          <w:sz w:val="26"/>
          <w:szCs w:val="26"/>
        </w:rPr>
      </w:pPr>
    </w:p>
    <w:p w:rsidR="00BE07F6" w:rsidRPr="004C75FF" w:rsidRDefault="00BE07F6" w:rsidP="00BE07F6">
      <w:pPr>
        <w:pStyle w:val="NoSpacing"/>
        <w:spacing w:line="360" w:lineRule="auto"/>
        <w:ind w:firstLine="720"/>
        <w:rPr>
          <w:rFonts w:ascii="Times New Roman" w:eastAsia="Times New Roman" w:hAnsi="Times New Roman"/>
          <w:color w:val="000000"/>
          <w:spacing w:val="1"/>
          <w:sz w:val="26"/>
          <w:szCs w:val="26"/>
        </w:rPr>
      </w:pPr>
      <w:r w:rsidRPr="004C75FF">
        <w:rPr>
          <w:rFonts w:ascii="Times New Roman" w:eastAsia="Times New Roman" w:hAnsi="Times New Roman"/>
          <w:color w:val="000000"/>
          <w:sz w:val="26"/>
          <w:szCs w:val="26"/>
        </w:rPr>
        <w:t xml:space="preserve">OCA agrees with </w:t>
      </w:r>
      <w:r w:rsidR="00B26C38">
        <w:rPr>
          <w:rFonts w:ascii="Times New Roman" w:eastAsia="Times New Roman" w:hAnsi="Times New Roman"/>
          <w:color w:val="000000"/>
          <w:sz w:val="26"/>
          <w:szCs w:val="26"/>
        </w:rPr>
        <w:t>the</w:t>
      </w:r>
      <w:r w:rsidRPr="004C75FF">
        <w:rPr>
          <w:rFonts w:ascii="Times New Roman" w:eastAsia="Times New Roman" w:hAnsi="Times New Roman"/>
          <w:color w:val="000000"/>
          <w:sz w:val="26"/>
          <w:szCs w:val="26"/>
        </w:rPr>
        <w:t xml:space="preserve"> proposed change</w:t>
      </w:r>
      <w:r w:rsidR="00B26C38">
        <w:rPr>
          <w:rFonts w:ascii="Times New Roman" w:eastAsia="Times New Roman" w:hAnsi="Times New Roman"/>
          <w:color w:val="000000"/>
          <w:sz w:val="26"/>
          <w:szCs w:val="26"/>
        </w:rPr>
        <w:t xml:space="preserve"> requiring an NGS to disclose the price to be charged for the first billing month</w:t>
      </w:r>
      <w:r w:rsidR="00CD47BC">
        <w:rPr>
          <w:rFonts w:ascii="Times New Roman" w:eastAsia="Times New Roman" w:hAnsi="Times New Roman"/>
          <w:color w:val="000000"/>
          <w:sz w:val="26"/>
          <w:szCs w:val="26"/>
        </w:rPr>
        <w:t xml:space="preserve">, </w:t>
      </w:r>
      <w:r w:rsidRPr="004C75FF">
        <w:rPr>
          <w:rFonts w:ascii="Times New Roman" w:eastAsia="Times New Roman" w:hAnsi="Times New Roman"/>
          <w:color w:val="000000"/>
          <w:sz w:val="26"/>
          <w:szCs w:val="26"/>
        </w:rPr>
        <w:t xml:space="preserve">but notes it may be insufficient </w:t>
      </w:r>
      <w:r w:rsidR="00CD47BC">
        <w:rPr>
          <w:rFonts w:ascii="Times New Roman" w:eastAsia="Times New Roman" w:hAnsi="Times New Roman"/>
          <w:color w:val="000000"/>
          <w:sz w:val="26"/>
          <w:szCs w:val="26"/>
        </w:rPr>
        <w:t xml:space="preserve">and misleading </w:t>
      </w:r>
      <w:r w:rsidRPr="004C75FF">
        <w:rPr>
          <w:rFonts w:ascii="Times New Roman" w:eastAsia="Times New Roman" w:hAnsi="Times New Roman"/>
          <w:color w:val="000000"/>
          <w:sz w:val="26"/>
          <w:szCs w:val="26"/>
        </w:rPr>
        <w:t xml:space="preserve">in this marketplace where introductory rates are common. </w:t>
      </w:r>
      <w:r>
        <w:rPr>
          <w:rFonts w:ascii="Times New Roman" w:eastAsia="Times New Roman" w:hAnsi="Times New Roman"/>
          <w:color w:val="000000"/>
          <w:sz w:val="26"/>
          <w:szCs w:val="26"/>
        </w:rPr>
        <w:t xml:space="preserve"> Accordingly, </w:t>
      </w:r>
      <w:r w:rsidRPr="004C75FF">
        <w:rPr>
          <w:rFonts w:ascii="Times New Roman" w:eastAsia="Times New Roman" w:hAnsi="Times New Roman"/>
          <w:color w:val="000000"/>
          <w:sz w:val="26"/>
          <w:szCs w:val="26"/>
        </w:rPr>
        <w:t>OCA recommends that the</w:t>
      </w:r>
      <w:r w:rsidR="00CD47BC">
        <w:rPr>
          <w:rFonts w:ascii="Times New Roman" w:eastAsia="Times New Roman" w:hAnsi="Times New Roman"/>
          <w:color w:val="000000"/>
          <w:sz w:val="26"/>
          <w:szCs w:val="26"/>
        </w:rPr>
        <w:t xml:space="preserve"> Commission also require an</w:t>
      </w:r>
      <w:r w:rsidRPr="004C75FF">
        <w:rPr>
          <w:rFonts w:ascii="Times New Roman" w:eastAsia="Times New Roman" w:hAnsi="Times New Roman"/>
          <w:color w:val="000000"/>
          <w:sz w:val="26"/>
          <w:szCs w:val="26"/>
        </w:rPr>
        <w:t xml:space="preserve"> NGS to specify the guaranteed length of time that the starting pric</w:t>
      </w:r>
      <w:r w:rsidR="00CD47BC">
        <w:rPr>
          <w:rFonts w:ascii="Times New Roman" w:eastAsia="Times New Roman" w:hAnsi="Times New Roman"/>
          <w:color w:val="000000"/>
          <w:sz w:val="26"/>
          <w:szCs w:val="26"/>
        </w:rPr>
        <w:t>e will be in effect.  OCA Comments at 6</w:t>
      </w:r>
      <w:r w:rsidRPr="004C75FF">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w:t>
      </w:r>
      <w:r w:rsidRPr="004C75FF">
        <w:rPr>
          <w:rFonts w:ascii="Times New Roman" w:eastAsia="Times New Roman" w:hAnsi="Times New Roman"/>
          <w:color w:val="000000"/>
          <w:sz w:val="26"/>
          <w:szCs w:val="26"/>
        </w:rPr>
        <w:t xml:space="preserve">OCA submits that </w:t>
      </w:r>
      <w:r w:rsidR="004C1F50">
        <w:rPr>
          <w:rFonts w:ascii="Times New Roman" w:eastAsia="Times New Roman" w:hAnsi="Times New Roman"/>
          <w:color w:val="000000"/>
          <w:sz w:val="26"/>
          <w:szCs w:val="26"/>
        </w:rPr>
        <w:t xml:space="preserve">the description of when consumers will receive notification of price changes, as proposed by </w:t>
      </w:r>
      <w:r w:rsidRPr="004C75FF">
        <w:rPr>
          <w:rFonts w:ascii="Times New Roman" w:eastAsia="Times New Roman" w:hAnsi="Times New Roman"/>
          <w:color w:val="000000"/>
          <w:sz w:val="26"/>
          <w:szCs w:val="26"/>
        </w:rPr>
        <w:t>Section 62.75(c)(2)(v)</w:t>
      </w:r>
      <w:r w:rsidR="004C1F50">
        <w:rPr>
          <w:rFonts w:ascii="Times New Roman" w:eastAsia="Times New Roman" w:hAnsi="Times New Roman"/>
          <w:color w:val="000000"/>
          <w:sz w:val="26"/>
          <w:szCs w:val="26"/>
        </w:rPr>
        <w:t>,</w:t>
      </w:r>
      <w:r w:rsidRPr="004C75FF">
        <w:rPr>
          <w:rFonts w:ascii="Times New Roman" w:eastAsia="Times New Roman" w:hAnsi="Times New Roman"/>
          <w:color w:val="000000"/>
          <w:sz w:val="26"/>
          <w:szCs w:val="26"/>
        </w:rPr>
        <w:t xml:space="preserve"> </w:t>
      </w:r>
      <w:r w:rsidR="00CD47BC">
        <w:rPr>
          <w:rFonts w:ascii="Times New Roman" w:eastAsia="Times New Roman" w:hAnsi="Times New Roman"/>
          <w:color w:val="000000"/>
          <w:sz w:val="26"/>
          <w:szCs w:val="26"/>
        </w:rPr>
        <w:t xml:space="preserve">is unclear and </w:t>
      </w:r>
      <w:r w:rsidR="004C1F50">
        <w:rPr>
          <w:rFonts w:ascii="Times New Roman" w:eastAsia="Times New Roman" w:hAnsi="Times New Roman"/>
          <w:color w:val="000000"/>
          <w:sz w:val="26"/>
          <w:szCs w:val="26"/>
        </w:rPr>
        <w:t>that w</w:t>
      </w:r>
      <w:r w:rsidRPr="004C75FF">
        <w:rPr>
          <w:rFonts w:ascii="Times New Roman" w:eastAsia="Times New Roman" w:hAnsi="Times New Roman"/>
          <w:color w:val="000000"/>
          <w:sz w:val="26"/>
          <w:szCs w:val="26"/>
        </w:rPr>
        <w:t xml:space="preserve">ithout information about what price is being charged, the consumer cannot make </w:t>
      </w:r>
      <w:r w:rsidR="004C1F50">
        <w:rPr>
          <w:rFonts w:ascii="Times New Roman" w:eastAsia="Times New Roman" w:hAnsi="Times New Roman"/>
          <w:color w:val="000000"/>
          <w:sz w:val="26"/>
          <w:szCs w:val="26"/>
        </w:rPr>
        <w:t xml:space="preserve">an </w:t>
      </w:r>
      <w:r w:rsidRPr="004C75FF">
        <w:rPr>
          <w:rFonts w:ascii="Times New Roman" w:eastAsia="Times New Roman" w:hAnsi="Times New Roman"/>
          <w:color w:val="000000"/>
          <w:sz w:val="26"/>
          <w:szCs w:val="26"/>
        </w:rPr>
        <w:t xml:space="preserve">informed decision about </w:t>
      </w:r>
      <w:r w:rsidR="004C1F50">
        <w:rPr>
          <w:rFonts w:ascii="Times New Roman" w:eastAsia="Times New Roman" w:hAnsi="Times New Roman"/>
          <w:color w:val="000000"/>
          <w:sz w:val="26"/>
          <w:szCs w:val="26"/>
        </w:rPr>
        <w:t>energy use and the need for</w:t>
      </w:r>
      <w:r w:rsidRPr="004C75FF">
        <w:rPr>
          <w:rFonts w:ascii="Times New Roman" w:eastAsia="Times New Roman" w:hAnsi="Times New Roman"/>
          <w:color w:val="000000"/>
          <w:sz w:val="26"/>
          <w:szCs w:val="26"/>
        </w:rPr>
        <w:t xml:space="preserve"> a new price plan or supplier</w:t>
      </w:r>
      <w:r w:rsidR="004C1F50">
        <w:rPr>
          <w:rFonts w:ascii="Times New Roman" w:eastAsia="Times New Roman" w:hAnsi="Times New Roman"/>
          <w:color w:val="000000"/>
          <w:sz w:val="26"/>
          <w:szCs w:val="26"/>
        </w:rPr>
        <w:t>.</w:t>
      </w:r>
      <w:r w:rsidRPr="004C75FF">
        <w:rPr>
          <w:rFonts w:ascii="Times New Roman" w:eastAsia="Times New Roman" w:hAnsi="Times New Roman"/>
          <w:color w:val="000000"/>
          <w:sz w:val="26"/>
          <w:szCs w:val="26"/>
        </w:rPr>
        <w:t xml:space="preserve">  </w:t>
      </w:r>
      <w:r w:rsidR="004C1F50">
        <w:rPr>
          <w:rFonts w:ascii="Times New Roman" w:eastAsia="Times New Roman" w:hAnsi="Times New Roman"/>
          <w:i/>
          <w:color w:val="000000"/>
          <w:sz w:val="26"/>
          <w:szCs w:val="26"/>
        </w:rPr>
        <w:t xml:space="preserve">Id. </w:t>
      </w:r>
      <w:r w:rsidR="004C1F50">
        <w:rPr>
          <w:rFonts w:ascii="Times New Roman" w:eastAsia="Times New Roman" w:hAnsi="Times New Roman"/>
          <w:color w:val="000000"/>
          <w:sz w:val="26"/>
          <w:szCs w:val="26"/>
        </w:rPr>
        <w:t>at</w:t>
      </w:r>
      <w:r w:rsidRPr="004C75FF">
        <w:rPr>
          <w:rFonts w:ascii="Times New Roman" w:eastAsia="Times New Roman" w:hAnsi="Times New Roman"/>
          <w:color w:val="000000"/>
          <w:sz w:val="26"/>
          <w:szCs w:val="26"/>
        </w:rPr>
        <w:t xml:space="preserve"> 7.</w:t>
      </w:r>
    </w:p>
    <w:p w:rsidR="00BE07F6" w:rsidRPr="004C75FF" w:rsidRDefault="00BE07F6" w:rsidP="00BE07F6">
      <w:pPr>
        <w:spacing w:line="360" w:lineRule="auto"/>
        <w:rPr>
          <w:rFonts w:ascii="Times New Roman" w:eastAsia="Times New Roman" w:hAnsi="Times New Roman"/>
          <w:color w:val="000000"/>
          <w:spacing w:val="1"/>
          <w:sz w:val="26"/>
          <w:szCs w:val="26"/>
        </w:rPr>
      </w:pPr>
    </w:p>
    <w:p w:rsidR="00BE07F6" w:rsidRDefault="00BE07F6" w:rsidP="00BE07F6">
      <w:pPr>
        <w:pStyle w:val="NoSpacing"/>
        <w:spacing w:line="360" w:lineRule="auto"/>
        <w:ind w:firstLine="720"/>
        <w:rPr>
          <w:rFonts w:ascii="Times New Roman" w:hAnsi="Times New Roman"/>
          <w:sz w:val="26"/>
          <w:szCs w:val="26"/>
        </w:rPr>
      </w:pPr>
      <w:r w:rsidRPr="004C75FF">
        <w:rPr>
          <w:rFonts w:ascii="Times New Roman" w:hAnsi="Times New Roman"/>
          <w:sz w:val="26"/>
          <w:szCs w:val="26"/>
        </w:rPr>
        <w:t>OCA supports the proposed addition of Section 62.75(c)(2)(vi)</w:t>
      </w:r>
      <w:r>
        <w:rPr>
          <w:rFonts w:ascii="Times New Roman" w:hAnsi="Times New Roman"/>
          <w:sz w:val="26"/>
          <w:szCs w:val="26"/>
        </w:rPr>
        <w:t xml:space="preserve"> </w:t>
      </w:r>
      <w:r w:rsidR="00E77AA7">
        <w:rPr>
          <w:rFonts w:ascii="Times New Roman" w:hAnsi="Times New Roman"/>
          <w:sz w:val="26"/>
          <w:szCs w:val="26"/>
        </w:rPr>
        <w:t xml:space="preserve">regarding historical prices, </w:t>
      </w:r>
      <w:r>
        <w:rPr>
          <w:rFonts w:ascii="Times New Roman" w:hAnsi="Times New Roman"/>
          <w:sz w:val="26"/>
          <w:szCs w:val="26"/>
        </w:rPr>
        <w:t xml:space="preserve">but </w:t>
      </w:r>
      <w:r w:rsidR="00E77AA7">
        <w:rPr>
          <w:rFonts w:ascii="Times New Roman" w:hAnsi="Times New Roman"/>
          <w:sz w:val="26"/>
          <w:szCs w:val="26"/>
        </w:rPr>
        <w:t>believes</w:t>
      </w:r>
      <w:r>
        <w:rPr>
          <w:rFonts w:ascii="Times New Roman" w:hAnsi="Times New Roman"/>
          <w:sz w:val="26"/>
          <w:szCs w:val="26"/>
        </w:rPr>
        <w:t xml:space="preserve"> </w:t>
      </w:r>
      <w:r w:rsidRPr="004C75FF">
        <w:rPr>
          <w:rFonts w:ascii="Times New Roman" w:hAnsi="Times New Roman"/>
          <w:sz w:val="26"/>
          <w:szCs w:val="26"/>
        </w:rPr>
        <w:t xml:space="preserve">that </w:t>
      </w:r>
      <w:r w:rsidR="00E77AA7">
        <w:rPr>
          <w:rFonts w:ascii="Times New Roman" w:hAnsi="Times New Roman"/>
          <w:sz w:val="26"/>
          <w:szCs w:val="26"/>
        </w:rPr>
        <w:t xml:space="preserve">one </w:t>
      </w:r>
      <w:r w:rsidRPr="004C75FF">
        <w:rPr>
          <w:rFonts w:ascii="Times New Roman" w:hAnsi="Times New Roman"/>
          <w:sz w:val="26"/>
          <w:szCs w:val="26"/>
        </w:rPr>
        <w:t xml:space="preserve">approach </w:t>
      </w:r>
      <w:r w:rsidR="00E77AA7">
        <w:rPr>
          <w:rFonts w:ascii="Times New Roman" w:hAnsi="Times New Roman"/>
          <w:sz w:val="26"/>
          <w:szCs w:val="26"/>
        </w:rPr>
        <w:t xml:space="preserve">should be </w:t>
      </w:r>
      <w:r w:rsidRPr="004C75FF">
        <w:rPr>
          <w:rFonts w:ascii="Times New Roman" w:hAnsi="Times New Roman"/>
          <w:sz w:val="26"/>
          <w:szCs w:val="26"/>
        </w:rPr>
        <w:t xml:space="preserve">used </w:t>
      </w:r>
      <w:r w:rsidR="00B26C38">
        <w:rPr>
          <w:rFonts w:ascii="Times New Roman" w:hAnsi="Times New Roman"/>
          <w:sz w:val="26"/>
          <w:szCs w:val="26"/>
        </w:rPr>
        <w:t xml:space="preserve">to develop the average price </w:t>
      </w:r>
      <w:r w:rsidR="00E77AA7">
        <w:rPr>
          <w:rFonts w:ascii="Times New Roman" w:hAnsi="Times New Roman"/>
          <w:sz w:val="26"/>
          <w:szCs w:val="26"/>
        </w:rPr>
        <w:t xml:space="preserve">in order to allow customers to properly compare </w:t>
      </w:r>
      <w:r w:rsidRPr="004C75FF">
        <w:rPr>
          <w:rFonts w:ascii="Times New Roman" w:hAnsi="Times New Roman"/>
          <w:sz w:val="26"/>
          <w:szCs w:val="26"/>
        </w:rPr>
        <w:t>average price</w:t>
      </w:r>
      <w:r w:rsidR="00E77AA7">
        <w:rPr>
          <w:rFonts w:ascii="Times New Roman" w:hAnsi="Times New Roman"/>
          <w:sz w:val="26"/>
          <w:szCs w:val="26"/>
        </w:rPr>
        <w:t>s</w:t>
      </w:r>
      <w:r w:rsidRPr="004C75FF">
        <w:rPr>
          <w:rFonts w:ascii="Times New Roman" w:hAnsi="Times New Roman"/>
          <w:sz w:val="26"/>
          <w:szCs w:val="26"/>
        </w:rPr>
        <w:t xml:space="preserve"> </w:t>
      </w:r>
      <w:r w:rsidR="00E77AA7">
        <w:rPr>
          <w:rFonts w:ascii="Times New Roman" w:hAnsi="Times New Roman"/>
          <w:sz w:val="26"/>
          <w:szCs w:val="26"/>
        </w:rPr>
        <w:t>of NGS offers</w:t>
      </w:r>
      <w:r w:rsidRPr="004C75FF">
        <w:rPr>
          <w:rFonts w:ascii="Times New Roman" w:hAnsi="Times New Roman"/>
          <w:sz w:val="26"/>
          <w:szCs w:val="26"/>
        </w:rPr>
        <w:t xml:space="preserve">. </w:t>
      </w:r>
      <w:r w:rsidR="00E77AA7">
        <w:rPr>
          <w:rFonts w:ascii="Times New Roman" w:hAnsi="Times New Roman"/>
          <w:sz w:val="26"/>
          <w:szCs w:val="26"/>
        </w:rPr>
        <w:t xml:space="preserve"> OCA Comments at 7-8.  OCA also believes </w:t>
      </w:r>
      <w:r w:rsidRPr="004C75FF">
        <w:rPr>
          <w:rFonts w:ascii="Times New Roman" w:hAnsi="Times New Roman"/>
          <w:sz w:val="26"/>
          <w:szCs w:val="26"/>
        </w:rPr>
        <w:t xml:space="preserve">NGSs should be required to disclose the highest and lowest price that has been charged for the customer's rate class and service territory </w:t>
      </w:r>
      <w:r>
        <w:rPr>
          <w:rFonts w:ascii="Times New Roman" w:hAnsi="Times New Roman"/>
          <w:sz w:val="26"/>
          <w:szCs w:val="26"/>
        </w:rPr>
        <w:t xml:space="preserve">in the last 60 months </w:t>
      </w:r>
      <w:r w:rsidRPr="004C75FF">
        <w:rPr>
          <w:rFonts w:ascii="Times New Roman" w:hAnsi="Times New Roman"/>
          <w:sz w:val="26"/>
          <w:szCs w:val="26"/>
        </w:rPr>
        <w:t xml:space="preserve">to ensure that customers have more complete information. </w:t>
      </w:r>
      <w:r w:rsidR="00D51BBE">
        <w:rPr>
          <w:rFonts w:ascii="Times New Roman" w:hAnsi="Times New Roman"/>
          <w:sz w:val="26"/>
          <w:szCs w:val="26"/>
        </w:rPr>
        <w:t xml:space="preserve"> </w:t>
      </w:r>
      <w:r w:rsidR="00E77AA7">
        <w:rPr>
          <w:rFonts w:ascii="Times New Roman" w:hAnsi="Times New Roman"/>
          <w:i/>
          <w:sz w:val="26"/>
          <w:szCs w:val="26"/>
        </w:rPr>
        <w:t>Id.</w:t>
      </w:r>
      <w:r w:rsidRPr="004C75FF">
        <w:rPr>
          <w:rFonts w:ascii="Times New Roman" w:hAnsi="Times New Roman"/>
          <w:sz w:val="26"/>
          <w:szCs w:val="26"/>
        </w:rPr>
        <w:t xml:space="preserve"> at 8</w:t>
      </w:r>
      <w:r w:rsidR="00E77AA7">
        <w:rPr>
          <w:rFonts w:ascii="Times New Roman" w:hAnsi="Times New Roman"/>
          <w:sz w:val="26"/>
          <w:szCs w:val="26"/>
        </w:rPr>
        <w:t>, OCA’s Annex A</w:t>
      </w:r>
      <w:r w:rsidRPr="004C75FF">
        <w:rPr>
          <w:rFonts w:ascii="Times New Roman" w:hAnsi="Times New Roman"/>
          <w:sz w:val="26"/>
          <w:szCs w:val="26"/>
        </w:rPr>
        <w:t>.</w:t>
      </w:r>
      <w:r>
        <w:rPr>
          <w:rFonts w:ascii="Times New Roman" w:hAnsi="Times New Roman"/>
          <w:sz w:val="26"/>
          <w:szCs w:val="26"/>
        </w:rPr>
        <w:t xml:space="preserve">  </w:t>
      </w:r>
    </w:p>
    <w:p w:rsidR="00B26C38" w:rsidRDefault="00B26C38" w:rsidP="00BE07F6">
      <w:pPr>
        <w:pStyle w:val="NoSpacing"/>
        <w:spacing w:line="360" w:lineRule="auto"/>
        <w:ind w:firstLine="720"/>
        <w:rPr>
          <w:rFonts w:ascii="Times New Roman" w:hAnsi="Times New Roman"/>
          <w:sz w:val="26"/>
          <w:szCs w:val="26"/>
        </w:rPr>
      </w:pPr>
    </w:p>
    <w:p w:rsidR="00374740" w:rsidRDefault="00B814CC" w:rsidP="00B814CC">
      <w:pPr>
        <w:pStyle w:val="NoSpacing"/>
        <w:spacing w:line="360" w:lineRule="auto"/>
        <w:ind w:firstLine="720"/>
        <w:rPr>
          <w:rFonts w:ascii="Times New Roman" w:eastAsia="Times New Roman" w:hAnsi="Times New Roman"/>
          <w:color w:val="000000"/>
          <w:spacing w:val="2"/>
          <w:sz w:val="26"/>
          <w:szCs w:val="26"/>
        </w:rPr>
      </w:pPr>
      <w:r w:rsidRPr="00374740">
        <w:rPr>
          <w:rFonts w:ascii="Times New Roman" w:eastAsia="Times New Roman" w:hAnsi="Times New Roman"/>
          <w:color w:val="000000"/>
          <w:spacing w:val="2"/>
          <w:sz w:val="26"/>
          <w:szCs w:val="26"/>
        </w:rPr>
        <w:t>RESA</w:t>
      </w:r>
      <w:r w:rsidR="00374740">
        <w:rPr>
          <w:rFonts w:ascii="Times New Roman" w:eastAsia="Times New Roman" w:hAnsi="Times New Roman"/>
          <w:color w:val="000000"/>
          <w:spacing w:val="2"/>
          <w:sz w:val="26"/>
          <w:szCs w:val="26"/>
        </w:rPr>
        <w:t xml:space="preserve">, WGL, and OCA </w:t>
      </w:r>
      <w:r w:rsidRPr="00374740">
        <w:rPr>
          <w:rFonts w:ascii="Times New Roman" w:eastAsia="Times New Roman" w:hAnsi="Times New Roman"/>
          <w:color w:val="000000"/>
          <w:spacing w:val="2"/>
          <w:sz w:val="26"/>
          <w:szCs w:val="26"/>
        </w:rPr>
        <w:t>support the C</w:t>
      </w:r>
      <w:r w:rsidR="005470AC">
        <w:rPr>
          <w:rFonts w:ascii="Times New Roman" w:eastAsia="Times New Roman" w:hAnsi="Times New Roman"/>
          <w:color w:val="000000"/>
          <w:spacing w:val="2"/>
          <w:sz w:val="26"/>
          <w:szCs w:val="26"/>
        </w:rPr>
        <w:t xml:space="preserve">ommission's proposal to amend Section </w:t>
      </w:r>
      <w:r w:rsidRPr="00374740">
        <w:rPr>
          <w:rFonts w:ascii="Times New Roman" w:eastAsia="Times New Roman" w:hAnsi="Times New Roman"/>
          <w:color w:val="000000"/>
          <w:spacing w:val="2"/>
          <w:sz w:val="26"/>
          <w:szCs w:val="26"/>
        </w:rPr>
        <w:t>62.75(c)(7) to facilitate "seamless moves"</w:t>
      </w:r>
      <w:r w:rsidR="00374740">
        <w:rPr>
          <w:rFonts w:ascii="Times New Roman" w:eastAsia="Times New Roman" w:hAnsi="Times New Roman"/>
          <w:color w:val="000000"/>
          <w:spacing w:val="2"/>
          <w:sz w:val="26"/>
          <w:szCs w:val="26"/>
        </w:rPr>
        <w:t xml:space="preserve"> so that a customer can retain the same supply service instead of having to first </w:t>
      </w:r>
      <w:r w:rsidR="00E70DB4">
        <w:rPr>
          <w:rFonts w:ascii="Times New Roman" w:eastAsia="Times New Roman" w:hAnsi="Times New Roman"/>
          <w:color w:val="000000"/>
          <w:spacing w:val="2"/>
          <w:sz w:val="26"/>
          <w:szCs w:val="26"/>
        </w:rPr>
        <w:t>receive</w:t>
      </w:r>
      <w:r w:rsidR="00374740">
        <w:rPr>
          <w:rFonts w:ascii="Times New Roman" w:eastAsia="Times New Roman" w:hAnsi="Times New Roman"/>
          <w:color w:val="000000"/>
          <w:spacing w:val="2"/>
          <w:sz w:val="26"/>
          <w:szCs w:val="26"/>
        </w:rPr>
        <w:t xml:space="preserve"> default service when moving to a new location.</w:t>
      </w:r>
      <w:r w:rsidRPr="00374740">
        <w:rPr>
          <w:rFonts w:ascii="Times New Roman" w:eastAsia="Times New Roman" w:hAnsi="Times New Roman"/>
          <w:color w:val="000000"/>
          <w:spacing w:val="2"/>
          <w:sz w:val="26"/>
          <w:szCs w:val="26"/>
        </w:rPr>
        <w:t xml:space="preserve">  </w:t>
      </w:r>
      <w:r w:rsidRPr="00374740">
        <w:rPr>
          <w:rFonts w:ascii="Times New Roman" w:eastAsia="Times New Roman" w:hAnsi="Times New Roman"/>
          <w:color w:val="000000"/>
          <w:spacing w:val="2"/>
          <w:sz w:val="26"/>
          <w:szCs w:val="26"/>
        </w:rPr>
        <w:lastRenderedPageBreak/>
        <w:t>RESA Comments at 20</w:t>
      </w:r>
      <w:r w:rsidR="00374740">
        <w:rPr>
          <w:rFonts w:ascii="Times New Roman" w:eastAsia="Times New Roman" w:hAnsi="Times New Roman"/>
          <w:color w:val="000000"/>
          <w:spacing w:val="2"/>
          <w:sz w:val="26"/>
          <w:szCs w:val="26"/>
        </w:rPr>
        <w:t>; WGL Comments at 15; OCA Comments at 10, OCA’s Annex</w:t>
      </w:r>
      <w:r w:rsidR="005004B5">
        <w:rPr>
          <w:rFonts w:ascii="Times New Roman" w:eastAsia="Times New Roman" w:hAnsi="Times New Roman"/>
          <w:color w:val="000000"/>
          <w:spacing w:val="2"/>
          <w:sz w:val="26"/>
          <w:szCs w:val="26"/>
        </w:rPr>
        <w:t> </w:t>
      </w:r>
      <w:r w:rsidR="00374740">
        <w:rPr>
          <w:rFonts w:ascii="Times New Roman" w:eastAsia="Times New Roman" w:hAnsi="Times New Roman"/>
          <w:color w:val="000000"/>
          <w:spacing w:val="2"/>
          <w:sz w:val="26"/>
          <w:szCs w:val="26"/>
        </w:rPr>
        <w:t>A</w:t>
      </w:r>
      <w:r w:rsidRPr="00374740">
        <w:rPr>
          <w:rFonts w:ascii="Times New Roman" w:eastAsia="Times New Roman" w:hAnsi="Times New Roman"/>
          <w:color w:val="000000"/>
          <w:spacing w:val="2"/>
          <w:sz w:val="26"/>
          <w:szCs w:val="26"/>
        </w:rPr>
        <w:t xml:space="preserve">.  </w:t>
      </w:r>
    </w:p>
    <w:p w:rsidR="00374740" w:rsidRDefault="00374740" w:rsidP="00B814CC">
      <w:pPr>
        <w:pStyle w:val="NoSpacing"/>
        <w:spacing w:line="360" w:lineRule="auto"/>
        <w:ind w:firstLine="720"/>
        <w:rPr>
          <w:rFonts w:ascii="Times New Roman" w:eastAsia="Times New Roman" w:hAnsi="Times New Roman"/>
          <w:color w:val="000000"/>
          <w:spacing w:val="2"/>
          <w:sz w:val="26"/>
          <w:szCs w:val="26"/>
        </w:rPr>
      </w:pPr>
    </w:p>
    <w:p w:rsidR="00B814CC" w:rsidRPr="00AA1DE2" w:rsidRDefault="00374740" w:rsidP="00374740">
      <w:pPr>
        <w:spacing w:line="360" w:lineRule="auto"/>
        <w:ind w:firstLine="720"/>
        <w:rPr>
          <w:rFonts w:ascii="Times New Roman" w:hAnsi="Times New Roman"/>
          <w:sz w:val="26"/>
          <w:szCs w:val="26"/>
        </w:rPr>
      </w:pPr>
      <w:r w:rsidRPr="00AA1DE2">
        <w:rPr>
          <w:rFonts w:ascii="Times New Roman" w:hAnsi="Times New Roman"/>
          <w:sz w:val="26"/>
          <w:szCs w:val="26"/>
        </w:rPr>
        <w:t xml:space="preserve">WGL </w:t>
      </w:r>
      <w:r w:rsidR="00C42205">
        <w:rPr>
          <w:rFonts w:ascii="Times New Roman" w:hAnsi="Times New Roman"/>
          <w:sz w:val="26"/>
          <w:szCs w:val="26"/>
        </w:rPr>
        <w:t xml:space="preserve">and RESA </w:t>
      </w:r>
      <w:r w:rsidRPr="00AA1DE2">
        <w:rPr>
          <w:rFonts w:ascii="Times New Roman" w:hAnsi="Times New Roman"/>
          <w:sz w:val="26"/>
          <w:szCs w:val="26"/>
        </w:rPr>
        <w:t>agree that leaving the language “</w:t>
      </w:r>
      <w:r w:rsidRPr="00AA1DE2">
        <w:rPr>
          <w:rFonts w:ascii="Times New Roman" w:eastAsia="Times New Roman" w:hAnsi="Times New Roman"/>
          <w:color w:val="000000"/>
          <w:spacing w:val="-1"/>
          <w:sz w:val="26"/>
          <w:szCs w:val="26"/>
        </w:rPr>
        <w:t>Automatic renewal is allowed at the same terms and conditions as long as the new agreement is month</w:t>
      </w:r>
      <w:r w:rsidR="00C42205">
        <w:rPr>
          <w:rFonts w:ascii="Times New Roman" w:eastAsia="Times New Roman" w:hAnsi="Times New Roman"/>
          <w:color w:val="000000"/>
          <w:spacing w:val="-1"/>
          <w:sz w:val="26"/>
          <w:szCs w:val="26"/>
        </w:rPr>
        <w:noBreakHyphen/>
      </w:r>
      <w:r w:rsidRPr="00AA1DE2">
        <w:rPr>
          <w:rFonts w:ascii="Times New Roman" w:eastAsia="Times New Roman" w:hAnsi="Times New Roman"/>
          <w:color w:val="000000"/>
          <w:spacing w:val="-1"/>
          <w:sz w:val="26"/>
          <w:szCs w:val="26"/>
        </w:rPr>
        <w:t>to</w:t>
      </w:r>
      <w:r w:rsidR="00C42205">
        <w:rPr>
          <w:rFonts w:ascii="Times New Roman" w:eastAsia="Times New Roman" w:hAnsi="Times New Roman"/>
          <w:color w:val="000000"/>
          <w:spacing w:val="-1"/>
          <w:sz w:val="26"/>
          <w:szCs w:val="26"/>
        </w:rPr>
        <w:noBreakHyphen/>
      </w:r>
      <w:r w:rsidRPr="00AA1DE2">
        <w:rPr>
          <w:rFonts w:ascii="Times New Roman" w:eastAsia="Times New Roman" w:hAnsi="Times New Roman"/>
          <w:color w:val="000000"/>
          <w:spacing w:val="-1"/>
          <w:sz w:val="26"/>
          <w:szCs w:val="26"/>
        </w:rPr>
        <w:t xml:space="preserve">month" </w:t>
      </w:r>
      <w:r w:rsidRPr="00AA1DE2">
        <w:rPr>
          <w:rFonts w:ascii="Times New Roman" w:hAnsi="Times New Roman"/>
          <w:sz w:val="26"/>
          <w:szCs w:val="26"/>
        </w:rPr>
        <w:t>in Section 62.75</w:t>
      </w:r>
      <w:r w:rsidR="00AA1DE2" w:rsidRPr="00AA1DE2">
        <w:rPr>
          <w:rFonts w:ascii="Times New Roman" w:hAnsi="Times New Roman"/>
          <w:sz w:val="26"/>
          <w:szCs w:val="26"/>
        </w:rPr>
        <w:t>(c)(8)</w:t>
      </w:r>
      <w:r w:rsidRPr="00AA1DE2">
        <w:rPr>
          <w:rFonts w:ascii="Times New Roman" w:hAnsi="Times New Roman"/>
          <w:sz w:val="26"/>
          <w:szCs w:val="26"/>
        </w:rPr>
        <w:t xml:space="preserve"> invites confusion and conflicting requirements and that the rule pertaining to contract expiration and change in terms notices and procedures is better included in proposed new Section 62.81. </w:t>
      </w:r>
      <w:r w:rsidR="00C42205">
        <w:rPr>
          <w:rFonts w:ascii="Times New Roman" w:hAnsi="Times New Roman"/>
          <w:sz w:val="26"/>
          <w:szCs w:val="26"/>
        </w:rPr>
        <w:t xml:space="preserve"> </w:t>
      </w:r>
      <w:r w:rsidRPr="00AA1DE2">
        <w:rPr>
          <w:rFonts w:ascii="Times New Roman" w:hAnsi="Times New Roman"/>
          <w:sz w:val="26"/>
          <w:szCs w:val="26"/>
        </w:rPr>
        <w:t>WGL Comments at 15-16</w:t>
      </w:r>
      <w:r w:rsidR="00DD7B37">
        <w:rPr>
          <w:rFonts w:ascii="Times New Roman" w:hAnsi="Times New Roman"/>
          <w:sz w:val="26"/>
          <w:szCs w:val="26"/>
        </w:rPr>
        <w:t xml:space="preserve">; </w:t>
      </w:r>
      <w:r w:rsidR="00DD7B37" w:rsidRPr="00AA1DE2">
        <w:rPr>
          <w:rFonts w:ascii="Times New Roman" w:hAnsi="Times New Roman"/>
          <w:sz w:val="26"/>
          <w:szCs w:val="26"/>
        </w:rPr>
        <w:t>RESA Comments at 20</w:t>
      </w:r>
      <w:r w:rsidRPr="00AA1DE2">
        <w:rPr>
          <w:rFonts w:ascii="Times New Roman" w:hAnsi="Times New Roman"/>
          <w:sz w:val="26"/>
          <w:szCs w:val="26"/>
        </w:rPr>
        <w:t xml:space="preserve">.  </w:t>
      </w:r>
      <w:r w:rsidR="00B814CC" w:rsidRPr="00AA1DE2">
        <w:rPr>
          <w:rFonts w:ascii="Times New Roman" w:hAnsi="Times New Roman"/>
          <w:sz w:val="26"/>
          <w:szCs w:val="26"/>
        </w:rPr>
        <w:t xml:space="preserve"> </w:t>
      </w:r>
    </w:p>
    <w:p w:rsidR="00374740" w:rsidRDefault="00374740" w:rsidP="00374740">
      <w:pPr>
        <w:pStyle w:val="NoSpacing"/>
        <w:spacing w:line="360" w:lineRule="auto"/>
        <w:ind w:firstLine="720"/>
        <w:rPr>
          <w:rFonts w:ascii="Times New Roman" w:hAnsi="Times New Roman"/>
          <w:sz w:val="26"/>
          <w:szCs w:val="26"/>
        </w:rPr>
      </w:pPr>
    </w:p>
    <w:p w:rsidR="00374740" w:rsidRPr="00E77AA7" w:rsidRDefault="00374740" w:rsidP="00374740">
      <w:pPr>
        <w:pStyle w:val="NoSpacing"/>
        <w:spacing w:line="360" w:lineRule="auto"/>
        <w:ind w:firstLine="720"/>
        <w:rPr>
          <w:rFonts w:ascii="Times New Roman" w:eastAsia="Times New Roman" w:hAnsi="Times New Roman"/>
          <w:color w:val="000000"/>
          <w:sz w:val="26"/>
          <w:szCs w:val="26"/>
        </w:rPr>
      </w:pPr>
      <w:r w:rsidRPr="004C75FF">
        <w:rPr>
          <w:rFonts w:ascii="Times New Roman" w:hAnsi="Times New Roman"/>
          <w:sz w:val="26"/>
          <w:szCs w:val="26"/>
        </w:rPr>
        <w:t xml:space="preserve">OCA </w:t>
      </w:r>
      <w:r>
        <w:rPr>
          <w:rFonts w:ascii="Times New Roman" w:eastAsia="Times New Roman" w:hAnsi="Times New Roman"/>
          <w:color w:val="000000"/>
          <w:spacing w:val="2"/>
          <w:sz w:val="26"/>
          <w:szCs w:val="26"/>
        </w:rPr>
        <w:t xml:space="preserve">recommends minor changes to proposed Section </w:t>
      </w:r>
      <w:r w:rsidRPr="004C75FF">
        <w:rPr>
          <w:rFonts w:ascii="Times New Roman" w:eastAsia="Times New Roman" w:hAnsi="Times New Roman"/>
          <w:color w:val="000000"/>
          <w:sz w:val="26"/>
          <w:szCs w:val="26"/>
        </w:rPr>
        <w:t>62.75(c)(9)</w:t>
      </w:r>
      <w:r>
        <w:rPr>
          <w:rFonts w:ascii="Times New Roman" w:eastAsia="Times New Roman" w:hAnsi="Times New Roman"/>
          <w:color w:val="000000"/>
          <w:sz w:val="26"/>
          <w:szCs w:val="26"/>
        </w:rPr>
        <w:t xml:space="preserve"> to</w:t>
      </w:r>
      <w:r w:rsidRPr="004C75FF">
        <w:rPr>
          <w:rFonts w:ascii="Times New Roman" w:eastAsia="Times New Roman" w:hAnsi="Times New Roman"/>
          <w:color w:val="000000"/>
          <w:sz w:val="26"/>
          <w:szCs w:val="26"/>
        </w:rPr>
        <w:t xml:space="preserve"> specify th</w:t>
      </w:r>
      <w:r>
        <w:rPr>
          <w:rFonts w:ascii="Times New Roman" w:eastAsia="Times New Roman" w:hAnsi="Times New Roman"/>
          <w:color w:val="000000"/>
          <w:sz w:val="26"/>
          <w:szCs w:val="26"/>
        </w:rPr>
        <w:t>at</w:t>
      </w:r>
      <w:r w:rsidRPr="004C75FF">
        <w:rPr>
          <w:rFonts w:ascii="Times New Roman" w:eastAsia="Times New Roman" w:hAnsi="Times New Roman"/>
          <w:color w:val="000000"/>
          <w:sz w:val="26"/>
          <w:szCs w:val="26"/>
        </w:rPr>
        <w:t xml:space="preserve"> type size should be no less than 12 point font. </w:t>
      </w:r>
      <w:r>
        <w:rPr>
          <w:rFonts w:ascii="Times New Roman" w:eastAsia="Times New Roman" w:hAnsi="Times New Roman"/>
          <w:color w:val="000000"/>
          <w:sz w:val="26"/>
          <w:szCs w:val="26"/>
        </w:rPr>
        <w:t xml:space="preserve"> </w:t>
      </w:r>
      <w:r w:rsidRPr="004C75FF">
        <w:rPr>
          <w:rFonts w:ascii="Times New Roman" w:eastAsia="Times New Roman" w:hAnsi="Times New Roman"/>
          <w:color w:val="000000"/>
          <w:sz w:val="26"/>
          <w:szCs w:val="26"/>
        </w:rPr>
        <w:t xml:space="preserve">OCA </w:t>
      </w:r>
      <w:r>
        <w:rPr>
          <w:rFonts w:ascii="Times New Roman" w:eastAsia="Times New Roman" w:hAnsi="Times New Roman"/>
          <w:color w:val="000000"/>
          <w:sz w:val="26"/>
          <w:szCs w:val="26"/>
        </w:rPr>
        <w:t xml:space="preserve">Comments </w:t>
      </w:r>
      <w:r w:rsidRPr="004C75FF">
        <w:rPr>
          <w:rFonts w:ascii="Times New Roman" w:eastAsia="Times New Roman" w:hAnsi="Times New Roman"/>
          <w:color w:val="000000"/>
          <w:sz w:val="26"/>
          <w:szCs w:val="26"/>
        </w:rPr>
        <w:t>at 10</w:t>
      </w:r>
      <w:r>
        <w:rPr>
          <w:rFonts w:ascii="Times New Roman" w:eastAsia="Times New Roman" w:hAnsi="Times New Roman"/>
          <w:color w:val="000000"/>
          <w:sz w:val="26"/>
          <w:szCs w:val="26"/>
        </w:rPr>
        <w:t>, OCA’s Annex A</w:t>
      </w:r>
      <w:r w:rsidRPr="004C75FF">
        <w:rPr>
          <w:rFonts w:ascii="Times New Roman" w:eastAsia="Times New Roman" w:hAnsi="Times New Roman"/>
          <w:color w:val="000000"/>
          <w:sz w:val="26"/>
          <w:szCs w:val="26"/>
        </w:rPr>
        <w:t>.</w:t>
      </w:r>
      <w:r w:rsidR="00F84450">
        <w:rPr>
          <w:rFonts w:ascii="Times New Roman" w:eastAsia="Times New Roman" w:hAnsi="Times New Roman"/>
          <w:color w:val="000000"/>
          <w:sz w:val="26"/>
          <w:szCs w:val="26"/>
        </w:rPr>
        <w:t xml:space="preserve">  OCA also asks that its website be added to 62.75(c)(11) and proposes other additional changes.  </w:t>
      </w:r>
      <w:r w:rsidR="00F84450">
        <w:rPr>
          <w:rFonts w:ascii="Times New Roman" w:eastAsia="Times New Roman" w:hAnsi="Times New Roman"/>
          <w:i/>
          <w:color w:val="000000"/>
          <w:sz w:val="26"/>
          <w:szCs w:val="26"/>
        </w:rPr>
        <w:t>See id.</w:t>
      </w:r>
      <w:r>
        <w:rPr>
          <w:rFonts w:ascii="Times New Roman" w:eastAsia="Times New Roman" w:hAnsi="Times New Roman"/>
          <w:color w:val="000000"/>
          <w:sz w:val="26"/>
          <w:szCs w:val="26"/>
        </w:rPr>
        <w:t xml:space="preserve">  </w:t>
      </w:r>
    </w:p>
    <w:p w:rsidR="007214A4" w:rsidRPr="00AF1BF4" w:rsidRDefault="007214A4" w:rsidP="00AF1BF4">
      <w:pPr>
        <w:pStyle w:val="NoSpacing"/>
        <w:spacing w:line="360" w:lineRule="auto"/>
        <w:rPr>
          <w:rFonts w:ascii="Times New Roman" w:hAnsi="Times New Roman"/>
          <w:sz w:val="26"/>
          <w:szCs w:val="26"/>
          <w:highlight w:val="yellow"/>
        </w:rPr>
      </w:pPr>
    </w:p>
    <w:p w:rsidR="00AF1BF4" w:rsidRPr="00B814CC" w:rsidRDefault="00374740" w:rsidP="00AF1BF4">
      <w:pPr>
        <w:pStyle w:val="NoSpacing"/>
        <w:spacing w:line="360" w:lineRule="auto"/>
        <w:ind w:firstLine="720"/>
        <w:rPr>
          <w:rFonts w:ascii="Times New Roman" w:eastAsia="Cambria" w:hAnsi="Times New Roman"/>
          <w:color w:val="000000"/>
          <w:spacing w:val="-1"/>
          <w:sz w:val="26"/>
          <w:szCs w:val="26"/>
        </w:rPr>
      </w:pPr>
      <w:r w:rsidRPr="00E5006D">
        <w:rPr>
          <w:rFonts w:ascii="Times New Roman" w:hAnsi="Times New Roman"/>
          <w:sz w:val="26"/>
          <w:szCs w:val="26"/>
        </w:rPr>
        <w:t xml:space="preserve">RESA and </w:t>
      </w:r>
      <w:r w:rsidR="007214A4" w:rsidRPr="00E5006D">
        <w:rPr>
          <w:rFonts w:ascii="Times New Roman" w:hAnsi="Times New Roman"/>
          <w:sz w:val="26"/>
          <w:szCs w:val="26"/>
        </w:rPr>
        <w:t xml:space="preserve">WGL strongly support removing NGDC references in Sections 62.75(c), but agree </w:t>
      </w:r>
      <w:r w:rsidR="00835702" w:rsidRPr="00E5006D">
        <w:rPr>
          <w:rFonts w:ascii="Times New Roman" w:hAnsi="Times New Roman"/>
          <w:sz w:val="26"/>
          <w:szCs w:val="26"/>
        </w:rPr>
        <w:t xml:space="preserve">with </w:t>
      </w:r>
      <w:r w:rsidR="007214A4" w:rsidRPr="00E5006D">
        <w:rPr>
          <w:rFonts w:ascii="Times New Roman" w:hAnsi="Times New Roman"/>
          <w:sz w:val="26"/>
          <w:szCs w:val="26"/>
        </w:rPr>
        <w:t>including a reference to the</w:t>
      </w:r>
      <w:r w:rsidR="007214A4" w:rsidRPr="00E5006D">
        <w:rPr>
          <w:rFonts w:ascii="Times New Roman" w:eastAsia="Times New Roman" w:hAnsi="Times New Roman"/>
          <w:color w:val="000000"/>
          <w:sz w:val="26"/>
          <w:szCs w:val="26"/>
        </w:rPr>
        <w:t xml:space="preserve"> Commission’s natural gas shopping website, PaGasSwitch.com</w:t>
      </w:r>
      <w:r w:rsidR="007214A4" w:rsidRPr="00E5006D">
        <w:rPr>
          <w:rFonts w:ascii="Times New Roman" w:hAnsi="Times New Roman"/>
          <w:sz w:val="26"/>
          <w:szCs w:val="26"/>
        </w:rPr>
        <w:t xml:space="preserve">.  </w:t>
      </w:r>
      <w:r w:rsidRPr="00E5006D">
        <w:rPr>
          <w:rFonts w:ascii="Times New Roman" w:hAnsi="Times New Roman"/>
          <w:sz w:val="26"/>
          <w:szCs w:val="26"/>
        </w:rPr>
        <w:t xml:space="preserve">RESA Comments at 20; </w:t>
      </w:r>
      <w:r w:rsidR="007214A4" w:rsidRPr="00E5006D">
        <w:rPr>
          <w:rFonts w:ascii="Times New Roman" w:hAnsi="Times New Roman"/>
          <w:sz w:val="26"/>
          <w:szCs w:val="26"/>
        </w:rPr>
        <w:t>WGL Comments at 16.  The PA Marketers</w:t>
      </w:r>
      <w:r w:rsidR="00B814CC" w:rsidRPr="00E5006D">
        <w:rPr>
          <w:rFonts w:ascii="Times New Roman" w:hAnsi="Times New Roman"/>
          <w:sz w:val="26"/>
          <w:szCs w:val="26"/>
        </w:rPr>
        <w:t xml:space="preserve"> and the National Marketers</w:t>
      </w:r>
      <w:r w:rsidR="007214A4" w:rsidRPr="00E5006D">
        <w:rPr>
          <w:rFonts w:ascii="Times New Roman" w:hAnsi="Times New Roman"/>
          <w:sz w:val="26"/>
          <w:szCs w:val="26"/>
        </w:rPr>
        <w:t xml:space="preserve"> a</w:t>
      </w:r>
      <w:r w:rsidR="00B814CC" w:rsidRPr="00E5006D">
        <w:rPr>
          <w:rFonts w:ascii="Times New Roman" w:hAnsi="Times New Roman"/>
          <w:sz w:val="26"/>
          <w:szCs w:val="26"/>
        </w:rPr>
        <w:t xml:space="preserve">gree that </w:t>
      </w:r>
      <w:r w:rsidR="00AF1BF4" w:rsidRPr="00E5006D">
        <w:rPr>
          <w:rFonts w:ascii="Times New Roman" w:eastAsia="Cambria" w:hAnsi="Times New Roman"/>
          <w:color w:val="000000"/>
          <w:sz w:val="26"/>
          <w:szCs w:val="26"/>
        </w:rPr>
        <w:t>it is now unnecessary to require a prominent display of NGDC information on NGS documents, as this may invite customer confusion and even risk creating the false impression that the NGS is “affiliated with” or “partnering with” the</w:t>
      </w:r>
      <w:r w:rsidR="00326651" w:rsidRPr="00E5006D">
        <w:rPr>
          <w:rFonts w:ascii="Times New Roman" w:eastAsia="Cambria" w:hAnsi="Times New Roman"/>
          <w:color w:val="000000"/>
          <w:sz w:val="26"/>
          <w:szCs w:val="26"/>
        </w:rPr>
        <w:t xml:space="preserve"> </w:t>
      </w:r>
      <w:r w:rsidR="00DC328B" w:rsidRPr="00E5006D">
        <w:rPr>
          <w:rFonts w:ascii="Times New Roman" w:eastAsia="Cambria" w:hAnsi="Times New Roman"/>
          <w:color w:val="000000"/>
          <w:sz w:val="26"/>
          <w:szCs w:val="26"/>
        </w:rPr>
        <w:t>NGDC</w:t>
      </w:r>
      <w:r w:rsidR="00AF1BF4" w:rsidRPr="00E5006D">
        <w:rPr>
          <w:rFonts w:ascii="Times New Roman" w:eastAsia="Cambria" w:hAnsi="Times New Roman"/>
          <w:color w:val="000000"/>
          <w:sz w:val="26"/>
          <w:szCs w:val="26"/>
        </w:rPr>
        <w:t>.  P</w:t>
      </w:r>
      <w:r w:rsidR="00B814CC" w:rsidRPr="00E5006D">
        <w:rPr>
          <w:rFonts w:ascii="Times New Roman" w:eastAsia="Cambria" w:hAnsi="Times New Roman"/>
          <w:color w:val="000000"/>
          <w:sz w:val="26"/>
          <w:szCs w:val="26"/>
        </w:rPr>
        <w:t>A Marketers at 8; National Marketers at 8 (averring that the current requirements place the NGS in the “unseemly position of promoting the utility even though the utility is not a party to the underlying transaction”)</w:t>
      </w:r>
      <w:r w:rsidR="00AF1BF4" w:rsidRPr="00E5006D">
        <w:rPr>
          <w:rFonts w:ascii="Times New Roman" w:eastAsia="Cambria" w:hAnsi="Times New Roman"/>
          <w:color w:val="000000"/>
          <w:sz w:val="26"/>
          <w:szCs w:val="26"/>
        </w:rPr>
        <w:t xml:space="preserve">.  </w:t>
      </w:r>
      <w:r w:rsidR="00B814CC" w:rsidRPr="00E5006D">
        <w:rPr>
          <w:rFonts w:ascii="Times New Roman" w:eastAsia="Cambria" w:hAnsi="Times New Roman"/>
          <w:color w:val="000000"/>
          <w:sz w:val="26"/>
          <w:szCs w:val="26"/>
        </w:rPr>
        <w:t>The PA Marketers and the National Marketers</w:t>
      </w:r>
      <w:r w:rsidR="00AF1BF4" w:rsidRPr="00E5006D">
        <w:rPr>
          <w:rFonts w:ascii="Times New Roman" w:eastAsia="Cambria" w:hAnsi="Times New Roman"/>
          <w:color w:val="000000"/>
          <w:spacing w:val="-1"/>
          <w:sz w:val="26"/>
          <w:szCs w:val="26"/>
        </w:rPr>
        <w:t xml:space="preserve"> also support the proposal to refer</w:t>
      </w:r>
      <w:r w:rsidR="00B814CC" w:rsidRPr="00E5006D">
        <w:rPr>
          <w:rFonts w:ascii="Times New Roman" w:eastAsia="Cambria" w:hAnsi="Times New Roman"/>
          <w:color w:val="000000"/>
          <w:spacing w:val="-1"/>
          <w:sz w:val="26"/>
          <w:szCs w:val="26"/>
        </w:rPr>
        <w:t>ence</w:t>
      </w:r>
      <w:r w:rsidR="00AF1BF4" w:rsidRPr="00E5006D">
        <w:rPr>
          <w:rFonts w:ascii="Times New Roman" w:eastAsia="Cambria" w:hAnsi="Times New Roman"/>
          <w:color w:val="000000"/>
          <w:spacing w:val="-1"/>
          <w:sz w:val="26"/>
          <w:szCs w:val="26"/>
        </w:rPr>
        <w:t xml:space="preserve"> the Commission’s natural gas shopping website as </w:t>
      </w:r>
      <w:r w:rsidR="00B26C38">
        <w:rPr>
          <w:rFonts w:ascii="Times New Roman" w:eastAsia="Cambria" w:hAnsi="Times New Roman"/>
          <w:color w:val="000000"/>
          <w:spacing w:val="-1"/>
          <w:sz w:val="26"/>
          <w:szCs w:val="26"/>
        </w:rPr>
        <w:t xml:space="preserve">a </w:t>
      </w:r>
      <w:r w:rsidR="00AF1BF4" w:rsidRPr="00E5006D">
        <w:rPr>
          <w:rFonts w:ascii="Times New Roman" w:eastAsia="Cambria" w:hAnsi="Times New Roman"/>
          <w:color w:val="000000"/>
          <w:spacing w:val="-1"/>
          <w:sz w:val="26"/>
          <w:szCs w:val="26"/>
        </w:rPr>
        <w:t>source for information</w:t>
      </w:r>
      <w:r w:rsidR="00B814CC" w:rsidRPr="00E5006D">
        <w:rPr>
          <w:rFonts w:ascii="Times New Roman" w:eastAsia="Cambria" w:hAnsi="Times New Roman"/>
          <w:color w:val="000000"/>
          <w:spacing w:val="-1"/>
          <w:sz w:val="26"/>
          <w:szCs w:val="26"/>
        </w:rPr>
        <w:t xml:space="preserve"> and a beneficial shopping tool</w:t>
      </w:r>
      <w:r w:rsidR="00AF1BF4" w:rsidRPr="00E5006D">
        <w:rPr>
          <w:rFonts w:ascii="Times New Roman" w:eastAsia="Cambria" w:hAnsi="Times New Roman"/>
          <w:color w:val="000000"/>
          <w:spacing w:val="-1"/>
          <w:sz w:val="26"/>
          <w:szCs w:val="26"/>
        </w:rPr>
        <w:t xml:space="preserve">.  </w:t>
      </w:r>
      <w:r w:rsidR="00B814CC" w:rsidRPr="00E5006D">
        <w:rPr>
          <w:rFonts w:ascii="Times New Roman" w:eastAsia="Cambria" w:hAnsi="Times New Roman"/>
          <w:i/>
          <w:color w:val="000000"/>
          <w:spacing w:val="-1"/>
          <w:sz w:val="26"/>
          <w:szCs w:val="26"/>
        </w:rPr>
        <w:t>Id.</w:t>
      </w:r>
      <w:r w:rsidR="00B814CC" w:rsidRPr="00E5006D">
        <w:rPr>
          <w:rFonts w:ascii="Times New Roman" w:eastAsia="Cambria" w:hAnsi="Times New Roman"/>
          <w:color w:val="000000"/>
          <w:spacing w:val="-1"/>
          <w:sz w:val="26"/>
          <w:szCs w:val="26"/>
        </w:rPr>
        <w:t>; National Marketers Comments at 8.</w:t>
      </w:r>
      <w:r w:rsidRPr="00E5006D">
        <w:rPr>
          <w:rFonts w:ascii="Times New Roman" w:eastAsia="Cambria" w:hAnsi="Times New Roman"/>
          <w:color w:val="000000"/>
          <w:spacing w:val="-1"/>
          <w:sz w:val="26"/>
          <w:szCs w:val="26"/>
        </w:rPr>
        <w:t xml:space="preserve">  </w:t>
      </w:r>
      <w:r w:rsidRPr="00E5006D">
        <w:rPr>
          <w:rFonts w:ascii="Times New Roman" w:eastAsia="Times New Roman" w:hAnsi="Times New Roman"/>
          <w:color w:val="000000"/>
          <w:spacing w:val="1"/>
          <w:sz w:val="26"/>
          <w:szCs w:val="26"/>
        </w:rPr>
        <w:t>OCA agrees that the Commission's PAGasSwitch</w:t>
      </w:r>
      <w:r w:rsidR="00E5006D">
        <w:rPr>
          <w:rFonts w:ascii="Times New Roman" w:eastAsia="Times New Roman" w:hAnsi="Times New Roman"/>
          <w:color w:val="000000"/>
          <w:spacing w:val="1"/>
          <w:sz w:val="26"/>
          <w:szCs w:val="26"/>
        </w:rPr>
        <w:t>.com</w:t>
      </w:r>
      <w:r w:rsidRPr="00E5006D">
        <w:rPr>
          <w:rFonts w:ascii="Times New Roman" w:eastAsia="Times New Roman" w:hAnsi="Times New Roman"/>
          <w:color w:val="000000"/>
          <w:spacing w:val="1"/>
          <w:sz w:val="26"/>
          <w:szCs w:val="26"/>
        </w:rPr>
        <w:t xml:space="preserve"> website contains valuable information, but believes NGSs should continue to provide the Commission's telephone number, as only providing a webpage </w:t>
      </w:r>
      <w:r w:rsidRPr="00E5006D">
        <w:rPr>
          <w:rFonts w:ascii="Times New Roman" w:eastAsia="Times New Roman" w:hAnsi="Times New Roman"/>
          <w:color w:val="000000"/>
          <w:spacing w:val="1"/>
          <w:sz w:val="26"/>
          <w:szCs w:val="26"/>
        </w:rPr>
        <w:lastRenderedPageBreak/>
        <w:t xml:space="preserve">assumes that all consumers have internet access.  </w:t>
      </w:r>
      <w:r w:rsidRPr="00E5006D">
        <w:rPr>
          <w:rFonts w:ascii="Times New Roman" w:eastAsia="Times New Roman" w:hAnsi="Times New Roman"/>
          <w:i/>
          <w:color w:val="000000"/>
          <w:spacing w:val="1"/>
          <w:sz w:val="26"/>
          <w:szCs w:val="26"/>
        </w:rPr>
        <w:t>Id.</w:t>
      </w:r>
      <w:r w:rsidRPr="00E5006D">
        <w:rPr>
          <w:rFonts w:ascii="Times New Roman" w:eastAsia="Times New Roman" w:hAnsi="Times New Roman"/>
          <w:color w:val="000000"/>
          <w:spacing w:val="1"/>
          <w:sz w:val="26"/>
          <w:szCs w:val="26"/>
        </w:rPr>
        <w:t xml:space="preserve">  OCA also recommends referring consumers to </w:t>
      </w:r>
      <w:r w:rsidR="00F52166">
        <w:rPr>
          <w:rFonts w:ascii="Times New Roman" w:eastAsia="Times New Roman" w:hAnsi="Times New Roman"/>
          <w:color w:val="000000"/>
          <w:spacing w:val="1"/>
          <w:sz w:val="26"/>
          <w:szCs w:val="26"/>
        </w:rPr>
        <w:t>its own</w:t>
      </w:r>
      <w:r w:rsidRPr="00E5006D">
        <w:rPr>
          <w:rFonts w:ascii="Times New Roman" w:eastAsia="Times New Roman" w:hAnsi="Times New Roman"/>
          <w:color w:val="000000"/>
          <w:spacing w:val="1"/>
          <w:sz w:val="26"/>
          <w:szCs w:val="26"/>
        </w:rPr>
        <w:t xml:space="preserve"> website where consumers can access OCA's natural gas shopping guide.  </w:t>
      </w:r>
      <w:r w:rsidRPr="00E5006D">
        <w:rPr>
          <w:rFonts w:ascii="Times New Roman" w:eastAsia="Times New Roman" w:hAnsi="Times New Roman"/>
          <w:i/>
          <w:color w:val="000000"/>
          <w:spacing w:val="1"/>
          <w:sz w:val="26"/>
          <w:szCs w:val="26"/>
        </w:rPr>
        <w:t>Id</w:t>
      </w:r>
      <w:r w:rsidRPr="00E5006D">
        <w:rPr>
          <w:rFonts w:ascii="Times New Roman" w:eastAsia="Times New Roman" w:hAnsi="Times New Roman"/>
          <w:color w:val="000000"/>
          <w:spacing w:val="1"/>
          <w:sz w:val="26"/>
          <w:szCs w:val="26"/>
        </w:rPr>
        <w:t>.</w:t>
      </w:r>
      <w:r>
        <w:rPr>
          <w:rFonts w:ascii="Times New Roman" w:eastAsia="Times New Roman" w:hAnsi="Times New Roman"/>
          <w:color w:val="000000"/>
          <w:spacing w:val="1"/>
          <w:sz w:val="26"/>
          <w:szCs w:val="26"/>
        </w:rPr>
        <w:t xml:space="preserve"> </w:t>
      </w:r>
    </w:p>
    <w:p w:rsidR="00AF1BF4" w:rsidRDefault="00AF1BF4" w:rsidP="00AF1BF4">
      <w:pPr>
        <w:pStyle w:val="NoSpacing"/>
        <w:spacing w:line="360" w:lineRule="auto"/>
        <w:ind w:firstLine="720"/>
        <w:rPr>
          <w:rFonts w:ascii="Times New Roman" w:hAnsi="Times New Roman"/>
          <w:color w:val="000000" w:themeColor="text1"/>
          <w:sz w:val="26"/>
          <w:szCs w:val="26"/>
        </w:rPr>
      </w:pPr>
    </w:p>
    <w:p w:rsidR="00AF1BF4" w:rsidRPr="004C75FF" w:rsidRDefault="00AF1BF4" w:rsidP="00AF1BF4">
      <w:pPr>
        <w:pStyle w:val="NoSpacing"/>
        <w:spacing w:line="360" w:lineRule="auto"/>
        <w:ind w:firstLine="720"/>
        <w:rPr>
          <w:rFonts w:ascii="Times New Roman" w:eastAsia="Times New Roman" w:hAnsi="Times New Roman"/>
          <w:color w:val="000000"/>
          <w:spacing w:val="4"/>
          <w:sz w:val="26"/>
          <w:szCs w:val="26"/>
        </w:rPr>
      </w:pPr>
      <w:r w:rsidRPr="007214A4">
        <w:rPr>
          <w:rFonts w:ascii="Times New Roman" w:hAnsi="Times New Roman"/>
          <w:sz w:val="26"/>
          <w:szCs w:val="26"/>
        </w:rPr>
        <w:t xml:space="preserve">PULP objects to the proposal to strike </w:t>
      </w:r>
      <w:r w:rsidR="00192085">
        <w:rPr>
          <w:rFonts w:ascii="Times New Roman" w:hAnsi="Times New Roman"/>
          <w:sz w:val="26"/>
          <w:szCs w:val="26"/>
        </w:rPr>
        <w:t>S</w:t>
      </w:r>
      <w:r w:rsidRPr="007214A4">
        <w:rPr>
          <w:rFonts w:ascii="Times New Roman" w:hAnsi="Times New Roman"/>
          <w:sz w:val="26"/>
          <w:szCs w:val="26"/>
        </w:rPr>
        <w:t>ection 62.75(c)(13)</w:t>
      </w:r>
      <w:r w:rsidR="007214A4" w:rsidRPr="007214A4">
        <w:rPr>
          <w:rFonts w:ascii="Times New Roman" w:hAnsi="Times New Roman"/>
          <w:sz w:val="26"/>
          <w:szCs w:val="26"/>
        </w:rPr>
        <w:t xml:space="preserve"> (</w:t>
      </w:r>
      <w:r w:rsidRPr="007214A4">
        <w:rPr>
          <w:rFonts w:ascii="Times New Roman" w:hAnsi="Times New Roman"/>
          <w:sz w:val="26"/>
          <w:szCs w:val="26"/>
        </w:rPr>
        <w:t>requir</w:t>
      </w:r>
      <w:r w:rsidR="007214A4" w:rsidRPr="007214A4">
        <w:rPr>
          <w:rFonts w:ascii="Times New Roman" w:hAnsi="Times New Roman"/>
          <w:sz w:val="26"/>
          <w:szCs w:val="26"/>
        </w:rPr>
        <w:t>ing NGSs</w:t>
      </w:r>
      <w:r w:rsidRPr="007214A4">
        <w:rPr>
          <w:rFonts w:ascii="Times New Roman" w:hAnsi="Times New Roman"/>
          <w:sz w:val="26"/>
          <w:szCs w:val="26"/>
        </w:rPr>
        <w:t xml:space="preserve"> to include the name and number of the universal service program</w:t>
      </w:r>
      <w:r w:rsidR="007214A4" w:rsidRPr="007214A4">
        <w:rPr>
          <w:rFonts w:ascii="Times New Roman" w:hAnsi="Times New Roman"/>
          <w:sz w:val="26"/>
          <w:szCs w:val="26"/>
        </w:rPr>
        <w:t>), as PULP believes i</w:t>
      </w:r>
      <w:r w:rsidR="007214A4" w:rsidRPr="007214A4">
        <w:rPr>
          <w:rFonts w:ascii="Times New Roman" w:eastAsia="Times New Roman" w:hAnsi="Times New Roman"/>
          <w:color w:val="000000"/>
          <w:spacing w:val="4"/>
          <w:sz w:val="26"/>
          <w:szCs w:val="26"/>
        </w:rPr>
        <w:t>t is critical for economically vulnerable customers to receive this information in order to make more informed decisions about their natural gas supply.</w:t>
      </w:r>
      <w:r w:rsidRPr="007214A4">
        <w:rPr>
          <w:rFonts w:ascii="Times New Roman" w:hAnsi="Times New Roman"/>
          <w:sz w:val="26"/>
          <w:szCs w:val="26"/>
        </w:rPr>
        <w:t xml:space="preserve"> </w:t>
      </w:r>
      <w:r w:rsidR="007214A4" w:rsidRPr="007214A4">
        <w:rPr>
          <w:rFonts w:ascii="Times New Roman" w:hAnsi="Times New Roman"/>
          <w:sz w:val="26"/>
          <w:szCs w:val="26"/>
        </w:rPr>
        <w:t xml:space="preserve"> </w:t>
      </w:r>
      <w:r w:rsidRPr="007214A4">
        <w:rPr>
          <w:rFonts w:ascii="Times New Roman" w:hAnsi="Times New Roman"/>
          <w:sz w:val="26"/>
          <w:szCs w:val="26"/>
        </w:rPr>
        <w:t>PULP</w:t>
      </w:r>
      <w:r w:rsidR="007214A4" w:rsidRPr="007214A4">
        <w:rPr>
          <w:rFonts w:ascii="Times New Roman" w:hAnsi="Times New Roman"/>
          <w:sz w:val="26"/>
          <w:szCs w:val="26"/>
        </w:rPr>
        <w:t xml:space="preserve"> Comments </w:t>
      </w:r>
      <w:r w:rsidRPr="007214A4">
        <w:rPr>
          <w:rFonts w:ascii="Times New Roman" w:hAnsi="Times New Roman"/>
          <w:sz w:val="26"/>
          <w:szCs w:val="26"/>
        </w:rPr>
        <w:t xml:space="preserve">at 3.  </w:t>
      </w:r>
    </w:p>
    <w:p w:rsidR="00AF1BF4" w:rsidRDefault="00AF1BF4" w:rsidP="00BE07F6">
      <w:pPr>
        <w:spacing w:line="360" w:lineRule="auto"/>
        <w:rPr>
          <w:rFonts w:ascii="Times New Roman" w:eastAsia="Times New Roman" w:hAnsi="Times New Roman"/>
          <w:color w:val="000000"/>
          <w:spacing w:val="1"/>
          <w:sz w:val="26"/>
          <w:szCs w:val="26"/>
        </w:rPr>
      </w:pPr>
    </w:p>
    <w:p w:rsidR="007C48A3" w:rsidRDefault="00027048" w:rsidP="002C74D1">
      <w:pPr>
        <w:rPr>
          <w:rFonts w:ascii="Times New Roman" w:eastAsia="Times New Roman" w:hAnsi="Times New Roman"/>
          <w:color w:val="000000"/>
          <w:spacing w:val="4"/>
          <w:sz w:val="26"/>
          <w:szCs w:val="26"/>
          <w:u w:val="single"/>
        </w:rPr>
      </w:pPr>
      <w:r w:rsidRPr="00381549">
        <w:rPr>
          <w:rFonts w:ascii="Times New Roman" w:eastAsia="Times New Roman" w:hAnsi="Times New Roman"/>
          <w:color w:val="000000"/>
          <w:spacing w:val="4"/>
          <w:sz w:val="26"/>
          <w:szCs w:val="26"/>
          <w:u w:val="single"/>
        </w:rPr>
        <w:t xml:space="preserve">Disclosure Statement </w:t>
      </w:r>
      <w:r w:rsidR="00381549">
        <w:rPr>
          <w:rFonts w:ascii="Times New Roman" w:eastAsia="Times New Roman" w:hAnsi="Times New Roman"/>
          <w:color w:val="000000"/>
          <w:spacing w:val="4"/>
          <w:sz w:val="26"/>
          <w:szCs w:val="26"/>
          <w:u w:val="single"/>
        </w:rPr>
        <w:t xml:space="preserve">Customer Notification </w:t>
      </w:r>
      <w:r w:rsidRPr="00381549">
        <w:rPr>
          <w:rFonts w:ascii="Times New Roman" w:eastAsia="Times New Roman" w:hAnsi="Times New Roman"/>
          <w:color w:val="000000"/>
          <w:spacing w:val="4"/>
          <w:sz w:val="26"/>
          <w:szCs w:val="26"/>
          <w:u w:val="single"/>
        </w:rPr>
        <w:t>Requirement</w:t>
      </w:r>
      <w:r w:rsidR="00381549">
        <w:rPr>
          <w:rFonts w:ascii="Times New Roman" w:eastAsia="Times New Roman" w:hAnsi="Times New Roman"/>
          <w:color w:val="000000"/>
          <w:spacing w:val="4"/>
          <w:sz w:val="26"/>
          <w:szCs w:val="26"/>
          <w:u w:val="single"/>
        </w:rPr>
        <w:t>s</w:t>
      </w:r>
      <w:r w:rsidRPr="00381549">
        <w:rPr>
          <w:rFonts w:ascii="Times New Roman" w:eastAsia="Times New Roman" w:hAnsi="Times New Roman"/>
          <w:color w:val="000000"/>
          <w:spacing w:val="4"/>
          <w:sz w:val="26"/>
          <w:szCs w:val="26"/>
          <w:u w:val="single"/>
        </w:rPr>
        <w:t>: Section</w:t>
      </w:r>
      <w:r w:rsidR="00AF1BF4">
        <w:rPr>
          <w:rFonts w:ascii="Times New Roman" w:eastAsia="Times New Roman" w:hAnsi="Times New Roman"/>
          <w:color w:val="000000"/>
          <w:spacing w:val="4"/>
          <w:sz w:val="26"/>
          <w:szCs w:val="26"/>
          <w:u w:val="single"/>
        </w:rPr>
        <w:t>s</w:t>
      </w:r>
      <w:r w:rsidRPr="00381549">
        <w:rPr>
          <w:rFonts w:ascii="Times New Roman" w:eastAsia="Times New Roman" w:hAnsi="Times New Roman"/>
          <w:color w:val="000000"/>
          <w:spacing w:val="4"/>
          <w:sz w:val="26"/>
          <w:szCs w:val="26"/>
          <w:u w:val="single"/>
        </w:rPr>
        <w:t xml:space="preserve"> 62.75(</w:t>
      </w:r>
      <w:r w:rsidR="00AF1BF4">
        <w:rPr>
          <w:rFonts w:ascii="Times New Roman" w:eastAsia="Times New Roman" w:hAnsi="Times New Roman"/>
          <w:color w:val="000000"/>
          <w:spacing w:val="4"/>
          <w:sz w:val="26"/>
          <w:szCs w:val="26"/>
          <w:u w:val="single"/>
        </w:rPr>
        <w:t>d), 62.75(</w:t>
      </w:r>
      <w:r w:rsidRPr="00381549">
        <w:rPr>
          <w:rFonts w:ascii="Times New Roman" w:eastAsia="Times New Roman" w:hAnsi="Times New Roman"/>
          <w:color w:val="000000"/>
          <w:spacing w:val="4"/>
          <w:sz w:val="26"/>
          <w:szCs w:val="26"/>
          <w:u w:val="single"/>
        </w:rPr>
        <w:t>g)</w:t>
      </w:r>
      <w:r w:rsidR="00AF1BF4">
        <w:rPr>
          <w:rFonts w:ascii="Times New Roman" w:eastAsia="Times New Roman" w:hAnsi="Times New Roman"/>
          <w:color w:val="000000"/>
          <w:spacing w:val="4"/>
          <w:sz w:val="26"/>
          <w:szCs w:val="26"/>
          <w:u w:val="single"/>
        </w:rPr>
        <w:t>,</w:t>
      </w:r>
      <w:r w:rsidR="00381549">
        <w:rPr>
          <w:rFonts w:ascii="Times New Roman" w:eastAsia="Times New Roman" w:hAnsi="Times New Roman"/>
          <w:color w:val="000000"/>
          <w:spacing w:val="4"/>
          <w:sz w:val="26"/>
          <w:szCs w:val="26"/>
          <w:u w:val="single"/>
        </w:rPr>
        <w:t xml:space="preserve"> and 62.75(j)</w:t>
      </w:r>
    </w:p>
    <w:p w:rsidR="00D40277" w:rsidRDefault="00D40277" w:rsidP="002C74D1">
      <w:pPr>
        <w:rPr>
          <w:rFonts w:ascii="Times New Roman" w:eastAsia="Times New Roman" w:hAnsi="Times New Roman"/>
          <w:color w:val="000000"/>
          <w:spacing w:val="1"/>
          <w:sz w:val="26"/>
          <w:szCs w:val="26"/>
        </w:rPr>
      </w:pPr>
    </w:p>
    <w:p w:rsidR="00AF1BF4" w:rsidRPr="004F5BB9" w:rsidRDefault="00AF1BF4" w:rsidP="00AF1BF4">
      <w:pPr>
        <w:pStyle w:val="NoSpacing"/>
        <w:spacing w:line="360" w:lineRule="auto"/>
        <w:ind w:firstLine="720"/>
        <w:rPr>
          <w:rFonts w:ascii="Times New Roman" w:eastAsia="Times New Roman" w:hAnsi="Times New Roman"/>
          <w:color w:val="000000"/>
          <w:spacing w:val="4"/>
          <w:sz w:val="26"/>
          <w:szCs w:val="26"/>
        </w:rPr>
      </w:pPr>
      <w:r w:rsidRPr="004F5BB9">
        <w:rPr>
          <w:rFonts w:ascii="Times New Roman" w:hAnsi="Times New Roman"/>
          <w:sz w:val="26"/>
          <w:szCs w:val="26"/>
        </w:rPr>
        <w:t>Although we did not propose any changes to Section 62.75(d)</w:t>
      </w:r>
      <w:r w:rsidR="004F5BB9" w:rsidRPr="004F5BB9">
        <w:rPr>
          <w:rFonts w:ascii="Times New Roman" w:hAnsi="Times New Roman"/>
          <w:sz w:val="26"/>
          <w:szCs w:val="26"/>
        </w:rPr>
        <w:t xml:space="preserve"> regarding</w:t>
      </w:r>
      <w:r w:rsidRPr="004F5BB9">
        <w:rPr>
          <w:rFonts w:ascii="Times New Roman" w:hAnsi="Times New Roman"/>
          <w:sz w:val="26"/>
          <w:szCs w:val="26"/>
        </w:rPr>
        <w:t xml:space="preserve"> the three</w:t>
      </w:r>
      <w:r w:rsidR="00DD7B37">
        <w:rPr>
          <w:rFonts w:ascii="Times New Roman" w:hAnsi="Times New Roman"/>
          <w:sz w:val="26"/>
          <w:szCs w:val="26"/>
        </w:rPr>
        <w:noBreakHyphen/>
      </w:r>
      <w:r w:rsidRPr="004F5BB9">
        <w:rPr>
          <w:rFonts w:ascii="Times New Roman" w:hAnsi="Times New Roman"/>
          <w:sz w:val="26"/>
          <w:szCs w:val="26"/>
        </w:rPr>
        <w:t xml:space="preserve">day right of rescission </w:t>
      </w:r>
      <w:r w:rsidR="004F5BB9" w:rsidRPr="004F5BB9">
        <w:rPr>
          <w:rFonts w:ascii="Times New Roman" w:hAnsi="Times New Roman"/>
          <w:sz w:val="26"/>
          <w:szCs w:val="26"/>
        </w:rPr>
        <w:t>that</w:t>
      </w:r>
      <w:r w:rsidRPr="004F5BB9">
        <w:rPr>
          <w:rFonts w:ascii="Times New Roman" w:hAnsi="Times New Roman"/>
          <w:sz w:val="26"/>
          <w:szCs w:val="26"/>
        </w:rPr>
        <w:t xml:space="preserve"> provides </w:t>
      </w:r>
      <w:r w:rsidR="004F5BB9" w:rsidRPr="004F5BB9">
        <w:rPr>
          <w:rFonts w:ascii="Times New Roman" w:hAnsi="Times New Roman"/>
          <w:sz w:val="26"/>
          <w:szCs w:val="26"/>
        </w:rPr>
        <w:t>a</w:t>
      </w:r>
      <w:r w:rsidRPr="004F5BB9">
        <w:rPr>
          <w:rFonts w:ascii="Times New Roman" w:hAnsi="Times New Roman"/>
          <w:sz w:val="26"/>
          <w:szCs w:val="26"/>
        </w:rPr>
        <w:t xml:space="preserve"> level of consumer protection, PULP urges the Commission to require NGSs to inform the customer of th</w:t>
      </w:r>
      <w:r w:rsidR="004F5BB9" w:rsidRPr="004F5BB9">
        <w:rPr>
          <w:rFonts w:ascii="Times New Roman" w:hAnsi="Times New Roman"/>
          <w:sz w:val="26"/>
          <w:szCs w:val="26"/>
        </w:rPr>
        <w:t>is</w:t>
      </w:r>
      <w:r w:rsidRPr="004F5BB9">
        <w:rPr>
          <w:rFonts w:ascii="Times New Roman" w:hAnsi="Times New Roman"/>
          <w:sz w:val="26"/>
          <w:szCs w:val="26"/>
        </w:rPr>
        <w:t xml:space="preserve"> three-day rescission period at the time the customer contracts with the supplier and again in the disclosure statement.</w:t>
      </w:r>
      <w:r w:rsidR="004F5BB9" w:rsidRPr="004F5BB9">
        <w:rPr>
          <w:rFonts w:ascii="Times New Roman" w:hAnsi="Times New Roman"/>
          <w:sz w:val="26"/>
          <w:szCs w:val="26"/>
        </w:rPr>
        <w:t xml:space="preserve">  PULP Comments at 3-4.</w:t>
      </w:r>
      <w:r w:rsidRPr="004F5BB9">
        <w:rPr>
          <w:rFonts w:ascii="Times New Roman" w:hAnsi="Times New Roman"/>
          <w:sz w:val="26"/>
          <w:szCs w:val="26"/>
        </w:rPr>
        <w:t xml:space="preserve">  </w:t>
      </w:r>
      <w:r w:rsidR="004F5BB9">
        <w:rPr>
          <w:rFonts w:ascii="Times New Roman" w:hAnsi="Times New Roman"/>
          <w:sz w:val="26"/>
          <w:szCs w:val="26"/>
        </w:rPr>
        <w:t>PULP aver</w:t>
      </w:r>
      <w:r w:rsidRPr="004F5BB9">
        <w:rPr>
          <w:rFonts w:ascii="Times New Roman" w:hAnsi="Times New Roman"/>
          <w:sz w:val="26"/>
          <w:szCs w:val="26"/>
        </w:rPr>
        <w:t>s that t</w:t>
      </w:r>
      <w:r w:rsidRPr="004F5BB9">
        <w:rPr>
          <w:rFonts w:ascii="Times New Roman" w:eastAsia="Times New Roman" w:hAnsi="Times New Roman"/>
          <w:color w:val="000000"/>
          <w:spacing w:val="4"/>
          <w:sz w:val="26"/>
          <w:szCs w:val="26"/>
        </w:rPr>
        <w:t>he three-day rescission period is a critical protection for consumers, particularly</w:t>
      </w:r>
      <w:r w:rsidR="00EC21F1">
        <w:rPr>
          <w:rFonts w:ascii="Times New Roman" w:eastAsia="Times New Roman" w:hAnsi="Times New Roman"/>
          <w:color w:val="000000"/>
          <w:spacing w:val="4"/>
          <w:sz w:val="26"/>
          <w:szCs w:val="26"/>
        </w:rPr>
        <w:t xml:space="preserve"> for</w:t>
      </w:r>
      <w:r w:rsidRPr="004F5BB9">
        <w:rPr>
          <w:rFonts w:ascii="Times New Roman" w:eastAsia="Times New Roman" w:hAnsi="Times New Roman"/>
          <w:color w:val="000000"/>
          <w:spacing w:val="4"/>
          <w:sz w:val="26"/>
          <w:szCs w:val="26"/>
        </w:rPr>
        <w:t xml:space="preserve"> those who agree to move to a competitive supplier during an in-person or telephone sales solicitation or other high-pressure sales pitch. </w:t>
      </w:r>
      <w:r w:rsidR="004F5BB9">
        <w:rPr>
          <w:rFonts w:ascii="Times New Roman" w:eastAsia="Times New Roman" w:hAnsi="Times New Roman"/>
          <w:color w:val="000000"/>
          <w:spacing w:val="4"/>
          <w:sz w:val="26"/>
          <w:szCs w:val="26"/>
        </w:rPr>
        <w:t xml:space="preserve"> </w:t>
      </w:r>
      <w:r w:rsidR="004F5BB9">
        <w:rPr>
          <w:rFonts w:ascii="Times New Roman" w:eastAsia="Times New Roman" w:hAnsi="Times New Roman"/>
          <w:i/>
          <w:color w:val="000000"/>
          <w:spacing w:val="4"/>
          <w:sz w:val="26"/>
          <w:szCs w:val="26"/>
        </w:rPr>
        <w:t xml:space="preserve">Id. </w:t>
      </w:r>
      <w:r w:rsidR="004F5BB9">
        <w:rPr>
          <w:rFonts w:ascii="Times New Roman" w:eastAsia="Times New Roman" w:hAnsi="Times New Roman"/>
          <w:color w:val="000000"/>
          <w:spacing w:val="4"/>
          <w:sz w:val="26"/>
          <w:szCs w:val="26"/>
        </w:rPr>
        <w:t xml:space="preserve">at 4.  </w:t>
      </w:r>
    </w:p>
    <w:p w:rsidR="00AF1BF4" w:rsidRDefault="00AF1BF4" w:rsidP="00381549">
      <w:pPr>
        <w:pStyle w:val="NoSpacing"/>
        <w:spacing w:line="360" w:lineRule="auto"/>
        <w:ind w:firstLine="720"/>
        <w:rPr>
          <w:rFonts w:ascii="Times New Roman" w:eastAsia="Times New Roman" w:hAnsi="Times New Roman"/>
          <w:color w:val="000000"/>
          <w:spacing w:val="1"/>
          <w:sz w:val="26"/>
          <w:szCs w:val="26"/>
        </w:rPr>
      </w:pPr>
    </w:p>
    <w:p w:rsidR="00381549" w:rsidRDefault="00AF1BF4" w:rsidP="00381549">
      <w:pPr>
        <w:pStyle w:val="NoSpacing"/>
        <w:spacing w:line="360" w:lineRule="auto"/>
        <w:ind w:firstLine="720"/>
        <w:rPr>
          <w:rFonts w:ascii="Times New Roman" w:eastAsia="Times New Roman" w:hAnsi="Times New Roman"/>
          <w:color w:val="000000"/>
          <w:spacing w:val="1"/>
          <w:sz w:val="26"/>
          <w:szCs w:val="26"/>
        </w:rPr>
      </w:pPr>
      <w:r>
        <w:rPr>
          <w:rFonts w:ascii="Times New Roman" w:eastAsia="Times New Roman" w:hAnsi="Times New Roman"/>
          <w:color w:val="000000"/>
          <w:spacing w:val="1"/>
          <w:sz w:val="26"/>
          <w:szCs w:val="26"/>
        </w:rPr>
        <w:t xml:space="preserve">As to proposed Section 62.75(g), </w:t>
      </w:r>
      <w:r w:rsidR="00381549" w:rsidRPr="006A176C">
        <w:rPr>
          <w:rFonts w:ascii="Times New Roman" w:eastAsia="Times New Roman" w:hAnsi="Times New Roman"/>
          <w:color w:val="000000"/>
          <w:spacing w:val="1"/>
          <w:sz w:val="26"/>
          <w:szCs w:val="26"/>
        </w:rPr>
        <w:t>OCA recommends that th</w:t>
      </w:r>
      <w:r w:rsidR="004F01A7" w:rsidRPr="006A176C">
        <w:rPr>
          <w:rFonts w:ascii="Times New Roman" w:eastAsia="Times New Roman" w:hAnsi="Times New Roman"/>
          <w:color w:val="000000"/>
          <w:spacing w:val="1"/>
          <w:sz w:val="26"/>
          <w:szCs w:val="26"/>
        </w:rPr>
        <w:t>is provision</w:t>
      </w:r>
      <w:r w:rsidR="00381549" w:rsidRPr="006A176C">
        <w:rPr>
          <w:rFonts w:ascii="Times New Roman" w:eastAsia="Times New Roman" w:hAnsi="Times New Roman"/>
          <w:color w:val="000000"/>
          <w:spacing w:val="1"/>
          <w:sz w:val="26"/>
          <w:szCs w:val="26"/>
        </w:rPr>
        <w:t xml:space="preserve"> </w:t>
      </w:r>
      <w:r w:rsidR="00B96C30">
        <w:rPr>
          <w:rFonts w:ascii="Times New Roman" w:eastAsia="Times New Roman" w:hAnsi="Times New Roman"/>
          <w:color w:val="000000"/>
          <w:spacing w:val="1"/>
          <w:sz w:val="26"/>
          <w:szCs w:val="26"/>
        </w:rPr>
        <w:t xml:space="preserve">include two notices, one </w:t>
      </w:r>
      <w:r w:rsidR="00D40277">
        <w:rPr>
          <w:rFonts w:ascii="Times New Roman" w:eastAsia="Times New Roman" w:hAnsi="Times New Roman"/>
          <w:color w:val="000000"/>
          <w:spacing w:val="1"/>
          <w:sz w:val="26"/>
          <w:szCs w:val="26"/>
        </w:rPr>
        <w:t>sent</w:t>
      </w:r>
      <w:r w:rsidR="00381549" w:rsidRPr="006A176C">
        <w:rPr>
          <w:rFonts w:ascii="Times New Roman" w:eastAsia="Times New Roman" w:hAnsi="Times New Roman"/>
          <w:color w:val="000000"/>
          <w:spacing w:val="1"/>
          <w:sz w:val="26"/>
          <w:szCs w:val="26"/>
        </w:rPr>
        <w:t xml:space="preserve"> </w:t>
      </w:r>
      <w:r w:rsidR="006A176C">
        <w:rPr>
          <w:rFonts w:ascii="Times New Roman" w:eastAsia="Times New Roman" w:hAnsi="Times New Roman"/>
          <w:color w:val="000000"/>
          <w:spacing w:val="1"/>
          <w:sz w:val="26"/>
          <w:szCs w:val="26"/>
        </w:rPr>
        <w:t xml:space="preserve">“60 to 45 days” </w:t>
      </w:r>
      <w:r w:rsidR="00D40277">
        <w:rPr>
          <w:rFonts w:ascii="Times New Roman" w:eastAsia="Times New Roman" w:hAnsi="Times New Roman"/>
          <w:color w:val="000000"/>
          <w:spacing w:val="1"/>
          <w:sz w:val="26"/>
          <w:szCs w:val="26"/>
        </w:rPr>
        <w:t xml:space="preserve">before </w:t>
      </w:r>
      <w:r w:rsidR="006A176C">
        <w:rPr>
          <w:rFonts w:ascii="Times New Roman" w:eastAsia="Times New Roman" w:hAnsi="Times New Roman"/>
          <w:color w:val="000000"/>
          <w:spacing w:val="1"/>
          <w:sz w:val="26"/>
          <w:szCs w:val="26"/>
        </w:rPr>
        <w:t>and the</w:t>
      </w:r>
      <w:r w:rsidR="00D40277">
        <w:rPr>
          <w:rFonts w:ascii="Times New Roman" w:eastAsia="Times New Roman" w:hAnsi="Times New Roman"/>
          <w:color w:val="000000"/>
          <w:spacing w:val="1"/>
          <w:sz w:val="26"/>
          <w:szCs w:val="26"/>
        </w:rPr>
        <w:t xml:space="preserve"> second sent</w:t>
      </w:r>
      <w:r w:rsidR="006A176C">
        <w:rPr>
          <w:rFonts w:ascii="Times New Roman" w:eastAsia="Times New Roman" w:hAnsi="Times New Roman"/>
          <w:color w:val="000000"/>
          <w:spacing w:val="1"/>
          <w:sz w:val="26"/>
          <w:szCs w:val="26"/>
        </w:rPr>
        <w:t xml:space="preserve"> “30 days”</w:t>
      </w:r>
      <w:r w:rsidR="00D40277">
        <w:rPr>
          <w:rFonts w:ascii="Times New Roman" w:eastAsia="Times New Roman" w:hAnsi="Times New Roman"/>
          <w:color w:val="000000"/>
          <w:spacing w:val="1"/>
          <w:sz w:val="26"/>
          <w:szCs w:val="26"/>
        </w:rPr>
        <w:t xml:space="preserve"> before the expiration date or the effective date of the proposed changes.  </w:t>
      </w:r>
      <w:r w:rsidR="00381549" w:rsidRPr="006A176C">
        <w:rPr>
          <w:rFonts w:ascii="Times New Roman" w:eastAsia="Times New Roman" w:hAnsi="Times New Roman"/>
          <w:color w:val="000000"/>
          <w:spacing w:val="1"/>
          <w:sz w:val="26"/>
          <w:szCs w:val="26"/>
        </w:rPr>
        <w:t xml:space="preserve">  OCA Comments a</w:t>
      </w:r>
      <w:r w:rsidR="006A176C" w:rsidRPr="006A176C">
        <w:rPr>
          <w:rFonts w:ascii="Times New Roman" w:eastAsia="Times New Roman" w:hAnsi="Times New Roman"/>
          <w:color w:val="000000"/>
          <w:spacing w:val="1"/>
          <w:sz w:val="26"/>
          <w:szCs w:val="26"/>
        </w:rPr>
        <w:t>t 11</w:t>
      </w:r>
      <w:r w:rsidR="006A176C">
        <w:rPr>
          <w:rFonts w:ascii="Times New Roman" w:eastAsia="Times New Roman" w:hAnsi="Times New Roman"/>
          <w:color w:val="000000"/>
          <w:spacing w:val="1"/>
          <w:sz w:val="26"/>
          <w:szCs w:val="26"/>
        </w:rPr>
        <w:t>, 14, OCA’s Annex A</w:t>
      </w:r>
      <w:r w:rsidR="006A176C" w:rsidRPr="006A176C">
        <w:rPr>
          <w:rFonts w:ascii="Times New Roman" w:eastAsia="Times New Roman" w:hAnsi="Times New Roman"/>
          <w:color w:val="000000"/>
          <w:spacing w:val="1"/>
          <w:sz w:val="26"/>
          <w:szCs w:val="26"/>
        </w:rPr>
        <w:t xml:space="preserve">.  </w:t>
      </w:r>
      <w:r w:rsidR="00381549" w:rsidRPr="006A176C">
        <w:rPr>
          <w:rFonts w:ascii="Times New Roman" w:eastAsia="Times New Roman" w:hAnsi="Times New Roman"/>
          <w:color w:val="000000"/>
          <w:spacing w:val="1"/>
          <w:sz w:val="26"/>
          <w:szCs w:val="26"/>
        </w:rPr>
        <w:t xml:space="preserve"> </w:t>
      </w:r>
      <w:r w:rsidR="001B26B1">
        <w:rPr>
          <w:rFonts w:ascii="Times New Roman" w:eastAsia="Times New Roman" w:hAnsi="Times New Roman"/>
          <w:color w:val="000000"/>
          <w:spacing w:val="1"/>
          <w:sz w:val="26"/>
          <w:szCs w:val="26"/>
        </w:rPr>
        <w:t>OCA also notes that the phrase “w</w:t>
      </w:r>
      <w:r w:rsidR="00381549" w:rsidRPr="006A176C">
        <w:rPr>
          <w:rFonts w:ascii="Times New Roman" w:eastAsia="Times New Roman" w:hAnsi="Times New Roman"/>
          <w:color w:val="000000"/>
          <w:spacing w:val="1"/>
          <w:sz w:val="26"/>
          <w:szCs w:val="26"/>
        </w:rPr>
        <w:t xml:space="preserve">henever we propose to change the terms of service in </w:t>
      </w:r>
      <w:r w:rsidR="00381549" w:rsidRPr="006A176C">
        <w:rPr>
          <w:rFonts w:ascii="Times New Roman" w:eastAsia="Times New Roman" w:hAnsi="Times New Roman"/>
          <w:color w:val="000000"/>
          <w:spacing w:val="1"/>
          <w:sz w:val="26"/>
          <w:szCs w:val="26"/>
          <w:u w:val="single"/>
        </w:rPr>
        <w:t>any type of contract</w:t>
      </w:r>
      <w:r w:rsidR="001B26B1">
        <w:rPr>
          <w:rFonts w:ascii="Times New Roman" w:eastAsia="Times New Roman" w:hAnsi="Times New Roman"/>
          <w:color w:val="000000"/>
          <w:spacing w:val="1"/>
          <w:sz w:val="26"/>
          <w:szCs w:val="26"/>
        </w:rPr>
        <w:t>”</w:t>
      </w:r>
      <w:r w:rsidR="00381549" w:rsidRPr="006A176C">
        <w:rPr>
          <w:rFonts w:ascii="Times New Roman" w:eastAsia="Times New Roman" w:hAnsi="Times New Roman"/>
          <w:color w:val="000000"/>
          <w:spacing w:val="1"/>
          <w:sz w:val="26"/>
          <w:szCs w:val="26"/>
        </w:rPr>
        <w:t xml:space="preserve"> could be misleading to consumers, as it suggests that a</w:t>
      </w:r>
      <w:r w:rsidR="006A176C" w:rsidRPr="006A176C">
        <w:rPr>
          <w:rFonts w:ascii="Times New Roman" w:eastAsia="Times New Roman" w:hAnsi="Times New Roman"/>
          <w:color w:val="000000"/>
          <w:spacing w:val="1"/>
          <w:sz w:val="26"/>
          <w:szCs w:val="26"/>
        </w:rPr>
        <w:t>n</w:t>
      </w:r>
      <w:r w:rsidR="00381549" w:rsidRPr="006A176C">
        <w:rPr>
          <w:rFonts w:ascii="Times New Roman" w:eastAsia="Times New Roman" w:hAnsi="Times New Roman"/>
          <w:color w:val="000000"/>
          <w:spacing w:val="1"/>
          <w:sz w:val="26"/>
          <w:szCs w:val="26"/>
        </w:rPr>
        <w:t xml:space="preserve"> NGS has the ability to unilaterally change the terms of a contract.  </w:t>
      </w:r>
      <w:r w:rsidR="006A176C">
        <w:rPr>
          <w:rFonts w:ascii="Times New Roman" w:eastAsia="Times New Roman" w:hAnsi="Times New Roman"/>
          <w:i/>
          <w:color w:val="000000"/>
          <w:spacing w:val="1"/>
          <w:sz w:val="26"/>
          <w:szCs w:val="26"/>
        </w:rPr>
        <w:t>Id.</w:t>
      </w:r>
      <w:r w:rsidR="006A176C" w:rsidRPr="006A176C">
        <w:rPr>
          <w:rFonts w:ascii="Times New Roman" w:eastAsia="Times New Roman" w:hAnsi="Times New Roman"/>
          <w:color w:val="000000"/>
          <w:spacing w:val="1"/>
          <w:sz w:val="26"/>
          <w:szCs w:val="26"/>
        </w:rPr>
        <w:t xml:space="preserve"> </w:t>
      </w:r>
      <w:r w:rsidR="006A176C">
        <w:rPr>
          <w:rFonts w:ascii="Times New Roman" w:eastAsia="Times New Roman" w:hAnsi="Times New Roman"/>
          <w:color w:val="000000"/>
          <w:spacing w:val="1"/>
          <w:sz w:val="26"/>
          <w:szCs w:val="26"/>
        </w:rPr>
        <w:t xml:space="preserve"> </w:t>
      </w:r>
    </w:p>
    <w:p w:rsidR="00B26C38" w:rsidRDefault="00B26C38" w:rsidP="00381549">
      <w:pPr>
        <w:pStyle w:val="NoSpacing"/>
        <w:spacing w:line="360" w:lineRule="auto"/>
        <w:ind w:firstLine="720"/>
        <w:rPr>
          <w:rFonts w:ascii="Times New Roman" w:eastAsia="Times New Roman" w:hAnsi="Times New Roman"/>
          <w:color w:val="000000"/>
          <w:spacing w:val="1"/>
          <w:sz w:val="26"/>
          <w:szCs w:val="26"/>
        </w:rPr>
      </w:pPr>
    </w:p>
    <w:p w:rsidR="00AF1BF4" w:rsidRPr="004C75FF" w:rsidRDefault="00381549" w:rsidP="00C12FC5">
      <w:pPr>
        <w:spacing w:line="360" w:lineRule="auto"/>
        <w:rPr>
          <w:rFonts w:ascii="Times New Roman" w:hAnsi="Times New Roman"/>
          <w:b/>
          <w:sz w:val="26"/>
          <w:szCs w:val="26"/>
        </w:rPr>
      </w:pPr>
      <w:r>
        <w:rPr>
          <w:rFonts w:ascii="Times New Roman" w:eastAsia="Times New Roman" w:hAnsi="Times New Roman"/>
          <w:color w:val="000000"/>
          <w:spacing w:val="1"/>
          <w:sz w:val="26"/>
          <w:szCs w:val="26"/>
        </w:rPr>
        <w:t xml:space="preserve"> </w:t>
      </w:r>
      <w:r w:rsidR="00AF1BF4">
        <w:rPr>
          <w:rFonts w:ascii="Times New Roman" w:eastAsia="Times New Roman" w:hAnsi="Times New Roman"/>
          <w:color w:val="000000"/>
          <w:spacing w:val="1"/>
          <w:sz w:val="26"/>
          <w:szCs w:val="26"/>
        </w:rPr>
        <w:tab/>
      </w:r>
      <w:r w:rsidR="006A176C">
        <w:rPr>
          <w:rFonts w:ascii="Times New Roman" w:eastAsia="Times New Roman" w:hAnsi="Times New Roman"/>
          <w:color w:val="000000"/>
          <w:spacing w:val="1"/>
          <w:sz w:val="26"/>
          <w:szCs w:val="26"/>
        </w:rPr>
        <w:t xml:space="preserve">As to proposed Section 62.75(j), </w:t>
      </w:r>
      <w:r w:rsidR="004F01A7" w:rsidRPr="006A176C">
        <w:rPr>
          <w:rFonts w:ascii="Times New Roman" w:eastAsia="Times New Roman" w:hAnsi="Times New Roman"/>
          <w:color w:val="000000"/>
          <w:sz w:val="26"/>
          <w:szCs w:val="26"/>
        </w:rPr>
        <w:t>OCA agrees that a</w:t>
      </w:r>
      <w:r w:rsidR="006A176C">
        <w:rPr>
          <w:rFonts w:ascii="Times New Roman" w:eastAsia="Times New Roman" w:hAnsi="Times New Roman"/>
          <w:color w:val="000000"/>
          <w:sz w:val="26"/>
          <w:szCs w:val="26"/>
        </w:rPr>
        <w:t>n</w:t>
      </w:r>
      <w:r w:rsidR="004F01A7" w:rsidRPr="006A176C">
        <w:rPr>
          <w:rFonts w:ascii="Times New Roman" w:eastAsia="Times New Roman" w:hAnsi="Times New Roman"/>
          <w:color w:val="000000"/>
          <w:sz w:val="26"/>
          <w:szCs w:val="26"/>
        </w:rPr>
        <w:t xml:space="preserve"> NGS should be required to inform the consumer that the contract is assignable.  OCA Comments at 14.  OCA </w:t>
      </w:r>
      <w:r w:rsidR="004F01A7" w:rsidRPr="006A176C">
        <w:rPr>
          <w:rFonts w:ascii="Times New Roman" w:eastAsia="Times New Roman" w:hAnsi="Times New Roman"/>
          <w:color w:val="000000"/>
          <w:sz w:val="26"/>
          <w:szCs w:val="26"/>
        </w:rPr>
        <w:lastRenderedPageBreak/>
        <w:t xml:space="preserve">submits that the NGS should be required to disclose this information at the time the consumer enters into the agreement and also be required to provide the consumer with written notice if the contract is assigned to another supplier.  </w:t>
      </w:r>
      <w:r w:rsidR="004F01A7" w:rsidRPr="006A176C">
        <w:rPr>
          <w:rFonts w:ascii="Times New Roman" w:eastAsia="Times New Roman" w:hAnsi="Times New Roman"/>
          <w:i/>
          <w:color w:val="000000"/>
          <w:sz w:val="26"/>
          <w:szCs w:val="26"/>
        </w:rPr>
        <w:t>Id.</w:t>
      </w:r>
      <w:r w:rsidR="004F01A7" w:rsidRPr="006A176C">
        <w:rPr>
          <w:rFonts w:ascii="Times New Roman" w:eastAsia="Times New Roman" w:hAnsi="Times New Roman"/>
          <w:color w:val="000000"/>
          <w:sz w:val="26"/>
          <w:szCs w:val="26"/>
        </w:rPr>
        <w:t xml:space="preserve">  </w:t>
      </w:r>
      <w:r w:rsidR="00AF1BF4" w:rsidRPr="006A176C">
        <w:rPr>
          <w:rFonts w:ascii="Times New Roman" w:hAnsi="Times New Roman"/>
          <w:sz w:val="26"/>
          <w:szCs w:val="26"/>
        </w:rPr>
        <w:t>WGL believes that an assignment clause in a consumer contract is standard in the natural gas industry and that inclu</w:t>
      </w:r>
      <w:r w:rsidR="006A176C">
        <w:rPr>
          <w:rFonts w:ascii="Times New Roman" w:hAnsi="Times New Roman"/>
          <w:sz w:val="26"/>
          <w:szCs w:val="26"/>
        </w:rPr>
        <w:t>ding assignment</w:t>
      </w:r>
      <w:r w:rsidR="00AF1BF4" w:rsidRPr="006A176C">
        <w:rPr>
          <w:rFonts w:ascii="Times New Roman" w:hAnsi="Times New Roman"/>
          <w:sz w:val="26"/>
          <w:szCs w:val="26"/>
        </w:rPr>
        <w:t xml:space="preserve"> clauses in contracts should be sufficient disclosure to comply with the revised rule. </w:t>
      </w:r>
      <w:r w:rsidR="006A176C" w:rsidRPr="006A176C">
        <w:rPr>
          <w:rFonts w:ascii="Times New Roman" w:hAnsi="Times New Roman"/>
          <w:sz w:val="26"/>
          <w:szCs w:val="26"/>
        </w:rPr>
        <w:t xml:space="preserve"> </w:t>
      </w:r>
      <w:r w:rsidR="00AF1BF4" w:rsidRPr="006A176C">
        <w:rPr>
          <w:rFonts w:ascii="Times New Roman" w:hAnsi="Times New Roman"/>
          <w:sz w:val="26"/>
          <w:szCs w:val="26"/>
        </w:rPr>
        <w:t xml:space="preserve">WGL </w:t>
      </w:r>
      <w:r w:rsidR="006A176C">
        <w:rPr>
          <w:rFonts w:ascii="Times New Roman" w:hAnsi="Times New Roman"/>
          <w:sz w:val="26"/>
          <w:szCs w:val="26"/>
        </w:rPr>
        <w:t>Comments at 16-17.</w:t>
      </w:r>
      <w:r w:rsidR="00AF1BF4" w:rsidRPr="006A176C">
        <w:rPr>
          <w:rFonts w:ascii="Times New Roman" w:hAnsi="Times New Roman"/>
          <w:sz w:val="26"/>
          <w:szCs w:val="26"/>
        </w:rPr>
        <w:t xml:space="preserve"> </w:t>
      </w:r>
      <w:r w:rsidR="00374740" w:rsidRPr="006A176C">
        <w:rPr>
          <w:rFonts w:ascii="Times New Roman" w:hAnsi="Times New Roman"/>
          <w:sz w:val="26"/>
          <w:szCs w:val="26"/>
        </w:rPr>
        <w:t xml:space="preserve"> </w:t>
      </w:r>
      <w:r w:rsidR="007A6FD4">
        <w:rPr>
          <w:rFonts w:ascii="Times New Roman" w:hAnsi="Times New Roman"/>
          <w:sz w:val="26"/>
          <w:szCs w:val="26"/>
        </w:rPr>
        <w:t xml:space="preserve">In contrast, </w:t>
      </w:r>
      <w:r w:rsidR="00374740" w:rsidRPr="006A176C">
        <w:rPr>
          <w:rFonts w:ascii="Times New Roman" w:hAnsi="Times New Roman"/>
          <w:sz w:val="26"/>
          <w:szCs w:val="26"/>
        </w:rPr>
        <w:t>RESA believes that it is reasonable to require NGSs to note in the disclosure statement t</w:t>
      </w:r>
      <w:r w:rsidR="007A6FD4">
        <w:rPr>
          <w:rFonts w:ascii="Times New Roman" w:hAnsi="Times New Roman"/>
          <w:sz w:val="26"/>
          <w:szCs w:val="26"/>
        </w:rPr>
        <w:t>hat the contract is assignable, as</w:t>
      </w:r>
      <w:r w:rsidR="00374740" w:rsidRPr="006A176C">
        <w:rPr>
          <w:rFonts w:ascii="Times New Roman" w:hAnsi="Times New Roman"/>
          <w:sz w:val="26"/>
          <w:szCs w:val="26"/>
        </w:rPr>
        <w:t xml:space="preserve"> disclosing this information when enrolling the customer should minimize complaints in the future.  </w:t>
      </w:r>
      <w:r w:rsidR="007A6FD4">
        <w:rPr>
          <w:rFonts w:ascii="Times New Roman" w:hAnsi="Times New Roman"/>
          <w:sz w:val="26"/>
          <w:szCs w:val="26"/>
        </w:rPr>
        <w:t>R</w:t>
      </w:r>
      <w:r w:rsidR="00374740" w:rsidRPr="006A176C">
        <w:rPr>
          <w:rFonts w:ascii="Times New Roman" w:hAnsi="Times New Roman"/>
          <w:sz w:val="26"/>
          <w:szCs w:val="26"/>
        </w:rPr>
        <w:t xml:space="preserve">ESA </w:t>
      </w:r>
      <w:r w:rsidR="007A6FD4">
        <w:rPr>
          <w:rFonts w:ascii="Times New Roman" w:hAnsi="Times New Roman"/>
          <w:sz w:val="26"/>
          <w:szCs w:val="26"/>
        </w:rPr>
        <w:t xml:space="preserve">Comments </w:t>
      </w:r>
      <w:r w:rsidR="00374740" w:rsidRPr="006A176C">
        <w:rPr>
          <w:rFonts w:ascii="Times New Roman" w:hAnsi="Times New Roman"/>
          <w:sz w:val="26"/>
          <w:szCs w:val="26"/>
        </w:rPr>
        <w:t>at 21.</w:t>
      </w:r>
    </w:p>
    <w:p w:rsidR="00027048" w:rsidRDefault="00027048" w:rsidP="00BE07F6">
      <w:pPr>
        <w:spacing w:line="360" w:lineRule="auto"/>
        <w:rPr>
          <w:rFonts w:ascii="Times New Roman" w:eastAsia="Times New Roman" w:hAnsi="Times New Roman"/>
          <w:color w:val="000000"/>
          <w:spacing w:val="1"/>
          <w:sz w:val="26"/>
          <w:szCs w:val="26"/>
        </w:rPr>
      </w:pPr>
    </w:p>
    <w:p w:rsidR="007A6FD4" w:rsidRDefault="007A6FD4" w:rsidP="002C74D1">
      <w:pPr>
        <w:rPr>
          <w:rFonts w:ascii="Times New Roman" w:eastAsia="Times New Roman" w:hAnsi="Times New Roman"/>
          <w:color w:val="000000"/>
          <w:spacing w:val="4"/>
          <w:sz w:val="26"/>
          <w:szCs w:val="26"/>
          <w:u w:val="single"/>
        </w:rPr>
      </w:pPr>
      <w:r w:rsidRPr="00BE07F6">
        <w:rPr>
          <w:rFonts w:ascii="Times New Roman" w:eastAsia="Times New Roman" w:hAnsi="Times New Roman"/>
          <w:color w:val="000000"/>
          <w:spacing w:val="4"/>
          <w:sz w:val="26"/>
          <w:szCs w:val="26"/>
          <w:u w:val="single"/>
        </w:rPr>
        <w:t>Contract Summaries</w:t>
      </w:r>
      <w:r>
        <w:rPr>
          <w:rFonts w:ascii="Times New Roman" w:eastAsia="Times New Roman" w:hAnsi="Times New Roman"/>
          <w:color w:val="000000"/>
          <w:spacing w:val="4"/>
          <w:sz w:val="26"/>
          <w:szCs w:val="26"/>
          <w:u w:val="single"/>
        </w:rPr>
        <w:t>: Section 62.75(</w:t>
      </w:r>
      <w:proofErr w:type="spellStart"/>
      <w:r>
        <w:rPr>
          <w:rFonts w:ascii="Times New Roman" w:eastAsia="Times New Roman" w:hAnsi="Times New Roman"/>
          <w:color w:val="000000"/>
          <w:spacing w:val="4"/>
          <w:sz w:val="26"/>
          <w:szCs w:val="26"/>
          <w:u w:val="single"/>
        </w:rPr>
        <w:t>i</w:t>
      </w:r>
      <w:proofErr w:type="spellEnd"/>
      <w:r>
        <w:rPr>
          <w:rFonts w:ascii="Times New Roman" w:eastAsia="Times New Roman" w:hAnsi="Times New Roman"/>
          <w:color w:val="000000"/>
          <w:spacing w:val="4"/>
          <w:sz w:val="26"/>
          <w:szCs w:val="26"/>
          <w:u w:val="single"/>
        </w:rPr>
        <w:t>)</w:t>
      </w:r>
    </w:p>
    <w:p w:rsidR="00D40277" w:rsidRPr="00BE07F6" w:rsidRDefault="00D40277" w:rsidP="002C74D1">
      <w:pPr>
        <w:rPr>
          <w:rFonts w:ascii="Times New Roman" w:eastAsia="Times New Roman" w:hAnsi="Times New Roman"/>
          <w:color w:val="000000"/>
          <w:spacing w:val="4"/>
          <w:sz w:val="26"/>
          <w:szCs w:val="26"/>
          <w:u w:val="single"/>
        </w:rPr>
      </w:pPr>
    </w:p>
    <w:p w:rsidR="007A6FD4" w:rsidRPr="004C75FF" w:rsidRDefault="007A6FD4" w:rsidP="007A6FD4">
      <w:pPr>
        <w:pStyle w:val="NoSpacing"/>
        <w:spacing w:line="360" w:lineRule="auto"/>
        <w:ind w:firstLine="720"/>
        <w:rPr>
          <w:rFonts w:ascii="Times New Roman" w:hAnsi="Times New Roman"/>
          <w:sz w:val="26"/>
          <w:szCs w:val="26"/>
        </w:rPr>
      </w:pPr>
      <w:r w:rsidRPr="00534E0E">
        <w:rPr>
          <w:rFonts w:ascii="Times New Roman" w:hAnsi="Times New Roman"/>
          <w:sz w:val="26"/>
          <w:szCs w:val="26"/>
        </w:rPr>
        <w:t>RESA supports the proposed basic framework for the one-page contract summary, but stresses that the finalized contract summary should be updated in accordance with the finalized regulations.  RESA Comments at 10-11</w:t>
      </w:r>
      <w:r w:rsidR="00523143" w:rsidRPr="00534E0E">
        <w:rPr>
          <w:rFonts w:ascii="Times New Roman" w:hAnsi="Times New Roman"/>
          <w:sz w:val="26"/>
          <w:szCs w:val="26"/>
        </w:rPr>
        <w:t xml:space="preserve">; </w:t>
      </w:r>
      <w:r w:rsidR="00523143" w:rsidRPr="00534E0E">
        <w:rPr>
          <w:rFonts w:ascii="Times New Roman" w:hAnsi="Times New Roman"/>
          <w:i/>
          <w:sz w:val="26"/>
          <w:szCs w:val="26"/>
        </w:rPr>
        <w:t xml:space="preserve">see also </w:t>
      </w:r>
      <w:r w:rsidR="00523143" w:rsidRPr="00534E0E">
        <w:rPr>
          <w:rFonts w:ascii="Times New Roman" w:hAnsi="Times New Roman"/>
          <w:sz w:val="26"/>
          <w:szCs w:val="26"/>
        </w:rPr>
        <w:t>WGL Comments at 5-6</w:t>
      </w:r>
      <w:r w:rsidRPr="00534E0E">
        <w:rPr>
          <w:rFonts w:ascii="Times New Roman" w:hAnsi="Times New Roman"/>
          <w:sz w:val="26"/>
          <w:szCs w:val="26"/>
        </w:rPr>
        <w:t xml:space="preserve">.  </w:t>
      </w:r>
      <w:r w:rsidR="00523143" w:rsidRPr="00534E0E">
        <w:rPr>
          <w:rFonts w:ascii="Times New Roman" w:hAnsi="Times New Roman"/>
          <w:sz w:val="26"/>
          <w:szCs w:val="26"/>
        </w:rPr>
        <w:t xml:space="preserve"> </w:t>
      </w:r>
      <w:r w:rsidR="00F94818" w:rsidRPr="00534E0E">
        <w:rPr>
          <w:rFonts w:ascii="Times New Roman" w:hAnsi="Times New Roman"/>
          <w:sz w:val="26"/>
          <w:szCs w:val="26"/>
        </w:rPr>
        <w:t>RESA stresses that a</w:t>
      </w:r>
      <w:r w:rsidRPr="00534E0E">
        <w:rPr>
          <w:rFonts w:ascii="Times New Roman" w:eastAsia="Times New Roman" w:hAnsi="Times New Roman"/>
          <w:color w:val="000000"/>
          <w:sz w:val="26"/>
          <w:szCs w:val="26"/>
        </w:rPr>
        <w:t xml:space="preserve">ny periodic Commission revisions to the sample contract summary should be served on each licensed NGS </w:t>
      </w:r>
      <w:r w:rsidR="00F94818" w:rsidRPr="00534E0E">
        <w:rPr>
          <w:rFonts w:ascii="Times New Roman" w:eastAsia="Times New Roman" w:hAnsi="Times New Roman"/>
          <w:color w:val="000000"/>
          <w:sz w:val="26"/>
          <w:szCs w:val="26"/>
        </w:rPr>
        <w:t>and</w:t>
      </w:r>
      <w:r w:rsidRPr="00534E0E">
        <w:rPr>
          <w:rFonts w:ascii="Times New Roman" w:eastAsia="Times New Roman" w:hAnsi="Times New Roman"/>
          <w:color w:val="000000"/>
          <w:sz w:val="26"/>
          <w:szCs w:val="26"/>
        </w:rPr>
        <w:t xml:space="preserve"> published in the </w:t>
      </w:r>
      <w:r w:rsidRPr="00534E0E">
        <w:rPr>
          <w:rFonts w:ascii="Times New Roman" w:eastAsia="Times New Roman" w:hAnsi="Times New Roman"/>
          <w:i/>
          <w:color w:val="000000"/>
          <w:sz w:val="26"/>
          <w:szCs w:val="26"/>
        </w:rPr>
        <w:t xml:space="preserve">Pennsylvania Bulletin </w:t>
      </w:r>
      <w:r w:rsidR="00F94818" w:rsidRPr="00534E0E">
        <w:rPr>
          <w:rFonts w:ascii="Times New Roman" w:eastAsia="Times New Roman" w:hAnsi="Times New Roman"/>
          <w:color w:val="000000"/>
          <w:sz w:val="26"/>
          <w:szCs w:val="26"/>
        </w:rPr>
        <w:t xml:space="preserve">in order to effectuate </w:t>
      </w:r>
      <w:r w:rsidRPr="00534E0E">
        <w:rPr>
          <w:rFonts w:ascii="Times New Roman" w:eastAsia="Times New Roman" w:hAnsi="Times New Roman"/>
          <w:color w:val="000000"/>
          <w:sz w:val="26"/>
          <w:szCs w:val="26"/>
        </w:rPr>
        <w:t xml:space="preserve">proper notice.  </w:t>
      </w:r>
      <w:r w:rsidR="00F94818" w:rsidRPr="00534E0E">
        <w:rPr>
          <w:rFonts w:ascii="Times New Roman" w:eastAsia="Times New Roman" w:hAnsi="Times New Roman"/>
          <w:i/>
          <w:color w:val="000000"/>
          <w:sz w:val="26"/>
          <w:szCs w:val="26"/>
        </w:rPr>
        <w:t xml:space="preserve">Id. </w:t>
      </w:r>
      <w:r w:rsidR="00F94818" w:rsidRPr="00534E0E">
        <w:rPr>
          <w:rFonts w:ascii="Times New Roman" w:eastAsia="Times New Roman" w:hAnsi="Times New Roman"/>
          <w:color w:val="000000"/>
          <w:sz w:val="26"/>
          <w:szCs w:val="26"/>
        </w:rPr>
        <w:t>at 11</w:t>
      </w:r>
      <w:r w:rsidRPr="00534E0E">
        <w:rPr>
          <w:rFonts w:ascii="Times New Roman" w:eastAsia="Times New Roman" w:hAnsi="Times New Roman"/>
          <w:color w:val="000000"/>
          <w:sz w:val="26"/>
          <w:szCs w:val="26"/>
        </w:rPr>
        <w:t>.</w:t>
      </w:r>
      <w:r w:rsidRPr="00534E0E">
        <w:rPr>
          <w:rFonts w:ascii="Times New Roman" w:hAnsi="Times New Roman"/>
          <w:sz w:val="26"/>
          <w:szCs w:val="26"/>
        </w:rPr>
        <w:t xml:space="preserve">  RESA </w:t>
      </w:r>
      <w:r w:rsidR="002C74D1">
        <w:rPr>
          <w:rFonts w:ascii="Times New Roman" w:hAnsi="Times New Roman"/>
          <w:sz w:val="26"/>
          <w:szCs w:val="26"/>
        </w:rPr>
        <w:t>states</w:t>
      </w:r>
      <w:r w:rsidR="002C74D1" w:rsidRPr="00534E0E">
        <w:rPr>
          <w:rFonts w:ascii="Times New Roman" w:hAnsi="Times New Roman"/>
          <w:sz w:val="26"/>
          <w:szCs w:val="26"/>
        </w:rPr>
        <w:t xml:space="preserve"> </w:t>
      </w:r>
      <w:r w:rsidRPr="00534E0E">
        <w:rPr>
          <w:rFonts w:ascii="Times New Roman" w:hAnsi="Times New Roman"/>
          <w:sz w:val="26"/>
          <w:szCs w:val="26"/>
        </w:rPr>
        <w:t>that the Commission should maintain its position to not require NGDC information on the contract summary</w:t>
      </w:r>
      <w:r w:rsidR="00F94818" w:rsidRPr="00534E0E">
        <w:rPr>
          <w:rFonts w:ascii="Times New Roman" w:hAnsi="Times New Roman"/>
          <w:sz w:val="26"/>
          <w:szCs w:val="26"/>
        </w:rPr>
        <w:t>, as</w:t>
      </w:r>
      <w:r w:rsidRPr="00534E0E">
        <w:rPr>
          <w:rFonts w:ascii="Times New Roman" w:hAnsi="Times New Roman"/>
          <w:sz w:val="26"/>
          <w:szCs w:val="26"/>
        </w:rPr>
        <w:t xml:space="preserve"> including </w:t>
      </w:r>
      <w:r w:rsidR="00F94818" w:rsidRPr="00534E0E">
        <w:rPr>
          <w:rFonts w:ascii="Times New Roman" w:hAnsi="Times New Roman"/>
          <w:sz w:val="26"/>
          <w:szCs w:val="26"/>
        </w:rPr>
        <w:t>that information could lead one to falsely conclude that</w:t>
      </w:r>
      <w:r w:rsidRPr="00534E0E">
        <w:rPr>
          <w:rFonts w:ascii="Times New Roman" w:hAnsi="Times New Roman"/>
          <w:sz w:val="26"/>
          <w:szCs w:val="26"/>
        </w:rPr>
        <w:t xml:space="preserve"> a business relationship between the NGS and the NGDC</w:t>
      </w:r>
      <w:r w:rsidR="00F94818" w:rsidRPr="00534E0E">
        <w:rPr>
          <w:rFonts w:ascii="Times New Roman" w:hAnsi="Times New Roman"/>
          <w:sz w:val="26"/>
          <w:szCs w:val="26"/>
        </w:rPr>
        <w:t xml:space="preserve"> exists</w:t>
      </w:r>
      <w:r w:rsidRPr="00534E0E">
        <w:rPr>
          <w:rFonts w:ascii="Times New Roman" w:hAnsi="Times New Roman"/>
          <w:sz w:val="26"/>
          <w:szCs w:val="26"/>
        </w:rPr>
        <w:t xml:space="preserve">. </w:t>
      </w:r>
      <w:r w:rsidR="00F94818" w:rsidRPr="00534E0E">
        <w:rPr>
          <w:rFonts w:ascii="Times New Roman" w:hAnsi="Times New Roman"/>
          <w:sz w:val="26"/>
          <w:szCs w:val="26"/>
        </w:rPr>
        <w:t xml:space="preserve"> </w:t>
      </w:r>
      <w:r w:rsidR="00F94818" w:rsidRPr="00534E0E">
        <w:rPr>
          <w:rFonts w:ascii="Times New Roman" w:hAnsi="Times New Roman"/>
          <w:i/>
          <w:sz w:val="26"/>
          <w:szCs w:val="26"/>
        </w:rPr>
        <w:t>Id</w:t>
      </w:r>
      <w:r w:rsidRPr="00534E0E">
        <w:rPr>
          <w:rFonts w:ascii="Times New Roman" w:hAnsi="Times New Roman"/>
          <w:sz w:val="26"/>
          <w:szCs w:val="26"/>
        </w:rPr>
        <w:t xml:space="preserve">.  </w:t>
      </w:r>
      <w:r w:rsidRPr="00534E0E">
        <w:rPr>
          <w:rFonts w:ascii="Times New Roman" w:hAnsi="Times New Roman"/>
          <w:spacing w:val="1"/>
          <w:sz w:val="26"/>
          <w:szCs w:val="26"/>
        </w:rPr>
        <w:t xml:space="preserve">RESA also </w:t>
      </w:r>
      <w:r w:rsidR="002C74D1">
        <w:rPr>
          <w:rFonts w:ascii="Times New Roman" w:hAnsi="Times New Roman"/>
          <w:spacing w:val="1"/>
          <w:sz w:val="26"/>
          <w:szCs w:val="26"/>
        </w:rPr>
        <w:t>submits</w:t>
      </w:r>
      <w:r w:rsidR="002C74D1" w:rsidRPr="00534E0E">
        <w:rPr>
          <w:rFonts w:ascii="Times New Roman" w:hAnsi="Times New Roman"/>
          <w:spacing w:val="1"/>
          <w:sz w:val="26"/>
          <w:szCs w:val="26"/>
        </w:rPr>
        <w:t xml:space="preserve"> </w:t>
      </w:r>
      <w:r w:rsidRPr="00534E0E">
        <w:rPr>
          <w:rFonts w:ascii="Times New Roman" w:hAnsi="Times New Roman"/>
          <w:spacing w:val="1"/>
          <w:sz w:val="26"/>
          <w:szCs w:val="26"/>
        </w:rPr>
        <w:t>that including information on renewals of contracts and changes in contract terms is unnecessary in the one</w:t>
      </w:r>
      <w:r w:rsidR="00534E0E">
        <w:rPr>
          <w:rFonts w:ascii="Times New Roman" w:hAnsi="Times New Roman"/>
          <w:spacing w:val="1"/>
          <w:sz w:val="26"/>
          <w:szCs w:val="26"/>
        </w:rPr>
        <w:t>-</w:t>
      </w:r>
      <w:r w:rsidRPr="00534E0E">
        <w:rPr>
          <w:rFonts w:ascii="Times New Roman" w:hAnsi="Times New Roman"/>
          <w:spacing w:val="1"/>
          <w:sz w:val="26"/>
          <w:szCs w:val="26"/>
        </w:rPr>
        <w:t xml:space="preserve">page summary.  </w:t>
      </w:r>
      <w:r w:rsidR="0019796C" w:rsidRPr="00534E0E">
        <w:rPr>
          <w:rFonts w:ascii="Times New Roman" w:hAnsi="Times New Roman"/>
          <w:i/>
          <w:spacing w:val="1"/>
          <w:sz w:val="26"/>
          <w:szCs w:val="26"/>
        </w:rPr>
        <w:t xml:space="preserve">Id. </w:t>
      </w:r>
      <w:r w:rsidR="0019796C" w:rsidRPr="00534E0E">
        <w:rPr>
          <w:rFonts w:ascii="Times New Roman" w:hAnsi="Times New Roman"/>
          <w:spacing w:val="1"/>
          <w:sz w:val="26"/>
          <w:szCs w:val="26"/>
        </w:rPr>
        <w:t xml:space="preserve"> </w:t>
      </w:r>
      <w:r w:rsidRPr="00534E0E">
        <w:rPr>
          <w:rFonts w:ascii="Times New Roman" w:hAnsi="Times New Roman"/>
          <w:sz w:val="26"/>
          <w:szCs w:val="26"/>
        </w:rPr>
        <w:t xml:space="preserve">RESA supports including a general description of </w:t>
      </w:r>
      <w:r w:rsidR="00523143" w:rsidRPr="00534E0E">
        <w:rPr>
          <w:rFonts w:ascii="Times New Roman" w:hAnsi="Times New Roman"/>
          <w:sz w:val="26"/>
          <w:szCs w:val="26"/>
        </w:rPr>
        <w:t>the expected start date of</w:t>
      </w:r>
      <w:r w:rsidRPr="00534E0E">
        <w:rPr>
          <w:rFonts w:ascii="Times New Roman" w:hAnsi="Times New Roman"/>
          <w:sz w:val="26"/>
          <w:szCs w:val="26"/>
        </w:rPr>
        <w:t xml:space="preserve"> NGS service in the contract summary</w:t>
      </w:r>
      <w:r w:rsidR="00523143" w:rsidRPr="00534E0E">
        <w:rPr>
          <w:rFonts w:ascii="Times New Roman" w:hAnsi="Times New Roman"/>
          <w:sz w:val="26"/>
          <w:szCs w:val="26"/>
        </w:rPr>
        <w:t xml:space="preserve">.  </w:t>
      </w:r>
      <w:r w:rsidR="00523143" w:rsidRPr="00534E0E">
        <w:rPr>
          <w:rFonts w:ascii="Times New Roman" w:hAnsi="Times New Roman"/>
          <w:i/>
          <w:sz w:val="26"/>
          <w:szCs w:val="26"/>
        </w:rPr>
        <w:t>Id.</w:t>
      </w:r>
      <w:r w:rsidR="00523143" w:rsidRPr="00534E0E">
        <w:rPr>
          <w:rFonts w:ascii="Times New Roman" w:hAnsi="Times New Roman"/>
          <w:sz w:val="26"/>
          <w:szCs w:val="26"/>
        </w:rPr>
        <w:t xml:space="preserve"> a</w:t>
      </w:r>
      <w:r w:rsidRPr="00534E0E">
        <w:rPr>
          <w:rFonts w:ascii="Times New Roman" w:hAnsi="Times New Roman"/>
          <w:sz w:val="26"/>
          <w:szCs w:val="26"/>
        </w:rPr>
        <w:t>t 12.</w:t>
      </w:r>
    </w:p>
    <w:p w:rsidR="007A6FD4" w:rsidRDefault="007A6FD4" w:rsidP="007A6FD4">
      <w:pPr>
        <w:spacing w:line="360" w:lineRule="auto"/>
        <w:ind w:firstLine="720"/>
        <w:rPr>
          <w:rFonts w:ascii="Times New Roman" w:eastAsia="Times New Roman" w:hAnsi="Times New Roman"/>
          <w:color w:val="000000"/>
          <w:spacing w:val="1"/>
          <w:sz w:val="26"/>
          <w:szCs w:val="26"/>
        </w:rPr>
      </w:pPr>
    </w:p>
    <w:p w:rsidR="007A6FD4" w:rsidRPr="004C75FF" w:rsidRDefault="00523143" w:rsidP="007A6FD4">
      <w:pPr>
        <w:spacing w:line="360" w:lineRule="auto"/>
        <w:ind w:firstLine="720"/>
        <w:rPr>
          <w:rFonts w:ascii="Times New Roman" w:eastAsia="Times New Roman" w:hAnsi="Times New Roman"/>
          <w:color w:val="000000"/>
          <w:sz w:val="26"/>
          <w:szCs w:val="26"/>
        </w:rPr>
      </w:pPr>
      <w:r>
        <w:rPr>
          <w:rFonts w:ascii="Times New Roman" w:eastAsia="Times New Roman" w:hAnsi="Times New Roman"/>
          <w:color w:val="000000"/>
          <w:sz w:val="26"/>
          <w:szCs w:val="26"/>
        </w:rPr>
        <w:t>As to the Commission’s</w:t>
      </w:r>
      <w:r w:rsidR="007A6FD4" w:rsidRPr="00B52431">
        <w:rPr>
          <w:rFonts w:ascii="Times New Roman" w:eastAsia="Times New Roman" w:hAnsi="Times New Roman"/>
          <w:color w:val="000000"/>
          <w:sz w:val="26"/>
          <w:szCs w:val="26"/>
        </w:rPr>
        <w:t xml:space="preserve"> propos</w:t>
      </w:r>
      <w:r>
        <w:rPr>
          <w:rFonts w:ascii="Times New Roman" w:eastAsia="Times New Roman" w:hAnsi="Times New Roman"/>
          <w:color w:val="000000"/>
          <w:sz w:val="26"/>
          <w:szCs w:val="26"/>
        </w:rPr>
        <w:t>al</w:t>
      </w:r>
      <w:r w:rsidR="007A6FD4" w:rsidRPr="00B52431">
        <w:rPr>
          <w:rFonts w:ascii="Times New Roman" w:eastAsia="Times New Roman" w:hAnsi="Times New Roman"/>
          <w:color w:val="000000"/>
          <w:sz w:val="26"/>
          <w:szCs w:val="26"/>
        </w:rPr>
        <w:t xml:space="preserve"> that a contract start date be</w:t>
      </w:r>
      <w:r w:rsidR="007A6FD4" w:rsidRPr="004C75FF">
        <w:rPr>
          <w:rFonts w:ascii="Times New Roman" w:eastAsia="Times New Roman" w:hAnsi="Times New Roman"/>
          <w:color w:val="000000"/>
          <w:sz w:val="26"/>
          <w:szCs w:val="26"/>
        </w:rPr>
        <w:t xml:space="preserve"> expressed as a generalized statement and not with reference to a specific date</w:t>
      </w:r>
      <w:r>
        <w:rPr>
          <w:rFonts w:ascii="Times New Roman" w:eastAsia="Times New Roman" w:hAnsi="Times New Roman"/>
          <w:color w:val="000000"/>
          <w:sz w:val="26"/>
          <w:szCs w:val="26"/>
        </w:rPr>
        <w:t xml:space="preserve">, the </w:t>
      </w:r>
      <w:r>
        <w:rPr>
          <w:rFonts w:ascii="Times New Roman" w:eastAsia="Times New Roman" w:hAnsi="Times New Roman"/>
          <w:color w:val="000000"/>
          <w:spacing w:val="1"/>
          <w:sz w:val="26"/>
          <w:szCs w:val="26"/>
        </w:rPr>
        <w:t>National Marketers and WGL submi</w:t>
      </w:r>
      <w:r w:rsidR="007A6FD4" w:rsidRPr="004C75FF">
        <w:rPr>
          <w:rFonts w:ascii="Times New Roman" w:eastAsia="Times New Roman" w:hAnsi="Times New Roman"/>
          <w:color w:val="000000"/>
          <w:sz w:val="26"/>
          <w:szCs w:val="26"/>
        </w:rPr>
        <w:t xml:space="preserve">t </w:t>
      </w:r>
      <w:r>
        <w:rPr>
          <w:rFonts w:ascii="Times New Roman" w:eastAsia="Times New Roman" w:hAnsi="Times New Roman"/>
          <w:color w:val="000000"/>
          <w:sz w:val="26"/>
          <w:szCs w:val="26"/>
        </w:rPr>
        <w:t xml:space="preserve">that </w:t>
      </w:r>
      <w:r w:rsidR="007A6FD4" w:rsidRPr="004C75FF">
        <w:rPr>
          <w:rFonts w:ascii="Times New Roman" w:eastAsia="Times New Roman" w:hAnsi="Times New Roman"/>
          <w:color w:val="000000"/>
          <w:sz w:val="26"/>
          <w:szCs w:val="26"/>
        </w:rPr>
        <w:t>this approach would facilitate supplier compliance</w:t>
      </w:r>
      <w:r w:rsidR="007A6FD4">
        <w:rPr>
          <w:rFonts w:ascii="Times New Roman" w:eastAsia="Times New Roman" w:hAnsi="Times New Roman"/>
          <w:color w:val="000000"/>
          <w:sz w:val="26"/>
          <w:szCs w:val="26"/>
        </w:rPr>
        <w:t xml:space="preserve"> because </w:t>
      </w:r>
      <w:r w:rsidR="007A6FD4" w:rsidRPr="004C75FF">
        <w:rPr>
          <w:rFonts w:ascii="Times New Roman" w:eastAsia="Times New Roman" w:hAnsi="Times New Roman"/>
          <w:color w:val="000000"/>
          <w:sz w:val="26"/>
          <w:szCs w:val="26"/>
        </w:rPr>
        <w:t xml:space="preserve">the </w:t>
      </w:r>
      <w:r w:rsidR="007A6FD4" w:rsidRPr="004C75FF">
        <w:rPr>
          <w:rFonts w:ascii="Times New Roman" w:eastAsia="Times New Roman" w:hAnsi="Times New Roman"/>
          <w:color w:val="000000"/>
          <w:sz w:val="26"/>
          <w:szCs w:val="26"/>
        </w:rPr>
        <w:lastRenderedPageBreak/>
        <w:t>actual contract start date de</w:t>
      </w:r>
      <w:r>
        <w:rPr>
          <w:rFonts w:ascii="Times New Roman" w:eastAsia="Times New Roman" w:hAnsi="Times New Roman"/>
          <w:color w:val="000000"/>
          <w:sz w:val="26"/>
          <w:szCs w:val="26"/>
        </w:rPr>
        <w:t>pends on the</w:t>
      </w:r>
      <w:r w:rsidR="007A6FD4" w:rsidRPr="004C75FF">
        <w:rPr>
          <w:rFonts w:ascii="Times New Roman" w:eastAsia="Times New Roman" w:hAnsi="Times New Roman"/>
          <w:color w:val="000000"/>
          <w:sz w:val="26"/>
          <w:szCs w:val="26"/>
        </w:rPr>
        <w:t xml:space="preserve"> utility switching processes outside of </w:t>
      </w:r>
      <w:r>
        <w:rPr>
          <w:rFonts w:ascii="Times New Roman" w:eastAsia="Times New Roman" w:hAnsi="Times New Roman"/>
          <w:color w:val="000000"/>
          <w:sz w:val="26"/>
          <w:szCs w:val="26"/>
        </w:rPr>
        <w:t xml:space="preserve">the </w:t>
      </w:r>
      <w:r w:rsidR="007A6FD4" w:rsidRPr="004C75FF">
        <w:rPr>
          <w:rFonts w:ascii="Times New Roman" w:eastAsia="Times New Roman" w:hAnsi="Times New Roman"/>
          <w:color w:val="000000"/>
          <w:sz w:val="26"/>
          <w:szCs w:val="26"/>
        </w:rPr>
        <w:t>supplier</w:t>
      </w:r>
      <w:r>
        <w:rPr>
          <w:rFonts w:ascii="Times New Roman" w:eastAsia="Times New Roman" w:hAnsi="Times New Roman"/>
          <w:color w:val="000000"/>
          <w:sz w:val="26"/>
          <w:szCs w:val="26"/>
        </w:rPr>
        <w:t>’s</w:t>
      </w:r>
      <w:r w:rsidR="007A6FD4" w:rsidRPr="004C75FF">
        <w:rPr>
          <w:rFonts w:ascii="Times New Roman" w:eastAsia="Times New Roman" w:hAnsi="Times New Roman"/>
          <w:color w:val="000000"/>
          <w:sz w:val="26"/>
          <w:szCs w:val="26"/>
        </w:rPr>
        <w:t xml:space="preserve"> control.</w:t>
      </w:r>
      <w:r>
        <w:rPr>
          <w:rFonts w:ascii="Times New Roman" w:eastAsia="Times New Roman" w:hAnsi="Times New Roman"/>
          <w:color w:val="000000"/>
          <w:sz w:val="26"/>
          <w:szCs w:val="26"/>
        </w:rPr>
        <w:t xml:space="preserve">  National Marketers Comments at 5; WGL Comments at 6-7.</w:t>
      </w:r>
      <w:r w:rsidR="007A6FD4" w:rsidRPr="004C75FF">
        <w:rPr>
          <w:rFonts w:ascii="Times New Roman" w:eastAsia="Times New Roman" w:hAnsi="Times New Roman"/>
          <w:color w:val="000000"/>
          <w:sz w:val="26"/>
          <w:szCs w:val="26"/>
        </w:rPr>
        <w:t xml:space="preserve">  </w:t>
      </w:r>
    </w:p>
    <w:p w:rsidR="007A6FD4" w:rsidRPr="004C75FF" w:rsidRDefault="007A6FD4" w:rsidP="007A6FD4">
      <w:pPr>
        <w:spacing w:line="360" w:lineRule="auto"/>
        <w:rPr>
          <w:rFonts w:ascii="Times New Roman" w:eastAsia="Times New Roman" w:hAnsi="Times New Roman"/>
          <w:color w:val="000000"/>
          <w:sz w:val="26"/>
          <w:szCs w:val="26"/>
        </w:rPr>
      </w:pPr>
    </w:p>
    <w:p w:rsidR="007A6FD4" w:rsidRPr="004C75FF" w:rsidRDefault="007A6FD4" w:rsidP="007A6FD4">
      <w:pPr>
        <w:spacing w:line="360" w:lineRule="auto"/>
        <w:ind w:firstLine="720"/>
        <w:rPr>
          <w:rFonts w:ascii="Times New Roman" w:hAnsi="Times New Roman"/>
          <w:sz w:val="26"/>
          <w:szCs w:val="26"/>
        </w:rPr>
      </w:pPr>
      <w:r w:rsidRPr="004C75FF">
        <w:rPr>
          <w:rFonts w:ascii="Times New Roman" w:eastAsia="Times New Roman" w:hAnsi="Times New Roman"/>
          <w:color w:val="000000"/>
          <w:spacing w:val="6"/>
          <w:sz w:val="26"/>
          <w:szCs w:val="26"/>
        </w:rPr>
        <w:t xml:space="preserve">WGL </w:t>
      </w:r>
      <w:r w:rsidR="00523143">
        <w:rPr>
          <w:rFonts w:ascii="Times New Roman" w:eastAsia="Times New Roman" w:hAnsi="Times New Roman"/>
          <w:color w:val="000000"/>
          <w:spacing w:val="6"/>
          <w:sz w:val="26"/>
          <w:szCs w:val="26"/>
        </w:rPr>
        <w:t xml:space="preserve">also </w:t>
      </w:r>
      <w:r w:rsidRPr="004C75FF">
        <w:rPr>
          <w:rFonts w:ascii="Times New Roman" w:eastAsia="Times New Roman" w:hAnsi="Times New Roman"/>
          <w:color w:val="000000"/>
          <w:spacing w:val="6"/>
          <w:sz w:val="26"/>
          <w:szCs w:val="26"/>
        </w:rPr>
        <w:t>believe</w:t>
      </w:r>
      <w:r w:rsidR="00523143">
        <w:rPr>
          <w:rFonts w:ascii="Times New Roman" w:eastAsia="Times New Roman" w:hAnsi="Times New Roman"/>
          <w:color w:val="000000"/>
          <w:spacing w:val="6"/>
          <w:sz w:val="26"/>
          <w:szCs w:val="26"/>
        </w:rPr>
        <w:t>s</w:t>
      </w:r>
      <w:r w:rsidRPr="004C75FF">
        <w:rPr>
          <w:rFonts w:ascii="Times New Roman" w:eastAsia="Times New Roman" w:hAnsi="Times New Roman"/>
          <w:color w:val="000000"/>
          <w:spacing w:val="6"/>
          <w:sz w:val="26"/>
          <w:szCs w:val="26"/>
        </w:rPr>
        <w:t xml:space="preserve"> that the contract summary need not be reflected in a distinct document that is separated from the contract itself or from other marketing and disclosure materials</w:t>
      </w:r>
      <w:r w:rsidR="00523143">
        <w:rPr>
          <w:rFonts w:ascii="Times New Roman" w:eastAsia="Times New Roman" w:hAnsi="Times New Roman"/>
          <w:color w:val="000000"/>
          <w:spacing w:val="6"/>
          <w:sz w:val="26"/>
          <w:szCs w:val="26"/>
        </w:rPr>
        <w:t>, as this</w:t>
      </w:r>
      <w:r w:rsidRPr="004C75FF">
        <w:rPr>
          <w:rFonts w:ascii="Times New Roman" w:eastAsia="Times New Roman" w:hAnsi="Times New Roman"/>
          <w:color w:val="000000"/>
          <w:spacing w:val="6"/>
          <w:sz w:val="26"/>
          <w:szCs w:val="26"/>
        </w:rPr>
        <w:t xml:space="preserve"> adds costs </w:t>
      </w:r>
      <w:r w:rsidR="00523143">
        <w:rPr>
          <w:rFonts w:ascii="Times New Roman" w:eastAsia="Times New Roman" w:hAnsi="Times New Roman"/>
          <w:color w:val="000000"/>
          <w:spacing w:val="6"/>
          <w:sz w:val="26"/>
          <w:szCs w:val="26"/>
        </w:rPr>
        <w:t xml:space="preserve">to </w:t>
      </w:r>
      <w:r w:rsidRPr="004C75FF">
        <w:rPr>
          <w:rFonts w:ascii="Times New Roman" w:eastAsia="Times New Roman" w:hAnsi="Times New Roman"/>
          <w:color w:val="000000"/>
          <w:spacing w:val="6"/>
          <w:sz w:val="26"/>
          <w:szCs w:val="26"/>
        </w:rPr>
        <w:t>suppliers</w:t>
      </w:r>
      <w:r w:rsidR="00523143">
        <w:rPr>
          <w:rFonts w:ascii="Times New Roman" w:eastAsia="Times New Roman" w:hAnsi="Times New Roman"/>
          <w:color w:val="000000"/>
          <w:spacing w:val="6"/>
          <w:sz w:val="26"/>
          <w:szCs w:val="26"/>
        </w:rPr>
        <w:t xml:space="preserve"> </w:t>
      </w:r>
      <w:r w:rsidRPr="004C75FF">
        <w:rPr>
          <w:rFonts w:ascii="Times New Roman" w:eastAsia="Times New Roman" w:hAnsi="Times New Roman"/>
          <w:color w:val="000000"/>
          <w:spacing w:val="6"/>
          <w:sz w:val="26"/>
          <w:szCs w:val="26"/>
        </w:rPr>
        <w:t xml:space="preserve">without adding significant value to the customer. </w:t>
      </w:r>
      <w:r w:rsidR="005C469A">
        <w:rPr>
          <w:rFonts w:ascii="Times New Roman" w:eastAsia="Times New Roman" w:hAnsi="Times New Roman"/>
          <w:color w:val="000000"/>
          <w:spacing w:val="6"/>
          <w:sz w:val="26"/>
          <w:szCs w:val="26"/>
        </w:rPr>
        <w:t xml:space="preserve"> </w:t>
      </w:r>
      <w:r w:rsidRPr="004C75FF">
        <w:rPr>
          <w:rFonts w:ascii="Times New Roman" w:eastAsia="Times New Roman" w:hAnsi="Times New Roman"/>
          <w:color w:val="000000"/>
          <w:spacing w:val="6"/>
          <w:sz w:val="26"/>
          <w:szCs w:val="26"/>
        </w:rPr>
        <w:t>WGL</w:t>
      </w:r>
      <w:r>
        <w:rPr>
          <w:rFonts w:ascii="Times New Roman" w:eastAsia="Times New Roman" w:hAnsi="Times New Roman"/>
          <w:color w:val="000000"/>
          <w:spacing w:val="6"/>
          <w:sz w:val="26"/>
          <w:szCs w:val="26"/>
        </w:rPr>
        <w:t xml:space="preserve"> </w:t>
      </w:r>
      <w:r w:rsidR="00523143">
        <w:rPr>
          <w:rFonts w:ascii="Times New Roman" w:eastAsia="Times New Roman" w:hAnsi="Times New Roman"/>
          <w:color w:val="000000"/>
          <w:spacing w:val="6"/>
          <w:sz w:val="26"/>
          <w:szCs w:val="26"/>
        </w:rPr>
        <w:t xml:space="preserve">Comments </w:t>
      </w:r>
      <w:r>
        <w:rPr>
          <w:rFonts w:ascii="Times New Roman" w:eastAsia="Times New Roman" w:hAnsi="Times New Roman"/>
          <w:color w:val="000000"/>
          <w:spacing w:val="6"/>
          <w:sz w:val="26"/>
          <w:szCs w:val="26"/>
        </w:rPr>
        <w:t>a</w:t>
      </w:r>
      <w:r w:rsidRPr="004C75FF">
        <w:rPr>
          <w:rFonts w:ascii="Times New Roman" w:eastAsia="Times New Roman" w:hAnsi="Times New Roman"/>
          <w:color w:val="000000"/>
          <w:spacing w:val="6"/>
          <w:sz w:val="26"/>
          <w:szCs w:val="26"/>
        </w:rPr>
        <w:t>t 6</w:t>
      </w:r>
      <w:r w:rsidR="00523143">
        <w:rPr>
          <w:rFonts w:ascii="Times New Roman" w:eastAsia="Times New Roman" w:hAnsi="Times New Roman"/>
          <w:color w:val="000000"/>
          <w:spacing w:val="6"/>
          <w:sz w:val="26"/>
          <w:szCs w:val="26"/>
        </w:rPr>
        <w:t xml:space="preserve"> (adding that </w:t>
      </w:r>
      <w:r w:rsidRPr="004C75FF">
        <w:rPr>
          <w:rFonts w:ascii="Times New Roman" w:eastAsia="Times New Roman" w:hAnsi="Times New Roman"/>
          <w:color w:val="000000"/>
          <w:spacing w:val="4"/>
          <w:sz w:val="26"/>
          <w:szCs w:val="26"/>
        </w:rPr>
        <w:t>including renewal and change of terms notices in a one</w:t>
      </w:r>
      <w:r w:rsidR="00534E0E">
        <w:rPr>
          <w:rFonts w:ascii="Times New Roman" w:eastAsia="Times New Roman" w:hAnsi="Times New Roman"/>
          <w:color w:val="000000"/>
          <w:spacing w:val="4"/>
          <w:sz w:val="26"/>
          <w:szCs w:val="26"/>
        </w:rPr>
        <w:t>-</w:t>
      </w:r>
      <w:r w:rsidRPr="004C75FF">
        <w:rPr>
          <w:rFonts w:ascii="Times New Roman" w:eastAsia="Times New Roman" w:hAnsi="Times New Roman"/>
          <w:color w:val="000000"/>
          <w:spacing w:val="4"/>
          <w:sz w:val="26"/>
          <w:szCs w:val="26"/>
        </w:rPr>
        <w:t xml:space="preserve">page contract summary </w:t>
      </w:r>
      <w:r w:rsidR="00523143">
        <w:rPr>
          <w:rFonts w:ascii="Times New Roman" w:eastAsia="Times New Roman" w:hAnsi="Times New Roman"/>
          <w:color w:val="000000"/>
          <w:spacing w:val="4"/>
          <w:sz w:val="26"/>
          <w:szCs w:val="26"/>
        </w:rPr>
        <w:t xml:space="preserve">is </w:t>
      </w:r>
      <w:r w:rsidRPr="004C75FF">
        <w:rPr>
          <w:rFonts w:ascii="Times New Roman" w:eastAsia="Times New Roman" w:hAnsi="Times New Roman"/>
          <w:color w:val="000000"/>
          <w:spacing w:val="4"/>
          <w:sz w:val="26"/>
          <w:szCs w:val="26"/>
        </w:rPr>
        <w:t>confusin</w:t>
      </w:r>
      <w:r w:rsidR="00523143">
        <w:rPr>
          <w:rFonts w:ascii="Times New Roman" w:eastAsia="Times New Roman" w:hAnsi="Times New Roman"/>
          <w:color w:val="000000"/>
          <w:spacing w:val="4"/>
          <w:sz w:val="26"/>
          <w:szCs w:val="26"/>
        </w:rPr>
        <w:t>g and unnecessary)</w:t>
      </w:r>
      <w:r w:rsidR="002C05C8">
        <w:rPr>
          <w:rFonts w:ascii="Times New Roman" w:eastAsia="Times New Roman" w:hAnsi="Times New Roman"/>
          <w:color w:val="000000"/>
          <w:spacing w:val="4"/>
          <w:sz w:val="26"/>
          <w:szCs w:val="26"/>
        </w:rPr>
        <w:t xml:space="preserve">; </w:t>
      </w:r>
      <w:r w:rsidR="002C05C8">
        <w:rPr>
          <w:rFonts w:ascii="Times New Roman" w:eastAsia="Times New Roman" w:hAnsi="Times New Roman"/>
          <w:i/>
          <w:color w:val="000000"/>
          <w:spacing w:val="4"/>
          <w:sz w:val="26"/>
          <w:szCs w:val="26"/>
        </w:rPr>
        <w:t xml:space="preserve">see also </w:t>
      </w:r>
      <w:r w:rsidR="002C05C8">
        <w:rPr>
          <w:rFonts w:ascii="Times New Roman" w:eastAsia="Times New Roman" w:hAnsi="Times New Roman"/>
          <w:color w:val="000000"/>
          <w:spacing w:val="4"/>
          <w:sz w:val="26"/>
          <w:szCs w:val="26"/>
        </w:rPr>
        <w:t>PA Marketers Comments at 5-6</w:t>
      </w:r>
      <w:r w:rsidRPr="004C75FF">
        <w:rPr>
          <w:rFonts w:ascii="Times New Roman" w:eastAsia="Times New Roman" w:hAnsi="Times New Roman"/>
          <w:color w:val="000000"/>
          <w:spacing w:val="4"/>
          <w:sz w:val="26"/>
          <w:szCs w:val="26"/>
        </w:rPr>
        <w:t xml:space="preserve">.  </w:t>
      </w:r>
    </w:p>
    <w:p w:rsidR="007A6FD4" w:rsidRPr="004C75FF" w:rsidRDefault="007A6FD4" w:rsidP="007A6FD4">
      <w:pPr>
        <w:pStyle w:val="NoSpacing"/>
        <w:spacing w:line="360" w:lineRule="auto"/>
        <w:rPr>
          <w:rFonts w:ascii="Times New Roman" w:hAnsi="Times New Roman"/>
          <w:sz w:val="26"/>
          <w:szCs w:val="26"/>
        </w:rPr>
      </w:pPr>
    </w:p>
    <w:p w:rsidR="007A6FD4" w:rsidRPr="004C75FF" w:rsidRDefault="00523143" w:rsidP="007A6FD4">
      <w:pPr>
        <w:pStyle w:val="NoSpacing"/>
        <w:spacing w:line="360" w:lineRule="auto"/>
        <w:ind w:firstLine="720"/>
        <w:rPr>
          <w:rFonts w:ascii="Times New Roman" w:hAnsi="Times New Roman"/>
          <w:sz w:val="26"/>
          <w:szCs w:val="26"/>
        </w:rPr>
      </w:pPr>
      <w:r w:rsidRPr="004E4C14">
        <w:rPr>
          <w:rFonts w:ascii="Times New Roman" w:eastAsia="Cambria" w:hAnsi="Times New Roman"/>
          <w:color w:val="000000"/>
          <w:spacing w:val="1"/>
          <w:sz w:val="26"/>
          <w:szCs w:val="26"/>
        </w:rPr>
        <w:t xml:space="preserve">The PA Marketers </w:t>
      </w:r>
      <w:r w:rsidR="007A6FD4" w:rsidRPr="004E4C14">
        <w:rPr>
          <w:rFonts w:ascii="Times New Roman" w:eastAsia="Cambria" w:hAnsi="Times New Roman"/>
          <w:color w:val="000000"/>
          <w:spacing w:val="1"/>
          <w:sz w:val="26"/>
          <w:szCs w:val="26"/>
        </w:rPr>
        <w:t>agree with the Commission’s position that: (1) the contract summary should be a brief, single-page document in a graphic/box format, summarizing only the key contract terms necessary to assist a customer when comparison-shopping; and (2) that the inclusion of NGDC contact information is unnecessary and lacks relevance to the customer when shopping, as the inclusion of NGDC information leads some customers to wrongly believe that a utility endorsement or affiliation with the supplier exists.  P</w:t>
      </w:r>
      <w:r w:rsidR="002C05C8" w:rsidRPr="004E4C14">
        <w:rPr>
          <w:rFonts w:ascii="Times New Roman" w:eastAsia="Cambria" w:hAnsi="Times New Roman"/>
          <w:color w:val="000000"/>
          <w:spacing w:val="1"/>
          <w:sz w:val="26"/>
          <w:szCs w:val="26"/>
        </w:rPr>
        <w:t xml:space="preserve">A Marketers Comments </w:t>
      </w:r>
      <w:r w:rsidR="007A6FD4" w:rsidRPr="004E4C14">
        <w:rPr>
          <w:rFonts w:ascii="Times New Roman" w:eastAsia="Cambria" w:hAnsi="Times New Roman"/>
          <w:color w:val="000000"/>
          <w:spacing w:val="1"/>
          <w:sz w:val="26"/>
          <w:szCs w:val="26"/>
        </w:rPr>
        <w:t xml:space="preserve">at </w:t>
      </w:r>
      <w:r w:rsidR="002C05C8" w:rsidRPr="004E4C14">
        <w:rPr>
          <w:rFonts w:ascii="Times New Roman" w:eastAsia="Cambria" w:hAnsi="Times New Roman"/>
          <w:color w:val="000000"/>
          <w:spacing w:val="1"/>
          <w:sz w:val="26"/>
          <w:szCs w:val="26"/>
        </w:rPr>
        <w:t>5</w:t>
      </w:r>
      <w:r w:rsidR="007A6FD4" w:rsidRPr="004E4C14">
        <w:rPr>
          <w:rFonts w:ascii="Times New Roman" w:eastAsia="Cambria" w:hAnsi="Times New Roman"/>
          <w:color w:val="000000"/>
          <w:spacing w:val="1"/>
          <w:sz w:val="26"/>
          <w:szCs w:val="26"/>
        </w:rPr>
        <w:t xml:space="preserve">.  </w:t>
      </w:r>
      <w:r w:rsidR="007A6FD4" w:rsidRPr="004E4C14">
        <w:rPr>
          <w:rFonts w:ascii="Times New Roman" w:hAnsi="Times New Roman"/>
          <w:sz w:val="26"/>
          <w:szCs w:val="26"/>
        </w:rPr>
        <w:t>The P</w:t>
      </w:r>
      <w:r w:rsidR="002C05C8" w:rsidRPr="004E4C14">
        <w:rPr>
          <w:rFonts w:ascii="Times New Roman" w:hAnsi="Times New Roman"/>
          <w:sz w:val="26"/>
          <w:szCs w:val="26"/>
        </w:rPr>
        <w:t xml:space="preserve">A </w:t>
      </w:r>
      <w:r w:rsidR="007A6FD4" w:rsidRPr="004E4C14">
        <w:rPr>
          <w:rFonts w:ascii="Times New Roman" w:hAnsi="Times New Roman"/>
          <w:sz w:val="26"/>
          <w:szCs w:val="26"/>
        </w:rPr>
        <w:t>M</w:t>
      </w:r>
      <w:r w:rsidR="002C05C8" w:rsidRPr="004E4C14">
        <w:rPr>
          <w:rFonts w:ascii="Times New Roman" w:hAnsi="Times New Roman"/>
          <w:sz w:val="26"/>
          <w:szCs w:val="26"/>
        </w:rPr>
        <w:t>arketers</w:t>
      </w:r>
      <w:r w:rsidR="007A6FD4" w:rsidRPr="004E4C14">
        <w:rPr>
          <w:rFonts w:ascii="Times New Roman" w:hAnsi="Times New Roman"/>
          <w:sz w:val="26"/>
          <w:szCs w:val="26"/>
        </w:rPr>
        <w:t xml:space="preserve"> suggest that the contract term field </w:t>
      </w:r>
      <w:r w:rsidR="002C05C8" w:rsidRPr="004E4C14">
        <w:rPr>
          <w:rFonts w:ascii="Times New Roman" w:hAnsi="Times New Roman"/>
          <w:sz w:val="26"/>
          <w:szCs w:val="26"/>
        </w:rPr>
        <w:t xml:space="preserve">for month-to-month variable contracts </w:t>
      </w:r>
      <w:r w:rsidR="007A6FD4" w:rsidRPr="004E4C14">
        <w:rPr>
          <w:rFonts w:ascii="Times New Roman" w:hAnsi="Times New Roman"/>
          <w:sz w:val="26"/>
          <w:szCs w:val="26"/>
        </w:rPr>
        <w:t xml:space="preserve">simply state that the customer will be renewed on a monthly basis.   </w:t>
      </w:r>
      <w:r w:rsidR="002C05C8" w:rsidRPr="004E4C14">
        <w:rPr>
          <w:rFonts w:ascii="Times New Roman" w:hAnsi="Times New Roman"/>
          <w:i/>
          <w:sz w:val="26"/>
          <w:szCs w:val="26"/>
        </w:rPr>
        <w:t>Id.</w:t>
      </w:r>
      <w:r w:rsidR="007A6FD4" w:rsidRPr="004E4C14">
        <w:rPr>
          <w:rFonts w:ascii="Times New Roman" w:hAnsi="Times New Roman"/>
          <w:sz w:val="26"/>
          <w:szCs w:val="26"/>
        </w:rPr>
        <w:t xml:space="preserve"> at 6.</w:t>
      </w:r>
    </w:p>
    <w:p w:rsidR="007A6FD4" w:rsidRDefault="007A6FD4" w:rsidP="007A6FD4">
      <w:pPr>
        <w:pStyle w:val="NoSpacing"/>
        <w:spacing w:line="360" w:lineRule="auto"/>
        <w:rPr>
          <w:rFonts w:ascii="Times New Roman" w:eastAsia="Times New Roman" w:hAnsi="Times New Roman"/>
          <w:sz w:val="26"/>
          <w:szCs w:val="26"/>
        </w:rPr>
      </w:pPr>
    </w:p>
    <w:p w:rsidR="007A6FD4" w:rsidRDefault="007A6FD4" w:rsidP="007A6FD4">
      <w:pPr>
        <w:spacing w:after="243" w:line="360" w:lineRule="auto"/>
        <w:ind w:left="72" w:right="144" w:firstLine="720"/>
        <w:textAlignment w:val="baseline"/>
        <w:rPr>
          <w:rFonts w:ascii="Times New Roman" w:hAnsi="Times New Roman"/>
          <w:sz w:val="26"/>
          <w:szCs w:val="26"/>
        </w:rPr>
      </w:pPr>
      <w:r w:rsidRPr="00AF2FBF">
        <w:rPr>
          <w:rFonts w:ascii="Times New Roman" w:hAnsi="Times New Roman"/>
          <w:sz w:val="26"/>
          <w:szCs w:val="26"/>
        </w:rPr>
        <w:t xml:space="preserve">OCA agrees that </w:t>
      </w:r>
      <w:r w:rsidR="00AF2FBF" w:rsidRPr="00AF2FBF">
        <w:rPr>
          <w:rFonts w:ascii="Times New Roman" w:hAnsi="Times New Roman"/>
          <w:sz w:val="26"/>
          <w:szCs w:val="26"/>
        </w:rPr>
        <w:t>a one</w:t>
      </w:r>
      <w:r w:rsidR="004E4C14">
        <w:rPr>
          <w:rFonts w:ascii="Times New Roman" w:hAnsi="Times New Roman"/>
          <w:sz w:val="26"/>
          <w:szCs w:val="26"/>
        </w:rPr>
        <w:t>-</w:t>
      </w:r>
      <w:r w:rsidR="00AF2FBF" w:rsidRPr="00AF2FBF">
        <w:rPr>
          <w:rFonts w:ascii="Times New Roman" w:hAnsi="Times New Roman"/>
          <w:sz w:val="26"/>
          <w:szCs w:val="26"/>
        </w:rPr>
        <w:t xml:space="preserve">page </w:t>
      </w:r>
      <w:r w:rsidR="005C469A">
        <w:rPr>
          <w:rFonts w:ascii="Times New Roman" w:hAnsi="Times New Roman"/>
          <w:sz w:val="26"/>
          <w:szCs w:val="26"/>
        </w:rPr>
        <w:t>c</w:t>
      </w:r>
      <w:r w:rsidR="005C469A" w:rsidRPr="00AF2FBF">
        <w:rPr>
          <w:rFonts w:ascii="Times New Roman" w:hAnsi="Times New Roman"/>
          <w:sz w:val="26"/>
          <w:szCs w:val="26"/>
        </w:rPr>
        <w:t xml:space="preserve">ontract </w:t>
      </w:r>
      <w:r w:rsidR="005C469A">
        <w:rPr>
          <w:rFonts w:ascii="Times New Roman" w:hAnsi="Times New Roman"/>
          <w:sz w:val="26"/>
          <w:szCs w:val="26"/>
        </w:rPr>
        <w:t>s</w:t>
      </w:r>
      <w:r w:rsidR="005C469A" w:rsidRPr="00AF2FBF">
        <w:rPr>
          <w:rFonts w:ascii="Times New Roman" w:hAnsi="Times New Roman"/>
          <w:sz w:val="26"/>
          <w:szCs w:val="26"/>
        </w:rPr>
        <w:t xml:space="preserve">ummary </w:t>
      </w:r>
      <w:r w:rsidR="00AF2FBF" w:rsidRPr="00AF2FBF">
        <w:rPr>
          <w:rFonts w:ascii="Times New Roman" w:hAnsi="Times New Roman"/>
          <w:sz w:val="26"/>
          <w:szCs w:val="26"/>
        </w:rPr>
        <w:t xml:space="preserve">can benefit the customer, but </w:t>
      </w:r>
      <w:r w:rsidRPr="008235D2">
        <w:rPr>
          <w:rFonts w:ascii="Times New Roman" w:hAnsi="Times New Roman"/>
          <w:sz w:val="26"/>
          <w:szCs w:val="26"/>
        </w:rPr>
        <w:t xml:space="preserve">submits that </w:t>
      </w:r>
      <w:r w:rsidR="004E4C14">
        <w:rPr>
          <w:rFonts w:ascii="Times New Roman" w:hAnsi="Times New Roman"/>
          <w:sz w:val="26"/>
          <w:szCs w:val="26"/>
        </w:rPr>
        <w:t xml:space="preserve">the following </w:t>
      </w:r>
      <w:r w:rsidRPr="008235D2">
        <w:rPr>
          <w:rFonts w:ascii="Times New Roman" w:hAnsi="Times New Roman"/>
          <w:sz w:val="26"/>
          <w:szCs w:val="26"/>
        </w:rPr>
        <w:t>additional information should be included to aid consumers</w:t>
      </w:r>
      <w:r>
        <w:rPr>
          <w:rFonts w:ascii="Times New Roman" w:hAnsi="Times New Roman"/>
          <w:sz w:val="26"/>
          <w:szCs w:val="26"/>
        </w:rPr>
        <w:t>:</w:t>
      </w:r>
    </w:p>
    <w:p w:rsidR="007A6FD4" w:rsidRPr="008235D2" w:rsidRDefault="007A6FD4" w:rsidP="007A6FD4">
      <w:pPr>
        <w:pStyle w:val="ListParagraph"/>
        <w:numPr>
          <w:ilvl w:val="0"/>
          <w:numId w:val="45"/>
        </w:numPr>
        <w:spacing w:after="243" w:line="360" w:lineRule="auto"/>
        <w:ind w:right="144"/>
        <w:textAlignment w:val="baseline"/>
        <w:rPr>
          <w:rFonts w:ascii="Times New Roman" w:hAnsi="Times New Roman"/>
          <w:sz w:val="26"/>
          <w:szCs w:val="26"/>
        </w:rPr>
      </w:pPr>
      <w:r>
        <w:rPr>
          <w:rFonts w:ascii="Times New Roman" w:hAnsi="Times New Roman"/>
          <w:sz w:val="26"/>
          <w:szCs w:val="26"/>
        </w:rPr>
        <w:t>Natu</w:t>
      </w:r>
      <w:r w:rsidR="00B26C38">
        <w:rPr>
          <w:rFonts w:ascii="Times New Roman" w:hAnsi="Times New Roman"/>
          <w:sz w:val="26"/>
          <w:szCs w:val="26"/>
        </w:rPr>
        <w:t>ral Gas Supplier Information:  I</w:t>
      </w:r>
      <w:r>
        <w:rPr>
          <w:rFonts w:ascii="Times New Roman" w:hAnsi="Times New Roman"/>
          <w:sz w:val="26"/>
          <w:szCs w:val="26"/>
        </w:rPr>
        <w:t>nform the customer that “</w:t>
      </w:r>
      <w:r w:rsidRPr="008235D2">
        <w:rPr>
          <w:rFonts w:ascii="Times New Roman" w:hAnsi="Times New Roman"/>
          <w:sz w:val="26"/>
          <w:szCs w:val="26"/>
        </w:rPr>
        <w:t xml:space="preserve">the </w:t>
      </w:r>
      <w:r>
        <w:rPr>
          <w:rFonts w:ascii="Times New Roman" w:hAnsi="Times New Roman"/>
          <w:sz w:val="26"/>
          <w:szCs w:val="26"/>
        </w:rPr>
        <w:t>NGS</w:t>
      </w:r>
      <w:r w:rsidRPr="008235D2">
        <w:rPr>
          <w:rFonts w:ascii="Times New Roman" w:hAnsi="Times New Roman"/>
          <w:sz w:val="26"/>
          <w:szCs w:val="26"/>
        </w:rPr>
        <w:t xml:space="preserve"> charges will replace the </w:t>
      </w:r>
      <w:r>
        <w:rPr>
          <w:rFonts w:ascii="Times New Roman" w:hAnsi="Times New Roman"/>
          <w:sz w:val="26"/>
          <w:szCs w:val="26"/>
        </w:rPr>
        <w:t>PTC</w:t>
      </w:r>
      <w:r w:rsidRPr="008235D2">
        <w:rPr>
          <w:rFonts w:ascii="Times New Roman" w:hAnsi="Times New Roman"/>
          <w:sz w:val="26"/>
          <w:szCs w:val="26"/>
        </w:rPr>
        <w:t xml:space="preserve"> identified on the customer's bill or the </w:t>
      </w:r>
      <w:r>
        <w:rPr>
          <w:rFonts w:ascii="Times New Roman" w:hAnsi="Times New Roman"/>
          <w:sz w:val="26"/>
          <w:szCs w:val="26"/>
        </w:rPr>
        <w:t>NGS</w:t>
      </w:r>
      <w:r w:rsidRPr="008235D2">
        <w:rPr>
          <w:rFonts w:ascii="Times New Roman" w:hAnsi="Times New Roman"/>
          <w:sz w:val="26"/>
          <w:szCs w:val="26"/>
        </w:rPr>
        <w:t xml:space="preserve"> charges of the customer's prior supplier.</w:t>
      </w:r>
      <w:r w:rsidR="00AF2FBF">
        <w:rPr>
          <w:rFonts w:ascii="Times New Roman" w:hAnsi="Times New Roman"/>
          <w:sz w:val="26"/>
          <w:szCs w:val="26"/>
        </w:rPr>
        <w:t>”</w:t>
      </w:r>
    </w:p>
    <w:p w:rsidR="007A6FD4" w:rsidRDefault="007A6FD4" w:rsidP="007A6FD4">
      <w:pPr>
        <w:pStyle w:val="ListParagraph"/>
        <w:numPr>
          <w:ilvl w:val="0"/>
          <w:numId w:val="45"/>
        </w:numPr>
        <w:spacing w:after="243" w:line="360" w:lineRule="auto"/>
        <w:ind w:right="144"/>
        <w:textAlignment w:val="baseline"/>
        <w:rPr>
          <w:rFonts w:ascii="Times New Roman" w:hAnsi="Times New Roman"/>
          <w:sz w:val="26"/>
          <w:szCs w:val="26"/>
        </w:rPr>
      </w:pPr>
      <w:r>
        <w:rPr>
          <w:rFonts w:ascii="Times New Roman" w:hAnsi="Times New Roman"/>
          <w:sz w:val="26"/>
          <w:szCs w:val="26"/>
        </w:rPr>
        <w:t xml:space="preserve">Natural Gas Price Structure:  Add “a statement of the highest and lowest price charged by the NGS to </w:t>
      </w:r>
      <w:r w:rsidRPr="008235D2">
        <w:rPr>
          <w:rFonts w:ascii="Times New Roman" w:hAnsi="Times New Roman"/>
          <w:sz w:val="26"/>
          <w:szCs w:val="26"/>
        </w:rPr>
        <w:t xml:space="preserve">this customer class served by this </w:t>
      </w:r>
      <w:r>
        <w:rPr>
          <w:rFonts w:ascii="Times New Roman" w:hAnsi="Times New Roman"/>
          <w:sz w:val="26"/>
          <w:szCs w:val="26"/>
        </w:rPr>
        <w:t>NGDC</w:t>
      </w:r>
      <w:r w:rsidRPr="008235D2">
        <w:rPr>
          <w:rFonts w:ascii="Times New Roman" w:hAnsi="Times New Roman"/>
          <w:sz w:val="26"/>
          <w:szCs w:val="26"/>
        </w:rPr>
        <w:t xml:space="preserve"> over the past 60 months.</w:t>
      </w:r>
      <w:r>
        <w:rPr>
          <w:rFonts w:ascii="Times New Roman" w:hAnsi="Times New Roman"/>
          <w:sz w:val="26"/>
          <w:szCs w:val="26"/>
        </w:rPr>
        <w:t>”</w:t>
      </w:r>
    </w:p>
    <w:p w:rsidR="007A6FD4" w:rsidRDefault="007A6FD4" w:rsidP="007A6FD4">
      <w:pPr>
        <w:pStyle w:val="ListParagraph"/>
        <w:numPr>
          <w:ilvl w:val="0"/>
          <w:numId w:val="45"/>
        </w:numPr>
        <w:spacing w:after="243" w:line="360" w:lineRule="auto"/>
        <w:ind w:right="144"/>
        <w:textAlignment w:val="baseline"/>
        <w:rPr>
          <w:rFonts w:ascii="Times New Roman" w:hAnsi="Times New Roman"/>
          <w:sz w:val="26"/>
          <w:szCs w:val="26"/>
        </w:rPr>
      </w:pPr>
      <w:r>
        <w:rPr>
          <w:rFonts w:ascii="Times New Roman" w:hAnsi="Times New Roman"/>
          <w:sz w:val="26"/>
          <w:szCs w:val="26"/>
        </w:rPr>
        <w:lastRenderedPageBreak/>
        <w:t xml:space="preserve">Natural Gas Supply Price:  Add language indicating that “any introductory rate must be so </w:t>
      </w:r>
      <w:r w:rsidRPr="00BD4F4E">
        <w:rPr>
          <w:rFonts w:ascii="Times New Roman" w:hAnsi="Times New Roman"/>
          <w:sz w:val="26"/>
          <w:szCs w:val="26"/>
        </w:rPr>
        <w:t xml:space="preserve">identified and state the rate that will be in effect following any introductory or promotional rate. </w:t>
      </w:r>
      <w:r>
        <w:rPr>
          <w:rFonts w:ascii="Times New Roman" w:hAnsi="Times New Roman"/>
          <w:sz w:val="26"/>
          <w:szCs w:val="26"/>
        </w:rPr>
        <w:t xml:space="preserve"> </w:t>
      </w:r>
      <w:r w:rsidRPr="00BD4F4E">
        <w:rPr>
          <w:rFonts w:ascii="Times New Roman" w:hAnsi="Times New Roman"/>
          <w:sz w:val="26"/>
          <w:szCs w:val="26"/>
        </w:rPr>
        <w:t>If the price has not been set for the first month after the introductory period, a statement on how the rate will be established, whether or not it is a variable rate, when the rate will be provided to the consumer and state that the rate may be higher than the introductory rate.</w:t>
      </w:r>
      <w:r>
        <w:rPr>
          <w:rFonts w:ascii="Times New Roman" w:hAnsi="Times New Roman"/>
          <w:sz w:val="26"/>
          <w:szCs w:val="26"/>
        </w:rPr>
        <w:t>”</w:t>
      </w:r>
      <w:r w:rsidRPr="00BD4F4E">
        <w:rPr>
          <w:rFonts w:ascii="Times New Roman" w:hAnsi="Times New Roman"/>
          <w:sz w:val="26"/>
          <w:szCs w:val="26"/>
        </w:rPr>
        <w:t xml:space="preserve"> </w:t>
      </w:r>
    </w:p>
    <w:p w:rsidR="007A6FD4" w:rsidRDefault="007A6FD4" w:rsidP="007A6FD4">
      <w:pPr>
        <w:pStyle w:val="ListParagraph"/>
        <w:numPr>
          <w:ilvl w:val="0"/>
          <w:numId w:val="45"/>
        </w:numPr>
        <w:spacing w:after="243" w:line="360" w:lineRule="auto"/>
        <w:ind w:right="144"/>
        <w:textAlignment w:val="baseline"/>
        <w:rPr>
          <w:rFonts w:ascii="Times New Roman" w:hAnsi="Times New Roman"/>
          <w:sz w:val="26"/>
          <w:szCs w:val="26"/>
        </w:rPr>
      </w:pPr>
      <w:r>
        <w:rPr>
          <w:rFonts w:ascii="Times New Roman" w:hAnsi="Times New Roman"/>
          <w:sz w:val="26"/>
          <w:szCs w:val="26"/>
        </w:rPr>
        <w:t xml:space="preserve">Statement </w:t>
      </w:r>
      <w:r w:rsidR="00B26C38">
        <w:rPr>
          <w:rFonts w:ascii="Times New Roman" w:hAnsi="Times New Roman"/>
          <w:sz w:val="26"/>
          <w:szCs w:val="26"/>
        </w:rPr>
        <w:t>Regarding Savings:  A</w:t>
      </w:r>
      <w:r>
        <w:rPr>
          <w:rFonts w:ascii="Times New Roman" w:hAnsi="Times New Roman"/>
          <w:sz w:val="26"/>
          <w:szCs w:val="26"/>
        </w:rPr>
        <w:t>dd “compared to the PTC” to the end.</w:t>
      </w:r>
    </w:p>
    <w:p w:rsidR="007A6FD4" w:rsidRDefault="007A6FD4" w:rsidP="007A6FD4">
      <w:pPr>
        <w:pStyle w:val="ListParagraph"/>
        <w:numPr>
          <w:ilvl w:val="0"/>
          <w:numId w:val="45"/>
        </w:numPr>
        <w:spacing w:after="243" w:line="360" w:lineRule="auto"/>
        <w:ind w:right="144"/>
        <w:textAlignment w:val="baseline"/>
        <w:rPr>
          <w:rFonts w:ascii="Times New Roman" w:hAnsi="Times New Roman"/>
          <w:sz w:val="26"/>
          <w:szCs w:val="26"/>
        </w:rPr>
      </w:pPr>
      <w:r>
        <w:rPr>
          <w:rFonts w:ascii="Times New Roman" w:hAnsi="Times New Roman"/>
          <w:sz w:val="26"/>
          <w:szCs w:val="26"/>
        </w:rPr>
        <w:t xml:space="preserve">Incentives:  </w:t>
      </w:r>
      <w:r w:rsidR="00B26C38">
        <w:rPr>
          <w:rFonts w:ascii="Times New Roman" w:hAnsi="Times New Roman"/>
          <w:sz w:val="26"/>
          <w:szCs w:val="26"/>
        </w:rPr>
        <w:t>A</w:t>
      </w:r>
      <w:r>
        <w:rPr>
          <w:rFonts w:ascii="Times New Roman" w:hAnsi="Times New Roman"/>
          <w:sz w:val="26"/>
          <w:szCs w:val="26"/>
        </w:rPr>
        <w:t>dd “</w:t>
      </w:r>
      <w:r w:rsidRPr="00D563D0">
        <w:rPr>
          <w:rFonts w:ascii="Times New Roman" w:hAnsi="Times New Roman"/>
          <w:sz w:val="26"/>
          <w:szCs w:val="26"/>
        </w:rPr>
        <w:t>and</w:t>
      </w:r>
      <w:r>
        <w:rPr>
          <w:rFonts w:ascii="Times New Roman" w:hAnsi="Times New Roman"/>
          <w:sz w:val="26"/>
          <w:szCs w:val="26"/>
        </w:rPr>
        <w:t xml:space="preserve"> </w:t>
      </w:r>
      <w:r w:rsidR="00AF2FBF">
        <w:rPr>
          <w:rFonts w:ascii="Times New Roman" w:hAnsi="Times New Roman"/>
          <w:sz w:val="26"/>
          <w:szCs w:val="26"/>
        </w:rPr>
        <w:t xml:space="preserve">any </w:t>
      </w:r>
      <w:r w:rsidRPr="00D563D0">
        <w:rPr>
          <w:rFonts w:ascii="Times New Roman" w:hAnsi="Times New Roman"/>
          <w:sz w:val="26"/>
          <w:szCs w:val="26"/>
        </w:rPr>
        <w:t>criteria</w:t>
      </w:r>
      <w:r>
        <w:rPr>
          <w:rFonts w:ascii="Times New Roman" w:hAnsi="Times New Roman"/>
          <w:sz w:val="26"/>
          <w:szCs w:val="26"/>
        </w:rPr>
        <w:t xml:space="preserve"> </w:t>
      </w:r>
      <w:r w:rsidRPr="00D563D0">
        <w:rPr>
          <w:rFonts w:ascii="Times New Roman" w:hAnsi="Times New Roman"/>
          <w:sz w:val="26"/>
          <w:szCs w:val="26"/>
        </w:rPr>
        <w:t>for obtaining any incentive or bonus.</w:t>
      </w:r>
      <w:r>
        <w:rPr>
          <w:rFonts w:ascii="Times New Roman" w:hAnsi="Times New Roman"/>
          <w:sz w:val="26"/>
          <w:szCs w:val="26"/>
        </w:rPr>
        <w:t>”</w:t>
      </w:r>
    </w:p>
    <w:p w:rsidR="007A6FD4" w:rsidRDefault="007A6FD4" w:rsidP="007A6FD4">
      <w:pPr>
        <w:spacing w:line="360" w:lineRule="auto"/>
        <w:rPr>
          <w:rFonts w:ascii="Times New Roman" w:eastAsia="Times New Roman" w:hAnsi="Times New Roman"/>
          <w:color w:val="000000" w:themeColor="text1"/>
          <w:sz w:val="26"/>
          <w:szCs w:val="26"/>
        </w:rPr>
      </w:pPr>
      <w:r w:rsidRPr="00D563D0">
        <w:rPr>
          <w:rFonts w:ascii="Times New Roman" w:eastAsia="Times New Roman" w:hAnsi="Times New Roman"/>
          <w:color w:val="000000" w:themeColor="text1"/>
          <w:sz w:val="26"/>
          <w:szCs w:val="26"/>
        </w:rPr>
        <w:t xml:space="preserve">OCA </w:t>
      </w:r>
      <w:r w:rsidR="00AF2FBF">
        <w:rPr>
          <w:rFonts w:ascii="Times New Roman" w:eastAsia="Times New Roman" w:hAnsi="Times New Roman"/>
          <w:color w:val="000000" w:themeColor="text1"/>
          <w:sz w:val="26"/>
          <w:szCs w:val="26"/>
        </w:rPr>
        <w:t xml:space="preserve">Comments </w:t>
      </w:r>
      <w:r w:rsidRPr="00D563D0">
        <w:rPr>
          <w:rFonts w:ascii="Times New Roman" w:eastAsia="Times New Roman" w:hAnsi="Times New Roman"/>
          <w:color w:val="000000" w:themeColor="text1"/>
          <w:sz w:val="26"/>
          <w:szCs w:val="26"/>
        </w:rPr>
        <w:t>at 12-14.</w:t>
      </w:r>
    </w:p>
    <w:p w:rsidR="00AF2FBF" w:rsidRDefault="00AF2FBF" w:rsidP="007A6FD4">
      <w:pPr>
        <w:spacing w:line="360" w:lineRule="auto"/>
        <w:rPr>
          <w:rFonts w:ascii="Times New Roman" w:eastAsia="Times New Roman" w:hAnsi="Times New Roman"/>
          <w:color w:val="000000" w:themeColor="text1"/>
          <w:sz w:val="26"/>
          <w:szCs w:val="26"/>
        </w:rPr>
      </w:pPr>
    </w:p>
    <w:p w:rsidR="00AF2FBF" w:rsidRDefault="00AF2FBF" w:rsidP="002C74D1">
      <w:pPr>
        <w:keepNext/>
        <w:keepLines/>
        <w:rPr>
          <w:rFonts w:ascii="Times New Roman" w:eastAsia="Times New Roman" w:hAnsi="Times New Roman"/>
          <w:color w:val="000000"/>
          <w:spacing w:val="4"/>
          <w:sz w:val="26"/>
          <w:szCs w:val="26"/>
          <w:u w:val="single"/>
        </w:rPr>
      </w:pPr>
      <w:r w:rsidRPr="00BE07F6">
        <w:rPr>
          <w:rFonts w:ascii="Times New Roman" w:eastAsia="Times New Roman" w:hAnsi="Times New Roman"/>
          <w:color w:val="000000"/>
          <w:spacing w:val="4"/>
          <w:sz w:val="26"/>
          <w:szCs w:val="26"/>
          <w:u w:val="single"/>
        </w:rPr>
        <w:t>Supplier Requests for Commission Review of Contract Terms</w:t>
      </w:r>
    </w:p>
    <w:p w:rsidR="00D40277" w:rsidRPr="00BE07F6" w:rsidRDefault="00D40277" w:rsidP="002C74D1">
      <w:pPr>
        <w:keepNext/>
        <w:keepLines/>
        <w:rPr>
          <w:rFonts w:ascii="Times New Roman" w:eastAsia="Times New Roman" w:hAnsi="Times New Roman"/>
          <w:color w:val="000000"/>
          <w:spacing w:val="4"/>
          <w:sz w:val="26"/>
          <w:szCs w:val="26"/>
          <w:u w:val="single"/>
        </w:rPr>
      </w:pPr>
    </w:p>
    <w:p w:rsidR="00AF2FBF" w:rsidRDefault="00AF2FBF" w:rsidP="00AF2FBF">
      <w:pPr>
        <w:pStyle w:val="NoSpacing"/>
        <w:spacing w:line="360" w:lineRule="auto"/>
        <w:ind w:firstLine="720"/>
        <w:rPr>
          <w:rFonts w:ascii="Times New Roman" w:hAnsi="Times New Roman"/>
          <w:sz w:val="26"/>
          <w:szCs w:val="26"/>
        </w:rPr>
      </w:pPr>
      <w:r w:rsidRPr="00E719F6">
        <w:rPr>
          <w:rFonts w:ascii="Times New Roman" w:hAnsi="Times New Roman"/>
          <w:sz w:val="26"/>
          <w:szCs w:val="26"/>
        </w:rPr>
        <w:t>WGL submits that voluntary, informal reviews of contract summaries are a helpful service.</w:t>
      </w:r>
      <w:r w:rsidR="005931B8" w:rsidRPr="00E719F6">
        <w:rPr>
          <w:rFonts w:ascii="Times New Roman" w:hAnsi="Times New Roman"/>
          <w:sz w:val="26"/>
          <w:szCs w:val="26"/>
        </w:rPr>
        <w:t xml:space="preserve">  WGL Comments at</w:t>
      </w:r>
      <w:r w:rsidRPr="00E719F6">
        <w:rPr>
          <w:rFonts w:ascii="Times New Roman" w:hAnsi="Times New Roman"/>
          <w:sz w:val="26"/>
          <w:szCs w:val="26"/>
        </w:rPr>
        <w:t xml:space="preserve"> </w:t>
      </w:r>
      <w:r w:rsidR="005931B8" w:rsidRPr="00E719F6">
        <w:rPr>
          <w:rFonts w:ascii="Times New Roman" w:hAnsi="Times New Roman"/>
          <w:sz w:val="26"/>
          <w:szCs w:val="26"/>
        </w:rPr>
        <w:t>7.</w:t>
      </w:r>
      <w:r w:rsidRPr="00E719F6">
        <w:rPr>
          <w:rFonts w:ascii="Times New Roman" w:hAnsi="Times New Roman"/>
          <w:sz w:val="26"/>
          <w:szCs w:val="26"/>
        </w:rPr>
        <w:t xml:space="preserve"> </w:t>
      </w:r>
      <w:r w:rsidR="005931B8" w:rsidRPr="00E719F6">
        <w:rPr>
          <w:rFonts w:ascii="Times New Roman" w:hAnsi="Times New Roman"/>
          <w:sz w:val="26"/>
          <w:szCs w:val="26"/>
        </w:rPr>
        <w:t xml:space="preserve"> </w:t>
      </w:r>
      <w:r w:rsidRPr="00E719F6">
        <w:rPr>
          <w:rFonts w:ascii="Times New Roman" w:hAnsi="Times New Roman"/>
          <w:spacing w:val="4"/>
          <w:sz w:val="26"/>
          <w:szCs w:val="26"/>
        </w:rPr>
        <w:t xml:space="preserve">WGL </w:t>
      </w:r>
      <w:r w:rsidR="005931B8" w:rsidRPr="00E719F6">
        <w:rPr>
          <w:rFonts w:ascii="Times New Roman" w:hAnsi="Times New Roman"/>
          <w:spacing w:val="4"/>
          <w:sz w:val="26"/>
          <w:szCs w:val="26"/>
        </w:rPr>
        <w:t>points out</w:t>
      </w:r>
      <w:r w:rsidRPr="00E719F6">
        <w:rPr>
          <w:rFonts w:ascii="Times New Roman" w:hAnsi="Times New Roman"/>
          <w:spacing w:val="4"/>
          <w:sz w:val="26"/>
          <w:szCs w:val="26"/>
        </w:rPr>
        <w:t xml:space="preserve"> that Commission staff is already obligated to provide informal reviews and non-binding</w:t>
      </w:r>
      <w:r w:rsidR="005931B8" w:rsidRPr="00E719F6">
        <w:rPr>
          <w:rFonts w:ascii="Times New Roman" w:hAnsi="Times New Roman"/>
          <w:spacing w:val="4"/>
          <w:sz w:val="26"/>
          <w:szCs w:val="26"/>
        </w:rPr>
        <w:t xml:space="preserve"> opinions on request as an aid</w:t>
      </w:r>
      <w:r w:rsidR="00B26C38">
        <w:rPr>
          <w:rFonts w:ascii="Times New Roman" w:hAnsi="Times New Roman"/>
          <w:spacing w:val="4"/>
          <w:sz w:val="26"/>
          <w:szCs w:val="26"/>
        </w:rPr>
        <w:t>.</w:t>
      </w:r>
      <w:r w:rsidR="005931B8" w:rsidRPr="00E719F6">
        <w:rPr>
          <w:rFonts w:ascii="Times New Roman" w:hAnsi="Times New Roman"/>
          <w:spacing w:val="4"/>
          <w:sz w:val="26"/>
          <w:szCs w:val="26"/>
        </w:rPr>
        <w:t xml:space="preserve"> </w:t>
      </w:r>
      <w:r w:rsidR="005931B8" w:rsidRPr="00E719F6">
        <w:rPr>
          <w:rFonts w:ascii="Times New Roman" w:hAnsi="Times New Roman"/>
          <w:i/>
          <w:spacing w:val="4"/>
          <w:sz w:val="26"/>
          <w:szCs w:val="26"/>
        </w:rPr>
        <w:t xml:space="preserve">See </w:t>
      </w:r>
      <w:r w:rsidRPr="00E719F6">
        <w:rPr>
          <w:rFonts w:ascii="Times New Roman" w:hAnsi="Times New Roman"/>
          <w:spacing w:val="4"/>
          <w:sz w:val="26"/>
          <w:szCs w:val="26"/>
        </w:rPr>
        <w:t>52 Pa</w:t>
      </w:r>
      <w:r w:rsidR="005931B8" w:rsidRPr="00E719F6">
        <w:rPr>
          <w:rFonts w:ascii="Times New Roman" w:hAnsi="Times New Roman"/>
          <w:spacing w:val="4"/>
          <w:sz w:val="26"/>
          <w:szCs w:val="26"/>
        </w:rPr>
        <w:t>.</w:t>
      </w:r>
      <w:r w:rsidRPr="00E719F6">
        <w:rPr>
          <w:rFonts w:ascii="Times New Roman" w:hAnsi="Times New Roman"/>
          <w:spacing w:val="4"/>
          <w:sz w:val="26"/>
          <w:szCs w:val="26"/>
        </w:rPr>
        <w:t xml:space="preserve"> Code §</w:t>
      </w:r>
      <w:r w:rsidR="00B26C38">
        <w:rPr>
          <w:rFonts w:ascii="Times New Roman" w:hAnsi="Times New Roman"/>
          <w:spacing w:val="4"/>
          <w:sz w:val="26"/>
          <w:szCs w:val="26"/>
        </w:rPr>
        <w:t xml:space="preserve"> </w:t>
      </w:r>
      <w:r w:rsidRPr="00E719F6">
        <w:rPr>
          <w:rFonts w:ascii="Times New Roman" w:hAnsi="Times New Roman"/>
          <w:spacing w:val="4"/>
          <w:sz w:val="26"/>
          <w:szCs w:val="26"/>
        </w:rPr>
        <w:t>1.96</w:t>
      </w:r>
      <w:r w:rsidR="00B26C38">
        <w:rPr>
          <w:rFonts w:ascii="Times New Roman" w:hAnsi="Times New Roman"/>
          <w:spacing w:val="4"/>
          <w:sz w:val="26"/>
          <w:szCs w:val="26"/>
        </w:rPr>
        <w:t xml:space="preserve"> (relating to </w:t>
      </w:r>
      <w:r w:rsidR="004A2D3A">
        <w:rPr>
          <w:rFonts w:ascii="Times New Roman" w:hAnsi="Times New Roman"/>
          <w:spacing w:val="4"/>
          <w:sz w:val="26"/>
          <w:szCs w:val="26"/>
        </w:rPr>
        <w:t>unofficial statements and opinions by Commission personnel)</w:t>
      </w:r>
      <w:r w:rsidRPr="00E719F6">
        <w:rPr>
          <w:rFonts w:ascii="Times New Roman" w:hAnsi="Times New Roman"/>
          <w:spacing w:val="4"/>
          <w:sz w:val="26"/>
          <w:szCs w:val="26"/>
        </w:rPr>
        <w:t xml:space="preserve">.  </w:t>
      </w:r>
      <w:r w:rsidRPr="00E719F6">
        <w:rPr>
          <w:rFonts w:ascii="Times New Roman" w:hAnsi="Times New Roman"/>
          <w:sz w:val="26"/>
          <w:szCs w:val="26"/>
        </w:rPr>
        <w:t xml:space="preserve">WGL </w:t>
      </w:r>
      <w:r w:rsidR="005931B8" w:rsidRPr="00E719F6">
        <w:rPr>
          <w:rFonts w:ascii="Times New Roman" w:hAnsi="Times New Roman"/>
          <w:sz w:val="26"/>
          <w:szCs w:val="26"/>
        </w:rPr>
        <w:t>believes</w:t>
      </w:r>
      <w:r w:rsidRPr="00E719F6">
        <w:rPr>
          <w:rFonts w:ascii="Times New Roman" w:hAnsi="Times New Roman"/>
          <w:sz w:val="26"/>
          <w:szCs w:val="26"/>
        </w:rPr>
        <w:t xml:space="preserve"> that all suppliers have an independent duty to be knowledgeable of Commission regulations for compliance purposes per 66 Pa. C.S. §</w:t>
      </w:r>
      <w:r w:rsidR="005C469A">
        <w:rPr>
          <w:rFonts w:ascii="Times New Roman" w:hAnsi="Times New Roman"/>
          <w:sz w:val="26"/>
          <w:szCs w:val="26"/>
        </w:rPr>
        <w:t> </w:t>
      </w:r>
      <w:r w:rsidRPr="00E719F6">
        <w:rPr>
          <w:rFonts w:ascii="Times New Roman" w:hAnsi="Times New Roman"/>
          <w:sz w:val="26"/>
          <w:szCs w:val="26"/>
        </w:rPr>
        <w:t xml:space="preserve">2208.  </w:t>
      </w:r>
      <w:r w:rsidR="005931B8" w:rsidRPr="00E719F6">
        <w:rPr>
          <w:rFonts w:ascii="Times New Roman" w:hAnsi="Times New Roman"/>
          <w:i/>
          <w:sz w:val="26"/>
          <w:szCs w:val="26"/>
        </w:rPr>
        <w:t>Id.</w:t>
      </w:r>
      <w:r w:rsidRPr="00E719F6">
        <w:rPr>
          <w:rFonts w:ascii="Times New Roman" w:hAnsi="Times New Roman"/>
          <w:sz w:val="26"/>
          <w:szCs w:val="26"/>
        </w:rPr>
        <w:t xml:space="preserve"> at 14-15.</w:t>
      </w:r>
      <w:r>
        <w:rPr>
          <w:rFonts w:ascii="Times New Roman" w:hAnsi="Times New Roman"/>
          <w:sz w:val="26"/>
          <w:szCs w:val="26"/>
        </w:rPr>
        <w:t xml:space="preserve">  </w:t>
      </w:r>
    </w:p>
    <w:p w:rsidR="00EB730A" w:rsidRPr="004C75FF" w:rsidRDefault="00EB730A" w:rsidP="00AF2FBF">
      <w:pPr>
        <w:pStyle w:val="NoSpacing"/>
        <w:spacing w:line="360" w:lineRule="auto"/>
        <w:ind w:firstLine="720"/>
        <w:rPr>
          <w:rFonts w:ascii="Times New Roman" w:hAnsi="Times New Roman"/>
          <w:sz w:val="26"/>
          <w:szCs w:val="26"/>
        </w:rPr>
      </w:pPr>
    </w:p>
    <w:p w:rsidR="00AF2FBF" w:rsidRDefault="005931B8" w:rsidP="00AF2FBF">
      <w:pPr>
        <w:pStyle w:val="NoSpacing"/>
        <w:spacing w:line="360" w:lineRule="auto"/>
        <w:ind w:firstLine="720"/>
        <w:rPr>
          <w:rFonts w:ascii="Times New Roman" w:eastAsia="Cambria" w:hAnsi="Times New Roman"/>
          <w:color w:val="000000"/>
          <w:sz w:val="26"/>
          <w:szCs w:val="26"/>
        </w:rPr>
      </w:pPr>
      <w:r>
        <w:rPr>
          <w:rFonts w:ascii="Times New Roman" w:hAnsi="Times New Roman"/>
          <w:sz w:val="26"/>
          <w:szCs w:val="26"/>
        </w:rPr>
        <w:t xml:space="preserve">The PA Marketers </w:t>
      </w:r>
      <w:r w:rsidR="00AF2FBF" w:rsidRPr="004C75FF">
        <w:rPr>
          <w:rFonts w:ascii="Times New Roman" w:hAnsi="Times New Roman"/>
          <w:sz w:val="26"/>
          <w:szCs w:val="26"/>
        </w:rPr>
        <w:t>support the Commission’s proposal to informally review sample contract summaries for all NGSs before they are implemented, just as the Commission did with the electric</w:t>
      </w:r>
      <w:r>
        <w:rPr>
          <w:rFonts w:ascii="Times New Roman" w:hAnsi="Times New Roman"/>
          <w:sz w:val="26"/>
          <w:szCs w:val="26"/>
        </w:rPr>
        <w:t xml:space="preserve"> disclosure regulations</w:t>
      </w:r>
      <w:r w:rsidR="00AF2FBF" w:rsidRPr="004C75FF">
        <w:rPr>
          <w:rFonts w:ascii="Times New Roman" w:hAnsi="Times New Roman"/>
          <w:sz w:val="26"/>
          <w:szCs w:val="26"/>
        </w:rPr>
        <w:t xml:space="preserve">.  </w:t>
      </w:r>
      <w:r>
        <w:rPr>
          <w:rFonts w:ascii="Times New Roman" w:hAnsi="Times New Roman"/>
          <w:sz w:val="26"/>
          <w:szCs w:val="26"/>
        </w:rPr>
        <w:t xml:space="preserve">The PA Marketers explain that this </w:t>
      </w:r>
      <w:r>
        <w:rPr>
          <w:rFonts w:ascii="Times New Roman" w:eastAsia="Cambria" w:hAnsi="Times New Roman"/>
          <w:color w:val="000000"/>
          <w:sz w:val="26"/>
          <w:szCs w:val="26"/>
        </w:rPr>
        <w:t>will</w:t>
      </w:r>
      <w:r w:rsidR="00AF2FBF" w:rsidRPr="004C75FF">
        <w:rPr>
          <w:rFonts w:ascii="Times New Roman" w:eastAsia="Cambria" w:hAnsi="Times New Roman"/>
          <w:color w:val="000000"/>
          <w:sz w:val="26"/>
          <w:szCs w:val="26"/>
        </w:rPr>
        <w:t xml:space="preserve"> allow the Commission to make any </w:t>
      </w:r>
      <w:r>
        <w:rPr>
          <w:rFonts w:ascii="Times New Roman" w:eastAsia="Cambria" w:hAnsi="Times New Roman"/>
          <w:color w:val="000000"/>
          <w:sz w:val="26"/>
          <w:szCs w:val="26"/>
        </w:rPr>
        <w:t xml:space="preserve">necessary </w:t>
      </w:r>
      <w:r w:rsidR="00AF2FBF" w:rsidRPr="004C75FF">
        <w:rPr>
          <w:rFonts w:ascii="Times New Roman" w:eastAsia="Cambria" w:hAnsi="Times New Roman"/>
          <w:color w:val="000000"/>
          <w:sz w:val="26"/>
          <w:szCs w:val="26"/>
        </w:rPr>
        <w:t>clarifications</w:t>
      </w:r>
      <w:r>
        <w:rPr>
          <w:rFonts w:ascii="Times New Roman" w:eastAsia="Cambria" w:hAnsi="Times New Roman"/>
          <w:color w:val="000000"/>
          <w:sz w:val="26"/>
          <w:szCs w:val="26"/>
        </w:rPr>
        <w:t xml:space="preserve"> or corrections to</w:t>
      </w:r>
      <w:r w:rsidR="00AF2FBF" w:rsidRPr="004C75FF">
        <w:rPr>
          <w:rFonts w:ascii="Times New Roman" w:eastAsia="Cambria" w:hAnsi="Times New Roman"/>
          <w:color w:val="000000"/>
          <w:sz w:val="26"/>
          <w:szCs w:val="26"/>
        </w:rPr>
        <w:t xml:space="preserve"> ensure </w:t>
      </w:r>
      <w:r>
        <w:rPr>
          <w:rFonts w:ascii="Times New Roman" w:eastAsia="Cambria" w:hAnsi="Times New Roman"/>
          <w:color w:val="000000"/>
          <w:sz w:val="26"/>
          <w:szCs w:val="26"/>
        </w:rPr>
        <w:t xml:space="preserve">that </w:t>
      </w:r>
      <w:r w:rsidR="00AF2FBF" w:rsidRPr="004C75FF">
        <w:rPr>
          <w:rFonts w:ascii="Times New Roman" w:eastAsia="Cambria" w:hAnsi="Times New Roman"/>
          <w:color w:val="000000"/>
          <w:sz w:val="26"/>
          <w:szCs w:val="26"/>
        </w:rPr>
        <w:t xml:space="preserve">the contract summary is implemented and disclosed </w:t>
      </w:r>
      <w:r>
        <w:rPr>
          <w:rFonts w:ascii="Times New Roman" w:eastAsia="Cambria" w:hAnsi="Times New Roman"/>
          <w:color w:val="000000"/>
          <w:sz w:val="26"/>
          <w:szCs w:val="26"/>
        </w:rPr>
        <w:t>with</w:t>
      </w:r>
      <w:r w:rsidR="00AF2FBF" w:rsidRPr="004C75FF">
        <w:rPr>
          <w:rFonts w:ascii="Times New Roman" w:eastAsia="Cambria" w:hAnsi="Times New Roman"/>
          <w:color w:val="000000"/>
          <w:sz w:val="26"/>
          <w:szCs w:val="26"/>
        </w:rPr>
        <w:t xml:space="preserve"> the </w:t>
      </w:r>
      <w:r>
        <w:rPr>
          <w:rFonts w:ascii="Times New Roman" w:eastAsia="Cambria" w:hAnsi="Times New Roman"/>
          <w:color w:val="000000"/>
          <w:sz w:val="26"/>
          <w:szCs w:val="26"/>
        </w:rPr>
        <w:t xml:space="preserve">interests of the </w:t>
      </w:r>
      <w:r w:rsidR="00AF2FBF" w:rsidRPr="004C75FF">
        <w:rPr>
          <w:rFonts w:ascii="Times New Roman" w:eastAsia="Cambria" w:hAnsi="Times New Roman"/>
          <w:color w:val="000000"/>
          <w:sz w:val="26"/>
          <w:szCs w:val="26"/>
        </w:rPr>
        <w:t>customer</w:t>
      </w:r>
      <w:r>
        <w:rPr>
          <w:rFonts w:ascii="Times New Roman" w:eastAsia="Cambria" w:hAnsi="Times New Roman"/>
          <w:color w:val="000000"/>
          <w:sz w:val="26"/>
          <w:szCs w:val="26"/>
        </w:rPr>
        <w:t xml:space="preserve"> in mind</w:t>
      </w:r>
      <w:r w:rsidR="00AF2FBF" w:rsidRPr="004C75FF">
        <w:rPr>
          <w:rFonts w:ascii="Times New Roman" w:eastAsia="Cambria" w:hAnsi="Times New Roman"/>
          <w:color w:val="000000"/>
          <w:sz w:val="26"/>
          <w:szCs w:val="26"/>
        </w:rPr>
        <w:t xml:space="preserve">.  </w:t>
      </w:r>
      <w:r>
        <w:rPr>
          <w:rFonts w:ascii="Times New Roman" w:eastAsia="Cambria" w:hAnsi="Times New Roman"/>
          <w:color w:val="000000"/>
          <w:sz w:val="26"/>
          <w:szCs w:val="26"/>
        </w:rPr>
        <w:t>PA Marketers Comments at 5-6</w:t>
      </w:r>
      <w:r w:rsidR="00AF2FBF" w:rsidRPr="004C75FF">
        <w:rPr>
          <w:rFonts w:ascii="Times New Roman" w:eastAsia="Cambria" w:hAnsi="Times New Roman"/>
          <w:color w:val="000000"/>
          <w:sz w:val="26"/>
          <w:szCs w:val="26"/>
        </w:rPr>
        <w:t>.</w:t>
      </w:r>
    </w:p>
    <w:p w:rsidR="004A2D3A" w:rsidRPr="004C75FF" w:rsidRDefault="004A2D3A" w:rsidP="00AF2FBF">
      <w:pPr>
        <w:pStyle w:val="NoSpacing"/>
        <w:spacing w:line="360" w:lineRule="auto"/>
        <w:ind w:firstLine="720"/>
        <w:rPr>
          <w:rFonts w:ascii="Times New Roman" w:eastAsia="Cambria" w:hAnsi="Times New Roman"/>
          <w:color w:val="000000"/>
          <w:sz w:val="26"/>
          <w:szCs w:val="26"/>
        </w:rPr>
      </w:pPr>
    </w:p>
    <w:p w:rsidR="00AF2FBF" w:rsidRPr="004C75FF" w:rsidRDefault="00416D61" w:rsidP="00AF2FBF">
      <w:pPr>
        <w:pStyle w:val="NoSpacing"/>
        <w:spacing w:line="360" w:lineRule="auto"/>
        <w:ind w:firstLine="720"/>
        <w:rPr>
          <w:rFonts w:ascii="Times New Roman" w:hAnsi="Times New Roman"/>
          <w:sz w:val="26"/>
          <w:szCs w:val="26"/>
        </w:rPr>
      </w:pPr>
      <w:r>
        <w:rPr>
          <w:rFonts w:ascii="Times New Roman" w:hAnsi="Times New Roman"/>
          <w:sz w:val="26"/>
          <w:szCs w:val="26"/>
        </w:rPr>
        <w:lastRenderedPageBreak/>
        <w:t>RESA believes staff review of the contract summary is more beneficial if the staff review carries some weight and authority.  RESA Comments at 12.  If an</w:t>
      </w:r>
      <w:r w:rsidR="00AF2FBF" w:rsidRPr="004C75FF">
        <w:rPr>
          <w:rFonts w:ascii="Times New Roman" w:hAnsi="Times New Roman"/>
          <w:sz w:val="26"/>
          <w:szCs w:val="26"/>
        </w:rPr>
        <w:t xml:space="preserve"> NGS seek</w:t>
      </w:r>
      <w:r>
        <w:rPr>
          <w:rFonts w:ascii="Times New Roman" w:hAnsi="Times New Roman"/>
          <w:sz w:val="26"/>
          <w:szCs w:val="26"/>
        </w:rPr>
        <w:t>s</w:t>
      </w:r>
      <w:r w:rsidR="00AF2FBF" w:rsidRPr="004C75FF">
        <w:rPr>
          <w:rFonts w:ascii="Times New Roman" w:hAnsi="Times New Roman"/>
          <w:sz w:val="26"/>
          <w:szCs w:val="26"/>
        </w:rPr>
        <w:t xml:space="preserve"> informal </w:t>
      </w:r>
      <w:r>
        <w:rPr>
          <w:rFonts w:ascii="Times New Roman" w:hAnsi="Times New Roman"/>
          <w:sz w:val="26"/>
          <w:szCs w:val="26"/>
        </w:rPr>
        <w:t xml:space="preserve">staff </w:t>
      </w:r>
      <w:r w:rsidR="00AF2FBF" w:rsidRPr="004C75FF">
        <w:rPr>
          <w:rFonts w:ascii="Times New Roman" w:hAnsi="Times New Roman"/>
          <w:sz w:val="26"/>
          <w:szCs w:val="26"/>
        </w:rPr>
        <w:t xml:space="preserve">review, </w:t>
      </w:r>
      <w:r>
        <w:rPr>
          <w:rFonts w:ascii="Times New Roman" w:hAnsi="Times New Roman"/>
          <w:sz w:val="26"/>
          <w:szCs w:val="26"/>
        </w:rPr>
        <w:t xml:space="preserve">RESA believes </w:t>
      </w:r>
      <w:r w:rsidR="00AF2FBF" w:rsidRPr="004C75FF">
        <w:rPr>
          <w:rFonts w:ascii="Times New Roman" w:hAnsi="Times New Roman"/>
          <w:sz w:val="26"/>
          <w:szCs w:val="26"/>
        </w:rPr>
        <w:t xml:space="preserve">the NGS </w:t>
      </w:r>
      <w:r>
        <w:rPr>
          <w:rFonts w:ascii="Times New Roman" w:hAnsi="Times New Roman"/>
          <w:sz w:val="26"/>
          <w:szCs w:val="26"/>
        </w:rPr>
        <w:t>sh</w:t>
      </w:r>
      <w:r w:rsidR="00AF2FBF" w:rsidRPr="004C75FF">
        <w:rPr>
          <w:rFonts w:ascii="Times New Roman" w:hAnsi="Times New Roman"/>
          <w:sz w:val="26"/>
          <w:szCs w:val="26"/>
        </w:rPr>
        <w:t xml:space="preserve">ould receive a form letter acknowledging the consultation, a copy of which would be included in the NGS's Commission record folder. </w:t>
      </w:r>
      <w:r>
        <w:rPr>
          <w:rFonts w:ascii="Times New Roman" w:hAnsi="Times New Roman"/>
          <w:sz w:val="26"/>
          <w:szCs w:val="26"/>
        </w:rPr>
        <w:t xml:space="preserve"> </w:t>
      </w:r>
      <w:r>
        <w:rPr>
          <w:rFonts w:ascii="Times New Roman" w:hAnsi="Times New Roman"/>
          <w:i/>
          <w:sz w:val="26"/>
          <w:szCs w:val="26"/>
        </w:rPr>
        <w:t xml:space="preserve">Id. </w:t>
      </w:r>
      <w:r w:rsidR="00342E4D">
        <w:rPr>
          <w:rFonts w:ascii="Times New Roman" w:hAnsi="Times New Roman"/>
          <w:i/>
          <w:sz w:val="26"/>
          <w:szCs w:val="26"/>
        </w:rPr>
        <w:t xml:space="preserve"> </w:t>
      </w:r>
      <w:r w:rsidR="00342E4D">
        <w:rPr>
          <w:rFonts w:ascii="Times New Roman" w:hAnsi="Times New Roman"/>
          <w:sz w:val="26"/>
          <w:szCs w:val="26"/>
        </w:rPr>
        <w:t>As to</w:t>
      </w:r>
      <w:r w:rsidR="00AF2FBF" w:rsidRPr="004C75FF">
        <w:rPr>
          <w:rFonts w:ascii="Times New Roman" w:hAnsi="Times New Roman"/>
          <w:sz w:val="26"/>
          <w:szCs w:val="26"/>
        </w:rPr>
        <w:t xml:space="preserve"> any subsequent challenge of the adequacy of the contract summary, </w:t>
      </w:r>
      <w:r w:rsidR="00342E4D">
        <w:rPr>
          <w:rFonts w:ascii="Times New Roman" w:hAnsi="Times New Roman"/>
          <w:sz w:val="26"/>
          <w:szCs w:val="26"/>
        </w:rPr>
        <w:t>RESA suggests that “</w:t>
      </w:r>
      <w:r w:rsidR="00AF2FBF" w:rsidRPr="004C75FF">
        <w:rPr>
          <w:rFonts w:ascii="Times New Roman" w:hAnsi="Times New Roman"/>
          <w:sz w:val="26"/>
          <w:szCs w:val="26"/>
        </w:rPr>
        <w:t>the fact that the NGS made the effort to seek and obtain staff consultation before acting would be documented.</w:t>
      </w:r>
      <w:r w:rsidR="00342E4D">
        <w:rPr>
          <w:rFonts w:ascii="Times New Roman" w:hAnsi="Times New Roman"/>
          <w:sz w:val="26"/>
          <w:szCs w:val="26"/>
        </w:rPr>
        <w:t>”</w:t>
      </w:r>
      <w:r w:rsidR="00AF2FBF" w:rsidRPr="004C75FF">
        <w:rPr>
          <w:rFonts w:ascii="Times New Roman" w:hAnsi="Times New Roman"/>
          <w:sz w:val="26"/>
          <w:szCs w:val="26"/>
        </w:rPr>
        <w:t xml:space="preserve">  </w:t>
      </w:r>
      <w:r>
        <w:rPr>
          <w:rFonts w:ascii="Times New Roman" w:hAnsi="Times New Roman"/>
          <w:i/>
          <w:sz w:val="26"/>
          <w:szCs w:val="26"/>
        </w:rPr>
        <w:t xml:space="preserve">Id. </w:t>
      </w:r>
      <w:r>
        <w:rPr>
          <w:rFonts w:ascii="Times New Roman" w:hAnsi="Times New Roman"/>
          <w:sz w:val="26"/>
          <w:szCs w:val="26"/>
        </w:rPr>
        <w:t xml:space="preserve">at </w:t>
      </w:r>
      <w:r w:rsidR="00AF2FBF" w:rsidRPr="004C75FF">
        <w:rPr>
          <w:rFonts w:ascii="Times New Roman" w:hAnsi="Times New Roman"/>
          <w:sz w:val="26"/>
          <w:szCs w:val="26"/>
        </w:rPr>
        <w:t>12</w:t>
      </w:r>
      <w:r>
        <w:rPr>
          <w:rFonts w:ascii="Times New Roman" w:hAnsi="Times New Roman"/>
          <w:sz w:val="26"/>
          <w:szCs w:val="26"/>
        </w:rPr>
        <w:t>-</w:t>
      </w:r>
      <w:r w:rsidR="00AF2FBF" w:rsidRPr="004C75FF">
        <w:rPr>
          <w:rFonts w:ascii="Times New Roman" w:hAnsi="Times New Roman"/>
          <w:sz w:val="26"/>
          <w:szCs w:val="26"/>
        </w:rPr>
        <w:t>13.</w:t>
      </w:r>
      <w:r w:rsidR="00AF2FBF">
        <w:rPr>
          <w:rFonts w:ascii="Times New Roman" w:hAnsi="Times New Roman"/>
          <w:sz w:val="26"/>
          <w:szCs w:val="26"/>
        </w:rPr>
        <w:t xml:space="preserve">  RESA also </w:t>
      </w:r>
      <w:r w:rsidR="00342E4D">
        <w:rPr>
          <w:rFonts w:ascii="Times New Roman" w:hAnsi="Times New Roman"/>
          <w:sz w:val="26"/>
          <w:szCs w:val="26"/>
        </w:rPr>
        <w:t>recommends</w:t>
      </w:r>
      <w:r w:rsidR="00AF2FBF">
        <w:rPr>
          <w:rFonts w:ascii="Times New Roman" w:hAnsi="Times New Roman"/>
          <w:sz w:val="26"/>
          <w:szCs w:val="26"/>
        </w:rPr>
        <w:t xml:space="preserve"> that the </w:t>
      </w:r>
      <w:r w:rsidR="00AF2FBF" w:rsidRPr="004C75FF">
        <w:rPr>
          <w:rFonts w:ascii="Times New Roman" w:eastAsia="Times New Roman" w:hAnsi="Times New Roman"/>
          <w:color w:val="000000"/>
          <w:sz w:val="26"/>
          <w:szCs w:val="26"/>
        </w:rPr>
        <w:t xml:space="preserve">Commission require </w:t>
      </w:r>
      <w:r w:rsidR="004A2D3A">
        <w:rPr>
          <w:rFonts w:ascii="Times New Roman" w:eastAsia="Times New Roman" w:hAnsi="Times New Roman"/>
          <w:color w:val="000000"/>
          <w:sz w:val="26"/>
          <w:szCs w:val="26"/>
        </w:rPr>
        <w:t>its</w:t>
      </w:r>
      <w:r w:rsidR="00AF2FBF" w:rsidRPr="004C75FF">
        <w:rPr>
          <w:rFonts w:ascii="Times New Roman" w:eastAsia="Times New Roman" w:hAnsi="Times New Roman"/>
          <w:color w:val="000000"/>
          <w:sz w:val="26"/>
          <w:szCs w:val="26"/>
        </w:rPr>
        <w:t xml:space="preserve"> Bureau of Investigation &amp; Enforcement (I&amp;E) to review disclosure statements and issue private letters that no action of an enforcement nature will be taken based on the facts presented if I&amp;E deems the proposed terms and conditions to be compliant with current regulations.  </w:t>
      </w:r>
      <w:r w:rsidR="00342E4D">
        <w:rPr>
          <w:rFonts w:ascii="Times New Roman" w:eastAsia="Times New Roman" w:hAnsi="Times New Roman"/>
          <w:i/>
          <w:color w:val="000000"/>
          <w:sz w:val="26"/>
          <w:szCs w:val="26"/>
        </w:rPr>
        <w:t xml:space="preserve">Id. </w:t>
      </w:r>
      <w:r w:rsidR="00342E4D">
        <w:rPr>
          <w:rFonts w:ascii="Times New Roman" w:eastAsia="Times New Roman" w:hAnsi="Times New Roman"/>
          <w:color w:val="000000"/>
          <w:sz w:val="26"/>
          <w:szCs w:val="26"/>
        </w:rPr>
        <w:t>at 19</w:t>
      </w:r>
      <w:r w:rsidR="00AF2FBF" w:rsidRPr="004C75FF">
        <w:rPr>
          <w:rFonts w:ascii="Times New Roman" w:eastAsia="Times New Roman" w:hAnsi="Times New Roman"/>
          <w:color w:val="000000"/>
          <w:sz w:val="26"/>
          <w:szCs w:val="26"/>
        </w:rPr>
        <w:t>.</w:t>
      </w:r>
    </w:p>
    <w:p w:rsidR="007A6FD4" w:rsidRPr="004C75FF" w:rsidRDefault="007A6FD4" w:rsidP="00BE07F6">
      <w:pPr>
        <w:spacing w:line="360" w:lineRule="auto"/>
        <w:rPr>
          <w:rFonts w:ascii="Times New Roman" w:eastAsia="Times New Roman" w:hAnsi="Times New Roman"/>
          <w:color w:val="000000"/>
          <w:spacing w:val="1"/>
          <w:sz w:val="26"/>
          <w:szCs w:val="26"/>
        </w:rPr>
      </w:pPr>
    </w:p>
    <w:p w:rsidR="00BE07F6" w:rsidRPr="00BE07F6" w:rsidRDefault="00BE07F6" w:rsidP="002C74D1">
      <w:pPr>
        <w:rPr>
          <w:rFonts w:ascii="Times New Roman" w:eastAsia="Times New Roman" w:hAnsi="Times New Roman"/>
          <w:color w:val="000000"/>
          <w:spacing w:val="4"/>
          <w:sz w:val="26"/>
          <w:szCs w:val="26"/>
          <w:u w:val="single"/>
        </w:rPr>
      </w:pPr>
      <w:r w:rsidRPr="009C3578">
        <w:rPr>
          <w:rFonts w:ascii="Times New Roman" w:eastAsia="Times New Roman" w:hAnsi="Times New Roman"/>
          <w:color w:val="000000"/>
          <w:spacing w:val="4"/>
          <w:sz w:val="26"/>
          <w:szCs w:val="26"/>
          <w:u w:val="single"/>
        </w:rPr>
        <w:t>Notices Regarding Contract Expiration or Changes in Terms</w:t>
      </w:r>
      <w:r w:rsidR="004A2D3A">
        <w:rPr>
          <w:rFonts w:ascii="Times New Roman" w:eastAsia="Times New Roman" w:hAnsi="Times New Roman"/>
          <w:color w:val="000000"/>
          <w:spacing w:val="4"/>
          <w:sz w:val="26"/>
          <w:szCs w:val="26"/>
          <w:u w:val="single"/>
        </w:rPr>
        <w:t>: Section 62.81</w:t>
      </w:r>
    </w:p>
    <w:p w:rsidR="00D40277" w:rsidRDefault="00D40277" w:rsidP="009318CC">
      <w:pPr>
        <w:pStyle w:val="NoSpacing"/>
        <w:ind w:firstLine="720"/>
        <w:rPr>
          <w:rFonts w:ascii="Times New Roman" w:eastAsia="Times New Roman" w:hAnsi="Times New Roman"/>
          <w:color w:val="000000"/>
          <w:sz w:val="26"/>
          <w:szCs w:val="26"/>
        </w:rPr>
      </w:pPr>
    </w:p>
    <w:p w:rsidR="00BE07F6" w:rsidRDefault="00BE07F6" w:rsidP="00C0767A">
      <w:pPr>
        <w:pStyle w:val="NoSpacing"/>
        <w:spacing w:line="360" w:lineRule="auto"/>
        <w:ind w:firstLine="720"/>
        <w:rPr>
          <w:rFonts w:ascii="Times New Roman" w:eastAsia="Times New Roman" w:hAnsi="Times New Roman"/>
          <w:color w:val="000000"/>
          <w:sz w:val="26"/>
          <w:szCs w:val="26"/>
        </w:rPr>
      </w:pPr>
      <w:r w:rsidRPr="004C75FF">
        <w:rPr>
          <w:rFonts w:ascii="Times New Roman" w:eastAsia="Times New Roman" w:hAnsi="Times New Roman"/>
          <w:color w:val="000000"/>
          <w:sz w:val="26"/>
          <w:szCs w:val="26"/>
        </w:rPr>
        <w:t xml:space="preserve">RESA </w:t>
      </w:r>
      <w:r w:rsidR="00BB5CDF">
        <w:rPr>
          <w:rFonts w:ascii="Times New Roman" w:eastAsia="Times New Roman" w:hAnsi="Times New Roman"/>
          <w:color w:val="000000"/>
          <w:sz w:val="26"/>
          <w:szCs w:val="26"/>
        </w:rPr>
        <w:t xml:space="preserve">and the National Marketers </w:t>
      </w:r>
      <w:r w:rsidRPr="004C75FF">
        <w:rPr>
          <w:rFonts w:ascii="Times New Roman" w:eastAsia="Times New Roman" w:hAnsi="Times New Roman"/>
          <w:color w:val="000000"/>
          <w:sz w:val="26"/>
          <w:szCs w:val="26"/>
        </w:rPr>
        <w:t xml:space="preserve">support the </w:t>
      </w:r>
      <w:r>
        <w:rPr>
          <w:rFonts w:ascii="Times New Roman" w:eastAsia="Times New Roman" w:hAnsi="Times New Roman"/>
          <w:color w:val="000000"/>
          <w:sz w:val="26"/>
          <w:szCs w:val="26"/>
        </w:rPr>
        <w:t>proposed</w:t>
      </w:r>
      <w:r w:rsidRPr="004C75FF">
        <w:rPr>
          <w:rFonts w:ascii="Times New Roman" w:eastAsia="Times New Roman" w:hAnsi="Times New Roman"/>
          <w:color w:val="000000"/>
          <w:sz w:val="26"/>
          <w:szCs w:val="26"/>
        </w:rPr>
        <w:t xml:space="preserve"> time periods for the initial and options notices because they align with the rules applicable to the electric industry. </w:t>
      </w:r>
      <w:r w:rsidR="00EA4170">
        <w:rPr>
          <w:rFonts w:ascii="Times New Roman" w:eastAsia="Times New Roman" w:hAnsi="Times New Roman"/>
          <w:color w:val="000000"/>
          <w:sz w:val="26"/>
          <w:szCs w:val="26"/>
        </w:rPr>
        <w:t xml:space="preserve"> RESA Comments at 13</w:t>
      </w:r>
      <w:r w:rsidR="00BB5CDF">
        <w:rPr>
          <w:rFonts w:ascii="Times New Roman" w:eastAsia="Times New Roman" w:hAnsi="Times New Roman"/>
          <w:color w:val="000000"/>
          <w:sz w:val="26"/>
          <w:szCs w:val="26"/>
        </w:rPr>
        <w:t xml:space="preserve">; </w:t>
      </w:r>
      <w:r w:rsidR="00BB5CDF">
        <w:rPr>
          <w:rFonts w:ascii="Times New Roman" w:hAnsi="Times New Roman"/>
          <w:sz w:val="26"/>
          <w:szCs w:val="26"/>
        </w:rPr>
        <w:t>National Marketers Comments at 5.</w:t>
      </w:r>
      <w:r w:rsidR="00EA4170">
        <w:rPr>
          <w:rFonts w:ascii="Times New Roman" w:eastAsia="Times New Roman" w:hAnsi="Times New Roman"/>
          <w:color w:val="000000"/>
          <w:sz w:val="26"/>
          <w:szCs w:val="26"/>
        </w:rPr>
        <w:t xml:space="preserve">  </w:t>
      </w:r>
      <w:r w:rsidRPr="004C75FF">
        <w:rPr>
          <w:rFonts w:ascii="Times New Roman" w:eastAsia="Times New Roman" w:hAnsi="Times New Roman"/>
          <w:color w:val="000000"/>
          <w:sz w:val="26"/>
          <w:szCs w:val="26"/>
        </w:rPr>
        <w:t>By implementing the same rules, the Commission avoid</w:t>
      </w:r>
      <w:r w:rsidR="00EA4170">
        <w:rPr>
          <w:rFonts w:ascii="Times New Roman" w:eastAsia="Times New Roman" w:hAnsi="Times New Roman"/>
          <w:color w:val="000000"/>
          <w:sz w:val="26"/>
          <w:szCs w:val="26"/>
        </w:rPr>
        <w:t>s</w:t>
      </w:r>
      <w:r w:rsidRPr="004C75FF">
        <w:rPr>
          <w:rFonts w:ascii="Times New Roman" w:eastAsia="Times New Roman" w:hAnsi="Times New Roman"/>
          <w:color w:val="000000"/>
          <w:sz w:val="26"/>
          <w:szCs w:val="26"/>
        </w:rPr>
        <w:t xml:space="preserve"> </w:t>
      </w:r>
      <w:r w:rsidR="00EA4170">
        <w:rPr>
          <w:rFonts w:ascii="Times New Roman" w:eastAsia="Times New Roman" w:hAnsi="Times New Roman"/>
          <w:color w:val="000000"/>
          <w:sz w:val="26"/>
          <w:szCs w:val="26"/>
        </w:rPr>
        <w:t>potential confusion</w:t>
      </w:r>
      <w:r w:rsidR="004A2D3A">
        <w:rPr>
          <w:rFonts w:ascii="Times New Roman" w:eastAsia="Times New Roman" w:hAnsi="Times New Roman"/>
          <w:color w:val="000000"/>
          <w:sz w:val="26"/>
          <w:szCs w:val="26"/>
        </w:rPr>
        <w:t xml:space="preserve"> or </w:t>
      </w:r>
      <w:r w:rsidR="00EA4170">
        <w:rPr>
          <w:rFonts w:ascii="Times New Roman" w:eastAsia="Times New Roman" w:hAnsi="Times New Roman"/>
          <w:color w:val="000000"/>
          <w:sz w:val="26"/>
          <w:szCs w:val="26"/>
        </w:rPr>
        <w:t xml:space="preserve">frustration for </w:t>
      </w:r>
      <w:r w:rsidRPr="004C75FF">
        <w:rPr>
          <w:rFonts w:ascii="Times New Roman" w:eastAsia="Times New Roman" w:hAnsi="Times New Roman"/>
          <w:color w:val="000000"/>
          <w:sz w:val="26"/>
          <w:szCs w:val="26"/>
        </w:rPr>
        <w:t xml:space="preserve">customers receiving </w:t>
      </w:r>
      <w:r w:rsidR="00EA4170" w:rsidRPr="004C75FF">
        <w:rPr>
          <w:rFonts w:ascii="Times New Roman" w:hAnsi="Times New Roman"/>
          <w:sz w:val="26"/>
          <w:szCs w:val="26"/>
        </w:rPr>
        <w:t>multiple notices at different times</w:t>
      </w:r>
      <w:r w:rsidR="00EA4170" w:rsidRPr="004C75FF">
        <w:rPr>
          <w:rFonts w:ascii="Times New Roman" w:eastAsia="Times New Roman" w:hAnsi="Times New Roman"/>
          <w:color w:val="000000"/>
          <w:sz w:val="26"/>
          <w:szCs w:val="26"/>
        </w:rPr>
        <w:t xml:space="preserve"> </w:t>
      </w:r>
      <w:r w:rsidR="00EA4170">
        <w:rPr>
          <w:rFonts w:ascii="Times New Roman" w:eastAsia="Times New Roman" w:hAnsi="Times New Roman"/>
          <w:color w:val="000000"/>
          <w:sz w:val="26"/>
          <w:szCs w:val="26"/>
        </w:rPr>
        <w:t>from their combined</w:t>
      </w:r>
      <w:r w:rsidRPr="004C75FF">
        <w:rPr>
          <w:rFonts w:ascii="Times New Roman" w:hAnsi="Times New Roman"/>
          <w:sz w:val="26"/>
          <w:szCs w:val="26"/>
        </w:rPr>
        <w:t xml:space="preserve"> NGS/EGS.</w:t>
      </w:r>
      <w:r w:rsidR="00EA4170">
        <w:rPr>
          <w:rFonts w:ascii="Times New Roman" w:hAnsi="Times New Roman"/>
          <w:sz w:val="26"/>
          <w:szCs w:val="26"/>
        </w:rPr>
        <w:t xml:space="preserve">  </w:t>
      </w:r>
      <w:r w:rsidR="005C469A">
        <w:rPr>
          <w:rFonts w:ascii="Times New Roman" w:hAnsi="Times New Roman"/>
          <w:sz w:val="26"/>
          <w:szCs w:val="26"/>
        </w:rPr>
        <w:t>RESA Comments</w:t>
      </w:r>
      <w:r w:rsidR="00EA4170">
        <w:rPr>
          <w:rFonts w:ascii="Times New Roman" w:hAnsi="Times New Roman"/>
          <w:sz w:val="26"/>
          <w:szCs w:val="26"/>
        </w:rPr>
        <w:t xml:space="preserve"> at 13-14.</w:t>
      </w:r>
      <w:r w:rsidRPr="004C75FF">
        <w:rPr>
          <w:rFonts w:ascii="Times New Roman" w:hAnsi="Times New Roman"/>
          <w:sz w:val="26"/>
          <w:szCs w:val="26"/>
        </w:rPr>
        <w:t xml:space="preserve"> </w:t>
      </w:r>
      <w:r w:rsidR="00EA4170">
        <w:rPr>
          <w:rFonts w:ascii="Times New Roman" w:hAnsi="Times New Roman"/>
          <w:sz w:val="26"/>
          <w:szCs w:val="26"/>
        </w:rPr>
        <w:t xml:space="preserve"> RESA further contends that u</w:t>
      </w:r>
      <w:r w:rsidRPr="004C75FF">
        <w:rPr>
          <w:rFonts w:ascii="Times New Roman" w:hAnsi="Times New Roman"/>
          <w:sz w:val="26"/>
          <w:szCs w:val="26"/>
        </w:rPr>
        <w:t xml:space="preserve">niformity avoids subjecting NGSs serving in a combined role to an overly burdensome administrative process, which discourages the offering of combined products and otherwise interferes with the development of a competitive retail energy market. </w:t>
      </w:r>
      <w:r w:rsidR="00EA4170">
        <w:rPr>
          <w:rFonts w:ascii="Times New Roman" w:hAnsi="Times New Roman"/>
          <w:sz w:val="26"/>
          <w:szCs w:val="26"/>
        </w:rPr>
        <w:t xml:space="preserve"> </w:t>
      </w:r>
      <w:r w:rsidR="00EA4170">
        <w:rPr>
          <w:rFonts w:ascii="Times New Roman" w:hAnsi="Times New Roman"/>
          <w:i/>
          <w:sz w:val="26"/>
          <w:szCs w:val="26"/>
        </w:rPr>
        <w:t>Id.</w:t>
      </w:r>
      <w:r w:rsidR="00BB5CDF">
        <w:rPr>
          <w:rFonts w:ascii="Times New Roman" w:hAnsi="Times New Roman"/>
          <w:sz w:val="26"/>
          <w:szCs w:val="26"/>
        </w:rPr>
        <w:t xml:space="preserve">; </w:t>
      </w:r>
      <w:r w:rsidR="00BB5CDF">
        <w:rPr>
          <w:rFonts w:ascii="Times New Roman" w:hAnsi="Times New Roman"/>
          <w:i/>
          <w:sz w:val="26"/>
          <w:szCs w:val="26"/>
        </w:rPr>
        <w:t xml:space="preserve">see also </w:t>
      </w:r>
      <w:r w:rsidR="00BB5CDF">
        <w:rPr>
          <w:rFonts w:ascii="Times New Roman" w:hAnsi="Times New Roman"/>
          <w:sz w:val="26"/>
          <w:szCs w:val="26"/>
        </w:rPr>
        <w:t>National Marketers Comments at 5-6.</w:t>
      </w:r>
      <w:r w:rsidR="00EA4170">
        <w:rPr>
          <w:rFonts w:ascii="Times New Roman" w:hAnsi="Times New Roman"/>
          <w:sz w:val="26"/>
          <w:szCs w:val="26"/>
        </w:rPr>
        <w:t xml:space="preserve"> </w:t>
      </w:r>
      <w:r w:rsidR="00BB5CDF">
        <w:rPr>
          <w:rFonts w:ascii="Times New Roman" w:hAnsi="Times New Roman"/>
          <w:sz w:val="26"/>
          <w:szCs w:val="26"/>
        </w:rPr>
        <w:t xml:space="preserve"> </w:t>
      </w:r>
      <w:r w:rsidRPr="004C75FF">
        <w:rPr>
          <w:rFonts w:ascii="Times New Roman" w:eastAsia="Times New Roman" w:hAnsi="Times New Roman"/>
          <w:color w:val="000000"/>
          <w:sz w:val="26"/>
          <w:szCs w:val="26"/>
        </w:rPr>
        <w:t xml:space="preserve">RESA believes that </w:t>
      </w:r>
      <w:r w:rsidR="00EA4170">
        <w:rPr>
          <w:rFonts w:ascii="Times New Roman" w:eastAsia="Times New Roman" w:hAnsi="Times New Roman"/>
          <w:color w:val="000000"/>
          <w:sz w:val="26"/>
          <w:szCs w:val="26"/>
        </w:rPr>
        <w:t xml:space="preserve">mirroring the timeframes in the </w:t>
      </w:r>
      <w:r w:rsidRPr="004C75FF">
        <w:rPr>
          <w:rFonts w:ascii="Times New Roman" w:eastAsia="Times New Roman" w:hAnsi="Times New Roman"/>
          <w:color w:val="000000"/>
          <w:sz w:val="26"/>
          <w:szCs w:val="26"/>
        </w:rPr>
        <w:t>electric industry outweigh</w:t>
      </w:r>
      <w:r w:rsidR="00EA4170">
        <w:rPr>
          <w:rFonts w:ascii="Times New Roman" w:eastAsia="Times New Roman" w:hAnsi="Times New Roman"/>
          <w:color w:val="000000"/>
          <w:sz w:val="26"/>
          <w:szCs w:val="26"/>
        </w:rPr>
        <w:t>s</w:t>
      </w:r>
      <w:r w:rsidRPr="004C75FF">
        <w:rPr>
          <w:rFonts w:ascii="Times New Roman" w:eastAsia="Times New Roman" w:hAnsi="Times New Roman"/>
          <w:color w:val="000000"/>
          <w:sz w:val="26"/>
          <w:szCs w:val="26"/>
        </w:rPr>
        <w:t xml:space="preserve"> any concerns about the customer possibly not being able to </w:t>
      </w:r>
      <w:r w:rsidR="006A341D">
        <w:rPr>
          <w:rFonts w:ascii="Times New Roman" w:eastAsia="Times New Roman" w:hAnsi="Times New Roman"/>
          <w:color w:val="000000"/>
          <w:sz w:val="26"/>
          <w:szCs w:val="26"/>
        </w:rPr>
        <w:t xml:space="preserve">expeditiously </w:t>
      </w:r>
      <w:r w:rsidRPr="004C75FF">
        <w:rPr>
          <w:rFonts w:ascii="Times New Roman" w:eastAsia="Times New Roman" w:hAnsi="Times New Roman"/>
          <w:color w:val="000000"/>
          <w:sz w:val="26"/>
          <w:szCs w:val="26"/>
        </w:rPr>
        <w:t xml:space="preserve">switch </w:t>
      </w:r>
      <w:r w:rsidR="006A341D">
        <w:rPr>
          <w:rFonts w:ascii="Times New Roman" w:eastAsia="Times New Roman" w:hAnsi="Times New Roman"/>
          <w:color w:val="000000"/>
          <w:sz w:val="26"/>
          <w:szCs w:val="26"/>
        </w:rPr>
        <w:t xml:space="preserve">suppliers.  </w:t>
      </w:r>
      <w:r w:rsidR="006A341D">
        <w:rPr>
          <w:rFonts w:ascii="Times New Roman" w:eastAsia="Times New Roman" w:hAnsi="Times New Roman"/>
          <w:i/>
          <w:color w:val="000000"/>
          <w:sz w:val="26"/>
          <w:szCs w:val="26"/>
        </w:rPr>
        <w:t>Id.</w:t>
      </w:r>
      <w:r w:rsidR="006A341D">
        <w:rPr>
          <w:rFonts w:ascii="Times New Roman" w:eastAsia="Times New Roman" w:hAnsi="Times New Roman"/>
          <w:color w:val="000000"/>
          <w:sz w:val="26"/>
          <w:szCs w:val="26"/>
        </w:rPr>
        <w:t xml:space="preserve"> at 14.  RESA states that</w:t>
      </w:r>
      <w:r w:rsidR="00E6082A">
        <w:rPr>
          <w:rFonts w:ascii="Times New Roman" w:eastAsia="Times New Roman" w:hAnsi="Times New Roman"/>
          <w:color w:val="000000"/>
          <w:sz w:val="26"/>
          <w:szCs w:val="26"/>
        </w:rPr>
        <w:t>,</w:t>
      </w:r>
      <w:r w:rsidR="006A341D">
        <w:rPr>
          <w:rFonts w:ascii="Times New Roman" w:eastAsia="Times New Roman" w:hAnsi="Times New Roman"/>
          <w:color w:val="000000"/>
          <w:sz w:val="26"/>
          <w:szCs w:val="26"/>
        </w:rPr>
        <w:t xml:space="preserve"> at most</w:t>
      </w:r>
      <w:r w:rsidR="00E6082A">
        <w:rPr>
          <w:rFonts w:ascii="Times New Roman" w:eastAsia="Times New Roman" w:hAnsi="Times New Roman"/>
          <w:color w:val="000000"/>
          <w:sz w:val="26"/>
          <w:szCs w:val="26"/>
        </w:rPr>
        <w:t>,</w:t>
      </w:r>
      <w:r w:rsidR="006A341D">
        <w:rPr>
          <w:rFonts w:ascii="Times New Roman" w:eastAsia="Times New Roman" w:hAnsi="Times New Roman"/>
          <w:color w:val="000000"/>
          <w:sz w:val="26"/>
          <w:szCs w:val="26"/>
        </w:rPr>
        <w:t xml:space="preserve"> the customer would have to remain with the NGS for an additional month, but </w:t>
      </w:r>
      <w:r w:rsidRPr="004C75FF">
        <w:rPr>
          <w:rFonts w:ascii="Times New Roman" w:eastAsia="Times New Roman" w:hAnsi="Times New Roman"/>
          <w:color w:val="000000"/>
          <w:sz w:val="26"/>
          <w:szCs w:val="26"/>
        </w:rPr>
        <w:t xml:space="preserve">since changes currently occur within 11-40 days, a customer would have sufficient time to switch to another NGS upon receipt of the options notice 30 days prior to the change.  </w:t>
      </w:r>
      <w:r w:rsidR="006A341D">
        <w:rPr>
          <w:rFonts w:ascii="Times New Roman" w:eastAsia="Times New Roman" w:hAnsi="Times New Roman"/>
          <w:i/>
          <w:color w:val="000000"/>
          <w:sz w:val="26"/>
          <w:szCs w:val="26"/>
        </w:rPr>
        <w:t>Id</w:t>
      </w:r>
      <w:r w:rsidRPr="004C75FF">
        <w:rPr>
          <w:rFonts w:ascii="Times New Roman" w:eastAsia="Times New Roman" w:hAnsi="Times New Roman"/>
          <w:color w:val="000000"/>
          <w:sz w:val="26"/>
          <w:szCs w:val="26"/>
        </w:rPr>
        <w:t>.</w:t>
      </w:r>
      <w:r w:rsidR="006A341D">
        <w:rPr>
          <w:rFonts w:ascii="Times New Roman" w:eastAsia="Times New Roman" w:hAnsi="Times New Roman"/>
          <w:color w:val="000000"/>
          <w:sz w:val="26"/>
          <w:szCs w:val="26"/>
        </w:rPr>
        <w:t xml:space="preserve">  RESA recommends that the Commission consider other </w:t>
      </w:r>
      <w:r w:rsidR="006A341D">
        <w:rPr>
          <w:rFonts w:ascii="Times New Roman" w:eastAsia="Times New Roman" w:hAnsi="Times New Roman"/>
          <w:color w:val="000000"/>
          <w:sz w:val="26"/>
          <w:szCs w:val="26"/>
        </w:rPr>
        <w:lastRenderedPageBreak/>
        <w:t xml:space="preserve">alternatives, such as requiring NGSs to add content to the initial notice explaining that if the customer waits for the options notice, the customer may not be able to switch to another NGS until the following month.  </w:t>
      </w:r>
      <w:r w:rsidR="006A341D">
        <w:rPr>
          <w:rFonts w:ascii="Times New Roman" w:eastAsia="Times New Roman" w:hAnsi="Times New Roman"/>
          <w:i/>
          <w:color w:val="000000"/>
          <w:sz w:val="26"/>
          <w:szCs w:val="26"/>
        </w:rPr>
        <w:t>Id.</w:t>
      </w:r>
      <w:r w:rsidR="006A341D">
        <w:rPr>
          <w:rFonts w:ascii="Times New Roman" w:eastAsia="Times New Roman" w:hAnsi="Times New Roman"/>
          <w:color w:val="000000"/>
          <w:sz w:val="26"/>
          <w:szCs w:val="26"/>
        </w:rPr>
        <w:t xml:space="preserve"> at 15.</w:t>
      </w:r>
    </w:p>
    <w:p w:rsidR="00E273C3" w:rsidRPr="006A341D" w:rsidRDefault="00E273C3" w:rsidP="00C0767A">
      <w:pPr>
        <w:pStyle w:val="NoSpacing"/>
        <w:spacing w:line="360" w:lineRule="auto"/>
        <w:ind w:firstLine="720"/>
        <w:rPr>
          <w:rFonts w:ascii="Times New Roman" w:hAnsi="Times New Roman"/>
          <w:sz w:val="26"/>
          <w:szCs w:val="26"/>
        </w:rPr>
      </w:pPr>
    </w:p>
    <w:p w:rsidR="00C0767A" w:rsidRDefault="0016171A" w:rsidP="00C0767A">
      <w:pPr>
        <w:pStyle w:val="NoSpacing"/>
        <w:spacing w:line="360" w:lineRule="auto"/>
        <w:ind w:firstLine="720"/>
        <w:rPr>
          <w:rFonts w:ascii="Times New Roman" w:eastAsia="Times New Roman" w:hAnsi="Times New Roman"/>
          <w:color w:val="000000"/>
          <w:sz w:val="26"/>
          <w:szCs w:val="26"/>
        </w:rPr>
      </w:pPr>
      <w:r>
        <w:rPr>
          <w:rFonts w:ascii="Times New Roman" w:hAnsi="Times New Roman"/>
          <w:color w:val="000000" w:themeColor="text1"/>
          <w:sz w:val="26"/>
          <w:szCs w:val="26"/>
        </w:rPr>
        <w:t xml:space="preserve">The PA Marketers also </w:t>
      </w:r>
      <w:r w:rsidRPr="004D7594">
        <w:rPr>
          <w:rFonts w:ascii="Times New Roman" w:hAnsi="Times New Roman"/>
          <w:color w:val="000000" w:themeColor="text1"/>
          <w:sz w:val="26"/>
          <w:szCs w:val="26"/>
        </w:rPr>
        <w:t>recommend</w:t>
      </w:r>
      <w:r>
        <w:rPr>
          <w:rFonts w:ascii="Times New Roman" w:hAnsi="Times New Roman"/>
          <w:color w:val="000000" w:themeColor="text1"/>
          <w:sz w:val="26"/>
          <w:szCs w:val="26"/>
        </w:rPr>
        <w:t xml:space="preserve"> adopting</w:t>
      </w:r>
      <w:r w:rsidRPr="004D7594">
        <w:rPr>
          <w:rFonts w:ascii="Times New Roman" w:hAnsi="Times New Roman"/>
          <w:color w:val="000000" w:themeColor="text1"/>
          <w:sz w:val="26"/>
          <w:szCs w:val="26"/>
        </w:rPr>
        <w:t xml:space="preserve"> the 60-day and 30-day notice time frames from the electric rules, with </w:t>
      </w:r>
      <w:r>
        <w:rPr>
          <w:rFonts w:ascii="Times New Roman" w:hAnsi="Times New Roman"/>
          <w:color w:val="000000" w:themeColor="text1"/>
          <w:sz w:val="26"/>
          <w:szCs w:val="26"/>
        </w:rPr>
        <w:t xml:space="preserve">similar </w:t>
      </w:r>
      <w:r w:rsidRPr="004D7594">
        <w:rPr>
          <w:rFonts w:ascii="Times New Roman" w:hAnsi="Times New Roman"/>
          <w:color w:val="000000" w:themeColor="text1"/>
          <w:sz w:val="26"/>
          <w:szCs w:val="26"/>
        </w:rPr>
        <w:t>caveat</w:t>
      </w:r>
      <w:r>
        <w:rPr>
          <w:rFonts w:ascii="Times New Roman" w:hAnsi="Times New Roman"/>
          <w:color w:val="000000" w:themeColor="text1"/>
          <w:sz w:val="26"/>
          <w:szCs w:val="26"/>
        </w:rPr>
        <w:t>s expressed by RESA and the National Marketers</w:t>
      </w:r>
      <w:r w:rsidRPr="004D7594">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r w:rsidRPr="00901ED2">
        <w:rPr>
          <w:rFonts w:ascii="Times New Roman" w:hAnsi="Times New Roman"/>
          <w:i/>
          <w:color w:val="000000" w:themeColor="text1"/>
          <w:sz w:val="26"/>
          <w:szCs w:val="26"/>
        </w:rPr>
        <w:t>See</w:t>
      </w:r>
      <w:r>
        <w:rPr>
          <w:rFonts w:ascii="Times New Roman" w:hAnsi="Times New Roman"/>
          <w:color w:val="000000" w:themeColor="text1"/>
          <w:sz w:val="26"/>
          <w:szCs w:val="26"/>
        </w:rPr>
        <w:t xml:space="preserve"> PA Marketers Comments at 6.  </w:t>
      </w:r>
      <w:r w:rsidR="00C0767A" w:rsidRPr="004C75FF">
        <w:rPr>
          <w:rFonts w:ascii="Times New Roman" w:eastAsia="Times New Roman" w:hAnsi="Times New Roman"/>
          <w:color w:val="000000"/>
          <w:sz w:val="26"/>
          <w:szCs w:val="26"/>
        </w:rPr>
        <w:t>While the</w:t>
      </w:r>
      <w:r w:rsidR="00C0767A">
        <w:rPr>
          <w:rFonts w:ascii="Times New Roman" w:eastAsia="Times New Roman" w:hAnsi="Times New Roman"/>
          <w:color w:val="000000"/>
          <w:sz w:val="26"/>
          <w:szCs w:val="26"/>
        </w:rPr>
        <w:t xml:space="preserve"> 60-day and 30-day notice</w:t>
      </w:r>
      <w:r w:rsidR="00C0767A" w:rsidRPr="004C75FF">
        <w:rPr>
          <w:rFonts w:ascii="Times New Roman" w:eastAsia="Times New Roman" w:hAnsi="Times New Roman"/>
          <w:color w:val="000000"/>
          <w:sz w:val="26"/>
          <w:szCs w:val="26"/>
        </w:rPr>
        <w:t xml:space="preserve"> timeframes </w:t>
      </w:r>
      <w:r w:rsidR="00C0767A">
        <w:rPr>
          <w:rFonts w:ascii="Times New Roman" w:eastAsia="Times New Roman" w:hAnsi="Times New Roman"/>
          <w:color w:val="000000"/>
          <w:sz w:val="26"/>
          <w:szCs w:val="26"/>
        </w:rPr>
        <w:t xml:space="preserve">of the electric rules </w:t>
      </w:r>
      <w:r w:rsidR="00C0767A" w:rsidRPr="004C75FF">
        <w:rPr>
          <w:rFonts w:ascii="Times New Roman" w:eastAsia="Times New Roman" w:hAnsi="Times New Roman"/>
          <w:color w:val="000000"/>
          <w:sz w:val="26"/>
          <w:szCs w:val="26"/>
        </w:rPr>
        <w:t xml:space="preserve">should easily apply to the natural gas rules, WGL </w:t>
      </w:r>
      <w:r w:rsidR="00C0767A">
        <w:rPr>
          <w:rFonts w:ascii="Times New Roman" w:eastAsia="Times New Roman" w:hAnsi="Times New Roman"/>
          <w:color w:val="000000"/>
          <w:sz w:val="26"/>
          <w:szCs w:val="26"/>
        </w:rPr>
        <w:t xml:space="preserve">strongly </w:t>
      </w:r>
      <w:r w:rsidR="00C0767A" w:rsidRPr="004C75FF">
        <w:rPr>
          <w:rFonts w:ascii="Times New Roman" w:eastAsia="Times New Roman" w:hAnsi="Times New Roman"/>
          <w:color w:val="000000"/>
          <w:sz w:val="26"/>
          <w:szCs w:val="26"/>
        </w:rPr>
        <w:t>believe</w:t>
      </w:r>
      <w:r w:rsidR="00C0767A">
        <w:rPr>
          <w:rFonts w:ascii="Times New Roman" w:eastAsia="Times New Roman" w:hAnsi="Times New Roman"/>
          <w:color w:val="000000"/>
          <w:sz w:val="26"/>
          <w:szCs w:val="26"/>
        </w:rPr>
        <w:t>s</w:t>
      </w:r>
      <w:r w:rsidR="00C0767A" w:rsidRPr="004C75FF">
        <w:rPr>
          <w:rFonts w:ascii="Times New Roman" w:eastAsia="Times New Roman" w:hAnsi="Times New Roman"/>
          <w:color w:val="000000"/>
          <w:sz w:val="26"/>
          <w:szCs w:val="26"/>
        </w:rPr>
        <w:t xml:space="preserve"> that one notice provided forty-five days before the end of a fixed </w:t>
      </w:r>
      <w:r w:rsidR="00C0767A">
        <w:rPr>
          <w:rFonts w:ascii="Times New Roman" w:eastAsia="Times New Roman" w:hAnsi="Times New Roman"/>
          <w:color w:val="000000"/>
          <w:sz w:val="26"/>
          <w:szCs w:val="26"/>
        </w:rPr>
        <w:t xml:space="preserve">duration </w:t>
      </w:r>
      <w:r w:rsidR="00C0767A" w:rsidRPr="004C75FF">
        <w:rPr>
          <w:rFonts w:ascii="Times New Roman" w:eastAsia="Times New Roman" w:hAnsi="Times New Roman"/>
          <w:color w:val="000000"/>
          <w:sz w:val="26"/>
          <w:szCs w:val="26"/>
        </w:rPr>
        <w:t>contract</w:t>
      </w:r>
      <w:r w:rsidR="00C0767A">
        <w:rPr>
          <w:rFonts w:ascii="Times New Roman" w:eastAsia="Times New Roman" w:hAnsi="Times New Roman"/>
          <w:color w:val="000000"/>
          <w:sz w:val="26"/>
          <w:szCs w:val="26"/>
        </w:rPr>
        <w:t xml:space="preserve"> (of at least one year)</w:t>
      </w:r>
      <w:r w:rsidR="00C0767A" w:rsidRPr="004C75FF">
        <w:rPr>
          <w:rFonts w:ascii="Times New Roman" w:eastAsia="Times New Roman" w:hAnsi="Times New Roman"/>
          <w:color w:val="000000"/>
          <w:sz w:val="26"/>
          <w:szCs w:val="26"/>
        </w:rPr>
        <w:t xml:space="preserve"> should be </w:t>
      </w:r>
      <w:r w:rsidR="00C0767A">
        <w:rPr>
          <w:rFonts w:ascii="Times New Roman" w:eastAsia="Times New Roman" w:hAnsi="Times New Roman"/>
          <w:color w:val="000000"/>
          <w:sz w:val="26"/>
          <w:szCs w:val="26"/>
        </w:rPr>
        <w:t>sufficient.</w:t>
      </w:r>
      <w:r w:rsidR="00C0767A" w:rsidRPr="004C75FF">
        <w:rPr>
          <w:rFonts w:ascii="Times New Roman" w:eastAsia="Times New Roman" w:hAnsi="Times New Roman"/>
          <w:color w:val="000000"/>
          <w:sz w:val="26"/>
          <w:szCs w:val="26"/>
        </w:rPr>
        <w:t xml:space="preserve">  WGL </w:t>
      </w:r>
      <w:r w:rsidR="00C0767A">
        <w:rPr>
          <w:rFonts w:ascii="Times New Roman" w:eastAsia="Times New Roman" w:hAnsi="Times New Roman"/>
          <w:color w:val="000000"/>
          <w:sz w:val="26"/>
          <w:szCs w:val="26"/>
        </w:rPr>
        <w:t xml:space="preserve">Comments </w:t>
      </w:r>
      <w:r w:rsidR="00C0767A" w:rsidRPr="004C75FF">
        <w:rPr>
          <w:rFonts w:ascii="Times New Roman" w:eastAsia="Times New Roman" w:hAnsi="Times New Roman"/>
          <w:color w:val="000000"/>
          <w:sz w:val="26"/>
          <w:szCs w:val="26"/>
        </w:rPr>
        <w:t>at 8.</w:t>
      </w:r>
      <w:r w:rsidR="00C0767A">
        <w:rPr>
          <w:rFonts w:ascii="Times New Roman" w:eastAsia="Times New Roman" w:hAnsi="Times New Roman"/>
          <w:color w:val="000000"/>
          <w:sz w:val="26"/>
          <w:szCs w:val="26"/>
        </w:rPr>
        <w:t xml:space="preserve">  </w:t>
      </w:r>
    </w:p>
    <w:p w:rsidR="00901ED2" w:rsidRDefault="00901ED2" w:rsidP="00901ED2">
      <w:pPr>
        <w:pStyle w:val="NoSpacing"/>
        <w:spacing w:line="360" w:lineRule="auto"/>
        <w:ind w:firstLine="720"/>
        <w:rPr>
          <w:rFonts w:ascii="Times New Roman" w:hAnsi="Times New Roman"/>
          <w:color w:val="000000" w:themeColor="text1"/>
          <w:sz w:val="26"/>
          <w:szCs w:val="26"/>
        </w:rPr>
      </w:pPr>
    </w:p>
    <w:p w:rsidR="00BE07F6" w:rsidRPr="004C75FF" w:rsidRDefault="00BE07F6" w:rsidP="00BE07F6">
      <w:pPr>
        <w:pStyle w:val="NoSpacing"/>
        <w:spacing w:line="360" w:lineRule="auto"/>
        <w:ind w:firstLine="720"/>
        <w:rPr>
          <w:rFonts w:ascii="Times New Roman" w:eastAsia="Times New Roman" w:hAnsi="Times New Roman"/>
          <w:color w:val="000000"/>
          <w:sz w:val="26"/>
          <w:szCs w:val="26"/>
        </w:rPr>
      </w:pPr>
      <w:r w:rsidRPr="009F29A8">
        <w:rPr>
          <w:rFonts w:ascii="Times New Roman" w:hAnsi="Times New Roman"/>
          <w:sz w:val="26"/>
          <w:szCs w:val="26"/>
        </w:rPr>
        <w:t>RESA opposes the proposed 30-day advance notice of a price change to a customer who was on a fixed term contract and was then converted to a month-to-month contract as a result of not responding to an options notice.</w:t>
      </w:r>
      <w:r w:rsidR="00D46A10" w:rsidRPr="009F29A8">
        <w:rPr>
          <w:rFonts w:ascii="Times New Roman" w:hAnsi="Times New Roman"/>
          <w:sz w:val="26"/>
          <w:szCs w:val="26"/>
        </w:rPr>
        <w:t xml:space="preserve">  RESA Comments at 15.</w:t>
      </w:r>
      <w:r w:rsidRPr="009F29A8">
        <w:rPr>
          <w:rFonts w:ascii="Times New Roman" w:hAnsi="Times New Roman"/>
          <w:sz w:val="26"/>
          <w:szCs w:val="26"/>
        </w:rPr>
        <w:t xml:space="preserve">   RESA opines that even if NGSs were able to accomplish the </w:t>
      </w:r>
      <w:r w:rsidR="00D46A10" w:rsidRPr="009F29A8">
        <w:rPr>
          <w:rFonts w:ascii="Times New Roman" w:hAnsi="Times New Roman"/>
          <w:sz w:val="26"/>
          <w:szCs w:val="26"/>
        </w:rPr>
        <w:t>“</w:t>
      </w:r>
      <w:r w:rsidRPr="009F29A8">
        <w:rPr>
          <w:rFonts w:ascii="Times New Roman" w:hAnsi="Times New Roman"/>
          <w:sz w:val="26"/>
          <w:szCs w:val="26"/>
        </w:rPr>
        <w:t xml:space="preserve">formidable task of accurately forecasting prices far enough in advance to satisfy the 30-day notice requirement, the cost of </w:t>
      </w:r>
      <w:r w:rsidR="00D46A10" w:rsidRPr="009F29A8">
        <w:rPr>
          <w:rFonts w:ascii="Times New Roman" w:hAnsi="Times New Roman"/>
          <w:sz w:val="26"/>
          <w:szCs w:val="26"/>
        </w:rPr>
        <w:t>m</w:t>
      </w:r>
      <w:r w:rsidRPr="009F29A8">
        <w:rPr>
          <w:rFonts w:ascii="Times New Roman" w:hAnsi="Times New Roman"/>
          <w:sz w:val="26"/>
          <w:szCs w:val="26"/>
        </w:rPr>
        <w:t xml:space="preserve">ailing </w:t>
      </w:r>
      <w:r w:rsidR="00D46A10" w:rsidRPr="009F29A8">
        <w:rPr>
          <w:rFonts w:ascii="Times New Roman" w:hAnsi="Times New Roman"/>
          <w:sz w:val="26"/>
          <w:szCs w:val="26"/>
        </w:rPr>
        <w:t xml:space="preserve">this </w:t>
      </w:r>
      <w:r w:rsidRPr="009F29A8">
        <w:rPr>
          <w:rFonts w:ascii="Times New Roman" w:hAnsi="Times New Roman"/>
          <w:sz w:val="26"/>
          <w:szCs w:val="26"/>
        </w:rPr>
        <w:t>would be extremely high.</w:t>
      </w:r>
      <w:r w:rsidR="00D46A10" w:rsidRPr="009F29A8">
        <w:rPr>
          <w:rFonts w:ascii="Times New Roman" w:hAnsi="Times New Roman"/>
          <w:sz w:val="26"/>
          <w:szCs w:val="26"/>
        </w:rPr>
        <w:t>”</w:t>
      </w:r>
      <w:r w:rsidRPr="009F29A8">
        <w:rPr>
          <w:rFonts w:ascii="Times New Roman" w:hAnsi="Times New Roman"/>
          <w:sz w:val="26"/>
          <w:szCs w:val="26"/>
        </w:rPr>
        <w:t xml:space="preserve"> </w:t>
      </w:r>
      <w:r w:rsidR="00D46A10" w:rsidRPr="009F29A8">
        <w:rPr>
          <w:rFonts w:ascii="Times New Roman" w:hAnsi="Times New Roman"/>
          <w:sz w:val="26"/>
          <w:szCs w:val="26"/>
        </w:rPr>
        <w:t xml:space="preserve"> </w:t>
      </w:r>
      <w:r w:rsidR="00D46A10" w:rsidRPr="009F29A8">
        <w:rPr>
          <w:rFonts w:ascii="Times New Roman" w:hAnsi="Times New Roman"/>
          <w:i/>
          <w:sz w:val="26"/>
          <w:szCs w:val="26"/>
        </w:rPr>
        <w:t xml:space="preserve">Id.  </w:t>
      </w:r>
      <w:r w:rsidR="00D46A10" w:rsidRPr="009F29A8">
        <w:rPr>
          <w:rFonts w:ascii="Times New Roman" w:hAnsi="Times New Roman"/>
          <w:sz w:val="26"/>
          <w:szCs w:val="26"/>
        </w:rPr>
        <w:t xml:space="preserve">The resulting inundation of information on a frequent basis would likely confuse most customers.  </w:t>
      </w:r>
      <w:r w:rsidR="00D46A10" w:rsidRPr="009F29A8">
        <w:rPr>
          <w:rFonts w:ascii="Times New Roman" w:hAnsi="Times New Roman"/>
          <w:i/>
          <w:sz w:val="26"/>
          <w:szCs w:val="26"/>
        </w:rPr>
        <w:t>Id</w:t>
      </w:r>
      <w:r w:rsidR="00D46A10" w:rsidRPr="009F29A8">
        <w:rPr>
          <w:rFonts w:ascii="Times New Roman" w:hAnsi="Times New Roman"/>
          <w:sz w:val="26"/>
          <w:szCs w:val="26"/>
        </w:rPr>
        <w:t xml:space="preserve">. </w:t>
      </w:r>
      <w:r w:rsidRPr="009F29A8">
        <w:rPr>
          <w:rFonts w:ascii="Times New Roman" w:hAnsi="Times New Roman"/>
          <w:sz w:val="26"/>
          <w:szCs w:val="26"/>
        </w:rPr>
        <w:t xml:space="preserve">RESA believes that the NGSs would likely need to charge higher rates, making them less competitive, and resulting in </w:t>
      </w:r>
      <w:r w:rsidR="00D46A10" w:rsidRPr="009F29A8">
        <w:rPr>
          <w:rFonts w:ascii="Times New Roman" w:hAnsi="Times New Roman"/>
          <w:sz w:val="26"/>
          <w:szCs w:val="26"/>
        </w:rPr>
        <w:t xml:space="preserve">higher prices for </w:t>
      </w:r>
      <w:r w:rsidRPr="009F29A8">
        <w:rPr>
          <w:rFonts w:ascii="Times New Roman" w:hAnsi="Times New Roman"/>
          <w:sz w:val="26"/>
          <w:szCs w:val="26"/>
        </w:rPr>
        <w:t>customers.</w:t>
      </w:r>
      <w:r w:rsidR="00D46A10" w:rsidRPr="009F29A8">
        <w:rPr>
          <w:rFonts w:ascii="Times New Roman" w:hAnsi="Times New Roman"/>
          <w:sz w:val="26"/>
          <w:szCs w:val="26"/>
        </w:rPr>
        <w:t xml:space="preserve">  </w:t>
      </w:r>
      <w:r w:rsidR="00D46A10" w:rsidRPr="009F29A8">
        <w:rPr>
          <w:rFonts w:ascii="Times New Roman" w:hAnsi="Times New Roman"/>
          <w:i/>
          <w:sz w:val="26"/>
          <w:szCs w:val="26"/>
        </w:rPr>
        <w:t>Id.</w:t>
      </w:r>
      <w:r w:rsidRPr="009F29A8">
        <w:rPr>
          <w:rFonts w:ascii="Times New Roman" w:hAnsi="Times New Roman"/>
          <w:sz w:val="26"/>
          <w:szCs w:val="26"/>
        </w:rPr>
        <w:t xml:space="preserve">  </w:t>
      </w:r>
      <w:r w:rsidR="00D46A10" w:rsidRPr="009F29A8">
        <w:rPr>
          <w:rFonts w:ascii="Times New Roman" w:hAnsi="Times New Roman"/>
          <w:sz w:val="26"/>
          <w:szCs w:val="26"/>
        </w:rPr>
        <w:t>Instead, RESA recommends r</w:t>
      </w:r>
      <w:r w:rsidRPr="009F29A8">
        <w:rPr>
          <w:rFonts w:ascii="Times New Roman" w:eastAsia="Times New Roman" w:hAnsi="Times New Roman"/>
          <w:color w:val="000000"/>
          <w:sz w:val="26"/>
          <w:szCs w:val="26"/>
        </w:rPr>
        <w:t>equir</w:t>
      </w:r>
      <w:r w:rsidR="00D46A10" w:rsidRPr="009F29A8">
        <w:rPr>
          <w:rFonts w:ascii="Times New Roman" w:eastAsia="Times New Roman" w:hAnsi="Times New Roman"/>
          <w:color w:val="000000"/>
          <w:sz w:val="26"/>
          <w:szCs w:val="26"/>
        </w:rPr>
        <w:t>ing</w:t>
      </w:r>
      <w:r w:rsidRPr="009F29A8">
        <w:rPr>
          <w:rFonts w:ascii="Times New Roman" w:eastAsia="Times New Roman" w:hAnsi="Times New Roman"/>
          <w:color w:val="000000"/>
          <w:sz w:val="26"/>
          <w:szCs w:val="26"/>
        </w:rPr>
        <w:t xml:space="preserve"> NGSs </w:t>
      </w:r>
      <w:r w:rsidR="00D46A10" w:rsidRPr="009F29A8">
        <w:rPr>
          <w:rFonts w:ascii="Times New Roman" w:eastAsia="Times New Roman" w:hAnsi="Times New Roman"/>
          <w:color w:val="000000"/>
          <w:sz w:val="26"/>
          <w:szCs w:val="26"/>
        </w:rPr>
        <w:t>“</w:t>
      </w:r>
      <w:r w:rsidRPr="009F29A8">
        <w:rPr>
          <w:rFonts w:ascii="Times New Roman" w:eastAsia="Times New Roman" w:hAnsi="Times New Roman"/>
          <w:color w:val="000000"/>
          <w:sz w:val="26"/>
          <w:szCs w:val="26"/>
        </w:rPr>
        <w:t>to inform customers that a failure to respond may result in conversion of a fixed term contract to a month-to-month contract with no advance notice of price changes.</w:t>
      </w:r>
      <w:r w:rsidR="00D46A10" w:rsidRPr="009F29A8">
        <w:rPr>
          <w:rFonts w:ascii="Times New Roman" w:eastAsia="Times New Roman" w:hAnsi="Times New Roman"/>
          <w:color w:val="000000"/>
          <w:sz w:val="26"/>
          <w:szCs w:val="26"/>
        </w:rPr>
        <w:t xml:space="preserve">”  </w:t>
      </w:r>
      <w:r w:rsidR="00D46A10" w:rsidRPr="009F29A8">
        <w:rPr>
          <w:rFonts w:ascii="Times New Roman" w:eastAsia="Times New Roman" w:hAnsi="Times New Roman"/>
          <w:i/>
          <w:color w:val="000000"/>
          <w:sz w:val="26"/>
          <w:szCs w:val="26"/>
        </w:rPr>
        <w:t>Id.</w:t>
      </w:r>
      <w:r w:rsidR="00D46A10" w:rsidRPr="009F29A8">
        <w:rPr>
          <w:rFonts w:ascii="Times New Roman" w:eastAsia="Times New Roman" w:hAnsi="Times New Roman"/>
          <w:color w:val="000000"/>
          <w:sz w:val="26"/>
          <w:szCs w:val="26"/>
        </w:rPr>
        <w:t xml:space="preserve"> at 15-16 (adding that </w:t>
      </w:r>
      <w:r w:rsidRPr="009F29A8">
        <w:rPr>
          <w:rFonts w:ascii="Times New Roman" w:eastAsia="Times New Roman" w:hAnsi="Times New Roman"/>
          <w:color w:val="000000"/>
          <w:sz w:val="26"/>
          <w:szCs w:val="26"/>
        </w:rPr>
        <w:t>NGSs that do not plan to use this option would simply leave this information out of the options notice</w:t>
      </w:r>
      <w:r w:rsidR="00D46A10" w:rsidRPr="009F29A8">
        <w:rPr>
          <w:rFonts w:ascii="Times New Roman" w:eastAsia="Times New Roman" w:hAnsi="Times New Roman"/>
          <w:color w:val="000000"/>
          <w:sz w:val="26"/>
          <w:szCs w:val="26"/>
        </w:rPr>
        <w:t>)</w:t>
      </w:r>
      <w:r w:rsidRPr="009F29A8">
        <w:rPr>
          <w:rFonts w:ascii="Times New Roman" w:eastAsia="Times New Roman" w:hAnsi="Times New Roman"/>
          <w:color w:val="000000"/>
          <w:sz w:val="26"/>
          <w:szCs w:val="26"/>
        </w:rPr>
        <w:t>.</w:t>
      </w:r>
    </w:p>
    <w:p w:rsidR="00BE07F6" w:rsidRPr="004C75FF" w:rsidRDefault="00BE07F6" w:rsidP="00BE07F6">
      <w:pPr>
        <w:pStyle w:val="NoSpacing"/>
        <w:spacing w:line="360" w:lineRule="auto"/>
        <w:rPr>
          <w:rFonts w:ascii="Times New Roman" w:hAnsi="Times New Roman"/>
          <w:sz w:val="26"/>
          <w:szCs w:val="26"/>
        </w:rPr>
      </w:pPr>
    </w:p>
    <w:p w:rsidR="00BB5CDF" w:rsidRPr="004C75FF" w:rsidRDefault="009E1650" w:rsidP="00BB5CDF">
      <w:pPr>
        <w:spacing w:line="360" w:lineRule="auto"/>
        <w:ind w:firstLine="720"/>
        <w:rPr>
          <w:rFonts w:ascii="Times New Roman" w:hAnsi="Times New Roman"/>
          <w:sz w:val="26"/>
          <w:szCs w:val="26"/>
        </w:rPr>
      </w:pPr>
      <w:r>
        <w:rPr>
          <w:rFonts w:ascii="Times New Roman" w:hAnsi="Times New Roman"/>
          <w:sz w:val="26"/>
          <w:szCs w:val="26"/>
        </w:rPr>
        <w:t xml:space="preserve">As to </w:t>
      </w:r>
      <w:r w:rsidR="00E37828">
        <w:rPr>
          <w:rFonts w:ascii="Times New Roman" w:hAnsi="Times New Roman"/>
          <w:sz w:val="26"/>
          <w:szCs w:val="26"/>
        </w:rPr>
        <w:t xml:space="preserve">the </w:t>
      </w:r>
      <w:r>
        <w:rPr>
          <w:rFonts w:ascii="Times New Roman" w:hAnsi="Times New Roman"/>
          <w:sz w:val="26"/>
          <w:szCs w:val="26"/>
        </w:rPr>
        <w:t>automatic re-enrollment</w:t>
      </w:r>
      <w:r w:rsidR="00E37828">
        <w:rPr>
          <w:rFonts w:ascii="Times New Roman" w:hAnsi="Times New Roman"/>
          <w:sz w:val="26"/>
          <w:szCs w:val="26"/>
        </w:rPr>
        <w:t xml:space="preserve"> provision in proposed Section 62.81(a)(2)(ii)(A)(I)</w:t>
      </w:r>
      <w:r>
        <w:rPr>
          <w:rFonts w:ascii="Times New Roman" w:hAnsi="Times New Roman"/>
          <w:sz w:val="26"/>
          <w:szCs w:val="26"/>
        </w:rPr>
        <w:t>, RESA urges the Commission to permit conversion of a fixed term contract to a month-to-month contract without requiring advance notice of price changes.</w:t>
      </w:r>
      <w:r w:rsidR="00E37828">
        <w:rPr>
          <w:rFonts w:ascii="Times New Roman" w:hAnsi="Times New Roman"/>
          <w:sz w:val="26"/>
          <w:szCs w:val="26"/>
        </w:rPr>
        <w:t xml:space="preserve">  RESA Comments at 17 (adding that requiring advance notice of prices would hinder the </w:t>
      </w:r>
      <w:r w:rsidR="00E37828">
        <w:rPr>
          <w:rFonts w:ascii="Times New Roman" w:hAnsi="Times New Roman"/>
          <w:sz w:val="26"/>
          <w:szCs w:val="26"/>
        </w:rPr>
        <w:lastRenderedPageBreak/>
        <w:t xml:space="preserve">Commission’s goal of promoting the retail natural gas market).  </w:t>
      </w:r>
      <w:r w:rsidR="00BB5CDF">
        <w:rPr>
          <w:rFonts w:ascii="Times New Roman" w:hAnsi="Times New Roman"/>
          <w:sz w:val="26"/>
          <w:szCs w:val="26"/>
        </w:rPr>
        <w:t>The National Marketers contend that t</w:t>
      </w:r>
      <w:r w:rsidR="00BB5CDF" w:rsidRPr="004C75FF">
        <w:rPr>
          <w:rFonts w:ascii="Times New Roman" w:hAnsi="Times New Roman"/>
          <w:sz w:val="26"/>
          <w:szCs w:val="26"/>
        </w:rPr>
        <w:t>h</w:t>
      </w:r>
      <w:r w:rsidR="00BB5CDF">
        <w:rPr>
          <w:rFonts w:ascii="Times New Roman" w:hAnsi="Times New Roman"/>
          <w:sz w:val="26"/>
          <w:szCs w:val="26"/>
        </w:rPr>
        <w:t>is</w:t>
      </w:r>
      <w:r w:rsidR="00BB5CDF" w:rsidRPr="004C75FF">
        <w:rPr>
          <w:rFonts w:ascii="Times New Roman" w:hAnsi="Times New Roman"/>
          <w:sz w:val="26"/>
          <w:szCs w:val="26"/>
        </w:rPr>
        <w:t xml:space="preserve"> requirement for advance notice of price changes for variable priced products is particularly problematic because the supplier cannot forecast the market changes that would be required to provide advance notice.</w:t>
      </w:r>
      <w:r w:rsidR="00BB5CDF">
        <w:rPr>
          <w:rFonts w:ascii="Times New Roman" w:hAnsi="Times New Roman"/>
          <w:sz w:val="26"/>
          <w:szCs w:val="26"/>
        </w:rPr>
        <w:t xml:space="preserve">  National Marketers Comments at 6 (explaining that this would require more hedging by the supplier)</w:t>
      </w:r>
      <w:r w:rsidR="00BB5CDF" w:rsidRPr="004C75FF">
        <w:rPr>
          <w:rFonts w:ascii="Times New Roman" w:hAnsi="Times New Roman"/>
          <w:sz w:val="26"/>
          <w:szCs w:val="26"/>
        </w:rPr>
        <w:t xml:space="preserve">. </w:t>
      </w:r>
      <w:r w:rsidR="00BB5CDF">
        <w:rPr>
          <w:rFonts w:ascii="Times New Roman" w:hAnsi="Times New Roman"/>
          <w:sz w:val="26"/>
          <w:szCs w:val="26"/>
        </w:rPr>
        <w:t xml:space="preserve"> Critically, the National Marketers assert that this</w:t>
      </w:r>
      <w:r w:rsidR="00BB5CDF" w:rsidRPr="004C75FF">
        <w:rPr>
          <w:rFonts w:ascii="Times New Roman" w:hAnsi="Times New Roman"/>
          <w:sz w:val="26"/>
          <w:szCs w:val="26"/>
        </w:rPr>
        <w:t xml:space="preserve"> increases the costs and risks of providing the product. </w:t>
      </w:r>
      <w:r w:rsidR="00BB5CDF">
        <w:rPr>
          <w:rFonts w:ascii="Times New Roman" w:hAnsi="Times New Roman"/>
          <w:sz w:val="26"/>
          <w:szCs w:val="26"/>
        </w:rPr>
        <w:t xml:space="preserve"> </w:t>
      </w:r>
      <w:r w:rsidR="00BB5CDF">
        <w:rPr>
          <w:rFonts w:ascii="Times New Roman" w:hAnsi="Times New Roman"/>
          <w:i/>
          <w:sz w:val="26"/>
          <w:szCs w:val="26"/>
        </w:rPr>
        <w:t xml:space="preserve">Id. </w:t>
      </w:r>
      <w:r w:rsidR="00BB5CDF">
        <w:rPr>
          <w:rFonts w:ascii="Times New Roman" w:hAnsi="Times New Roman"/>
          <w:sz w:val="26"/>
          <w:szCs w:val="26"/>
        </w:rPr>
        <w:t xml:space="preserve">at 7.  Since a </w:t>
      </w:r>
      <w:r w:rsidR="00BB5CDF" w:rsidRPr="004C75FF">
        <w:rPr>
          <w:rFonts w:ascii="Times New Roman" w:hAnsi="Times New Roman"/>
          <w:sz w:val="26"/>
          <w:szCs w:val="26"/>
        </w:rPr>
        <w:t xml:space="preserve">customer would be free to leave the next day without an early termination fee, </w:t>
      </w:r>
      <w:r w:rsidR="00BB5CDF">
        <w:rPr>
          <w:rFonts w:ascii="Times New Roman" w:hAnsi="Times New Roman"/>
          <w:sz w:val="26"/>
          <w:szCs w:val="26"/>
        </w:rPr>
        <w:t>the supplier’s costs and risks are even greater</w:t>
      </w:r>
      <w:r w:rsidR="00BB5CDF" w:rsidRPr="004C75FF">
        <w:rPr>
          <w:rFonts w:ascii="Times New Roman" w:hAnsi="Times New Roman"/>
          <w:sz w:val="26"/>
          <w:szCs w:val="26"/>
        </w:rPr>
        <w:t xml:space="preserve">. </w:t>
      </w:r>
      <w:r w:rsidR="00BB5CDF">
        <w:rPr>
          <w:rFonts w:ascii="Times New Roman" w:hAnsi="Times New Roman"/>
          <w:sz w:val="26"/>
          <w:szCs w:val="26"/>
        </w:rPr>
        <w:t xml:space="preserve"> </w:t>
      </w:r>
      <w:r w:rsidR="00BB5CDF">
        <w:rPr>
          <w:rFonts w:ascii="Times New Roman" w:hAnsi="Times New Roman"/>
          <w:i/>
          <w:sz w:val="26"/>
          <w:szCs w:val="26"/>
        </w:rPr>
        <w:t xml:space="preserve">Id. </w:t>
      </w:r>
    </w:p>
    <w:p w:rsidR="009E1650" w:rsidRDefault="009E1650" w:rsidP="00BE07F6">
      <w:pPr>
        <w:pStyle w:val="NoSpacing"/>
        <w:spacing w:line="360" w:lineRule="auto"/>
        <w:ind w:firstLine="720"/>
        <w:rPr>
          <w:rFonts w:ascii="Times New Roman" w:hAnsi="Times New Roman"/>
          <w:sz w:val="26"/>
          <w:szCs w:val="26"/>
        </w:rPr>
      </w:pPr>
    </w:p>
    <w:p w:rsidR="00901ED2" w:rsidRPr="004C75FF" w:rsidRDefault="00901ED2" w:rsidP="00901ED2">
      <w:pPr>
        <w:pStyle w:val="NoSpacing"/>
        <w:spacing w:line="360" w:lineRule="auto"/>
        <w:ind w:firstLine="720"/>
        <w:rPr>
          <w:rFonts w:ascii="Times New Roman" w:hAnsi="Times New Roman"/>
          <w:sz w:val="26"/>
          <w:szCs w:val="26"/>
        </w:rPr>
      </w:pPr>
      <w:r>
        <w:rPr>
          <w:rFonts w:ascii="Times New Roman" w:hAnsi="Times New Roman"/>
          <w:color w:val="000000" w:themeColor="text1"/>
          <w:sz w:val="26"/>
          <w:szCs w:val="26"/>
        </w:rPr>
        <w:t xml:space="preserve">The PA Marketers also believe NGSs should not be </w:t>
      </w:r>
      <w:r w:rsidRPr="004D7594">
        <w:rPr>
          <w:rFonts w:ascii="Times New Roman" w:hAnsi="Times New Roman"/>
          <w:color w:val="000000" w:themeColor="text1"/>
          <w:sz w:val="26"/>
          <w:szCs w:val="26"/>
        </w:rPr>
        <w:t>requir</w:t>
      </w:r>
      <w:r>
        <w:rPr>
          <w:rFonts w:ascii="Times New Roman" w:hAnsi="Times New Roman"/>
          <w:color w:val="000000" w:themeColor="text1"/>
          <w:sz w:val="26"/>
          <w:szCs w:val="26"/>
        </w:rPr>
        <w:t xml:space="preserve">ed to provide </w:t>
      </w:r>
      <w:r w:rsidRPr="004D7594">
        <w:rPr>
          <w:rFonts w:ascii="Times New Roman" w:hAnsi="Times New Roman"/>
          <w:color w:val="000000" w:themeColor="text1"/>
          <w:sz w:val="26"/>
          <w:szCs w:val="26"/>
        </w:rPr>
        <w:t>30-day advance notice of a price change to a customer who is on a fixed price contract that automatically renews to a month-to-month product</w:t>
      </w:r>
      <w:r>
        <w:rPr>
          <w:rFonts w:ascii="Times New Roman" w:hAnsi="Times New Roman"/>
          <w:color w:val="000000" w:themeColor="text1"/>
          <w:sz w:val="26"/>
          <w:szCs w:val="26"/>
        </w:rPr>
        <w:t xml:space="preserve">.  PA Marketers Comments at 6.  </w:t>
      </w:r>
      <w:r w:rsidR="009104D6">
        <w:rPr>
          <w:rFonts w:ascii="Times New Roman" w:hAnsi="Times New Roman"/>
          <w:color w:val="000000" w:themeColor="text1"/>
          <w:sz w:val="26"/>
          <w:szCs w:val="26"/>
        </w:rPr>
        <w:t>The PA Marketers explain that</w:t>
      </w:r>
      <w:r w:rsidRPr="004D7594">
        <w:rPr>
          <w:rFonts w:ascii="Times New Roman" w:hAnsi="Times New Roman"/>
          <w:color w:val="000000" w:themeColor="text1"/>
          <w:sz w:val="26"/>
          <w:szCs w:val="26"/>
        </w:rPr>
        <w:t xml:space="preserve"> </w:t>
      </w:r>
      <w:r w:rsidR="009104D6">
        <w:rPr>
          <w:rFonts w:ascii="Times New Roman" w:hAnsi="Times New Roman"/>
          <w:color w:val="000000" w:themeColor="text1"/>
          <w:sz w:val="26"/>
          <w:szCs w:val="26"/>
        </w:rPr>
        <w:t xml:space="preserve">since </w:t>
      </w:r>
      <w:r w:rsidRPr="004D7594">
        <w:rPr>
          <w:rFonts w:ascii="Times New Roman" w:hAnsi="Times New Roman"/>
          <w:color w:val="000000" w:themeColor="text1"/>
          <w:sz w:val="26"/>
          <w:szCs w:val="26"/>
        </w:rPr>
        <w:t xml:space="preserve">significant technical challenges </w:t>
      </w:r>
      <w:r w:rsidR="009104D6">
        <w:rPr>
          <w:rFonts w:ascii="Times New Roman" w:hAnsi="Times New Roman"/>
          <w:color w:val="000000" w:themeColor="text1"/>
          <w:sz w:val="26"/>
          <w:szCs w:val="26"/>
        </w:rPr>
        <w:t xml:space="preserve">limit </w:t>
      </w:r>
      <w:r w:rsidRPr="004D7594">
        <w:rPr>
          <w:rFonts w:ascii="Times New Roman" w:hAnsi="Times New Roman"/>
          <w:color w:val="000000" w:themeColor="text1"/>
          <w:sz w:val="26"/>
          <w:szCs w:val="26"/>
        </w:rPr>
        <w:t>an NGS</w:t>
      </w:r>
      <w:r w:rsidR="009104D6">
        <w:rPr>
          <w:rFonts w:ascii="Times New Roman" w:hAnsi="Times New Roman"/>
          <w:color w:val="000000" w:themeColor="text1"/>
          <w:sz w:val="26"/>
          <w:szCs w:val="26"/>
        </w:rPr>
        <w:t>’s ability</w:t>
      </w:r>
      <w:r w:rsidRPr="004D7594">
        <w:rPr>
          <w:rFonts w:ascii="Times New Roman" w:hAnsi="Times New Roman"/>
          <w:color w:val="000000" w:themeColor="text1"/>
          <w:sz w:val="26"/>
          <w:szCs w:val="26"/>
        </w:rPr>
        <w:t xml:space="preserve"> to predict wholesale market prices 30 days in advance</w:t>
      </w:r>
      <w:r w:rsidR="009104D6">
        <w:rPr>
          <w:rFonts w:ascii="Times New Roman" w:hAnsi="Times New Roman"/>
          <w:color w:val="000000" w:themeColor="text1"/>
          <w:sz w:val="26"/>
          <w:szCs w:val="26"/>
        </w:rPr>
        <w:t xml:space="preserve">, the Commission should focus on moving </w:t>
      </w:r>
      <w:r w:rsidRPr="004D7594">
        <w:rPr>
          <w:rFonts w:ascii="Times New Roman" w:hAnsi="Times New Roman"/>
          <w:color w:val="000000" w:themeColor="text1"/>
          <w:sz w:val="26"/>
          <w:szCs w:val="26"/>
        </w:rPr>
        <w:t xml:space="preserve">forward </w:t>
      </w:r>
      <w:r w:rsidR="009104D6">
        <w:rPr>
          <w:rFonts w:ascii="Times New Roman" w:hAnsi="Times New Roman"/>
          <w:color w:val="000000" w:themeColor="text1"/>
          <w:sz w:val="26"/>
          <w:szCs w:val="26"/>
        </w:rPr>
        <w:t>to</w:t>
      </w:r>
      <w:r w:rsidRPr="004D7594">
        <w:rPr>
          <w:rFonts w:ascii="Times New Roman" w:hAnsi="Times New Roman"/>
          <w:color w:val="000000" w:themeColor="text1"/>
          <w:sz w:val="26"/>
          <w:szCs w:val="26"/>
        </w:rPr>
        <w:t xml:space="preserve"> solv</w:t>
      </w:r>
      <w:r w:rsidR="009104D6">
        <w:rPr>
          <w:rFonts w:ascii="Times New Roman" w:hAnsi="Times New Roman"/>
          <w:color w:val="000000" w:themeColor="text1"/>
          <w:sz w:val="26"/>
          <w:szCs w:val="26"/>
        </w:rPr>
        <w:t xml:space="preserve">e </w:t>
      </w:r>
      <w:r w:rsidRPr="004D7594">
        <w:rPr>
          <w:rFonts w:ascii="Times New Roman" w:hAnsi="Times New Roman"/>
          <w:color w:val="000000" w:themeColor="text1"/>
          <w:sz w:val="26"/>
          <w:szCs w:val="26"/>
        </w:rPr>
        <w:t xml:space="preserve">the comparably simpler technical challenge of accelerated switching for gas customers. </w:t>
      </w:r>
      <w:r>
        <w:rPr>
          <w:rFonts w:ascii="Times New Roman" w:hAnsi="Times New Roman"/>
          <w:color w:val="000000" w:themeColor="text1"/>
          <w:sz w:val="26"/>
          <w:szCs w:val="26"/>
        </w:rPr>
        <w:t xml:space="preserve"> </w:t>
      </w:r>
      <w:r w:rsidR="009104D6">
        <w:rPr>
          <w:rFonts w:ascii="Times New Roman" w:hAnsi="Times New Roman"/>
          <w:i/>
          <w:color w:val="000000" w:themeColor="text1"/>
          <w:sz w:val="26"/>
          <w:szCs w:val="26"/>
        </w:rPr>
        <w:t xml:space="preserve">Id.  </w:t>
      </w:r>
      <w:r>
        <w:rPr>
          <w:rFonts w:ascii="Times New Roman" w:hAnsi="Times New Roman"/>
          <w:color w:val="000000" w:themeColor="text1"/>
          <w:sz w:val="26"/>
          <w:szCs w:val="26"/>
        </w:rPr>
        <w:t>Faster switching</w:t>
      </w:r>
      <w:r w:rsidRPr="004D7594">
        <w:rPr>
          <w:rFonts w:ascii="Times New Roman" w:hAnsi="Times New Roman"/>
          <w:color w:val="000000" w:themeColor="text1"/>
          <w:sz w:val="26"/>
          <w:szCs w:val="26"/>
        </w:rPr>
        <w:t xml:space="preserve"> will ensure that customers </w:t>
      </w:r>
      <w:r w:rsidRPr="004C75FF">
        <w:rPr>
          <w:rFonts w:ascii="Times New Roman" w:hAnsi="Times New Roman"/>
          <w:sz w:val="26"/>
          <w:szCs w:val="26"/>
        </w:rPr>
        <w:t xml:space="preserve">have the ability to respond in near-real time to new preferences and opportunities without putting an unreasonable burden on suppliers – </w:t>
      </w:r>
      <w:r w:rsidR="009104D6">
        <w:rPr>
          <w:rFonts w:ascii="Times New Roman" w:hAnsi="Times New Roman"/>
          <w:sz w:val="26"/>
          <w:szCs w:val="26"/>
        </w:rPr>
        <w:t>“</w:t>
      </w:r>
      <w:r w:rsidRPr="004C75FF">
        <w:rPr>
          <w:rFonts w:ascii="Times New Roman" w:hAnsi="Times New Roman"/>
          <w:sz w:val="26"/>
          <w:szCs w:val="26"/>
        </w:rPr>
        <w:t>a burden that could have the unintended consequence of driving suppliers away from the marketplace all together.</w:t>
      </w:r>
      <w:r w:rsidR="009104D6">
        <w:rPr>
          <w:rFonts w:ascii="Times New Roman" w:hAnsi="Times New Roman"/>
          <w:sz w:val="26"/>
          <w:szCs w:val="26"/>
        </w:rPr>
        <w:t>”</w:t>
      </w:r>
      <w:r w:rsidRPr="004C75FF">
        <w:rPr>
          <w:rFonts w:ascii="Times New Roman" w:hAnsi="Times New Roman"/>
          <w:sz w:val="26"/>
          <w:szCs w:val="26"/>
        </w:rPr>
        <w:t xml:space="preserve">  </w:t>
      </w:r>
      <w:r w:rsidR="009104D6">
        <w:rPr>
          <w:rFonts w:ascii="Times New Roman" w:hAnsi="Times New Roman"/>
          <w:i/>
          <w:sz w:val="26"/>
          <w:szCs w:val="26"/>
        </w:rPr>
        <w:t xml:space="preserve">Id. </w:t>
      </w:r>
      <w:r w:rsidR="009104D6">
        <w:rPr>
          <w:rFonts w:ascii="Times New Roman" w:hAnsi="Times New Roman"/>
          <w:sz w:val="26"/>
          <w:szCs w:val="26"/>
        </w:rPr>
        <w:t>at 6</w:t>
      </w:r>
      <w:r w:rsidRPr="004C75FF">
        <w:rPr>
          <w:rFonts w:ascii="Times New Roman" w:hAnsi="Times New Roman"/>
          <w:sz w:val="26"/>
          <w:szCs w:val="26"/>
        </w:rPr>
        <w:t>.</w:t>
      </w:r>
      <w:r>
        <w:rPr>
          <w:rFonts w:ascii="Times New Roman" w:hAnsi="Times New Roman"/>
          <w:sz w:val="26"/>
          <w:szCs w:val="26"/>
        </w:rPr>
        <w:t xml:space="preserve"> </w:t>
      </w:r>
      <w:r w:rsidR="009104D6">
        <w:rPr>
          <w:rFonts w:ascii="Times New Roman" w:hAnsi="Times New Roman"/>
          <w:sz w:val="26"/>
          <w:szCs w:val="26"/>
        </w:rPr>
        <w:t xml:space="preserve"> The PA Marketers </w:t>
      </w:r>
      <w:r w:rsidR="009104D6" w:rsidRPr="004C75FF">
        <w:rPr>
          <w:rFonts w:ascii="Times New Roman" w:hAnsi="Times New Roman"/>
          <w:sz w:val="26"/>
          <w:szCs w:val="26"/>
        </w:rPr>
        <w:t xml:space="preserve">urge the </w:t>
      </w:r>
      <w:r w:rsidR="00A01B4F">
        <w:rPr>
          <w:rFonts w:ascii="Times New Roman" w:hAnsi="Times New Roman"/>
          <w:sz w:val="26"/>
          <w:szCs w:val="26"/>
        </w:rPr>
        <w:t>Commission</w:t>
      </w:r>
      <w:r w:rsidR="00A01B4F" w:rsidRPr="004C75FF">
        <w:rPr>
          <w:rFonts w:ascii="Times New Roman" w:hAnsi="Times New Roman"/>
          <w:sz w:val="26"/>
          <w:szCs w:val="26"/>
        </w:rPr>
        <w:t xml:space="preserve"> </w:t>
      </w:r>
      <w:r w:rsidR="009104D6" w:rsidRPr="004C75FF">
        <w:rPr>
          <w:rFonts w:ascii="Times New Roman" w:hAnsi="Times New Roman"/>
          <w:sz w:val="26"/>
          <w:szCs w:val="26"/>
        </w:rPr>
        <w:t>to adopt a more reasonable timeframe for the price notification notice, such as 10-15 days</w:t>
      </w:r>
      <w:r w:rsidR="00563025">
        <w:rPr>
          <w:rFonts w:ascii="Times New Roman" w:hAnsi="Times New Roman"/>
          <w:sz w:val="26"/>
          <w:szCs w:val="26"/>
        </w:rPr>
        <w:t>,</w:t>
      </w:r>
      <w:r w:rsidR="009104D6">
        <w:rPr>
          <w:rFonts w:ascii="Times New Roman" w:hAnsi="Times New Roman"/>
          <w:sz w:val="26"/>
          <w:szCs w:val="26"/>
        </w:rPr>
        <w:t xml:space="preserve"> and to include </w:t>
      </w:r>
      <w:r w:rsidR="009104D6" w:rsidRPr="004C75FF">
        <w:rPr>
          <w:rFonts w:ascii="Times New Roman" w:hAnsi="Times New Roman"/>
          <w:sz w:val="26"/>
          <w:szCs w:val="26"/>
        </w:rPr>
        <w:t xml:space="preserve">the option of email or SMS </w:t>
      </w:r>
      <w:r w:rsidR="009104D6">
        <w:rPr>
          <w:rFonts w:ascii="Times New Roman" w:hAnsi="Times New Roman"/>
          <w:sz w:val="26"/>
          <w:szCs w:val="26"/>
        </w:rPr>
        <w:t xml:space="preserve">text </w:t>
      </w:r>
      <w:r w:rsidR="009104D6" w:rsidRPr="004C75FF">
        <w:rPr>
          <w:rFonts w:ascii="Times New Roman" w:hAnsi="Times New Roman"/>
          <w:sz w:val="26"/>
          <w:szCs w:val="26"/>
        </w:rPr>
        <w:t xml:space="preserve">notification </w:t>
      </w:r>
      <w:r w:rsidR="009104D6">
        <w:rPr>
          <w:rFonts w:ascii="Times New Roman" w:hAnsi="Times New Roman"/>
          <w:sz w:val="26"/>
          <w:szCs w:val="26"/>
        </w:rPr>
        <w:t>to</w:t>
      </w:r>
      <w:r w:rsidR="009104D6" w:rsidRPr="004C75FF">
        <w:rPr>
          <w:rFonts w:ascii="Times New Roman" w:hAnsi="Times New Roman"/>
          <w:sz w:val="26"/>
          <w:szCs w:val="26"/>
        </w:rPr>
        <w:t xml:space="preserve"> ensure that the customer still receives notice in a timely manner</w:t>
      </w:r>
      <w:r w:rsidR="00563025">
        <w:rPr>
          <w:rFonts w:ascii="Times New Roman" w:hAnsi="Times New Roman"/>
          <w:sz w:val="26"/>
          <w:szCs w:val="26"/>
        </w:rPr>
        <w:t>.</w:t>
      </w:r>
      <w:r w:rsidR="00E273C3">
        <w:rPr>
          <w:rFonts w:ascii="Times New Roman" w:hAnsi="Times New Roman"/>
          <w:sz w:val="26"/>
          <w:szCs w:val="26"/>
        </w:rPr>
        <w:t xml:space="preserve">  </w:t>
      </w:r>
      <w:r w:rsidR="00E273C3">
        <w:rPr>
          <w:rFonts w:ascii="Times New Roman" w:hAnsi="Times New Roman"/>
          <w:i/>
          <w:sz w:val="26"/>
          <w:szCs w:val="26"/>
        </w:rPr>
        <w:t>Id</w:t>
      </w:r>
      <w:r w:rsidR="00E273C3" w:rsidRPr="004C75FF">
        <w:rPr>
          <w:rFonts w:ascii="Times New Roman" w:hAnsi="Times New Roman"/>
          <w:sz w:val="26"/>
          <w:szCs w:val="26"/>
        </w:rPr>
        <w:t>.</w:t>
      </w:r>
      <w:r w:rsidR="00E273C3">
        <w:rPr>
          <w:rFonts w:ascii="Times New Roman" w:hAnsi="Times New Roman"/>
          <w:sz w:val="26"/>
          <w:szCs w:val="26"/>
        </w:rPr>
        <w:t xml:space="preserve"> at 6.</w:t>
      </w:r>
      <w:r w:rsidR="00563025">
        <w:rPr>
          <w:rFonts w:ascii="Times New Roman" w:hAnsi="Times New Roman"/>
          <w:sz w:val="26"/>
          <w:szCs w:val="26"/>
        </w:rPr>
        <w:t xml:space="preserve">  The PA Marketers </w:t>
      </w:r>
      <w:r w:rsidR="00E273C3">
        <w:rPr>
          <w:rFonts w:ascii="Times New Roman" w:hAnsi="Times New Roman"/>
          <w:sz w:val="26"/>
          <w:szCs w:val="26"/>
        </w:rPr>
        <w:t>also believe that</w:t>
      </w:r>
      <w:r w:rsidR="009104D6" w:rsidRPr="004C75FF">
        <w:rPr>
          <w:rFonts w:ascii="Times New Roman" w:hAnsi="Times New Roman"/>
          <w:sz w:val="26"/>
          <w:szCs w:val="26"/>
        </w:rPr>
        <w:t xml:space="preserve"> the NGSs </w:t>
      </w:r>
      <w:r w:rsidR="00563025">
        <w:rPr>
          <w:rFonts w:ascii="Times New Roman" w:hAnsi="Times New Roman"/>
          <w:sz w:val="26"/>
          <w:szCs w:val="26"/>
        </w:rPr>
        <w:t xml:space="preserve">should </w:t>
      </w:r>
      <w:r w:rsidR="009104D6" w:rsidRPr="004C75FF">
        <w:rPr>
          <w:rFonts w:ascii="Times New Roman" w:hAnsi="Times New Roman"/>
          <w:sz w:val="26"/>
          <w:szCs w:val="26"/>
        </w:rPr>
        <w:t xml:space="preserve">have a more reasonable timeframe </w:t>
      </w:r>
      <w:r w:rsidR="009104D6">
        <w:rPr>
          <w:rFonts w:ascii="Times New Roman" w:hAnsi="Times New Roman"/>
          <w:sz w:val="26"/>
          <w:szCs w:val="26"/>
        </w:rPr>
        <w:t>by</w:t>
      </w:r>
      <w:r w:rsidR="009104D6" w:rsidRPr="004C75FF">
        <w:rPr>
          <w:rFonts w:ascii="Times New Roman" w:hAnsi="Times New Roman"/>
          <w:sz w:val="26"/>
          <w:szCs w:val="26"/>
        </w:rPr>
        <w:t xml:space="preserve"> which to determine the variable price f</w:t>
      </w:r>
      <w:r w:rsidR="009104D6">
        <w:rPr>
          <w:rFonts w:ascii="Times New Roman" w:hAnsi="Times New Roman"/>
          <w:sz w:val="26"/>
          <w:szCs w:val="26"/>
        </w:rPr>
        <w:t xml:space="preserve">or the next billing cycle.  </w:t>
      </w:r>
      <w:r w:rsidR="009104D6">
        <w:rPr>
          <w:rFonts w:ascii="Times New Roman" w:hAnsi="Times New Roman"/>
          <w:i/>
          <w:sz w:val="26"/>
          <w:szCs w:val="26"/>
        </w:rPr>
        <w:t>Id</w:t>
      </w:r>
      <w:r w:rsidR="009104D6" w:rsidRPr="004C75FF">
        <w:rPr>
          <w:rFonts w:ascii="Times New Roman" w:hAnsi="Times New Roman"/>
          <w:sz w:val="26"/>
          <w:szCs w:val="26"/>
        </w:rPr>
        <w:t>.</w:t>
      </w:r>
      <w:r w:rsidR="009104D6">
        <w:rPr>
          <w:rFonts w:ascii="Times New Roman" w:hAnsi="Times New Roman"/>
          <w:sz w:val="26"/>
          <w:szCs w:val="26"/>
        </w:rPr>
        <w:t xml:space="preserve"> </w:t>
      </w:r>
    </w:p>
    <w:p w:rsidR="00901ED2" w:rsidRDefault="00901ED2" w:rsidP="009104D6">
      <w:pPr>
        <w:pStyle w:val="NoSpacing"/>
        <w:spacing w:line="360" w:lineRule="auto"/>
        <w:rPr>
          <w:rFonts w:ascii="Times New Roman" w:hAnsi="Times New Roman"/>
          <w:sz w:val="26"/>
          <w:szCs w:val="26"/>
        </w:rPr>
      </w:pPr>
      <w:r>
        <w:rPr>
          <w:rFonts w:ascii="Times New Roman" w:eastAsia="Times New Roman" w:hAnsi="Times New Roman"/>
          <w:color w:val="000000"/>
          <w:sz w:val="26"/>
          <w:szCs w:val="26"/>
        </w:rPr>
        <w:t xml:space="preserve"> </w:t>
      </w:r>
    </w:p>
    <w:p w:rsidR="001B7F5A" w:rsidRPr="004C75FF" w:rsidRDefault="00BE07F6" w:rsidP="001B7F5A">
      <w:pPr>
        <w:pStyle w:val="NoSpacing"/>
        <w:spacing w:line="360" w:lineRule="auto"/>
        <w:ind w:firstLine="720"/>
        <w:rPr>
          <w:rFonts w:ascii="Times New Roman" w:hAnsi="Times New Roman"/>
          <w:sz w:val="26"/>
          <w:szCs w:val="26"/>
        </w:rPr>
      </w:pPr>
      <w:r w:rsidRPr="004C75FF">
        <w:rPr>
          <w:rFonts w:ascii="Times New Roman" w:hAnsi="Times New Roman"/>
          <w:sz w:val="26"/>
          <w:szCs w:val="26"/>
        </w:rPr>
        <w:t>RESA</w:t>
      </w:r>
      <w:r w:rsidR="00472394">
        <w:rPr>
          <w:rFonts w:ascii="Times New Roman" w:hAnsi="Times New Roman"/>
          <w:sz w:val="26"/>
          <w:szCs w:val="26"/>
        </w:rPr>
        <w:t>, the PA Marketers, and WGL</w:t>
      </w:r>
      <w:r w:rsidRPr="004C75FF">
        <w:rPr>
          <w:rFonts w:ascii="Times New Roman" w:hAnsi="Times New Roman"/>
          <w:sz w:val="26"/>
          <w:szCs w:val="26"/>
        </w:rPr>
        <w:t xml:space="preserve"> urge the Commission to permit </w:t>
      </w:r>
      <w:r>
        <w:rPr>
          <w:rFonts w:ascii="Times New Roman" w:hAnsi="Times New Roman"/>
          <w:sz w:val="26"/>
          <w:szCs w:val="26"/>
        </w:rPr>
        <w:t>the</w:t>
      </w:r>
      <w:r w:rsidRPr="004C75FF">
        <w:rPr>
          <w:rFonts w:ascii="Times New Roman" w:hAnsi="Times New Roman"/>
          <w:sz w:val="26"/>
          <w:szCs w:val="26"/>
        </w:rPr>
        <w:t xml:space="preserve"> options notices to be sent </w:t>
      </w:r>
      <w:r>
        <w:rPr>
          <w:rFonts w:ascii="Times New Roman" w:hAnsi="Times New Roman"/>
          <w:sz w:val="26"/>
          <w:szCs w:val="26"/>
        </w:rPr>
        <w:t>e</w:t>
      </w:r>
      <w:r w:rsidRPr="004C75FF">
        <w:rPr>
          <w:rFonts w:ascii="Times New Roman" w:hAnsi="Times New Roman"/>
          <w:sz w:val="26"/>
          <w:szCs w:val="26"/>
        </w:rPr>
        <w:t xml:space="preserve">lectronically, provided that the customer has agreed to accept electronic communications. </w:t>
      </w:r>
      <w:r w:rsidR="00E37828">
        <w:rPr>
          <w:rFonts w:ascii="Times New Roman" w:hAnsi="Times New Roman"/>
          <w:sz w:val="26"/>
          <w:szCs w:val="26"/>
        </w:rPr>
        <w:t xml:space="preserve"> RESA Comments at 18</w:t>
      </w:r>
      <w:r w:rsidR="009104D6">
        <w:rPr>
          <w:rFonts w:ascii="Times New Roman" w:hAnsi="Times New Roman"/>
          <w:sz w:val="26"/>
          <w:szCs w:val="26"/>
        </w:rPr>
        <w:t>; PA Marketers Comments at 7</w:t>
      </w:r>
      <w:r w:rsidR="00472394">
        <w:rPr>
          <w:rFonts w:ascii="Times New Roman" w:hAnsi="Times New Roman"/>
          <w:sz w:val="26"/>
          <w:szCs w:val="26"/>
        </w:rPr>
        <w:t>; WGL Comments at 14</w:t>
      </w:r>
      <w:r w:rsidR="00E37828">
        <w:rPr>
          <w:rFonts w:ascii="Times New Roman" w:hAnsi="Times New Roman"/>
          <w:sz w:val="26"/>
          <w:szCs w:val="26"/>
        </w:rPr>
        <w:t>.  RESA</w:t>
      </w:r>
      <w:r w:rsidR="009104D6">
        <w:rPr>
          <w:rFonts w:ascii="Times New Roman" w:hAnsi="Times New Roman"/>
          <w:sz w:val="26"/>
          <w:szCs w:val="26"/>
        </w:rPr>
        <w:t xml:space="preserve"> and the PA Marketers</w:t>
      </w:r>
      <w:r w:rsidR="00E37828">
        <w:rPr>
          <w:rFonts w:ascii="Times New Roman" w:hAnsi="Times New Roman"/>
          <w:sz w:val="26"/>
          <w:szCs w:val="26"/>
        </w:rPr>
        <w:t xml:space="preserve"> believe that in today’s world of </w:t>
      </w:r>
      <w:r w:rsidR="00E37828">
        <w:rPr>
          <w:rFonts w:ascii="Times New Roman" w:hAnsi="Times New Roman"/>
          <w:sz w:val="26"/>
          <w:szCs w:val="26"/>
        </w:rPr>
        <w:lastRenderedPageBreak/>
        <w:t xml:space="preserve">ever-increasing electronic communication, </w:t>
      </w:r>
      <w:r>
        <w:rPr>
          <w:rFonts w:ascii="Times New Roman" w:hAnsi="Times New Roman"/>
          <w:sz w:val="26"/>
          <w:szCs w:val="26"/>
        </w:rPr>
        <w:t>e</w:t>
      </w:r>
      <w:r w:rsidRPr="004C75FF">
        <w:rPr>
          <w:rFonts w:ascii="Times New Roman" w:hAnsi="Times New Roman"/>
          <w:sz w:val="26"/>
          <w:szCs w:val="26"/>
        </w:rPr>
        <w:t xml:space="preserve">mbedding a first class mail requirement in </w:t>
      </w:r>
      <w:r w:rsidR="00E37828">
        <w:rPr>
          <w:rFonts w:ascii="Times New Roman" w:hAnsi="Times New Roman"/>
          <w:sz w:val="26"/>
          <w:szCs w:val="26"/>
        </w:rPr>
        <w:t xml:space="preserve">the </w:t>
      </w:r>
      <w:r w:rsidRPr="004C75FF">
        <w:rPr>
          <w:rFonts w:ascii="Times New Roman" w:hAnsi="Times New Roman"/>
          <w:sz w:val="26"/>
          <w:szCs w:val="26"/>
        </w:rPr>
        <w:t>regulations</w:t>
      </w:r>
      <w:r w:rsidR="00E37828">
        <w:rPr>
          <w:rFonts w:ascii="Times New Roman" w:hAnsi="Times New Roman"/>
          <w:sz w:val="26"/>
          <w:szCs w:val="26"/>
        </w:rPr>
        <w:t xml:space="preserve"> </w:t>
      </w:r>
      <w:r w:rsidRPr="004C75FF">
        <w:rPr>
          <w:rFonts w:ascii="Times New Roman" w:hAnsi="Times New Roman"/>
          <w:sz w:val="26"/>
          <w:szCs w:val="26"/>
        </w:rPr>
        <w:t xml:space="preserve">would be </w:t>
      </w:r>
      <w:r w:rsidR="00E37828">
        <w:rPr>
          <w:rFonts w:ascii="Times New Roman" w:hAnsi="Times New Roman"/>
          <w:sz w:val="26"/>
          <w:szCs w:val="26"/>
        </w:rPr>
        <w:t>im</w:t>
      </w:r>
      <w:r w:rsidRPr="004C75FF">
        <w:rPr>
          <w:rFonts w:ascii="Times New Roman" w:hAnsi="Times New Roman"/>
          <w:sz w:val="26"/>
          <w:szCs w:val="26"/>
        </w:rPr>
        <w:t>prudent</w:t>
      </w:r>
      <w:r w:rsidR="00E37828">
        <w:rPr>
          <w:rFonts w:ascii="Times New Roman" w:hAnsi="Times New Roman"/>
          <w:sz w:val="26"/>
          <w:szCs w:val="26"/>
        </w:rPr>
        <w:t xml:space="preserve"> as that form of communication </w:t>
      </w:r>
      <w:r w:rsidR="00E273C3">
        <w:rPr>
          <w:rFonts w:ascii="Times New Roman" w:hAnsi="Times New Roman"/>
          <w:sz w:val="26"/>
          <w:szCs w:val="26"/>
        </w:rPr>
        <w:t xml:space="preserve">may </w:t>
      </w:r>
      <w:r w:rsidR="00E37828">
        <w:rPr>
          <w:rFonts w:ascii="Times New Roman" w:hAnsi="Times New Roman"/>
          <w:sz w:val="26"/>
          <w:szCs w:val="26"/>
        </w:rPr>
        <w:t>become outdated</w:t>
      </w:r>
      <w:r w:rsidRPr="004C75FF">
        <w:rPr>
          <w:rFonts w:ascii="Times New Roman" w:hAnsi="Times New Roman"/>
          <w:sz w:val="26"/>
          <w:szCs w:val="26"/>
        </w:rPr>
        <w:t xml:space="preserve">. </w:t>
      </w:r>
      <w:r>
        <w:rPr>
          <w:rFonts w:ascii="Times New Roman" w:hAnsi="Times New Roman"/>
          <w:sz w:val="26"/>
          <w:szCs w:val="26"/>
        </w:rPr>
        <w:t xml:space="preserve"> </w:t>
      </w:r>
      <w:r w:rsidR="00A01B4F">
        <w:rPr>
          <w:rFonts w:ascii="Times New Roman" w:hAnsi="Times New Roman"/>
          <w:sz w:val="26"/>
          <w:szCs w:val="26"/>
        </w:rPr>
        <w:t>RESA Comments at 18; PA Marketers Comments at 7</w:t>
      </w:r>
      <w:r w:rsidR="00E37828">
        <w:rPr>
          <w:rFonts w:ascii="Times New Roman" w:hAnsi="Times New Roman"/>
          <w:i/>
          <w:sz w:val="26"/>
          <w:szCs w:val="26"/>
        </w:rPr>
        <w:t>.</w:t>
      </w:r>
      <w:r>
        <w:rPr>
          <w:rFonts w:ascii="Times New Roman" w:hAnsi="Times New Roman"/>
          <w:sz w:val="26"/>
          <w:szCs w:val="26"/>
        </w:rPr>
        <w:t xml:space="preserve">  </w:t>
      </w:r>
      <w:r w:rsidRPr="004C75FF">
        <w:rPr>
          <w:rFonts w:ascii="Times New Roman" w:hAnsi="Times New Roman"/>
          <w:sz w:val="26"/>
          <w:szCs w:val="26"/>
        </w:rPr>
        <w:t>RESA</w:t>
      </w:r>
      <w:r w:rsidR="00472394">
        <w:rPr>
          <w:rFonts w:ascii="Times New Roman" w:hAnsi="Times New Roman"/>
          <w:sz w:val="26"/>
          <w:szCs w:val="26"/>
        </w:rPr>
        <w:t>, the PA Marketers, and WGL</w:t>
      </w:r>
      <w:r w:rsidRPr="004C75FF">
        <w:rPr>
          <w:rFonts w:ascii="Times New Roman" w:hAnsi="Times New Roman"/>
          <w:sz w:val="26"/>
          <w:szCs w:val="26"/>
        </w:rPr>
        <w:t xml:space="preserve"> also </w:t>
      </w:r>
      <w:r w:rsidR="00E37828">
        <w:rPr>
          <w:rFonts w:ascii="Times New Roman" w:hAnsi="Times New Roman"/>
          <w:sz w:val="26"/>
          <w:szCs w:val="26"/>
        </w:rPr>
        <w:t>believe</w:t>
      </w:r>
      <w:r w:rsidRPr="004C75FF">
        <w:rPr>
          <w:rFonts w:ascii="Times New Roman" w:hAnsi="Times New Roman"/>
          <w:sz w:val="26"/>
          <w:szCs w:val="26"/>
        </w:rPr>
        <w:t xml:space="preserve"> </w:t>
      </w:r>
      <w:r w:rsidR="00472394">
        <w:rPr>
          <w:rFonts w:ascii="Times New Roman" w:hAnsi="Times New Roman"/>
          <w:sz w:val="26"/>
          <w:szCs w:val="26"/>
        </w:rPr>
        <w:t xml:space="preserve">that </w:t>
      </w:r>
      <w:r w:rsidRPr="004C75FF">
        <w:rPr>
          <w:rFonts w:ascii="Times New Roman" w:hAnsi="Times New Roman"/>
          <w:sz w:val="26"/>
          <w:szCs w:val="26"/>
        </w:rPr>
        <w:t xml:space="preserve">the options notice </w:t>
      </w:r>
      <w:r w:rsidR="00E37828">
        <w:rPr>
          <w:rFonts w:ascii="Times New Roman" w:hAnsi="Times New Roman"/>
          <w:sz w:val="26"/>
          <w:szCs w:val="26"/>
        </w:rPr>
        <w:t>is</w:t>
      </w:r>
      <w:r w:rsidRPr="004C75FF">
        <w:rPr>
          <w:rFonts w:ascii="Times New Roman" w:hAnsi="Times New Roman"/>
          <w:sz w:val="26"/>
          <w:szCs w:val="26"/>
        </w:rPr>
        <w:t xml:space="preserve"> unnecessary in </w:t>
      </w:r>
      <w:r w:rsidR="00E37828">
        <w:rPr>
          <w:rFonts w:ascii="Times New Roman" w:hAnsi="Times New Roman"/>
          <w:sz w:val="26"/>
          <w:szCs w:val="26"/>
        </w:rPr>
        <w:t>a</w:t>
      </w:r>
      <w:r w:rsidRPr="004C75FF">
        <w:rPr>
          <w:rFonts w:ascii="Times New Roman" w:hAnsi="Times New Roman"/>
          <w:sz w:val="26"/>
          <w:szCs w:val="26"/>
        </w:rPr>
        <w:t xml:space="preserve"> situation where the NGS does not propose any changes in terms of service. </w:t>
      </w:r>
      <w:r w:rsidR="00E37828">
        <w:rPr>
          <w:rFonts w:ascii="Times New Roman" w:hAnsi="Times New Roman"/>
          <w:sz w:val="26"/>
          <w:szCs w:val="26"/>
        </w:rPr>
        <w:t xml:space="preserve"> </w:t>
      </w:r>
      <w:r w:rsidR="00472394">
        <w:rPr>
          <w:rFonts w:ascii="Times New Roman" w:hAnsi="Times New Roman"/>
          <w:sz w:val="26"/>
          <w:szCs w:val="26"/>
        </w:rPr>
        <w:t>RESA Comments</w:t>
      </w:r>
      <w:r w:rsidR="00E37828">
        <w:rPr>
          <w:rFonts w:ascii="Times New Roman" w:hAnsi="Times New Roman"/>
          <w:i/>
          <w:sz w:val="26"/>
          <w:szCs w:val="26"/>
        </w:rPr>
        <w:t xml:space="preserve"> </w:t>
      </w:r>
      <w:r w:rsidR="00E37828">
        <w:rPr>
          <w:rFonts w:ascii="Times New Roman" w:hAnsi="Times New Roman"/>
          <w:sz w:val="26"/>
          <w:szCs w:val="26"/>
        </w:rPr>
        <w:t xml:space="preserve">at 19 (suggesting </w:t>
      </w:r>
      <w:r w:rsidRPr="004C75FF">
        <w:rPr>
          <w:rFonts w:ascii="Times New Roman" w:hAnsi="Times New Roman"/>
          <w:sz w:val="26"/>
          <w:szCs w:val="26"/>
        </w:rPr>
        <w:t>that the content of the initial notice should be revised to note that an options notice will be sent only if there is a proposed change in the terms of service</w:t>
      </w:r>
      <w:r w:rsidR="00E37828">
        <w:rPr>
          <w:rFonts w:ascii="Times New Roman" w:hAnsi="Times New Roman"/>
          <w:sz w:val="26"/>
          <w:szCs w:val="26"/>
        </w:rPr>
        <w:t>)</w:t>
      </w:r>
      <w:r w:rsidR="009104D6">
        <w:rPr>
          <w:rFonts w:ascii="Times New Roman" w:hAnsi="Times New Roman"/>
          <w:sz w:val="26"/>
          <w:szCs w:val="26"/>
        </w:rPr>
        <w:t>; PA Marketers Comments at 7</w:t>
      </w:r>
      <w:r w:rsidR="00472394">
        <w:rPr>
          <w:rFonts w:ascii="Times New Roman" w:hAnsi="Times New Roman"/>
          <w:sz w:val="26"/>
          <w:szCs w:val="26"/>
        </w:rPr>
        <w:t>; WGL Comments at 14</w:t>
      </w:r>
      <w:r w:rsidR="00E37828">
        <w:rPr>
          <w:rFonts w:ascii="Times New Roman" w:hAnsi="Times New Roman"/>
          <w:sz w:val="26"/>
          <w:szCs w:val="26"/>
        </w:rPr>
        <w:t>.</w:t>
      </w:r>
      <w:r w:rsidR="00BB5CDF">
        <w:rPr>
          <w:rFonts w:ascii="Times New Roman" w:hAnsi="Times New Roman"/>
          <w:sz w:val="26"/>
          <w:szCs w:val="26"/>
        </w:rPr>
        <w:t xml:space="preserve">  The National Marketers suggest</w:t>
      </w:r>
      <w:r w:rsidRPr="004C75FF">
        <w:rPr>
          <w:rFonts w:ascii="Times New Roman" w:hAnsi="Times New Roman"/>
          <w:sz w:val="26"/>
          <w:szCs w:val="26"/>
        </w:rPr>
        <w:t xml:space="preserve"> that if the customer has provided the NGS with an alternative means of contact besides </w:t>
      </w:r>
      <w:r w:rsidR="00BB5CDF">
        <w:rPr>
          <w:rFonts w:ascii="Times New Roman" w:hAnsi="Times New Roman"/>
          <w:sz w:val="26"/>
          <w:szCs w:val="26"/>
        </w:rPr>
        <w:t xml:space="preserve">mailing </w:t>
      </w:r>
      <w:r w:rsidRPr="004C75FF">
        <w:rPr>
          <w:rFonts w:ascii="Times New Roman" w:hAnsi="Times New Roman"/>
          <w:sz w:val="26"/>
          <w:szCs w:val="26"/>
        </w:rPr>
        <w:t>address</w:t>
      </w:r>
      <w:r w:rsidR="00BB5CDF">
        <w:rPr>
          <w:rFonts w:ascii="Times New Roman" w:hAnsi="Times New Roman"/>
          <w:sz w:val="26"/>
          <w:szCs w:val="26"/>
        </w:rPr>
        <w:t xml:space="preserve"> (</w:t>
      </w:r>
      <w:r w:rsidR="00BB5CDF" w:rsidRPr="002C74D1">
        <w:rPr>
          <w:rFonts w:ascii="Times New Roman" w:hAnsi="Times New Roman"/>
          <w:i/>
          <w:sz w:val="26"/>
          <w:szCs w:val="26"/>
        </w:rPr>
        <w:t>e.g.,</w:t>
      </w:r>
      <w:r w:rsidR="00BB5CDF">
        <w:rPr>
          <w:rFonts w:ascii="Times New Roman" w:hAnsi="Times New Roman"/>
          <w:sz w:val="26"/>
          <w:szCs w:val="26"/>
        </w:rPr>
        <w:t xml:space="preserve"> email address or cellular phone </w:t>
      </w:r>
      <w:r w:rsidRPr="004C75FF">
        <w:rPr>
          <w:rFonts w:ascii="Times New Roman" w:hAnsi="Times New Roman"/>
          <w:sz w:val="26"/>
          <w:szCs w:val="26"/>
        </w:rPr>
        <w:t>number for text notifications</w:t>
      </w:r>
      <w:r w:rsidR="00BB5CDF">
        <w:rPr>
          <w:rFonts w:ascii="Times New Roman" w:hAnsi="Times New Roman"/>
          <w:sz w:val="26"/>
          <w:szCs w:val="26"/>
        </w:rPr>
        <w:t>)</w:t>
      </w:r>
      <w:r w:rsidRPr="004C75FF">
        <w:rPr>
          <w:rFonts w:ascii="Times New Roman" w:hAnsi="Times New Roman"/>
          <w:sz w:val="26"/>
          <w:szCs w:val="26"/>
        </w:rPr>
        <w:t xml:space="preserve">, the supplier should be </w:t>
      </w:r>
      <w:r w:rsidR="00901ED2">
        <w:rPr>
          <w:rFonts w:ascii="Times New Roman" w:hAnsi="Times New Roman"/>
          <w:sz w:val="26"/>
          <w:szCs w:val="26"/>
        </w:rPr>
        <w:t>allowe</w:t>
      </w:r>
      <w:r w:rsidRPr="004C75FF">
        <w:rPr>
          <w:rFonts w:ascii="Times New Roman" w:hAnsi="Times New Roman"/>
          <w:sz w:val="26"/>
          <w:szCs w:val="26"/>
        </w:rPr>
        <w:t>d to honor the customer's expressed prefer</w:t>
      </w:r>
      <w:r w:rsidR="00901ED2">
        <w:rPr>
          <w:rFonts w:ascii="Times New Roman" w:hAnsi="Times New Roman"/>
          <w:sz w:val="26"/>
          <w:szCs w:val="26"/>
        </w:rPr>
        <w:t xml:space="preserve">red means of contact for receiving the </w:t>
      </w:r>
      <w:r w:rsidRPr="004C75FF">
        <w:rPr>
          <w:rFonts w:ascii="Times New Roman" w:hAnsi="Times New Roman"/>
          <w:sz w:val="26"/>
          <w:szCs w:val="26"/>
        </w:rPr>
        <w:t xml:space="preserve">options notice.  </w:t>
      </w:r>
      <w:r w:rsidR="00901ED2">
        <w:rPr>
          <w:rFonts w:ascii="Times New Roman" w:hAnsi="Times New Roman"/>
          <w:sz w:val="26"/>
          <w:szCs w:val="26"/>
        </w:rPr>
        <w:t>National Marketers Comments at 7-8</w:t>
      </w:r>
      <w:r w:rsidRPr="004C75FF">
        <w:rPr>
          <w:rFonts w:ascii="Times New Roman" w:hAnsi="Times New Roman"/>
          <w:sz w:val="26"/>
          <w:szCs w:val="26"/>
        </w:rPr>
        <w:t>.</w:t>
      </w:r>
      <w:r w:rsidR="00472394">
        <w:rPr>
          <w:rFonts w:ascii="Times New Roman" w:hAnsi="Times New Roman"/>
          <w:sz w:val="26"/>
          <w:szCs w:val="26"/>
        </w:rPr>
        <w:t xml:space="preserve"> </w:t>
      </w:r>
      <w:r w:rsidR="001B7F5A">
        <w:rPr>
          <w:rFonts w:ascii="Times New Roman" w:hAnsi="Times New Roman"/>
          <w:sz w:val="26"/>
          <w:szCs w:val="26"/>
        </w:rPr>
        <w:t xml:space="preserve"> </w:t>
      </w:r>
    </w:p>
    <w:p w:rsidR="00BE07F6" w:rsidRPr="004C75FF" w:rsidRDefault="00BE07F6" w:rsidP="00BE07F6">
      <w:pPr>
        <w:spacing w:line="360" w:lineRule="auto"/>
        <w:rPr>
          <w:rFonts w:ascii="Times New Roman" w:hAnsi="Times New Roman"/>
          <w:sz w:val="26"/>
          <w:szCs w:val="26"/>
        </w:rPr>
      </w:pPr>
    </w:p>
    <w:p w:rsidR="00BE07F6" w:rsidRDefault="00C0767A" w:rsidP="006849B6">
      <w:pPr>
        <w:pStyle w:val="NoSpacing"/>
        <w:spacing w:line="360" w:lineRule="auto"/>
        <w:ind w:firstLine="720"/>
        <w:rPr>
          <w:rFonts w:ascii="Times New Roman" w:hAnsi="Times New Roman"/>
          <w:sz w:val="26"/>
          <w:szCs w:val="26"/>
        </w:rPr>
      </w:pPr>
      <w:r>
        <w:rPr>
          <w:rFonts w:ascii="Times New Roman" w:hAnsi="Times New Roman"/>
          <w:sz w:val="26"/>
          <w:szCs w:val="26"/>
        </w:rPr>
        <w:t xml:space="preserve">In contrast to the Commission’s assertion in the </w:t>
      </w:r>
      <w:r>
        <w:rPr>
          <w:rFonts w:ascii="Times New Roman" w:hAnsi="Times New Roman"/>
          <w:i/>
          <w:sz w:val="26"/>
          <w:szCs w:val="26"/>
        </w:rPr>
        <w:t xml:space="preserve">Proposed Rulemaking Order </w:t>
      </w:r>
      <w:r>
        <w:rPr>
          <w:rFonts w:ascii="Times New Roman" w:hAnsi="Times New Roman"/>
          <w:sz w:val="26"/>
          <w:szCs w:val="26"/>
        </w:rPr>
        <w:t>at this Docket regarding proposed Section 62.81(</w:t>
      </w:r>
      <w:r w:rsidR="001B7F5A">
        <w:rPr>
          <w:rFonts w:ascii="Times New Roman" w:hAnsi="Times New Roman"/>
          <w:sz w:val="26"/>
          <w:szCs w:val="26"/>
        </w:rPr>
        <w:t>b)(1)(</w:t>
      </w:r>
      <w:proofErr w:type="spellStart"/>
      <w:r w:rsidR="001B7F5A">
        <w:rPr>
          <w:rFonts w:ascii="Times New Roman" w:hAnsi="Times New Roman"/>
          <w:sz w:val="26"/>
          <w:szCs w:val="26"/>
        </w:rPr>
        <w:t>i</w:t>
      </w:r>
      <w:proofErr w:type="spellEnd"/>
      <w:r w:rsidR="001B7F5A">
        <w:rPr>
          <w:rFonts w:ascii="Times New Roman" w:hAnsi="Times New Roman"/>
          <w:sz w:val="26"/>
          <w:szCs w:val="26"/>
        </w:rPr>
        <w:t>)</w:t>
      </w:r>
      <w:r>
        <w:rPr>
          <w:rFonts w:ascii="Times New Roman" w:hAnsi="Times New Roman"/>
          <w:sz w:val="26"/>
          <w:szCs w:val="26"/>
        </w:rPr>
        <w:t xml:space="preserve">, </w:t>
      </w:r>
      <w:r w:rsidR="00BE07F6" w:rsidRPr="004C75FF">
        <w:rPr>
          <w:rFonts w:ascii="Times New Roman" w:hAnsi="Times New Roman"/>
          <w:sz w:val="26"/>
          <w:szCs w:val="26"/>
        </w:rPr>
        <w:t xml:space="preserve">WGL </w:t>
      </w:r>
      <w:r w:rsidR="006849B6">
        <w:rPr>
          <w:rFonts w:ascii="Times New Roman" w:hAnsi="Times New Roman"/>
          <w:sz w:val="26"/>
          <w:szCs w:val="26"/>
        </w:rPr>
        <w:t>contend</w:t>
      </w:r>
      <w:r w:rsidR="00BE07F6">
        <w:rPr>
          <w:rFonts w:ascii="Times New Roman" w:hAnsi="Times New Roman"/>
          <w:sz w:val="26"/>
          <w:szCs w:val="26"/>
        </w:rPr>
        <w:t xml:space="preserve">s that </w:t>
      </w:r>
      <w:r w:rsidR="00BE07F6" w:rsidRPr="004C75FF">
        <w:rPr>
          <w:rFonts w:ascii="Times New Roman" w:eastAsia="Times New Roman" w:hAnsi="Times New Roman"/>
          <w:color w:val="000000"/>
          <w:sz w:val="26"/>
          <w:szCs w:val="26"/>
        </w:rPr>
        <w:t>auto-renewals that include cancellation fees are</w:t>
      </w:r>
      <w:r>
        <w:rPr>
          <w:rFonts w:ascii="Times New Roman" w:eastAsia="Times New Roman" w:hAnsi="Times New Roman"/>
          <w:color w:val="000000"/>
          <w:sz w:val="26"/>
          <w:szCs w:val="26"/>
        </w:rPr>
        <w:t xml:space="preserve"> </w:t>
      </w:r>
      <w:r w:rsidR="00BE07F6" w:rsidRPr="004C75FF">
        <w:rPr>
          <w:rFonts w:ascii="Times New Roman" w:eastAsia="Times New Roman" w:hAnsi="Times New Roman"/>
          <w:color w:val="000000"/>
          <w:sz w:val="26"/>
          <w:szCs w:val="26"/>
        </w:rPr>
        <w:t xml:space="preserve">sound public policy. </w:t>
      </w:r>
      <w:r>
        <w:rPr>
          <w:rFonts w:ascii="Times New Roman" w:eastAsia="Times New Roman" w:hAnsi="Times New Roman"/>
          <w:color w:val="000000"/>
          <w:sz w:val="26"/>
          <w:szCs w:val="26"/>
        </w:rPr>
        <w:t xml:space="preserve"> WGL Comments at 10.  </w:t>
      </w:r>
      <w:r w:rsidR="00BE07F6">
        <w:rPr>
          <w:rFonts w:ascii="Times New Roman" w:eastAsia="Times New Roman" w:hAnsi="Times New Roman"/>
          <w:color w:val="000000"/>
          <w:sz w:val="26"/>
          <w:szCs w:val="26"/>
        </w:rPr>
        <w:t>WGL notes that s</w:t>
      </w:r>
      <w:r>
        <w:rPr>
          <w:rFonts w:ascii="Times New Roman" w:eastAsia="Times New Roman" w:hAnsi="Times New Roman"/>
          <w:color w:val="000000"/>
          <w:sz w:val="26"/>
          <w:szCs w:val="26"/>
        </w:rPr>
        <w:t>imilar</w:t>
      </w:r>
      <w:r w:rsidR="00BE07F6" w:rsidRPr="004C75FF">
        <w:rPr>
          <w:rFonts w:ascii="Times New Roman" w:eastAsia="Times New Roman" w:hAnsi="Times New Roman"/>
          <w:color w:val="000000"/>
          <w:sz w:val="26"/>
          <w:szCs w:val="26"/>
        </w:rPr>
        <w:t xml:space="preserve"> processes have been in place in Maryland since the inception of choice programs there (1997 for gas choice and 2001 for electric choice) and have worked effectively and efficiently. </w:t>
      </w:r>
      <w:r>
        <w:rPr>
          <w:rFonts w:ascii="Times New Roman" w:eastAsia="Times New Roman" w:hAnsi="Times New Roman"/>
          <w:color w:val="000000"/>
          <w:sz w:val="26"/>
          <w:szCs w:val="26"/>
        </w:rPr>
        <w:t xml:space="preserve"> </w:t>
      </w:r>
      <w:r>
        <w:rPr>
          <w:rFonts w:ascii="Times New Roman" w:eastAsia="Times New Roman" w:hAnsi="Times New Roman"/>
          <w:i/>
          <w:color w:val="000000"/>
          <w:sz w:val="26"/>
          <w:szCs w:val="26"/>
        </w:rPr>
        <w:t>Id</w:t>
      </w:r>
      <w:r w:rsidR="00BE07F6" w:rsidRPr="004C75FF">
        <w:rPr>
          <w:rFonts w:ascii="Times New Roman" w:eastAsia="Times New Roman" w:hAnsi="Times New Roman"/>
          <w:color w:val="000000"/>
          <w:sz w:val="26"/>
          <w:szCs w:val="26"/>
        </w:rPr>
        <w:t>.</w:t>
      </w:r>
      <w:r w:rsidR="00BE07F6">
        <w:rPr>
          <w:rFonts w:ascii="Times New Roman" w:eastAsia="Times New Roman" w:hAnsi="Times New Roman"/>
          <w:color w:val="000000"/>
          <w:sz w:val="26"/>
          <w:szCs w:val="26"/>
        </w:rPr>
        <w:t xml:space="preserve">  WGL</w:t>
      </w:r>
      <w:r w:rsidR="001B7F5A">
        <w:rPr>
          <w:rFonts w:ascii="Times New Roman" w:eastAsia="Times New Roman" w:hAnsi="Times New Roman"/>
          <w:color w:val="000000"/>
          <w:sz w:val="26"/>
          <w:szCs w:val="26"/>
        </w:rPr>
        <w:t>, which has one of the largest shopping customer bases in Maryland,</w:t>
      </w:r>
      <w:r w:rsidR="00BE07F6">
        <w:rPr>
          <w:rFonts w:ascii="Times New Roman" w:eastAsia="Times New Roman" w:hAnsi="Times New Roman"/>
          <w:color w:val="000000"/>
          <w:sz w:val="26"/>
          <w:szCs w:val="26"/>
        </w:rPr>
        <w:t xml:space="preserve"> reports that the </w:t>
      </w:r>
      <w:r w:rsidR="00BE07F6" w:rsidRPr="004C75FF">
        <w:rPr>
          <w:rFonts w:ascii="Times New Roman" w:hAnsi="Times New Roman"/>
          <w:sz w:val="26"/>
          <w:szCs w:val="26"/>
        </w:rPr>
        <w:t>average WGL customer in Maryland has been with the company under a contract wit</w:t>
      </w:r>
      <w:r w:rsidR="001B7F5A">
        <w:rPr>
          <w:rFonts w:ascii="Times New Roman" w:hAnsi="Times New Roman"/>
          <w:sz w:val="26"/>
          <w:szCs w:val="26"/>
        </w:rPr>
        <w:t>h fixed price auto-renewal for seven</w:t>
      </w:r>
      <w:r w:rsidR="00BE07F6" w:rsidRPr="004C75FF">
        <w:rPr>
          <w:rFonts w:ascii="Times New Roman" w:hAnsi="Times New Roman"/>
          <w:sz w:val="26"/>
          <w:szCs w:val="26"/>
        </w:rPr>
        <w:t xml:space="preserve"> years.</w:t>
      </w:r>
      <w:r w:rsidR="001B7F5A">
        <w:rPr>
          <w:rFonts w:ascii="Times New Roman" w:hAnsi="Times New Roman"/>
          <w:sz w:val="26"/>
          <w:szCs w:val="26"/>
        </w:rPr>
        <w:t xml:space="preserve">  </w:t>
      </w:r>
      <w:r w:rsidR="001B7F5A">
        <w:rPr>
          <w:rFonts w:ascii="Times New Roman" w:hAnsi="Times New Roman"/>
          <w:i/>
          <w:sz w:val="26"/>
          <w:szCs w:val="26"/>
        </w:rPr>
        <w:t>Id.</w:t>
      </w:r>
      <w:r w:rsidR="001B7F5A">
        <w:rPr>
          <w:rFonts w:ascii="Times New Roman" w:hAnsi="Times New Roman"/>
          <w:sz w:val="26"/>
          <w:szCs w:val="26"/>
        </w:rPr>
        <w:t xml:space="preserve"> at 10-11.</w:t>
      </w:r>
      <w:r w:rsidR="00BE07F6" w:rsidRPr="004C75FF">
        <w:rPr>
          <w:rFonts w:ascii="Times New Roman" w:hAnsi="Times New Roman"/>
          <w:sz w:val="26"/>
          <w:szCs w:val="26"/>
        </w:rPr>
        <w:t xml:space="preserve"> </w:t>
      </w:r>
      <w:r>
        <w:rPr>
          <w:rFonts w:ascii="Times New Roman" w:hAnsi="Times New Roman"/>
          <w:sz w:val="26"/>
          <w:szCs w:val="26"/>
        </w:rPr>
        <w:t xml:space="preserve"> </w:t>
      </w:r>
      <w:r w:rsidR="00BE07F6" w:rsidRPr="004C75FF">
        <w:rPr>
          <w:rFonts w:ascii="Times New Roman" w:hAnsi="Times New Roman"/>
          <w:sz w:val="26"/>
          <w:szCs w:val="26"/>
        </w:rPr>
        <w:t xml:space="preserve">In 2014, approximately 90% of WGL Energy customers auto-renewed at a fixed price, about 5% chose to terminate their contract, and the remaining 5% proactively chose to stay with WGL under a new contract with a different pricing option. </w:t>
      </w:r>
      <w:r w:rsidR="00BE07F6">
        <w:rPr>
          <w:rFonts w:ascii="Times New Roman" w:hAnsi="Times New Roman"/>
          <w:sz w:val="26"/>
          <w:szCs w:val="26"/>
        </w:rPr>
        <w:t xml:space="preserve"> WGL points out that</w:t>
      </w:r>
      <w:r w:rsidR="00BE07F6" w:rsidRPr="004C75FF">
        <w:rPr>
          <w:rFonts w:ascii="Times New Roman" w:hAnsi="Times New Roman"/>
          <w:sz w:val="26"/>
          <w:szCs w:val="26"/>
        </w:rPr>
        <w:t xml:space="preserve"> auto-renewals provided price protectio</w:t>
      </w:r>
      <w:r w:rsidR="004A2D3A">
        <w:rPr>
          <w:rFonts w:ascii="Times New Roman" w:hAnsi="Times New Roman"/>
          <w:sz w:val="26"/>
          <w:szCs w:val="26"/>
        </w:rPr>
        <w:t>n for WGL customers during the p</w:t>
      </w:r>
      <w:r w:rsidR="00BE07F6" w:rsidRPr="004C75FF">
        <w:rPr>
          <w:rFonts w:ascii="Times New Roman" w:hAnsi="Times New Roman"/>
          <w:sz w:val="26"/>
          <w:szCs w:val="26"/>
        </w:rPr>
        <w:t xml:space="preserve">olar </w:t>
      </w:r>
      <w:r w:rsidR="004A2D3A">
        <w:rPr>
          <w:rFonts w:ascii="Times New Roman" w:hAnsi="Times New Roman"/>
          <w:sz w:val="26"/>
          <w:szCs w:val="26"/>
        </w:rPr>
        <w:t>v</w:t>
      </w:r>
      <w:r w:rsidR="00BE07F6" w:rsidRPr="004C75FF">
        <w:rPr>
          <w:rFonts w:ascii="Times New Roman" w:hAnsi="Times New Roman"/>
          <w:sz w:val="26"/>
          <w:szCs w:val="26"/>
        </w:rPr>
        <w:t xml:space="preserve">ortex and other times when prices have spiked. </w:t>
      </w:r>
      <w:r>
        <w:rPr>
          <w:rFonts w:ascii="Times New Roman" w:hAnsi="Times New Roman"/>
          <w:sz w:val="26"/>
          <w:szCs w:val="26"/>
        </w:rPr>
        <w:t xml:space="preserve"> </w:t>
      </w:r>
      <w:r w:rsidR="001B7F5A">
        <w:rPr>
          <w:rFonts w:ascii="Times New Roman" w:hAnsi="Times New Roman"/>
          <w:i/>
          <w:sz w:val="26"/>
          <w:szCs w:val="26"/>
        </w:rPr>
        <w:t>Id.</w:t>
      </w:r>
      <w:r w:rsidR="001B7F5A">
        <w:rPr>
          <w:rFonts w:ascii="Times New Roman" w:hAnsi="Times New Roman"/>
          <w:sz w:val="26"/>
          <w:szCs w:val="26"/>
        </w:rPr>
        <w:t xml:space="preserve"> at 11</w:t>
      </w:r>
      <w:r w:rsidR="00BE07F6" w:rsidRPr="004C75FF">
        <w:rPr>
          <w:rFonts w:ascii="Times New Roman" w:hAnsi="Times New Roman"/>
          <w:sz w:val="26"/>
          <w:szCs w:val="26"/>
        </w:rPr>
        <w:t>.</w:t>
      </w:r>
      <w:r w:rsidR="00BE07F6">
        <w:rPr>
          <w:rFonts w:ascii="Times New Roman" w:hAnsi="Times New Roman"/>
          <w:sz w:val="26"/>
          <w:szCs w:val="26"/>
        </w:rPr>
        <w:t xml:space="preserve">  WGL contends that m</w:t>
      </w:r>
      <w:r w:rsidR="00BE07F6" w:rsidRPr="004C75FF">
        <w:rPr>
          <w:rFonts w:ascii="Times New Roman" w:hAnsi="Times New Roman"/>
          <w:sz w:val="26"/>
          <w:szCs w:val="26"/>
        </w:rPr>
        <w:t>andating affirmative signatures and disallowing auto-renewals with early cancellation fees will lead to reduced supplier retention rates and diminished competitive markets</w:t>
      </w:r>
      <w:r w:rsidR="001B7F5A">
        <w:rPr>
          <w:rFonts w:ascii="Times New Roman" w:hAnsi="Times New Roman"/>
          <w:sz w:val="26"/>
          <w:szCs w:val="26"/>
        </w:rPr>
        <w:t xml:space="preserve"> and product offerings in Pennsylvania</w:t>
      </w:r>
      <w:r w:rsidR="00BE07F6" w:rsidRPr="004C75FF">
        <w:rPr>
          <w:rFonts w:ascii="Times New Roman" w:hAnsi="Times New Roman"/>
          <w:sz w:val="26"/>
          <w:szCs w:val="26"/>
        </w:rPr>
        <w:t xml:space="preserve">. </w:t>
      </w:r>
      <w:r w:rsidR="001B7F5A">
        <w:rPr>
          <w:rFonts w:ascii="Times New Roman" w:hAnsi="Times New Roman"/>
          <w:sz w:val="26"/>
          <w:szCs w:val="26"/>
        </w:rPr>
        <w:t xml:space="preserve"> </w:t>
      </w:r>
      <w:r w:rsidR="001B7F5A">
        <w:rPr>
          <w:rFonts w:ascii="Times New Roman" w:hAnsi="Times New Roman"/>
          <w:i/>
          <w:sz w:val="26"/>
          <w:szCs w:val="26"/>
        </w:rPr>
        <w:t xml:space="preserve">Id. </w:t>
      </w:r>
      <w:r w:rsidR="001B7F5A">
        <w:rPr>
          <w:rFonts w:ascii="Times New Roman" w:hAnsi="Times New Roman"/>
          <w:sz w:val="26"/>
          <w:szCs w:val="26"/>
        </w:rPr>
        <w:t>at 12</w:t>
      </w:r>
      <w:r w:rsidR="00BE07F6" w:rsidRPr="004C75FF">
        <w:rPr>
          <w:rFonts w:ascii="Times New Roman" w:hAnsi="Times New Roman"/>
          <w:sz w:val="26"/>
          <w:szCs w:val="26"/>
        </w:rPr>
        <w:t>.</w:t>
      </w:r>
      <w:r w:rsidR="00BE07F6">
        <w:rPr>
          <w:rFonts w:ascii="Times New Roman" w:hAnsi="Times New Roman"/>
          <w:sz w:val="26"/>
          <w:szCs w:val="26"/>
        </w:rPr>
        <w:t xml:space="preserve">  </w:t>
      </w:r>
    </w:p>
    <w:p w:rsidR="006A341D" w:rsidRPr="004C75FF" w:rsidRDefault="00D46A10" w:rsidP="006A341D">
      <w:pPr>
        <w:pStyle w:val="NoSpacing"/>
        <w:spacing w:line="360" w:lineRule="auto"/>
        <w:ind w:firstLine="720"/>
        <w:rPr>
          <w:rFonts w:ascii="Times New Roman" w:hAnsi="Times New Roman"/>
          <w:sz w:val="26"/>
          <w:szCs w:val="26"/>
        </w:rPr>
      </w:pPr>
      <w:r w:rsidRPr="004C75FF">
        <w:rPr>
          <w:rFonts w:ascii="Times New Roman" w:hAnsi="Times New Roman"/>
          <w:sz w:val="26"/>
          <w:szCs w:val="26"/>
        </w:rPr>
        <w:lastRenderedPageBreak/>
        <w:t xml:space="preserve">WGL supports the clarification of the word </w:t>
      </w:r>
      <w:r w:rsidR="00E273C3">
        <w:rPr>
          <w:rFonts w:ascii="Times New Roman" w:hAnsi="Times New Roman"/>
          <w:sz w:val="26"/>
          <w:szCs w:val="26"/>
        </w:rPr>
        <w:t>“</w:t>
      </w:r>
      <w:r w:rsidRPr="004C75FF">
        <w:rPr>
          <w:rFonts w:ascii="Times New Roman" w:hAnsi="Times New Roman"/>
          <w:sz w:val="26"/>
          <w:szCs w:val="26"/>
        </w:rPr>
        <w:t>term</w:t>
      </w:r>
      <w:r w:rsidR="00E273C3">
        <w:rPr>
          <w:rFonts w:ascii="Times New Roman" w:hAnsi="Times New Roman"/>
          <w:sz w:val="26"/>
          <w:szCs w:val="26"/>
        </w:rPr>
        <w:t>”</w:t>
      </w:r>
      <w:r w:rsidRPr="004C75FF">
        <w:rPr>
          <w:rFonts w:ascii="Times New Roman" w:hAnsi="Times New Roman"/>
          <w:sz w:val="26"/>
          <w:szCs w:val="26"/>
        </w:rPr>
        <w:t xml:space="preserve"> in </w:t>
      </w:r>
      <w:r w:rsidR="00472394">
        <w:rPr>
          <w:rFonts w:ascii="Times New Roman" w:hAnsi="Times New Roman"/>
          <w:sz w:val="26"/>
          <w:szCs w:val="26"/>
        </w:rPr>
        <w:t>Section 62.81 of the</w:t>
      </w:r>
      <w:r w:rsidRPr="004C75FF">
        <w:rPr>
          <w:rFonts w:ascii="Times New Roman" w:hAnsi="Times New Roman"/>
          <w:sz w:val="26"/>
          <w:szCs w:val="26"/>
        </w:rPr>
        <w:t xml:space="preserve"> regulations to reflect </w:t>
      </w:r>
      <w:r w:rsidR="00E273C3">
        <w:rPr>
          <w:rFonts w:ascii="Times New Roman" w:hAnsi="Times New Roman"/>
          <w:sz w:val="26"/>
          <w:szCs w:val="26"/>
        </w:rPr>
        <w:t>“</w:t>
      </w:r>
      <w:r w:rsidRPr="004C75FF">
        <w:rPr>
          <w:rFonts w:ascii="Times New Roman" w:hAnsi="Times New Roman"/>
          <w:sz w:val="26"/>
          <w:szCs w:val="26"/>
        </w:rPr>
        <w:t>duration</w:t>
      </w:r>
      <w:r w:rsidR="00E273C3">
        <w:rPr>
          <w:rFonts w:ascii="Times New Roman" w:hAnsi="Times New Roman"/>
          <w:sz w:val="26"/>
          <w:szCs w:val="26"/>
        </w:rPr>
        <w:t>”</w:t>
      </w:r>
      <w:r w:rsidRPr="004C75FF">
        <w:rPr>
          <w:rFonts w:ascii="Times New Roman" w:hAnsi="Times New Roman"/>
          <w:sz w:val="26"/>
          <w:szCs w:val="26"/>
        </w:rPr>
        <w:t xml:space="preserve"> </w:t>
      </w:r>
      <w:r w:rsidR="00472394">
        <w:rPr>
          <w:rFonts w:ascii="Times New Roman" w:hAnsi="Times New Roman"/>
          <w:sz w:val="26"/>
          <w:szCs w:val="26"/>
        </w:rPr>
        <w:t xml:space="preserve">for </w:t>
      </w:r>
      <w:r w:rsidRPr="004C75FF">
        <w:rPr>
          <w:rFonts w:ascii="Times New Roman" w:hAnsi="Times New Roman"/>
          <w:sz w:val="26"/>
          <w:szCs w:val="26"/>
        </w:rPr>
        <w:t xml:space="preserve">the time length of the contract. </w:t>
      </w:r>
      <w:r>
        <w:rPr>
          <w:rFonts w:ascii="Times New Roman" w:hAnsi="Times New Roman"/>
          <w:sz w:val="26"/>
          <w:szCs w:val="26"/>
        </w:rPr>
        <w:t xml:space="preserve"> </w:t>
      </w:r>
      <w:r w:rsidRPr="004C75FF">
        <w:rPr>
          <w:rFonts w:ascii="Times New Roman" w:hAnsi="Times New Roman"/>
          <w:sz w:val="26"/>
          <w:szCs w:val="26"/>
        </w:rPr>
        <w:t xml:space="preserve">WGL </w:t>
      </w:r>
      <w:r w:rsidR="00472394">
        <w:rPr>
          <w:rFonts w:ascii="Times New Roman" w:hAnsi="Times New Roman"/>
          <w:sz w:val="26"/>
          <w:szCs w:val="26"/>
        </w:rPr>
        <w:t xml:space="preserve">Comments </w:t>
      </w:r>
      <w:r w:rsidRPr="004C75FF">
        <w:rPr>
          <w:rFonts w:ascii="Times New Roman" w:hAnsi="Times New Roman"/>
          <w:sz w:val="26"/>
          <w:szCs w:val="26"/>
        </w:rPr>
        <w:t>at 9.</w:t>
      </w:r>
      <w:r>
        <w:rPr>
          <w:rFonts w:ascii="Times New Roman" w:hAnsi="Times New Roman"/>
          <w:sz w:val="26"/>
          <w:szCs w:val="26"/>
        </w:rPr>
        <w:t xml:space="preserve">  </w:t>
      </w:r>
      <w:r w:rsidR="00472394">
        <w:rPr>
          <w:rFonts w:ascii="Times New Roman" w:hAnsi="Times New Roman"/>
          <w:sz w:val="26"/>
          <w:szCs w:val="26"/>
        </w:rPr>
        <w:t xml:space="preserve">The PA Marketers also </w:t>
      </w:r>
      <w:r w:rsidR="00BE07F6" w:rsidRPr="004C75FF">
        <w:rPr>
          <w:rFonts w:ascii="Times New Roman" w:hAnsi="Times New Roman"/>
          <w:sz w:val="26"/>
          <w:szCs w:val="26"/>
        </w:rPr>
        <w:t>support the Commission’s proposal to chang</w:t>
      </w:r>
      <w:r w:rsidR="00472394">
        <w:rPr>
          <w:rFonts w:ascii="Times New Roman" w:hAnsi="Times New Roman"/>
          <w:sz w:val="26"/>
          <w:szCs w:val="26"/>
        </w:rPr>
        <w:t>e</w:t>
      </w:r>
      <w:r w:rsidR="00BE07F6" w:rsidRPr="004C75FF">
        <w:rPr>
          <w:rFonts w:ascii="Times New Roman" w:hAnsi="Times New Roman"/>
          <w:sz w:val="26"/>
          <w:szCs w:val="26"/>
        </w:rPr>
        <w:t xml:space="preserve"> the word “term” to “duration</w:t>
      </w:r>
      <w:r w:rsidR="00E273C3">
        <w:rPr>
          <w:rFonts w:ascii="Times New Roman" w:hAnsi="Times New Roman"/>
          <w:sz w:val="26"/>
          <w:szCs w:val="26"/>
        </w:rPr>
        <w:t>,</w:t>
      </w:r>
      <w:r w:rsidR="00BE07F6" w:rsidRPr="004C75FF">
        <w:rPr>
          <w:rFonts w:ascii="Times New Roman" w:hAnsi="Times New Roman"/>
          <w:sz w:val="26"/>
          <w:szCs w:val="26"/>
        </w:rPr>
        <w:t xml:space="preserve">” </w:t>
      </w:r>
      <w:r w:rsidR="00BE07F6">
        <w:rPr>
          <w:rFonts w:ascii="Times New Roman" w:hAnsi="Times New Roman"/>
          <w:sz w:val="26"/>
          <w:szCs w:val="26"/>
        </w:rPr>
        <w:t xml:space="preserve">as </w:t>
      </w:r>
      <w:r w:rsidR="00BE07F6" w:rsidRPr="004C75FF">
        <w:rPr>
          <w:rFonts w:ascii="Times New Roman" w:hAnsi="Times New Roman"/>
          <w:sz w:val="26"/>
          <w:szCs w:val="26"/>
        </w:rPr>
        <w:t>“duration” is more accurate than using “length</w:t>
      </w:r>
      <w:r w:rsidR="00BE07F6">
        <w:rPr>
          <w:rFonts w:ascii="Times New Roman" w:hAnsi="Times New Roman"/>
          <w:sz w:val="26"/>
          <w:szCs w:val="26"/>
        </w:rPr>
        <w:t>.</w:t>
      </w:r>
      <w:r w:rsidR="00472394">
        <w:rPr>
          <w:rFonts w:ascii="Times New Roman" w:hAnsi="Times New Roman"/>
          <w:sz w:val="26"/>
          <w:szCs w:val="26"/>
        </w:rPr>
        <w:t>”  PA Marketers Comments at 7</w:t>
      </w:r>
      <w:r w:rsidR="00BE07F6" w:rsidRPr="004C75FF">
        <w:rPr>
          <w:rFonts w:ascii="Times New Roman" w:hAnsi="Times New Roman"/>
          <w:sz w:val="26"/>
          <w:szCs w:val="26"/>
        </w:rPr>
        <w:t>.</w:t>
      </w:r>
      <w:r w:rsidR="00BE07F6">
        <w:rPr>
          <w:rFonts w:ascii="Times New Roman" w:hAnsi="Times New Roman"/>
          <w:sz w:val="26"/>
          <w:szCs w:val="26"/>
        </w:rPr>
        <w:t xml:space="preserve">  </w:t>
      </w:r>
      <w:r w:rsidR="006A341D" w:rsidRPr="004C75FF">
        <w:rPr>
          <w:rFonts w:ascii="Times New Roman" w:hAnsi="Times New Roman"/>
          <w:sz w:val="26"/>
          <w:szCs w:val="26"/>
        </w:rPr>
        <w:t xml:space="preserve">While RESA does not necessarily object to the phrase </w:t>
      </w:r>
      <w:r w:rsidR="00E273C3">
        <w:rPr>
          <w:rFonts w:ascii="Times New Roman" w:hAnsi="Times New Roman"/>
          <w:sz w:val="26"/>
          <w:szCs w:val="26"/>
        </w:rPr>
        <w:t>“</w:t>
      </w:r>
      <w:r w:rsidR="006A341D" w:rsidRPr="004C75FF">
        <w:rPr>
          <w:rFonts w:ascii="Times New Roman" w:hAnsi="Times New Roman"/>
          <w:sz w:val="26"/>
          <w:szCs w:val="26"/>
        </w:rPr>
        <w:t>fixed duration contracts,</w:t>
      </w:r>
      <w:r w:rsidR="00E273C3">
        <w:rPr>
          <w:rFonts w:ascii="Times New Roman" w:hAnsi="Times New Roman"/>
          <w:sz w:val="26"/>
          <w:szCs w:val="26"/>
        </w:rPr>
        <w:t>”</w:t>
      </w:r>
      <w:r w:rsidR="006A341D" w:rsidRPr="004C75FF">
        <w:rPr>
          <w:rFonts w:ascii="Times New Roman" w:hAnsi="Times New Roman"/>
          <w:sz w:val="26"/>
          <w:szCs w:val="26"/>
        </w:rPr>
        <w:t xml:space="preserve"> </w:t>
      </w:r>
      <w:r w:rsidR="00472394">
        <w:rPr>
          <w:rFonts w:ascii="Times New Roman" w:hAnsi="Times New Roman"/>
          <w:sz w:val="26"/>
          <w:szCs w:val="26"/>
        </w:rPr>
        <w:t>RESA</w:t>
      </w:r>
      <w:r w:rsidR="006A341D" w:rsidRPr="004C75FF">
        <w:rPr>
          <w:rFonts w:ascii="Times New Roman" w:hAnsi="Times New Roman"/>
          <w:sz w:val="26"/>
          <w:szCs w:val="26"/>
        </w:rPr>
        <w:t xml:space="preserve"> believes that the change may raise more questions since it is not commonly used in other industries.  RESA </w:t>
      </w:r>
      <w:r w:rsidR="00472394">
        <w:rPr>
          <w:rFonts w:ascii="Times New Roman" w:hAnsi="Times New Roman"/>
          <w:sz w:val="26"/>
          <w:szCs w:val="26"/>
        </w:rPr>
        <w:t xml:space="preserve">Comments at </w:t>
      </w:r>
      <w:r w:rsidR="006A341D" w:rsidRPr="004C75FF">
        <w:rPr>
          <w:rFonts w:ascii="Times New Roman" w:hAnsi="Times New Roman"/>
          <w:sz w:val="26"/>
          <w:szCs w:val="26"/>
        </w:rPr>
        <w:t>16</w:t>
      </w:r>
      <w:r w:rsidR="00472394">
        <w:rPr>
          <w:rFonts w:ascii="Times New Roman" w:hAnsi="Times New Roman"/>
          <w:sz w:val="26"/>
          <w:szCs w:val="26"/>
        </w:rPr>
        <w:t xml:space="preserve"> (opining that “fi</w:t>
      </w:r>
      <w:r w:rsidR="006A341D" w:rsidRPr="004C75FF">
        <w:rPr>
          <w:rFonts w:ascii="Times New Roman" w:hAnsi="Times New Roman"/>
          <w:sz w:val="26"/>
          <w:szCs w:val="26"/>
        </w:rPr>
        <w:t>xed length contracts</w:t>
      </w:r>
      <w:r w:rsidR="00E273C3">
        <w:rPr>
          <w:rFonts w:ascii="Times New Roman" w:hAnsi="Times New Roman"/>
          <w:sz w:val="26"/>
          <w:szCs w:val="26"/>
        </w:rPr>
        <w:t>”</w:t>
      </w:r>
      <w:r w:rsidR="006A341D" w:rsidRPr="004C75FF">
        <w:rPr>
          <w:rFonts w:ascii="Times New Roman" w:hAnsi="Times New Roman"/>
          <w:sz w:val="26"/>
          <w:szCs w:val="26"/>
        </w:rPr>
        <w:t xml:space="preserve"> may be preferable</w:t>
      </w:r>
      <w:r w:rsidR="006A341D">
        <w:rPr>
          <w:rFonts w:ascii="Times New Roman" w:hAnsi="Times New Roman"/>
          <w:sz w:val="26"/>
          <w:szCs w:val="26"/>
        </w:rPr>
        <w:t xml:space="preserve"> f</w:t>
      </w:r>
      <w:r w:rsidR="006A341D" w:rsidRPr="004C75FF">
        <w:rPr>
          <w:rFonts w:ascii="Times New Roman" w:hAnsi="Times New Roman"/>
          <w:sz w:val="26"/>
          <w:szCs w:val="26"/>
        </w:rPr>
        <w:t xml:space="preserve">rom the </w:t>
      </w:r>
      <w:r w:rsidR="006A341D">
        <w:rPr>
          <w:rFonts w:ascii="Times New Roman" w:hAnsi="Times New Roman"/>
          <w:sz w:val="26"/>
          <w:szCs w:val="26"/>
        </w:rPr>
        <w:t>perspective</w:t>
      </w:r>
      <w:r w:rsidR="006A341D" w:rsidRPr="004C75FF">
        <w:rPr>
          <w:rFonts w:ascii="Times New Roman" w:hAnsi="Times New Roman"/>
          <w:sz w:val="26"/>
          <w:szCs w:val="26"/>
        </w:rPr>
        <w:t xml:space="preserve"> of plain language, </w:t>
      </w:r>
      <w:r w:rsidR="00472394">
        <w:rPr>
          <w:rFonts w:ascii="Times New Roman" w:hAnsi="Times New Roman"/>
          <w:sz w:val="26"/>
          <w:szCs w:val="26"/>
        </w:rPr>
        <w:t xml:space="preserve">as </w:t>
      </w:r>
      <w:r w:rsidR="004A2D3A">
        <w:rPr>
          <w:rFonts w:ascii="Times New Roman" w:hAnsi="Times New Roman"/>
          <w:sz w:val="26"/>
          <w:szCs w:val="26"/>
        </w:rPr>
        <w:t xml:space="preserve">it is </w:t>
      </w:r>
      <w:r w:rsidR="006A341D" w:rsidRPr="004C75FF">
        <w:rPr>
          <w:rFonts w:ascii="Times New Roman" w:hAnsi="Times New Roman"/>
          <w:sz w:val="26"/>
          <w:szCs w:val="26"/>
        </w:rPr>
        <w:t xml:space="preserve">more easily understood by the average consumer than </w:t>
      </w:r>
      <w:r w:rsidR="00E273C3">
        <w:rPr>
          <w:rFonts w:ascii="Times New Roman" w:hAnsi="Times New Roman"/>
          <w:sz w:val="26"/>
          <w:szCs w:val="26"/>
        </w:rPr>
        <w:t>“</w:t>
      </w:r>
      <w:r w:rsidR="006A341D" w:rsidRPr="004C75FF">
        <w:rPr>
          <w:rFonts w:ascii="Times New Roman" w:hAnsi="Times New Roman"/>
          <w:sz w:val="26"/>
          <w:szCs w:val="26"/>
        </w:rPr>
        <w:t>fixed duration contracts</w:t>
      </w:r>
      <w:r w:rsidR="00E273C3">
        <w:rPr>
          <w:rFonts w:ascii="Times New Roman" w:hAnsi="Times New Roman"/>
          <w:sz w:val="26"/>
          <w:szCs w:val="26"/>
        </w:rPr>
        <w:t>”</w:t>
      </w:r>
      <w:r w:rsidR="00472394">
        <w:rPr>
          <w:rFonts w:ascii="Times New Roman" w:hAnsi="Times New Roman"/>
          <w:sz w:val="26"/>
          <w:szCs w:val="26"/>
        </w:rPr>
        <w:t>)</w:t>
      </w:r>
      <w:r w:rsidR="006A341D" w:rsidRPr="004C75FF">
        <w:rPr>
          <w:rFonts w:ascii="Times New Roman" w:hAnsi="Times New Roman"/>
          <w:sz w:val="26"/>
          <w:szCs w:val="26"/>
        </w:rPr>
        <w:t>.</w:t>
      </w:r>
    </w:p>
    <w:p w:rsidR="00BE07F6" w:rsidRPr="004C75FF" w:rsidRDefault="00BE07F6" w:rsidP="00BE07F6">
      <w:pPr>
        <w:pStyle w:val="NoSpacing"/>
        <w:spacing w:line="360" w:lineRule="auto"/>
        <w:rPr>
          <w:rFonts w:ascii="Times New Roman" w:hAnsi="Times New Roman"/>
          <w:sz w:val="26"/>
          <w:szCs w:val="26"/>
        </w:rPr>
      </w:pPr>
    </w:p>
    <w:p w:rsidR="00BE07F6" w:rsidRPr="004C75FF" w:rsidRDefault="00BE07F6" w:rsidP="00BE07F6">
      <w:pPr>
        <w:pStyle w:val="NoSpacing"/>
        <w:spacing w:line="360" w:lineRule="auto"/>
        <w:ind w:firstLine="720"/>
        <w:rPr>
          <w:rFonts w:ascii="Times New Roman" w:hAnsi="Times New Roman"/>
          <w:sz w:val="26"/>
          <w:szCs w:val="26"/>
        </w:rPr>
      </w:pPr>
      <w:r w:rsidRPr="00791B63">
        <w:rPr>
          <w:rFonts w:ascii="Times New Roman" w:hAnsi="Times New Roman"/>
          <w:sz w:val="26"/>
          <w:szCs w:val="26"/>
        </w:rPr>
        <w:t>PULP recommends that the Commission require NGSs to include information</w:t>
      </w:r>
      <w:r w:rsidRPr="004C75FF">
        <w:rPr>
          <w:rFonts w:ascii="Times New Roman" w:hAnsi="Times New Roman"/>
          <w:sz w:val="26"/>
          <w:szCs w:val="26"/>
        </w:rPr>
        <w:t xml:space="preserve"> about universal service programs in the options notice</w:t>
      </w:r>
      <w:r w:rsidR="00791B63">
        <w:rPr>
          <w:rFonts w:ascii="Times New Roman" w:hAnsi="Times New Roman"/>
          <w:sz w:val="26"/>
          <w:szCs w:val="26"/>
        </w:rPr>
        <w:t xml:space="preserve"> so that consumers are </w:t>
      </w:r>
      <w:r w:rsidR="00A276DD">
        <w:rPr>
          <w:rFonts w:ascii="Times New Roman" w:hAnsi="Times New Roman"/>
          <w:sz w:val="26"/>
          <w:szCs w:val="26"/>
        </w:rPr>
        <w:t xml:space="preserve">made aware </w:t>
      </w:r>
      <w:r w:rsidR="00791B63">
        <w:rPr>
          <w:rFonts w:ascii="Times New Roman" w:hAnsi="Times New Roman"/>
          <w:sz w:val="26"/>
          <w:szCs w:val="26"/>
        </w:rPr>
        <w:t>of all options, including possible financial assistance or energy efficiency and conservation measures</w:t>
      </w:r>
      <w:r w:rsidR="004A2D3A">
        <w:rPr>
          <w:rFonts w:ascii="Times New Roman" w:hAnsi="Times New Roman"/>
          <w:sz w:val="26"/>
          <w:szCs w:val="26"/>
        </w:rPr>
        <w:t>,</w:t>
      </w:r>
      <w:r w:rsidR="00791B63">
        <w:rPr>
          <w:rFonts w:ascii="Times New Roman" w:hAnsi="Times New Roman"/>
          <w:sz w:val="26"/>
          <w:szCs w:val="26"/>
        </w:rPr>
        <w:t xml:space="preserve"> to help reduce monthly bills</w:t>
      </w:r>
      <w:r w:rsidRPr="004C75FF">
        <w:rPr>
          <w:rFonts w:ascii="Times New Roman" w:hAnsi="Times New Roman"/>
          <w:sz w:val="26"/>
          <w:szCs w:val="26"/>
        </w:rPr>
        <w:t xml:space="preserve">. </w:t>
      </w:r>
      <w:r w:rsidR="00791B63">
        <w:rPr>
          <w:rFonts w:ascii="Times New Roman" w:hAnsi="Times New Roman"/>
          <w:sz w:val="26"/>
          <w:szCs w:val="26"/>
        </w:rPr>
        <w:t xml:space="preserve"> PULP Comments at 4-5.  </w:t>
      </w:r>
    </w:p>
    <w:p w:rsidR="00BE07F6" w:rsidRDefault="00BE07F6" w:rsidP="00BE07F6">
      <w:pPr>
        <w:pStyle w:val="NoSpacing"/>
        <w:spacing w:line="360" w:lineRule="auto"/>
        <w:rPr>
          <w:rFonts w:ascii="Times New Roman" w:eastAsia="Times New Roman" w:hAnsi="Times New Roman"/>
          <w:color w:val="000000"/>
          <w:spacing w:val="4"/>
          <w:sz w:val="26"/>
          <w:szCs w:val="26"/>
        </w:rPr>
      </w:pPr>
    </w:p>
    <w:p w:rsidR="00901ED2" w:rsidRDefault="00901ED2" w:rsidP="00BE07F6">
      <w:pPr>
        <w:pStyle w:val="NoSpacing"/>
        <w:spacing w:line="360" w:lineRule="auto"/>
        <w:rPr>
          <w:rFonts w:ascii="Times New Roman" w:eastAsia="Times New Roman" w:hAnsi="Times New Roman"/>
          <w:color w:val="000000"/>
          <w:spacing w:val="4"/>
          <w:sz w:val="26"/>
          <w:szCs w:val="26"/>
        </w:rPr>
      </w:pPr>
      <w:r>
        <w:rPr>
          <w:rFonts w:ascii="Times New Roman" w:eastAsia="Times New Roman" w:hAnsi="Times New Roman"/>
          <w:color w:val="000000"/>
          <w:spacing w:val="4"/>
          <w:sz w:val="26"/>
          <w:szCs w:val="26"/>
        </w:rPr>
        <w:tab/>
        <w:t xml:space="preserve">OCA </w:t>
      </w:r>
      <w:r w:rsidR="00791B63">
        <w:rPr>
          <w:rFonts w:ascii="Times New Roman" w:eastAsia="Times New Roman" w:hAnsi="Times New Roman"/>
          <w:color w:val="000000"/>
          <w:spacing w:val="4"/>
          <w:sz w:val="26"/>
          <w:szCs w:val="26"/>
        </w:rPr>
        <w:t>supports the Commission’s proposed Section 62.81, especially the requirement that consumers receive 30 days</w:t>
      </w:r>
      <w:r w:rsidR="006739CF">
        <w:rPr>
          <w:rFonts w:ascii="Times New Roman" w:eastAsia="Times New Roman" w:hAnsi="Times New Roman"/>
          <w:color w:val="000000"/>
          <w:spacing w:val="4"/>
          <w:sz w:val="26"/>
          <w:szCs w:val="26"/>
        </w:rPr>
        <w:t>’</w:t>
      </w:r>
      <w:r w:rsidR="00791B63">
        <w:rPr>
          <w:rFonts w:ascii="Times New Roman" w:eastAsia="Times New Roman" w:hAnsi="Times New Roman"/>
          <w:color w:val="000000"/>
          <w:spacing w:val="4"/>
          <w:sz w:val="26"/>
          <w:szCs w:val="26"/>
        </w:rPr>
        <w:t xml:space="preserve"> advance notice of a price change if the NGS is placing the customer on a month-to-month contract.  OCA Comments at 14.  Wh</w:t>
      </w:r>
      <w:r w:rsidR="00AD460D">
        <w:rPr>
          <w:rFonts w:ascii="Times New Roman" w:eastAsia="Times New Roman" w:hAnsi="Times New Roman"/>
          <w:color w:val="000000"/>
          <w:spacing w:val="4"/>
          <w:sz w:val="26"/>
          <w:szCs w:val="26"/>
        </w:rPr>
        <w:t>ile OCA does not propose thorough</w:t>
      </w:r>
      <w:r w:rsidR="00791B63">
        <w:rPr>
          <w:rFonts w:ascii="Times New Roman" w:eastAsia="Times New Roman" w:hAnsi="Times New Roman"/>
          <w:color w:val="000000"/>
          <w:spacing w:val="4"/>
          <w:sz w:val="26"/>
          <w:szCs w:val="26"/>
        </w:rPr>
        <w:t xml:space="preserve"> language revisions to Section 62.81, </w:t>
      </w:r>
      <w:r w:rsidR="006739CF">
        <w:rPr>
          <w:rFonts w:ascii="Times New Roman" w:eastAsia="Times New Roman" w:hAnsi="Times New Roman"/>
          <w:color w:val="000000"/>
          <w:spacing w:val="4"/>
          <w:sz w:val="26"/>
          <w:szCs w:val="26"/>
        </w:rPr>
        <w:t>it</w:t>
      </w:r>
      <w:r w:rsidR="00791B63">
        <w:rPr>
          <w:rFonts w:ascii="Times New Roman" w:eastAsia="Times New Roman" w:hAnsi="Times New Roman"/>
          <w:color w:val="000000"/>
          <w:spacing w:val="4"/>
          <w:sz w:val="26"/>
          <w:szCs w:val="26"/>
        </w:rPr>
        <w:t xml:space="preserve"> requests that </w:t>
      </w:r>
      <w:r w:rsidR="00842CE5">
        <w:rPr>
          <w:rFonts w:ascii="Times New Roman" w:eastAsia="Times New Roman" w:hAnsi="Times New Roman"/>
          <w:color w:val="000000"/>
          <w:spacing w:val="4"/>
          <w:sz w:val="26"/>
          <w:szCs w:val="26"/>
        </w:rPr>
        <w:t xml:space="preserve">the </w:t>
      </w:r>
      <w:r w:rsidR="00791B63">
        <w:rPr>
          <w:rFonts w:ascii="Times New Roman" w:eastAsia="Times New Roman" w:hAnsi="Times New Roman"/>
          <w:color w:val="000000"/>
          <w:spacing w:val="4"/>
          <w:sz w:val="26"/>
          <w:szCs w:val="26"/>
        </w:rPr>
        <w:t xml:space="preserve">Commission provide clarification that </w:t>
      </w:r>
      <w:r w:rsidR="00344E01">
        <w:rPr>
          <w:rFonts w:ascii="Times New Roman" w:eastAsia="Times New Roman" w:hAnsi="Times New Roman"/>
          <w:color w:val="000000"/>
          <w:spacing w:val="4"/>
          <w:sz w:val="26"/>
          <w:szCs w:val="26"/>
        </w:rPr>
        <w:t xml:space="preserve">a </w:t>
      </w:r>
      <w:r w:rsidR="00791B63">
        <w:rPr>
          <w:rFonts w:ascii="Times New Roman" w:eastAsia="Times New Roman" w:hAnsi="Times New Roman"/>
          <w:color w:val="000000"/>
          <w:spacing w:val="4"/>
          <w:sz w:val="26"/>
          <w:szCs w:val="26"/>
        </w:rPr>
        <w:t>customer whose fixed-term contract has expired and w</w:t>
      </w:r>
      <w:r w:rsidR="004A2D3A">
        <w:rPr>
          <w:rFonts w:ascii="Times New Roman" w:eastAsia="Times New Roman" w:hAnsi="Times New Roman"/>
          <w:color w:val="000000"/>
          <w:spacing w:val="4"/>
          <w:sz w:val="26"/>
          <w:szCs w:val="26"/>
        </w:rPr>
        <w:t xml:space="preserve">ho will be placed in a variable </w:t>
      </w:r>
      <w:r w:rsidR="00791B63">
        <w:rPr>
          <w:rFonts w:ascii="Times New Roman" w:eastAsia="Times New Roman" w:hAnsi="Times New Roman"/>
          <w:color w:val="000000"/>
          <w:spacing w:val="4"/>
          <w:sz w:val="26"/>
          <w:szCs w:val="26"/>
        </w:rPr>
        <w:t xml:space="preserve">priced month-to-month contract receive 30 days’ notice of pricing changes.  </w:t>
      </w:r>
      <w:r w:rsidR="00791B63">
        <w:rPr>
          <w:rFonts w:ascii="Times New Roman" w:eastAsia="Times New Roman" w:hAnsi="Times New Roman"/>
          <w:i/>
          <w:color w:val="000000"/>
          <w:spacing w:val="4"/>
          <w:sz w:val="26"/>
          <w:szCs w:val="26"/>
        </w:rPr>
        <w:t>Id.</w:t>
      </w:r>
      <w:r w:rsidR="00791B63">
        <w:rPr>
          <w:rFonts w:ascii="Times New Roman" w:eastAsia="Times New Roman" w:hAnsi="Times New Roman"/>
          <w:color w:val="000000"/>
          <w:spacing w:val="4"/>
          <w:sz w:val="26"/>
          <w:szCs w:val="26"/>
        </w:rPr>
        <w:t xml:space="preserve"> at 15 (citing </w:t>
      </w:r>
      <w:r w:rsidR="00791B63">
        <w:rPr>
          <w:rFonts w:ascii="Times New Roman" w:eastAsia="Times New Roman" w:hAnsi="Times New Roman"/>
          <w:i/>
          <w:color w:val="000000"/>
          <w:spacing w:val="4"/>
          <w:sz w:val="26"/>
          <w:szCs w:val="26"/>
        </w:rPr>
        <w:t>Final-Omitted Rulemaking Order Re 52 Pa. Code</w:t>
      </w:r>
      <w:r w:rsidR="00AD460D" w:rsidRPr="00AD460D">
        <w:rPr>
          <w:rFonts w:ascii="Times New Roman" w:eastAsia="Times New Roman" w:hAnsi="Times New Roman"/>
          <w:i/>
          <w:color w:val="000000"/>
          <w:spacing w:val="4"/>
          <w:sz w:val="26"/>
          <w:szCs w:val="26"/>
        </w:rPr>
        <w:t xml:space="preserve"> §§ 54.5, 54.10</w:t>
      </w:r>
      <w:r w:rsidR="00AD460D">
        <w:rPr>
          <w:rFonts w:ascii="Times New Roman" w:eastAsia="Times New Roman" w:hAnsi="Times New Roman"/>
          <w:color w:val="000000"/>
          <w:spacing w:val="4"/>
          <w:sz w:val="26"/>
          <w:szCs w:val="26"/>
        </w:rPr>
        <w:t>, Docket No. L-2014-2409385 at p</w:t>
      </w:r>
      <w:r w:rsidR="004A2D3A">
        <w:rPr>
          <w:rFonts w:ascii="Times New Roman" w:eastAsia="Times New Roman" w:hAnsi="Times New Roman"/>
          <w:color w:val="000000"/>
          <w:spacing w:val="4"/>
          <w:sz w:val="26"/>
          <w:szCs w:val="26"/>
        </w:rPr>
        <w:t>p</w:t>
      </w:r>
      <w:r w:rsidR="00AD460D">
        <w:rPr>
          <w:rFonts w:ascii="Times New Roman" w:eastAsia="Times New Roman" w:hAnsi="Times New Roman"/>
          <w:color w:val="000000"/>
          <w:spacing w:val="4"/>
          <w:sz w:val="26"/>
          <w:szCs w:val="26"/>
        </w:rPr>
        <w:t>. 33-36 (Order entered Apr</w:t>
      </w:r>
      <w:r w:rsidR="009318CC">
        <w:rPr>
          <w:rFonts w:ascii="Times New Roman" w:eastAsia="Times New Roman" w:hAnsi="Times New Roman"/>
          <w:color w:val="000000"/>
          <w:spacing w:val="4"/>
          <w:sz w:val="26"/>
          <w:szCs w:val="26"/>
        </w:rPr>
        <w:t>il</w:t>
      </w:r>
      <w:r w:rsidR="00AD460D">
        <w:rPr>
          <w:rFonts w:ascii="Times New Roman" w:eastAsia="Times New Roman" w:hAnsi="Times New Roman"/>
          <w:color w:val="000000"/>
          <w:spacing w:val="4"/>
          <w:sz w:val="26"/>
          <w:szCs w:val="26"/>
        </w:rPr>
        <w:t xml:space="preserve"> 3, 2014)</w:t>
      </w:r>
      <w:r w:rsidR="00AF2C15">
        <w:rPr>
          <w:rFonts w:ascii="Times New Roman" w:eastAsia="Times New Roman" w:hAnsi="Times New Roman"/>
          <w:color w:val="000000"/>
          <w:spacing w:val="4"/>
          <w:sz w:val="26"/>
          <w:szCs w:val="26"/>
        </w:rPr>
        <w:t>)</w:t>
      </w:r>
      <w:r w:rsidR="00AD460D">
        <w:rPr>
          <w:rFonts w:ascii="Times New Roman" w:eastAsia="Times New Roman" w:hAnsi="Times New Roman"/>
          <w:color w:val="000000"/>
          <w:spacing w:val="4"/>
          <w:sz w:val="26"/>
          <w:szCs w:val="26"/>
        </w:rPr>
        <w:t xml:space="preserve">.  </w:t>
      </w:r>
    </w:p>
    <w:p w:rsidR="005C3102" w:rsidRDefault="005C3102">
      <w:pPr>
        <w:spacing w:after="200"/>
        <w:rPr>
          <w:rFonts w:eastAsia="Times New Roman" w:cstheme="minorHAnsi"/>
          <w:b/>
          <w:sz w:val="26"/>
          <w:szCs w:val="26"/>
          <w:lang w:bidi="ar-SA"/>
        </w:rPr>
      </w:pPr>
    </w:p>
    <w:p w:rsidR="000B11EF" w:rsidRDefault="000B11EF" w:rsidP="00AF2C15">
      <w:pPr>
        <w:pStyle w:val="p3"/>
        <w:tabs>
          <w:tab w:val="clear" w:pos="204"/>
        </w:tabs>
        <w:rPr>
          <w:rFonts w:asciiTheme="minorHAnsi" w:hAnsiTheme="minorHAnsi" w:cstheme="minorHAnsi"/>
          <w:b/>
          <w:sz w:val="26"/>
          <w:szCs w:val="26"/>
        </w:rPr>
      </w:pPr>
      <w:r>
        <w:rPr>
          <w:rFonts w:asciiTheme="minorHAnsi" w:hAnsiTheme="minorHAnsi" w:cstheme="minorHAnsi"/>
          <w:b/>
          <w:sz w:val="26"/>
          <w:szCs w:val="26"/>
        </w:rPr>
        <w:t>DISCUSSION</w:t>
      </w:r>
      <w:r w:rsidR="000347A1">
        <w:rPr>
          <w:rFonts w:asciiTheme="minorHAnsi" w:hAnsiTheme="minorHAnsi" w:cstheme="minorHAnsi"/>
          <w:b/>
          <w:sz w:val="26"/>
          <w:szCs w:val="26"/>
        </w:rPr>
        <w:t xml:space="preserve"> AND DISPOSITION</w:t>
      </w:r>
    </w:p>
    <w:p w:rsidR="00D40277" w:rsidRDefault="00D40277" w:rsidP="00AF2C15">
      <w:pPr>
        <w:pStyle w:val="p3"/>
        <w:tabs>
          <w:tab w:val="clear" w:pos="204"/>
        </w:tabs>
        <w:rPr>
          <w:rFonts w:asciiTheme="minorHAnsi" w:hAnsiTheme="minorHAnsi" w:cstheme="minorHAnsi"/>
          <w:b/>
          <w:sz w:val="26"/>
          <w:szCs w:val="26"/>
        </w:rPr>
      </w:pPr>
    </w:p>
    <w:p w:rsidR="00243B3F" w:rsidRPr="0015794D" w:rsidRDefault="008B5E6F" w:rsidP="001A1513">
      <w:pPr>
        <w:pStyle w:val="p3"/>
        <w:tabs>
          <w:tab w:val="clear" w:pos="204"/>
        </w:tabs>
        <w:spacing w:line="360" w:lineRule="auto"/>
        <w:rPr>
          <w:sz w:val="26"/>
          <w:szCs w:val="26"/>
        </w:rPr>
      </w:pPr>
      <w:r>
        <w:rPr>
          <w:rFonts w:asciiTheme="minorHAnsi" w:hAnsiTheme="minorHAnsi" w:cstheme="minorHAnsi"/>
          <w:sz w:val="26"/>
          <w:szCs w:val="26"/>
        </w:rPr>
        <w:tab/>
        <w:t xml:space="preserve">The </w:t>
      </w:r>
      <w:r w:rsidR="00300FB4">
        <w:rPr>
          <w:rFonts w:asciiTheme="minorHAnsi" w:hAnsiTheme="minorHAnsi" w:cstheme="minorHAnsi"/>
          <w:sz w:val="26"/>
          <w:szCs w:val="26"/>
        </w:rPr>
        <w:t xml:space="preserve">Public Utility Code </w:t>
      </w:r>
      <w:r w:rsidR="008807D6">
        <w:rPr>
          <w:rFonts w:asciiTheme="minorHAnsi" w:hAnsiTheme="minorHAnsi" w:cstheme="minorHAnsi"/>
          <w:sz w:val="26"/>
          <w:szCs w:val="26"/>
        </w:rPr>
        <w:t>grants the Commission the power to license NGSs</w:t>
      </w:r>
      <w:r>
        <w:rPr>
          <w:rFonts w:asciiTheme="minorHAnsi" w:hAnsiTheme="minorHAnsi" w:cstheme="minorHAnsi"/>
          <w:sz w:val="26"/>
          <w:szCs w:val="26"/>
        </w:rPr>
        <w:t xml:space="preserve"> </w:t>
      </w:r>
      <w:r w:rsidR="008807D6">
        <w:rPr>
          <w:rFonts w:asciiTheme="minorHAnsi" w:hAnsiTheme="minorHAnsi" w:cstheme="minorHAnsi"/>
          <w:sz w:val="26"/>
          <w:szCs w:val="26"/>
        </w:rPr>
        <w:t xml:space="preserve">and establish standards to govern the conduct of NGSs, including </w:t>
      </w:r>
      <w:r w:rsidR="008731E8">
        <w:rPr>
          <w:rFonts w:asciiTheme="minorHAnsi" w:hAnsiTheme="minorHAnsi" w:cstheme="minorHAnsi"/>
          <w:sz w:val="26"/>
          <w:szCs w:val="26"/>
        </w:rPr>
        <w:t xml:space="preserve">requiring </w:t>
      </w:r>
      <w:r w:rsidR="008807D6">
        <w:rPr>
          <w:rFonts w:asciiTheme="minorHAnsi" w:hAnsiTheme="minorHAnsi" w:cstheme="minorHAnsi"/>
          <w:sz w:val="26"/>
          <w:szCs w:val="26"/>
        </w:rPr>
        <w:t xml:space="preserve">the provision of </w:t>
      </w:r>
      <w:r w:rsidR="008807D6">
        <w:rPr>
          <w:rFonts w:asciiTheme="minorHAnsi" w:hAnsiTheme="minorHAnsi" w:cstheme="minorHAnsi"/>
          <w:sz w:val="26"/>
          <w:szCs w:val="26"/>
        </w:rPr>
        <w:lastRenderedPageBreak/>
        <w:t xml:space="preserve">clear, adequate, </w:t>
      </w:r>
      <w:r>
        <w:rPr>
          <w:rFonts w:asciiTheme="minorHAnsi" w:hAnsiTheme="minorHAnsi" w:cstheme="minorHAnsi"/>
          <w:sz w:val="26"/>
          <w:szCs w:val="26"/>
        </w:rPr>
        <w:t>accurate</w:t>
      </w:r>
      <w:r w:rsidR="008807D6">
        <w:rPr>
          <w:rFonts w:asciiTheme="minorHAnsi" w:hAnsiTheme="minorHAnsi" w:cstheme="minorHAnsi"/>
          <w:sz w:val="26"/>
          <w:szCs w:val="26"/>
        </w:rPr>
        <w:t>, and timely</w:t>
      </w:r>
      <w:r>
        <w:rPr>
          <w:rFonts w:asciiTheme="minorHAnsi" w:hAnsiTheme="minorHAnsi" w:cstheme="minorHAnsi"/>
          <w:sz w:val="26"/>
          <w:szCs w:val="26"/>
        </w:rPr>
        <w:t xml:space="preserve"> </w:t>
      </w:r>
      <w:r w:rsidR="00300FB4">
        <w:rPr>
          <w:rFonts w:asciiTheme="minorHAnsi" w:hAnsiTheme="minorHAnsi" w:cstheme="minorHAnsi"/>
          <w:sz w:val="26"/>
          <w:szCs w:val="26"/>
        </w:rPr>
        <w:t xml:space="preserve">information to </w:t>
      </w:r>
      <w:r>
        <w:rPr>
          <w:rFonts w:asciiTheme="minorHAnsi" w:hAnsiTheme="minorHAnsi" w:cstheme="minorHAnsi"/>
          <w:sz w:val="26"/>
          <w:szCs w:val="26"/>
        </w:rPr>
        <w:t>customer</w:t>
      </w:r>
      <w:r w:rsidR="00300FB4">
        <w:rPr>
          <w:rFonts w:asciiTheme="minorHAnsi" w:hAnsiTheme="minorHAnsi" w:cstheme="minorHAnsi"/>
          <w:sz w:val="26"/>
          <w:szCs w:val="26"/>
        </w:rPr>
        <w:t>s.</w:t>
      </w:r>
      <w:r>
        <w:rPr>
          <w:rFonts w:asciiTheme="minorHAnsi" w:hAnsiTheme="minorHAnsi" w:cstheme="minorHAnsi"/>
          <w:sz w:val="26"/>
          <w:szCs w:val="26"/>
        </w:rPr>
        <w:t xml:space="preserve"> </w:t>
      </w:r>
      <w:r w:rsidR="00574701">
        <w:rPr>
          <w:rFonts w:asciiTheme="minorHAnsi" w:hAnsiTheme="minorHAnsi" w:cstheme="minorHAnsi"/>
          <w:sz w:val="26"/>
          <w:szCs w:val="26"/>
        </w:rPr>
        <w:t xml:space="preserve"> </w:t>
      </w:r>
      <w:r w:rsidR="007E3C35" w:rsidRPr="003176D2">
        <w:rPr>
          <w:rFonts w:asciiTheme="minorHAnsi" w:hAnsiTheme="minorHAnsi" w:cstheme="minorHAnsi"/>
          <w:i/>
          <w:sz w:val="26"/>
          <w:szCs w:val="26"/>
        </w:rPr>
        <w:t>See</w:t>
      </w:r>
      <w:r w:rsidR="007E3C35">
        <w:rPr>
          <w:rFonts w:asciiTheme="minorHAnsi" w:hAnsiTheme="minorHAnsi" w:cstheme="minorHAnsi"/>
          <w:sz w:val="26"/>
          <w:szCs w:val="26"/>
        </w:rPr>
        <w:t xml:space="preserve"> </w:t>
      </w:r>
      <w:r>
        <w:rPr>
          <w:rFonts w:asciiTheme="minorHAnsi" w:hAnsiTheme="minorHAnsi" w:cstheme="minorHAnsi"/>
          <w:sz w:val="26"/>
          <w:szCs w:val="26"/>
        </w:rPr>
        <w:t>66 Pa. C.S. §</w:t>
      </w:r>
      <w:r w:rsidR="00955B48">
        <w:rPr>
          <w:rFonts w:asciiTheme="minorHAnsi" w:hAnsiTheme="minorHAnsi" w:cstheme="minorHAnsi"/>
          <w:sz w:val="26"/>
          <w:szCs w:val="26"/>
        </w:rPr>
        <w:t>§</w:t>
      </w:r>
      <w:r>
        <w:rPr>
          <w:rFonts w:asciiTheme="minorHAnsi" w:hAnsiTheme="minorHAnsi" w:cstheme="minorHAnsi"/>
          <w:sz w:val="26"/>
          <w:szCs w:val="26"/>
        </w:rPr>
        <w:t xml:space="preserve"> 2</w:t>
      </w:r>
      <w:r w:rsidR="008807D6">
        <w:rPr>
          <w:rFonts w:asciiTheme="minorHAnsi" w:hAnsiTheme="minorHAnsi" w:cstheme="minorHAnsi"/>
          <w:sz w:val="26"/>
          <w:szCs w:val="26"/>
        </w:rPr>
        <w:t>208</w:t>
      </w:r>
      <w:r w:rsidR="00955B48">
        <w:rPr>
          <w:rFonts w:asciiTheme="minorHAnsi" w:hAnsiTheme="minorHAnsi" w:cstheme="minorHAnsi"/>
          <w:sz w:val="26"/>
          <w:szCs w:val="26"/>
        </w:rPr>
        <w:t>(a) and 2208</w:t>
      </w:r>
      <w:r w:rsidR="008807D6">
        <w:rPr>
          <w:rFonts w:asciiTheme="minorHAnsi" w:hAnsiTheme="minorHAnsi" w:cstheme="minorHAnsi"/>
          <w:sz w:val="26"/>
          <w:szCs w:val="26"/>
        </w:rPr>
        <w:t>(f</w:t>
      </w:r>
      <w:r>
        <w:rPr>
          <w:rFonts w:asciiTheme="minorHAnsi" w:hAnsiTheme="minorHAnsi" w:cstheme="minorHAnsi"/>
          <w:sz w:val="26"/>
          <w:szCs w:val="26"/>
        </w:rPr>
        <w:t>)</w:t>
      </w:r>
      <w:r w:rsidR="00C241BA">
        <w:rPr>
          <w:rFonts w:asciiTheme="minorHAnsi" w:hAnsiTheme="minorHAnsi" w:cstheme="minorHAnsi"/>
          <w:sz w:val="26"/>
          <w:szCs w:val="26"/>
        </w:rPr>
        <w:t xml:space="preserve"> (citing Chapter 56 of Commission regulations regarding Standards </w:t>
      </w:r>
      <w:r w:rsidR="00C241BA" w:rsidRPr="0015794D">
        <w:rPr>
          <w:sz w:val="26"/>
          <w:szCs w:val="26"/>
        </w:rPr>
        <w:t>and Billing Practices)</w:t>
      </w:r>
      <w:r w:rsidRPr="0015794D">
        <w:rPr>
          <w:sz w:val="26"/>
          <w:szCs w:val="26"/>
        </w:rPr>
        <w:t>.</w:t>
      </w:r>
      <w:r w:rsidR="0015794D" w:rsidRPr="0015794D">
        <w:rPr>
          <w:sz w:val="26"/>
          <w:szCs w:val="26"/>
        </w:rPr>
        <w:t xml:space="preserve">  </w:t>
      </w:r>
      <w:r w:rsidR="0015794D">
        <w:rPr>
          <w:sz w:val="26"/>
          <w:szCs w:val="26"/>
        </w:rPr>
        <w:t xml:space="preserve">Under </w:t>
      </w:r>
      <w:r w:rsidR="0015794D" w:rsidRPr="0015794D">
        <w:rPr>
          <w:sz w:val="26"/>
          <w:szCs w:val="26"/>
        </w:rPr>
        <w:t xml:space="preserve">its mission statement, the Commission </w:t>
      </w:r>
      <w:r w:rsidR="005568BB" w:rsidRPr="005568BB">
        <w:rPr>
          <w:rFonts w:asciiTheme="minorHAnsi" w:hAnsiTheme="minorHAnsi" w:cstheme="minorHAnsi"/>
          <w:sz w:val="26"/>
          <w:szCs w:val="26"/>
        </w:rPr>
        <w:t xml:space="preserve">“balances the needs of consumers and utilities; ensures safe and reliable utility service at reasonable rates; </w:t>
      </w:r>
      <w:r w:rsidR="0015794D" w:rsidRPr="005568BB">
        <w:rPr>
          <w:rFonts w:asciiTheme="minorHAnsi" w:hAnsiTheme="minorHAnsi" w:cstheme="minorHAnsi"/>
          <w:sz w:val="26"/>
          <w:szCs w:val="26"/>
        </w:rPr>
        <w:t>protects the public interest; educates consumers to make independent and informed utility choices; furthers economic development; and fosters new technologies and competitive markets</w:t>
      </w:r>
      <w:r w:rsidR="0015794D" w:rsidRPr="005568BB">
        <w:rPr>
          <w:sz w:val="26"/>
          <w:szCs w:val="26"/>
        </w:rPr>
        <w:t xml:space="preserve"> </w:t>
      </w:r>
      <w:r w:rsidR="0015794D" w:rsidRPr="0015794D">
        <w:rPr>
          <w:sz w:val="26"/>
          <w:szCs w:val="26"/>
        </w:rPr>
        <w:t>in an environmentally sound manner.</w:t>
      </w:r>
      <w:r w:rsidR="005568BB">
        <w:rPr>
          <w:sz w:val="26"/>
          <w:szCs w:val="26"/>
        </w:rPr>
        <w:t>”</w:t>
      </w:r>
      <w:r w:rsidR="005568BB">
        <w:rPr>
          <w:rStyle w:val="FootnoteReference"/>
          <w:sz w:val="26"/>
          <w:szCs w:val="26"/>
        </w:rPr>
        <w:footnoteReference w:id="5"/>
      </w:r>
      <w:r w:rsidR="005568BB">
        <w:rPr>
          <w:sz w:val="26"/>
          <w:szCs w:val="26"/>
        </w:rPr>
        <w:t xml:space="preserve">  </w:t>
      </w:r>
      <w:r w:rsidR="005568BB">
        <w:rPr>
          <w:rFonts w:cstheme="minorHAnsi"/>
          <w:sz w:val="26"/>
          <w:szCs w:val="26"/>
        </w:rPr>
        <w:t xml:space="preserve">The Commission has a duty to facilitate the competitive </w:t>
      </w:r>
      <w:r w:rsidR="006739CF">
        <w:rPr>
          <w:rFonts w:cstheme="minorHAnsi"/>
          <w:sz w:val="26"/>
          <w:szCs w:val="26"/>
        </w:rPr>
        <w:t xml:space="preserve">natural </w:t>
      </w:r>
      <w:r w:rsidR="005568BB">
        <w:rPr>
          <w:rFonts w:cstheme="minorHAnsi"/>
          <w:sz w:val="26"/>
          <w:szCs w:val="26"/>
        </w:rPr>
        <w:t xml:space="preserve">gas supply market and to remove any impediments to market development without compromising consumer protection.  </w:t>
      </w:r>
      <w:r w:rsidR="005568BB">
        <w:rPr>
          <w:rFonts w:cstheme="minorHAnsi"/>
          <w:i/>
          <w:sz w:val="26"/>
          <w:szCs w:val="26"/>
        </w:rPr>
        <w:t>See</w:t>
      </w:r>
      <w:r w:rsidR="005568BB">
        <w:rPr>
          <w:rFonts w:cstheme="minorHAnsi"/>
          <w:sz w:val="26"/>
          <w:szCs w:val="26"/>
        </w:rPr>
        <w:t xml:space="preserve"> 66 Pa. C.S. §§ 2203, 2206, 2208; </w:t>
      </w:r>
      <w:r w:rsidR="005568BB">
        <w:rPr>
          <w:rFonts w:cstheme="minorHAnsi"/>
          <w:i/>
          <w:sz w:val="26"/>
          <w:szCs w:val="26"/>
        </w:rPr>
        <w:t xml:space="preserve">see also </w:t>
      </w:r>
      <w:r w:rsidR="005568BB">
        <w:rPr>
          <w:rFonts w:cstheme="minorHAnsi"/>
          <w:sz w:val="26"/>
          <w:szCs w:val="26"/>
        </w:rPr>
        <w:t xml:space="preserve">52 Pa. Code Chapter 62 (generally).   </w:t>
      </w:r>
      <w:r w:rsidR="00E101F5" w:rsidRPr="0015794D">
        <w:rPr>
          <w:sz w:val="26"/>
          <w:szCs w:val="26"/>
        </w:rPr>
        <w:t xml:space="preserve">  </w:t>
      </w:r>
    </w:p>
    <w:p w:rsidR="00243B3F" w:rsidRPr="0015794D" w:rsidRDefault="00243B3F" w:rsidP="001A1513">
      <w:pPr>
        <w:pStyle w:val="p3"/>
        <w:tabs>
          <w:tab w:val="clear" w:pos="204"/>
        </w:tabs>
        <w:spacing w:line="360" w:lineRule="auto"/>
        <w:rPr>
          <w:sz w:val="26"/>
          <w:szCs w:val="26"/>
        </w:rPr>
      </w:pPr>
    </w:p>
    <w:p w:rsidR="00736853" w:rsidRDefault="00E101F5" w:rsidP="00243B3F">
      <w:pPr>
        <w:pStyle w:val="p3"/>
        <w:tabs>
          <w:tab w:val="clear" w:pos="204"/>
        </w:tabs>
        <w:spacing w:line="360" w:lineRule="auto"/>
        <w:ind w:firstLine="720"/>
        <w:rPr>
          <w:rFonts w:asciiTheme="minorHAnsi" w:hAnsiTheme="minorHAnsi" w:cstheme="minorHAnsi"/>
          <w:sz w:val="26"/>
          <w:szCs w:val="26"/>
        </w:rPr>
      </w:pPr>
      <w:r w:rsidRPr="0015794D">
        <w:rPr>
          <w:sz w:val="26"/>
          <w:szCs w:val="26"/>
        </w:rPr>
        <w:t>Section 501</w:t>
      </w:r>
      <w:r w:rsidR="004307F3" w:rsidRPr="0015794D">
        <w:rPr>
          <w:sz w:val="26"/>
          <w:szCs w:val="26"/>
        </w:rPr>
        <w:t xml:space="preserve"> </w:t>
      </w:r>
      <w:r w:rsidRPr="0015794D">
        <w:rPr>
          <w:sz w:val="26"/>
          <w:szCs w:val="26"/>
        </w:rPr>
        <w:t>of the Public Utility</w:t>
      </w:r>
      <w:r w:rsidRPr="0015794D">
        <w:rPr>
          <w:rFonts w:asciiTheme="minorHAnsi" w:hAnsiTheme="minorHAnsi" w:cstheme="minorHAnsi"/>
          <w:sz w:val="26"/>
          <w:szCs w:val="26"/>
        </w:rPr>
        <w:t xml:space="preserve"> </w:t>
      </w:r>
      <w:r>
        <w:rPr>
          <w:rFonts w:asciiTheme="minorHAnsi" w:hAnsiTheme="minorHAnsi" w:cstheme="minorHAnsi"/>
          <w:sz w:val="26"/>
          <w:szCs w:val="26"/>
        </w:rPr>
        <w:t>Code empower</w:t>
      </w:r>
      <w:r w:rsidR="004307F3">
        <w:rPr>
          <w:rFonts w:asciiTheme="minorHAnsi" w:hAnsiTheme="minorHAnsi" w:cstheme="minorHAnsi"/>
          <w:sz w:val="26"/>
          <w:szCs w:val="26"/>
        </w:rPr>
        <w:t>s</w:t>
      </w:r>
      <w:r>
        <w:rPr>
          <w:rFonts w:asciiTheme="minorHAnsi" w:hAnsiTheme="minorHAnsi" w:cstheme="minorHAnsi"/>
          <w:sz w:val="26"/>
          <w:szCs w:val="26"/>
        </w:rPr>
        <w:t xml:space="preserve"> the Commission to promulgate regulations that are necessary or proper to exercise its powers and perform its duties.  66 Pa. C.S. § 501.  </w:t>
      </w:r>
      <w:r w:rsidR="00243B3F">
        <w:rPr>
          <w:rFonts w:asciiTheme="minorHAnsi" w:hAnsiTheme="minorHAnsi" w:cstheme="minorHAnsi"/>
          <w:sz w:val="26"/>
          <w:szCs w:val="26"/>
        </w:rPr>
        <w:t>The Commission need not</w:t>
      </w:r>
      <w:r w:rsidR="00243B3F" w:rsidRPr="00243B3F">
        <w:rPr>
          <w:sz w:val="26"/>
          <w:szCs w:val="26"/>
        </w:rPr>
        <w:t xml:space="preserve"> </w:t>
      </w:r>
      <w:r w:rsidR="00243B3F">
        <w:rPr>
          <w:sz w:val="26"/>
          <w:szCs w:val="26"/>
        </w:rPr>
        <w:t>“</w:t>
      </w:r>
      <w:r w:rsidR="00243B3F" w:rsidRPr="00243B3F">
        <w:rPr>
          <w:sz w:val="26"/>
          <w:szCs w:val="26"/>
        </w:rPr>
        <w:t xml:space="preserve">consider expressly and at length each contention and authority marshalled by a party to the </w:t>
      </w:r>
      <w:r w:rsidR="00243B3F">
        <w:rPr>
          <w:sz w:val="26"/>
          <w:szCs w:val="26"/>
        </w:rPr>
        <w:t xml:space="preserve">[rulemaking] </w:t>
      </w:r>
      <w:r w:rsidR="00243B3F" w:rsidRPr="00243B3F">
        <w:rPr>
          <w:sz w:val="26"/>
          <w:szCs w:val="26"/>
        </w:rPr>
        <w:t>proceeding</w:t>
      </w:r>
      <w:r w:rsidR="00243B3F">
        <w:rPr>
          <w:sz w:val="26"/>
          <w:szCs w:val="26"/>
        </w:rPr>
        <w:t xml:space="preserve">,” but must </w:t>
      </w:r>
      <w:r w:rsidR="008731E8">
        <w:rPr>
          <w:sz w:val="26"/>
          <w:szCs w:val="26"/>
        </w:rPr>
        <w:t xml:space="preserve">fully explain its decision in accepting the thesis of one party and rejecting the contentions of another party.  </w:t>
      </w:r>
      <w:r w:rsidR="008731E8" w:rsidRPr="00107998">
        <w:rPr>
          <w:i/>
          <w:sz w:val="26"/>
          <w:szCs w:val="26"/>
        </w:rPr>
        <w:t>University of Pennsylvania v. Pa. P</w:t>
      </w:r>
      <w:r w:rsidR="00434C51">
        <w:rPr>
          <w:i/>
          <w:sz w:val="26"/>
          <w:szCs w:val="26"/>
        </w:rPr>
        <w:t>ublic Utility Commission</w:t>
      </w:r>
      <w:r w:rsidR="008731E8" w:rsidRPr="00107998">
        <w:rPr>
          <w:sz w:val="26"/>
          <w:szCs w:val="26"/>
        </w:rPr>
        <w:t xml:space="preserve">, 485 A.2d 1217, 1222-23 (Pa. </w:t>
      </w:r>
      <w:proofErr w:type="spellStart"/>
      <w:r w:rsidR="008731E8" w:rsidRPr="00107998">
        <w:rPr>
          <w:sz w:val="26"/>
          <w:szCs w:val="26"/>
        </w:rPr>
        <w:t>Cmwlth</w:t>
      </w:r>
      <w:proofErr w:type="spellEnd"/>
      <w:r w:rsidR="008731E8" w:rsidRPr="00107998">
        <w:rPr>
          <w:sz w:val="26"/>
          <w:szCs w:val="26"/>
        </w:rPr>
        <w:t>. 1984).</w:t>
      </w:r>
      <w:r w:rsidR="008731E8">
        <w:rPr>
          <w:sz w:val="26"/>
          <w:szCs w:val="26"/>
        </w:rPr>
        <w:t xml:space="preserve">  </w:t>
      </w:r>
      <w:r>
        <w:rPr>
          <w:rFonts w:asciiTheme="minorHAnsi" w:hAnsiTheme="minorHAnsi" w:cstheme="minorHAnsi"/>
          <w:sz w:val="26"/>
          <w:szCs w:val="26"/>
        </w:rPr>
        <w:t xml:space="preserve">Through this Order, we </w:t>
      </w:r>
      <w:r w:rsidR="00C06AB5">
        <w:rPr>
          <w:rFonts w:asciiTheme="minorHAnsi" w:hAnsiTheme="minorHAnsi" w:cstheme="minorHAnsi"/>
          <w:sz w:val="26"/>
          <w:szCs w:val="26"/>
        </w:rPr>
        <w:t xml:space="preserve">finalize </w:t>
      </w:r>
      <w:r>
        <w:rPr>
          <w:rFonts w:asciiTheme="minorHAnsi" w:hAnsiTheme="minorHAnsi" w:cstheme="minorHAnsi"/>
          <w:sz w:val="26"/>
          <w:szCs w:val="26"/>
        </w:rPr>
        <w:t xml:space="preserve">revisions to our </w:t>
      </w:r>
      <w:r w:rsidR="004307F3">
        <w:rPr>
          <w:rFonts w:asciiTheme="minorHAnsi" w:hAnsiTheme="minorHAnsi" w:cstheme="minorHAnsi"/>
          <w:sz w:val="26"/>
          <w:szCs w:val="26"/>
        </w:rPr>
        <w:t xml:space="preserve">existing natural gas customer disclosure information </w:t>
      </w:r>
      <w:r>
        <w:rPr>
          <w:rFonts w:asciiTheme="minorHAnsi" w:hAnsiTheme="minorHAnsi" w:cstheme="minorHAnsi"/>
          <w:sz w:val="26"/>
          <w:szCs w:val="26"/>
        </w:rPr>
        <w:t xml:space="preserve">regulations at </w:t>
      </w:r>
      <w:r w:rsidRPr="009A4CF6">
        <w:rPr>
          <w:sz w:val="26"/>
          <w:szCs w:val="26"/>
        </w:rPr>
        <w:t>52 Pa. Code §</w:t>
      </w:r>
      <w:r w:rsidR="00102D80">
        <w:rPr>
          <w:sz w:val="26"/>
          <w:szCs w:val="26"/>
        </w:rPr>
        <w:t>§</w:t>
      </w:r>
      <w:r w:rsidR="00B71C33">
        <w:rPr>
          <w:sz w:val="26"/>
          <w:szCs w:val="26"/>
        </w:rPr>
        <w:t> </w:t>
      </w:r>
      <w:r w:rsidR="00102D80">
        <w:rPr>
          <w:sz w:val="26"/>
          <w:szCs w:val="26"/>
        </w:rPr>
        <w:t>62.72</w:t>
      </w:r>
      <w:r w:rsidR="004A2D3A">
        <w:rPr>
          <w:sz w:val="26"/>
          <w:szCs w:val="26"/>
        </w:rPr>
        <w:t xml:space="preserve"> and </w:t>
      </w:r>
      <w:r w:rsidRPr="009A4CF6">
        <w:rPr>
          <w:sz w:val="26"/>
          <w:szCs w:val="26"/>
        </w:rPr>
        <w:t>62.75</w:t>
      </w:r>
      <w:r w:rsidR="004A2D3A">
        <w:rPr>
          <w:sz w:val="26"/>
          <w:szCs w:val="26"/>
        </w:rPr>
        <w:t>,</w:t>
      </w:r>
      <w:r w:rsidR="005568BB">
        <w:rPr>
          <w:sz w:val="26"/>
          <w:szCs w:val="26"/>
        </w:rPr>
        <w:t xml:space="preserve"> and add Section 62.81</w:t>
      </w:r>
      <w:r>
        <w:rPr>
          <w:sz w:val="26"/>
          <w:szCs w:val="26"/>
        </w:rPr>
        <w:t xml:space="preserve">.  </w:t>
      </w:r>
      <w:r w:rsidRPr="009A4CF6">
        <w:rPr>
          <w:sz w:val="26"/>
          <w:szCs w:val="26"/>
        </w:rPr>
        <w:t xml:space="preserve"> </w:t>
      </w:r>
      <w:r>
        <w:rPr>
          <w:rFonts w:asciiTheme="minorHAnsi" w:hAnsiTheme="minorHAnsi" w:cstheme="minorHAnsi"/>
          <w:sz w:val="26"/>
          <w:szCs w:val="26"/>
        </w:rPr>
        <w:t xml:space="preserve"> </w:t>
      </w:r>
      <w:r w:rsidR="008B5E6F">
        <w:rPr>
          <w:rFonts w:asciiTheme="minorHAnsi" w:hAnsiTheme="minorHAnsi" w:cstheme="minorHAnsi"/>
          <w:sz w:val="26"/>
          <w:szCs w:val="26"/>
        </w:rPr>
        <w:t xml:space="preserve">  </w:t>
      </w:r>
    </w:p>
    <w:p w:rsidR="00EB730A" w:rsidRDefault="00EB730A" w:rsidP="00243B3F">
      <w:pPr>
        <w:pStyle w:val="p3"/>
        <w:tabs>
          <w:tab w:val="clear" w:pos="204"/>
        </w:tabs>
        <w:spacing w:line="360" w:lineRule="auto"/>
        <w:ind w:firstLine="720"/>
        <w:rPr>
          <w:rFonts w:asciiTheme="minorHAnsi" w:hAnsiTheme="minorHAnsi" w:cstheme="minorHAnsi"/>
          <w:sz w:val="26"/>
          <w:szCs w:val="26"/>
        </w:rPr>
      </w:pPr>
    </w:p>
    <w:p w:rsidR="00A8627E" w:rsidRPr="00A8627E" w:rsidRDefault="00AA1DE2" w:rsidP="005D4FAA">
      <w:pPr>
        <w:pStyle w:val="p3"/>
        <w:tabs>
          <w:tab w:val="clear" w:pos="204"/>
        </w:tabs>
        <w:spacing w:line="360" w:lineRule="auto"/>
        <w:rPr>
          <w:rFonts w:asciiTheme="minorHAnsi" w:hAnsiTheme="minorHAnsi" w:cstheme="minorHAnsi"/>
          <w:b/>
          <w:sz w:val="26"/>
          <w:szCs w:val="26"/>
        </w:rPr>
      </w:pPr>
      <w:r>
        <w:rPr>
          <w:rFonts w:asciiTheme="minorHAnsi" w:hAnsiTheme="minorHAnsi" w:cstheme="minorHAnsi"/>
          <w:b/>
          <w:sz w:val="26"/>
          <w:szCs w:val="26"/>
        </w:rPr>
        <w:t>Disposition of Section 62.72</w:t>
      </w:r>
    </w:p>
    <w:p w:rsidR="00816B69" w:rsidRDefault="00AD460D" w:rsidP="00366136">
      <w:pPr>
        <w:pStyle w:val="p3"/>
        <w:tabs>
          <w:tab w:val="clear" w:pos="204"/>
        </w:tabs>
        <w:spacing w:line="360" w:lineRule="auto"/>
        <w:ind w:firstLine="720"/>
        <w:rPr>
          <w:rFonts w:asciiTheme="minorHAnsi" w:hAnsiTheme="minorHAnsi" w:cstheme="minorHAnsi"/>
          <w:sz w:val="26"/>
          <w:szCs w:val="26"/>
        </w:rPr>
      </w:pPr>
      <w:r w:rsidRPr="000A1FD9">
        <w:rPr>
          <w:rFonts w:asciiTheme="minorHAnsi" w:hAnsiTheme="minorHAnsi" w:cstheme="minorHAnsi"/>
          <w:sz w:val="26"/>
          <w:szCs w:val="26"/>
        </w:rPr>
        <w:t xml:space="preserve">As to proposed Section 62.72, IRRC asked the Commission to ensure that terms such as billing cycle and billing month are clear, consistent, and unambiguous throughout the regulations.  IRRC Comments at 2.  </w:t>
      </w:r>
      <w:r w:rsidR="00EA2F5E" w:rsidRPr="000A1FD9">
        <w:rPr>
          <w:rFonts w:asciiTheme="minorHAnsi" w:hAnsiTheme="minorHAnsi" w:cstheme="minorHAnsi"/>
          <w:i/>
          <w:sz w:val="26"/>
          <w:szCs w:val="26"/>
        </w:rPr>
        <w:t xml:space="preserve">Billing cycle </w:t>
      </w:r>
      <w:r w:rsidR="00EA2F5E" w:rsidRPr="000A1FD9">
        <w:rPr>
          <w:rFonts w:asciiTheme="minorHAnsi" w:hAnsiTheme="minorHAnsi" w:cstheme="minorHAnsi"/>
          <w:sz w:val="26"/>
          <w:szCs w:val="26"/>
        </w:rPr>
        <w:t xml:space="preserve">is a term of art in the industry, which </w:t>
      </w:r>
      <w:r w:rsidR="00E96E82" w:rsidRPr="000A1FD9">
        <w:rPr>
          <w:rFonts w:asciiTheme="minorHAnsi" w:hAnsiTheme="minorHAnsi" w:cstheme="minorHAnsi"/>
          <w:sz w:val="26"/>
          <w:szCs w:val="26"/>
        </w:rPr>
        <w:t>refers</w:t>
      </w:r>
      <w:r w:rsidR="00EA2F5E" w:rsidRPr="000A1FD9">
        <w:rPr>
          <w:rFonts w:asciiTheme="minorHAnsi" w:hAnsiTheme="minorHAnsi" w:cstheme="minorHAnsi"/>
          <w:sz w:val="26"/>
          <w:szCs w:val="26"/>
        </w:rPr>
        <w:t xml:space="preserve"> </w:t>
      </w:r>
      <w:r w:rsidR="00B44865">
        <w:rPr>
          <w:rFonts w:asciiTheme="minorHAnsi" w:hAnsiTheme="minorHAnsi" w:cstheme="minorHAnsi"/>
          <w:sz w:val="26"/>
          <w:szCs w:val="26"/>
        </w:rPr>
        <w:t>to</w:t>
      </w:r>
      <w:r w:rsidR="00EA2F5E" w:rsidRPr="000A1FD9">
        <w:rPr>
          <w:rFonts w:asciiTheme="minorHAnsi" w:hAnsiTheme="minorHAnsi" w:cstheme="minorHAnsi"/>
          <w:sz w:val="26"/>
          <w:szCs w:val="26"/>
        </w:rPr>
        <w:t xml:space="preserve"> billing time periods</w:t>
      </w:r>
      <w:r w:rsidR="00E96E82" w:rsidRPr="000A1FD9">
        <w:rPr>
          <w:rFonts w:asciiTheme="minorHAnsi" w:hAnsiTheme="minorHAnsi" w:cstheme="minorHAnsi"/>
          <w:sz w:val="26"/>
          <w:szCs w:val="26"/>
        </w:rPr>
        <w:t xml:space="preserve"> and the frequency of billing</w:t>
      </w:r>
      <w:r w:rsidR="00EA2F5E" w:rsidRPr="000A1FD9">
        <w:rPr>
          <w:rFonts w:asciiTheme="minorHAnsi" w:hAnsiTheme="minorHAnsi" w:cstheme="minorHAnsi"/>
          <w:sz w:val="26"/>
          <w:szCs w:val="26"/>
        </w:rPr>
        <w:t xml:space="preserve">.  </w:t>
      </w:r>
      <w:r w:rsidR="0020097E" w:rsidRPr="000A1FD9">
        <w:rPr>
          <w:rFonts w:asciiTheme="minorHAnsi" w:hAnsiTheme="minorHAnsi" w:cstheme="minorHAnsi"/>
          <w:i/>
          <w:sz w:val="26"/>
          <w:szCs w:val="26"/>
        </w:rPr>
        <w:t>See</w:t>
      </w:r>
      <w:r w:rsidR="0020097E" w:rsidRPr="000A1FD9">
        <w:rPr>
          <w:rFonts w:asciiTheme="minorHAnsi" w:hAnsiTheme="minorHAnsi" w:cstheme="minorHAnsi"/>
          <w:sz w:val="26"/>
          <w:szCs w:val="26"/>
        </w:rPr>
        <w:t xml:space="preserve"> </w:t>
      </w:r>
      <w:r w:rsidR="00EA2F5E" w:rsidRPr="000A1FD9">
        <w:rPr>
          <w:color w:val="000000"/>
          <w:spacing w:val="1"/>
          <w:sz w:val="26"/>
          <w:szCs w:val="26"/>
        </w:rPr>
        <w:t>National Marketers Comments at 3</w:t>
      </w:r>
      <w:r w:rsidR="00E96E82" w:rsidRPr="000A1FD9">
        <w:rPr>
          <w:rFonts w:asciiTheme="minorHAnsi" w:hAnsiTheme="minorHAnsi" w:cstheme="minorHAnsi"/>
          <w:sz w:val="26"/>
          <w:szCs w:val="26"/>
        </w:rPr>
        <w:t>.</w:t>
      </w:r>
      <w:r w:rsidR="00403888">
        <w:rPr>
          <w:rFonts w:asciiTheme="minorHAnsi" w:hAnsiTheme="minorHAnsi" w:cstheme="minorHAnsi"/>
          <w:sz w:val="26"/>
          <w:szCs w:val="26"/>
        </w:rPr>
        <w:t xml:space="preserve">  </w:t>
      </w:r>
      <w:r w:rsidR="00366136">
        <w:rPr>
          <w:rFonts w:cstheme="minorHAnsi"/>
          <w:sz w:val="26"/>
          <w:szCs w:val="26"/>
        </w:rPr>
        <w:t xml:space="preserve">In addition to defining what constituted a </w:t>
      </w:r>
      <w:r w:rsidR="00366136">
        <w:rPr>
          <w:rFonts w:cstheme="minorHAnsi"/>
          <w:i/>
          <w:sz w:val="26"/>
          <w:szCs w:val="26"/>
        </w:rPr>
        <w:t xml:space="preserve">billing </w:t>
      </w:r>
      <w:r w:rsidR="00366136" w:rsidRPr="00366136">
        <w:rPr>
          <w:rFonts w:cstheme="minorHAnsi"/>
          <w:i/>
          <w:sz w:val="26"/>
          <w:szCs w:val="26"/>
        </w:rPr>
        <w:t>month</w:t>
      </w:r>
      <w:r w:rsidR="00366136">
        <w:rPr>
          <w:rFonts w:cstheme="minorHAnsi"/>
          <w:sz w:val="26"/>
          <w:szCs w:val="26"/>
        </w:rPr>
        <w:t>, w</w:t>
      </w:r>
      <w:r w:rsidR="00366136" w:rsidRPr="00403888">
        <w:rPr>
          <w:rFonts w:cstheme="minorHAnsi"/>
          <w:sz w:val="26"/>
          <w:szCs w:val="26"/>
        </w:rPr>
        <w:t>e</w:t>
      </w:r>
      <w:r w:rsidR="00366136">
        <w:rPr>
          <w:rFonts w:cstheme="minorHAnsi"/>
          <w:sz w:val="26"/>
          <w:szCs w:val="26"/>
        </w:rPr>
        <w:t xml:space="preserve"> used the term twice in these regulations, in both instances referring to the first time period in </w:t>
      </w:r>
      <w:r w:rsidR="00366136">
        <w:rPr>
          <w:rFonts w:cstheme="minorHAnsi"/>
          <w:sz w:val="26"/>
          <w:szCs w:val="26"/>
        </w:rPr>
        <w:lastRenderedPageBreak/>
        <w:t xml:space="preserve">which the customer is billed, which must be at least 26-35 days.  </w:t>
      </w:r>
      <w:r w:rsidR="00366136">
        <w:rPr>
          <w:rFonts w:cstheme="minorHAnsi"/>
          <w:i/>
          <w:sz w:val="26"/>
          <w:szCs w:val="26"/>
        </w:rPr>
        <w:t xml:space="preserve">See </w:t>
      </w:r>
      <w:r w:rsidR="00366136" w:rsidRPr="00EA2F5E">
        <w:rPr>
          <w:rFonts w:cstheme="minorHAnsi"/>
          <w:sz w:val="26"/>
          <w:szCs w:val="26"/>
        </w:rPr>
        <w:t>Annex</w:t>
      </w:r>
      <w:r w:rsidR="00366136">
        <w:rPr>
          <w:rFonts w:cstheme="minorHAnsi"/>
          <w:sz w:val="26"/>
          <w:szCs w:val="26"/>
        </w:rPr>
        <w:t xml:space="preserve"> A, Sections 62.75(c)(2)(iv)</w:t>
      </w:r>
      <w:r w:rsidR="00366136" w:rsidRPr="00E96E82">
        <w:rPr>
          <w:rFonts w:cstheme="minorHAnsi"/>
          <w:sz w:val="26"/>
          <w:szCs w:val="26"/>
        </w:rPr>
        <w:t xml:space="preserve"> </w:t>
      </w:r>
      <w:r w:rsidR="00366136">
        <w:rPr>
          <w:rFonts w:cstheme="minorHAnsi"/>
          <w:sz w:val="26"/>
          <w:szCs w:val="26"/>
        </w:rPr>
        <w:t xml:space="preserve">, 62.81(a)(2)(ii).  </w:t>
      </w:r>
      <w:r w:rsidR="006D3A89">
        <w:rPr>
          <w:rFonts w:asciiTheme="minorHAnsi" w:hAnsiTheme="minorHAnsi" w:cstheme="minorHAnsi"/>
          <w:sz w:val="26"/>
          <w:szCs w:val="26"/>
        </w:rPr>
        <w:t>The distinction was proposed to ens</w:t>
      </w:r>
      <w:r w:rsidR="004A2D3A">
        <w:rPr>
          <w:rFonts w:asciiTheme="minorHAnsi" w:hAnsiTheme="minorHAnsi" w:cstheme="minorHAnsi"/>
          <w:sz w:val="26"/>
          <w:szCs w:val="26"/>
        </w:rPr>
        <w:t>ure that customers who have an i</w:t>
      </w:r>
      <w:r w:rsidR="006D3A89">
        <w:rPr>
          <w:rFonts w:asciiTheme="minorHAnsi" w:hAnsiTheme="minorHAnsi" w:cstheme="minorHAnsi"/>
          <w:sz w:val="26"/>
          <w:szCs w:val="26"/>
        </w:rPr>
        <w:t>ntroduc</w:t>
      </w:r>
      <w:r w:rsidR="004A2D3A">
        <w:rPr>
          <w:rFonts w:asciiTheme="minorHAnsi" w:hAnsiTheme="minorHAnsi" w:cstheme="minorHAnsi"/>
          <w:sz w:val="26"/>
          <w:szCs w:val="26"/>
        </w:rPr>
        <w:t>tory r</w:t>
      </w:r>
      <w:r w:rsidR="006D3A89">
        <w:rPr>
          <w:rFonts w:asciiTheme="minorHAnsi" w:hAnsiTheme="minorHAnsi" w:cstheme="minorHAnsi"/>
          <w:sz w:val="26"/>
          <w:szCs w:val="26"/>
        </w:rPr>
        <w:t xml:space="preserve">ate receive that rate for at least one full month.  This issue </w:t>
      </w:r>
      <w:r w:rsidR="00BA1E49">
        <w:rPr>
          <w:rFonts w:asciiTheme="minorHAnsi" w:hAnsiTheme="minorHAnsi" w:cstheme="minorHAnsi"/>
          <w:sz w:val="26"/>
          <w:szCs w:val="26"/>
        </w:rPr>
        <w:t>can</w:t>
      </w:r>
      <w:r w:rsidR="006D3A89">
        <w:rPr>
          <w:rFonts w:asciiTheme="minorHAnsi" w:hAnsiTheme="minorHAnsi" w:cstheme="minorHAnsi"/>
          <w:sz w:val="26"/>
          <w:szCs w:val="26"/>
        </w:rPr>
        <w:t xml:space="preserve"> arise in the electric industry where customers have accelerated switching that can result in a first bill being issue</w:t>
      </w:r>
      <w:r w:rsidR="00366136">
        <w:rPr>
          <w:rFonts w:asciiTheme="minorHAnsi" w:hAnsiTheme="minorHAnsi" w:cstheme="minorHAnsi"/>
          <w:sz w:val="26"/>
          <w:szCs w:val="26"/>
        </w:rPr>
        <w:t>d</w:t>
      </w:r>
      <w:r w:rsidR="006D3A89">
        <w:rPr>
          <w:rFonts w:asciiTheme="minorHAnsi" w:hAnsiTheme="minorHAnsi" w:cstheme="minorHAnsi"/>
          <w:sz w:val="26"/>
          <w:szCs w:val="26"/>
        </w:rPr>
        <w:t xml:space="preserve"> for less than a full month.  </w:t>
      </w:r>
    </w:p>
    <w:p w:rsidR="00765458" w:rsidRDefault="00765458" w:rsidP="00366136">
      <w:pPr>
        <w:pStyle w:val="p3"/>
        <w:tabs>
          <w:tab w:val="clear" w:pos="204"/>
        </w:tabs>
        <w:spacing w:line="360" w:lineRule="auto"/>
        <w:ind w:firstLine="720"/>
        <w:rPr>
          <w:rFonts w:asciiTheme="minorHAnsi" w:hAnsiTheme="minorHAnsi" w:cstheme="minorHAnsi"/>
          <w:sz w:val="26"/>
          <w:szCs w:val="26"/>
        </w:rPr>
      </w:pPr>
    </w:p>
    <w:p w:rsidR="00816B69" w:rsidRDefault="00816B69" w:rsidP="00816B69">
      <w:pPr>
        <w:pStyle w:val="p3"/>
        <w:tabs>
          <w:tab w:val="clear" w:pos="204"/>
        </w:tabs>
        <w:spacing w:line="360" w:lineRule="auto"/>
        <w:ind w:firstLine="720"/>
        <w:rPr>
          <w:rFonts w:asciiTheme="minorHAnsi" w:hAnsiTheme="minorHAnsi" w:cstheme="minorHAnsi"/>
          <w:sz w:val="26"/>
          <w:szCs w:val="26"/>
        </w:rPr>
      </w:pPr>
      <w:r>
        <w:rPr>
          <w:rFonts w:asciiTheme="minorHAnsi" w:hAnsiTheme="minorHAnsi" w:cstheme="minorHAnsi"/>
          <w:sz w:val="26"/>
          <w:szCs w:val="26"/>
        </w:rPr>
        <w:t xml:space="preserve">In order to address IRRC’s concerns regarding language consistency and unambiguity, we will remove references to </w:t>
      </w:r>
      <w:r w:rsidRPr="00816B69">
        <w:rPr>
          <w:rFonts w:asciiTheme="minorHAnsi" w:hAnsiTheme="minorHAnsi" w:cstheme="minorHAnsi"/>
          <w:i/>
          <w:sz w:val="26"/>
          <w:szCs w:val="26"/>
        </w:rPr>
        <w:t>billing month</w:t>
      </w:r>
      <w:r>
        <w:rPr>
          <w:rFonts w:asciiTheme="minorHAnsi" w:hAnsiTheme="minorHAnsi" w:cstheme="minorHAnsi"/>
          <w:sz w:val="26"/>
          <w:szCs w:val="26"/>
        </w:rPr>
        <w:t xml:space="preserve"> throughout the final regulations.  </w:t>
      </w:r>
      <w:r w:rsidR="00BA1E49" w:rsidRPr="00BA1E49">
        <w:rPr>
          <w:rFonts w:asciiTheme="minorHAnsi" w:hAnsiTheme="minorHAnsi" w:cstheme="minorHAnsi"/>
          <w:i/>
          <w:sz w:val="26"/>
          <w:szCs w:val="26"/>
        </w:rPr>
        <w:t>See</w:t>
      </w:r>
      <w:r w:rsidR="00BA1E49">
        <w:rPr>
          <w:rFonts w:asciiTheme="minorHAnsi" w:hAnsiTheme="minorHAnsi" w:cstheme="minorHAnsi"/>
          <w:sz w:val="26"/>
          <w:szCs w:val="26"/>
        </w:rPr>
        <w:t xml:space="preserve"> </w:t>
      </w:r>
      <w:r w:rsidRPr="00BA1E49">
        <w:rPr>
          <w:rFonts w:asciiTheme="minorHAnsi" w:hAnsiTheme="minorHAnsi" w:cstheme="minorHAnsi"/>
          <w:sz w:val="26"/>
          <w:szCs w:val="26"/>
        </w:rPr>
        <w:t>Annex</w:t>
      </w:r>
      <w:r w:rsidRPr="004D5C5C">
        <w:rPr>
          <w:rFonts w:asciiTheme="minorHAnsi" w:hAnsiTheme="minorHAnsi" w:cstheme="minorHAnsi"/>
          <w:sz w:val="26"/>
          <w:szCs w:val="26"/>
        </w:rPr>
        <w:t xml:space="preserve"> A, Sections 62.72</w:t>
      </w:r>
      <w:r w:rsidR="00403888" w:rsidRPr="004D5C5C">
        <w:rPr>
          <w:rFonts w:asciiTheme="minorHAnsi" w:hAnsiTheme="minorHAnsi" w:cstheme="minorHAnsi"/>
          <w:sz w:val="26"/>
          <w:szCs w:val="26"/>
        </w:rPr>
        <w:t xml:space="preserve">, </w:t>
      </w:r>
      <w:r w:rsidRPr="004D5C5C">
        <w:rPr>
          <w:rFonts w:asciiTheme="minorHAnsi" w:hAnsiTheme="minorHAnsi" w:cstheme="minorHAnsi"/>
          <w:sz w:val="26"/>
          <w:szCs w:val="26"/>
        </w:rPr>
        <w:t>62.75(c)(2)(</w:t>
      </w:r>
      <w:r w:rsidR="0017133A" w:rsidRPr="004D5C5C">
        <w:rPr>
          <w:rFonts w:asciiTheme="minorHAnsi" w:hAnsiTheme="minorHAnsi" w:cstheme="minorHAnsi"/>
          <w:sz w:val="26"/>
          <w:szCs w:val="26"/>
        </w:rPr>
        <w:t>i</w:t>
      </w:r>
      <w:r w:rsidR="0017133A">
        <w:rPr>
          <w:rFonts w:asciiTheme="minorHAnsi" w:hAnsiTheme="minorHAnsi" w:cstheme="minorHAnsi"/>
          <w:sz w:val="26"/>
          <w:szCs w:val="26"/>
        </w:rPr>
        <w:t>i</w:t>
      </w:r>
      <w:r w:rsidRPr="004D5C5C">
        <w:rPr>
          <w:rFonts w:asciiTheme="minorHAnsi" w:hAnsiTheme="minorHAnsi" w:cstheme="minorHAnsi"/>
          <w:sz w:val="26"/>
          <w:szCs w:val="26"/>
        </w:rPr>
        <w:t>), 62.81(a)(2)(ii).</w:t>
      </w:r>
      <w:r>
        <w:rPr>
          <w:rFonts w:asciiTheme="minorHAnsi" w:hAnsiTheme="minorHAnsi" w:cstheme="minorHAnsi"/>
          <w:sz w:val="26"/>
          <w:szCs w:val="26"/>
        </w:rPr>
        <w:t xml:space="preserve">  This is consistent with the electric regulations where neither </w:t>
      </w:r>
      <w:r w:rsidRPr="00816B69">
        <w:rPr>
          <w:rFonts w:asciiTheme="minorHAnsi" w:hAnsiTheme="minorHAnsi" w:cstheme="minorHAnsi"/>
          <w:i/>
          <w:sz w:val="26"/>
          <w:szCs w:val="26"/>
        </w:rPr>
        <w:t>billing month</w:t>
      </w:r>
      <w:r>
        <w:rPr>
          <w:rFonts w:asciiTheme="minorHAnsi" w:hAnsiTheme="minorHAnsi" w:cstheme="minorHAnsi"/>
          <w:sz w:val="26"/>
          <w:szCs w:val="26"/>
        </w:rPr>
        <w:t xml:space="preserve"> nor </w:t>
      </w:r>
      <w:r w:rsidRPr="00816B69">
        <w:rPr>
          <w:rFonts w:asciiTheme="minorHAnsi" w:hAnsiTheme="minorHAnsi" w:cstheme="minorHAnsi"/>
          <w:i/>
          <w:sz w:val="26"/>
          <w:szCs w:val="26"/>
        </w:rPr>
        <w:t>billing cycle</w:t>
      </w:r>
      <w:r>
        <w:rPr>
          <w:rFonts w:asciiTheme="minorHAnsi" w:hAnsiTheme="minorHAnsi" w:cstheme="minorHAnsi"/>
          <w:sz w:val="26"/>
          <w:szCs w:val="26"/>
        </w:rPr>
        <w:t xml:space="preserve"> are defined.  </w:t>
      </w:r>
      <w:r>
        <w:rPr>
          <w:rFonts w:asciiTheme="minorHAnsi" w:hAnsiTheme="minorHAnsi" w:cstheme="minorHAnsi"/>
          <w:i/>
          <w:sz w:val="26"/>
          <w:szCs w:val="26"/>
        </w:rPr>
        <w:t>See</w:t>
      </w:r>
      <w:r w:rsidR="00B44865">
        <w:rPr>
          <w:rFonts w:asciiTheme="minorHAnsi" w:hAnsiTheme="minorHAnsi" w:cstheme="minorHAnsi"/>
          <w:sz w:val="26"/>
          <w:szCs w:val="26"/>
        </w:rPr>
        <w:t xml:space="preserve"> 52 Pa. Code § 54</w:t>
      </w:r>
      <w:r>
        <w:rPr>
          <w:rFonts w:asciiTheme="minorHAnsi" w:hAnsiTheme="minorHAnsi" w:cstheme="minorHAnsi"/>
          <w:sz w:val="26"/>
          <w:szCs w:val="26"/>
        </w:rPr>
        <w:t>.2</w:t>
      </w:r>
      <w:r w:rsidR="004A2D3A">
        <w:rPr>
          <w:rFonts w:asciiTheme="minorHAnsi" w:hAnsiTheme="minorHAnsi" w:cstheme="minorHAnsi"/>
          <w:sz w:val="26"/>
          <w:szCs w:val="26"/>
        </w:rPr>
        <w:t xml:space="preserve"> (relating to definitions)</w:t>
      </w:r>
      <w:r>
        <w:rPr>
          <w:rFonts w:asciiTheme="minorHAnsi" w:hAnsiTheme="minorHAnsi" w:cstheme="minorHAnsi"/>
          <w:sz w:val="26"/>
          <w:szCs w:val="26"/>
        </w:rPr>
        <w:t>.  The Commission is unaware of any issues resulting from the lack of definition of these terms in the electric regulations.  The Commission also notes that th</w:t>
      </w:r>
      <w:r>
        <w:rPr>
          <w:rFonts w:cstheme="minorHAnsi"/>
          <w:sz w:val="26"/>
          <w:szCs w:val="26"/>
        </w:rPr>
        <w:t xml:space="preserve">e supplier switching processes are much different in the gas industry than in the electric industry due to differences in industry operations and markets.  Therefore, to the extent that the Commission remains concerned about the </w:t>
      </w:r>
      <w:r w:rsidR="00F91138">
        <w:rPr>
          <w:rFonts w:cstheme="minorHAnsi"/>
          <w:sz w:val="26"/>
          <w:szCs w:val="26"/>
        </w:rPr>
        <w:t>length</w:t>
      </w:r>
      <w:r>
        <w:rPr>
          <w:rFonts w:cstheme="minorHAnsi"/>
          <w:sz w:val="26"/>
          <w:szCs w:val="26"/>
        </w:rPr>
        <w:t xml:space="preserve"> of </w:t>
      </w:r>
      <w:r w:rsidR="00BA1E49">
        <w:rPr>
          <w:rFonts w:cstheme="minorHAnsi"/>
          <w:sz w:val="26"/>
          <w:szCs w:val="26"/>
        </w:rPr>
        <w:t xml:space="preserve">a </w:t>
      </w:r>
      <w:r>
        <w:rPr>
          <w:rFonts w:cstheme="minorHAnsi"/>
          <w:sz w:val="26"/>
          <w:szCs w:val="26"/>
        </w:rPr>
        <w:t xml:space="preserve">customer’s </w:t>
      </w:r>
      <w:r w:rsidR="00BA152E">
        <w:rPr>
          <w:rFonts w:cstheme="minorHAnsi"/>
          <w:sz w:val="26"/>
          <w:szCs w:val="26"/>
        </w:rPr>
        <w:t>introductory rate</w:t>
      </w:r>
      <w:r>
        <w:rPr>
          <w:rFonts w:cstheme="minorHAnsi"/>
          <w:sz w:val="26"/>
          <w:szCs w:val="26"/>
        </w:rPr>
        <w:t>, it can</w:t>
      </w:r>
      <w:r w:rsidR="00BA1E49">
        <w:rPr>
          <w:rFonts w:cstheme="minorHAnsi"/>
          <w:sz w:val="26"/>
          <w:szCs w:val="26"/>
        </w:rPr>
        <w:t xml:space="preserve"> be raised as part of a future r</w:t>
      </w:r>
      <w:r>
        <w:rPr>
          <w:rFonts w:cstheme="minorHAnsi"/>
          <w:sz w:val="26"/>
          <w:szCs w:val="26"/>
        </w:rPr>
        <w:t>ulemaking on the subject of accelerated switching in the natural gas industry</w:t>
      </w:r>
      <w:r w:rsidR="00BA152E">
        <w:rPr>
          <w:rFonts w:cstheme="minorHAnsi"/>
          <w:sz w:val="26"/>
          <w:szCs w:val="26"/>
        </w:rPr>
        <w:t>, should such a rulemaking be initiated by the Commission</w:t>
      </w:r>
      <w:r>
        <w:rPr>
          <w:rFonts w:cstheme="minorHAnsi"/>
          <w:sz w:val="26"/>
          <w:szCs w:val="26"/>
        </w:rPr>
        <w:t xml:space="preserve">.  </w:t>
      </w:r>
    </w:p>
    <w:p w:rsidR="00DA44C5" w:rsidRDefault="00DA44C5" w:rsidP="00816B69">
      <w:pPr>
        <w:pStyle w:val="p3"/>
        <w:tabs>
          <w:tab w:val="clear" w:pos="204"/>
        </w:tabs>
        <w:spacing w:line="360" w:lineRule="auto"/>
        <w:rPr>
          <w:rFonts w:asciiTheme="minorHAnsi" w:hAnsiTheme="minorHAnsi" w:cstheme="minorHAnsi"/>
          <w:sz w:val="26"/>
          <w:szCs w:val="26"/>
        </w:rPr>
      </w:pPr>
    </w:p>
    <w:p w:rsidR="005D4FAA" w:rsidRPr="00AD460D" w:rsidRDefault="00DA44C5" w:rsidP="00AD460D">
      <w:pPr>
        <w:pStyle w:val="p3"/>
        <w:tabs>
          <w:tab w:val="clear" w:pos="204"/>
        </w:tabs>
        <w:spacing w:line="360" w:lineRule="auto"/>
        <w:ind w:firstLine="720"/>
        <w:rPr>
          <w:rFonts w:asciiTheme="minorHAnsi" w:hAnsiTheme="minorHAnsi" w:cstheme="minorHAnsi"/>
          <w:sz w:val="26"/>
          <w:szCs w:val="26"/>
          <w:u w:val="single"/>
        </w:rPr>
      </w:pPr>
      <w:r>
        <w:rPr>
          <w:rFonts w:asciiTheme="minorHAnsi" w:hAnsiTheme="minorHAnsi" w:cstheme="minorHAnsi"/>
          <w:sz w:val="26"/>
          <w:szCs w:val="26"/>
        </w:rPr>
        <w:t xml:space="preserve">In this section on definitions, </w:t>
      </w:r>
      <w:r>
        <w:rPr>
          <w:rFonts w:asciiTheme="minorHAnsi" w:hAnsiTheme="minorHAnsi" w:cstheme="minorHAnsi"/>
          <w:i/>
          <w:sz w:val="26"/>
          <w:szCs w:val="26"/>
        </w:rPr>
        <w:t>billed prices</w:t>
      </w:r>
      <w:r>
        <w:rPr>
          <w:rFonts w:asciiTheme="minorHAnsi" w:hAnsiTheme="minorHAnsi" w:cstheme="minorHAnsi"/>
          <w:sz w:val="26"/>
          <w:szCs w:val="26"/>
        </w:rPr>
        <w:t xml:space="preserve"> is defined as “the disclosed NGS prices on the customer bill.”  52 Pa. Code § 62.72.  Since we use both singular and plural of </w:t>
      </w:r>
      <w:r>
        <w:rPr>
          <w:rFonts w:asciiTheme="minorHAnsi" w:hAnsiTheme="minorHAnsi" w:cstheme="minorHAnsi"/>
          <w:i/>
          <w:sz w:val="26"/>
          <w:szCs w:val="26"/>
        </w:rPr>
        <w:t>billed price(s)</w:t>
      </w:r>
      <w:r>
        <w:rPr>
          <w:rFonts w:asciiTheme="minorHAnsi" w:hAnsiTheme="minorHAnsi" w:cstheme="minorHAnsi"/>
          <w:sz w:val="26"/>
          <w:szCs w:val="26"/>
        </w:rPr>
        <w:t xml:space="preserve">, we will add appropriate parentheticals to the finalized definition for purposes of clarification.  </w:t>
      </w:r>
      <w:r>
        <w:rPr>
          <w:rFonts w:asciiTheme="minorHAnsi" w:hAnsiTheme="minorHAnsi" w:cstheme="minorHAnsi"/>
          <w:i/>
          <w:sz w:val="26"/>
          <w:szCs w:val="26"/>
        </w:rPr>
        <w:t>See</w:t>
      </w:r>
      <w:r>
        <w:rPr>
          <w:rFonts w:asciiTheme="minorHAnsi" w:hAnsiTheme="minorHAnsi" w:cstheme="minorHAnsi"/>
          <w:sz w:val="26"/>
          <w:szCs w:val="26"/>
        </w:rPr>
        <w:t xml:space="preserve"> Annex A, Section 62.72.  We will </w:t>
      </w:r>
      <w:r w:rsidR="004A2D3A">
        <w:rPr>
          <w:rFonts w:asciiTheme="minorHAnsi" w:hAnsiTheme="minorHAnsi" w:cstheme="minorHAnsi"/>
          <w:sz w:val="26"/>
          <w:szCs w:val="26"/>
        </w:rPr>
        <w:t>change “price” to</w:t>
      </w:r>
      <w:r w:rsidR="00CC6670">
        <w:rPr>
          <w:rFonts w:asciiTheme="minorHAnsi" w:hAnsiTheme="minorHAnsi" w:cstheme="minorHAnsi"/>
          <w:sz w:val="26"/>
          <w:szCs w:val="26"/>
        </w:rPr>
        <w:t xml:space="preserve"> </w:t>
      </w:r>
      <w:r>
        <w:rPr>
          <w:rFonts w:asciiTheme="minorHAnsi" w:hAnsiTheme="minorHAnsi" w:cstheme="minorHAnsi"/>
          <w:sz w:val="26"/>
          <w:szCs w:val="26"/>
        </w:rPr>
        <w:t>“billed</w:t>
      </w:r>
      <w:r w:rsidR="00CC6670">
        <w:rPr>
          <w:rFonts w:asciiTheme="minorHAnsi" w:hAnsiTheme="minorHAnsi" w:cstheme="minorHAnsi"/>
          <w:sz w:val="26"/>
          <w:szCs w:val="26"/>
        </w:rPr>
        <w:t xml:space="preserve"> price</w:t>
      </w:r>
      <w:r>
        <w:rPr>
          <w:rFonts w:asciiTheme="minorHAnsi" w:hAnsiTheme="minorHAnsi" w:cstheme="minorHAnsi"/>
          <w:sz w:val="26"/>
          <w:szCs w:val="26"/>
        </w:rPr>
        <w:t xml:space="preserve">” in Section 62.81 for purposes of clarification.  </w:t>
      </w:r>
      <w:r>
        <w:rPr>
          <w:rFonts w:asciiTheme="minorHAnsi" w:hAnsiTheme="minorHAnsi" w:cstheme="minorHAnsi"/>
          <w:i/>
          <w:sz w:val="26"/>
          <w:szCs w:val="26"/>
        </w:rPr>
        <w:t>See</w:t>
      </w:r>
      <w:r>
        <w:rPr>
          <w:rFonts w:asciiTheme="minorHAnsi" w:hAnsiTheme="minorHAnsi" w:cstheme="minorHAnsi"/>
          <w:sz w:val="26"/>
          <w:szCs w:val="26"/>
        </w:rPr>
        <w:t xml:space="preserve"> Annex A, Section</w:t>
      </w:r>
      <w:r w:rsidR="00CC6670">
        <w:rPr>
          <w:rFonts w:asciiTheme="minorHAnsi" w:hAnsiTheme="minorHAnsi" w:cstheme="minorHAnsi"/>
          <w:sz w:val="26"/>
          <w:szCs w:val="26"/>
        </w:rPr>
        <w:t>s</w:t>
      </w:r>
      <w:r>
        <w:rPr>
          <w:rFonts w:asciiTheme="minorHAnsi" w:hAnsiTheme="minorHAnsi" w:cstheme="minorHAnsi"/>
          <w:sz w:val="26"/>
          <w:szCs w:val="26"/>
        </w:rPr>
        <w:t xml:space="preserve"> 62.81(a)(2)(ii)</w:t>
      </w:r>
      <w:r w:rsidR="008D17F9">
        <w:rPr>
          <w:rFonts w:asciiTheme="minorHAnsi" w:hAnsiTheme="minorHAnsi" w:cstheme="minorHAnsi"/>
          <w:sz w:val="26"/>
          <w:szCs w:val="26"/>
        </w:rPr>
        <w:t xml:space="preserve">, 62.81(a)(2)(ii)(A)(I), </w:t>
      </w:r>
      <w:r w:rsidR="00CC6670">
        <w:rPr>
          <w:rFonts w:asciiTheme="minorHAnsi" w:hAnsiTheme="minorHAnsi" w:cstheme="minorHAnsi"/>
          <w:sz w:val="26"/>
          <w:szCs w:val="26"/>
        </w:rPr>
        <w:t xml:space="preserve">and 62.81(a)(2)(ii)(A)(II).  </w:t>
      </w:r>
      <w:r>
        <w:rPr>
          <w:rFonts w:asciiTheme="minorHAnsi" w:hAnsiTheme="minorHAnsi" w:cstheme="minorHAnsi"/>
          <w:sz w:val="26"/>
          <w:szCs w:val="26"/>
        </w:rPr>
        <w:t xml:space="preserve">  </w:t>
      </w:r>
      <w:r w:rsidR="00AD460D">
        <w:rPr>
          <w:rFonts w:asciiTheme="minorHAnsi" w:hAnsiTheme="minorHAnsi" w:cstheme="minorHAnsi"/>
          <w:sz w:val="26"/>
          <w:szCs w:val="26"/>
        </w:rPr>
        <w:t xml:space="preserve"> </w:t>
      </w:r>
    </w:p>
    <w:p w:rsidR="00AD460D" w:rsidRPr="00AD460D" w:rsidRDefault="00AD460D" w:rsidP="009318CC">
      <w:pPr>
        <w:pStyle w:val="p3"/>
        <w:tabs>
          <w:tab w:val="clear" w:pos="204"/>
        </w:tabs>
        <w:spacing w:line="360" w:lineRule="auto"/>
        <w:rPr>
          <w:rFonts w:asciiTheme="minorHAnsi" w:hAnsiTheme="minorHAnsi" w:cstheme="minorHAnsi"/>
          <w:sz w:val="26"/>
          <w:szCs w:val="26"/>
        </w:rPr>
      </w:pPr>
    </w:p>
    <w:p w:rsidR="00AA1DE2" w:rsidRPr="00AA1DE2" w:rsidRDefault="00AA1DE2" w:rsidP="009318CC">
      <w:pPr>
        <w:pStyle w:val="p3"/>
        <w:tabs>
          <w:tab w:val="clear" w:pos="204"/>
        </w:tabs>
        <w:spacing w:line="360" w:lineRule="auto"/>
        <w:rPr>
          <w:rFonts w:asciiTheme="minorHAnsi" w:hAnsiTheme="minorHAnsi" w:cstheme="minorHAnsi"/>
          <w:b/>
          <w:sz w:val="26"/>
          <w:szCs w:val="26"/>
        </w:rPr>
      </w:pPr>
      <w:r>
        <w:rPr>
          <w:rFonts w:asciiTheme="minorHAnsi" w:hAnsiTheme="minorHAnsi" w:cstheme="minorHAnsi"/>
          <w:b/>
          <w:sz w:val="26"/>
          <w:szCs w:val="26"/>
        </w:rPr>
        <w:t>Disposition of Section 62.75</w:t>
      </w:r>
    </w:p>
    <w:p w:rsidR="009318CC" w:rsidRDefault="005D4FAA" w:rsidP="009318CC">
      <w:pPr>
        <w:pStyle w:val="p3"/>
        <w:tabs>
          <w:tab w:val="clear" w:pos="204"/>
        </w:tabs>
        <w:spacing w:line="360" w:lineRule="auto"/>
        <w:rPr>
          <w:rFonts w:asciiTheme="minorHAnsi" w:hAnsiTheme="minorHAnsi" w:cstheme="minorHAnsi"/>
          <w:sz w:val="26"/>
          <w:szCs w:val="26"/>
          <w:u w:val="single"/>
        </w:rPr>
      </w:pPr>
      <w:r w:rsidRPr="00107998">
        <w:rPr>
          <w:rFonts w:asciiTheme="minorHAnsi" w:hAnsiTheme="minorHAnsi" w:cstheme="minorHAnsi"/>
          <w:sz w:val="26"/>
          <w:szCs w:val="26"/>
          <w:u w:val="single"/>
        </w:rPr>
        <w:t>Section 62.75</w:t>
      </w:r>
      <w:r w:rsidR="00AA1DE2" w:rsidRPr="00107998">
        <w:rPr>
          <w:rFonts w:asciiTheme="minorHAnsi" w:hAnsiTheme="minorHAnsi" w:cstheme="minorHAnsi"/>
          <w:sz w:val="26"/>
          <w:szCs w:val="26"/>
          <w:u w:val="single"/>
        </w:rPr>
        <w:t>(c)</w:t>
      </w:r>
      <w:r w:rsidR="0020097E" w:rsidRPr="00107998">
        <w:rPr>
          <w:rFonts w:asciiTheme="minorHAnsi" w:hAnsiTheme="minorHAnsi" w:cstheme="minorHAnsi"/>
          <w:sz w:val="26"/>
          <w:szCs w:val="26"/>
          <w:u w:val="single"/>
        </w:rPr>
        <w:t>(2)</w:t>
      </w:r>
      <w:r w:rsidR="009C3578" w:rsidRPr="00107998">
        <w:rPr>
          <w:rFonts w:asciiTheme="minorHAnsi" w:hAnsiTheme="minorHAnsi" w:cstheme="minorHAnsi"/>
          <w:sz w:val="26"/>
          <w:szCs w:val="26"/>
          <w:u w:val="single"/>
        </w:rPr>
        <w:t>(ii)</w:t>
      </w:r>
    </w:p>
    <w:p w:rsidR="002C3ECE" w:rsidRPr="009318CC" w:rsidRDefault="009C3578" w:rsidP="009318CC">
      <w:pPr>
        <w:pStyle w:val="p3"/>
        <w:tabs>
          <w:tab w:val="clear" w:pos="204"/>
        </w:tabs>
        <w:spacing w:line="360" w:lineRule="auto"/>
        <w:ind w:firstLine="720"/>
        <w:rPr>
          <w:rFonts w:asciiTheme="minorHAnsi" w:hAnsiTheme="minorHAnsi" w:cstheme="minorHAnsi"/>
          <w:sz w:val="26"/>
          <w:szCs w:val="26"/>
          <w:u w:val="single"/>
        </w:rPr>
      </w:pPr>
      <w:r>
        <w:rPr>
          <w:sz w:val="26"/>
          <w:szCs w:val="26"/>
        </w:rPr>
        <w:t xml:space="preserve">Although we did not propose altering the Section 62.75(c)(2)(ii) requirement that </w:t>
      </w:r>
      <w:r>
        <w:rPr>
          <w:sz w:val="26"/>
          <w:szCs w:val="26"/>
        </w:rPr>
        <w:lastRenderedPageBreak/>
        <w:t>an NGS must provide the starting price in a variable contract, RESA</w:t>
      </w:r>
      <w:r w:rsidR="00642CDA">
        <w:rPr>
          <w:sz w:val="26"/>
          <w:szCs w:val="26"/>
        </w:rPr>
        <w:t>,</w:t>
      </w:r>
      <w:r>
        <w:rPr>
          <w:sz w:val="26"/>
          <w:szCs w:val="26"/>
        </w:rPr>
        <w:t xml:space="preserve"> </w:t>
      </w:r>
      <w:r w:rsidR="00111534">
        <w:rPr>
          <w:sz w:val="26"/>
          <w:szCs w:val="26"/>
        </w:rPr>
        <w:t>the National Marketers</w:t>
      </w:r>
      <w:r w:rsidR="00642CDA">
        <w:rPr>
          <w:sz w:val="26"/>
          <w:szCs w:val="26"/>
        </w:rPr>
        <w:t xml:space="preserve">, and WGL </w:t>
      </w:r>
      <w:r>
        <w:rPr>
          <w:sz w:val="26"/>
          <w:szCs w:val="26"/>
        </w:rPr>
        <w:t>contend that NGSs should not be required to include a starting price in the disclosure statement for a variable price contract.  RESA Comments at 2, 4-5</w:t>
      </w:r>
      <w:r w:rsidR="00111534">
        <w:rPr>
          <w:sz w:val="26"/>
          <w:szCs w:val="26"/>
        </w:rPr>
        <w:t>; National Marketers Comments at 2; WGL Comments at 2-4</w:t>
      </w:r>
      <w:r>
        <w:rPr>
          <w:sz w:val="26"/>
          <w:szCs w:val="26"/>
        </w:rPr>
        <w:t>.</w:t>
      </w:r>
      <w:r w:rsidR="002C3ECE">
        <w:rPr>
          <w:sz w:val="26"/>
          <w:szCs w:val="26"/>
        </w:rPr>
        <w:t xml:space="preserve">  RESA contends that this requirement could </w:t>
      </w:r>
      <w:r w:rsidR="002C3ECE" w:rsidRPr="004C75FF">
        <w:rPr>
          <w:sz w:val="26"/>
          <w:szCs w:val="26"/>
        </w:rPr>
        <w:t>result in NGSs making business decision</w:t>
      </w:r>
      <w:r w:rsidR="000A1FD9">
        <w:rPr>
          <w:sz w:val="26"/>
          <w:szCs w:val="26"/>
        </w:rPr>
        <w:t>s</w:t>
      </w:r>
      <w:r w:rsidR="002C3ECE" w:rsidRPr="004C75FF">
        <w:rPr>
          <w:sz w:val="26"/>
          <w:szCs w:val="26"/>
        </w:rPr>
        <w:t xml:space="preserve"> not to offer </w:t>
      </w:r>
      <w:r w:rsidR="002C3ECE" w:rsidRPr="004C75FF">
        <w:rPr>
          <w:color w:val="000000"/>
          <w:sz w:val="26"/>
          <w:szCs w:val="26"/>
        </w:rPr>
        <w:t>variable price product</w:t>
      </w:r>
      <w:r w:rsidR="000A1FD9">
        <w:rPr>
          <w:color w:val="000000"/>
          <w:sz w:val="26"/>
          <w:szCs w:val="26"/>
        </w:rPr>
        <w:t>s</w:t>
      </w:r>
      <w:r w:rsidR="002C3ECE" w:rsidRPr="004C75FF">
        <w:rPr>
          <w:color w:val="000000"/>
          <w:sz w:val="26"/>
          <w:szCs w:val="26"/>
        </w:rPr>
        <w:t xml:space="preserve"> or not to offer any products at all</w:t>
      </w:r>
      <w:r w:rsidR="002C3ECE">
        <w:rPr>
          <w:color w:val="000000"/>
          <w:sz w:val="26"/>
          <w:szCs w:val="26"/>
        </w:rPr>
        <w:t>.</w:t>
      </w:r>
      <w:r w:rsidR="002C3ECE" w:rsidRPr="004C75FF">
        <w:rPr>
          <w:color w:val="000000"/>
          <w:sz w:val="26"/>
          <w:szCs w:val="26"/>
        </w:rPr>
        <w:t xml:space="preserve">  </w:t>
      </w:r>
      <w:r w:rsidR="00BA152E">
        <w:rPr>
          <w:sz w:val="26"/>
          <w:szCs w:val="26"/>
        </w:rPr>
        <w:t>RESA Comments</w:t>
      </w:r>
      <w:r w:rsidR="002C3ECE">
        <w:rPr>
          <w:i/>
          <w:color w:val="000000"/>
          <w:sz w:val="26"/>
          <w:szCs w:val="26"/>
        </w:rPr>
        <w:t xml:space="preserve"> </w:t>
      </w:r>
      <w:r w:rsidR="002C3ECE">
        <w:rPr>
          <w:color w:val="000000"/>
          <w:sz w:val="26"/>
          <w:szCs w:val="26"/>
        </w:rPr>
        <w:t>at 4-5</w:t>
      </w:r>
      <w:r w:rsidR="002C3ECE" w:rsidRPr="004C75FF">
        <w:rPr>
          <w:color w:val="000000"/>
          <w:sz w:val="26"/>
          <w:szCs w:val="26"/>
        </w:rPr>
        <w:t>.</w:t>
      </w:r>
      <w:r w:rsidR="002C3ECE">
        <w:rPr>
          <w:color w:val="000000"/>
          <w:sz w:val="26"/>
          <w:szCs w:val="26"/>
        </w:rPr>
        <w:t xml:space="preserve">  Instead</w:t>
      </w:r>
      <w:r w:rsidR="002C3ECE" w:rsidRPr="004C75FF">
        <w:rPr>
          <w:sz w:val="26"/>
          <w:szCs w:val="26"/>
        </w:rPr>
        <w:t xml:space="preserve">, </w:t>
      </w:r>
      <w:r w:rsidR="002C3ECE">
        <w:rPr>
          <w:sz w:val="26"/>
          <w:szCs w:val="26"/>
        </w:rPr>
        <w:t xml:space="preserve">RESA proposes that </w:t>
      </w:r>
      <w:r w:rsidR="002C3ECE" w:rsidRPr="004C75FF">
        <w:rPr>
          <w:sz w:val="26"/>
          <w:szCs w:val="26"/>
        </w:rPr>
        <w:t xml:space="preserve">the Commission should require NGSs to either include a starting price or prominently disclose to the customer </w:t>
      </w:r>
      <w:r w:rsidR="002C3ECE">
        <w:rPr>
          <w:sz w:val="26"/>
          <w:szCs w:val="26"/>
        </w:rPr>
        <w:t>that</w:t>
      </w:r>
      <w:r w:rsidR="002C3ECE" w:rsidRPr="004C75FF">
        <w:rPr>
          <w:sz w:val="26"/>
          <w:szCs w:val="26"/>
        </w:rPr>
        <w:t xml:space="preserve"> the starting price will </w:t>
      </w:r>
      <w:r w:rsidR="002C3ECE">
        <w:rPr>
          <w:sz w:val="26"/>
          <w:szCs w:val="26"/>
        </w:rPr>
        <w:t xml:space="preserve">be </w:t>
      </w:r>
      <w:r w:rsidR="002C3ECE" w:rsidRPr="004C75FF">
        <w:rPr>
          <w:sz w:val="26"/>
          <w:szCs w:val="26"/>
        </w:rPr>
        <w:t>provided</w:t>
      </w:r>
      <w:r w:rsidR="000A1FD9">
        <w:rPr>
          <w:sz w:val="26"/>
          <w:szCs w:val="26"/>
        </w:rPr>
        <w:t xml:space="preserve"> either</w:t>
      </w:r>
      <w:r w:rsidR="002C3ECE" w:rsidRPr="004C75FF">
        <w:rPr>
          <w:i/>
          <w:sz w:val="26"/>
          <w:szCs w:val="26"/>
        </w:rPr>
        <w:t xml:space="preserve"> </w:t>
      </w:r>
      <w:r w:rsidR="002C3ECE" w:rsidRPr="004C75FF">
        <w:rPr>
          <w:sz w:val="26"/>
          <w:szCs w:val="26"/>
        </w:rPr>
        <w:t>when the first bill is received or through the website.</w:t>
      </w:r>
      <w:r w:rsidR="002C3ECE">
        <w:rPr>
          <w:sz w:val="26"/>
          <w:szCs w:val="26"/>
        </w:rPr>
        <w:t xml:space="preserve">  </w:t>
      </w:r>
      <w:r w:rsidR="002C3ECE">
        <w:rPr>
          <w:i/>
          <w:sz w:val="26"/>
          <w:szCs w:val="26"/>
        </w:rPr>
        <w:t xml:space="preserve">Id. </w:t>
      </w:r>
      <w:r w:rsidR="002C3ECE">
        <w:rPr>
          <w:sz w:val="26"/>
          <w:szCs w:val="26"/>
        </w:rPr>
        <w:t>at 5.</w:t>
      </w:r>
      <w:r w:rsidR="002C3ECE" w:rsidRPr="004C75FF">
        <w:rPr>
          <w:sz w:val="26"/>
          <w:szCs w:val="26"/>
        </w:rPr>
        <w:t xml:space="preserve"> </w:t>
      </w:r>
      <w:r w:rsidR="002C3ECE">
        <w:rPr>
          <w:sz w:val="26"/>
          <w:szCs w:val="26"/>
        </w:rPr>
        <w:t xml:space="preserve"> RESA adds that this would empower the customer to decide whether or not to switch to an NGS that does not provide the starting price, thereby</w:t>
      </w:r>
      <w:r w:rsidR="002C3ECE" w:rsidRPr="004C75FF">
        <w:rPr>
          <w:sz w:val="26"/>
          <w:szCs w:val="26"/>
        </w:rPr>
        <w:t xml:space="preserve"> allowing the market to dictate wh</w:t>
      </w:r>
      <w:r w:rsidR="002C3ECE">
        <w:rPr>
          <w:sz w:val="26"/>
          <w:szCs w:val="26"/>
        </w:rPr>
        <w:t>en and what</w:t>
      </w:r>
      <w:r w:rsidR="002C3ECE" w:rsidRPr="004C75FF">
        <w:rPr>
          <w:sz w:val="26"/>
          <w:szCs w:val="26"/>
        </w:rPr>
        <w:t xml:space="preserve"> pricing information is shared. </w:t>
      </w:r>
      <w:r w:rsidR="002C3ECE">
        <w:rPr>
          <w:sz w:val="26"/>
          <w:szCs w:val="26"/>
        </w:rPr>
        <w:t xml:space="preserve"> </w:t>
      </w:r>
      <w:r w:rsidR="002C3ECE">
        <w:rPr>
          <w:i/>
          <w:sz w:val="26"/>
          <w:szCs w:val="26"/>
        </w:rPr>
        <w:t>Id</w:t>
      </w:r>
      <w:r w:rsidR="002C3ECE" w:rsidRPr="004C75FF">
        <w:rPr>
          <w:sz w:val="26"/>
          <w:szCs w:val="26"/>
        </w:rPr>
        <w:t>.</w:t>
      </w:r>
      <w:r w:rsidR="002C3ECE">
        <w:rPr>
          <w:sz w:val="26"/>
          <w:szCs w:val="26"/>
        </w:rPr>
        <w:t xml:space="preserve">  I</w:t>
      </w:r>
      <w:r w:rsidR="002C3ECE" w:rsidRPr="004C75FF">
        <w:rPr>
          <w:color w:val="000000"/>
          <w:sz w:val="26"/>
          <w:szCs w:val="26"/>
        </w:rPr>
        <w:t xml:space="preserve">f the Commission </w:t>
      </w:r>
      <w:r w:rsidR="002C3ECE">
        <w:rPr>
          <w:color w:val="000000"/>
          <w:sz w:val="26"/>
          <w:szCs w:val="26"/>
        </w:rPr>
        <w:t>retains the s</w:t>
      </w:r>
      <w:r w:rsidR="002C3ECE" w:rsidRPr="004C75FF">
        <w:rPr>
          <w:color w:val="000000"/>
          <w:sz w:val="26"/>
          <w:szCs w:val="26"/>
        </w:rPr>
        <w:t xml:space="preserve">tarting price </w:t>
      </w:r>
      <w:r w:rsidR="002C3ECE">
        <w:rPr>
          <w:color w:val="000000"/>
          <w:sz w:val="26"/>
          <w:szCs w:val="26"/>
        </w:rPr>
        <w:t xml:space="preserve">requirement in </w:t>
      </w:r>
      <w:r w:rsidR="002C3ECE" w:rsidRPr="004C75FF">
        <w:rPr>
          <w:color w:val="000000"/>
          <w:sz w:val="26"/>
          <w:szCs w:val="26"/>
        </w:rPr>
        <w:t>the disclosure statement for the first full billing month</w:t>
      </w:r>
      <w:r w:rsidR="002C3ECE">
        <w:rPr>
          <w:color w:val="000000"/>
          <w:sz w:val="26"/>
          <w:szCs w:val="26"/>
        </w:rPr>
        <w:t xml:space="preserve"> per existing Section 62.75(c)(2)(ii)</w:t>
      </w:r>
      <w:r w:rsidR="002C3ECE" w:rsidRPr="004C75FF">
        <w:rPr>
          <w:color w:val="000000"/>
          <w:sz w:val="26"/>
          <w:szCs w:val="26"/>
        </w:rPr>
        <w:t xml:space="preserve">, </w:t>
      </w:r>
      <w:r w:rsidR="002C3ECE">
        <w:rPr>
          <w:color w:val="000000"/>
          <w:sz w:val="26"/>
          <w:szCs w:val="26"/>
        </w:rPr>
        <w:t>R</w:t>
      </w:r>
      <w:r w:rsidR="002C3ECE" w:rsidRPr="004C75FF">
        <w:rPr>
          <w:color w:val="000000"/>
          <w:sz w:val="26"/>
          <w:szCs w:val="26"/>
        </w:rPr>
        <w:t>ESA urges the Commission to permit this mandate to be fulfilled through the use of a formulaic contract price that enables the customer to calculate the bill using the contract, publicly available rates</w:t>
      </w:r>
      <w:r w:rsidR="002C3ECE">
        <w:rPr>
          <w:color w:val="000000"/>
          <w:sz w:val="26"/>
          <w:szCs w:val="26"/>
        </w:rPr>
        <w:t>,</w:t>
      </w:r>
      <w:r w:rsidR="002C3ECE" w:rsidRPr="004C75FF">
        <w:rPr>
          <w:color w:val="000000"/>
          <w:sz w:val="26"/>
          <w:szCs w:val="26"/>
        </w:rPr>
        <w:t xml:space="preserve"> or price indices.  </w:t>
      </w:r>
      <w:r w:rsidR="002C3ECE">
        <w:rPr>
          <w:i/>
          <w:color w:val="000000"/>
          <w:sz w:val="26"/>
          <w:szCs w:val="26"/>
        </w:rPr>
        <w:t xml:space="preserve">Id. </w:t>
      </w:r>
      <w:r w:rsidR="002C3ECE">
        <w:rPr>
          <w:color w:val="000000"/>
          <w:sz w:val="26"/>
          <w:szCs w:val="26"/>
        </w:rPr>
        <w:t xml:space="preserve">at </w:t>
      </w:r>
      <w:r w:rsidR="002C3ECE" w:rsidRPr="004C75FF">
        <w:rPr>
          <w:color w:val="000000"/>
          <w:sz w:val="26"/>
          <w:szCs w:val="26"/>
        </w:rPr>
        <w:t>5.</w:t>
      </w:r>
      <w:r w:rsidR="002C3ECE">
        <w:rPr>
          <w:color w:val="000000"/>
          <w:sz w:val="26"/>
          <w:szCs w:val="26"/>
        </w:rPr>
        <w:t xml:space="preserve"> </w:t>
      </w:r>
    </w:p>
    <w:p w:rsidR="002C3ECE" w:rsidRDefault="002C3ECE" w:rsidP="002C3ECE">
      <w:pPr>
        <w:pStyle w:val="NoSpacing"/>
        <w:spacing w:line="360" w:lineRule="auto"/>
        <w:ind w:firstLine="720"/>
        <w:rPr>
          <w:rFonts w:ascii="Times New Roman" w:eastAsia="Times New Roman" w:hAnsi="Times New Roman"/>
          <w:color w:val="000000"/>
          <w:sz w:val="26"/>
          <w:szCs w:val="26"/>
        </w:rPr>
      </w:pPr>
    </w:p>
    <w:p w:rsidR="00E96E82" w:rsidRDefault="00E96E82" w:rsidP="002C3ECE">
      <w:pPr>
        <w:pStyle w:val="NoSpacing"/>
        <w:spacing w:line="360" w:lineRule="auto"/>
        <w:ind w:firstLine="720"/>
        <w:rPr>
          <w:rFonts w:ascii="Times New Roman" w:eastAsia="Times New Roman" w:hAnsi="Times New Roman"/>
          <w:color w:val="000000"/>
          <w:sz w:val="26"/>
          <w:szCs w:val="26"/>
        </w:rPr>
      </w:pPr>
      <w:r w:rsidRPr="00362E02">
        <w:rPr>
          <w:rFonts w:ascii="Times New Roman" w:eastAsia="Times New Roman" w:hAnsi="Times New Roman"/>
          <w:color w:val="000000"/>
          <w:spacing w:val="1"/>
          <w:sz w:val="26"/>
          <w:szCs w:val="26"/>
        </w:rPr>
        <w:t>The National Marketers suggest that making changes to the initial starting price requirements may not be prudent until the accelerated switching process and timeline has been fully vetted by stakeholders.  National Marketers Comments at 3.</w:t>
      </w:r>
      <w:r>
        <w:rPr>
          <w:rFonts w:ascii="Times New Roman" w:eastAsia="Times New Roman" w:hAnsi="Times New Roman"/>
          <w:color w:val="000000"/>
          <w:spacing w:val="1"/>
          <w:sz w:val="26"/>
          <w:szCs w:val="26"/>
        </w:rPr>
        <w:t xml:space="preserve">    </w:t>
      </w:r>
    </w:p>
    <w:p w:rsidR="00E96E82" w:rsidRDefault="00E96E82" w:rsidP="002C3ECE">
      <w:pPr>
        <w:pStyle w:val="NoSpacing"/>
        <w:spacing w:line="360" w:lineRule="auto"/>
        <w:ind w:firstLine="720"/>
        <w:rPr>
          <w:rFonts w:ascii="Times New Roman" w:eastAsia="Times New Roman" w:hAnsi="Times New Roman"/>
          <w:color w:val="000000"/>
          <w:sz w:val="26"/>
          <w:szCs w:val="26"/>
        </w:rPr>
      </w:pPr>
    </w:p>
    <w:p w:rsidR="003F5490" w:rsidRDefault="0008166D" w:rsidP="002C3ECE">
      <w:pPr>
        <w:pStyle w:val="NoSpacing"/>
        <w:spacing w:line="360" w:lineRule="auto"/>
        <w:ind w:firstLine="720"/>
        <w:rPr>
          <w:rFonts w:ascii="Times New Roman" w:eastAsia="Times New Roman" w:hAnsi="Times New Roman"/>
          <w:color w:val="000000"/>
          <w:sz w:val="26"/>
          <w:szCs w:val="26"/>
        </w:rPr>
      </w:pPr>
      <w:r>
        <w:rPr>
          <w:rFonts w:ascii="Times New Roman" w:eastAsia="Times New Roman" w:hAnsi="Times New Roman"/>
          <w:color w:val="000000"/>
          <w:sz w:val="26"/>
          <w:szCs w:val="26"/>
        </w:rPr>
        <w:t>In contrast to the N</w:t>
      </w:r>
      <w:r w:rsidR="003F5490">
        <w:rPr>
          <w:rFonts w:ascii="Times New Roman" w:eastAsia="Times New Roman" w:hAnsi="Times New Roman"/>
          <w:color w:val="000000"/>
          <w:sz w:val="26"/>
          <w:szCs w:val="26"/>
        </w:rPr>
        <w:t>GS community, OCA recommends requiring that the actual maximum potential ceiling price be stated</w:t>
      </w:r>
      <w:r w:rsidR="002C4C72">
        <w:rPr>
          <w:rFonts w:ascii="Times New Roman" w:eastAsia="Times New Roman" w:hAnsi="Times New Roman"/>
          <w:color w:val="000000"/>
          <w:sz w:val="26"/>
          <w:szCs w:val="26"/>
        </w:rPr>
        <w:t xml:space="preserve"> to offer more protection and knowledge to the consumer.  OCA Comments at 5.  OCA contends that this would not result in price regulation by the Commission because the NGS (and not the Commission) would dictate the ceiling price. </w:t>
      </w:r>
      <w:r w:rsidR="003F5490">
        <w:rPr>
          <w:rFonts w:ascii="Times New Roman" w:eastAsia="Times New Roman" w:hAnsi="Times New Roman"/>
          <w:color w:val="000000"/>
          <w:sz w:val="26"/>
          <w:szCs w:val="26"/>
        </w:rPr>
        <w:t xml:space="preserve"> </w:t>
      </w:r>
    </w:p>
    <w:p w:rsidR="008D17F9" w:rsidRPr="00962F60" w:rsidRDefault="008D17F9" w:rsidP="002C3ECE">
      <w:pPr>
        <w:pStyle w:val="NoSpacing"/>
        <w:spacing w:line="360" w:lineRule="auto"/>
        <w:ind w:firstLine="720"/>
        <w:rPr>
          <w:rFonts w:ascii="Times New Roman" w:eastAsia="Times New Roman" w:hAnsi="Times New Roman"/>
          <w:color w:val="000000"/>
          <w:sz w:val="26"/>
          <w:szCs w:val="26"/>
        </w:rPr>
      </w:pPr>
    </w:p>
    <w:p w:rsidR="00BF583F" w:rsidRDefault="00962F60" w:rsidP="002C3ECE">
      <w:pPr>
        <w:pStyle w:val="NoSpacing"/>
        <w:spacing w:line="360" w:lineRule="auto"/>
        <w:ind w:firstLine="720"/>
        <w:rPr>
          <w:rFonts w:ascii="Times New Roman" w:hAnsi="Times New Roman"/>
          <w:sz w:val="26"/>
          <w:szCs w:val="26"/>
        </w:rPr>
      </w:pPr>
      <w:r w:rsidRPr="00962F60">
        <w:rPr>
          <w:sz w:val="26"/>
          <w:szCs w:val="26"/>
        </w:rPr>
        <w:t>In its Comments, IRRC note</w:t>
      </w:r>
      <w:r w:rsidR="00C96200">
        <w:rPr>
          <w:sz w:val="26"/>
          <w:szCs w:val="26"/>
        </w:rPr>
        <w:t>s</w:t>
      </w:r>
      <w:r w:rsidRPr="00962F60">
        <w:rPr>
          <w:sz w:val="26"/>
          <w:szCs w:val="26"/>
        </w:rPr>
        <w:t xml:space="preserve"> concerns with the ability of customers to calculate the first month’s bill if alternative methods, such as formulas, are used in lieu of an actual </w:t>
      </w:r>
      <w:r w:rsidRPr="00962F60">
        <w:rPr>
          <w:sz w:val="26"/>
          <w:szCs w:val="26"/>
        </w:rPr>
        <w:lastRenderedPageBreak/>
        <w:t xml:space="preserve">projection.  IRRC Comments at 3.  The Commission has declined to adopt the alternative methods for calculation of the first month’s bill that were proposed by the NGS commentators.  </w:t>
      </w:r>
      <w:r>
        <w:rPr>
          <w:rFonts w:ascii="Times New Roman" w:hAnsi="Times New Roman"/>
          <w:sz w:val="26"/>
          <w:szCs w:val="26"/>
        </w:rPr>
        <w:t>While w</w:t>
      </w:r>
      <w:r w:rsidR="002C3ECE" w:rsidRPr="00962F60">
        <w:rPr>
          <w:rFonts w:ascii="Times New Roman" w:hAnsi="Times New Roman"/>
          <w:sz w:val="26"/>
          <w:szCs w:val="26"/>
        </w:rPr>
        <w:t xml:space="preserve">e appreciate </w:t>
      </w:r>
      <w:r w:rsidR="002C4C72" w:rsidRPr="00962F60">
        <w:rPr>
          <w:rFonts w:ascii="Times New Roman" w:hAnsi="Times New Roman"/>
          <w:sz w:val="26"/>
          <w:szCs w:val="26"/>
        </w:rPr>
        <w:t>the</w:t>
      </w:r>
      <w:r w:rsidR="002C3ECE" w:rsidRPr="00962F60">
        <w:rPr>
          <w:rFonts w:ascii="Times New Roman" w:hAnsi="Times New Roman"/>
          <w:sz w:val="26"/>
          <w:szCs w:val="26"/>
        </w:rPr>
        <w:t xml:space="preserve"> comments and concerns </w:t>
      </w:r>
      <w:r w:rsidR="00362E02" w:rsidRPr="00962F60">
        <w:rPr>
          <w:rFonts w:ascii="Times New Roman" w:hAnsi="Times New Roman"/>
          <w:sz w:val="26"/>
          <w:szCs w:val="26"/>
        </w:rPr>
        <w:t xml:space="preserve">of the </w:t>
      </w:r>
      <w:r w:rsidR="0008166D" w:rsidRPr="00962F60">
        <w:rPr>
          <w:rFonts w:ascii="Times New Roman" w:hAnsi="Times New Roman"/>
          <w:sz w:val="26"/>
          <w:szCs w:val="26"/>
        </w:rPr>
        <w:t>N</w:t>
      </w:r>
      <w:r w:rsidR="00362E02" w:rsidRPr="00962F60">
        <w:rPr>
          <w:rFonts w:ascii="Times New Roman" w:hAnsi="Times New Roman"/>
          <w:sz w:val="26"/>
          <w:szCs w:val="26"/>
        </w:rPr>
        <w:t xml:space="preserve">GS community </w:t>
      </w:r>
      <w:r w:rsidR="002C3ECE" w:rsidRPr="00962F60">
        <w:rPr>
          <w:rFonts w:ascii="Times New Roman" w:hAnsi="Times New Roman"/>
          <w:sz w:val="26"/>
          <w:szCs w:val="26"/>
        </w:rPr>
        <w:t>that this requirement</w:t>
      </w:r>
      <w:r w:rsidR="002C3ECE">
        <w:rPr>
          <w:rFonts w:ascii="Times New Roman" w:hAnsi="Times New Roman"/>
          <w:sz w:val="26"/>
          <w:szCs w:val="26"/>
        </w:rPr>
        <w:t xml:space="preserve"> could impede market development and the availability of certain variable priced products, we believe this requirement governing starting prices and ceiling prices is an important consumer protection, hence our decision not to propose any amendments to Section 62.75(c)(2)(ii).  </w:t>
      </w:r>
      <w:r w:rsidR="008535B4">
        <w:rPr>
          <w:rFonts w:ascii="Times New Roman" w:hAnsi="Times New Roman"/>
          <w:sz w:val="26"/>
          <w:szCs w:val="26"/>
        </w:rPr>
        <w:t>O</w:t>
      </w:r>
      <w:r w:rsidR="002C3ECE">
        <w:rPr>
          <w:rFonts w:ascii="Times New Roman" w:hAnsi="Times New Roman"/>
          <w:sz w:val="26"/>
          <w:szCs w:val="26"/>
        </w:rPr>
        <w:t>ther stakeholders, such as OCA and PULP</w:t>
      </w:r>
      <w:r w:rsidR="00D92A7E">
        <w:rPr>
          <w:rFonts w:ascii="Times New Roman" w:hAnsi="Times New Roman"/>
          <w:sz w:val="26"/>
          <w:szCs w:val="26"/>
        </w:rPr>
        <w:t>,</w:t>
      </w:r>
      <w:r w:rsidR="002C3ECE">
        <w:rPr>
          <w:rFonts w:ascii="Times New Roman" w:hAnsi="Times New Roman"/>
          <w:sz w:val="26"/>
          <w:szCs w:val="26"/>
        </w:rPr>
        <w:t xml:space="preserve"> have filed comments seeking more consumer protection measures in this section.  </w:t>
      </w:r>
      <w:r w:rsidR="002C3ECE">
        <w:rPr>
          <w:rFonts w:ascii="Times New Roman" w:hAnsi="Times New Roman"/>
          <w:i/>
          <w:sz w:val="26"/>
          <w:szCs w:val="26"/>
        </w:rPr>
        <w:t>See</w:t>
      </w:r>
      <w:r w:rsidR="002C3ECE">
        <w:rPr>
          <w:rFonts w:ascii="Times New Roman" w:hAnsi="Times New Roman"/>
          <w:sz w:val="26"/>
          <w:szCs w:val="26"/>
        </w:rPr>
        <w:t xml:space="preserve"> OCA Comments at 4</w:t>
      </w:r>
      <w:r w:rsidR="002C4C72">
        <w:rPr>
          <w:rFonts w:ascii="Times New Roman" w:hAnsi="Times New Roman"/>
          <w:sz w:val="26"/>
          <w:szCs w:val="26"/>
        </w:rPr>
        <w:t>-5</w:t>
      </w:r>
      <w:r w:rsidR="00E5771E">
        <w:rPr>
          <w:rFonts w:ascii="Times New Roman" w:hAnsi="Times New Roman"/>
          <w:sz w:val="26"/>
          <w:szCs w:val="26"/>
        </w:rPr>
        <w:t>; PULP Comments at 2-3</w:t>
      </w:r>
      <w:r w:rsidR="002C3ECE">
        <w:rPr>
          <w:rFonts w:ascii="Times New Roman" w:hAnsi="Times New Roman"/>
          <w:sz w:val="26"/>
          <w:szCs w:val="26"/>
        </w:rPr>
        <w:t>.</w:t>
      </w:r>
      <w:r w:rsidR="00665F1C">
        <w:rPr>
          <w:rFonts w:ascii="Times New Roman" w:hAnsi="Times New Roman"/>
          <w:sz w:val="26"/>
          <w:szCs w:val="26"/>
        </w:rPr>
        <w:t xml:space="preserve">  </w:t>
      </w:r>
      <w:r w:rsidR="002C4C72">
        <w:rPr>
          <w:rFonts w:ascii="Times New Roman" w:hAnsi="Times New Roman"/>
          <w:sz w:val="26"/>
          <w:szCs w:val="26"/>
        </w:rPr>
        <w:t>H</w:t>
      </w:r>
      <w:r w:rsidR="0008166D">
        <w:rPr>
          <w:rFonts w:ascii="Times New Roman" w:hAnsi="Times New Roman"/>
          <w:sz w:val="26"/>
          <w:szCs w:val="26"/>
        </w:rPr>
        <w:t>owever, we will not require an N</w:t>
      </w:r>
      <w:r w:rsidR="002C4C72">
        <w:rPr>
          <w:rFonts w:ascii="Times New Roman" w:hAnsi="Times New Roman"/>
          <w:sz w:val="26"/>
          <w:szCs w:val="26"/>
        </w:rPr>
        <w:t>GS to provide a ceiling price for the maximum price change that could occur under a variable price plan.  While this may not constitute direct price regulation,</w:t>
      </w:r>
      <w:r w:rsidR="00362E02">
        <w:rPr>
          <w:rFonts w:ascii="Times New Roman" w:hAnsi="Times New Roman"/>
          <w:sz w:val="26"/>
          <w:szCs w:val="26"/>
        </w:rPr>
        <w:t xml:space="preserve"> as OCA seeks to assure us,</w:t>
      </w:r>
      <w:r w:rsidR="002C4C72">
        <w:rPr>
          <w:rFonts w:ascii="Times New Roman" w:hAnsi="Times New Roman"/>
          <w:sz w:val="26"/>
          <w:szCs w:val="26"/>
        </w:rPr>
        <w:t xml:space="preserve"> this requirement </w:t>
      </w:r>
      <w:r w:rsidR="008D17F9">
        <w:rPr>
          <w:rFonts w:ascii="Times New Roman" w:hAnsi="Times New Roman"/>
          <w:sz w:val="26"/>
          <w:szCs w:val="26"/>
        </w:rPr>
        <w:t>would</w:t>
      </w:r>
      <w:r w:rsidR="001467EC">
        <w:rPr>
          <w:rFonts w:ascii="Times New Roman" w:hAnsi="Times New Roman"/>
          <w:sz w:val="26"/>
          <w:szCs w:val="26"/>
        </w:rPr>
        <w:t xml:space="preserve"> </w:t>
      </w:r>
      <w:r w:rsidR="00362E02">
        <w:rPr>
          <w:rFonts w:ascii="Times New Roman" w:hAnsi="Times New Roman"/>
          <w:sz w:val="26"/>
          <w:szCs w:val="26"/>
        </w:rPr>
        <w:t xml:space="preserve">still potentially interfere with certain product offerings and thus indirectly interfere with or affect the prices and products offered in the market.  </w:t>
      </w:r>
      <w:r w:rsidR="00362E02">
        <w:rPr>
          <w:rFonts w:ascii="Times New Roman" w:hAnsi="Times New Roman"/>
          <w:i/>
          <w:sz w:val="26"/>
          <w:szCs w:val="26"/>
        </w:rPr>
        <w:t xml:space="preserve">See </w:t>
      </w:r>
      <w:r w:rsidR="00362E02">
        <w:rPr>
          <w:rFonts w:ascii="Times New Roman" w:hAnsi="Times New Roman"/>
          <w:sz w:val="26"/>
          <w:szCs w:val="26"/>
        </w:rPr>
        <w:t>OCA Comments at 4.</w:t>
      </w:r>
      <w:r w:rsidR="00EE15A1">
        <w:rPr>
          <w:rFonts w:ascii="Times New Roman" w:hAnsi="Times New Roman"/>
          <w:sz w:val="26"/>
          <w:szCs w:val="26"/>
        </w:rPr>
        <w:t xml:space="preserve">  Importantly, the statement in Section 62.75(c)(2)(iii) that “there is no limit on how much the price may change” is a simple, clear, and direct notice/alert to the customer</w:t>
      </w:r>
      <w:r w:rsidR="008535B4">
        <w:rPr>
          <w:rFonts w:ascii="Times New Roman" w:hAnsi="Times New Roman"/>
          <w:sz w:val="26"/>
          <w:szCs w:val="26"/>
        </w:rPr>
        <w:t xml:space="preserve">.  </w:t>
      </w:r>
    </w:p>
    <w:p w:rsidR="00BF583F" w:rsidRDefault="00BF583F" w:rsidP="002C3ECE">
      <w:pPr>
        <w:pStyle w:val="NoSpacing"/>
        <w:spacing w:line="360" w:lineRule="auto"/>
        <w:ind w:firstLine="720"/>
        <w:rPr>
          <w:rFonts w:ascii="Times New Roman" w:hAnsi="Times New Roman"/>
          <w:sz w:val="26"/>
          <w:szCs w:val="26"/>
        </w:rPr>
      </w:pPr>
    </w:p>
    <w:p w:rsidR="008D17F9" w:rsidRDefault="00362E02" w:rsidP="002C3ECE">
      <w:pPr>
        <w:pStyle w:val="NoSpacing"/>
        <w:spacing w:line="360" w:lineRule="auto"/>
        <w:ind w:firstLine="720"/>
        <w:rPr>
          <w:rFonts w:ascii="Times New Roman" w:hAnsi="Times New Roman"/>
          <w:sz w:val="26"/>
          <w:szCs w:val="26"/>
        </w:rPr>
      </w:pPr>
      <w:r>
        <w:rPr>
          <w:rFonts w:ascii="Times New Roman" w:hAnsi="Times New Roman"/>
          <w:sz w:val="26"/>
          <w:szCs w:val="26"/>
        </w:rPr>
        <w:t>Furthermore,</w:t>
      </w:r>
      <w:r w:rsidR="00D73DB6">
        <w:rPr>
          <w:rFonts w:ascii="Times New Roman" w:hAnsi="Times New Roman"/>
          <w:sz w:val="26"/>
          <w:szCs w:val="26"/>
        </w:rPr>
        <w:t xml:space="preserve"> Sections 62.75(c)(2)(iii)-(vi</w:t>
      </w:r>
      <w:r w:rsidR="008535B4">
        <w:rPr>
          <w:rFonts w:ascii="Times New Roman" w:hAnsi="Times New Roman"/>
          <w:sz w:val="26"/>
          <w:szCs w:val="26"/>
        </w:rPr>
        <w:t>) also provide more customer protections.</w:t>
      </w:r>
      <w:r>
        <w:rPr>
          <w:rFonts w:ascii="Times New Roman" w:hAnsi="Times New Roman"/>
          <w:sz w:val="26"/>
          <w:szCs w:val="26"/>
        </w:rPr>
        <w:t xml:space="preserve"> </w:t>
      </w:r>
      <w:r w:rsidR="008535B4">
        <w:rPr>
          <w:rFonts w:ascii="Times New Roman" w:hAnsi="Times New Roman"/>
          <w:sz w:val="26"/>
          <w:szCs w:val="26"/>
        </w:rPr>
        <w:t xml:space="preserve"> </w:t>
      </w:r>
      <w:r w:rsidR="008535B4">
        <w:rPr>
          <w:rFonts w:ascii="Times New Roman" w:eastAsia="Times New Roman" w:hAnsi="Times New Roman"/>
          <w:color w:val="000000"/>
          <w:spacing w:val="1"/>
          <w:sz w:val="26"/>
          <w:szCs w:val="26"/>
        </w:rPr>
        <w:t xml:space="preserve">The disclosure statement for residential and small business electric supply customers also does not require disclosure of a maximum ceiling price.  </w:t>
      </w:r>
      <w:r w:rsidR="008535B4" w:rsidRPr="008535B4">
        <w:rPr>
          <w:rFonts w:ascii="Times New Roman" w:eastAsia="Times New Roman" w:hAnsi="Times New Roman"/>
          <w:color w:val="000000"/>
          <w:spacing w:val="1"/>
          <w:sz w:val="26"/>
          <w:szCs w:val="26"/>
        </w:rPr>
        <w:t>See</w:t>
      </w:r>
      <w:r w:rsidR="008535B4">
        <w:rPr>
          <w:rFonts w:ascii="Times New Roman" w:eastAsia="Times New Roman" w:hAnsi="Times New Roman"/>
          <w:color w:val="000000"/>
          <w:spacing w:val="1"/>
          <w:sz w:val="26"/>
          <w:szCs w:val="26"/>
        </w:rPr>
        <w:t xml:space="preserve"> 52 Pa. Code § 54.4</w:t>
      </w:r>
      <w:r w:rsidR="008D17F9">
        <w:rPr>
          <w:rFonts w:ascii="Times New Roman" w:eastAsia="Times New Roman" w:hAnsi="Times New Roman"/>
          <w:color w:val="000000"/>
          <w:spacing w:val="1"/>
          <w:sz w:val="26"/>
          <w:szCs w:val="26"/>
        </w:rPr>
        <w:t xml:space="preserve"> (relating to bill format for residential and small business customers)</w:t>
      </w:r>
      <w:r w:rsidR="008535B4">
        <w:rPr>
          <w:rFonts w:ascii="Times New Roman" w:eastAsia="Times New Roman" w:hAnsi="Times New Roman"/>
          <w:color w:val="000000"/>
          <w:spacing w:val="1"/>
          <w:sz w:val="26"/>
          <w:szCs w:val="26"/>
        </w:rPr>
        <w:t xml:space="preserve">.  </w:t>
      </w:r>
      <w:r w:rsidR="008535B4">
        <w:rPr>
          <w:rFonts w:ascii="Times New Roman" w:hAnsi="Times New Roman"/>
          <w:sz w:val="26"/>
          <w:szCs w:val="26"/>
        </w:rPr>
        <w:t>W</w:t>
      </w:r>
      <w:r>
        <w:rPr>
          <w:rFonts w:ascii="Times New Roman" w:hAnsi="Times New Roman"/>
          <w:sz w:val="26"/>
          <w:szCs w:val="26"/>
        </w:rPr>
        <w:t xml:space="preserve">e will </w:t>
      </w:r>
      <w:r w:rsidR="008535B4">
        <w:rPr>
          <w:rFonts w:ascii="Times New Roman" w:hAnsi="Times New Roman"/>
          <w:sz w:val="26"/>
          <w:szCs w:val="26"/>
        </w:rPr>
        <w:t xml:space="preserve">also </w:t>
      </w:r>
      <w:r>
        <w:rPr>
          <w:rFonts w:ascii="Times New Roman" w:hAnsi="Times New Roman"/>
          <w:sz w:val="26"/>
          <w:szCs w:val="26"/>
        </w:rPr>
        <w:t xml:space="preserve">not make any sweeping changes to this provision </w:t>
      </w:r>
      <w:r w:rsidRPr="00362E02">
        <w:rPr>
          <w:rFonts w:ascii="Times New Roman" w:eastAsia="Times New Roman" w:hAnsi="Times New Roman"/>
          <w:color w:val="000000"/>
          <w:spacing w:val="1"/>
          <w:sz w:val="26"/>
          <w:szCs w:val="26"/>
        </w:rPr>
        <w:t>until the accelerated switching process and timeline has been fully vetted by stakeholders</w:t>
      </w:r>
      <w:r w:rsidR="00353E62">
        <w:rPr>
          <w:rFonts w:ascii="Times New Roman" w:eastAsia="Times New Roman" w:hAnsi="Times New Roman"/>
          <w:color w:val="000000"/>
          <w:spacing w:val="1"/>
          <w:sz w:val="26"/>
          <w:szCs w:val="26"/>
        </w:rPr>
        <w:t xml:space="preserve">, should the Commission proceed with initiating changes to the </w:t>
      </w:r>
      <w:r w:rsidR="00D51BBE">
        <w:rPr>
          <w:rFonts w:ascii="Times New Roman" w:eastAsia="Times New Roman" w:hAnsi="Times New Roman"/>
          <w:color w:val="000000"/>
          <w:spacing w:val="1"/>
          <w:sz w:val="26"/>
          <w:szCs w:val="26"/>
        </w:rPr>
        <w:t>regulations</w:t>
      </w:r>
      <w:r w:rsidR="00353E62">
        <w:rPr>
          <w:rFonts w:ascii="Times New Roman" w:eastAsia="Times New Roman" w:hAnsi="Times New Roman"/>
          <w:color w:val="000000"/>
          <w:spacing w:val="1"/>
          <w:sz w:val="26"/>
          <w:szCs w:val="26"/>
        </w:rPr>
        <w:t xml:space="preserve"> relating to supplier switching</w:t>
      </w:r>
      <w:r w:rsidRPr="00362E02">
        <w:rPr>
          <w:rFonts w:ascii="Times New Roman" w:eastAsia="Times New Roman" w:hAnsi="Times New Roman"/>
          <w:color w:val="000000"/>
          <w:spacing w:val="1"/>
          <w:sz w:val="26"/>
          <w:szCs w:val="26"/>
        </w:rPr>
        <w:t xml:space="preserve">.  </w:t>
      </w:r>
      <w:r>
        <w:rPr>
          <w:rFonts w:ascii="Times New Roman" w:eastAsia="Times New Roman" w:hAnsi="Times New Roman"/>
          <w:i/>
          <w:color w:val="000000"/>
          <w:spacing w:val="1"/>
          <w:sz w:val="26"/>
          <w:szCs w:val="26"/>
        </w:rPr>
        <w:t xml:space="preserve">See </w:t>
      </w:r>
      <w:r w:rsidRPr="00362E02">
        <w:rPr>
          <w:rFonts w:ascii="Times New Roman" w:eastAsia="Times New Roman" w:hAnsi="Times New Roman"/>
          <w:color w:val="000000"/>
          <w:spacing w:val="1"/>
          <w:sz w:val="26"/>
          <w:szCs w:val="26"/>
        </w:rPr>
        <w:t>National Marketers Comments at 3.</w:t>
      </w:r>
      <w:r>
        <w:rPr>
          <w:rFonts w:ascii="Times New Roman" w:eastAsia="Times New Roman" w:hAnsi="Times New Roman"/>
          <w:color w:val="000000"/>
          <w:spacing w:val="1"/>
          <w:sz w:val="26"/>
          <w:szCs w:val="26"/>
        </w:rPr>
        <w:t xml:space="preserve">  </w:t>
      </w:r>
      <w:r w:rsidR="002C4C72" w:rsidRPr="008535B4">
        <w:rPr>
          <w:rFonts w:ascii="Times New Roman" w:hAnsi="Times New Roman"/>
          <w:sz w:val="26"/>
          <w:szCs w:val="26"/>
        </w:rPr>
        <w:t>Accordingly</w:t>
      </w:r>
      <w:r w:rsidR="00665F1C">
        <w:rPr>
          <w:rFonts w:ascii="Times New Roman" w:hAnsi="Times New Roman"/>
          <w:sz w:val="26"/>
          <w:szCs w:val="26"/>
        </w:rPr>
        <w:t xml:space="preserve">, we find that retaining the </w:t>
      </w:r>
      <w:r w:rsidR="002C4C72">
        <w:rPr>
          <w:rFonts w:ascii="Times New Roman" w:hAnsi="Times New Roman"/>
          <w:sz w:val="26"/>
          <w:szCs w:val="26"/>
        </w:rPr>
        <w:t xml:space="preserve">existing </w:t>
      </w:r>
      <w:r w:rsidR="00665F1C">
        <w:rPr>
          <w:rFonts w:ascii="Times New Roman" w:hAnsi="Times New Roman"/>
          <w:sz w:val="26"/>
          <w:szCs w:val="26"/>
        </w:rPr>
        <w:t>starting and ceiling price provisions is reasonable</w:t>
      </w:r>
      <w:r w:rsidR="002C4C72">
        <w:rPr>
          <w:rFonts w:ascii="Times New Roman" w:hAnsi="Times New Roman"/>
          <w:sz w:val="26"/>
          <w:szCs w:val="26"/>
        </w:rPr>
        <w:t xml:space="preserve"> and balances stakeholder interests</w:t>
      </w:r>
      <w:r w:rsidR="00665F1C">
        <w:rPr>
          <w:rFonts w:ascii="Times New Roman" w:hAnsi="Times New Roman"/>
          <w:sz w:val="26"/>
          <w:szCs w:val="26"/>
        </w:rPr>
        <w:t xml:space="preserve">.  </w:t>
      </w:r>
      <w:r w:rsidR="00665F1C">
        <w:rPr>
          <w:rFonts w:ascii="Times New Roman" w:hAnsi="Times New Roman"/>
          <w:i/>
          <w:sz w:val="26"/>
          <w:szCs w:val="26"/>
        </w:rPr>
        <w:t>See</w:t>
      </w:r>
      <w:r w:rsidR="00665F1C">
        <w:rPr>
          <w:rFonts w:ascii="Times New Roman" w:hAnsi="Times New Roman"/>
          <w:sz w:val="26"/>
          <w:szCs w:val="26"/>
        </w:rPr>
        <w:t xml:space="preserve"> Annex A, Section 62.75(c)(2)(ii)</w:t>
      </w:r>
      <w:r w:rsidR="00111534">
        <w:rPr>
          <w:rFonts w:ascii="Times New Roman" w:hAnsi="Times New Roman"/>
          <w:sz w:val="26"/>
          <w:szCs w:val="26"/>
        </w:rPr>
        <w:t>.</w:t>
      </w:r>
      <w:r w:rsidR="0017133A">
        <w:rPr>
          <w:rFonts w:ascii="Times New Roman" w:hAnsi="Times New Roman"/>
          <w:sz w:val="26"/>
          <w:szCs w:val="26"/>
        </w:rPr>
        <w:t xml:space="preserve">  As </w:t>
      </w:r>
      <w:r w:rsidR="008D17F9">
        <w:rPr>
          <w:rFonts w:ascii="Times New Roman" w:hAnsi="Times New Roman"/>
          <w:sz w:val="26"/>
          <w:szCs w:val="26"/>
        </w:rPr>
        <w:t>will be discussed below</w:t>
      </w:r>
      <w:r w:rsidR="0017133A">
        <w:rPr>
          <w:rFonts w:ascii="Times New Roman" w:hAnsi="Times New Roman"/>
          <w:sz w:val="26"/>
          <w:szCs w:val="26"/>
        </w:rPr>
        <w:t xml:space="preserve">, deleted Section 62.75(c)(2)(iv) has been incorporated into final </w:t>
      </w:r>
      <w:r w:rsidR="008D17F9">
        <w:rPr>
          <w:rFonts w:ascii="Times New Roman" w:hAnsi="Times New Roman"/>
          <w:sz w:val="26"/>
          <w:szCs w:val="26"/>
        </w:rPr>
        <w:t>S</w:t>
      </w:r>
      <w:r w:rsidR="0017133A">
        <w:rPr>
          <w:rFonts w:ascii="Times New Roman" w:hAnsi="Times New Roman"/>
          <w:sz w:val="26"/>
          <w:szCs w:val="26"/>
        </w:rPr>
        <w:t xml:space="preserve">ection 62.75(c)(2)(ii).  </w:t>
      </w:r>
      <w:r w:rsidR="00665F1C">
        <w:rPr>
          <w:rFonts w:ascii="Times New Roman" w:hAnsi="Times New Roman"/>
          <w:sz w:val="26"/>
          <w:szCs w:val="26"/>
        </w:rPr>
        <w:t xml:space="preserve">  </w:t>
      </w:r>
      <w:r w:rsidR="002C3ECE">
        <w:rPr>
          <w:rFonts w:ascii="Times New Roman" w:hAnsi="Times New Roman"/>
          <w:sz w:val="26"/>
          <w:szCs w:val="26"/>
        </w:rPr>
        <w:t xml:space="preserve"> </w:t>
      </w:r>
      <w:r w:rsidR="009C3578">
        <w:rPr>
          <w:rFonts w:ascii="Times New Roman" w:hAnsi="Times New Roman"/>
          <w:sz w:val="26"/>
          <w:szCs w:val="26"/>
        </w:rPr>
        <w:t xml:space="preserve">    </w:t>
      </w:r>
    </w:p>
    <w:p w:rsidR="00416D61" w:rsidRDefault="009C3578" w:rsidP="002C3ECE">
      <w:pPr>
        <w:pStyle w:val="NoSpacing"/>
        <w:spacing w:line="360" w:lineRule="auto"/>
        <w:ind w:firstLine="720"/>
        <w:rPr>
          <w:rFonts w:ascii="Times New Roman" w:hAnsi="Times New Roman"/>
          <w:sz w:val="26"/>
          <w:szCs w:val="26"/>
        </w:rPr>
      </w:pPr>
      <w:r>
        <w:rPr>
          <w:rFonts w:ascii="Times New Roman" w:hAnsi="Times New Roman"/>
          <w:sz w:val="26"/>
          <w:szCs w:val="26"/>
        </w:rPr>
        <w:t xml:space="preserve"> </w:t>
      </w:r>
    </w:p>
    <w:p w:rsidR="00C50913" w:rsidRDefault="00665F1C" w:rsidP="00C50913">
      <w:pPr>
        <w:pStyle w:val="p3"/>
        <w:tabs>
          <w:tab w:val="clear" w:pos="204"/>
        </w:tabs>
        <w:spacing w:line="360" w:lineRule="auto"/>
        <w:rPr>
          <w:rFonts w:asciiTheme="minorHAnsi" w:hAnsiTheme="minorHAnsi" w:cstheme="minorHAnsi"/>
          <w:sz w:val="26"/>
          <w:szCs w:val="26"/>
          <w:u w:val="single"/>
        </w:rPr>
      </w:pPr>
      <w:r>
        <w:rPr>
          <w:rFonts w:asciiTheme="minorHAnsi" w:hAnsiTheme="minorHAnsi" w:cstheme="minorHAnsi"/>
          <w:sz w:val="26"/>
          <w:szCs w:val="26"/>
          <w:u w:val="single"/>
        </w:rPr>
        <w:lastRenderedPageBreak/>
        <w:t>Section 62.75(c)(2)(iii)</w:t>
      </w:r>
    </w:p>
    <w:p w:rsidR="00665F1C" w:rsidRDefault="00665F1C" w:rsidP="00C50913">
      <w:pPr>
        <w:pStyle w:val="p3"/>
        <w:tabs>
          <w:tab w:val="clear" w:pos="204"/>
        </w:tabs>
        <w:spacing w:line="360" w:lineRule="auto"/>
        <w:rPr>
          <w:rFonts w:cstheme="minorHAnsi"/>
          <w:sz w:val="26"/>
          <w:szCs w:val="26"/>
        </w:rPr>
      </w:pPr>
      <w:r>
        <w:rPr>
          <w:rFonts w:cstheme="minorHAnsi"/>
          <w:b/>
          <w:sz w:val="26"/>
          <w:szCs w:val="26"/>
        </w:rPr>
        <w:tab/>
      </w:r>
      <w:r w:rsidR="008D17F9">
        <w:rPr>
          <w:rFonts w:cstheme="minorHAnsi"/>
          <w:sz w:val="26"/>
          <w:szCs w:val="26"/>
        </w:rPr>
        <w:t>As IRRC points out, i</w:t>
      </w:r>
      <w:r w:rsidR="00111534" w:rsidRPr="00D23E35">
        <w:rPr>
          <w:rFonts w:cstheme="minorHAnsi"/>
          <w:sz w:val="26"/>
          <w:szCs w:val="26"/>
        </w:rPr>
        <w:t xml:space="preserve">n proposing this </w:t>
      </w:r>
      <w:r w:rsidR="00C96200">
        <w:rPr>
          <w:rFonts w:cstheme="minorHAnsi"/>
          <w:sz w:val="26"/>
          <w:szCs w:val="26"/>
        </w:rPr>
        <w:t>S</w:t>
      </w:r>
      <w:r w:rsidR="00111534" w:rsidRPr="00D23E35">
        <w:rPr>
          <w:rFonts w:cstheme="minorHAnsi"/>
          <w:sz w:val="26"/>
          <w:szCs w:val="26"/>
        </w:rPr>
        <w:t>ection, we inadvertently referred to the NGDC instead of the NGS.</w:t>
      </w:r>
      <w:r w:rsidR="008D17F9">
        <w:rPr>
          <w:rFonts w:cstheme="minorHAnsi"/>
          <w:sz w:val="26"/>
          <w:szCs w:val="26"/>
        </w:rPr>
        <w:t xml:space="preserve">  IRRC Comments at 2.</w:t>
      </w:r>
      <w:r w:rsidR="00111534" w:rsidRPr="00D23E35">
        <w:rPr>
          <w:rFonts w:cstheme="minorHAnsi"/>
          <w:sz w:val="26"/>
          <w:szCs w:val="26"/>
        </w:rPr>
        <w:t xml:space="preserve"> </w:t>
      </w:r>
      <w:r w:rsidR="00362E02" w:rsidRPr="00D23E35">
        <w:rPr>
          <w:rFonts w:cstheme="minorHAnsi"/>
          <w:sz w:val="26"/>
          <w:szCs w:val="26"/>
        </w:rPr>
        <w:t xml:space="preserve"> </w:t>
      </w:r>
      <w:r w:rsidR="00111534" w:rsidRPr="00D23E35">
        <w:rPr>
          <w:rFonts w:cstheme="minorHAnsi"/>
          <w:sz w:val="26"/>
          <w:szCs w:val="26"/>
        </w:rPr>
        <w:t xml:space="preserve">Therefore, we will replace NGDC with NGS, as the supplier is the entity responsible for providing “a clear and conspicuous statement that there is not a limit on how much the price may change” from one billing month to the next.  </w:t>
      </w:r>
      <w:r w:rsidR="00111534" w:rsidRPr="00D23E35">
        <w:rPr>
          <w:rFonts w:cstheme="minorHAnsi"/>
          <w:i/>
          <w:sz w:val="26"/>
          <w:szCs w:val="26"/>
        </w:rPr>
        <w:t>See</w:t>
      </w:r>
      <w:r w:rsidR="00111534" w:rsidRPr="00D23E35">
        <w:rPr>
          <w:rFonts w:cstheme="minorHAnsi"/>
          <w:sz w:val="26"/>
          <w:szCs w:val="26"/>
        </w:rPr>
        <w:t xml:space="preserve"> Annex A, Section 62.75(c)(2)(iii).</w:t>
      </w:r>
      <w:r w:rsidR="00111534">
        <w:rPr>
          <w:rFonts w:cstheme="minorHAnsi"/>
          <w:sz w:val="26"/>
          <w:szCs w:val="26"/>
        </w:rPr>
        <w:t xml:space="preserve">  </w:t>
      </w:r>
    </w:p>
    <w:p w:rsidR="005C3102" w:rsidRPr="00C50913" w:rsidRDefault="005C3102" w:rsidP="00C50913">
      <w:pPr>
        <w:pStyle w:val="p3"/>
        <w:tabs>
          <w:tab w:val="clear" w:pos="204"/>
        </w:tabs>
        <w:spacing w:line="360" w:lineRule="auto"/>
        <w:rPr>
          <w:rFonts w:asciiTheme="minorHAnsi" w:hAnsiTheme="minorHAnsi" w:cstheme="minorHAnsi"/>
          <w:sz w:val="26"/>
          <w:szCs w:val="26"/>
          <w:u w:val="single"/>
        </w:rPr>
      </w:pPr>
    </w:p>
    <w:p w:rsidR="008252EF" w:rsidRDefault="00111534" w:rsidP="00C50913">
      <w:pPr>
        <w:keepNext/>
        <w:keepLines/>
        <w:spacing w:line="360" w:lineRule="auto"/>
        <w:rPr>
          <w:rFonts w:cstheme="minorHAnsi"/>
          <w:sz w:val="26"/>
          <w:szCs w:val="26"/>
        </w:rPr>
      </w:pPr>
      <w:r>
        <w:rPr>
          <w:rFonts w:cstheme="minorHAnsi"/>
          <w:b/>
          <w:sz w:val="26"/>
          <w:szCs w:val="26"/>
        </w:rPr>
        <w:tab/>
      </w:r>
      <w:r w:rsidR="00E96E82" w:rsidRPr="00E96E82">
        <w:rPr>
          <w:rFonts w:ascii="Times New Roman" w:eastAsia="Times New Roman" w:hAnsi="Times New Roman"/>
          <w:color w:val="000000"/>
          <w:sz w:val="26"/>
          <w:szCs w:val="26"/>
        </w:rPr>
        <w:t xml:space="preserve">The </w:t>
      </w:r>
      <w:r w:rsidR="00E96E82" w:rsidRPr="00E96E82">
        <w:rPr>
          <w:rFonts w:ascii="Times New Roman" w:hAnsi="Times New Roman"/>
          <w:sz w:val="26"/>
          <w:szCs w:val="26"/>
        </w:rPr>
        <w:t>National Marketers assert</w:t>
      </w:r>
      <w:r w:rsidR="00E96E82" w:rsidRPr="00E96E82">
        <w:rPr>
          <w:rFonts w:ascii="Times New Roman" w:eastAsia="Times New Roman" w:hAnsi="Times New Roman"/>
          <w:color w:val="000000"/>
          <w:spacing w:val="1"/>
          <w:sz w:val="26"/>
          <w:szCs w:val="26"/>
        </w:rPr>
        <w:t xml:space="preserve"> that changing to a billing month construct instead of a billing cycle construct for the natural gas industry may present operational problems for suppliers and utilities and negatively impact the pricing structure of competitive products.  The National Marketers believe this change in billing system logic would be costly, time-consuming, and unjustified.  National Marketers Comments at 3</w:t>
      </w:r>
      <w:r w:rsidR="00E96E82">
        <w:rPr>
          <w:rFonts w:ascii="Times New Roman" w:eastAsia="Times New Roman" w:hAnsi="Times New Roman"/>
          <w:color w:val="000000"/>
          <w:spacing w:val="1"/>
          <w:sz w:val="26"/>
          <w:szCs w:val="26"/>
        </w:rPr>
        <w:t>.</w:t>
      </w:r>
      <w:r w:rsidR="00E96E82" w:rsidRPr="00E96E82">
        <w:rPr>
          <w:rFonts w:ascii="Times New Roman" w:eastAsia="Times New Roman" w:hAnsi="Times New Roman"/>
          <w:color w:val="000000"/>
          <w:spacing w:val="1"/>
          <w:sz w:val="26"/>
          <w:szCs w:val="26"/>
        </w:rPr>
        <w:t xml:space="preserve"> </w:t>
      </w:r>
      <w:r w:rsidR="00E96E82">
        <w:rPr>
          <w:rFonts w:ascii="Times New Roman" w:eastAsia="Times New Roman" w:hAnsi="Times New Roman"/>
          <w:color w:val="000000"/>
          <w:spacing w:val="1"/>
          <w:sz w:val="26"/>
          <w:szCs w:val="26"/>
        </w:rPr>
        <w:t xml:space="preserve"> </w:t>
      </w:r>
      <w:r w:rsidR="00403888">
        <w:rPr>
          <w:rFonts w:cstheme="minorHAnsi"/>
          <w:sz w:val="26"/>
          <w:szCs w:val="26"/>
        </w:rPr>
        <w:t>As was discussed above, to address the</w:t>
      </w:r>
      <w:r w:rsidR="00E96E82">
        <w:rPr>
          <w:rFonts w:cstheme="minorHAnsi"/>
          <w:sz w:val="26"/>
          <w:szCs w:val="26"/>
        </w:rPr>
        <w:t xml:space="preserve"> </w:t>
      </w:r>
      <w:r w:rsidR="00E96E82">
        <w:rPr>
          <w:rFonts w:cstheme="minorHAnsi"/>
          <w:i/>
          <w:sz w:val="26"/>
          <w:szCs w:val="26"/>
        </w:rPr>
        <w:t xml:space="preserve">billing month </w:t>
      </w:r>
      <w:r w:rsidR="00E96E82">
        <w:rPr>
          <w:rFonts w:cstheme="minorHAnsi"/>
          <w:sz w:val="26"/>
          <w:szCs w:val="26"/>
        </w:rPr>
        <w:t xml:space="preserve">vs. </w:t>
      </w:r>
      <w:r w:rsidR="00E96E82">
        <w:rPr>
          <w:rFonts w:cstheme="minorHAnsi"/>
          <w:i/>
          <w:sz w:val="26"/>
          <w:szCs w:val="26"/>
        </w:rPr>
        <w:t>billing cycle</w:t>
      </w:r>
      <w:r w:rsidR="00E96E82">
        <w:rPr>
          <w:rFonts w:cstheme="minorHAnsi"/>
          <w:sz w:val="26"/>
          <w:szCs w:val="26"/>
        </w:rPr>
        <w:t xml:space="preserve"> concern, we will retain </w:t>
      </w:r>
      <w:r w:rsidR="00E96E82">
        <w:rPr>
          <w:rFonts w:cstheme="minorHAnsi"/>
          <w:i/>
          <w:sz w:val="26"/>
          <w:szCs w:val="26"/>
        </w:rPr>
        <w:t>billing cycle</w:t>
      </w:r>
      <w:r w:rsidR="00E96E82">
        <w:rPr>
          <w:rFonts w:cstheme="minorHAnsi"/>
          <w:sz w:val="26"/>
          <w:szCs w:val="26"/>
        </w:rPr>
        <w:t xml:space="preserve"> in order to avoid any potential operational problems for suppliers and utilities.  </w:t>
      </w:r>
    </w:p>
    <w:p w:rsidR="008252EF" w:rsidRDefault="008252EF" w:rsidP="008252EF">
      <w:pPr>
        <w:pStyle w:val="NoSpacing"/>
        <w:spacing w:line="360" w:lineRule="auto"/>
        <w:ind w:firstLine="720"/>
        <w:rPr>
          <w:rFonts w:cstheme="minorHAnsi"/>
          <w:sz w:val="26"/>
          <w:szCs w:val="26"/>
        </w:rPr>
      </w:pPr>
    </w:p>
    <w:p w:rsidR="008252EF" w:rsidRDefault="008252EF" w:rsidP="008252EF">
      <w:pPr>
        <w:pStyle w:val="NoSpacing"/>
        <w:spacing w:line="360" w:lineRule="auto"/>
        <w:ind w:firstLine="720"/>
        <w:rPr>
          <w:rFonts w:cstheme="minorHAnsi"/>
          <w:sz w:val="26"/>
          <w:szCs w:val="26"/>
        </w:rPr>
      </w:pPr>
      <w:r>
        <w:rPr>
          <w:rFonts w:cstheme="minorHAnsi"/>
          <w:sz w:val="26"/>
          <w:szCs w:val="26"/>
        </w:rPr>
        <w:t>O</w:t>
      </w:r>
      <w:r w:rsidR="00143323">
        <w:rPr>
          <w:rFonts w:cstheme="minorHAnsi"/>
          <w:sz w:val="26"/>
          <w:szCs w:val="26"/>
        </w:rPr>
        <w:t xml:space="preserve">CA believes that the statement proposed in Section 62.75(c)(2)(iii) does not allow the consumer to make an informed choice or assess the risks in a highly complex market.  Specifically, OCA requests that the phrase “or on how high the price may go” should be added to the end of Section 62.75(c)(2)(iii).  </w:t>
      </w:r>
      <w:r w:rsidR="00143323">
        <w:rPr>
          <w:rFonts w:cstheme="minorHAnsi"/>
          <w:i/>
          <w:sz w:val="26"/>
          <w:szCs w:val="26"/>
        </w:rPr>
        <w:t xml:space="preserve">See </w:t>
      </w:r>
      <w:r w:rsidR="00143323">
        <w:rPr>
          <w:rFonts w:cstheme="minorHAnsi"/>
          <w:sz w:val="26"/>
          <w:szCs w:val="26"/>
        </w:rPr>
        <w:t xml:space="preserve">OCA’s Annex A.  We appreciate OCA’s comments, but find that the requested additional phrase is duplicative and unnecessary, especially since we already propose requiring “a clear and conspicuous statement that there is not a limit on how much the price may change from one billing cycle to the next.”  </w:t>
      </w:r>
      <w:r w:rsidR="00143323">
        <w:rPr>
          <w:rFonts w:cstheme="minorHAnsi"/>
          <w:i/>
          <w:sz w:val="26"/>
          <w:szCs w:val="26"/>
        </w:rPr>
        <w:t>See</w:t>
      </w:r>
      <w:r w:rsidR="00143323">
        <w:rPr>
          <w:rFonts w:cstheme="minorHAnsi"/>
          <w:sz w:val="26"/>
          <w:szCs w:val="26"/>
        </w:rPr>
        <w:t xml:space="preserve"> Annex A, Section 62.75(c)(2)(iii).  Furthermore, this language mirrors </w:t>
      </w:r>
      <w:r>
        <w:rPr>
          <w:rFonts w:cstheme="minorHAnsi"/>
          <w:sz w:val="26"/>
          <w:szCs w:val="26"/>
        </w:rPr>
        <w:t>the</w:t>
      </w:r>
      <w:r w:rsidR="00143323">
        <w:rPr>
          <w:rFonts w:cstheme="minorHAnsi"/>
          <w:sz w:val="26"/>
          <w:szCs w:val="26"/>
        </w:rPr>
        <w:t xml:space="preserve"> language in our electric regulations.  </w:t>
      </w:r>
      <w:r w:rsidR="00143323">
        <w:rPr>
          <w:rFonts w:cstheme="minorHAnsi"/>
          <w:i/>
          <w:sz w:val="26"/>
          <w:szCs w:val="26"/>
        </w:rPr>
        <w:t>See</w:t>
      </w:r>
      <w:r w:rsidR="00143323">
        <w:rPr>
          <w:rFonts w:cstheme="minorHAnsi"/>
          <w:sz w:val="26"/>
          <w:szCs w:val="26"/>
        </w:rPr>
        <w:t xml:space="preserve"> 52 Pa. Code § 54.5(c)(2)(ii)(B).</w:t>
      </w:r>
      <w:r>
        <w:rPr>
          <w:rFonts w:cstheme="minorHAnsi"/>
          <w:sz w:val="26"/>
          <w:szCs w:val="26"/>
        </w:rPr>
        <w:t xml:space="preserve">  Therefore, in an effort to</w:t>
      </w:r>
      <w:r w:rsidR="00873A31">
        <w:rPr>
          <w:rFonts w:cstheme="minorHAnsi"/>
          <w:sz w:val="26"/>
          <w:szCs w:val="26"/>
        </w:rPr>
        <w:t xml:space="preserve"> prevent redundancies and to</w:t>
      </w:r>
      <w:r>
        <w:rPr>
          <w:rFonts w:cstheme="minorHAnsi"/>
          <w:sz w:val="26"/>
          <w:szCs w:val="26"/>
        </w:rPr>
        <w:t xml:space="preserve"> maintain unity and harmony between the electric and gas disclosure regulations, we will retain this language.  </w:t>
      </w:r>
      <w:r>
        <w:rPr>
          <w:rFonts w:cstheme="minorHAnsi"/>
          <w:i/>
          <w:sz w:val="26"/>
          <w:szCs w:val="26"/>
        </w:rPr>
        <w:t>See</w:t>
      </w:r>
      <w:r>
        <w:rPr>
          <w:rFonts w:cstheme="minorHAnsi"/>
          <w:sz w:val="26"/>
          <w:szCs w:val="26"/>
        </w:rPr>
        <w:t xml:space="preserve"> Annex A, Section 62.75(c)(2)(iii).</w:t>
      </w:r>
    </w:p>
    <w:p w:rsidR="008252EF" w:rsidRDefault="008252EF" w:rsidP="008252EF">
      <w:pPr>
        <w:pStyle w:val="NoSpacing"/>
        <w:spacing w:line="360" w:lineRule="auto"/>
        <w:rPr>
          <w:rFonts w:cstheme="minorHAnsi"/>
          <w:sz w:val="26"/>
          <w:szCs w:val="26"/>
        </w:rPr>
      </w:pPr>
    </w:p>
    <w:p w:rsidR="008252EF" w:rsidRDefault="008252EF" w:rsidP="008252EF">
      <w:pPr>
        <w:pStyle w:val="NoSpacing"/>
        <w:spacing w:line="360" w:lineRule="auto"/>
        <w:rPr>
          <w:rFonts w:cstheme="minorHAnsi"/>
          <w:sz w:val="26"/>
          <w:szCs w:val="26"/>
          <w:u w:val="single"/>
        </w:rPr>
      </w:pPr>
      <w:r w:rsidRPr="008252EF">
        <w:rPr>
          <w:rFonts w:cstheme="minorHAnsi"/>
          <w:sz w:val="26"/>
          <w:szCs w:val="26"/>
          <w:u w:val="single"/>
        </w:rPr>
        <w:lastRenderedPageBreak/>
        <w:t>Section 62.75(c)(2)(iv)</w:t>
      </w:r>
    </w:p>
    <w:p w:rsidR="002C3ECE" w:rsidRDefault="00064B14" w:rsidP="008252EF">
      <w:pPr>
        <w:pStyle w:val="NoSpacing"/>
        <w:spacing w:line="360" w:lineRule="auto"/>
        <w:ind w:firstLine="720"/>
        <w:rPr>
          <w:rFonts w:cstheme="minorHAnsi"/>
          <w:sz w:val="26"/>
          <w:szCs w:val="26"/>
        </w:rPr>
      </w:pPr>
      <w:r>
        <w:rPr>
          <w:rFonts w:ascii="Times New Roman" w:eastAsia="Times New Roman" w:hAnsi="Times New Roman"/>
          <w:color w:val="000000"/>
          <w:sz w:val="26"/>
          <w:szCs w:val="26"/>
        </w:rPr>
        <w:t>OCA agrees with the proposed change requiring</w:t>
      </w:r>
      <w:r w:rsidR="001E417F">
        <w:rPr>
          <w:rFonts w:ascii="Times New Roman" w:eastAsia="Times New Roman" w:hAnsi="Times New Roman"/>
          <w:color w:val="000000"/>
          <w:sz w:val="26"/>
          <w:szCs w:val="26"/>
        </w:rPr>
        <w:t xml:space="preserve"> NGS</w:t>
      </w:r>
      <w:r>
        <w:rPr>
          <w:rFonts w:ascii="Times New Roman" w:eastAsia="Times New Roman" w:hAnsi="Times New Roman"/>
          <w:color w:val="000000"/>
          <w:sz w:val="26"/>
          <w:szCs w:val="26"/>
        </w:rPr>
        <w:t>s</w:t>
      </w:r>
      <w:r w:rsidR="001E417F">
        <w:rPr>
          <w:rFonts w:ascii="Times New Roman" w:eastAsia="Times New Roman" w:hAnsi="Times New Roman"/>
          <w:color w:val="000000"/>
          <w:sz w:val="26"/>
          <w:szCs w:val="26"/>
        </w:rPr>
        <w:t xml:space="preserve"> to disclose the price to be charged for the first billing month, </w:t>
      </w:r>
      <w:r w:rsidR="001E417F" w:rsidRPr="004C75FF">
        <w:rPr>
          <w:rFonts w:ascii="Times New Roman" w:eastAsia="Times New Roman" w:hAnsi="Times New Roman"/>
          <w:color w:val="000000"/>
          <w:sz w:val="26"/>
          <w:szCs w:val="26"/>
        </w:rPr>
        <w:t xml:space="preserve">but notes it may be insufficient </w:t>
      </w:r>
      <w:r w:rsidR="001E417F">
        <w:rPr>
          <w:rFonts w:ascii="Times New Roman" w:eastAsia="Times New Roman" w:hAnsi="Times New Roman"/>
          <w:color w:val="000000"/>
          <w:sz w:val="26"/>
          <w:szCs w:val="26"/>
        </w:rPr>
        <w:t xml:space="preserve">and misleading </w:t>
      </w:r>
      <w:r w:rsidR="001E417F" w:rsidRPr="004C75FF">
        <w:rPr>
          <w:rFonts w:ascii="Times New Roman" w:eastAsia="Times New Roman" w:hAnsi="Times New Roman"/>
          <w:color w:val="000000"/>
          <w:sz w:val="26"/>
          <w:szCs w:val="26"/>
        </w:rPr>
        <w:t xml:space="preserve">in this marketplace where introductory rates are common. </w:t>
      </w:r>
      <w:r w:rsidR="001E417F">
        <w:rPr>
          <w:rFonts w:ascii="Times New Roman" w:eastAsia="Times New Roman" w:hAnsi="Times New Roman"/>
          <w:color w:val="000000"/>
          <w:sz w:val="26"/>
          <w:szCs w:val="26"/>
        </w:rPr>
        <w:t xml:space="preserve"> Accordingly, </w:t>
      </w:r>
      <w:r w:rsidR="001E417F" w:rsidRPr="004C75FF">
        <w:rPr>
          <w:rFonts w:ascii="Times New Roman" w:eastAsia="Times New Roman" w:hAnsi="Times New Roman"/>
          <w:color w:val="000000"/>
          <w:sz w:val="26"/>
          <w:szCs w:val="26"/>
        </w:rPr>
        <w:t>OCA recommends that the</w:t>
      </w:r>
      <w:r w:rsidR="001E417F">
        <w:rPr>
          <w:rFonts w:ascii="Times New Roman" w:eastAsia="Times New Roman" w:hAnsi="Times New Roman"/>
          <w:color w:val="000000"/>
          <w:sz w:val="26"/>
          <w:szCs w:val="26"/>
        </w:rPr>
        <w:t xml:space="preserve"> Commission also require an</w:t>
      </w:r>
      <w:r w:rsidR="001E417F" w:rsidRPr="004C75FF">
        <w:rPr>
          <w:rFonts w:ascii="Times New Roman" w:eastAsia="Times New Roman" w:hAnsi="Times New Roman"/>
          <w:color w:val="000000"/>
          <w:sz w:val="26"/>
          <w:szCs w:val="26"/>
        </w:rPr>
        <w:t xml:space="preserve"> NGS to specify the guaranteed length of time that the starting pric</w:t>
      </w:r>
      <w:r w:rsidR="001E417F">
        <w:rPr>
          <w:rFonts w:ascii="Times New Roman" w:eastAsia="Times New Roman" w:hAnsi="Times New Roman"/>
          <w:color w:val="000000"/>
          <w:sz w:val="26"/>
          <w:szCs w:val="26"/>
        </w:rPr>
        <w:t>e will be in effect.  OCA Comments at 6</w:t>
      </w:r>
      <w:r w:rsidR="00F7352B">
        <w:rPr>
          <w:rFonts w:ascii="Times New Roman" w:eastAsia="Times New Roman" w:hAnsi="Times New Roman"/>
          <w:color w:val="000000"/>
          <w:sz w:val="26"/>
          <w:szCs w:val="26"/>
        </w:rPr>
        <w:t>-7</w:t>
      </w:r>
      <w:r w:rsidR="001E417F" w:rsidRPr="004C75FF">
        <w:rPr>
          <w:rFonts w:ascii="Times New Roman" w:eastAsia="Times New Roman" w:hAnsi="Times New Roman"/>
          <w:color w:val="000000"/>
          <w:sz w:val="26"/>
          <w:szCs w:val="26"/>
        </w:rPr>
        <w:t>.</w:t>
      </w:r>
      <w:r w:rsidR="001E417F">
        <w:rPr>
          <w:rFonts w:ascii="Times New Roman" w:eastAsia="Times New Roman" w:hAnsi="Times New Roman"/>
          <w:color w:val="000000"/>
          <w:sz w:val="26"/>
          <w:szCs w:val="26"/>
        </w:rPr>
        <w:t xml:space="preserve">  </w:t>
      </w:r>
      <w:r w:rsidR="008252EF">
        <w:rPr>
          <w:rFonts w:cstheme="minorHAnsi"/>
          <w:sz w:val="26"/>
          <w:szCs w:val="26"/>
        </w:rPr>
        <w:t xml:space="preserve">IRRC </w:t>
      </w:r>
      <w:r w:rsidR="001E417F">
        <w:rPr>
          <w:rFonts w:cstheme="minorHAnsi"/>
          <w:sz w:val="26"/>
          <w:szCs w:val="26"/>
        </w:rPr>
        <w:t xml:space="preserve">and OCA </w:t>
      </w:r>
      <w:r w:rsidR="008252EF">
        <w:rPr>
          <w:rFonts w:cstheme="minorHAnsi"/>
          <w:sz w:val="26"/>
          <w:szCs w:val="26"/>
        </w:rPr>
        <w:t>recommended that the Commission revise the final-form regulation to require the NGS to state the guaranteed length of time that the starting price will be in effect and to require the NGS to provide the price to be charged, per billing unit, for the first month of service after the introductory period</w:t>
      </w:r>
      <w:r w:rsidR="001E417F">
        <w:rPr>
          <w:rFonts w:cstheme="minorHAnsi"/>
          <w:sz w:val="26"/>
          <w:szCs w:val="26"/>
        </w:rPr>
        <w:t xml:space="preserve"> if the </w:t>
      </w:r>
      <w:r>
        <w:rPr>
          <w:rFonts w:cstheme="minorHAnsi"/>
          <w:sz w:val="26"/>
          <w:szCs w:val="26"/>
        </w:rPr>
        <w:t xml:space="preserve">starting </w:t>
      </w:r>
      <w:r w:rsidR="001E417F">
        <w:rPr>
          <w:rFonts w:cstheme="minorHAnsi"/>
          <w:sz w:val="26"/>
          <w:szCs w:val="26"/>
        </w:rPr>
        <w:t>price is introductory</w:t>
      </w:r>
      <w:r w:rsidR="008252EF">
        <w:rPr>
          <w:rFonts w:cstheme="minorHAnsi"/>
          <w:sz w:val="26"/>
          <w:szCs w:val="26"/>
        </w:rPr>
        <w:t>.  IRRC Comments</w:t>
      </w:r>
      <w:r w:rsidR="008252EF">
        <w:rPr>
          <w:rFonts w:cstheme="minorHAnsi"/>
          <w:i/>
          <w:sz w:val="26"/>
          <w:szCs w:val="26"/>
        </w:rPr>
        <w:t xml:space="preserve"> </w:t>
      </w:r>
      <w:r w:rsidR="008252EF">
        <w:rPr>
          <w:rFonts w:cstheme="minorHAnsi"/>
          <w:sz w:val="26"/>
          <w:szCs w:val="26"/>
        </w:rPr>
        <w:t>at 2-3</w:t>
      </w:r>
      <w:r w:rsidR="001E417F">
        <w:rPr>
          <w:rFonts w:cstheme="minorHAnsi"/>
          <w:sz w:val="26"/>
          <w:szCs w:val="26"/>
        </w:rPr>
        <w:t>; OCA’s Annex A.</w:t>
      </w:r>
      <w:r w:rsidR="005176C8">
        <w:rPr>
          <w:rFonts w:cstheme="minorHAnsi"/>
          <w:sz w:val="26"/>
          <w:szCs w:val="26"/>
        </w:rPr>
        <w:t xml:space="preserve">  OCA also </w:t>
      </w:r>
      <w:r>
        <w:rPr>
          <w:rFonts w:cstheme="minorHAnsi"/>
          <w:sz w:val="26"/>
          <w:szCs w:val="26"/>
        </w:rPr>
        <w:t>requests that</w:t>
      </w:r>
      <w:r w:rsidR="005176C8">
        <w:rPr>
          <w:rFonts w:cstheme="minorHAnsi"/>
          <w:sz w:val="26"/>
          <w:szCs w:val="26"/>
        </w:rPr>
        <w:t xml:space="preserve"> the phrase “a statement that the price could change in the second month” be added this provision.  </w:t>
      </w:r>
      <w:r w:rsidR="001E417F">
        <w:rPr>
          <w:rFonts w:cstheme="minorHAnsi"/>
          <w:sz w:val="26"/>
          <w:szCs w:val="26"/>
        </w:rPr>
        <w:t xml:space="preserve">  </w:t>
      </w:r>
    </w:p>
    <w:p w:rsidR="005176C8" w:rsidRDefault="005176C8" w:rsidP="008252EF">
      <w:pPr>
        <w:pStyle w:val="NoSpacing"/>
        <w:spacing w:line="360" w:lineRule="auto"/>
        <w:ind w:firstLine="720"/>
        <w:rPr>
          <w:rFonts w:cstheme="minorHAnsi"/>
          <w:sz w:val="26"/>
          <w:szCs w:val="26"/>
        </w:rPr>
      </w:pPr>
    </w:p>
    <w:p w:rsidR="00B53F73" w:rsidRDefault="0008166D" w:rsidP="008252EF">
      <w:pPr>
        <w:pStyle w:val="NoSpacing"/>
        <w:spacing w:line="360" w:lineRule="auto"/>
        <w:ind w:firstLine="720"/>
        <w:rPr>
          <w:rFonts w:ascii="Times New Roman" w:hAnsi="Times New Roman"/>
          <w:sz w:val="26"/>
          <w:szCs w:val="26"/>
        </w:rPr>
      </w:pPr>
      <w:r>
        <w:rPr>
          <w:rFonts w:cstheme="minorHAnsi"/>
          <w:sz w:val="26"/>
          <w:szCs w:val="26"/>
        </w:rPr>
        <w:t>The N</w:t>
      </w:r>
      <w:r w:rsidR="005176C8">
        <w:rPr>
          <w:rFonts w:cstheme="minorHAnsi"/>
          <w:sz w:val="26"/>
          <w:szCs w:val="26"/>
        </w:rPr>
        <w:t xml:space="preserve">GS community does not voice opposition specific to the language in this provision, but RESA believes </w:t>
      </w:r>
      <w:r w:rsidR="005176C8">
        <w:rPr>
          <w:rFonts w:ascii="Times New Roman" w:hAnsi="Times New Roman"/>
          <w:sz w:val="26"/>
          <w:szCs w:val="26"/>
        </w:rPr>
        <w:t>that setting forth general conditions of variability is sufficient and consistent with the rules in the electric industry</w:t>
      </w:r>
      <w:r w:rsidR="005176C8" w:rsidRPr="004C75FF">
        <w:rPr>
          <w:rFonts w:ascii="Times New Roman" w:hAnsi="Times New Roman"/>
          <w:sz w:val="26"/>
          <w:szCs w:val="26"/>
        </w:rPr>
        <w:t>.</w:t>
      </w:r>
      <w:r w:rsidR="005176C8">
        <w:rPr>
          <w:rFonts w:ascii="Times New Roman" w:hAnsi="Times New Roman"/>
          <w:sz w:val="26"/>
          <w:szCs w:val="26"/>
        </w:rPr>
        <w:t xml:space="preserve">  RESA Comments at 2, 9-10; </w:t>
      </w:r>
      <w:r w:rsidR="005176C8">
        <w:rPr>
          <w:rFonts w:ascii="Times New Roman" w:hAnsi="Times New Roman"/>
          <w:i/>
          <w:sz w:val="26"/>
          <w:szCs w:val="26"/>
        </w:rPr>
        <w:t xml:space="preserve">see also </w:t>
      </w:r>
      <w:r w:rsidR="005176C8">
        <w:rPr>
          <w:rFonts w:ascii="Times New Roman" w:hAnsi="Times New Roman"/>
          <w:sz w:val="26"/>
          <w:szCs w:val="26"/>
        </w:rPr>
        <w:t xml:space="preserve">PA Marketers Comments </w:t>
      </w:r>
      <w:r w:rsidR="00353E62">
        <w:rPr>
          <w:rFonts w:ascii="Times New Roman" w:hAnsi="Times New Roman"/>
          <w:sz w:val="26"/>
          <w:szCs w:val="26"/>
        </w:rPr>
        <w:t xml:space="preserve">at </w:t>
      </w:r>
      <w:r w:rsidR="00D51BBE">
        <w:rPr>
          <w:rFonts w:ascii="Times New Roman" w:hAnsi="Times New Roman"/>
          <w:sz w:val="26"/>
          <w:szCs w:val="26"/>
        </w:rPr>
        <w:t>2-3</w:t>
      </w:r>
      <w:r w:rsidR="00353E62">
        <w:rPr>
          <w:rFonts w:ascii="Times New Roman" w:hAnsi="Times New Roman"/>
          <w:sz w:val="26"/>
          <w:szCs w:val="26"/>
        </w:rPr>
        <w:t xml:space="preserve"> </w:t>
      </w:r>
      <w:r w:rsidR="005176C8">
        <w:rPr>
          <w:rFonts w:ascii="Times New Roman" w:hAnsi="Times New Roman"/>
          <w:sz w:val="26"/>
          <w:szCs w:val="26"/>
        </w:rPr>
        <w:t>(seeking</w:t>
      </w:r>
      <w:r w:rsidR="005176C8" w:rsidRPr="004C75FF">
        <w:rPr>
          <w:rFonts w:ascii="Times New Roman" w:hAnsi="Times New Roman"/>
          <w:sz w:val="26"/>
          <w:szCs w:val="26"/>
        </w:rPr>
        <w:t xml:space="preserve"> flexibility </w:t>
      </w:r>
      <w:r w:rsidR="005176C8">
        <w:rPr>
          <w:rFonts w:ascii="Times New Roman" w:hAnsi="Times New Roman"/>
          <w:sz w:val="26"/>
          <w:szCs w:val="26"/>
        </w:rPr>
        <w:t>for</w:t>
      </w:r>
      <w:r w:rsidR="005176C8" w:rsidRPr="004C75FF">
        <w:rPr>
          <w:rFonts w:ascii="Times New Roman" w:hAnsi="Times New Roman"/>
          <w:sz w:val="26"/>
          <w:szCs w:val="26"/>
        </w:rPr>
        <w:t xml:space="preserve"> supplier</w:t>
      </w:r>
      <w:r w:rsidR="005176C8">
        <w:rPr>
          <w:rFonts w:ascii="Times New Roman" w:hAnsi="Times New Roman"/>
          <w:sz w:val="26"/>
          <w:szCs w:val="26"/>
        </w:rPr>
        <w:t xml:space="preserve">s who do not have </w:t>
      </w:r>
      <w:r w:rsidR="005176C8" w:rsidRPr="004C75FF">
        <w:rPr>
          <w:rFonts w:ascii="Times New Roman" w:hAnsi="Times New Roman"/>
          <w:sz w:val="26"/>
          <w:szCs w:val="26"/>
        </w:rPr>
        <w:t xml:space="preserve">the advantage of </w:t>
      </w:r>
      <w:r w:rsidR="005176C8">
        <w:rPr>
          <w:rFonts w:ascii="Times New Roman" w:hAnsi="Times New Roman"/>
          <w:sz w:val="26"/>
          <w:szCs w:val="26"/>
        </w:rPr>
        <w:t xml:space="preserve">cost </w:t>
      </w:r>
      <w:r w:rsidR="005176C8" w:rsidRPr="004C75FF">
        <w:rPr>
          <w:rFonts w:ascii="Times New Roman" w:hAnsi="Times New Roman"/>
          <w:sz w:val="26"/>
          <w:szCs w:val="26"/>
        </w:rPr>
        <w:t>recover</w:t>
      </w:r>
      <w:r w:rsidR="005176C8">
        <w:rPr>
          <w:rFonts w:ascii="Times New Roman" w:hAnsi="Times New Roman"/>
          <w:sz w:val="26"/>
          <w:szCs w:val="26"/>
        </w:rPr>
        <w:t>y and reconciliation like the utilities).</w:t>
      </w:r>
      <w:r>
        <w:rPr>
          <w:rFonts w:ascii="Times New Roman" w:hAnsi="Times New Roman"/>
          <w:sz w:val="26"/>
          <w:szCs w:val="26"/>
        </w:rPr>
        <w:t xml:space="preserve">  </w:t>
      </w:r>
    </w:p>
    <w:p w:rsidR="00B53F73" w:rsidRDefault="00B53F73" w:rsidP="008252EF">
      <w:pPr>
        <w:pStyle w:val="NoSpacing"/>
        <w:spacing w:line="360" w:lineRule="auto"/>
        <w:ind w:firstLine="720"/>
        <w:rPr>
          <w:rFonts w:ascii="Times New Roman" w:hAnsi="Times New Roman"/>
          <w:sz w:val="26"/>
          <w:szCs w:val="26"/>
        </w:rPr>
      </w:pPr>
    </w:p>
    <w:p w:rsidR="00F7352B" w:rsidRDefault="00B53F73" w:rsidP="00F7352B">
      <w:pPr>
        <w:pStyle w:val="NoSpacing"/>
        <w:spacing w:line="360" w:lineRule="auto"/>
        <w:ind w:firstLine="720"/>
        <w:rPr>
          <w:rFonts w:cstheme="minorHAnsi"/>
          <w:sz w:val="26"/>
          <w:szCs w:val="26"/>
        </w:rPr>
      </w:pPr>
      <w:r>
        <w:rPr>
          <w:rFonts w:ascii="Times New Roman" w:hAnsi="Times New Roman"/>
          <w:sz w:val="26"/>
          <w:szCs w:val="26"/>
        </w:rPr>
        <w:t>We agree with OCA and IRRC that adding information pertinent to a product with an introductory price would provide the consumer with more knowledge when making a decision about a particular product.  Therefore, we will add OCA’s recommended language p</w:t>
      </w:r>
      <w:r w:rsidR="00F7352B">
        <w:rPr>
          <w:rFonts w:ascii="Times New Roman" w:hAnsi="Times New Roman"/>
          <w:sz w:val="26"/>
          <w:szCs w:val="26"/>
        </w:rPr>
        <w:t>ertaining to introductory prices</w:t>
      </w:r>
      <w:r w:rsidR="004D5C5C">
        <w:rPr>
          <w:rFonts w:ascii="Times New Roman" w:hAnsi="Times New Roman"/>
          <w:sz w:val="26"/>
          <w:szCs w:val="26"/>
        </w:rPr>
        <w:t xml:space="preserve">, modified to use </w:t>
      </w:r>
      <w:r w:rsidR="004D5C5C">
        <w:rPr>
          <w:rFonts w:ascii="Times New Roman" w:hAnsi="Times New Roman"/>
          <w:i/>
          <w:sz w:val="26"/>
          <w:szCs w:val="26"/>
        </w:rPr>
        <w:t>billing cycle</w:t>
      </w:r>
      <w:r w:rsidR="004D5C5C">
        <w:rPr>
          <w:rFonts w:ascii="Times New Roman" w:hAnsi="Times New Roman"/>
          <w:sz w:val="26"/>
          <w:szCs w:val="26"/>
        </w:rPr>
        <w:t xml:space="preserve"> in lieu of </w:t>
      </w:r>
      <w:r w:rsidR="004D5C5C">
        <w:rPr>
          <w:rFonts w:ascii="Times New Roman" w:hAnsi="Times New Roman"/>
          <w:i/>
          <w:sz w:val="26"/>
          <w:szCs w:val="26"/>
        </w:rPr>
        <w:t>billing month</w:t>
      </w:r>
      <w:r w:rsidR="004D5C5C">
        <w:rPr>
          <w:rFonts w:ascii="Times New Roman" w:hAnsi="Times New Roman"/>
          <w:sz w:val="26"/>
          <w:szCs w:val="26"/>
        </w:rPr>
        <w:t>, as discussed above</w:t>
      </w:r>
      <w:r w:rsidR="00F7352B">
        <w:rPr>
          <w:rFonts w:ascii="Times New Roman" w:hAnsi="Times New Roman"/>
          <w:sz w:val="26"/>
          <w:szCs w:val="26"/>
        </w:rPr>
        <w:t xml:space="preserve">.  </w:t>
      </w:r>
      <w:r w:rsidR="00F7352B">
        <w:rPr>
          <w:rFonts w:ascii="Times New Roman" w:hAnsi="Times New Roman"/>
          <w:i/>
          <w:sz w:val="26"/>
          <w:szCs w:val="26"/>
        </w:rPr>
        <w:t>See</w:t>
      </w:r>
      <w:r w:rsidR="00F7352B">
        <w:rPr>
          <w:rFonts w:ascii="Times New Roman" w:hAnsi="Times New Roman"/>
          <w:sz w:val="26"/>
          <w:szCs w:val="26"/>
        </w:rPr>
        <w:t xml:space="preserve"> Annex A, Section 62.75(c)(2)(i</w:t>
      </w:r>
      <w:r w:rsidR="00C50913">
        <w:rPr>
          <w:rFonts w:ascii="Times New Roman" w:hAnsi="Times New Roman"/>
          <w:sz w:val="26"/>
          <w:szCs w:val="26"/>
        </w:rPr>
        <w:t>i</w:t>
      </w:r>
      <w:r w:rsidR="00F7352B">
        <w:rPr>
          <w:rFonts w:ascii="Times New Roman" w:hAnsi="Times New Roman"/>
          <w:sz w:val="26"/>
          <w:szCs w:val="26"/>
        </w:rPr>
        <w:t xml:space="preserve">).  However, we will not add OCA’s desired additional phrase that </w:t>
      </w:r>
      <w:r w:rsidR="00F7352B">
        <w:rPr>
          <w:rFonts w:cstheme="minorHAnsi"/>
          <w:sz w:val="26"/>
          <w:szCs w:val="26"/>
        </w:rPr>
        <w:t xml:space="preserve">“a statement that the price could change in the second month,” as that language is unnecessary and duplicative in light of Section 62.75(c)(2)(iii)’s requirement that an NGS </w:t>
      </w:r>
      <w:r w:rsidR="005F449D">
        <w:rPr>
          <w:rFonts w:cstheme="minorHAnsi"/>
          <w:sz w:val="26"/>
          <w:szCs w:val="26"/>
        </w:rPr>
        <w:t xml:space="preserve">“shall provide a clear and conspicuous </w:t>
      </w:r>
      <w:r w:rsidR="00F7352B">
        <w:rPr>
          <w:rFonts w:cstheme="minorHAnsi"/>
          <w:sz w:val="26"/>
          <w:szCs w:val="26"/>
        </w:rPr>
        <w:t>state</w:t>
      </w:r>
      <w:r w:rsidR="005F449D">
        <w:rPr>
          <w:rFonts w:cstheme="minorHAnsi"/>
          <w:sz w:val="26"/>
          <w:szCs w:val="26"/>
        </w:rPr>
        <w:t>ment</w:t>
      </w:r>
      <w:r w:rsidR="00F7352B">
        <w:rPr>
          <w:rFonts w:cstheme="minorHAnsi"/>
          <w:sz w:val="26"/>
          <w:szCs w:val="26"/>
        </w:rPr>
        <w:t xml:space="preserve"> that there is no</w:t>
      </w:r>
      <w:r w:rsidR="005F449D">
        <w:rPr>
          <w:rFonts w:cstheme="minorHAnsi"/>
          <w:sz w:val="26"/>
          <w:szCs w:val="26"/>
        </w:rPr>
        <w:t>t a</w:t>
      </w:r>
      <w:r w:rsidR="00F7352B">
        <w:rPr>
          <w:rFonts w:cstheme="minorHAnsi"/>
          <w:sz w:val="26"/>
          <w:szCs w:val="26"/>
        </w:rPr>
        <w:t xml:space="preserve"> limit</w:t>
      </w:r>
      <w:r w:rsidR="005F449D">
        <w:rPr>
          <w:rFonts w:cstheme="minorHAnsi"/>
          <w:sz w:val="26"/>
          <w:szCs w:val="26"/>
        </w:rPr>
        <w:t xml:space="preserve"> on how much the price may change from one billing cycle to the next.”  </w:t>
      </w:r>
      <w:r w:rsidR="005F449D">
        <w:rPr>
          <w:rFonts w:cstheme="minorHAnsi"/>
          <w:i/>
          <w:sz w:val="26"/>
          <w:szCs w:val="26"/>
        </w:rPr>
        <w:t>See</w:t>
      </w:r>
      <w:r w:rsidR="005F449D">
        <w:rPr>
          <w:rFonts w:cstheme="minorHAnsi"/>
          <w:sz w:val="26"/>
          <w:szCs w:val="26"/>
        </w:rPr>
        <w:t xml:space="preserve"> Annex A, Sections 62.75(c)(2)(ii)-(</w:t>
      </w:r>
      <w:r w:rsidR="0017133A">
        <w:rPr>
          <w:rFonts w:cstheme="minorHAnsi"/>
          <w:sz w:val="26"/>
          <w:szCs w:val="26"/>
        </w:rPr>
        <w:t>iii</w:t>
      </w:r>
      <w:r w:rsidR="005F449D">
        <w:rPr>
          <w:rFonts w:cstheme="minorHAnsi"/>
          <w:sz w:val="26"/>
          <w:szCs w:val="26"/>
        </w:rPr>
        <w:t xml:space="preserve">).  </w:t>
      </w:r>
      <w:r w:rsidR="00F7352B">
        <w:rPr>
          <w:rFonts w:cstheme="minorHAnsi"/>
          <w:sz w:val="26"/>
          <w:szCs w:val="26"/>
        </w:rPr>
        <w:t xml:space="preserve"> </w:t>
      </w:r>
      <w:r w:rsidR="0017133A">
        <w:rPr>
          <w:rFonts w:ascii="Times New Roman" w:hAnsi="Times New Roman"/>
          <w:sz w:val="26"/>
          <w:szCs w:val="26"/>
        </w:rPr>
        <w:t xml:space="preserve">Also, upon review, we </w:t>
      </w:r>
      <w:r w:rsidR="0017133A">
        <w:rPr>
          <w:rFonts w:ascii="Times New Roman" w:hAnsi="Times New Roman"/>
          <w:sz w:val="26"/>
          <w:szCs w:val="26"/>
        </w:rPr>
        <w:lastRenderedPageBreak/>
        <w:t>determined that Section 62.75(c)(2)(iv) was duplicative of Section 62.75(c)(2)(ii).  Therefore we have revised Section 62.75(c)(2)(ii) to include the pertinent provisions of Section 62.75(c)(2)(iv).</w:t>
      </w:r>
      <w:r w:rsidR="001054B6">
        <w:rPr>
          <w:rFonts w:ascii="Times New Roman" w:hAnsi="Times New Roman"/>
          <w:sz w:val="26"/>
          <w:szCs w:val="26"/>
        </w:rPr>
        <w:t xml:space="preserve">  We have also renumber</w:t>
      </w:r>
      <w:r w:rsidR="00EB5B9F">
        <w:rPr>
          <w:rFonts w:ascii="Times New Roman" w:hAnsi="Times New Roman"/>
          <w:sz w:val="26"/>
          <w:szCs w:val="26"/>
        </w:rPr>
        <w:t>ed</w:t>
      </w:r>
      <w:r w:rsidR="001054B6">
        <w:rPr>
          <w:rFonts w:ascii="Times New Roman" w:hAnsi="Times New Roman"/>
          <w:sz w:val="26"/>
          <w:szCs w:val="26"/>
        </w:rPr>
        <w:t xml:space="preserve"> subsequent </w:t>
      </w:r>
      <w:r w:rsidR="00EB5B9F">
        <w:rPr>
          <w:rFonts w:ascii="Times New Roman" w:hAnsi="Times New Roman"/>
          <w:sz w:val="26"/>
          <w:szCs w:val="26"/>
        </w:rPr>
        <w:t>S</w:t>
      </w:r>
      <w:r w:rsidR="001054B6">
        <w:rPr>
          <w:rFonts w:ascii="Times New Roman" w:hAnsi="Times New Roman"/>
          <w:sz w:val="26"/>
          <w:szCs w:val="26"/>
        </w:rPr>
        <w:t xml:space="preserve">ections 62.75(c)(2)(v)-(vii) to account for this change.  </w:t>
      </w:r>
      <w:r w:rsidR="0017133A">
        <w:rPr>
          <w:rFonts w:ascii="Times New Roman" w:hAnsi="Times New Roman"/>
          <w:sz w:val="26"/>
          <w:szCs w:val="26"/>
        </w:rPr>
        <w:t xml:space="preserve">  </w:t>
      </w:r>
    </w:p>
    <w:p w:rsidR="00353E62" w:rsidRDefault="00353E62" w:rsidP="00F7352B">
      <w:pPr>
        <w:pStyle w:val="NoSpacing"/>
        <w:spacing w:line="360" w:lineRule="auto"/>
        <w:ind w:firstLine="720"/>
        <w:rPr>
          <w:rFonts w:cstheme="minorHAnsi"/>
          <w:sz w:val="26"/>
          <w:szCs w:val="26"/>
        </w:rPr>
      </w:pPr>
    </w:p>
    <w:p w:rsidR="008252EF" w:rsidRPr="00712FC9" w:rsidRDefault="001054B6" w:rsidP="00712FC9">
      <w:pPr>
        <w:pStyle w:val="NoSpacing"/>
        <w:spacing w:line="360" w:lineRule="auto"/>
        <w:rPr>
          <w:rFonts w:cstheme="minorHAnsi"/>
          <w:sz w:val="26"/>
          <w:szCs w:val="26"/>
          <w:u w:val="single"/>
        </w:rPr>
      </w:pPr>
      <w:r w:rsidRPr="000A6B1A">
        <w:rPr>
          <w:rFonts w:ascii="Times New Roman" w:hAnsi="Times New Roman"/>
          <w:sz w:val="26"/>
          <w:szCs w:val="26"/>
          <w:u w:val="single"/>
        </w:rPr>
        <w:t xml:space="preserve">New Finalized Section </w:t>
      </w:r>
      <w:r w:rsidRPr="000A6B1A">
        <w:rPr>
          <w:rFonts w:cstheme="minorHAnsi"/>
          <w:sz w:val="26"/>
          <w:szCs w:val="26"/>
          <w:u w:val="single"/>
        </w:rPr>
        <w:t>62.</w:t>
      </w:r>
      <w:r w:rsidRPr="00BE23D8">
        <w:rPr>
          <w:rFonts w:cstheme="minorHAnsi"/>
          <w:sz w:val="26"/>
          <w:szCs w:val="26"/>
          <w:u w:val="single"/>
        </w:rPr>
        <w:t>7</w:t>
      </w:r>
      <w:r>
        <w:rPr>
          <w:rFonts w:cstheme="minorHAnsi"/>
          <w:sz w:val="26"/>
          <w:szCs w:val="26"/>
          <w:u w:val="single"/>
        </w:rPr>
        <w:t>5(c)(2)(iv</w:t>
      </w:r>
      <w:r w:rsidRPr="000A6B1A">
        <w:rPr>
          <w:rFonts w:cstheme="minorHAnsi"/>
          <w:sz w:val="26"/>
          <w:szCs w:val="26"/>
          <w:u w:val="single"/>
        </w:rPr>
        <w:t>)</w:t>
      </w:r>
      <w:r>
        <w:rPr>
          <w:rFonts w:cstheme="minorHAnsi"/>
          <w:sz w:val="26"/>
          <w:szCs w:val="26"/>
          <w:u w:val="single"/>
        </w:rPr>
        <w:t xml:space="preserve"> </w:t>
      </w:r>
    </w:p>
    <w:p w:rsidR="0036027B" w:rsidRDefault="001054B6" w:rsidP="00856496">
      <w:pPr>
        <w:pStyle w:val="NoSpacing"/>
        <w:spacing w:line="360" w:lineRule="auto"/>
        <w:ind w:firstLine="720"/>
        <w:rPr>
          <w:rFonts w:ascii="Times New Roman" w:hAnsi="Times New Roman"/>
          <w:sz w:val="26"/>
          <w:szCs w:val="26"/>
        </w:rPr>
      </w:pPr>
      <w:r>
        <w:rPr>
          <w:rFonts w:cstheme="minorHAnsi"/>
          <w:sz w:val="26"/>
          <w:szCs w:val="26"/>
        </w:rPr>
        <w:t>As to succeeding Section 62.75(c)(2)(iv) (which was previously Section 62.75(c)(2)(v))</w:t>
      </w:r>
      <w:r w:rsidRPr="000A6B1A">
        <w:rPr>
          <w:rFonts w:cstheme="minorHAnsi"/>
          <w:sz w:val="26"/>
          <w:szCs w:val="26"/>
        </w:rPr>
        <w:t xml:space="preserve">, </w:t>
      </w:r>
      <w:r>
        <w:rPr>
          <w:rFonts w:cstheme="minorHAnsi"/>
          <w:sz w:val="26"/>
          <w:szCs w:val="26"/>
        </w:rPr>
        <w:t>t</w:t>
      </w:r>
      <w:r w:rsidR="00856496">
        <w:rPr>
          <w:rFonts w:ascii="Times New Roman" w:eastAsia="Cambria" w:hAnsi="Times New Roman"/>
          <w:color w:val="000000"/>
          <w:sz w:val="26"/>
          <w:szCs w:val="26"/>
        </w:rPr>
        <w:t>he PA Marketers urge the Commission “to chart a middle course between allowing suppliers to only say ‘the variable price will vary’ and requiring a calculable formula based on public indices.”  PA Marketers Comments at 3.  The PA Marketers c</w:t>
      </w:r>
      <w:r w:rsidR="00856496" w:rsidRPr="004C75FF">
        <w:rPr>
          <w:rFonts w:ascii="Times New Roman" w:hAnsi="Times New Roman"/>
          <w:sz w:val="26"/>
          <w:szCs w:val="26"/>
        </w:rPr>
        <w:t xml:space="preserve">aution that </w:t>
      </w:r>
      <w:r w:rsidR="001E2CD4">
        <w:rPr>
          <w:rFonts w:ascii="Times New Roman" w:hAnsi="Times New Roman"/>
          <w:sz w:val="26"/>
          <w:szCs w:val="26"/>
        </w:rPr>
        <w:t xml:space="preserve">requiring </w:t>
      </w:r>
      <w:r w:rsidR="00856496" w:rsidRPr="004C75FF">
        <w:rPr>
          <w:rFonts w:ascii="Times New Roman" w:hAnsi="Times New Roman"/>
          <w:sz w:val="26"/>
          <w:szCs w:val="26"/>
        </w:rPr>
        <w:t>a specific formula that a customer can use to calculate their bill total for service ahead of receiving the monthly bill may be impossible.</w:t>
      </w:r>
      <w:r w:rsidR="00856496">
        <w:rPr>
          <w:rFonts w:ascii="Times New Roman" w:hAnsi="Times New Roman"/>
          <w:sz w:val="26"/>
          <w:szCs w:val="26"/>
        </w:rPr>
        <w:t xml:space="preserve">  </w:t>
      </w:r>
      <w:r w:rsidR="00856496">
        <w:rPr>
          <w:rFonts w:ascii="Times New Roman" w:hAnsi="Times New Roman"/>
          <w:i/>
          <w:sz w:val="26"/>
          <w:szCs w:val="26"/>
        </w:rPr>
        <w:t>Id.</w:t>
      </w:r>
      <w:r w:rsidR="00856496">
        <w:rPr>
          <w:rFonts w:ascii="Times New Roman" w:hAnsi="Times New Roman"/>
          <w:sz w:val="26"/>
          <w:szCs w:val="26"/>
        </w:rPr>
        <w:t xml:space="preserve">  The PA Marketers explain that </w:t>
      </w:r>
      <w:r w:rsidR="00856496" w:rsidRPr="004C75FF">
        <w:rPr>
          <w:rFonts w:ascii="Times New Roman" w:hAnsi="Times New Roman"/>
          <w:sz w:val="26"/>
          <w:szCs w:val="26"/>
        </w:rPr>
        <w:t>the calculation of a variable rate price each month</w:t>
      </w:r>
      <w:r w:rsidR="00856496">
        <w:rPr>
          <w:rFonts w:ascii="Times New Roman" w:hAnsi="Times New Roman"/>
          <w:sz w:val="26"/>
          <w:szCs w:val="26"/>
        </w:rPr>
        <w:t xml:space="preserve"> depends on a</w:t>
      </w:r>
      <w:r w:rsidR="00856496" w:rsidRPr="004C75FF">
        <w:rPr>
          <w:rFonts w:ascii="Times New Roman" w:hAnsi="Times New Roman"/>
          <w:sz w:val="26"/>
          <w:szCs w:val="26"/>
        </w:rPr>
        <w:t xml:space="preserve"> range of </w:t>
      </w:r>
      <w:r w:rsidR="00977F20">
        <w:rPr>
          <w:rFonts w:ascii="Times New Roman" w:hAnsi="Times New Roman"/>
          <w:sz w:val="26"/>
          <w:szCs w:val="26"/>
        </w:rPr>
        <w:t xml:space="preserve">factors.  </w:t>
      </w:r>
      <w:r w:rsidR="00856496">
        <w:rPr>
          <w:rFonts w:ascii="Times New Roman" w:hAnsi="Times New Roman"/>
          <w:i/>
          <w:sz w:val="26"/>
          <w:szCs w:val="26"/>
        </w:rPr>
        <w:t>Id.</w:t>
      </w:r>
      <w:r w:rsidR="0008166D">
        <w:rPr>
          <w:rFonts w:ascii="Times New Roman" w:hAnsi="Times New Roman"/>
          <w:sz w:val="26"/>
          <w:szCs w:val="26"/>
        </w:rPr>
        <w:t xml:space="preserve">  </w:t>
      </w:r>
      <w:r w:rsidR="00977F20">
        <w:rPr>
          <w:rFonts w:ascii="Times New Roman" w:hAnsi="Times New Roman"/>
          <w:sz w:val="26"/>
          <w:szCs w:val="26"/>
        </w:rPr>
        <w:t>T</w:t>
      </w:r>
      <w:r w:rsidR="0008166D">
        <w:rPr>
          <w:rFonts w:ascii="Times New Roman" w:hAnsi="Times New Roman"/>
          <w:sz w:val="26"/>
          <w:szCs w:val="26"/>
        </w:rPr>
        <w:t>he N</w:t>
      </w:r>
      <w:r w:rsidR="00977F20">
        <w:rPr>
          <w:rFonts w:ascii="Times New Roman" w:hAnsi="Times New Roman"/>
          <w:sz w:val="26"/>
          <w:szCs w:val="26"/>
        </w:rPr>
        <w:t>GS c</w:t>
      </w:r>
      <w:r w:rsidR="00856496">
        <w:rPr>
          <w:rFonts w:ascii="Times New Roman" w:hAnsi="Times New Roman"/>
          <w:sz w:val="26"/>
          <w:szCs w:val="26"/>
        </w:rPr>
        <w:t>ommunity desires</w:t>
      </w:r>
      <w:r w:rsidR="00856496" w:rsidRPr="004C75FF">
        <w:rPr>
          <w:rFonts w:ascii="Times New Roman" w:hAnsi="Times New Roman"/>
          <w:sz w:val="26"/>
          <w:szCs w:val="26"/>
        </w:rPr>
        <w:t xml:space="preserve"> flexibility </w:t>
      </w:r>
      <w:r w:rsidR="00856496">
        <w:rPr>
          <w:rFonts w:ascii="Times New Roman" w:hAnsi="Times New Roman"/>
          <w:sz w:val="26"/>
          <w:szCs w:val="26"/>
        </w:rPr>
        <w:t>for</w:t>
      </w:r>
      <w:r w:rsidR="00856496" w:rsidRPr="004C75FF">
        <w:rPr>
          <w:rFonts w:ascii="Times New Roman" w:hAnsi="Times New Roman"/>
          <w:sz w:val="26"/>
          <w:szCs w:val="26"/>
        </w:rPr>
        <w:t xml:space="preserve"> supplier</w:t>
      </w:r>
      <w:r w:rsidR="00856496">
        <w:rPr>
          <w:rFonts w:ascii="Times New Roman" w:hAnsi="Times New Roman"/>
          <w:sz w:val="26"/>
          <w:szCs w:val="26"/>
        </w:rPr>
        <w:t xml:space="preserve">s who do not have </w:t>
      </w:r>
      <w:r w:rsidR="00856496" w:rsidRPr="004C75FF">
        <w:rPr>
          <w:rFonts w:ascii="Times New Roman" w:hAnsi="Times New Roman"/>
          <w:sz w:val="26"/>
          <w:szCs w:val="26"/>
        </w:rPr>
        <w:t xml:space="preserve">the advantage of </w:t>
      </w:r>
      <w:r w:rsidR="00856496">
        <w:rPr>
          <w:rFonts w:ascii="Times New Roman" w:hAnsi="Times New Roman"/>
          <w:sz w:val="26"/>
          <w:szCs w:val="26"/>
        </w:rPr>
        <w:t xml:space="preserve">cost </w:t>
      </w:r>
      <w:r w:rsidR="00856496" w:rsidRPr="004C75FF">
        <w:rPr>
          <w:rFonts w:ascii="Times New Roman" w:hAnsi="Times New Roman"/>
          <w:sz w:val="26"/>
          <w:szCs w:val="26"/>
        </w:rPr>
        <w:t>recover</w:t>
      </w:r>
      <w:r w:rsidR="00856496">
        <w:rPr>
          <w:rFonts w:ascii="Times New Roman" w:hAnsi="Times New Roman"/>
          <w:sz w:val="26"/>
          <w:szCs w:val="26"/>
        </w:rPr>
        <w:t xml:space="preserve">y and reconciliation like the utilities.  </w:t>
      </w:r>
      <w:r w:rsidR="00856496">
        <w:rPr>
          <w:rFonts w:ascii="Times New Roman" w:hAnsi="Times New Roman"/>
          <w:i/>
          <w:sz w:val="26"/>
          <w:szCs w:val="26"/>
        </w:rPr>
        <w:t>See id.</w:t>
      </w:r>
      <w:r w:rsidR="00856496">
        <w:rPr>
          <w:rFonts w:ascii="Times New Roman" w:hAnsi="Times New Roman"/>
          <w:sz w:val="26"/>
          <w:szCs w:val="26"/>
        </w:rPr>
        <w:t xml:space="preserve">; </w:t>
      </w:r>
      <w:r w:rsidR="00856496">
        <w:rPr>
          <w:rFonts w:ascii="Times New Roman" w:hAnsi="Times New Roman"/>
          <w:i/>
          <w:sz w:val="26"/>
          <w:szCs w:val="26"/>
        </w:rPr>
        <w:t xml:space="preserve">see also </w:t>
      </w:r>
      <w:r w:rsidR="00856496">
        <w:rPr>
          <w:rFonts w:ascii="Times New Roman" w:hAnsi="Times New Roman"/>
          <w:sz w:val="26"/>
          <w:szCs w:val="26"/>
        </w:rPr>
        <w:t xml:space="preserve">RESA Comments at 6-7; </w:t>
      </w:r>
      <w:r w:rsidR="00856496">
        <w:rPr>
          <w:rFonts w:ascii="Times New Roman" w:hAnsi="Times New Roman"/>
          <w:i/>
          <w:sz w:val="26"/>
          <w:szCs w:val="26"/>
        </w:rPr>
        <w:t xml:space="preserve">see also </w:t>
      </w:r>
      <w:r w:rsidR="00856496">
        <w:rPr>
          <w:rFonts w:ascii="Times New Roman" w:hAnsi="Times New Roman"/>
          <w:sz w:val="26"/>
          <w:szCs w:val="26"/>
        </w:rPr>
        <w:t>National Marketers Comments at 2.</w:t>
      </w:r>
      <w:r w:rsidR="001E2CD4">
        <w:rPr>
          <w:rFonts w:ascii="Times New Roman" w:hAnsi="Times New Roman"/>
          <w:sz w:val="26"/>
          <w:szCs w:val="26"/>
        </w:rPr>
        <w:t xml:space="preserve">  </w:t>
      </w:r>
    </w:p>
    <w:p w:rsidR="00F91138" w:rsidRDefault="00F91138" w:rsidP="00856496">
      <w:pPr>
        <w:pStyle w:val="NoSpacing"/>
        <w:spacing w:line="360" w:lineRule="auto"/>
        <w:ind w:firstLine="720"/>
        <w:rPr>
          <w:rFonts w:ascii="Times New Roman" w:hAnsi="Times New Roman"/>
          <w:sz w:val="26"/>
          <w:szCs w:val="26"/>
        </w:rPr>
      </w:pPr>
    </w:p>
    <w:p w:rsidR="0036027B" w:rsidRDefault="001E2CD4" w:rsidP="0036027B">
      <w:pPr>
        <w:pStyle w:val="NoSpacing"/>
        <w:spacing w:line="360" w:lineRule="auto"/>
        <w:ind w:firstLine="720"/>
        <w:rPr>
          <w:rFonts w:ascii="Times New Roman" w:hAnsi="Times New Roman"/>
          <w:sz w:val="26"/>
          <w:szCs w:val="26"/>
        </w:rPr>
      </w:pPr>
      <w:r>
        <w:rPr>
          <w:rFonts w:ascii="Times New Roman" w:hAnsi="Times New Roman"/>
          <w:sz w:val="26"/>
          <w:szCs w:val="26"/>
        </w:rPr>
        <w:t>WGL Energy does not oppose requiring NGSs to notify customers when and how they will be informed of future price changes</w:t>
      </w:r>
      <w:r w:rsidR="000B7CF4">
        <w:rPr>
          <w:rFonts w:ascii="Times New Roman" w:hAnsi="Times New Roman"/>
          <w:sz w:val="26"/>
          <w:szCs w:val="26"/>
        </w:rPr>
        <w:t>, but thinks that requiring advance notice of all price changes would be overly burdensome</w:t>
      </w:r>
      <w:r w:rsidR="0036027B">
        <w:rPr>
          <w:rFonts w:ascii="Times New Roman" w:hAnsi="Times New Roman"/>
          <w:sz w:val="26"/>
          <w:szCs w:val="26"/>
        </w:rPr>
        <w:t>.  WGL Comments at 4.  OCA seeks to add the language “before such price change goes into effect” in order to require some kind of advance notification of a price change to the consumer.</w:t>
      </w:r>
      <w:r w:rsidR="000B7CF4">
        <w:rPr>
          <w:rFonts w:ascii="Times New Roman" w:hAnsi="Times New Roman"/>
          <w:sz w:val="26"/>
          <w:szCs w:val="26"/>
        </w:rPr>
        <w:t xml:space="preserve">  </w:t>
      </w:r>
      <w:r w:rsidR="000B7CF4">
        <w:rPr>
          <w:rFonts w:ascii="Times New Roman" w:hAnsi="Times New Roman"/>
          <w:i/>
          <w:sz w:val="26"/>
          <w:szCs w:val="26"/>
        </w:rPr>
        <w:t>See</w:t>
      </w:r>
      <w:r w:rsidR="000B7CF4">
        <w:rPr>
          <w:rFonts w:ascii="Times New Roman" w:hAnsi="Times New Roman"/>
          <w:sz w:val="26"/>
          <w:szCs w:val="26"/>
        </w:rPr>
        <w:t xml:space="preserve"> OCA Comments at 7.  </w:t>
      </w:r>
      <w:r w:rsidR="0036027B">
        <w:rPr>
          <w:rFonts w:ascii="Times New Roman" w:hAnsi="Times New Roman"/>
          <w:sz w:val="26"/>
          <w:szCs w:val="26"/>
        </w:rPr>
        <w:t xml:space="preserve">    </w:t>
      </w:r>
    </w:p>
    <w:p w:rsidR="0036027B" w:rsidRDefault="0036027B" w:rsidP="0036027B">
      <w:pPr>
        <w:pStyle w:val="NoSpacing"/>
        <w:spacing w:line="360" w:lineRule="auto"/>
        <w:ind w:firstLine="720"/>
        <w:rPr>
          <w:rFonts w:ascii="Times New Roman" w:hAnsi="Times New Roman"/>
          <w:sz w:val="26"/>
          <w:szCs w:val="26"/>
        </w:rPr>
      </w:pPr>
    </w:p>
    <w:p w:rsidR="000B7CF4" w:rsidRDefault="005F449D" w:rsidP="0036027B">
      <w:pPr>
        <w:pStyle w:val="NoSpacing"/>
        <w:spacing w:line="360" w:lineRule="auto"/>
        <w:ind w:firstLine="720"/>
        <w:rPr>
          <w:rFonts w:cstheme="minorHAnsi"/>
          <w:sz w:val="26"/>
          <w:szCs w:val="26"/>
        </w:rPr>
      </w:pPr>
      <w:r w:rsidRPr="009B54C9">
        <w:rPr>
          <w:rFonts w:cstheme="minorHAnsi"/>
          <w:sz w:val="26"/>
          <w:szCs w:val="26"/>
        </w:rPr>
        <w:t>IRRC recommend</w:t>
      </w:r>
      <w:r w:rsidR="00977F20">
        <w:rPr>
          <w:rFonts w:cstheme="minorHAnsi"/>
          <w:sz w:val="26"/>
          <w:szCs w:val="26"/>
        </w:rPr>
        <w:t>s</w:t>
      </w:r>
      <w:r w:rsidRPr="009B54C9">
        <w:rPr>
          <w:rFonts w:cstheme="minorHAnsi"/>
          <w:sz w:val="26"/>
          <w:szCs w:val="26"/>
        </w:rPr>
        <w:t xml:space="preserve"> that the Commission specify not just “when,” but “how” a customer will receive notification of price changes.  IRRC Comments at 3.  We find this reasonable additional</w:t>
      </w:r>
      <w:r w:rsidR="0036027B" w:rsidRPr="009B54C9">
        <w:rPr>
          <w:rFonts w:cstheme="minorHAnsi"/>
          <w:sz w:val="26"/>
          <w:szCs w:val="26"/>
        </w:rPr>
        <w:t xml:space="preserve"> language</w:t>
      </w:r>
      <w:r w:rsidRPr="009B54C9">
        <w:rPr>
          <w:rFonts w:cstheme="minorHAnsi"/>
          <w:sz w:val="26"/>
          <w:szCs w:val="26"/>
        </w:rPr>
        <w:t xml:space="preserve"> may help consumers and not overly burden suppliers.  Therefore, we add</w:t>
      </w:r>
      <w:r w:rsidR="00977F20">
        <w:rPr>
          <w:rFonts w:cstheme="minorHAnsi"/>
          <w:sz w:val="26"/>
          <w:szCs w:val="26"/>
        </w:rPr>
        <w:t>ed</w:t>
      </w:r>
      <w:r w:rsidRPr="009B54C9">
        <w:rPr>
          <w:rFonts w:cstheme="minorHAnsi"/>
          <w:sz w:val="26"/>
          <w:szCs w:val="26"/>
        </w:rPr>
        <w:t xml:space="preserve"> “and how” to the </w:t>
      </w:r>
      <w:r w:rsidR="00977F20">
        <w:rPr>
          <w:rFonts w:cstheme="minorHAnsi"/>
          <w:sz w:val="26"/>
          <w:szCs w:val="26"/>
        </w:rPr>
        <w:t xml:space="preserve">final-form </w:t>
      </w:r>
      <w:r w:rsidRPr="009B54C9">
        <w:rPr>
          <w:rFonts w:cstheme="minorHAnsi"/>
          <w:sz w:val="26"/>
          <w:szCs w:val="26"/>
        </w:rPr>
        <w:t xml:space="preserve">regulation.  </w:t>
      </w:r>
      <w:r w:rsidRPr="009B54C9">
        <w:rPr>
          <w:rFonts w:cstheme="minorHAnsi"/>
          <w:i/>
          <w:sz w:val="26"/>
          <w:szCs w:val="26"/>
        </w:rPr>
        <w:t>See</w:t>
      </w:r>
      <w:r w:rsidRPr="009B54C9">
        <w:rPr>
          <w:rFonts w:cstheme="minorHAnsi"/>
          <w:sz w:val="26"/>
          <w:szCs w:val="26"/>
        </w:rPr>
        <w:t xml:space="preserve"> Annex A, Section 62.75(c)(2)(</w:t>
      </w:r>
      <w:r w:rsidR="001054B6">
        <w:rPr>
          <w:rFonts w:cstheme="minorHAnsi"/>
          <w:sz w:val="26"/>
          <w:szCs w:val="26"/>
        </w:rPr>
        <w:t>i</w:t>
      </w:r>
      <w:r w:rsidRPr="009B54C9">
        <w:rPr>
          <w:rFonts w:cstheme="minorHAnsi"/>
          <w:sz w:val="26"/>
          <w:szCs w:val="26"/>
        </w:rPr>
        <w:t>v).</w:t>
      </w:r>
      <w:r w:rsidR="00856496" w:rsidRPr="009B54C9">
        <w:rPr>
          <w:rFonts w:cstheme="minorHAnsi"/>
          <w:sz w:val="26"/>
          <w:szCs w:val="26"/>
        </w:rPr>
        <w:t xml:space="preserve">  Mindful of the flexibility sought by the suppliers, this description of when and how the customer will receive notification of price changes must be clear and </w:t>
      </w:r>
      <w:r w:rsidR="00856496" w:rsidRPr="009B54C9">
        <w:rPr>
          <w:rFonts w:cstheme="minorHAnsi"/>
          <w:sz w:val="26"/>
          <w:szCs w:val="26"/>
        </w:rPr>
        <w:lastRenderedPageBreak/>
        <w:t>concise, but need not</w:t>
      </w:r>
      <w:r w:rsidR="001E2CD4" w:rsidRPr="009B54C9">
        <w:rPr>
          <w:rFonts w:cstheme="minorHAnsi"/>
          <w:sz w:val="26"/>
          <w:szCs w:val="26"/>
        </w:rPr>
        <w:t xml:space="preserve"> contain a specific formula</w:t>
      </w:r>
      <w:r w:rsidR="000B7CF4" w:rsidRPr="009B54C9">
        <w:rPr>
          <w:rFonts w:cstheme="minorHAnsi"/>
          <w:sz w:val="26"/>
          <w:szCs w:val="26"/>
        </w:rPr>
        <w:t xml:space="preserve">.  We appreciate OCA’s desire for consumers to be made aware of all price changes in advance, but </w:t>
      </w:r>
      <w:r w:rsidR="009B54C9">
        <w:rPr>
          <w:rFonts w:cstheme="minorHAnsi"/>
          <w:sz w:val="26"/>
          <w:szCs w:val="26"/>
        </w:rPr>
        <w:t xml:space="preserve">we believe that the </w:t>
      </w:r>
      <w:r w:rsidR="000B7CF4" w:rsidRPr="009B54C9">
        <w:rPr>
          <w:rFonts w:cstheme="minorHAnsi"/>
          <w:sz w:val="26"/>
          <w:szCs w:val="26"/>
        </w:rPr>
        <w:t>imposi</w:t>
      </w:r>
      <w:r w:rsidR="009B54C9">
        <w:rPr>
          <w:rFonts w:cstheme="minorHAnsi"/>
          <w:sz w:val="26"/>
          <w:szCs w:val="26"/>
        </w:rPr>
        <w:t>tion of such</w:t>
      </w:r>
      <w:r w:rsidR="000B7CF4" w:rsidRPr="009B54C9">
        <w:rPr>
          <w:rFonts w:cstheme="minorHAnsi"/>
          <w:sz w:val="26"/>
          <w:szCs w:val="26"/>
        </w:rPr>
        <w:t xml:space="preserve"> </w:t>
      </w:r>
      <w:r w:rsidR="009B54C9">
        <w:rPr>
          <w:rFonts w:cstheme="minorHAnsi"/>
          <w:sz w:val="26"/>
          <w:szCs w:val="26"/>
        </w:rPr>
        <w:t xml:space="preserve">a </w:t>
      </w:r>
      <w:r w:rsidR="000B7CF4" w:rsidRPr="009B54C9">
        <w:rPr>
          <w:rFonts w:cstheme="minorHAnsi"/>
          <w:sz w:val="26"/>
          <w:szCs w:val="26"/>
        </w:rPr>
        <w:t xml:space="preserve">requirement </w:t>
      </w:r>
      <w:r w:rsidR="009B54C9" w:rsidRPr="009B54C9">
        <w:rPr>
          <w:rFonts w:cstheme="minorHAnsi"/>
          <w:sz w:val="26"/>
          <w:szCs w:val="26"/>
        </w:rPr>
        <w:t xml:space="preserve">may </w:t>
      </w:r>
      <w:r w:rsidR="000B7CF4" w:rsidRPr="009B54C9">
        <w:rPr>
          <w:rFonts w:cstheme="minorHAnsi"/>
          <w:sz w:val="26"/>
          <w:szCs w:val="26"/>
        </w:rPr>
        <w:t xml:space="preserve">be overly burdensome to suppliers and </w:t>
      </w:r>
      <w:r w:rsidR="0008166D" w:rsidRPr="009B54C9">
        <w:rPr>
          <w:rFonts w:cstheme="minorHAnsi"/>
          <w:sz w:val="26"/>
          <w:szCs w:val="26"/>
        </w:rPr>
        <w:t xml:space="preserve">may significantly </w:t>
      </w:r>
      <w:r w:rsidR="000B7CF4" w:rsidRPr="009B54C9">
        <w:rPr>
          <w:rFonts w:cstheme="minorHAnsi"/>
          <w:sz w:val="26"/>
          <w:szCs w:val="26"/>
        </w:rPr>
        <w:t xml:space="preserve">restrict their </w:t>
      </w:r>
      <w:r w:rsidR="0008166D" w:rsidRPr="009B54C9">
        <w:rPr>
          <w:rFonts w:cstheme="minorHAnsi"/>
          <w:sz w:val="26"/>
          <w:szCs w:val="26"/>
        </w:rPr>
        <w:t>product offerings</w:t>
      </w:r>
      <w:r w:rsidR="000B7CF4" w:rsidRPr="009B54C9">
        <w:rPr>
          <w:rFonts w:cstheme="minorHAnsi"/>
          <w:sz w:val="26"/>
          <w:szCs w:val="26"/>
        </w:rPr>
        <w:t>.</w:t>
      </w:r>
      <w:r w:rsidR="000B7CF4">
        <w:rPr>
          <w:rFonts w:cstheme="minorHAnsi"/>
          <w:sz w:val="26"/>
          <w:szCs w:val="26"/>
        </w:rPr>
        <w:t xml:space="preserve">    </w:t>
      </w:r>
      <w:r w:rsidR="00856496">
        <w:rPr>
          <w:rFonts w:cstheme="minorHAnsi"/>
          <w:sz w:val="26"/>
          <w:szCs w:val="26"/>
        </w:rPr>
        <w:t xml:space="preserve"> </w:t>
      </w:r>
    </w:p>
    <w:p w:rsidR="001F7FCA" w:rsidRDefault="001F7FCA" w:rsidP="000B7CF4">
      <w:pPr>
        <w:pStyle w:val="NoSpacing"/>
        <w:spacing w:line="360" w:lineRule="auto"/>
        <w:rPr>
          <w:rFonts w:cstheme="minorHAnsi"/>
          <w:sz w:val="26"/>
          <w:szCs w:val="26"/>
          <w:u w:val="single"/>
        </w:rPr>
      </w:pPr>
    </w:p>
    <w:p w:rsidR="001054B6" w:rsidRPr="000F13BA" w:rsidRDefault="001054B6" w:rsidP="001054B6">
      <w:pPr>
        <w:pStyle w:val="NoSpacing"/>
        <w:spacing w:line="360" w:lineRule="auto"/>
        <w:rPr>
          <w:rFonts w:cstheme="minorHAnsi"/>
          <w:sz w:val="26"/>
          <w:szCs w:val="26"/>
          <w:u w:val="single"/>
        </w:rPr>
      </w:pPr>
      <w:r w:rsidRPr="000A6B1A">
        <w:rPr>
          <w:rFonts w:ascii="Times New Roman" w:hAnsi="Times New Roman"/>
          <w:sz w:val="26"/>
          <w:szCs w:val="26"/>
          <w:u w:val="single"/>
        </w:rPr>
        <w:t xml:space="preserve">New Finalized Section </w:t>
      </w:r>
      <w:r w:rsidRPr="000A6B1A">
        <w:rPr>
          <w:rFonts w:cstheme="minorHAnsi"/>
          <w:sz w:val="26"/>
          <w:szCs w:val="26"/>
          <w:u w:val="single"/>
        </w:rPr>
        <w:t>62.</w:t>
      </w:r>
      <w:r w:rsidRPr="00BE23D8">
        <w:rPr>
          <w:rFonts w:cstheme="minorHAnsi"/>
          <w:sz w:val="26"/>
          <w:szCs w:val="26"/>
          <w:u w:val="single"/>
        </w:rPr>
        <w:t>7</w:t>
      </w:r>
      <w:r>
        <w:rPr>
          <w:rFonts w:cstheme="minorHAnsi"/>
          <w:sz w:val="26"/>
          <w:szCs w:val="26"/>
          <w:u w:val="single"/>
        </w:rPr>
        <w:t>5(c)(2)(v</w:t>
      </w:r>
      <w:r w:rsidRPr="000A6B1A">
        <w:rPr>
          <w:rFonts w:cstheme="minorHAnsi"/>
          <w:sz w:val="26"/>
          <w:szCs w:val="26"/>
          <w:u w:val="single"/>
        </w:rPr>
        <w:t>)</w:t>
      </w:r>
      <w:r>
        <w:rPr>
          <w:rFonts w:cstheme="minorHAnsi"/>
          <w:sz w:val="26"/>
          <w:szCs w:val="26"/>
          <w:u w:val="single"/>
        </w:rPr>
        <w:t xml:space="preserve"> </w:t>
      </w:r>
    </w:p>
    <w:p w:rsidR="0099392D" w:rsidRDefault="001054B6" w:rsidP="001054B6">
      <w:pPr>
        <w:pStyle w:val="NoSpacing"/>
        <w:spacing w:line="360" w:lineRule="auto"/>
        <w:ind w:firstLine="720"/>
        <w:rPr>
          <w:rFonts w:cstheme="minorHAnsi"/>
          <w:sz w:val="26"/>
          <w:szCs w:val="26"/>
        </w:rPr>
      </w:pPr>
      <w:r>
        <w:rPr>
          <w:rFonts w:cstheme="minorHAnsi"/>
          <w:sz w:val="26"/>
          <w:szCs w:val="26"/>
        </w:rPr>
        <w:t>Succeeding Section 62.75(c)(2)(v) (which was previously Section 62.75(c)(2)(vi))</w:t>
      </w:r>
      <w:r w:rsidRPr="000A6B1A">
        <w:rPr>
          <w:rFonts w:cstheme="minorHAnsi"/>
          <w:sz w:val="26"/>
          <w:szCs w:val="26"/>
        </w:rPr>
        <w:t xml:space="preserve">, </w:t>
      </w:r>
      <w:r w:rsidR="001F7FCA">
        <w:rPr>
          <w:rFonts w:cstheme="minorHAnsi"/>
          <w:sz w:val="26"/>
          <w:szCs w:val="26"/>
        </w:rPr>
        <w:t xml:space="preserve">pertains to the requirement that </w:t>
      </w:r>
      <w:r w:rsidR="0008166D">
        <w:rPr>
          <w:rFonts w:cstheme="minorHAnsi"/>
          <w:sz w:val="26"/>
          <w:szCs w:val="26"/>
        </w:rPr>
        <w:t xml:space="preserve">a </w:t>
      </w:r>
      <w:r w:rsidR="001F7FCA">
        <w:rPr>
          <w:rFonts w:cstheme="minorHAnsi"/>
          <w:sz w:val="26"/>
          <w:szCs w:val="26"/>
        </w:rPr>
        <w:t>customer may request</w:t>
      </w:r>
      <w:r w:rsidR="00863711">
        <w:rPr>
          <w:rFonts w:cstheme="minorHAnsi"/>
          <w:sz w:val="26"/>
          <w:szCs w:val="26"/>
        </w:rPr>
        <w:t>,</w:t>
      </w:r>
      <w:r w:rsidR="001F7FCA">
        <w:rPr>
          <w:rFonts w:cstheme="minorHAnsi"/>
          <w:sz w:val="26"/>
          <w:szCs w:val="26"/>
        </w:rPr>
        <w:t xml:space="preserve"> </w:t>
      </w:r>
      <w:r w:rsidR="0019695A">
        <w:rPr>
          <w:rFonts w:cstheme="minorHAnsi"/>
          <w:sz w:val="26"/>
          <w:szCs w:val="26"/>
        </w:rPr>
        <w:t>from an NGS</w:t>
      </w:r>
      <w:r w:rsidR="00863711">
        <w:rPr>
          <w:rFonts w:cstheme="minorHAnsi"/>
          <w:sz w:val="26"/>
          <w:szCs w:val="26"/>
        </w:rPr>
        <w:t>,</w:t>
      </w:r>
      <w:r w:rsidR="0019695A">
        <w:rPr>
          <w:rFonts w:cstheme="minorHAnsi"/>
          <w:sz w:val="26"/>
          <w:szCs w:val="26"/>
        </w:rPr>
        <w:t xml:space="preserve"> </w:t>
      </w:r>
      <w:r w:rsidR="001F7FCA">
        <w:rPr>
          <w:rFonts w:cstheme="minorHAnsi"/>
          <w:sz w:val="26"/>
          <w:szCs w:val="26"/>
        </w:rPr>
        <w:t>historical average prices</w:t>
      </w:r>
      <w:r w:rsidR="0019695A">
        <w:rPr>
          <w:rFonts w:cstheme="minorHAnsi"/>
          <w:sz w:val="26"/>
          <w:szCs w:val="26"/>
        </w:rPr>
        <w:t xml:space="preserve"> from the past 24 months</w:t>
      </w:r>
      <w:r w:rsidR="001F7FCA">
        <w:rPr>
          <w:rFonts w:cstheme="minorHAnsi"/>
          <w:sz w:val="26"/>
          <w:szCs w:val="26"/>
        </w:rPr>
        <w:t xml:space="preserve"> for that customer’s rate class and NGDC service territory.  </w:t>
      </w:r>
      <w:r w:rsidR="0099392D">
        <w:rPr>
          <w:rFonts w:cstheme="minorHAnsi"/>
          <w:sz w:val="26"/>
          <w:szCs w:val="26"/>
        </w:rPr>
        <w:t xml:space="preserve">A similar provision is found in our electric regulations.  </w:t>
      </w:r>
      <w:r w:rsidR="0099392D">
        <w:rPr>
          <w:rFonts w:cstheme="minorHAnsi"/>
          <w:i/>
          <w:sz w:val="26"/>
          <w:szCs w:val="26"/>
        </w:rPr>
        <w:t>See</w:t>
      </w:r>
      <w:r w:rsidR="0099392D">
        <w:rPr>
          <w:rFonts w:cstheme="minorHAnsi"/>
          <w:sz w:val="26"/>
          <w:szCs w:val="26"/>
        </w:rPr>
        <w:t xml:space="preserve"> 52 Pa. Code § 54.5(c)(</w:t>
      </w:r>
      <w:r w:rsidR="0008166D">
        <w:rPr>
          <w:rFonts w:cstheme="minorHAnsi"/>
          <w:sz w:val="26"/>
          <w:szCs w:val="26"/>
        </w:rPr>
        <w:t>14</w:t>
      </w:r>
      <w:r w:rsidR="0099392D">
        <w:rPr>
          <w:rFonts w:cstheme="minorHAnsi"/>
          <w:sz w:val="26"/>
          <w:szCs w:val="26"/>
        </w:rPr>
        <w:t>)(</w:t>
      </w:r>
      <w:proofErr w:type="spellStart"/>
      <w:r w:rsidR="0099392D">
        <w:rPr>
          <w:rFonts w:cstheme="minorHAnsi"/>
          <w:sz w:val="26"/>
          <w:szCs w:val="26"/>
        </w:rPr>
        <w:t>i</w:t>
      </w:r>
      <w:proofErr w:type="spellEnd"/>
      <w:r w:rsidR="0099392D">
        <w:rPr>
          <w:rFonts w:cstheme="minorHAnsi"/>
          <w:sz w:val="26"/>
          <w:szCs w:val="26"/>
        </w:rPr>
        <w:t>).  The intent behind this historical price requirement is to provide customers with helpful information</w:t>
      </w:r>
      <w:r w:rsidR="001C75AB">
        <w:rPr>
          <w:rFonts w:cstheme="minorHAnsi"/>
          <w:sz w:val="26"/>
          <w:szCs w:val="26"/>
        </w:rPr>
        <w:t xml:space="preserve"> regarding price variability from month</w:t>
      </w:r>
      <w:r w:rsidR="001C75AB">
        <w:rPr>
          <w:rFonts w:cstheme="minorHAnsi"/>
          <w:sz w:val="26"/>
          <w:szCs w:val="26"/>
        </w:rPr>
        <w:noBreakHyphen/>
        <w:t>to</w:t>
      </w:r>
      <w:r w:rsidR="001C75AB">
        <w:rPr>
          <w:rFonts w:cstheme="minorHAnsi"/>
          <w:sz w:val="26"/>
          <w:szCs w:val="26"/>
        </w:rPr>
        <w:noBreakHyphen/>
        <w:t>month, season</w:t>
      </w:r>
      <w:r w:rsidR="001C75AB">
        <w:rPr>
          <w:rFonts w:cstheme="minorHAnsi"/>
          <w:sz w:val="26"/>
          <w:szCs w:val="26"/>
        </w:rPr>
        <w:noBreakHyphen/>
        <w:t>to</w:t>
      </w:r>
      <w:r w:rsidR="001C75AB">
        <w:rPr>
          <w:rFonts w:cstheme="minorHAnsi"/>
          <w:sz w:val="26"/>
          <w:szCs w:val="26"/>
        </w:rPr>
        <w:noBreakHyphen/>
        <w:t>season and between suppliers</w:t>
      </w:r>
      <w:r w:rsidR="0099392D">
        <w:rPr>
          <w:rFonts w:cstheme="minorHAnsi"/>
          <w:sz w:val="26"/>
          <w:szCs w:val="26"/>
        </w:rPr>
        <w:t xml:space="preserve">.  </w:t>
      </w:r>
    </w:p>
    <w:p w:rsidR="0099392D" w:rsidRDefault="0099392D" w:rsidP="000B7CF4">
      <w:pPr>
        <w:pStyle w:val="NoSpacing"/>
        <w:spacing w:line="360" w:lineRule="auto"/>
        <w:rPr>
          <w:rFonts w:cstheme="minorHAnsi"/>
          <w:sz w:val="26"/>
          <w:szCs w:val="26"/>
        </w:rPr>
      </w:pPr>
    </w:p>
    <w:p w:rsidR="001F7FCA" w:rsidRPr="0099392D" w:rsidRDefault="0099392D" w:rsidP="000B7CF4">
      <w:pPr>
        <w:pStyle w:val="NoSpacing"/>
        <w:spacing w:line="360" w:lineRule="auto"/>
        <w:rPr>
          <w:rFonts w:cstheme="minorHAnsi"/>
          <w:sz w:val="26"/>
          <w:szCs w:val="26"/>
        </w:rPr>
      </w:pPr>
      <w:r>
        <w:rPr>
          <w:rFonts w:cstheme="minorHAnsi"/>
          <w:sz w:val="26"/>
          <w:szCs w:val="26"/>
        </w:rPr>
        <w:tab/>
        <w:t xml:space="preserve">RESA strongly opposes this requirement, contending that the historical data “is essentially meaningless,” especially in light of Section 62.75(c)(2)(vi), which  requires a statement that “historical pricing is not indicative of present or future pricing.”  RESA Comments at 7.  RESA instead offers a less stringent requirement wherein the NGS would disclose general historical trends, such as a range of percentages by which prices have changed over the past two years, upon request by a customer.  </w:t>
      </w:r>
      <w:r>
        <w:rPr>
          <w:rFonts w:cstheme="minorHAnsi"/>
          <w:i/>
          <w:sz w:val="26"/>
          <w:szCs w:val="26"/>
        </w:rPr>
        <w:t>Id.</w:t>
      </w:r>
      <w:r>
        <w:rPr>
          <w:rFonts w:cstheme="minorHAnsi"/>
          <w:sz w:val="26"/>
          <w:szCs w:val="26"/>
        </w:rPr>
        <w:t xml:space="preserve"> at </w:t>
      </w:r>
      <w:r w:rsidR="003C0995">
        <w:rPr>
          <w:rFonts w:cstheme="minorHAnsi"/>
          <w:sz w:val="26"/>
          <w:szCs w:val="26"/>
        </w:rPr>
        <w:t xml:space="preserve">8.  </w:t>
      </w:r>
      <w:r w:rsidR="003C0995">
        <w:rPr>
          <w:rFonts w:ascii="Times New Roman" w:hAnsi="Times New Roman"/>
          <w:sz w:val="26"/>
          <w:szCs w:val="26"/>
        </w:rPr>
        <w:t>The</w:t>
      </w:r>
      <w:r w:rsidR="003C0995" w:rsidRPr="004C75FF">
        <w:rPr>
          <w:rFonts w:ascii="Times New Roman" w:hAnsi="Times New Roman"/>
          <w:sz w:val="26"/>
          <w:szCs w:val="26"/>
        </w:rPr>
        <w:t xml:space="preserve"> </w:t>
      </w:r>
      <w:r w:rsidR="003C0995">
        <w:rPr>
          <w:rFonts w:ascii="Times New Roman" w:hAnsi="Times New Roman"/>
          <w:sz w:val="26"/>
          <w:szCs w:val="26"/>
        </w:rPr>
        <w:t xml:space="preserve">PA Marketers question the efficacy of this information </w:t>
      </w:r>
      <w:r w:rsidR="0019695A">
        <w:rPr>
          <w:rFonts w:ascii="Times New Roman" w:hAnsi="Times New Roman"/>
          <w:sz w:val="26"/>
          <w:szCs w:val="26"/>
        </w:rPr>
        <w:t>as</w:t>
      </w:r>
      <w:r w:rsidR="003C0995" w:rsidRPr="004C75FF">
        <w:rPr>
          <w:rFonts w:ascii="Times New Roman" w:hAnsi="Times New Roman"/>
          <w:sz w:val="26"/>
          <w:szCs w:val="26"/>
        </w:rPr>
        <w:t xml:space="preserve"> wholesale energy markets </w:t>
      </w:r>
      <w:r w:rsidR="0019695A">
        <w:rPr>
          <w:rFonts w:ascii="Times New Roman" w:hAnsi="Times New Roman"/>
          <w:sz w:val="26"/>
          <w:szCs w:val="26"/>
        </w:rPr>
        <w:t xml:space="preserve">are </w:t>
      </w:r>
      <w:r w:rsidR="003C0995">
        <w:rPr>
          <w:rFonts w:ascii="Times New Roman" w:hAnsi="Times New Roman"/>
          <w:sz w:val="26"/>
          <w:szCs w:val="26"/>
        </w:rPr>
        <w:t>subject to unpredictable price patterns and shifts (</w:t>
      </w:r>
      <w:r w:rsidR="003C0995" w:rsidRPr="00863711">
        <w:rPr>
          <w:rFonts w:ascii="Times New Roman" w:hAnsi="Times New Roman"/>
          <w:i/>
          <w:sz w:val="26"/>
          <w:szCs w:val="26"/>
        </w:rPr>
        <w:t xml:space="preserve">e.g., </w:t>
      </w:r>
      <w:r w:rsidR="003C0995">
        <w:rPr>
          <w:rFonts w:ascii="Times New Roman" w:eastAsia="Cambria" w:hAnsi="Times New Roman"/>
          <w:color w:val="000000"/>
          <w:spacing w:val="-1"/>
          <w:sz w:val="26"/>
          <w:szCs w:val="26"/>
        </w:rPr>
        <w:t xml:space="preserve">the </w:t>
      </w:r>
      <w:r w:rsidR="003C0995" w:rsidRPr="004C75FF">
        <w:rPr>
          <w:rFonts w:ascii="Times New Roman" w:eastAsia="Cambria" w:hAnsi="Times New Roman"/>
          <w:color w:val="000000"/>
          <w:spacing w:val="-1"/>
          <w:sz w:val="26"/>
          <w:szCs w:val="26"/>
        </w:rPr>
        <w:t>historic drop in natural gas prices due to hydraulic fracturing</w:t>
      </w:r>
      <w:r w:rsidR="003C0995">
        <w:rPr>
          <w:rFonts w:ascii="Times New Roman" w:eastAsia="Cambria" w:hAnsi="Times New Roman"/>
          <w:color w:val="000000"/>
          <w:spacing w:val="-1"/>
          <w:sz w:val="26"/>
          <w:szCs w:val="26"/>
        </w:rPr>
        <w:t>)</w:t>
      </w:r>
      <w:r w:rsidR="003C0995" w:rsidRPr="004C75FF">
        <w:rPr>
          <w:rFonts w:ascii="Times New Roman" w:eastAsia="Cambria" w:hAnsi="Times New Roman"/>
          <w:color w:val="000000"/>
          <w:spacing w:val="-1"/>
          <w:sz w:val="26"/>
          <w:szCs w:val="26"/>
        </w:rPr>
        <w:t>.   P</w:t>
      </w:r>
      <w:r w:rsidR="003C0995">
        <w:rPr>
          <w:rFonts w:ascii="Times New Roman" w:eastAsia="Cambria" w:hAnsi="Times New Roman"/>
          <w:color w:val="000000"/>
          <w:spacing w:val="-1"/>
          <w:sz w:val="26"/>
          <w:szCs w:val="26"/>
        </w:rPr>
        <w:t>A Marketers Comments at 4-5</w:t>
      </w:r>
      <w:r w:rsidR="003C0995" w:rsidRPr="004C75FF">
        <w:rPr>
          <w:rFonts w:ascii="Times New Roman" w:eastAsia="Cambria" w:hAnsi="Times New Roman"/>
          <w:color w:val="000000"/>
          <w:spacing w:val="-1"/>
          <w:sz w:val="26"/>
          <w:szCs w:val="26"/>
        </w:rPr>
        <w:t>.</w:t>
      </w:r>
      <w:r w:rsidR="003C0995">
        <w:rPr>
          <w:rFonts w:ascii="Times New Roman" w:eastAsia="Cambria" w:hAnsi="Times New Roman"/>
          <w:color w:val="000000"/>
          <w:spacing w:val="-1"/>
          <w:sz w:val="26"/>
          <w:szCs w:val="26"/>
        </w:rPr>
        <w:t xml:space="preserve">  </w:t>
      </w:r>
      <w:r w:rsidR="003C0995">
        <w:rPr>
          <w:rFonts w:cstheme="minorHAnsi"/>
          <w:sz w:val="26"/>
          <w:szCs w:val="26"/>
        </w:rPr>
        <w:t xml:space="preserve">The </w:t>
      </w:r>
      <w:r w:rsidR="0008166D">
        <w:rPr>
          <w:rFonts w:cstheme="minorHAnsi"/>
          <w:sz w:val="26"/>
          <w:szCs w:val="26"/>
        </w:rPr>
        <w:t>N</w:t>
      </w:r>
      <w:r w:rsidR="003C0995">
        <w:rPr>
          <w:rFonts w:cstheme="minorHAnsi"/>
          <w:sz w:val="26"/>
          <w:szCs w:val="26"/>
        </w:rPr>
        <w:t>GS community also points out that this requirement potentially places new NGSs</w:t>
      </w:r>
      <w:r w:rsidR="0019695A">
        <w:rPr>
          <w:rFonts w:cstheme="minorHAnsi"/>
          <w:sz w:val="26"/>
          <w:szCs w:val="26"/>
        </w:rPr>
        <w:t>,</w:t>
      </w:r>
      <w:r w:rsidR="003C0995">
        <w:rPr>
          <w:rFonts w:cstheme="minorHAnsi"/>
          <w:sz w:val="26"/>
          <w:szCs w:val="26"/>
        </w:rPr>
        <w:t xml:space="preserve"> who do not have 24 months</w:t>
      </w:r>
      <w:r w:rsidR="0019695A">
        <w:rPr>
          <w:rFonts w:cstheme="minorHAnsi"/>
          <w:sz w:val="26"/>
          <w:szCs w:val="26"/>
        </w:rPr>
        <w:t>’ worth</w:t>
      </w:r>
      <w:r w:rsidR="003C0995">
        <w:rPr>
          <w:rFonts w:cstheme="minorHAnsi"/>
          <w:sz w:val="26"/>
          <w:szCs w:val="26"/>
        </w:rPr>
        <w:t xml:space="preserve"> of historical data</w:t>
      </w:r>
      <w:r w:rsidR="0019695A">
        <w:rPr>
          <w:rFonts w:cstheme="minorHAnsi"/>
          <w:sz w:val="26"/>
          <w:szCs w:val="26"/>
        </w:rPr>
        <w:t>,</w:t>
      </w:r>
      <w:r w:rsidR="003C0995">
        <w:rPr>
          <w:rFonts w:cstheme="minorHAnsi"/>
          <w:sz w:val="26"/>
          <w:szCs w:val="26"/>
        </w:rPr>
        <w:t xml:space="preserve"> on uneven footing with incumbent NGSs.  RESA Comments at 9; WGL Comments at 4-5; PA Marketers Comments at 5.  </w:t>
      </w:r>
      <w:r>
        <w:rPr>
          <w:rFonts w:cstheme="minorHAnsi"/>
          <w:sz w:val="26"/>
          <w:szCs w:val="26"/>
        </w:rPr>
        <w:t xml:space="preserve">    </w:t>
      </w:r>
    </w:p>
    <w:p w:rsidR="001F7FCA" w:rsidRDefault="001F7FCA" w:rsidP="000B7CF4">
      <w:pPr>
        <w:pStyle w:val="NoSpacing"/>
        <w:spacing w:line="360" w:lineRule="auto"/>
        <w:rPr>
          <w:rFonts w:cstheme="minorHAnsi"/>
          <w:sz w:val="26"/>
          <w:szCs w:val="26"/>
        </w:rPr>
      </w:pPr>
    </w:p>
    <w:p w:rsidR="003C0995" w:rsidRDefault="0008166D" w:rsidP="000B7CF4">
      <w:pPr>
        <w:pStyle w:val="NoSpacing"/>
        <w:spacing w:line="360" w:lineRule="auto"/>
        <w:rPr>
          <w:rFonts w:cstheme="minorHAnsi"/>
          <w:sz w:val="26"/>
          <w:szCs w:val="26"/>
        </w:rPr>
      </w:pPr>
      <w:r>
        <w:rPr>
          <w:rFonts w:cstheme="minorHAnsi"/>
          <w:sz w:val="26"/>
          <w:szCs w:val="26"/>
        </w:rPr>
        <w:lastRenderedPageBreak/>
        <w:tab/>
        <w:t xml:space="preserve">In contrast </w:t>
      </w:r>
      <w:r w:rsidR="0019695A">
        <w:rPr>
          <w:rFonts w:cstheme="minorHAnsi"/>
          <w:sz w:val="26"/>
          <w:szCs w:val="26"/>
        </w:rPr>
        <w:t xml:space="preserve">with </w:t>
      </w:r>
      <w:r>
        <w:rPr>
          <w:rFonts w:cstheme="minorHAnsi"/>
          <w:sz w:val="26"/>
          <w:szCs w:val="26"/>
        </w:rPr>
        <w:t>the N</w:t>
      </w:r>
      <w:r w:rsidR="003C0995">
        <w:rPr>
          <w:rFonts w:cstheme="minorHAnsi"/>
          <w:sz w:val="26"/>
          <w:szCs w:val="26"/>
        </w:rPr>
        <w:t xml:space="preserve">GS community, OCA supports this regulatory provision and seeks even more additional language to ensure adequate disclosure.  </w:t>
      </w:r>
      <w:r w:rsidR="003C0995">
        <w:rPr>
          <w:rFonts w:cstheme="minorHAnsi"/>
          <w:i/>
          <w:sz w:val="26"/>
          <w:szCs w:val="26"/>
        </w:rPr>
        <w:t>See</w:t>
      </w:r>
      <w:r w:rsidR="003C0995">
        <w:rPr>
          <w:rFonts w:cstheme="minorHAnsi"/>
          <w:sz w:val="26"/>
          <w:szCs w:val="26"/>
        </w:rPr>
        <w:t xml:space="preserve"> OCA Comments at 8</w:t>
      </w:r>
      <w:r w:rsidR="00E064DA">
        <w:rPr>
          <w:rFonts w:cstheme="minorHAnsi"/>
          <w:sz w:val="26"/>
          <w:szCs w:val="26"/>
        </w:rPr>
        <w:t xml:space="preserve"> (seeking to require the previous 60 months of historical price information)</w:t>
      </w:r>
      <w:r w:rsidR="003C0995">
        <w:rPr>
          <w:rFonts w:cstheme="minorHAnsi"/>
          <w:sz w:val="26"/>
          <w:szCs w:val="26"/>
        </w:rPr>
        <w:t xml:space="preserve">.  </w:t>
      </w:r>
    </w:p>
    <w:p w:rsidR="003C0995" w:rsidRDefault="003C0995" w:rsidP="000B7CF4">
      <w:pPr>
        <w:pStyle w:val="NoSpacing"/>
        <w:spacing w:line="360" w:lineRule="auto"/>
        <w:rPr>
          <w:rFonts w:cstheme="minorHAnsi"/>
          <w:sz w:val="26"/>
          <w:szCs w:val="26"/>
        </w:rPr>
      </w:pPr>
    </w:p>
    <w:p w:rsidR="00555CCB" w:rsidRDefault="00E064DA" w:rsidP="002107A5">
      <w:pPr>
        <w:pStyle w:val="NoSpacing"/>
        <w:spacing w:line="360" w:lineRule="auto"/>
        <w:rPr>
          <w:rFonts w:cstheme="minorHAnsi"/>
          <w:sz w:val="26"/>
          <w:szCs w:val="26"/>
        </w:rPr>
      </w:pPr>
      <w:r>
        <w:rPr>
          <w:rFonts w:cstheme="minorHAnsi"/>
          <w:sz w:val="26"/>
          <w:szCs w:val="26"/>
        </w:rPr>
        <w:tab/>
      </w:r>
      <w:r w:rsidR="00AC0801">
        <w:rPr>
          <w:rFonts w:cstheme="minorHAnsi"/>
          <w:sz w:val="26"/>
          <w:szCs w:val="26"/>
        </w:rPr>
        <w:t>T</w:t>
      </w:r>
      <w:r>
        <w:rPr>
          <w:rFonts w:cstheme="minorHAnsi"/>
          <w:sz w:val="26"/>
          <w:szCs w:val="26"/>
        </w:rPr>
        <w:t xml:space="preserve">he Natural Gas Choice and Competition Act, 66 Pa. C.S. </w:t>
      </w:r>
      <w:r w:rsidR="0008166D">
        <w:rPr>
          <w:rFonts w:cstheme="minorHAnsi"/>
          <w:sz w:val="26"/>
          <w:szCs w:val="26"/>
        </w:rPr>
        <w:t>§</w:t>
      </w:r>
      <w:r w:rsidR="00977F20">
        <w:rPr>
          <w:rFonts w:cstheme="minorHAnsi"/>
          <w:sz w:val="26"/>
          <w:szCs w:val="26"/>
        </w:rPr>
        <w:t>§ 2201 to 2212</w:t>
      </w:r>
      <w:r>
        <w:rPr>
          <w:rFonts w:cstheme="minorHAnsi"/>
          <w:sz w:val="26"/>
          <w:szCs w:val="26"/>
        </w:rPr>
        <w:t xml:space="preserve">, </w:t>
      </w:r>
      <w:r w:rsidR="00AC0801">
        <w:rPr>
          <w:rFonts w:cstheme="minorHAnsi"/>
          <w:sz w:val="26"/>
          <w:szCs w:val="26"/>
        </w:rPr>
        <w:t xml:space="preserve">charged </w:t>
      </w:r>
      <w:r>
        <w:rPr>
          <w:rFonts w:cstheme="minorHAnsi"/>
          <w:sz w:val="26"/>
          <w:szCs w:val="26"/>
        </w:rPr>
        <w:t xml:space="preserve">the Commission </w:t>
      </w:r>
      <w:r w:rsidR="00AC0801">
        <w:rPr>
          <w:rFonts w:cstheme="minorHAnsi"/>
          <w:sz w:val="26"/>
          <w:szCs w:val="26"/>
        </w:rPr>
        <w:t>with</w:t>
      </w:r>
      <w:r>
        <w:rPr>
          <w:rFonts w:cstheme="minorHAnsi"/>
          <w:sz w:val="26"/>
          <w:szCs w:val="26"/>
        </w:rPr>
        <w:t xml:space="preserve"> oversee</w:t>
      </w:r>
      <w:r w:rsidR="00AC0801">
        <w:rPr>
          <w:rFonts w:cstheme="minorHAnsi"/>
          <w:sz w:val="26"/>
          <w:szCs w:val="26"/>
        </w:rPr>
        <w:t>ing</w:t>
      </w:r>
      <w:r>
        <w:rPr>
          <w:rFonts w:cstheme="minorHAnsi"/>
          <w:sz w:val="26"/>
          <w:szCs w:val="26"/>
        </w:rPr>
        <w:t xml:space="preserve"> restructuring in the natural gas industry and promot</w:t>
      </w:r>
      <w:r w:rsidR="00AC0801">
        <w:rPr>
          <w:rFonts w:cstheme="minorHAnsi"/>
          <w:sz w:val="26"/>
          <w:szCs w:val="26"/>
        </w:rPr>
        <w:t>ing</w:t>
      </w:r>
      <w:r>
        <w:rPr>
          <w:rFonts w:cstheme="minorHAnsi"/>
          <w:sz w:val="26"/>
          <w:szCs w:val="26"/>
        </w:rPr>
        <w:t xml:space="preserve"> the competitive retail gas supply market</w:t>
      </w:r>
      <w:r w:rsidR="00AC0801">
        <w:rPr>
          <w:rFonts w:cstheme="minorHAnsi"/>
          <w:sz w:val="26"/>
          <w:szCs w:val="26"/>
        </w:rPr>
        <w:t xml:space="preserve"> while still ensuring consumer protection</w:t>
      </w:r>
      <w:r>
        <w:rPr>
          <w:rFonts w:cstheme="minorHAnsi"/>
          <w:sz w:val="26"/>
          <w:szCs w:val="26"/>
        </w:rPr>
        <w:t xml:space="preserve">.  </w:t>
      </w:r>
      <w:r w:rsidR="00AC0801">
        <w:rPr>
          <w:rFonts w:cstheme="minorHAnsi"/>
          <w:i/>
          <w:sz w:val="26"/>
          <w:szCs w:val="26"/>
        </w:rPr>
        <w:t xml:space="preserve">See </w:t>
      </w:r>
      <w:r w:rsidR="00AC0801">
        <w:rPr>
          <w:rFonts w:cstheme="minorHAnsi"/>
          <w:sz w:val="26"/>
          <w:szCs w:val="26"/>
        </w:rPr>
        <w:t>66 Pa. C.S. § 2206 (</w:t>
      </w:r>
      <w:r w:rsidR="00977F20">
        <w:rPr>
          <w:rFonts w:cstheme="minorHAnsi"/>
          <w:sz w:val="26"/>
          <w:szCs w:val="26"/>
        </w:rPr>
        <w:t>relating to c</w:t>
      </w:r>
      <w:r w:rsidR="00AC0801">
        <w:rPr>
          <w:rFonts w:cstheme="minorHAnsi"/>
          <w:sz w:val="26"/>
          <w:szCs w:val="26"/>
        </w:rPr>
        <w:t xml:space="preserve">onsumer protections and customer service).  In the </w:t>
      </w:r>
      <w:r w:rsidR="00AC0801">
        <w:rPr>
          <w:rFonts w:cstheme="minorHAnsi"/>
          <w:i/>
          <w:sz w:val="26"/>
          <w:szCs w:val="26"/>
        </w:rPr>
        <w:t>Proposed Rulemaking Order</w:t>
      </w:r>
      <w:r w:rsidR="00AC0801">
        <w:rPr>
          <w:rFonts w:cstheme="minorHAnsi"/>
          <w:sz w:val="26"/>
          <w:szCs w:val="26"/>
        </w:rPr>
        <w:t xml:space="preserve">, we acknowledged that the 24-month price history requirement does not necessarily provide </w:t>
      </w:r>
      <w:r w:rsidR="00C25F09">
        <w:rPr>
          <w:rFonts w:cstheme="minorHAnsi"/>
          <w:sz w:val="26"/>
          <w:szCs w:val="26"/>
        </w:rPr>
        <w:t>demonstrative</w:t>
      </w:r>
      <w:r w:rsidR="00C25F09" w:rsidDel="001C75AB">
        <w:rPr>
          <w:rFonts w:cstheme="minorHAnsi"/>
          <w:sz w:val="26"/>
          <w:szCs w:val="26"/>
        </w:rPr>
        <w:t xml:space="preserve"> </w:t>
      </w:r>
      <w:r w:rsidR="00AC0801">
        <w:rPr>
          <w:rFonts w:cstheme="minorHAnsi"/>
          <w:sz w:val="26"/>
          <w:szCs w:val="26"/>
        </w:rPr>
        <w:t xml:space="preserve">information to consumers.  </w:t>
      </w:r>
      <w:r w:rsidR="00AC0801">
        <w:rPr>
          <w:rFonts w:cstheme="minorHAnsi"/>
          <w:i/>
          <w:sz w:val="26"/>
          <w:szCs w:val="26"/>
        </w:rPr>
        <w:t>Proposed Rulemaking Order</w:t>
      </w:r>
      <w:r w:rsidR="00AC0801">
        <w:rPr>
          <w:rFonts w:cstheme="minorHAnsi"/>
          <w:sz w:val="26"/>
          <w:szCs w:val="26"/>
        </w:rPr>
        <w:t xml:space="preserve">, Docket No. L-2015-2465942, at </w:t>
      </w:r>
      <w:r w:rsidR="00434C51">
        <w:rPr>
          <w:rFonts w:cstheme="minorHAnsi"/>
          <w:sz w:val="26"/>
          <w:szCs w:val="26"/>
        </w:rPr>
        <w:t xml:space="preserve">p. </w:t>
      </w:r>
      <w:r w:rsidR="00AC0801">
        <w:rPr>
          <w:rFonts w:cstheme="minorHAnsi"/>
          <w:sz w:val="26"/>
          <w:szCs w:val="26"/>
        </w:rPr>
        <w:t xml:space="preserve">13.  </w:t>
      </w:r>
      <w:r w:rsidR="00326651">
        <w:rPr>
          <w:rFonts w:cstheme="minorHAnsi"/>
          <w:sz w:val="26"/>
          <w:szCs w:val="26"/>
        </w:rPr>
        <w:t>However, w</w:t>
      </w:r>
      <w:r w:rsidR="00AC0801">
        <w:rPr>
          <w:rFonts w:cstheme="minorHAnsi"/>
          <w:sz w:val="26"/>
          <w:szCs w:val="26"/>
        </w:rPr>
        <w:t xml:space="preserve">e kept it as a proposal in an effort to educate consumers on the seasonal variability and magnitude of volatility of energy prices.  </w:t>
      </w:r>
      <w:r w:rsidR="008731E8">
        <w:rPr>
          <w:rFonts w:cstheme="minorHAnsi"/>
          <w:i/>
          <w:sz w:val="26"/>
          <w:szCs w:val="26"/>
        </w:rPr>
        <w:t xml:space="preserve">See id.; see also </w:t>
      </w:r>
      <w:r w:rsidR="008731E8">
        <w:rPr>
          <w:rFonts w:cstheme="minorHAnsi"/>
          <w:sz w:val="26"/>
          <w:szCs w:val="26"/>
        </w:rPr>
        <w:t>52 Pa. Code §</w:t>
      </w:r>
      <w:r w:rsidR="00C25F09">
        <w:rPr>
          <w:rFonts w:cstheme="minorHAnsi"/>
          <w:sz w:val="26"/>
          <w:szCs w:val="26"/>
        </w:rPr>
        <w:t> </w:t>
      </w:r>
      <w:r w:rsidR="008731E8">
        <w:rPr>
          <w:rFonts w:cstheme="minorHAnsi"/>
          <w:sz w:val="26"/>
          <w:szCs w:val="26"/>
        </w:rPr>
        <w:t>54.5(c)(14)(</w:t>
      </w:r>
      <w:proofErr w:type="spellStart"/>
      <w:r w:rsidR="008731E8">
        <w:rPr>
          <w:rFonts w:cstheme="minorHAnsi"/>
          <w:sz w:val="26"/>
          <w:szCs w:val="26"/>
        </w:rPr>
        <w:t>i</w:t>
      </w:r>
      <w:proofErr w:type="spellEnd"/>
      <w:r w:rsidR="008731E8">
        <w:rPr>
          <w:rFonts w:cstheme="minorHAnsi"/>
          <w:sz w:val="26"/>
          <w:szCs w:val="26"/>
        </w:rPr>
        <w:t>).</w:t>
      </w:r>
      <w:r w:rsidR="00555CCB">
        <w:rPr>
          <w:rFonts w:cstheme="minorHAnsi"/>
          <w:sz w:val="26"/>
          <w:szCs w:val="26"/>
        </w:rPr>
        <w:t xml:space="preserve">  We appreciate OCA’s concerns and proposals, but we do not believe that adding the additional language will necessarily assist the consumer in understanding more about a particular supplier contract or product offering.  Importantly, imposing more costs and burdens on suppliers </w:t>
      </w:r>
      <w:r w:rsidR="001467EC">
        <w:rPr>
          <w:rFonts w:cstheme="minorHAnsi"/>
          <w:sz w:val="26"/>
          <w:szCs w:val="26"/>
        </w:rPr>
        <w:t xml:space="preserve">may </w:t>
      </w:r>
      <w:r w:rsidR="00555CCB">
        <w:rPr>
          <w:rFonts w:cstheme="minorHAnsi"/>
          <w:sz w:val="26"/>
          <w:szCs w:val="26"/>
        </w:rPr>
        <w:t xml:space="preserve">curtail the ability of suppliers to offer lower, competitive retail prices, which are beneficial to consumers.  </w:t>
      </w:r>
      <w:r w:rsidR="00555CCB">
        <w:rPr>
          <w:rFonts w:cstheme="minorHAnsi"/>
          <w:i/>
          <w:sz w:val="26"/>
          <w:szCs w:val="26"/>
        </w:rPr>
        <w:t>See</w:t>
      </w:r>
      <w:r w:rsidR="00555CCB">
        <w:rPr>
          <w:rFonts w:cstheme="minorHAnsi"/>
          <w:sz w:val="26"/>
          <w:szCs w:val="26"/>
        </w:rPr>
        <w:t xml:space="preserve"> RESA Comments at 1</w:t>
      </w:r>
      <w:r w:rsidR="00C25F09">
        <w:rPr>
          <w:rFonts w:cstheme="minorHAnsi"/>
          <w:sz w:val="26"/>
          <w:szCs w:val="26"/>
        </w:rPr>
        <w:noBreakHyphen/>
      </w:r>
      <w:r w:rsidR="00555CCB">
        <w:rPr>
          <w:rFonts w:cstheme="minorHAnsi"/>
          <w:sz w:val="26"/>
          <w:szCs w:val="26"/>
        </w:rPr>
        <w:t>2; WGL Comments at 18; PA Marketers Comments at 3-5; National Marketers Comments at 1</w:t>
      </w:r>
      <w:r w:rsidR="00C5373B">
        <w:rPr>
          <w:rFonts w:cstheme="minorHAnsi"/>
          <w:sz w:val="26"/>
          <w:szCs w:val="26"/>
        </w:rPr>
        <w:t>.</w:t>
      </w:r>
      <w:r w:rsidR="00555CCB">
        <w:rPr>
          <w:rFonts w:cstheme="minorHAnsi"/>
          <w:sz w:val="26"/>
          <w:szCs w:val="26"/>
        </w:rPr>
        <w:t xml:space="preserve"> </w:t>
      </w:r>
      <w:r w:rsidR="00AC0801">
        <w:rPr>
          <w:rFonts w:cstheme="minorHAnsi"/>
          <w:sz w:val="26"/>
          <w:szCs w:val="26"/>
        </w:rPr>
        <w:t xml:space="preserve">  </w:t>
      </w:r>
    </w:p>
    <w:p w:rsidR="00555CCB" w:rsidRDefault="00555CCB" w:rsidP="002107A5">
      <w:pPr>
        <w:pStyle w:val="NoSpacing"/>
        <w:spacing w:line="360" w:lineRule="auto"/>
        <w:rPr>
          <w:rFonts w:cstheme="minorHAnsi"/>
          <w:sz w:val="26"/>
          <w:szCs w:val="26"/>
        </w:rPr>
      </w:pPr>
    </w:p>
    <w:p w:rsidR="00D34BF1" w:rsidRDefault="00CA1E06" w:rsidP="00555CCB">
      <w:pPr>
        <w:pStyle w:val="NoSpacing"/>
        <w:spacing w:line="360" w:lineRule="auto"/>
        <w:ind w:firstLine="720"/>
        <w:rPr>
          <w:rFonts w:cstheme="minorHAnsi"/>
          <w:sz w:val="26"/>
          <w:szCs w:val="26"/>
        </w:rPr>
      </w:pPr>
      <w:r w:rsidRPr="001467EC">
        <w:rPr>
          <w:rFonts w:cstheme="minorHAnsi"/>
          <w:sz w:val="26"/>
          <w:szCs w:val="26"/>
        </w:rPr>
        <w:t xml:space="preserve">Therefore, in balancing the comments of OCA and the supplier community, we will retain the historical price requirement as proposed and not enhance or reduce the requirement.  </w:t>
      </w:r>
      <w:r w:rsidRPr="001467EC">
        <w:rPr>
          <w:rFonts w:cstheme="minorHAnsi"/>
          <w:i/>
          <w:sz w:val="26"/>
          <w:szCs w:val="26"/>
        </w:rPr>
        <w:t xml:space="preserve">See </w:t>
      </w:r>
      <w:r w:rsidRPr="001467EC">
        <w:rPr>
          <w:rFonts w:cstheme="minorHAnsi"/>
          <w:sz w:val="26"/>
          <w:szCs w:val="26"/>
        </w:rPr>
        <w:t>Annex A, Section 62.74(c)(2)(v).  This requirement</w:t>
      </w:r>
      <w:r w:rsidR="00AC0801" w:rsidRPr="001467EC">
        <w:rPr>
          <w:rFonts w:cstheme="minorHAnsi"/>
          <w:sz w:val="26"/>
          <w:szCs w:val="26"/>
        </w:rPr>
        <w:t xml:space="preserve"> ensure</w:t>
      </w:r>
      <w:r w:rsidRPr="001467EC">
        <w:rPr>
          <w:rFonts w:cstheme="minorHAnsi"/>
          <w:sz w:val="26"/>
          <w:szCs w:val="26"/>
        </w:rPr>
        <w:t>s</w:t>
      </w:r>
      <w:r w:rsidR="00AC0801" w:rsidRPr="001467EC">
        <w:rPr>
          <w:rFonts w:cstheme="minorHAnsi"/>
          <w:sz w:val="26"/>
          <w:szCs w:val="26"/>
        </w:rPr>
        <w:t xml:space="preserve"> that a consumer </w:t>
      </w:r>
      <w:r w:rsidR="00F47720" w:rsidRPr="001467EC">
        <w:rPr>
          <w:rFonts w:cstheme="minorHAnsi"/>
          <w:sz w:val="26"/>
          <w:szCs w:val="26"/>
        </w:rPr>
        <w:t>is empowered and has access to historical price information from a particular NGS</w:t>
      </w:r>
      <w:r w:rsidRPr="001467EC">
        <w:rPr>
          <w:rFonts w:cstheme="minorHAnsi"/>
          <w:sz w:val="26"/>
          <w:szCs w:val="26"/>
        </w:rPr>
        <w:t xml:space="preserve"> and the means to learn about possible historical price trends</w:t>
      </w:r>
      <w:r w:rsidR="00BF583F">
        <w:rPr>
          <w:rFonts w:cstheme="minorHAnsi"/>
          <w:sz w:val="26"/>
          <w:szCs w:val="26"/>
        </w:rPr>
        <w:t xml:space="preserve">, relative price levels, </w:t>
      </w:r>
      <w:r w:rsidRPr="001467EC">
        <w:rPr>
          <w:rFonts w:cstheme="minorHAnsi"/>
          <w:sz w:val="26"/>
          <w:szCs w:val="26"/>
        </w:rPr>
        <w:t xml:space="preserve"> and </w:t>
      </w:r>
      <w:r w:rsidR="00BF583F">
        <w:rPr>
          <w:rFonts w:cstheme="minorHAnsi"/>
          <w:sz w:val="26"/>
          <w:szCs w:val="26"/>
        </w:rPr>
        <w:t xml:space="preserve">the degree of </w:t>
      </w:r>
      <w:r w:rsidRPr="001467EC">
        <w:rPr>
          <w:rFonts w:cstheme="minorHAnsi"/>
          <w:sz w:val="26"/>
          <w:szCs w:val="26"/>
        </w:rPr>
        <w:t xml:space="preserve">any volatility in the gas supply market.  Additionally, Section 62.75(c)(2)(vi) provides clear knowledge to consumers about variable prices by requiring </w:t>
      </w:r>
      <w:r w:rsidRPr="001467EC">
        <w:rPr>
          <w:rFonts w:cstheme="minorHAnsi"/>
          <w:sz w:val="26"/>
          <w:szCs w:val="26"/>
        </w:rPr>
        <w:lastRenderedPageBreak/>
        <w:t>in the disclosure statement the phrase “historical pricing is not indicative of present or future pricing.”</w:t>
      </w:r>
      <w:r>
        <w:rPr>
          <w:rFonts w:cstheme="minorHAnsi"/>
          <w:sz w:val="26"/>
          <w:szCs w:val="26"/>
        </w:rPr>
        <w:t xml:space="preserve">  </w:t>
      </w:r>
    </w:p>
    <w:p w:rsidR="00D34BF1" w:rsidRDefault="00D34BF1" w:rsidP="00555CCB">
      <w:pPr>
        <w:pStyle w:val="NoSpacing"/>
        <w:spacing w:line="360" w:lineRule="auto"/>
        <w:ind w:firstLine="720"/>
        <w:rPr>
          <w:rFonts w:cstheme="minorHAnsi"/>
          <w:sz w:val="26"/>
          <w:szCs w:val="26"/>
        </w:rPr>
      </w:pPr>
    </w:p>
    <w:p w:rsidR="00555CCB" w:rsidRDefault="00D34BF1" w:rsidP="00BE23D8">
      <w:pPr>
        <w:pStyle w:val="NoSpacing"/>
        <w:spacing w:line="360" w:lineRule="auto"/>
        <w:ind w:firstLine="720"/>
        <w:rPr>
          <w:rFonts w:cstheme="minorHAnsi"/>
          <w:sz w:val="26"/>
          <w:szCs w:val="26"/>
        </w:rPr>
      </w:pPr>
      <w:r>
        <w:rPr>
          <w:rFonts w:cstheme="minorHAnsi"/>
          <w:sz w:val="26"/>
          <w:szCs w:val="26"/>
        </w:rPr>
        <w:t>We are persuaded by the supplier community’s comments that this requirement potentially places new NGSs (who do not have 24 months of historical data) on uneven footing with incumbent NGSs</w:t>
      </w:r>
      <w:r w:rsidR="00264B0C">
        <w:rPr>
          <w:rFonts w:cstheme="minorHAnsi"/>
          <w:sz w:val="26"/>
          <w:szCs w:val="26"/>
        </w:rPr>
        <w:t>.</w:t>
      </w:r>
      <w:r>
        <w:rPr>
          <w:rFonts w:cstheme="minorHAnsi"/>
          <w:sz w:val="26"/>
          <w:szCs w:val="26"/>
        </w:rPr>
        <w:t xml:space="preserve"> </w:t>
      </w:r>
      <w:r w:rsidR="00264B0C">
        <w:rPr>
          <w:rFonts w:cstheme="minorHAnsi"/>
          <w:sz w:val="26"/>
          <w:szCs w:val="26"/>
        </w:rPr>
        <w:t xml:space="preserve"> </w:t>
      </w:r>
      <w:r>
        <w:rPr>
          <w:rFonts w:cstheme="minorHAnsi"/>
          <w:sz w:val="26"/>
          <w:szCs w:val="26"/>
        </w:rPr>
        <w:t>RESA Comments at 9; WGL Comments at 4-5; PA Marketers Comments at 5.  Therefore, i</w:t>
      </w:r>
      <w:r w:rsidR="003B09DF">
        <w:rPr>
          <w:rFonts w:cstheme="minorHAnsi"/>
          <w:sz w:val="26"/>
          <w:szCs w:val="26"/>
        </w:rPr>
        <w:t>f no price history</w:t>
      </w:r>
      <w:r w:rsidR="00CA1E06">
        <w:rPr>
          <w:rFonts w:cstheme="minorHAnsi"/>
          <w:sz w:val="26"/>
          <w:szCs w:val="26"/>
        </w:rPr>
        <w:t xml:space="preserve"> or no representative price information</w:t>
      </w:r>
      <w:r w:rsidR="003B09DF">
        <w:rPr>
          <w:rFonts w:cstheme="minorHAnsi"/>
          <w:sz w:val="26"/>
          <w:szCs w:val="26"/>
        </w:rPr>
        <w:t xml:space="preserve"> is available for the product, then the NGS shall inform the customer </w:t>
      </w:r>
      <w:r>
        <w:rPr>
          <w:rFonts w:cstheme="minorHAnsi"/>
          <w:sz w:val="26"/>
          <w:szCs w:val="26"/>
        </w:rPr>
        <w:t>of this fact</w:t>
      </w:r>
      <w:r w:rsidR="003B09DF">
        <w:rPr>
          <w:rFonts w:cstheme="minorHAnsi"/>
          <w:sz w:val="26"/>
          <w:szCs w:val="26"/>
        </w:rPr>
        <w:t>.</w:t>
      </w:r>
      <w:r w:rsidR="008457E8">
        <w:rPr>
          <w:rFonts w:cstheme="minorHAnsi"/>
          <w:sz w:val="26"/>
          <w:szCs w:val="26"/>
        </w:rPr>
        <w:t xml:space="preserve">  </w:t>
      </w:r>
      <w:r>
        <w:rPr>
          <w:rFonts w:cstheme="minorHAnsi"/>
          <w:sz w:val="26"/>
          <w:szCs w:val="26"/>
        </w:rPr>
        <w:t>Accordingly</w:t>
      </w:r>
      <w:r w:rsidR="00147BFE">
        <w:rPr>
          <w:rFonts w:cstheme="minorHAnsi"/>
          <w:sz w:val="26"/>
          <w:szCs w:val="26"/>
        </w:rPr>
        <w:t>, the final-</w:t>
      </w:r>
      <w:r w:rsidR="00555CCB">
        <w:rPr>
          <w:rFonts w:cstheme="minorHAnsi"/>
          <w:sz w:val="26"/>
          <w:szCs w:val="26"/>
        </w:rPr>
        <w:t xml:space="preserve">form version of Section 62.75(c)(2)(v) </w:t>
      </w:r>
      <w:r w:rsidR="00147BFE">
        <w:rPr>
          <w:rFonts w:cstheme="minorHAnsi"/>
          <w:sz w:val="26"/>
          <w:szCs w:val="26"/>
        </w:rPr>
        <w:t>has been</w:t>
      </w:r>
      <w:r w:rsidR="00555CCB">
        <w:rPr>
          <w:rFonts w:cstheme="minorHAnsi"/>
          <w:sz w:val="26"/>
          <w:szCs w:val="26"/>
        </w:rPr>
        <w:t xml:space="preserve"> amended </w:t>
      </w:r>
      <w:r w:rsidR="00C25F09">
        <w:rPr>
          <w:rFonts w:cstheme="minorHAnsi"/>
          <w:sz w:val="26"/>
          <w:szCs w:val="26"/>
        </w:rPr>
        <w:t xml:space="preserve">by adding a sentence </w:t>
      </w:r>
      <w:r w:rsidR="00555CCB">
        <w:rPr>
          <w:rFonts w:cstheme="minorHAnsi"/>
          <w:sz w:val="26"/>
          <w:szCs w:val="26"/>
        </w:rPr>
        <w:t>as follows:</w:t>
      </w:r>
    </w:p>
    <w:p w:rsidR="00BE23D8" w:rsidRDefault="00BE23D8" w:rsidP="00BE23D8">
      <w:pPr>
        <w:pStyle w:val="NoSpacing"/>
        <w:ind w:firstLine="720"/>
        <w:rPr>
          <w:rFonts w:cstheme="minorHAnsi"/>
          <w:sz w:val="26"/>
          <w:szCs w:val="26"/>
        </w:rPr>
      </w:pPr>
    </w:p>
    <w:p w:rsidR="00FA1290" w:rsidRPr="00D51BBE" w:rsidRDefault="00147BFE" w:rsidP="00D51BBE">
      <w:pPr>
        <w:pStyle w:val="NoSpacing"/>
        <w:ind w:left="720" w:right="720"/>
        <w:rPr>
          <w:rFonts w:eastAsia="Times New Roman"/>
          <w:sz w:val="26"/>
          <w:szCs w:val="26"/>
        </w:rPr>
      </w:pPr>
      <w:r>
        <w:rPr>
          <w:rFonts w:eastAsia="Times New Roman"/>
          <w:sz w:val="26"/>
          <w:szCs w:val="26"/>
        </w:rPr>
        <w:t>(v</w:t>
      </w:r>
      <w:r w:rsidR="00FA1290" w:rsidRPr="00D51BBE">
        <w:rPr>
          <w:rFonts w:eastAsia="Times New Roman"/>
          <w:sz w:val="26"/>
          <w:szCs w:val="26"/>
        </w:rPr>
        <w:t>) A telephone number and Internet address at which a customer may obtain</w:t>
      </w:r>
      <w:r w:rsidR="00CA1E06" w:rsidRPr="00D51BBE">
        <w:rPr>
          <w:rFonts w:eastAsia="Times New Roman"/>
          <w:sz w:val="26"/>
          <w:szCs w:val="26"/>
        </w:rPr>
        <w:t xml:space="preserve"> </w:t>
      </w:r>
      <w:r w:rsidR="00FA1290" w:rsidRPr="00D51BBE">
        <w:rPr>
          <w:rFonts w:eastAsia="Times New Roman"/>
          <w:sz w:val="26"/>
          <w:szCs w:val="26"/>
        </w:rPr>
        <w:t xml:space="preserve">the previous 24 months’ average monthly billed prices for that customer’s rate class and NGDC service territory. </w:t>
      </w:r>
      <w:r w:rsidR="00CA1E06" w:rsidRPr="00D51BBE">
        <w:rPr>
          <w:rFonts w:eastAsia="Times New Roman"/>
          <w:sz w:val="26"/>
          <w:szCs w:val="26"/>
        </w:rPr>
        <w:t>If an</w:t>
      </w:r>
      <w:r w:rsidR="00FA1290" w:rsidRPr="00D51BBE">
        <w:rPr>
          <w:rFonts w:eastAsia="Times New Roman"/>
          <w:sz w:val="26"/>
          <w:szCs w:val="26"/>
        </w:rPr>
        <w:t xml:space="preserve"> NGS has not been providing service </w:t>
      </w:r>
      <w:r w:rsidR="00CA1E06" w:rsidRPr="00D51BBE">
        <w:rPr>
          <w:rFonts w:eastAsia="Times New Roman"/>
          <w:sz w:val="26"/>
          <w:szCs w:val="26"/>
        </w:rPr>
        <w:t xml:space="preserve">in a </w:t>
      </w:r>
      <w:r w:rsidR="00FA1290" w:rsidRPr="00D51BBE">
        <w:rPr>
          <w:rFonts w:eastAsia="Times New Roman"/>
          <w:sz w:val="26"/>
          <w:szCs w:val="26"/>
        </w:rPr>
        <w:t>rate class and NGDC service territory for 24 months, the NGS shall provide the average monthly billed prices for the months available to date.</w:t>
      </w:r>
      <w:r w:rsidR="003B09DF" w:rsidRPr="00D51BBE">
        <w:rPr>
          <w:rFonts w:eastAsia="Times New Roman"/>
          <w:sz w:val="26"/>
          <w:szCs w:val="26"/>
        </w:rPr>
        <w:t xml:space="preserve">  </w:t>
      </w:r>
      <w:r w:rsidR="00C25F09" w:rsidRPr="00D51BBE">
        <w:rPr>
          <w:b/>
          <w:sz w:val="26"/>
          <w:szCs w:val="26"/>
        </w:rPr>
        <w:t xml:space="preserve">If no price history or no representative price information is available for the product, the </w:t>
      </w:r>
      <w:r w:rsidR="00C25F09">
        <w:rPr>
          <w:b/>
          <w:sz w:val="26"/>
          <w:szCs w:val="26"/>
        </w:rPr>
        <w:t>NGS</w:t>
      </w:r>
      <w:r w:rsidR="00C25F09" w:rsidRPr="00D51BBE">
        <w:rPr>
          <w:b/>
          <w:sz w:val="26"/>
          <w:szCs w:val="26"/>
        </w:rPr>
        <w:t xml:space="preserve"> shall inform the customer of this fact</w:t>
      </w:r>
      <w:r w:rsidR="003B09DF" w:rsidRPr="00D51BBE">
        <w:rPr>
          <w:sz w:val="26"/>
          <w:szCs w:val="26"/>
        </w:rPr>
        <w:t>.</w:t>
      </w:r>
      <w:r w:rsidR="003B09DF" w:rsidRPr="00C25F09">
        <w:t xml:space="preserve">   </w:t>
      </w:r>
      <w:r w:rsidR="00FA1290" w:rsidRPr="00D51BBE">
        <w:rPr>
          <w:rFonts w:eastAsia="Times New Roman"/>
          <w:sz w:val="26"/>
          <w:szCs w:val="26"/>
        </w:rPr>
        <w:t xml:space="preserve"> </w:t>
      </w:r>
    </w:p>
    <w:p w:rsidR="00555CCB" w:rsidRDefault="00555CCB" w:rsidP="00555CCB">
      <w:pPr>
        <w:pStyle w:val="NoSpacing"/>
        <w:spacing w:line="360" w:lineRule="auto"/>
        <w:rPr>
          <w:rFonts w:cstheme="minorHAnsi"/>
          <w:sz w:val="26"/>
          <w:szCs w:val="26"/>
        </w:rPr>
      </w:pPr>
    </w:p>
    <w:p w:rsidR="00AC0801" w:rsidRDefault="00555CCB" w:rsidP="00555CCB">
      <w:pPr>
        <w:pStyle w:val="NoSpacing"/>
        <w:spacing w:line="360" w:lineRule="auto"/>
        <w:rPr>
          <w:rFonts w:cstheme="minorHAnsi"/>
          <w:sz w:val="26"/>
          <w:szCs w:val="26"/>
        </w:rPr>
      </w:pPr>
      <w:r>
        <w:rPr>
          <w:rFonts w:cstheme="minorHAnsi"/>
          <w:sz w:val="26"/>
          <w:szCs w:val="26"/>
        </w:rPr>
        <w:t>Annex A, Section 62.75(c)(2)(v).</w:t>
      </w:r>
      <w:r w:rsidR="00FA1290">
        <w:rPr>
          <w:rFonts w:cstheme="minorHAnsi"/>
          <w:sz w:val="26"/>
          <w:szCs w:val="26"/>
        </w:rPr>
        <w:t xml:space="preserve">  We believe the provision, as amende</w:t>
      </w:r>
      <w:r w:rsidR="00626A16">
        <w:rPr>
          <w:rFonts w:cstheme="minorHAnsi"/>
          <w:sz w:val="26"/>
          <w:szCs w:val="26"/>
        </w:rPr>
        <w:t>d, balances the interests of</w:t>
      </w:r>
      <w:r w:rsidR="00FA1290">
        <w:rPr>
          <w:rFonts w:cstheme="minorHAnsi"/>
          <w:sz w:val="26"/>
          <w:szCs w:val="26"/>
        </w:rPr>
        <w:t xml:space="preserve"> suppliers and consumers.  </w:t>
      </w:r>
      <w:r w:rsidR="00BF7D9D">
        <w:rPr>
          <w:rFonts w:cstheme="minorHAnsi"/>
          <w:sz w:val="26"/>
          <w:szCs w:val="26"/>
        </w:rPr>
        <w:t xml:space="preserve">  </w:t>
      </w:r>
      <w:r w:rsidR="00FA1290">
        <w:rPr>
          <w:rFonts w:cstheme="minorHAnsi"/>
          <w:sz w:val="26"/>
          <w:szCs w:val="26"/>
        </w:rPr>
        <w:t xml:space="preserve">  </w:t>
      </w:r>
      <w:r w:rsidR="00AC0801">
        <w:rPr>
          <w:rFonts w:cstheme="minorHAnsi"/>
          <w:sz w:val="26"/>
          <w:szCs w:val="26"/>
        </w:rPr>
        <w:t xml:space="preserve">      </w:t>
      </w:r>
      <w:r w:rsidR="00AC0801">
        <w:rPr>
          <w:rFonts w:cstheme="minorHAnsi"/>
          <w:i/>
          <w:sz w:val="26"/>
          <w:szCs w:val="26"/>
        </w:rPr>
        <w:t xml:space="preserve"> </w:t>
      </w:r>
      <w:r w:rsidR="00AC0801">
        <w:rPr>
          <w:rFonts w:cstheme="minorHAnsi"/>
          <w:sz w:val="26"/>
          <w:szCs w:val="26"/>
        </w:rPr>
        <w:t xml:space="preserve">    </w:t>
      </w:r>
    </w:p>
    <w:p w:rsidR="009318CC" w:rsidRDefault="009318CC" w:rsidP="000B7CF4">
      <w:pPr>
        <w:pStyle w:val="NoSpacing"/>
        <w:spacing w:line="360" w:lineRule="auto"/>
        <w:rPr>
          <w:rFonts w:cstheme="minorHAnsi"/>
          <w:sz w:val="26"/>
          <w:szCs w:val="26"/>
          <w:u w:val="single"/>
        </w:rPr>
      </w:pPr>
    </w:p>
    <w:p w:rsidR="001054B6" w:rsidRPr="000F13BA" w:rsidRDefault="001054B6" w:rsidP="001054B6">
      <w:pPr>
        <w:pStyle w:val="NoSpacing"/>
        <w:spacing w:line="360" w:lineRule="auto"/>
        <w:rPr>
          <w:rFonts w:cstheme="minorHAnsi"/>
          <w:sz w:val="26"/>
          <w:szCs w:val="26"/>
          <w:u w:val="single"/>
        </w:rPr>
      </w:pPr>
      <w:r w:rsidRPr="000A6B1A">
        <w:rPr>
          <w:rFonts w:ascii="Times New Roman" w:hAnsi="Times New Roman"/>
          <w:sz w:val="26"/>
          <w:szCs w:val="26"/>
          <w:u w:val="single"/>
        </w:rPr>
        <w:t xml:space="preserve">New Finalized Section </w:t>
      </w:r>
      <w:r w:rsidRPr="000A6B1A">
        <w:rPr>
          <w:rFonts w:cstheme="minorHAnsi"/>
          <w:sz w:val="26"/>
          <w:szCs w:val="26"/>
          <w:u w:val="single"/>
        </w:rPr>
        <w:t>62.</w:t>
      </w:r>
      <w:r w:rsidRPr="00BE23D8">
        <w:rPr>
          <w:rFonts w:cstheme="minorHAnsi"/>
          <w:sz w:val="26"/>
          <w:szCs w:val="26"/>
          <w:u w:val="single"/>
        </w:rPr>
        <w:t>7</w:t>
      </w:r>
      <w:r>
        <w:rPr>
          <w:rFonts w:cstheme="minorHAnsi"/>
          <w:sz w:val="26"/>
          <w:szCs w:val="26"/>
          <w:u w:val="single"/>
        </w:rPr>
        <w:t>5(c)(2)(vi</w:t>
      </w:r>
      <w:r w:rsidRPr="000A6B1A">
        <w:rPr>
          <w:rFonts w:cstheme="minorHAnsi"/>
          <w:sz w:val="26"/>
          <w:szCs w:val="26"/>
          <w:u w:val="single"/>
        </w:rPr>
        <w:t>)</w:t>
      </w:r>
      <w:r>
        <w:rPr>
          <w:rFonts w:cstheme="minorHAnsi"/>
          <w:sz w:val="26"/>
          <w:szCs w:val="26"/>
          <w:u w:val="single"/>
        </w:rPr>
        <w:t xml:space="preserve"> </w:t>
      </w:r>
    </w:p>
    <w:p w:rsidR="00BF7D9D" w:rsidRPr="008A4498" w:rsidRDefault="001054B6" w:rsidP="001054B6">
      <w:pPr>
        <w:pStyle w:val="NoSpacing"/>
        <w:spacing w:line="360" w:lineRule="auto"/>
        <w:ind w:firstLine="720"/>
        <w:rPr>
          <w:rFonts w:cstheme="minorHAnsi"/>
          <w:sz w:val="26"/>
          <w:szCs w:val="26"/>
        </w:rPr>
      </w:pPr>
      <w:r>
        <w:rPr>
          <w:rFonts w:cstheme="minorHAnsi"/>
          <w:sz w:val="26"/>
          <w:szCs w:val="26"/>
        </w:rPr>
        <w:t>Succeeding Section 62.75(c)(2)(vi) (which was previously Section 62.75(c)(2)(vi</w:t>
      </w:r>
      <w:r w:rsidR="00712FC9">
        <w:rPr>
          <w:rFonts w:cstheme="minorHAnsi"/>
          <w:sz w:val="26"/>
          <w:szCs w:val="26"/>
        </w:rPr>
        <w:t>i</w:t>
      </w:r>
      <w:r>
        <w:rPr>
          <w:rFonts w:cstheme="minorHAnsi"/>
          <w:sz w:val="26"/>
          <w:szCs w:val="26"/>
        </w:rPr>
        <w:t>))</w:t>
      </w:r>
      <w:r w:rsidR="00147BFE">
        <w:rPr>
          <w:rFonts w:cstheme="minorHAnsi"/>
          <w:sz w:val="26"/>
          <w:szCs w:val="26"/>
        </w:rPr>
        <w:t xml:space="preserve"> </w:t>
      </w:r>
      <w:r w:rsidR="00BF7D9D">
        <w:rPr>
          <w:rFonts w:cstheme="minorHAnsi"/>
          <w:sz w:val="26"/>
          <w:szCs w:val="26"/>
        </w:rPr>
        <w:t xml:space="preserve">proposes requiring the NGS to provide in “plain language, a statement that historical pricing is not indicative of present or future pricing.”  We strongly believe this is an important consumer protection that is not a burdensome requirement on suppliers, hence our recent addition of this provision in our electric disclosure statement regulations.  </w:t>
      </w:r>
      <w:r w:rsidR="00BF7D9D">
        <w:rPr>
          <w:rFonts w:cstheme="minorHAnsi"/>
          <w:i/>
          <w:sz w:val="26"/>
          <w:szCs w:val="26"/>
        </w:rPr>
        <w:t>See</w:t>
      </w:r>
      <w:r w:rsidR="00BF7D9D">
        <w:rPr>
          <w:rFonts w:cstheme="minorHAnsi"/>
          <w:sz w:val="26"/>
          <w:szCs w:val="26"/>
        </w:rPr>
        <w:t xml:space="preserve"> 52 Pa. Code § 54.5(c)(14)(ii).  </w:t>
      </w:r>
      <w:r w:rsidR="008A4498">
        <w:rPr>
          <w:rFonts w:cstheme="minorHAnsi"/>
          <w:sz w:val="26"/>
          <w:szCs w:val="26"/>
        </w:rPr>
        <w:t>OCA supports this provision</w:t>
      </w:r>
      <w:r w:rsidR="00EC11F6">
        <w:rPr>
          <w:rFonts w:cstheme="minorHAnsi"/>
          <w:sz w:val="26"/>
          <w:szCs w:val="26"/>
        </w:rPr>
        <w:t xml:space="preserve">, while </w:t>
      </w:r>
      <w:r w:rsidR="008A4498">
        <w:rPr>
          <w:rFonts w:cstheme="minorHAnsi"/>
          <w:sz w:val="26"/>
          <w:szCs w:val="26"/>
        </w:rPr>
        <w:t xml:space="preserve">other parties do not contest this provision.  </w:t>
      </w:r>
      <w:r w:rsidR="008A4498">
        <w:rPr>
          <w:rFonts w:cstheme="minorHAnsi"/>
          <w:i/>
          <w:sz w:val="26"/>
          <w:szCs w:val="26"/>
        </w:rPr>
        <w:t>See</w:t>
      </w:r>
      <w:r w:rsidR="008A4498">
        <w:rPr>
          <w:rFonts w:cstheme="minorHAnsi"/>
          <w:sz w:val="26"/>
          <w:szCs w:val="26"/>
        </w:rPr>
        <w:t xml:space="preserve"> OCA Comments at 9.  Therefore, we will retain this provision as proposed.  </w:t>
      </w:r>
      <w:r w:rsidR="008A4498">
        <w:rPr>
          <w:rFonts w:cstheme="minorHAnsi"/>
          <w:i/>
          <w:sz w:val="26"/>
          <w:szCs w:val="26"/>
        </w:rPr>
        <w:t>See</w:t>
      </w:r>
      <w:r w:rsidR="008A4498">
        <w:rPr>
          <w:rFonts w:cstheme="minorHAnsi"/>
          <w:sz w:val="26"/>
          <w:szCs w:val="26"/>
        </w:rPr>
        <w:t xml:space="preserve"> Annex A, Section </w:t>
      </w:r>
      <w:r w:rsidR="008A4498" w:rsidRPr="008A4498">
        <w:rPr>
          <w:rFonts w:cstheme="minorHAnsi"/>
          <w:sz w:val="26"/>
          <w:szCs w:val="26"/>
        </w:rPr>
        <w:t>62.75(c)(2)(vi)</w:t>
      </w:r>
      <w:r w:rsidR="008A4498">
        <w:rPr>
          <w:rFonts w:cstheme="minorHAnsi"/>
          <w:sz w:val="26"/>
          <w:szCs w:val="26"/>
        </w:rPr>
        <w:t xml:space="preserve">.   </w:t>
      </w:r>
    </w:p>
    <w:p w:rsidR="008A4498" w:rsidRDefault="008A4498" w:rsidP="008A4498">
      <w:pPr>
        <w:pStyle w:val="NoSpacing"/>
        <w:spacing w:line="360" w:lineRule="auto"/>
        <w:rPr>
          <w:rFonts w:cstheme="minorHAnsi"/>
          <w:sz w:val="26"/>
          <w:szCs w:val="26"/>
          <w:u w:val="single"/>
        </w:rPr>
      </w:pPr>
      <w:r>
        <w:rPr>
          <w:rFonts w:ascii="Times New Roman" w:hAnsi="Times New Roman"/>
          <w:sz w:val="26"/>
          <w:szCs w:val="26"/>
          <w:u w:val="single"/>
        </w:rPr>
        <w:lastRenderedPageBreak/>
        <w:t xml:space="preserve">Section </w:t>
      </w:r>
      <w:r>
        <w:rPr>
          <w:rFonts w:cstheme="minorHAnsi"/>
          <w:sz w:val="26"/>
          <w:szCs w:val="26"/>
          <w:u w:val="single"/>
        </w:rPr>
        <w:t>62.75(c)(7)</w:t>
      </w:r>
    </w:p>
    <w:p w:rsidR="008A4498" w:rsidRPr="008A4498" w:rsidRDefault="008A4498" w:rsidP="008A4498">
      <w:pPr>
        <w:pStyle w:val="NoSpacing"/>
        <w:spacing w:line="360" w:lineRule="auto"/>
        <w:rPr>
          <w:rFonts w:ascii="Times New Roman" w:hAnsi="Times New Roman"/>
          <w:sz w:val="26"/>
          <w:szCs w:val="26"/>
        </w:rPr>
      </w:pPr>
      <w:r w:rsidRPr="008A4498">
        <w:rPr>
          <w:rFonts w:cstheme="minorHAnsi"/>
          <w:sz w:val="26"/>
          <w:szCs w:val="26"/>
        </w:rPr>
        <w:tab/>
      </w:r>
      <w:r w:rsidR="00E70DB4">
        <w:rPr>
          <w:rFonts w:cstheme="minorHAnsi"/>
          <w:sz w:val="26"/>
          <w:szCs w:val="26"/>
        </w:rPr>
        <w:t>In Section 62.75(c)(7)</w:t>
      </w:r>
      <w:r>
        <w:rPr>
          <w:rFonts w:cstheme="minorHAnsi"/>
          <w:sz w:val="26"/>
          <w:szCs w:val="26"/>
        </w:rPr>
        <w:t xml:space="preserve">, we proposed removing the requirement that the NGS must cancel the contractual agreement if the consumer moves from one physical residence to another.  We made this proposal in order to facilitate </w:t>
      </w:r>
      <w:r>
        <w:rPr>
          <w:rFonts w:cstheme="minorHAnsi"/>
          <w:i/>
          <w:sz w:val="26"/>
          <w:szCs w:val="26"/>
        </w:rPr>
        <w:t>seamless moves</w:t>
      </w:r>
      <w:r w:rsidR="00916326">
        <w:rPr>
          <w:rFonts w:cstheme="minorHAnsi"/>
          <w:sz w:val="26"/>
          <w:szCs w:val="26"/>
        </w:rPr>
        <w:t xml:space="preserve">, wherein a customer has the opportunity to retain the same NGS when moving from one physical residence to another without first having to go on default supply service provided by the </w:t>
      </w:r>
      <w:r w:rsidR="00B27C44">
        <w:rPr>
          <w:rFonts w:cstheme="minorHAnsi"/>
          <w:sz w:val="26"/>
          <w:szCs w:val="26"/>
        </w:rPr>
        <w:t>NGDC</w:t>
      </w:r>
      <w:r w:rsidR="00916326">
        <w:rPr>
          <w:rFonts w:cstheme="minorHAnsi"/>
          <w:sz w:val="26"/>
          <w:szCs w:val="26"/>
        </w:rPr>
        <w:t xml:space="preserve">.  </w:t>
      </w:r>
      <w:r w:rsidR="00916326">
        <w:rPr>
          <w:rFonts w:cstheme="minorHAnsi"/>
          <w:i/>
          <w:sz w:val="26"/>
          <w:szCs w:val="26"/>
        </w:rPr>
        <w:t xml:space="preserve">See </w:t>
      </w:r>
      <w:r w:rsidR="00916326" w:rsidRPr="00916326">
        <w:rPr>
          <w:i/>
          <w:sz w:val="26"/>
          <w:szCs w:val="26"/>
        </w:rPr>
        <w:t>Investigation of Pennsylvania’s Retail Natural Gas Supply Market</w:t>
      </w:r>
      <w:r w:rsidR="00916326">
        <w:rPr>
          <w:sz w:val="26"/>
          <w:szCs w:val="26"/>
        </w:rPr>
        <w:t>, Docket No. I-2013-2381742, at p. 22 (Final Order entered Dec</w:t>
      </w:r>
      <w:r w:rsidR="00023FE8">
        <w:rPr>
          <w:sz w:val="26"/>
          <w:szCs w:val="26"/>
        </w:rPr>
        <w:t>ember</w:t>
      </w:r>
      <w:r w:rsidR="009318CC">
        <w:rPr>
          <w:sz w:val="26"/>
          <w:szCs w:val="26"/>
        </w:rPr>
        <w:t xml:space="preserve"> </w:t>
      </w:r>
      <w:r w:rsidR="00916326">
        <w:rPr>
          <w:sz w:val="26"/>
          <w:szCs w:val="26"/>
        </w:rPr>
        <w:t xml:space="preserve">18, 2014).  </w:t>
      </w:r>
      <w:r w:rsidR="00916326">
        <w:rPr>
          <w:rFonts w:cstheme="minorHAnsi"/>
          <w:sz w:val="26"/>
          <w:szCs w:val="26"/>
        </w:rPr>
        <w:t xml:space="preserve">  </w:t>
      </w:r>
      <w:r>
        <w:rPr>
          <w:rFonts w:cstheme="minorHAnsi"/>
          <w:sz w:val="26"/>
          <w:szCs w:val="26"/>
        </w:rPr>
        <w:t xml:space="preserve">  </w:t>
      </w:r>
    </w:p>
    <w:p w:rsidR="005F449D" w:rsidRDefault="005F449D" w:rsidP="00416D61">
      <w:pPr>
        <w:keepNext/>
        <w:keepLines/>
        <w:spacing w:line="360" w:lineRule="auto"/>
        <w:rPr>
          <w:rFonts w:cstheme="minorHAnsi"/>
          <w:sz w:val="26"/>
          <w:szCs w:val="26"/>
        </w:rPr>
      </w:pPr>
    </w:p>
    <w:p w:rsidR="00916326" w:rsidRDefault="00916326" w:rsidP="00916326">
      <w:pPr>
        <w:pStyle w:val="NoSpacing"/>
        <w:spacing w:line="360" w:lineRule="auto"/>
        <w:ind w:firstLine="720"/>
        <w:rPr>
          <w:rFonts w:ascii="Times New Roman" w:eastAsia="Times New Roman" w:hAnsi="Times New Roman"/>
          <w:color w:val="000000"/>
          <w:spacing w:val="2"/>
          <w:sz w:val="26"/>
          <w:szCs w:val="26"/>
        </w:rPr>
      </w:pPr>
      <w:r w:rsidRPr="00E70DB4">
        <w:rPr>
          <w:rFonts w:ascii="Times New Roman" w:eastAsia="Times New Roman" w:hAnsi="Times New Roman"/>
          <w:color w:val="000000"/>
          <w:spacing w:val="2"/>
          <w:sz w:val="26"/>
          <w:szCs w:val="26"/>
        </w:rPr>
        <w:t>RESA, WGL, and OCA support the C</w:t>
      </w:r>
      <w:r w:rsidR="00626A16" w:rsidRPr="00E70DB4">
        <w:rPr>
          <w:rFonts w:ascii="Times New Roman" w:eastAsia="Times New Roman" w:hAnsi="Times New Roman"/>
          <w:color w:val="000000"/>
          <w:spacing w:val="2"/>
          <w:sz w:val="26"/>
          <w:szCs w:val="26"/>
        </w:rPr>
        <w:t xml:space="preserve">ommission's proposal to amend Section </w:t>
      </w:r>
      <w:r w:rsidRPr="00E70DB4">
        <w:rPr>
          <w:rFonts w:ascii="Times New Roman" w:eastAsia="Times New Roman" w:hAnsi="Times New Roman"/>
          <w:color w:val="000000"/>
          <w:spacing w:val="2"/>
          <w:sz w:val="26"/>
          <w:szCs w:val="26"/>
        </w:rPr>
        <w:t xml:space="preserve">62.75(c)(7) to facilitate </w:t>
      </w:r>
      <w:r w:rsidRPr="00E70DB4">
        <w:rPr>
          <w:rFonts w:ascii="Times New Roman" w:eastAsia="Times New Roman" w:hAnsi="Times New Roman"/>
          <w:i/>
          <w:color w:val="000000"/>
          <w:spacing w:val="2"/>
          <w:sz w:val="26"/>
          <w:szCs w:val="26"/>
        </w:rPr>
        <w:t>seamless moves</w:t>
      </w:r>
      <w:r w:rsidRPr="00E70DB4">
        <w:rPr>
          <w:rFonts w:ascii="Times New Roman" w:eastAsia="Times New Roman" w:hAnsi="Times New Roman"/>
          <w:color w:val="000000"/>
          <w:spacing w:val="2"/>
          <w:sz w:val="26"/>
          <w:szCs w:val="26"/>
        </w:rPr>
        <w:t xml:space="preserve"> so that a customer can retain the same supply service instead of having to first </w:t>
      </w:r>
      <w:r w:rsidR="00E70DB4" w:rsidRPr="00E70DB4">
        <w:rPr>
          <w:rFonts w:ascii="Times New Roman" w:eastAsia="Times New Roman" w:hAnsi="Times New Roman"/>
          <w:color w:val="000000"/>
          <w:spacing w:val="2"/>
          <w:sz w:val="26"/>
          <w:szCs w:val="26"/>
        </w:rPr>
        <w:t>receive</w:t>
      </w:r>
      <w:r w:rsidRPr="00E70DB4">
        <w:rPr>
          <w:rFonts w:ascii="Times New Roman" w:eastAsia="Times New Roman" w:hAnsi="Times New Roman"/>
          <w:color w:val="000000"/>
          <w:spacing w:val="2"/>
          <w:sz w:val="26"/>
          <w:szCs w:val="26"/>
        </w:rPr>
        <w:t xml:space="preserve"> default service when moving to a new location.  RESA Comments at 20; WGL Comments at 15; OCA Comments at 10, OCA’s Annex A.  In light of that agreement and our belief that </w:t>
      </w:r>
      <w:r w:rsidRPr="00E70DB4">
        <w:rPr>
          <w:rFonts w:ascii="Times New Roman" w:eastAsia="Times New Roman" w:hAnsi="Times New Roman"/>
          <w:i/>
          <w:color w:val="000000"/>
          <w:spacing w:val="2"/>
          <w:sz w:val="26"/>
          <w:szCs w:val="26"/>
        </w:rPr>
        <w:t>seamless moves</w:t>
      </w:r>
      <w:r w:rsidRPr="00E70DB4">
        <w:rPr>
          <w:rFonts w:ascii="Times New Roman" w:eastAsia="Times New Roman" w:hAnsi="Times New Roman"/>
          <w:color w:val="000000"/>
          <w:spacing w:val="2"/>
          <w:sz w:val="26"/>
          <w:szCs w:val="26"/>
        </w:rPr>
        <w:t xml:space="preserve"> promote the retail competitive natural gas </w:t>
      </w:r>
      <w:r w:rsidR="0028634F">
        <w:rPr>
          <w:rFonts w:ascii="Times New Roman" w:eastAsia="Times New Roman" w:hAnsi="Times New Roman"/>
          <w:color w:val="000000"/>
          <w:spacing w:val="2"/>
          <w:sz w:val="26"/>
          <w:szCs w:val="26"/>
        </w:rPr>
        <w:t xml:space="preserve">supply </w:t>
      </w:r>
      <w:r w:rsidRPr="00E70DB4">
        <w:rPr>
          <w:rFonts w:ascii="Times New Roman" w:eastAsia="Times New Roman" w:hAnsi="Times New Roman"/>
          <w:color w:val="000000"/>
          <w:spacing w:val="2"/>
          <w:sz w:val="26"/>
          <w:szCs w:val="26"/>
        </w:rPr>
        <w:t xml:space="preserve">market, we will retain this provision as proposed.  </w:t>
      </w:r>
      <w:r w:rsidRPr="00E70DB4">
        <w:rPr>
          <w:rFonts w:cstheme="minorHAnsi"/>
          <w:i/>
          <w:sz w:val="26"/>
          <w:szCs w:val="26"/>
        </w:rPr>
        <w:t>See</w:t>
      </w:r>
      <w:r w:rsidRPr="00E70DB4">
        <w:rPr>
          <w:rFonts w:cstheme="minorHAnsi"/>
          <w:sz w:val="26"/>
          <w:szCs w:val="26"/>
        </w:rPr>
        <w:t xml:space="preserve"> Annex A, Section 62.75(c)(7).</w:t>
      </w:r>
      <w:r>
        <w:rPr>
          <w:rFonts w:cstheme="minorHAnsi"/>
          <w:sz w:val="26"/>
          <w:szCs w:val="26"/>
        </w:rPr>
        <w:t xml:space="preserve">   </w:t>
      </w:r>
      <w:r>
        <w:rPr>
          <w:rFonts w:ascii="Times New Roman" w:eastAsia="Times New Roman" w:hAnsi="Times New Roman"/>
          <w:color w:val="000000"/>
          <w:spacing w:val="2"/>
          <w:sz w:val="26"/>
          <w:szCs w:val="26"/>
        </w:rPr>
        <w:t xml:space="preserve">  </w:t>
      </w:r>
      <w:r w:rsidRPr="00374740">
        <w:rPr>
          <w:rFonts w:ascii="Times New Roman" w:eastAsia="Times New Roman" w:hAnsi="Times New Roman"/>
          <w:color w:val="000000"/>
          <w:spacing w:val="2"/>
          <w:sz w:val="26"/>
          <w:szCs w:val="26"/>
        </w:rPr>
        <w:t xml:space="preserve">  </w:t>
      </w:r>
    </w:p>
    <w:p w:rsidR="009318CC" w:rsidRDefault="009318CC" w:rsidP="00CD48E8">
      <w:pPr>
        <w:pStyle w:val="NoSpacing"/>
        <w:spacing w:line="360" w:lineRule="auto"/>
        <w:rPr>
          <w:rFonts w:ascii="Times New Roman" w:hAnsi="Times New Roman"/>
          <w:sz w:val="26"/>
          <w:szCs w:val="26"/>
          <w:u w:val="single"/>
        </w:rPr>
      </w:pPr>
    </w:p>
    <w:p w:rsidR="00CD48E8" w:rsidRPr="00E70DB4" w:rsidRDefault="00916326" w:rsidP="00CD48E8">
      <w:pPr>
        <w:pStyle w:val="NoSpacing"/>
        <w:spacing w:line="360" w:lineRule="auto"/>
        <w:rPr>
          <w:rFonts w:cstheme="minorHAnsi"/>
          <w:sz w:val="26"/>
          <w:szCs w:val="26"/>
          <w:u w:val="single"/>
        </w:rPr>
      </w:pPr>
      <w:r w:rsidRPr="00E70DB4">
        <w:rPr>
          <w:rFonts w:ascii="Times New Roman" w:hAnsi="Times New Roman"/>
          <w:sz w:val="26"/>
          <w:szCs w:val="26"/>
          <w:u w:val="single"/>
        </w:rPr>
        <w:t xml:space="preserve">Section </w:t>
      </w:r>
      <w:r w:rsidRPr="00E70DB4">
        <w:rPr>
          <w:rFonts w:cstheme="minorHAnsi"/>
          <w:sz w:val="26"/>
          <w:szCs w:val="26"/>
          <w:u w:val="single"/>
        </w:rPr>
        <w:t>62.</w:t>
      </w:r>
      <w:r w:rsidRPr="00BE23D8">
        <w:rPr>
          <w:rFonts w:cstheme="minorHAnsi"/>
          <w:sz w:val="26"/>
          <w:szCs w:val="26"/>
          <w:u w:val="single"/>
        </w:rPr>
        <w:t>7</w:t>
      </w:r>
      <w:r w:rsidRPr="00E70DB4">
        <w:rPr>
          <w:rFonts w:cstheme="minorHAnsi"/>
          <w:sz w:val="26"/>
          <w:szCs w:val="26"/>
          <w:u w:val="single"/>
        </w:rPr>
        <w:t>5(c)(</w:t>
      </w:r>
      <w:r w:rsidR="00CD48E8" w:rsidRPr="00E70DB4">
        <w:rPr>
          <w:rFonts w:cstheme="minorHAnsi"/>
          <w:sz w:val="26"/>
          <w:szCs w:val="26"/>
          <w:u w:val="single"/>
        </w:rPr>
        <w:t>8</w:t>
      </w:r>
      <w:r w:rsidRPr="00E70DB4">
        <w:rPr>
          <w:rFonts w:cstheme="minorHAnsi"/>
          <w:sz w:val="26"/>
          <w:szCs w:val="26"/>
          <w:u w:val="single"/>
        </w:rPr>
        <w:t>)</w:t>
      </w:r>
    </w:p>
    <w:p w:rsidR="00BF583F" w:rsidRDefault="00CD48E8" w:rsidP="00CD48E8">
      <w:pPr>
        <w:pStyle w:val="NoSpacing"/>
        <w:spacing w:line="360" w:lineRule="auto"/>
        <w:rPr>
          <w:rFonts w:cstheme="minorHAnsi"/>
          <w:sz w:val="26"/>
          <w:szCs w:val="26"/>
        </w:rPr>
      </w:pPr>
      <w:r>
        <w:rPr>
          <w:rFonts w:cstheme="minorHAnsi"/>
          <w:sz w:val="26"/>
          <w:szCs w:val="26"/>
        </w:rPr>
        <w:tab/>
      </w:r>
      <w:r w:rsidR="00E70DB4">
        <w:rPr>
          <w:rFonts w:cstheme="minorHAnsi"/>
          <w:sz w:val="26"/>
          <w:szCs w:val="26"/>
        </w:rPr>
        <w:t>In Section 62.75(c)(8)</w:t>
      </w:r>
      <w:r>
        <w:rPr>
          <w:rFonts w:cstheme="minorHAnsi"/>
          <w:sz w:val="26"/>
          <w:szCs w:val="26"/>
        </w:rPr>
        <w:t xml:space="preserve">, we proposed removing the sentence that allows for automatic renewal of contracts at the same terms and conditions so long as the new agreement is a month-to-month contract.  WGL and RESA agree with the Commission in that leaving this language in the regulations invites confusion and conflicting requirements and that the rule pertaining to contract expiration and notices in Section 62.81 is a better place to provide automatic renewal standards.  </w:t>
      </w:r>
      <w:r>
        <w:rPr>
          <w:rFonts w:cstheme="minorHAnsi"/>
          <w:i/>
          <w:sz w:val="26"/>
          <w:szCs w:val="26"/>
        </w:rPr>
        <w:t>See</w:t>
      </w:r>
      <w:r>
        <w:rPr>
          <w:rFonts w:cstheme="minorHAnsi"/>
          <w:sz w:val="26"/>
          <w:szCs w:val="26"/>
        </w:rPr>
        <w:t xml:space="preserve"> WGL Comments at 15-16; </w:t>
      </w:r>
      <w:r>
        <w:rPr>
          <w:rFonts w:cstheme="minorHAnsi"/>
          <w:i/>
          <w:sz w:val="26"/>
          <w:szCs w:val="26"/>
        </w:rPr>
        <w:t>see</w:t>
      </w:r>
      <w:r>
        <w:rPr>
          <w:rFonts w:cstheme="minorHAnsi"/>
          <w:sz w:val="26"/>
          <w:szCs w:val="26"/>
        </w:rPr>
        <w:t xml:space="preserve"> RESA Comments at 20.  </w:t>
      </w:r>
      <w:r w:rsidRPr="00410136">
        <w:rPr>
          <w:rFonts w:cstheme="minorHAnsi"/>
          <w:sz w:val="26"/>
          <w:szCs w:val="26"/>
        </w:rPr>
        <w:t xml:space="preserve">OCA asks the Commission to require that renewal provisions be provided for all contractual supplier agreements so that the consumer understands what occurs at the end of the agreement.  </w:t>
      </w:r>
      <w:r w:rsidRPr="00410136">
        <w:rPr>
          <w:rFonts w:cstheme="minorHAnsi"/>
          <w:i/>
          <w:sz w:val="26"/>
          <w:szCs w:val="26"/>
        </w:rPr>
        <w:t>See</w:t>
      </w:r>
      <w:r w:rsidRPr="00410136">
        <w:rPr>
          <w:rFonts w:cstheme="minorHAnsi"/>
          <w:sz w:val="26"/>
          <w:szCs w:val="26"/>
        </w:rPr>
        <w:t xml:space="preserve"> OCA Comments at 9.</w:t>
      </w:r>
      <w:r>
        <w:rPr>
          <w:rFonts w:cstheme="minorHAnsi"/>
          <w:sz w:val="26"/>
          <w:szCs w:val="26"/>
        </w:rPr>
        <w:t xml:space="preserve">  </w:t>
      </w:r>
    </w:p>
    <w:p w:rsidR="00BF583F" w:rsidRDefault="00BF583F" w:rsidP="00CD48E8">
      <w:pPr>
        <w:pStyle w:val="NoSpacing"/>
        <w:spacing w:line="360" w:lineRule="auto"/>
        <w:rPr>
          <w:rFonts w:cstheme="minorHAnsi"/>
          <w:sz w:val="26"/>
          <w:szCs w:val="26"/>
        </w:rPr>
      </w:pPr>
    </w:p>
    <w:p w:rsidR="0028634F" w:rsidRDefault="00BF583F" w:rsidP="00BF583F">
      <w:pPr>
        <w:pStyle w:val="NoSpacing"/>
        <w:spacing w:line="360" w:lineRule="auto"/>
        <w:ind w:firstLine="720"/>
        <w:rPr>
          <w:rFonts w:ascii="Times New Roman" w:eastAsia="Times New Roman" w:hAnsi="Times New Roman"/>
          <w:color w:val="000000"/>
          <w:spacing w:val="2"/>
          <w:sz w:val="26"/>
          <w:szCs w:val="26"/>
        </w:rPr>
      </w:pPr>
      <w:r>
        <w:rPr>
          <w:rFonts w:cstheme="minorHAnsi"/>
          <w:sz w:val="26"/>
          <w:szCs w:val="26"/>
        </w:rPr>
        <w:lastRenderedPageBreak/>
        <w:t>On review, w</w:t>
      </w:r>
      <w:r w:rsidR="00CD48E8">
        <w:rPr>
          <w:rFonts w:cstheme="minorHAnsi"/>
          <w:sz w:val="26"/>
          <w:szCs w:val="26"/>
        </w:rPr>
        <w:t xml:space="preserve">e agree with RESA and WGL that </w:t>
      </w:r>
      <w:r w:rsidR="00D31037">
        <w:rPr>
          <w:rFonts w:cstheme="minorHAnsi"/>
          <w:sz w:val="26"/>
          <w:szCs w:val="26"/>
        </w:rPr>
        <w:t xml:space="preserve">removing </w:t>
      </w:r>
      <w:r w:rsidR="00CD48E8">
        <w:rPr>
          <w:rFonts w:cstheme="minorHAnsi"/>
          <w:sz w:val="26"/>
          <w:szCs w:val="26"/>
        </w:rPr>
        <w:t xml:space="preserve">this provision avoids potential confusion, especially in light of our proposed standards in Section 62.81.  </w:t>
      </w:r>
      <w:r w:rsidR="00CD48E8" w:rsidRPr="00410136">
        <w:rPr>
          <w:rFonts w:cstheme="minorHAnsi"/>
          <w:sz w:val="26"/>
          <w:szCs w:val="26"/>
        </w:rPr>
        <w:t>We appreciate OCA’s concern, but do not believe renewal provisions need to be provided for all contracts, as certain contracts may not have renewal provisions</w:t>
      </w:r>
      <w:r w:rsidR="000276EF" w:rsidRPr="00410136">
        <w:rPr>
          <w:rFonts w:cstheme="minorHAnsi"/>
          <w:sz w:val="26"/>
          <w:szCs w:val="26"/>
        </w:rPr>
        <w:t xml:space="preserve"> and this requirement could improperly interfere with </w:t>
      </w:r>
      <w:r w:rsidR="00017F0F">
        <w:rPr>
          <w:rFonts w:cstheme="minorHAnsi"/>
          <w:sz w:val="26"/>
          <w:szCs w:val="26"/>
        </w:rPr>
        <w:t xml:space="preserve">such </w:t>
      </w:r>
      <w:r w:rsidR="000276EF" w:rsidRPr="00410136">
        <w:rPr>
          <w:rFonts w:cstheme="minorHAnsi"/>
          <w:sz w:val="26"/>
          <w:szCs w:val="26"/>
        </w:rPr>
        <w:t>contracts</w:t>
      </w:r>
      <w:r w:rsidR="00CD48E8" w:rsidRPr="00410136">
        <w:rPr>
          <w:rFonts w:cstheme="minorHAnsi"/>
          <w:sz w:val="26"/>
          <w:szCs w:val="26"/>
        </w:rPr>
        <w:t>.</w:t>
      </w:r>
      <w:r w:rsidR="00410136">
        <w:rPr>
          <w:rFonts w:cstheme="minorHAnsi"/>
          <w:sz w:val="26"/>
          <w:szCs w:val="26"/>
        </w:rPr>
        <w:t xml:space="preserve">  Furthermore, Section 62.75(g) regarding the end</w:t>
      </w:r>
      <w:r w:rsidR="00B27C44">
        <w:rPr>
          <w:rFonts w:cstheme="minorHAnsi"/>
          <w:sz w:val="26"/>
          <w:szCs w:val="26"/>
        </w:rPr>
        <w:noBreakHyphen/>
      </w:r>
      <w:r w:rsidR="00410136">
        <w:rPr>
          <w:rFonts w:cstheme="minorHAnsi"/>
          <w:sz w:val="26"/>
          <w:szCs w:val="26"/>
        </w:rPr>
        <w:t>of</w:t>
      </w:r>
      <w:r w:rsidR="00B27C44">
        <w:rPr>
          <w:rFonts w:cstheme="minorHAnsi"/>
          <w:sz w:val="26"/>
          <w:szCs w:val="26"/>
        </w:rPr>
        <w:noBreakHyphen/>
      </w:r>
      <w:r w:rsidR="00410136">
        <w:rPr>
          <w:rFonts w:cstheme="minorHAnsi"/>
          <w:sz w:val="26"/>
          <w:szCs w:val="26"/>
        </w:rPr>
        <w:t>contract disclosure statement notification also provides</w:t>
      </w:r>
      <w:r w:rsidR="00CD48E8">
        <w:rPr>
          <w:rFonts w:cstheme="minorHAnsi"/>
          <w:sz w:val="26"/>
          <w:szCs w:val="26"/>
        </w:rPr>
        <w:t xml:space="preserve"> </w:t>
      </w:r>
      <w:r w:rsidR="00410136">
        <w:rPr>
          <w:rFonts w:cstheme="minorHAnsi"/>
          <w:sz w:val="26"/>
          <w:szCs w:val="26"/>
        </w:rPr>
        <w:t>a comparable consumer protection.</w:t>
      </w:r>
      <w:r w:rsidR="00CD48E8">
        <w:rPr>
          <w:rFonts w:cstheme="minorHAnsi"/>
          <w:sz w:val="26"/>
          <w:szCs w:val="26"/>
        </w:rPr>
        <w:t xml:space="preserve"> </w:t>
      </w:r>
      <w:r w:rsidR="000276EF">
        <w:rPr>
          <w:rFonts w:cstheme="minorHAnsi"/>
          <w:sz w:val="26"/>
          <w:szCs w:val="26"/>
        </w:rPr>
        <w:t xml:space="preserve"> </w:t>
      </w:r>
      <w:r w:rsidR="00CD48E8">
        <w:rPr>
          <w:rFonts w:cstheme="minorHAnsi"/>
          <w:sz w:val="26"/>
          <w:szCs w:val="26"/>
        </w:rPr>
        <w:t xml:space="preserve">Therefore, </w:t>
      </w:r>
      <w:r w:rsidR="00CD48E8">
        <w:rPr>
          <w:rFonts w:ascii="Times New Roman" w:eastAsia="Times New Roman" w:hAnsi="Times New Roman"/>
          <w:color w:val="000000"/>
          <w:spacing w:val="2"/>
          <w:sz w:val="26"/>
          <w:szCs w:val="26"/>
        </w:rPr>
        <w:t xml:space="preserve">we will retain this provision as proposed.  </w:t>
      </w:r>
      <w:r w:rsidR="00CD48E8">
        <w:rPr>
          <w:rFonts w:cstheme="minorHAnsi"/>
          <w:i/>
          <w:sz w:val="26"/>
          <w:szCs w:val="26"/>
        </w:rPr>
        <w:t>See</w:t>
      </w:r>
      <w:r w:rsidR="00CD48E8">
        <w:rPr>
          <w:rFonts w:cstheme="minorHAnsi"/>
          <w:sz w:val="26"/>
          <w:szCs w:val="26"/>
        </w:rPr>
        <w:t xml:space="preserve"> Annex A, Section </w:t>
      </w:r>
      <w:r w:rsidR="00CD48E8" w:rsidRPr="008A4498">
        <w:rPr>
          <w:rFonts w:cstheme="minorHAnsi"/>
          <w:sz w:val="26"/>
          <w:szCs w:val="26"/>
        </w:rPr>
        <w:t>62.75(c)(</w:t>
      </w:r>
      <w:r w:rsidR="00CD48E8">
        <w:rPr>
          <w:rFonts w:cstheme="minorHAnsi"/>
          <w:sz w:val="26"/>
          <w:szCs w:val="26"/>
        </w:rPr>
        <w:t>8</w:t>
      </w:r>
      <w:r w:rsidR="00CD48E8" w:rsidRPr="008A4498">
        <w:rPr>
          <w:rFonts w:cstheme="minorHAnsi"/>
          <w:sz w:val="26"/>
          <w:szCs w:val="26"/>
        </w:rPr>
        <w:t>)</w:t>
      </w:r>
      <w:r w:rsidR="00CD48E8">
        <w:rPr>
          <w:rFonts w:cstheme="minorHAnsi"/>
          <w:sz w:val="26"/>
          <w:szCs w:val="26"/>
        </w:rPr>
        <w:t xml:space="preserve">.   </w:t>
      </w:r>
      <w:r w:rsidR="00CD48E8">
        <w:rPr>
          <w:rFonts w:ascii="Times New Roman" w:eastAsia="Times New Roman" w:hAnsi="Times New Roman"/>
          <w:color w:val="000000"/>
          <w:spacing w:val="2"/>
          <w:sz w:val="26"/>
          <w:szCs w:val="26"/>
        </w:rPr>
        <w:t xml:space="preserve">  </w:t>
      </w:r>
    </w:p>
    <w:p w:rsidR="00BF583F" w:rsidRDefault="00BF583F" w:rsidP="00BF583F">
      <w:pPr>
        <w:pStyle w:val="NoSpacing"/>
        <w:spacing w:line="360" w:lineRule="auto"/>
        <w:ind w:firstLine="720"/>
        <w:rPr>
          <w:rFonts w:ascii="Times New Roman" w:eastAsia="Times New Roman" w:hAnsi="Times New Roman"/>
          <w:color w:val="000000"/>
          <w:spacing w:val="2"/>
          <w:sz w:val="26"/>
          <w:szCs w:val="26"/>
        </w:rPr>
      </w:pPr>
    </w:p>
    <w:p w:rsidR="003B09DF" w:rsidRPr="000A6B1A" w:rsidRDefault="00CD48E8" w:rsidP="003B09DF">
      <w:pPr>
        <w:pStyle w:val="NoSpacing"/>
        <w:spacing w:line="360" w:lineRule="auto"/>
        <w:rPr>
          <w:rFonts w:cstheme="minorHAnsi"/>
          <w:sz w:val="26"/>
          <w:szCs w:val="26"/>
          <w:u w:val="single"/>
        </w:rPr>
      </w:pPr>
      <w:r w:rsidRPr="000A6B1A">
        <w:rPr>
          <w:rFonts w:ascii="Times New Roman" w:hAnsi="Times New Roman"/>
          <w:sz w:val="26"/>
          <w:szCs w:val="26"/>
          <w:u w:val="single"/>
        </w:rPr>
        <w:t xml:space="preserve">Deletion of </w:t>
      </w:r>
      <w:r w:rsidR="00F84450" w:rsidRPr="000A6B1A">
        <w:rPr>
          <w:rFonts w:ascii="Times New Roman" w:hAnsi="Times New Roman"/>
          <w:sz w:val="26"/>
          <w:szCs w:val="26"/>
          <w:u w:val="single"/>
        </w:rPr>
        <w:t xml:space="preserve">Existing </w:t>
      </w:r>
      <w:r w:rsidRPr="000A6B1A">
        <w:rPr>
          <w:rFonts w:ascii="Times New Roman" w:hAnsi="Times New Roman"/>
          <w:sz w:val="26"/>
          <w:szCs w:val="26"/>
          <w:u w:val="single"/>
        </w:rPr>
        <w:t xml:space="preserve">Section </w:t>
      </w:r>
      <w:r w:rsidRPr="000A6B1A">
        <w:rPr>
          <w:rFonts w:cstheme="minorHAnsi"/>
          <w:sz w:val="26"/>
          <w:szCs w:val="26"/>
          <w:u w:val="single"/>
        </w:rPr>
        <w:t>62.</w:t>
      </w:r>
      <w:r w:rsidRPr="00BE23D8">
        <w:rPr>
          <w:rFonts w:cstheme="minorHAnsi"/>
          <w:sz w:val="26"/>
          <w:szCs w:val="26"/>
          <w:u w:val="single"/>
        </w:rPr>
        <w:t>7</w:t>
      </w:r>
      <w:r w:rsidRPr="000A6B1A">
        <w:rPr>
          <w:rFonts w:cstheme="minorHAnsi"/>
          <w:sz w:val="26"/>
          <w:szCs w:val="26"/>
          <w:u w:val="single"/>
        </w:rPr>
        <w:t>5(c)(9)</w:t>
      </w:r>
    </w:p>
    <w:p w:rsidR="005F449D" w:rsidRDefault="000276EF" w:rsidP="003B09DF">
      <w:pPr>
        <w:pStyle w:val="NoSpacing"/>
        <w:spacing w:line="360" w:lineRule="auto"/>
        <w:rPr>
          <w:rFonts w:cstheme="minorHAnsi"/>
          <w:sz w:val="26"/>
          <w:szCs w:val="26"/>
        </w:rPr>
      </w:pPr>
      <w:r>
        <w:rPr>
          <w:rFonts w:cstheme="minorHAnsi"/>
          <w:sz w:val="26"/>
          <w:szCs w:val="26"/>
        </w:rPr>
        <w:tab/>
      </w:r>
      <w:r w:rsidR="000A6B1A">
        <w:rPr>
          <w:rFonts w:cstheme="minorHAnsi"/>
          <w:sz w:val="26"/>
          <w:szCs w:val="26"/>
        </w:rPr>
        <w:t xml:space="preserve">In our </w:t>
      </w:r>
      <w:r w:rsidR="000A6B1A">
        <w:rPr>
          <w:rFonts w:cstheme="minorHAnsi"/>
          <w:i/>
          <w:sz w:val="26"/>
          <w:szCs w:val="26"/>
        </w:rPr>
        <w:t>Proposed Rulemaking Order</w:t>
      </w:r>
      <w:r w:rsidR="000A6B1A">
        <w:rPr>
          <w:rFonts w:cstheme="minorHAnsi"/>
          <w:sz w:val="26"/>
          <w:szCs w:val="26"/>
        </w:rPr>
        <w:t>,</w:t>
      </w:r>
      <w:r>
        <w:rPr>
          <w:rFonts w:cstheme="minorHAnsi"/>
          <w:sz w:val="26"/>
          <w:szCs w:val="26"/>
        </w:rPr>
        <w:t xml:space="preserve"> we proposed deleting the current Sect</w:t>
      </w:r>
      <w:r w:rsidR="00626A16">
        <w:rPr>
          <w:rFonts w:cstheme="minorHAnsi"/>
          <w:sz w:val="26"/>
          <w:szCs w:val="26"/>
        </w:rPr>
        <w:t xml:space="preserve">ion 62.75(c)(9), believing </w:t>
      </w:r>
      <w:r w:rsidR="000A6B1A">
        <w:rPr>
          <w:rFonts w:cstheme="minorHAnsi"/>
          <w:sz w:val="26"/>
          <w:szCs w:val="26"/>
        </w:rPr>
        <w:t xml:space="preserve">that an </w:t>
      </w:r>
      <w:r>
        <w:rPr>
          <w:rFonts w:cstheme="minorHAnsi"/>
          <w:sz w:val="26"/>
          <w:szCs w:val="26"/>
        </w:rPr>
        <w:t xml:space="preserve">NGS </w:t>
      </w:r>
      <w:r w:rsidR="00626A16">
        <w:rPr>
          <w:rFonts w:cstheme="minorHAnsi"/>
          <w:sz w:val="26"/>
          <w:szCs w:val="26"/>
        </w:rPr>
        <w:t xml:space="preserve">need not </w:t>
      </w:r>
      <w:r>
        <w:rPr>
          <w:rFonts w:cstheme="minorHAnsi"/>
          <w:sz w:val="26"/>
          <w:szCs w:val="26"/>
        </w:rPr>
        <w:t xml:space="preserve">provide the name and telephone number of the supplier of last resort, which is most likely the NGDC in that customer’s service territory.  This requirement could confuse a customer as to the relationship between the NGS and the NGDC. </w:t>
      </w:r>
      <w:r w:rsidR="00B27C44">
        <w:rPr>
          <w:rFonts w:cstheme="minorHAnsi"/>
          <w:sz w:val="26"/>
          <w:szCs w:val="26"/>
        </w:rPr>
        <w:t xml:space="preserve"> </w:t>
      </w:r>
      <w:r w:rsidR="00E17FA4">
        <w:rPr>
          <w:rFonts w:cstheme="minorHAnsi"/>
          <w:sz w:val="26"/>
          <w:szCs w:val="26"/>
        </w:rPr>
        <w:t>RESA and WGL strongly support removing the NGDC or supplier of last resort reference.  RESA Comments a</w:t>
      </w:r>
      <w:r w:rsidR="00410136">
        <w:rPr>
          <w:rFonts w:cstheme="minorHAnsi"/>
          <w:sz w:val="26"/>
          <w:szCs w:val="26"/>
        </w:rPr>
        <w:t xml:space="preserve">t 20; WGL Comments at 16.  Other parties did not comment on this proposal.  </w:t>
      </w:r>
      <w:r w:rsidR="00E17FA4">
        <w:rPr>
          <w:rFonts w:cstheme="minorHAnsi"/>
          <w:sz w:val="26"/>
          <w:szCs w:val="26"/>
        </w:rPr>
        <w:t xml:space="preserve">Therefore, we will delete </w:t>
      </w:r>
      <w:r w:rsidR="002E060D">
        <w:rPr>
          <w:rFonts w:cstheme="minorHAnsi"/>
          <w:sz w:val="26"/>
          <w:szCs w:val="26"/>
        </w:rPr>
        <w:t>existing</w:t>
      </w:r>
      <w:r w:rsidR="00E17FA4">
        <w:rPr>
          <w:rFonts w:cstheme="minorHAnsi"/>
          <w:sz w:val="26"/>
          <w:szCs w:val="26"/>
        </w:rPr>
        <w:t xml:space="preserve"> Section 62.75(c)(9).  </w:t>
      </w:r>
      <w:r w:rsidR="00E17FA4">
        <w:rPr>
          <w:rFonts w:cstheme="minorHAnsi"/>
          <w:i/>
          <w:sz w:val="26"/>
          <w:szCs w:val="26"/>
        </w:rPr>
        <w:t>See</w:t>
      </w:r>
      <w:r w:rsidR="00E17FA4">
        <w:rPr>
          <w:rFonts w:cstheme="minorHAnsi"/>
          <w:sz w:val="26"/>
          <w:szCs w:val="26"/>
        </w:rPr>
        <w:t xml:space="preserve"> Annex A.</w:t>
      </w:r>
      <w:r>
        <w:rPr>
          <w:rFonts w:cstheme="minorHAnsi"/>
          <w:sz w:val="26"/>
          <w:szCs w:val="26"/>
        </w:rPr>
        <w:t xml:space="preserve">  </w:t>
      </w:r>
    </w:p>
    <w:p w:rsidR="009318CC" w:rsidRDefault="009318CC" w:rsidP="007D27E9">
      <w:pPr>
        <w:pStyle w:val="NoSpacing"/>
        <w:spacing w:line="360" w:lineRule="auto"/>
        <w:rPr>
          <w:rFonts w:ascii="Times New Roman" w:hAnsi="Times New Roman"/>
          <w:sz w:val="26"/>
          <w:szCs w:val="26"/>
          <w:u w:val="single"/>
        </w:rPr>
      </w:pPr>
    </w:p>
    <w:p w:rsidR="007D27E9" w:rsidRPr="000A6B1A" w:rsidRDefault="000276EF" w:rsidP="007D27E9">
      <w:pPr>
        <w:pStyle w:val="NoSpacing"/>
        <w:spacing w:line="360" w:lineRule="auto"/>
        <w:rPr>
          <w:rFonts w:cstheme="minorHAnsi"/>
          <w:sz w:val="26"/>
          <w:szCs w:val="26"/>
          <w:u w:val="single"/>
        </w:rPr>
      </w:pPr>
      <w:r w:rsidRPr="000A6B1A">
        <w:rPr>
          <w:rFonts w:ascii="Times New Roman" w:hAnsi="Times New Roman"/>
          <w:sz w:val="26"/>
          <w:szCs w:val="26"/>
          <w:u w:val="single"/>
        </w:rPr>
        <w:t xml:space="preserve">New Finalized Section </w:t>
      </w:r>
      <w:r w:rsidRPr="000A6B1A">
        <w:rPr>
          <w:rFonts w:cstheme="minorHAnsi"/>
          <w:sz w:val="26"/>
          <w:szCs w:val="26"/>
          <w:u w:val="single"/>
        </w:rPr>
        <w:t>62.</w:t>
      </w:r>
      <w:r w:rsidRPr="00BE23D8">
        <w:rPr>
          <w:rFonts w:cstheme="minorHAnsi"/>
          <w:sz w:val="26"/>
          <w:szCs w:val="26"/>
          <w:u w:val="single"/>
        </w:rPr>
        <w:t>7</w:t>
      </w:r>
      <w:r w:rsidRPr="000A6B1A">
        <w:rPr>
          <w:rFonts w:cstheme="minorHAnsi"/>
          <w:sz w:val="26"/>
          <w:szCs w:val="26"/>
          <w:u w:val="single"/>
        </w:rPr>
        <w:t>5(c)(9)</w:t>
      </w:r>
    </w:p>
    <w:p w:rsidR="00B83874" w:rsidRDefault="00E17FA4" w:rsidP="007D27E9">
      <w:pPr>
        <w:pStyle w:val="NoSpacing"/>
        <w:spacing w:line="360" w:lineRule="auto"/>
        <w:rPr>
          <w:rFonts w:cstheme="minorHAnsi"/>
          <w:sz w:val="26"/>
          <w:szCs w:val="26"/>
        </w:rPr>
      </w:pPr>
      <w:r>
        <w:rPr>
          <w:rFonts w:cstheme="minorHAnsi"/>
          <w:sz w:val="26"/>
          <w:szCs w:val="26"/>
        </w:rPr>
        <w:tab/>
      </w:r>
      <w:r w:rsidRPr="000A6B1A">
        <w:rPr>
          <w:rFonts w:cstheme="minorHAnsi"/>
          <w:sz w:val="26"/>
          <w:szCs w:val="26"/>
        </w:rPr>
        <w:t>As to the succeeding Section 62.75(c)(9)</w:t>
      </w:r>
      <w:r w:rsidR="00F5171D">
        <w:rPr>
          <w:rFonts w:cstheme="minorHAnsi"/>
          <w:sz w:val="26"/>
          <w:szCs w:val="26"/>
        </w:rPr>
        <w:t xml:space="preserve"> (which was previously Section 62.75(c)(10))</w:t>
      </w:r>
      <w:r w:rsidRPr="000A6B1A">
        <w:rPr>
          <w:rFonts w:cstheme="minorHAnsi"/>
          <w:sz w:val="26"/>
          <w:szCs w:val="26"/>
        </w:rPr>
        <w:t>, we proposed adding the requirement that the NGS explain the “limits on price variability” in type size larger than the type size for the terms of service.</w:t>
      </w:r>
      <w:r w:rsidR="00D473AA">
        <w:rPr>
          <w:rFonts w:cstheme="minorHAnsi"/>
          <w:sz w:val="26"/>
          <w:szCs w:val="26"/>
        </w:rPr>
        <w:t xml:space="preserve">  IRRC </w:t>
      </w:r>
      <w:r w:rsidR="00EB5B9F">
        <w:rPr>
          <w:rFonts w:cstheme="minorHAnsi"/>
          <w:sz w:val="26"/>
          <w:szCs w:val="26"/>
        </w:rPr>
        <w:t xml:space="preserve">asks the Commission to ensure that it was being specific in the requirements for the variable pricing statement, so that such requirements are clear for the regulated community.  IRRC Comments at 2.  </w:t>
      </w:r>
      <w:r w:rsidR="006F27DC" w:rsidRPr="000A6B1A">
        <w:rPr>
          <w:rFonts w:cstheme="minorHAnsi"/>
          <w:sz w:val="26"/>
          <w:szCs w:val="26"/>
        </w:rPr>
        <w:t>OCA recommends adding the phrase “</w:t>
      </w:r>
      <w:r w:rsidR="00B83874" w:rsidRPr="000A6B1A">
        <w:rPr>
          <w:rFonts w:cstheme="minorHAnsi"/>
          <w:sz w:val="26"/>
          <w:szCs w:val="26"/>
        </w:rPr>
        <w:t xml:space="preserve">but </w:t>
      </w:r>
      <w:r w:rsidR="006F27DC" w:rsidRPr="000A6B1A">
        <w:rPr>
          <w:rFonts w:cstheme="minorHAnsi"/>
          <w:sz w:val="26"/>
          <w:szCs w:val="26"/>
        </w:rPr>
        <w:t xml:space="preserve">no less than 12 point” font to the regulation.  OCA Comments at 10.  Other parties do not comment on this subsection.  </w:t>
      </w:r>
      <w:r w:rsidR="007D27E9" w:rsidRPr="000A6B1A">
        <w:rPr>
          <w:rFonts w:cstheme="minorHAnsi"/>
          <w:sz w:val="26"/>
          <w:szCs w:val="26"/>
        </w:rPr>
        <w:t xml:space="preserve">We appreciate OCA’s proposed addition, the intent of which is to ensure that the disclosure statement is in a readable font size.  We expect that this explanation of the </w:t>
      </w:r>
      <w:r w:rsidR="007D27E9" w:rsidRPr="000A6B1A">
        <w:rPr>
          <w:rFonts w:cstheme="minorHAnsi"/>
          <w:sz w:val="26"/>
          <w:szCs w:val="26"/>
        </w:rPr>
        <w:lastRenderedPageBreak/>
        <w:t xml:space="preserve">limits on price variability, penalties, fees or exceptions </w:t>
      </w:r>
      <w:r w:rsidR="00EB5B9F">
        <w:rPr>
          <w:rFonts w:cstheme="minorHAnsi"/>
          <w:sz w:val="26"/>
          <w:szCs w:val="26"/>
        </w:rPr>
        <w:t>will</w:t>
      </w:r>
      <w:r w:rsidR="007D27E9" w:rsidRPr="000A6B1A">
        <w:rPr>
          <w:rFonts w:cstheme="minorHAnsi"/>
          <w:sz w:val="26"/>
          <w:szCs w:val="26"/>
        </w:rPr>
        <w:t xml:space="preserve"> be clearly legible and stand out.  </w:t>
      </w:r>
      <w:r w:rsidR="00B83874">
        <w:rPr>
          <w:rFonts w:cstheme="minorHAnsi"/>
          <w:sz w:val="26"/>
          <w:szCs w:val="26"/>
        </w:rPr>
        <w:t xml:space="preserve">  </w:t>
      </w:r>
    </w:p>
    <w:p w:rsidR="00CE44CD" w:rsidRDefault="00CE44CD" w:rsidP="007D27E9">
      <w:pPr>
        <w:pStyle w:val="NoSpacing"/>
        <w:spacing w:line="360" w:lineRule="auto"/>
        <w:rPr>
          <w:rFonts w:cstheme="minorHAnsi"/>
          <w:sz w:val="26"/>
          <w:szCs w:val="26"/>
        </w:rPr>
      </w:pPr>
    </w:p>
    <w:p w:rsidR="00B83874" w:rsidRDefault="00EB5B9F" w:rsidP="00EB5B9F">
      <w:pPr>
        <w:pStyle w:val="NoSpacing"/>
        <w:spacing w:line="360" w:lineRule="auto"/>
        <w:ind w:firstLine="720"/>
        <w:rPr>
          <w:rFonts w:cstheme="minorHAnsi"/>
          <w:sz w:val="26"/>
          <w:szCs w:val="26"/>
        </w:rPr>
      </w:pPr>
      <w:r>
        <w:rPr>
          <w:rFonts w:cstheme="minorHAnsi"/>
          <w:sz w:val="26"/>
          <w:szCs w:val="26"/>
        </w:rPr>
        <w:t>While we acknowledge IRRC’s concerns, i</w:t>
      </w:r>
      <w:r w:rsidR="00B83874">
        <w:rPr>
          <w:rFonts w:cstheme="minorHAnsi"/>
          <w:sz w:val="26"/>
          <w:szCs w:val="26"/>
        </w:rPr>
        <w:t>n our parallel electric</w:t>
      </w:r>
      <w:r w:rsidR="00CE44CD">
        <w:rPr>
          <w:rFonts w:cstheme="minorHAnsi"/>
          <w:sz w:val="26"/>
          <w:szCs w:val="26"/>
        </w:rPr>
        <w:t xml:space="preserve"> disclosure</w:t>
      </w:r>
      <w:r w:rsidR="00B83874">
        <w:rPr>
          <w:rFonts w:cstheme="minorHAnsi"/>
          <w:sz w:val="26"/>
          <w:szCs w:val="26"/>
        </w:rPr>
        <w:t xml:space="preserve"> regulation at 52 Pa. Code </w:t>
      </w:r>
      <w:r w:rsidR="00CE44CD">
        <w:rPr>
          <w:rFonts w:cstheme="minorHAnsi"/>
          <w:sz w:val="26"/>
          <w:szCs w:val="26"/>
        </w:rPr>
        <w:t>§ 54.</w:t>
      </w:r>
      <w:r w:rsidR="00B83874">
        <w:rPr>
          <w:rFonts w:cstheme="minorHAnsi"/>
          <w:sz w:val="26"/>
          <w:szCs w:val="26"/>
        </w:rPr>
        <w:t>5(c)(10), we do not mandate a particular font size for this explanation</w:t>
      </w:r>
      <w:r w:rsidR="00CE44CD">
        <w:rPr>
          <w:rFonts w:cstheme="minorHAnsi"/>
          <w:sz w:val="26"/>
          <w:szCs w:val="26"/>
        </w:rPr>
        <w:t xml:space="preserve"> of limits on price variability</w:t>
      </w:r>
      <w:r w:rsidR="00B83874">
        <w:rPr>
          <w:rFonts w:cstheme="minorHAnsi"/>
          <w:sz w:val="26"/>
          <w:szCs w:val="26"/>
        </w:rPr>
        <w:t>.  In order to maintain uniformity</w:t>
      </w:r>
      <w:r w:rsidR="00CE44CD">
        <w:rPr>
          <w:rFonts w:cstheme="minorHAnsi"/>
          <w:sz w:val="26"/>
          <w:szCs w:val="26"/>
        </w:rPr>
        <w:t>, especially if consumers receive gas and electric from the same supplier,</w:t>
      </w:r>
      <w:r w:rsidR="00B83874">
        <w:rPr>
          <w:rFonts w:cstheme="minorHAnsi"/>
          <w:sz w:val="26"/>
          <w:szCs w:val="26"/>
        </w:rPr>
        <w:t xml:space="preserve"> we will not mandate a minimum 12</w:t>
      </w:r>
      <w:r w:rsidR="00221CCD">
        <w:rPr>
          <w:rFonts w:cstheme="minorHAnsi"/>
          <w:sz w:val="26"/>
          <w:szCs w:val="26"/>
        </w:rPr>
        <w:t>-</w:t>
      </w:r>
      <w:r w:rsidR="00B83874">
        <w:rPr>
          <w:rFonts w:cstheme="minorHAnsi"/>
          <w:sz w:val="26"/>
          <w:szCs w:val="26"/>
        </w:rPr>
        <w:t>point font size</w:t>
      </w:r>
      <w:r w:rsidR="00CE44CD">
        <w:rPr>
          <w:rFonts w:cstheme="minorHAnsi"/>
          <w:sz w:val="26"/>
          <w:szCs w:val="26"/>
        </w:rPr>
        <w:t xml:space="preserve"> in these regulations</w:t>
      </w:r>
      <w:r w:rsidR="00B83874">
        <w:rPr>
          <w:rFonts w:cstheme="minorHAnsi"/>
          <w:sz w:val="26"/>
          <w:szCs w:val="26"/>
        </w:rPr>
        <w:t xml:space="preserve">.  </w:t>
      </w:r>
      <w:r w:rsidR="00CE44CD">
        <w:rPr>
          <w:rFonts w:cstheme="minorHAnsi"/>
          <w:sz w:val="26"/>
          <w:szCs w:val="26"/>
        </w:rPr>
        <w:t xml:space="preserve">  </w:t>
      </w:r>
    </w:p>
    <w:p w:rsidR="005C3102" w:rsidRDefault="005C3102" w:rsidP="007D27E9">
      <w:pPr>
        <w:pStyle w:val="NoSpacing"/>
        <w:spacing w:line="360" w:lineRule="auto"/>
        <w:rPr>
          <w:rFonts w:cstheme="minorHAnsi"/>
          <w:sz w:val="26"/>
          <w:szCs w:val="26"/>
        </w:rPr>
      </w:pPr>
    </w:p>
    <w:p w:rsidR="00410136" w:rsidRDefault="00B83874" w:rsidP="00410136">
      <w:pPr>
        <w:pStyle w:val="NoSpacing"/>
        <w:spacing w:line="360" w:lineRule="auto"/>
        <w:rPr>
          <w:rFonts w:cstheme="minorHAnsi"/>
          <w:sz w:val="26"/>
          <w:szCs w:val="26"/>
          <w:u w:val="single"/>
        </w:rPr>
      </w:pPr>
      <w:r w:rsidRPr="00F84450">
        <w:rPr>
          <w:rFonts w:ascii="Times New Roman" w:hAnsi="Times New Roman"/>
          <w:sz w:val="26"/>
          <w:szCs w:val="26"/>
          <w:u w:val="single"/>
        </w:rPr>
        <w:t xml:space="preserve">New Finalized Section </w:t>
      </w:r>
      <w:r w:rsidRPr="00F84450">
        <w:rPr>
          <w:rFonts w:cstheme="minorHAnsi"/>
          <w:sz w:val="26"/>
          <w:szCs w:val="26"/>
          <w:u w:val="single"/>
        </w:rPr>
        <w:t>62.</w:t>
      </w:r>
      <w:r w:rsidRPr="00F84450">
        <w:rPr>
          <w:rFonts w:cstheme="minorHAnsi"/>
          <w:szCs w:val="26"/>
          <w:u w:val="single"/>
        </w:rPr>
        <w:t>7</w:t>
      </w:r>
      <w:r w:rsidRPr="00F84450">
        <w:rPr>
          <w:rFonts w:cstheme="minorHAnsi"/>
          <w:sz w:val="26"/>
          <w:szCs w:val="26"/>
          <w:u w:val="single"/>
        </w:rPr>
        <w:t>5(c)(10)</w:t>
      </w:r>
    </w:p>
    <w:p w:rsidR="00E17FA4" w:rsidRPr="00F84450" w:rsidRDefault="003D665C" w:rsidP="00410136">
      <w:pPr>
        <w:pStyle w:val="NoSpacing"/>
        <w:spacing w:line="360" w:lineRule="auto"/>
        <w:rPr>
          <w:rFonts w:cstheme="minorHAnsi"/>
          <w:sz w:val="26"/>
          <w:szCs w:val="26"/>
        </w:rPr>
      </w:pPr>
      <w:r>
        <w:rPr>
          <w:rFonts w:cstheme="minorHAnsi"/>
          <w:sz w:val="26"/>
          <w:szCs w:val="26"/>
        </w:rPr>
        <w:tab/>
      </w:r>
      <w:r w:rsidRPr="00221CCD">
        <w:rPr>
          <w:rFonts w:cstheme="minorHAnsi"/>
          <w:sz w:val="26"/>
          <w:szCs w:val="26"/>
        </w:rPr>
        <w:t>As to the new Section 62.75(c)(10)</w:t>
      </w:r>
      <w:r w:rsidR="00F5171D">
        <w:rPr>
          <w:rFonts w:cstheme="minorHAnsi"/>
          <w:sz w:val="26"/>
          <w:szCs w:val="26"/>
        </w:rPr>
        <w:t xml:space="preserve"> (which was previously Section 62.75(c)(11))</w:t>
      </w:r>
      <w:r w:rsidRPr="00221CCD">
        <w:rPr>
          <w:rFonts w:cstheme="minorHAnsi"/>
          <w:sz w:val="26"/>
          <w:szCs w:val="26"/>
        </w:rPr>
        <w:t xml:space="preserve">, IRRC recommended deletion of the sentence: “The NGS’s information shall appear first and </w:t>
      </w:r>
      <w:r w:rsidR="00BE7B2A">
        <w:rPr>
          <w:rFonts w:cstheme="minorHAnsi"/>
          <w:sz w:val="26"/>
          <w:szCs w:val="26"/>
        </w:rPr>
        <w:t xml:space="preserve">be </w:t>
      </w:r>
      <w:r w:rsidRPr="00221CCD">
        <w:rPr>
          <w:rFonts w:cstheme="minorHAnsi"/>
          <w:sz w:val="26"/>
          <w:szCs w:val="26"/>
        </w:rPr>
        <w:t xml:space="preserve">prominent.”  IRRC Comments at </w:t>
      </w:r>
      <w:r w:rsidR="00F84450" w:rsidRPr="00221CCD">
        <w:rPr>
          <w:rFonts w:cstheme="minorHAnsi"/>
          <w:sz w:val="26"/>
          <w:szCs w:val="26"/>
        </w:rPr>
        <w:t xml:space="preserve">3.  Since that sentence is extraneous in light of our determination that only the NGS contact information needs to be provided, we will delete that sentence in the final rule.  </w:t>
      </w:r>
      <w:r w:rsidR="00F84450" w:rsidRPr="00221CCD">
        <w:rPr>
          <w:rFonts w:cstheme="minorHAnsi"/>
          <w:i/>
          <w:sz w:val="26"/>
          <w:szCs w:val="26"/>
        </w:rPr>
        <w:t xml:space="preserve">See </w:t>
      </w:r>
      <w:r w:rsidR="00F84450" w:rsidRPr="00221CCD">
        <w:rPr>
          <w:rFonts w:cstheme="minorHAnsi"/>
          <w:sz w:val="26"/>
          <w:szCs w:val="26"/>
        </w:rPr>
        <w:t>Annex A, Section 62.75(c)(10).</w:t>
      </w:r>
      <w:r w:rsidR="00F84450">
        <w:rPr>
          <w:rFonts w:cstheme="minorHAnsi"/>
          <w:sz w:val="26"/>
          <w:szCs w:val="26"/>
        </w:rPr>
        <w:t xml:space="preserve">   </w:t>
      </w:r>
      <w:r w:rsidR="00F84450">
        <w:rPr>
          <w:rFonts w:ascii="Times New Roman" w:eastAsia="Times New Roman" w:hAnsi="Times New Roman"/>
          <w:color w:val="000000"/>
          <w:spacing w:val="2"/>
          <w:sz w:val="26"/>
          <w:szCs w:val="26"/>
        </w:rPr>
        <w:t xml:space="preserve">  </w:t>
      </w:r>
      <w:r w:rsidR="00F84450" w:rsidRPr="00374740">
        <w:rPr>
          <w:rFonts w:ascii="Times New Roman" w:eastAsia="Times New Roman" w:hAnsi="Times New Roman"/>
          <w:color w:val="000000"/>
          <w:spacing w:val="2"/>
          <w:sz w:val="26"/>
          <w:szCs w:val="26"/>
        </w:rPr>
        <w:t xml:space="preserve">  </w:t>
      </w:r>
      <w:r w:rsidR="00F84450">
        <w:rPr>
          <w:rFonts w:ascii="Times New Roman" w:eastAsia="Times New Roman" w:hAnsi="Times New Roman"/>
          <w:color w:val="000000"/>
          <w:spacing w:val="2"/>
          <w:sz w:val="26"/>
          <w:szCs w:val="26"/>
        </w:rPr>
        <w:t xml:space="preserve"> </w:t>
      </w:r>
    </w:p>
    <w:p w:rsidR="00C50913" w:rsidRDefault="00C50913" w:rsidP="00133A1A">
      <w:pPr>
        <w:pStyle w:val="NoSpacing"/>
        <w:spacing w:line="360" w:lineRule="auto"/>
        <w:rPr>
          <w:rFonts w:ascii="Times New Roman" w:hAnsi="Times New Roman"/>
          <w:sz w:val="26"/>
          <w:szCs w:val="26"/>
          <w:u w:val="single"/>
        </w:rPr>
      </w:pPr>
    </w:p>
    <w:p w:rsidR="00133A1A" w:rsidRDefault="00F84450" w:rsidP="00133A1A">
      <w:pPr>
        <w:pStyle w:val="NoSpacing"/>
        <w:spacing w:line="360" w:lineRule="auto"/>
        <w:rPr>
          <w:rFonts w:cstheme="minorHAnsi"/>
          <w:sz w:val="26"/>
          <w:szCs w:val="26"/>
          <w:u w:val="single"/>
        </w:rPr>
      </w:pPr>
      <w:r>
        <w:rPr>
          <w:rFonts w:ascii="Times New Roman" w:hAnsi="Times New Roman"/>
          <w:sz w:val="26"/>
          <w:szCs w:val="26"/>
          <w:u w:val="single"/>
        </w:rPr>
        <w:t xml:space="preserve">Deletion of </w:t>
      </w:r>
      <w:r w:rsidRPr="00410136">
        <w:rPr>
          <w:rFonts w:ascii="Times New Roman" w:hAnsi="Times New Roman"/>
          <w:sz w:val="26"/>
          <w:szCs w:val="26"/>
          <w:u w:val="single"/>
        </w:rPr>
        <w:t xml:space="preserve">Existing Sections </w:t>
      </w:r>
      <w:r w:rsidRPr="00410136">
        <w:rPr>
          <w:rFonts w:cstheme="minorHAnsi"/>
          <w:sz w:val="26"/>
          <w:szCs w:val="26"/>
          <w:u w:val="single"/>
        </w:rPr>
        <w:t>62.75(c)(12)-(13)</w:t>
      </w:r>
    </w:p>
    <w:p w:rsidR="00F96889" w:rsidRDefault="00F84450" w:rsidP="00F96889">
      <w:pPr>
        <w:pStyle w:val="NoSpacing"/>
        <w:spacing w:line="360" w:lineRule="auto"/>
        <w:rPr>
          <w:rFonts w:cstheme="minorHAnsi"/>
          <w:sz w:val="26"/>
          <w:szCs w:val="26"/>
        </w:rPr>
      </w:pPr>
      <w:r>
        <w:rPr>
          <w:rFonts w:cstheme="minorHAnsi"/>
          <w:sz w:val="26"/>
          <w:szCs w:val="26"/>
        </w:rPr>
        <w:tab/>
      </w:r>
      <w:r w:rsidRPr="00B358E1">
        <w:rPr>
          <w:rFonts w:cstheme="minorHAnsi"/>
          <w:sz w:val="26"/>
          <w:szCs w:val="26"/>
        </w:rPr>
        <w:t xml:space="preserve">In the </w:t>
      </w:r>
      <w:r w:rsidRPr="00B358E1">
        <w:rPr>
          <w:rFonts w:cstheme="minorHAnsi"/>
          <w:i/>
          <w:sz w:val="26"/>
          <w:szCs w:val="26"/>
        </w:rPr>
        <w:t>Proposed Rulemaking</w:t>
      </w:r>
      <w:r w:rsidRPr="00B358E1">
        <w:rPr>
          <w:rFonts w:cstheme="minorHAnsi"/>
          <w:sz w:val="26"/>
          <w:szCs w:val="26"/>
        </w:rPr>
        <w:t>, we proposed deleting Section 62.75(c)(12), which require</w:t>
      </w:r>
      <w:r w:rsidR="005C4EEE" w:rsidRPr="00B358E1">
        <w:rPr>
          <w:rFonts w:cstheme="minorHAnsi"/>
          <w:sz w:val="26"/>
          <w:szCs w:val="26"/>
        </w:rPr>
        <w:t>s</w:t>
      </w:r>
      <w:r w:rsidRPr="00B358E1">
        <w:rPr>
          <w:rFonts w:cstheme="minorHAnsi"/>
          <w:sz w:val="26"/>
          <w:szCs w:val="26"/>
        </w:rPr>
        <w:t xml:space="preserve"> a statement directing the customer to the Commission due to dissatisfaction</w:t>
      </w:r>
      <w:r w:rsidR="00D93A46" w:rsidRPr="00B358E1">
        <w:rPr>
          <w:rFonts w:cstheme="minorHAnsi"/>
          <w:sz w:val="26"/>
          <w:szCs w:val="26"/>
        </w:rPr>
        <w:t xml:space="preserve"> with the contract’s terms of service</w:t>
      </w:r>
      <w:r w:rsidR="00133A1A" w:rsidRPr="00B358E1">
        <w:rPr>
          <w:rFonts w:cstheme="minorHAnsi"/>
          <w:sz w:val="26"/>
          <w:szCs w:val="26"/>
        </w:rPr>
        <w:t>.</w:t>
      </w:r>
      <w:r w:rsidR="00D93A46" w:rsidRPr="00B358E1">
        <w:rPr>
          <w:rFonts w:cstheme="minorHAnsi"/>
          <w:sz w:val="26"/>
          <w:szCs w:val="26"/>
        </w:rPr>
        <w:t xml:space="preserve">  We believe referring the customer to the natural gas shopping website, PaGasSwitch.com, is more helpful than referring the customer to the Commission, as self-diagnosis of a customer’s concern or question may be more effective </w:t>
      </w:r>
      <w:r w:rsidR="0087336D" w:rsidRPr="00B358E1">
        <w:rPr>
          <w:rFonts w:cstheme="minorHAnsi"/>
          <w:sz w:val="26"/>
          <w:szCs w:val="26"/>
        </w:rPr>
        <w:t xml:space="preserve">and quicker in </w:t>
      </w:r>
      <w:r w:rsidR="00D93A46" w:rsidRPr="00B358E1">
        <w:rPr>
          <w:rFonts w:cstheme="minorHAnsi"/>
          <w:sz w:val="26"/>
          <w:szCs w:val="26"/>
        </w:rPr>
        <w:t>resolv</w:t>
      </w:r>
      <w:r w:rsidR="0087336D" w:rsidRPr="00B358E1">
        <w:rPr>
          <w:rFonts w:cstheme="minorHAnsi"/>
          <w:sz w:val="26"/>
          <w:szCs w:val="26"/>
        </w:rPr>
        <w:t>ing a</w:t>
      </w:r>
      <w:r w:rsidR="00CC1F45" w:rsidRPr="00B358E1">
        <w:rPr>
          <w:rFonts w:cstheme="minorHAnsi"/>
          <w:sz w:val="26"/>
          <w:szCs w:val="26"/>
        </w:rPr>
        <w:t>n</w:t>
      </w:r>
      <w:r w:rsidR="0087336D" w:rsidRPr="00B358E1">
        <w:rPr>
          <w:rFonts w:cstheme="minorHAnsi"/>
          <w:sz w:val="26"/>
          <w:szCs w:val="26"/>
        </w:rPr>
        <w:t xml:space="preserve"> </w:t>
      </w:r>
      <w:r w:rsidR="00BE7B2A">
        <w:rPr>
          <w:rFonts w:cstheme="minorHAnsi"/>
          <w:sz w:val="26"/>
          <w:szCs w:val="26"/>
        </w:rPr>
        <w:t xml:space="preserve">issue </w:t>
      </w:r>
      <w:r w:rsidR="00D93A46" w:rsidRPr="00B358E1">
        <w:rPr>
          <w:rFonts w:cstheme="minorHAnsi"/>
          <w:sz w:val="26"/>
          <w:szCs w:val="26"/>
        </w:rPr>
        <w:t>than first calling the Commission.</w:t>
      </w:r>
      <w:r w:rsidR="0087336D" w:rsidRPr="00B358E1">
        <w:rPr>
          <w:rFonts w:cstheme="minorHAnsi"/>
          <w:sz w:val="26"/>
          <w:szCs w:val="26"/>
        </w:rPr>
        <w:t xml:space="preserve">  IRRC also asked the </w:t>
      </w:r>
      <w:r w:rsidR="00BE7B2A">
        <w:rPr>
          <w:rFonts w:cstheme="minorHAnsi"/>
          <w:sz w:val="26"/>
          <w:szCs w:val="26"/>
        </w:rPr>
        <w:t>Commission</w:t>
      </w:r>
      <w:r w:rsidR="005C4EEE" w:rsidRPr="00B358E1">
        <w:rPr>
          <w:rFonts w:cstheme="minorHAnsi"/>
          <w:sz w:val="26"/>
          <w:szCs w:val="26"/>
        </w:rPr>
        <w:t xml:space="preserve"> to consider keeping this requirement, as some consumers may not have access to the Internet</w:t>
      </w:r>
      <w:r w:rsidR="0095300E" w:rsidRPr="00B358E1">
        <w:rPr>
          <w:rFonts w:cstheme="minorHAnsi"/>
          <w:sz w:val="26"/>
          <w:szCs w:val="26"/>
        </w:rPr>
        <w:t>.  We understand IRRC’s</w:t>
      </w:r>
      <w:r w:rsidR="005C4EEE" w:rsidRPr="00B358E1">
        <w:rPr>
          <w:rFonts w:cstheme="minorHAnsi"/>
          <w:sz w:val="26"/>
          <w:szCs w:val="26"/>
        </w:rPr>
        <w:t xml:space="preserve"> concern and will therefore add the </w:t>
      </w:r>
      <w:r w:rsidR="00BE7B2A">
        <w:rPr>
          <w:rFonts w:cstheme="minorHAnsi"/>
          <w:sz w:val="26"/>
          <w:szCs w:val="26"/>
        </w:rPr>
        <w:t>Commission’s</w:t>
      </w:r>
      <w:r w:rsidR="005C4EEE" w:rsidRPr="00B358E1">
        <w:rPr>
          <w:rFonts w:cstheme="minorHAnsi"/>
          <w:sz w:val="26"/>
          <w:szCs w:val="26"/>
        </w:rPr>
        <w:t xml:space="preserve"> general information telephone number in the newly finalized Section </w:t>
      </w:r>
      <w:r w:rsidR="0095300E" w:rsidRPr="00B358E1">
        <w:rPr>
          <w:rFonts w:cstheme="minorHAnsi"/>
          <w:sz w:val="26"/>
          <w:szCs w:val="26"/>
        </w:rPr>
        <w:t>62.75(c)(11)</w:t>
      </w:r>
      <w:r w:rsidR="005C4EEE" w:rsidRPr="00B358E1">
        <w:rPr>
          <w:rFonts w:cstheme="minorHAnsi"/>
          <w:sz w:val="26"/>
          <w:szCs w:val="26"/>
        </w:rPr>
        <w:t>.</w:t>
      </w:r>
      <w:r w:rsidR="0095300E" w:rsidRPr="00B358E1">
        <w:rPr>
          <w:rFonts w:cstheme="minorHAnsi"/>
          <w:sz w:val="26"/>
          <w:szCs w:val="26"/>
        </w:rPr>
        <w:t xml:space="preserve">  Section 62.75(c)(11) will require “[a] </w:t>
      </w:r>
      <w:r w:rsidR="0095300E" w:rsidRPr="00B358E1">
        <w:rPr>
          <w:sz w:val="26"/>
          <w:szCs w:val="26"/>
        </w:rPr>
        <w:t xml:space="preserve">statement providing that information about shopping for a gas supplier is available at </w:t>
      </w:r>
      <w:hyperlink r:id="rId10" w:history="1">
        <w:r w:rsidR="0095300E" w:rsidRPr="00B358E1">
          <w:rPr>
            <w:rStyle w:val="Hyperlink"/>
            <w:sz w:val="26"/>
            <w:szCs w:val="26"/>
          </w:rPr>
          <w:t>www.PaGasSwitch.com</w:t>
        </w:r>
      </w:hyperlink>
      <w:r w:rsidR="0095300E" w:rsidRPr="00B358E1">
        <w:rPr>
          <w:rStyle w:val="Hyperlink"/>
          <w:color w:val="000000" w:themeColor="text1"/>
          <w:sz w:val="26"/>
          <w:szCs w:val="26"/>
          <w:u w:val="none"/>
        </w:rPr>
        <w:t xml:space="preserve"> or other successor media platform as determined by the Commission,</w:t>
      </w:r>
      <w:r w:rsidR="00E758C1">
        <w:rPr>
          <w:rStyle w:val="Hyperlink"/>
          <w:color w:val="000000" w:themeColor="text1"/>
          <w:sz w:val="26"/>
          <w:szCs w:val="26"/>
          <w:u w:val="none"/>
        </w:rPr>
        <w:t xml:space="preserve"> by calling</w:t>
      </w:r>
      <w:r w:rsidR="0095300E" w:rsidRPr="00B358E1">
        <w:rPr>
          <w:rStyle w:val="Hyperlink"/>
          <w:color w:val="000000" w:themeColor="text1"/>
          <w:sz w:val="26"/>
          <w:szCs w:val="26"/>
          <w:u w:val="none"/>
        </w:rPr>
        <w:t xml:space="preserve"> the </w:t>
      </w:r>
      <w:r w:rsidR="0095300E" w:rsidRPr="00B358E1">
        <w:rPr>
          <w:rStyle w:val="Hyperlink"/>
          <w:color w:val="000000" w:themeColor="text1"/>
          <w:sz w:val="26"/>
          <w:szCs w:val="26"/>
          <w:u w:val="none"/>
        </w:rPr>
        <w:lastRenderedPageBreak/>
        <w:t>Commission’s telephone number at 1-800-692-7380, and</w:t>
      </w:r>
      <w:r w:rsidR="00E758C1">
        <w:rPr>
          <w:rStyle w:val="Hyperlink"/>
          <w:color w:val="000000" w:themeColor="text1"/>
          <w:sz w:val="26"/>
          <w:szCs w:val="26"/>
          <w:u w:val="none"/>
        </w:rPr>
        <w:t xml:space="preserve"> at</w:t>
      </w:r>
      <w:r w:rsidR="0095300E" w:rsidRPr="00B358E1">
        <w:rPr>
          <w:rStyle w:val="Hyperlink"/>
          <w:color w:val="000000" w:themeColor="text1"/>
          <w:sz w:val="26"/>
          <w:szCs w:val="26"/>
          <w:u w:val="none"/>
        </w:rPr>
        <w:t xml:space="preserve"> </w:t>
      </w:r>
      <w:hyperlink r:id="rId11" w:history="1">
        <w:r w:rsidR="0095300E" w:rsidRPr="00B358E1">
          <w:rPr>
            <w:rStyle w:val="Hyperlink"/>
            <w:sz w:val="26"/>
            <w:szCs w:val="26"/>
          </w:rPr>
          <w:t>www.oca.state.pa.us</w:t>
        </w:r>
      </w:hyperlink>
      <w:r w:rsidR="0095300E" w:rsidRPr="00B358E1">
        <w:rPr>
          <w:rStyle w:val="Hyperlink"/>
          <w:color w:val="000000" w:themeColor="text1"/>
          <w:sz w:val="26"/>
          <w:szCs w:val="26"/>
          <w:u w:val="none"/>
        </w:rPr>
        <w:t xml:space="preserve">.”  </w:t>
      </w:r>
      <w:r w:rsidR="00410136" w:rsidRPr="00B358E1">
        <w:rPr>
          <w:rFonts w:cstheme="minorHAnsi"/>
          <w:sz w:val="26"/>
          <w:szCs w:val="26"/>
        </w:rPr>
        <w:t>The customer may also c</w:t>
      </w:r>
      <w:r w:rsidR="005C4EEE" w:rsidRPr="00B358E1">
        <w:rPr>
          <w:rFonts w:cstheme="minorHAnsi"/>
          <w:sz w:val="26"/>
          <w:szCs w:val="26"/>
        </w:rPr>
        <w:t xml:space="preserve">all the supplier, as the supplier’s phone number must be provided on the contract disclosure statement.  </w:t>
      </w:r>
      <w:r w:rsidR="005C4EEE" w:rsidRPr="00B358E1">
        <w:rPr>
          <w:rFonts w:cstheme="minorHAnsi"/>
          <w:i/>
          <w:sz w:val="26"/>
          <w:szCs w:val="26"/>
        </w:rPr>
        <w:t xml:space="preserve">See </w:t>
      </w:r>
      <w:r w:rsidR="005C4EEE" w:rsidRPr="00B358E1">
        <w:rPr>
          <w:rFonts w:cstheme="minorHAnsi"/>
          <w:sz w:val="26"/>
          <w:szCs w:val="26"/>
        </w:rPr>
        <w:t>Annex A, Section</w:t>
      </w:r>
      <w:r w:rsidR="0037347D" w:rsidRPr="00B358E1">
        <w:rPr>
          <w:rFonts w:cstheme="minorHAnsi"/>
          <w:sz w:val="26"/>
          <w:szCs w:val="26"/>
        </w:rPr>
        <w:t xml:space="preserve"> 62.75(c)(11).</w:t>
      </w:r>
      <w:r w:rsidR="005C4EEE" w:rsidRPr="00B358E1">
        <w:rPr>
          <w:rFonts w:cstheme="minorHAnsi"/>
          <w:sz w:val="26"/>
          <w:szCs w:val="26"/>
        </w:rPr>
        <w:t xml:space="preserve">  </w:t>
      </w:r>
    </w:p>
    <w:p w:rsidR="00F96889" w:rsidRDefault="00F96889" w:rsidP="00F96889">
      <w:pPr>
        <w:pStyle w:val="NoSpacing"/>
        <w:spacing w:line="360" w:lineRule="auto"/>
        <w:rPr>
          <w:rFonts w:cstheme="minorHAnsi"/>
          <w:sz w:val="26"/>
          <w:szCs w:val="26"/>
        </w:rPr>
      </w:pPr>
    </w:p>
    <w:p w:rsidR="00E17D5B" w:rsidRDefault="00133A1A" w:rsidP="00F91138">
      <w:pPr>
        <w:pStyle w:val="NoSpacing"/>
        <w:spacing w:line="360" w:lineRule="auto"/>
        <w:ind w:firstLine="720"/>
        <w:rPr>
          <w:rFonts w:cstheme="minorHAnsi"/>
          <w:sz w:val="26"/>
          <w:szCs w:val="26"/>
        </w:rPr>
      </w:pPr>
      <w:r>
        <w:rPr>
          <w:rFonts w:cstheme="minorHAnsi"/>
          <w:sz w:val="26"/>
          <w:szCs w:val="26"/>
        </w:rPr>
        <w:t>We also proposed deleting Section 62.75(c)(13), which require</w:t>
      </w:r>
      <w:r w:rsidR="00F96889">
        <w:rPr>
          <w:rFonts w:cstheme="minorHAnsi"/>
          <w:sz w:val="26"/>
          <w:szCs w:val="26"/>
        </w:rPr>
        <w:t>s</w:t>
      </w:r>
      <w:r>
        <w:rPr>
          <w:rFonts w:cstheme="minorHAnsi"/>
          <w:sz w:val="26"/>
          <w:szCs w:val="26"/>
        </w:rPr>
        <w:t xml:space="preserve"> a statement providing universal service program information.  </w:t>
      </w:r>
      <w:r w:rsidR="00C92B86">
        <w:rPr>
          <w:rFonts w:cstheme="minorHAnsi"/>
          <w:sz w:val="26"/>
          <w:szCs w:val="26"/>
        </w:rPr>
        <w:t>PULP objects to the deletion of</w:t>
      </w:r>
      <w:r w:rsidR="00D93A46">
        <w:rPr>
          <w:rFonts w:cstheme="minorHAnsi"/>
          <w:sz w:val="26"/>
          <w:szCs w:val="26"/>
        </w:rPr>
        <w:t xml:space="preserve"> 62.75(c)</w:t>
      </w:r>
      <w:r w:rsidR="00C92B86">
        <w:rPr>
          <w:rFonts w:cstheme="minorHAnsi"/>
          <w:sz w:val="26"/>
          <w:szCs w:val="26"/>
        </w:rPr>
        <w:t xml:space="preserve">(13),  as PULP believes it is critical for economically vulnerable customers to receive this information in order to make more informed decisions.  We understand PULP’s concern and agree that it is critical for economically vulnerable customers to have access to </w:t>
      </w:r>
      <w:r w:rsidR="00B358E1">
        <w:rPr>
          <w:rFonts w:cstheme="minorHAnsi"/>
          <w:sz w:val="26"/>
          <w:szCs w:val="26"/>
        </w:rPr>
        <w:t xml:space="preserve">such </w:t>
      </w:r>
      <w:r w:rsidR="00C92B86">
        <w:rPr>
          <w:rFonts w:cstheme="minorHAnsi"/>
          <w:sz w:val="26"/>
          <w:szCs w:val="26"/>
        </w:rPr>
        <w:t>information.  However, there are other avenues to access this information,</w:t>
      </w:r>
      <w:r w:rsidR="0087336D">
        <w:rPr>
          <w:rFonts w:cstheme="minorHAnsi"/>
          <w:sz w:val="26"/>
          <w:szCs w:val="26"/>
        </w:rPr>
        <w:t xml:space="preserve"> such as</w:t>
      </w:r>
      <w:r w:rsidR="0037347D">
        <w:rPr>
          <w:rFonts w:cstheme="minorHAnsi"/>
          <w:sz w:val="26"/>
          <w:szCs w:val="26"/>
        </w:rPr>
        <w:t xml:space="preserve"> the Commission’s website</w:t>
      </w:r>
      <w:r w:rsidR="0015794D">
        <w:rPr>
          <w:rFonts w:cstheme="minorHAnsi"/>
          <w:sz w:val="26"/>
          <w:szCs w:val="26"/>
        </w:rPr>
        <w:t xml:space="preserve"> and phone number</w:t>
      </w:r>
      <w:r w:rsidR="0037347D">
        <w:rPr>
          <w:rFonts w:cstheme="minorHAnsi"/>
          <w:sz w:val="26"/>
          <w:szCs w:val="26"/>
        </w:rPr>
        <w:t xml:space="preserve"> and</w:t>
      </w:r>
      <w:r w:rsidR="0015794D">
        <w:rPr>
          <w:rFonts w:cstheme="minorHAnsi"/>
          <w:sz w:val="26"/>
          <w:szCs w:val="26"/>
        </w:rPr>
        <w:t xml:space="preserve"> </w:t>
      </w:r>
      <w:r w:rsidR="00BE7B2A">
        <w:rPr>
          <w:rFonts w:cstheme="minorHAnsi"/>
          <w:sz w:val="26"/>
          <w:szCs w:val="26"/>
        </w:rPr>
        <w:t>OCA’s web</w:t>
      </w:r>
      <w:r w:rsidR="0087336D">
        <w:rPr>
          <w:rFonts w:cstheme="minorHAnsi"/>
          <w:sz w:val="26"/>
          <w:szCs w:val="26"/>
        </w:rPr>
        <w:t>site</w:t>
      </w:r>
      <w:r w:rsidR="00B358E1">
        <w:rPr>
          <w:rFonts w:cstheme="minorHAnsi"/>
          <w:sz w:val="26"/>
          <w:szCs w:val="26"/>
        </w:rPr>
        <w:t>,</w:t>
      </w:r>
      <w:r w:rsidR="0037347D">
        <w:rPr>
          <w:rStyle w:val="FootnoteReference"/>
          <w:rFonts w:cstheme="minorHAnsi"/>
          <w:sz w:val="26"/>
          <w:szCs w:val="26"/>
        </w:rPr>
        <w:footnoteReference w:id="6"/>
      </w:r>
      <w:r w:rsidR="0037347D">
        <w:rPr>
          <w:rFonts w:cstheme="minorHAnsi"/>
          <w:sz w:val="26"/>
          <w:szCs w:val="26"/>
        </w:rPr>
        <w:t xml:space="preserve"> which we will incorporate into these regulations in the newly finalized Section 62.75(c)(11)</w:t>
      </w:r>
      <w:r w:rsidR="0087336D">
        <w:rPr>
          <w:rFonts w:cstheme="minorHAnsi"/>
          <w:sz w:val="26"/>
          <w:szCs w:val="26"/>
        </w:rPr>
        <w:t xml:space="preserve">.  </w:t>
      </w:r>
    </w:p>
    <w:p w:rsidR="00E17D5B" w:rsidRDefault="00E17D5B" w:rsidP="00F91138">
      <w:pPr>
        <w:pStyle w:val="NoSpacing"/>
        <w:spacing w:line="360" w:lineRule="auto"/>
        <w:ind w:firstLine="720"/>
        <w:rPr>
          <w:rFonts w:cstheme="minorHAnsi"/>
          <w:sz w:val="26"/>
          <w:szCs w:val="26"/>
        </w:rPr>
      </w:pPr>
    </w:p>
    <w:p w:rsidR="0015794D" w:rsidRDefault="0087336D" w:rsidP="00F91138">
      <w:pPr>
        <w:pStyle w:val="NoSpacing"/>
        <w:spacing w:line="360" w:lineRule="auto"/>
        <w:ind w:firstLine="720"/>
        <w:rPr>
          <w:rFonts w:cstheme="minorHAnsi"/>
          <w:sz w:val="26"/>
          <w:szCs w:val="26"/>
        </w:rPr>
      </w:pPr>
      <w:r>
        <w:rPr>
          <w:rFonts w:cstheme="minorHAnsi"/>
          <w:sz w:val="26"/>
          <w:szCs w:val="26"/>
        </w:rPr>
        <w:t>In order to alleviate customer confusion</w:t>
      </w:r>
      <w:r w:rsidR="00B358E1">
        <w:rPr>
          <w:rFonts w:cstheme="minorHAnsi"/>
          <w:sz w:val="26"/>
          <w:szCs w:val="26"/>
        </w:rPr>
        <w:t>,</w:t>
      </w:r>
      <w:r w:rsidR="00B358E1" w:rsidDel="00B358E1">
        <w:rPr>
          <w:rStyle w:val="FootnoteReference"/>
          <w:rFonts w:cstheme="minorHAnsi"/>
          <w:sz w:val="26"/>
          <w:szCs w:val="26"/>
        </w:rPr>
        <w:t xml:space="preserve"> </w:t>
      </w:r>
      <w:r>
        <w:rPr>
          <w:rFonts w:cstheme="minorHAnsi"/>
          <w:sz w:val="26"/>
          <w:szCs w:val="26"/>
        </w:rPr>
        <w:t xml:space="preserve"> we believe it is important to minimize the inclusion of any contact information other than NGS contact information, as including universal service program information may give the impression that the NGS has customer assistance programs or that the supplier is affiliated with the utility.</w:t>
      </w:r>
      <w:r w:rsidR="00B358E1">
        <w:rPr>
          <w:rStyle w:val="FootnoteReference"/>
          <w:rFonts w:cstheme="minorHAnsi"/>
          <w:sz w:val="26"/>
          <w:szCs w:val="26"/>
        </w:rPr>
        <w:footnoteReference w:id="7"/>
      </w:r>
      <w:r w:rsidR="0037347D">
        <w:rPr>
          <w:rFonts w:cstheme="minorHAnsi"/>
          <w:sz w:val="26"/>
          <w:szCs w:val="26"/>
        </w:rPr>
        <w:t xml:space="preserve">  The Commission has a duty to facilitate the competitive gas supply market </w:t>
      </w:r>
      <w:r w:rsidR="00F96889">
        <w:rPr>
          <w:rFonts w:cstheme="minorHAnsi"/>
          <w:sz w:val="26"/>
          <w:szCs w:val="26"/>
        </w:rPr>
        <w:t>and to remove any impediments to market development without compromising consumer protection.</w:t>
      </w:r>
      <w:r w:rsidR="005568BB">
        <w:rPr>
          <w:rFonts w:cstheme="minorHAnsi"/>
          <w:sz w:val="26"/>
          <w:szCs w:val="26"/>
        </w:rPr>
        <w:t xml:space="preserve">  </w:t>
      </w:r>
      <w:r w:rsidR="005568BB">
        <w:rPr>
          <w:rFonts w:cstheme="minorHAnsi"/>
          <w:i/>
          <w:sz w:val="26"/>
          <w:szCs w:val="26"/>
        </w:rPr>
        <w:t>See</w:t>
      </w:r>
      <w:r w:rsidR="005568BB">
        <w:rPr>
          <w:rFonts w:cstheme="minorHAnsi"/>
          <w:sz w:val="26"/>
          <w:szCs w:val="26"/>
        </w:rPr>
        <w:t xml:space="preserve"> 66 Pa. C.S. §§ 2203, 2206, 2208; </w:t>
      </w:r>
      <w:r w:rsidR="005568BB">
        <w:rPr>
          <w:rFonts w:cstheme="minorHAnsi"/>
          <w:i/>
          <w:sz w:val="26"/>
          <w:szCs w:val="26"/>
        </w:rPr>
        <w:t xml:space="preserve">see also </w:t>
      </w:r>
      <w:r w:rsidR="005568BB">
        <w:rPr>
          <w:rFonts w:cstheme="minorHAnsi"/>
          <w:sz w:val="26"/>
          <w:szCs w:val="26"/>
        </w:rPr>
        <w:t>52 Pa. Code Chapter 62 (generally).</w:t>
      </w:r>
      <w:r w:rsidR="00F96889">
        <w:rPr>
          <w:rFonts w:cstheme="minorHAnsi"/>
          <w:sz w:val="26"/>
          <w:szCs w:val="26"/>
        </w:rPr>
        <w:t xml:space="preserve">  We stress that this disclosure statement governs the contract between the supplier and the customer; it is not </w:t>
      </w:r>
      <w:r w:rsidR="0015794D">
        <w:rPr>
          <w:rFonts w:cstheme="minorHAnsi"/>
          <w:sz w:val="26"/>
          <w:szCs w:val="26"/>
        </w:rPr>
        <w:t xml:space="preserve">a </w:t>
      </w:r>
      <w:r w:rsidR="00F96889">
        <w:rPr>
          <w:rFonts w:cstheme="minorHAnsi"/>
          <w:sz w:val="26"/>
          <w:szCs w:val="26"/>
        </w:rPr>
        <w:t xml:space="preserve">contract with the utility or </w:t>
      </w:r>
      <w:r w:rsidR="00823CFA">
        <w:rPr>
          <w:rFonts w:cstheme="minorHAnsi"/>
          <w:sz w:val="26"/>
          <w:szCs w:val="26"/>
        </w:rPr>
        <w:t xml:space="preserve">for </w:t>
      </w:r>
      <w:r w:rsidR="00F96889">
        <w:rPr>
          <w:rFonts w:cstheme="minorHAnsi"/>
          <w:sz w:val="26"/>
          <w:szCs w:val="26"/>
        </w:rPr>
        <w:t>any customer assistance program</w:t>
      </w:r>
      <w:r w:rsidR="00823CFA">
        <w:rPr>
          <w:rFonts w:cstheme="minorHAnsi"/>
          <w:sz w:val="26"/>
          <w:szCs w:val="26"/>
        </w:rPr>
        <w:t xml:space="preserve"> services</w:t>
      </w:r>
      <w:r w:rsidR="00F96889">
        <w:rPr>
          <w:rFonts w:cstheme="minorHAnsi"/>
          <w:sz w:val="26"/>
          <w:szCs w:val="26"/>
        </w:rPr>
        <w:t>.</w:t>
      </w:r>
      <w:r w:rsidR="007910BF">
        <w:rPr>
          <w:rFonts w:cstheme="minorHAnsi"/>
          <w:sz w:val="26"/>
          <w:szCs w:val="26"/>
        </w:rPr>
        <w:t xml:space="preserve">  Requiring extraneous information and third party information may place unnecessary restraints on these contracts.</w:t>
      </w:r>
      <w:r w:rsidR="00CC1F45">
        <w:rPr>
          <w:rFonts w:cstheme="minorHAnsi"/>
          <w:sz w:val="26"/>
          <w:szCs w:val="26"/>
        </w:rPr>
        <w:t xml:space="preserve">  </w:t>
      </w:r>
      <w:r w:rsidR="00CC1F45">
        <w:rPr>
          <w:rFonts w:cstheme="minorHAnsi"/>
          <w:i/>
          <w:sz w:val="26"/>
          <w:szCs w:val="26"/>
        </w:rPr>
        <w:t>See</w:t>
      </w:r>
      <w:r w:rsidR="00FE126D">
        <w:rPr>
          <w:rFonts w:cstheme="minorHAnsi"/>
          <w:i/>
          <w:sz w:val="26"/>
          <w:szCs w:val="26"/>
        </w:rPr>
        <w:t xml:space="preserve"> </w:t>
      </w:r>
      <w:r w:rsidR="00FE126D">
        <w:rPr>
          <w:rFonts w:cstheme="minorHAnsi"/>
          <w:sz w:val="26"/>
          <w:szCs w:val="26"/>
        </w:rPr>
        <w:t>RESA</w:t>
      </w:r>
      <w:r w:rsidR="00CC1F45">
        <w:rPr>
          <w:rFonts w:cstheme="minorHAnsi"/>
          <w:i/>
          <w:sz w:val="26"/>
          <w:szCs w:val="26"/>
        </w:rPr>
        <w:t xml:space="preserve"> </w:t>
      </w:r>
      <w:r w:rsidR="00CC1F45">
        <w:rPr>
          <w:rFonts w:cstheme="minorHAnsi"/>
          <w:sz w:val="26"/>
          <w:szCs w:val="26"/>
        </w:rPr>
        <w:t xml:space="preserve">Comments </w:t>
      </w:r>
      <w:r w:rsidR="00FE126D">
        <w:rPr>
          <w:rFonts w:cstheme="minorHAnsi"/>
          <w:sz w:val="26"/>
          <w:szCs w:val="26"/>
        </w:rPr>
        <w:t>at 1-3, 20; PA Marketers Comments at 1, 8; National Marketers Comments at 1, 8; WGL Comments at 2, 16.</w:t>
      </w:r>
      <w:r w:rsidR="00F96889">
        <w:rPr>
          <w:rFonts w:cstheme="minorHAnsi"/>
          <w:sz w:val="26"/>
          <w:szCs w:val="26"/>
        </w:rPr>
        <w:t xml:space="preserve">  </w:t>
      </w:r>
      <w:r w:rsidR="00264B0C">
        <w:rPr>
          <w:rFonts w:cstheme="minorHAnsi"/>
          <w:sz w:val="26"/>
          <w:szCs w:val="26"/>
        </w:rPr>
        <w:t xml:space="preserve">  </w:t>
      </w:r>
      <w:r w:rsidR="00F96889">
        <w:rPr>
          <w:rFonts w:cstheme="minorHAnsi"/>
          <w:sz w:val="26"/>
          <w:szCs w:val="26"/>
        </w:rPr>
        <w:t xml:space="preserve">    </w:t>
      </w:r>
      <w:r w:rsidR="0037347D">
        <w:rPr>
          <w:rFonts w:cstheme="minorHAnsi"/>
          <w:sz w:val="26"/>
          <w:szCs w:val="26"/>
        </w:rPr>
        <w:t xml:space="preserve"> </w:t>
      </w:r>
      <w:r>
        <w:rPr>
          <w:rFonts w:cstheme="minorHAnsi"/>
          <w:sz w:val="26"/>
          <w:szCs w:val="26"/>
        </w:rPr>
        <w:t xml:space="preserve">  </w:t>
      </w:r>
    </w:p>
    <w:p w:rsidR="008C41C4" w:rsidRPr="008D0A8A" w:rsidRDefault="00F84450" w:rsidP="00F91138">
      <w:pPr>
        <w:pStyle w:val="NoSpacing"/>
        <w:widowControl w:val="0"/>
        <w:spacing w:line="360" w:lineRule="auto"/>
        <w:rPr>
          <w:rFonts w:cstheme="minorHAnsi"/>
          <w:sz w:val="26"/>
          <w:szCs w:val="26"/>
          <w:u w:val="single"/>
        </w:rPr>
      </w:pPr>
      <w:r w:rsidRPr="008D0A8A">
        <w:rPr>
          <w:rFonts w:ascii="Times New Roman" w:hAnsi="Times New Roman"/>
          <w:sz w:val="26"/>
          <w:szCs w:val="26"/>
          <w:u w:val="single"/>
        </w:rPr>
        <w:lastRenderedPageBreak/>
        <w:t xml:space="preserve">New Finalized Section </w:t>
      </w:r>
      <w:r w:rsidRPr="008D0A8A">
        <w:rPr>
          <w:rFonts w:cstheme="minorHAnsi"/>
          <w:sz w:val="26"/>
          <w:szCs w:val="26"/>
          <w:u w:val="single"/>
        </w:rPr>
        <w:t>62.</w:t>
      </w:r>
      <w:r w:rsidRPr="00BE23D8">
        <w:rPr>
          <w:rFonts w:cstheme="minorHAnsi"/>
          <w:sz w:val="26"/>
          <w:szCs w:val="26"/>
          <w:u w:val="single"/>
        </w:rPr>
        <w:t>7</w:t>
      </w:r>
      <w:r w:rsidRPr="001E6013">
        <w:rPr>
          <w:rFonts w:cstheme="minorHAnsi"/>
          <w:sz w:val="26"/>
          <w:szCs w:val="26"/>
          <w:u w:val="single"/>
        </w:rPr>
        <w:t>5(c)(1</w:t>
      </w:r>
      <w:r w:rsidRPr="008D0A8A">
        <w:rPr>
          <w:rFonts w:cstheme="minorHAnsi"/>
          <w:sz w:val="26"/>
          <w:szCs w:val="26"/>
          <w:u w:val="single"/>
        </w:rPr>
        <w:t>1)</w:t>
      </w:r>
    </w:p>
    <w:p w:rsidR="00823CFA" w:rsidRDefault="00F84450" w:rsidP="00765458">
      <w:pPr>
        <w:pStyle w:val="NoSpacing"/>
        <w:widowControl w:val="0"/>
        <w:spacing w:line="360" w:lineRule="auto"/>
        <w:ind w:firstLine="720"/>
        <w:rPr>
          <w:rFonts w:cstheme="minorHAnsi"/>
          <w:sz w:val="26"/>
          <w:szCs w:val="26"/>
        </w:rPr>
      </w:pPr>
      <w:r>
        <w:rPr>
          <w:rFonts w:cstheme="minorHAnsi"/>
          <w:sz w:val="26"/>
          <w:szCs w:val="26"/>
        </w:rPr>
        <w:t>OCA requests that its website be added to this</w:t>
      </w:r>
      <w:r w:rsidR="00CC1F45">
        <w:rPr>
          <w:rFonts w:cstheme="minorHAnsi"/>
          <w:sz w:val="26"/>
          <w:szCs w:val="26"/>
        </w:rPr>
        <w:t xml:space="preserve"> section</w:t>
      </w:r>
      <w:r w:rsidR="00B05074">
        <w:rPr>
          <w:rFonts w:cstheme="minorHAnsi"/>
          <w:sz w:val="26"/>
          <w:szCs w:val="26"/>
        </w:rPr>
        <w:t xml:space="preserve"> (which was previously Section 62.75(c)(12))</w:t>
      </w:r>
      <w:r w:rsidR="00CC1F45">
        <w:rPr>
          <w:rFonts w:cstheme="minorHAnsi"/>
          <w:sz w:val="26"/>
          <w:szCs w:val="26"/>
        </w:rPr>
        <w:t xml:space="preserve">, along with the </w:t>
      </w:r>
      <w:r w:rsidR="00BE7B2A">
        <w:rPr>
          <w:rFonts w:cstheme="minorHAnsi"/>
          <w:sz w:val="26"/>
          <w:szCs w:val="26"/>
        </w:rPr>
        <w:t>Commission’s</w:t>
      </w:r>
      <w:r w:rsidR="00CC1F45">
        <w:rPr>
          <w:rFonts w:cstheme="minorHAnsi"/>
          <w:sz w:val="26"/>
          <w:szCs w:val="26"/>
        </w:rPr>
        <w:t xml:space="preserve"> telephone number</w:t>
      </w:r>
      <w:r w:rsidR="008D0A8A">
        <w:rPr>
          <w:rFonts w:cstheme="minorHAnsi"/>
          <w:sz w:val="26"/>
          <w:szCs w:val="26"/>
        </w:rPr>
        <w:t>,</w:t>
      </w:r>
      <w:r w:rsidR="00CC1F45">
        <w:rPr>
          <w:rFonts w:cstheme="minorHAnsi"/>
          <w:sz w:val="26"/>
          <w:szCs w:val="26"/>
        </w:rPr>
        <w:t xml:space="preserve"> in order to provide consumers with more access to information and resources.  </w:t>
      </w:r>
      <w:r w:rsidR="00CC1F45">
        <w:rPr>
          <w:rFonts w:cstheme="minorHAnsi"/>
          <w:i/>
          <w:sz w:val="26"/>
          <w:szCs w:val="26"/>
        </w:rPr>
        <w:t xml:space="preserve">See </w:t>
      </w:r>
      <w:r w:rsidR="00CC1F45">
        <w:rPr>
          <w:rFonts w:cstheme="minorHAnsi"/>
          <w:sz w:val="26"/>
          <w:szCs w:val="26"/>
        </w:rPr>
        <w:t>OCA Comments at 10</w:t>
      </w:r>
      <w:r w:rsidR="00823CFA">
        <w:rPr>
          <w:rFonts w:cstheme="minorHAnsi"/>
          <w:sz w:val="26"/>
          <w:szCs w:val="26"/>
        </w:rPr>
        <w:noBreakHyphen/>
      </w:r>
      <w:r w:rsidR="00CC1F45">
        <w:rPr>
          <w:rFonts w:cstheme="minorHAnsi"/>
          <w:sz w:val="26"/>
          <w:szCs w:val="26"/>
        </w:rPr>
        <w:t>11.  We agree</w:t>
      </w:r>
      <w:r w:rsidR="002F205C">
        <w:rPr>
          <w:rFonts w:cstheme="minorHAnsi"/>
          <w:sz w:val="26"/>
          <w:szCs w:val="26"/>
        </w:rPr>
        <w:t xml:space="preserve"> </w:t>
      </w:r>
      <w:r w:rsidR="0095300E">
        <w:rPr>
          <w:rFonts w:cstheme="minorHAnsi"/>
          <w:sz w:val="26"/>
          <w:szCs w:val="26"/>
        </w:rPr>
        <w:t>with OCA that including t</w:t>
      </w:r>
      <w:r w:rsidR="002F205C">
        <w:rPr>
          <w:rFonts w:cstheme="minorHAnsi"/>
          <w:sz w:val="26"/>
          <w:szCs w:val="26"/>
        </w:rPr>
        <w:t>his information could aid consumers without adding unnecessary information to the disclosure statement</w:t>
      </w:r>
      <w:r w:rsidR="0095300E">
        <w:rPr>
          <w:rFonts w:cstheme="minorHAnsi"/>
          <w:sz w:val="26"/>
          <w:szCs w:val="26"/>
        </w:rPr>
        <w:t>.  Therefore, in addition to the reference to PaGasSwitch.com, we</w:t>
      </w:r>
      <w:r w:rsidR="00BE7B2A">
        <w:rPr>
          <w:rFonts w:cstheme="minorHAnsi"/>
          <w:sz w:val="26"/>
          <w:szCs w:val="26"/>
        </w:rPr>
        <w:t xml:space="preserve"> will add OCA’s web</w:t>
      </w:r>
      <w:r w:rsidR="00CC1F45">
        <w:rPr>
          <w:rFonts w:cstheme="minorHAnsi"/>
          <w:sz w:val="26"/>
          <w:szCs w:val="26"/>
        </w:rPr>
        <w:t>site and the</w:t>
      </w:r>
      <w:r w:rsidR="00765458">
        <w:rPr>
          <w:rFonts w:cstheme="minorHAnsi"/>
          <w:sz w:val="26"/>
          <w:szCs w:val="26"/>
        </w:rPr>
        <w:t xml:space="preserve"> </w:t>
      </w:r>
      <w:r w:rsidR="00CC1F45">
        <w:rPr>
          <w:rFonts w:cstheme="minorHAnsi"/>
          <w:sz w:val="26"/>
          <w:szCs w:val="26"/>
        </w:rPr>
        <w:t xml:space="preserve">Commission’s general telephone number to Section 62.75(c)(11).  </w:t>
      </w:r>
      <w:r w:rsidR="00CC1F45">
        <w:rPr>
          <w:rFonts w:cstheme="minorHAnsi"/>
          <w:i/>
          <w:sz w:val="26"/>
          <w:szCs w:val="26"/>
        </w:rPr>
        <w:t xml:space="preserve">See </w:t>
      </w:r>
      <w:r w:rsidR="00CC1F45">
        <w:rPr>
          <w:rFonts w:cstheme="minorHAnsi"/>
          <w:sz w:val="26"/>
          <w:szCs w:val="26"/>
        </w:rPr>
        <w:t>Annex A, Section 62.75(c)(11).</w:t>
      </w:r>
      <w:r w:rsidR="00FE126D">
        <w:rPr>
          <w:rFonts w:cstheme="minorHAnsi"/>
          <w:sz w:val="26"/>
          <w:szCs w:val="26"/>
        </w:rPr>
        <w:t xml:space="preserve"> </w:t>
      </w:r>
    </w:p>
    <w:p w:rsidR="00BE7B2A" w:rsidRDefault="00BE7B2A" w:rsidP="00F91138">
      <w:pPr>
        <w:pStyle w:val="NoSpacing"/>
        <w:widowControl w:val="0"/>
        <w:spacing w:line="360" w:lineRule="auto"/>
        <w:ind w:firstLine="720"/>
        <w:rPr>
          <w:rFonts w:cstheme="minorHAnsi"/>
          <w:sz w:val="26"/>
          <w:szCs w:val="26"/>
        </w:rPr>
      </w:pPr>
    </w:p>
    <w:p w:rsidR="008C41C4" w:rsidRDefault="00FE126D" w:rsidP="008C41C4">
      <w:pPr>
        <w:pStyle w:val="NoSpacing"/>
        <w:spacing w:line="360" w:lineRule="auto"/>
        <w:rPr>
          <w:rFonts w:cstheme="minorHAnsi"/>
          <w:sz w:val="26"/>
          <w:szCs w:val="26"/>
          <w:u w:val="single"/>
        </w:rPr>
      </w:pPr>
      <w:r>
        <w:rPr>
          <w:rFonts w:cstheme="minorHAnsi"/>
          <w:sz w:val="26"/>
          <w:szCs w:val="26"/>
          <w:u w:val="single"/>
        </w:rPr>
        <w:t>Sections 62.75(d), 62.75(g), and 62.75(j)</w:t>
      </w:r>
    </w:p>
    <w:p w:rsidR="002C297D" w:rsidRDefault="002C297D" w:rsidP="008C41C4">
      <w:pPr>
        <w:pStyle w:val="NoSpacing"/>
        <w:spacing w:line="360" w:lineRule="auto"/>
        <w:ind w:firstLine="720"/>
        <w:rPr>
          <w:rFonts w:ascii="Times New Roman" w:hAnsi="Times New Roman"/>
          <w:sz w:val="26"/>
          <w:szCs w:val="26"/>
        </w:rPr>
      </w:pPr>
      <w:r w:rsidRPr="00AF7640">
        <w:rPr>
          <w:rFonts w:ascii="Times New Roman" w:hAnsi="Times New Roman"/>
          <w:sz w:val="26"/>
          <w:szCs w:val="26"/>
        </w:rPr>
        <w:t>Although we did not propose any changes to Section 62.75(d), PULP urges the Commission to require NGSs to inform the customer of th</w:t>
      </w:r>
      <w:r w:rsidR="00827B34">
        <w:rPr>
          <w:rFonts w:ascii="Times New Roman" w:hAnsi="Times New Roman"/>
          <w:sz w:val="26"/>
          <w:szCs w:val="26"/>
        </w:rPr>
        <w:t>e</w:t>
      </w:r>
      <w:r w:rsidRPr="00AF7640">
        <w:rPr>
          <w:rFonts w:ascii="Times New Roman" w:hAnsi="Times New Roman"/>
          <w:sz w:val="26"/>
          <w:szCs w:val="26"/>
        </w:rPr>
        <w:t xml:space="preserve"> three-day rescission period at the time the customer contracts with the supplier and again in the disclosure statement.  PULP Comments at 3-4.  We believe that requiring the notification of the </w:t>
      </w:r>
      <w:r w:rsidR="00827B34">
        <w:rPr>
          <w:rFonts w:ascii="Times New Roman" w:hAnsi="Times New Roman"/>
          <w:sz w:val="26"/>
          <w:szCs w:val="26"/>
        </w:rPr>
        <w:t>three</w:t>
      </w:r>
      <w:r w:rsidRPr="00AF7640">
        <w:rPr>
          <w:rFonts w:ascii="Times New Roman" w:hAnsi="Times New Roman"/>
          <w:sz w:val="26"/>
          <w:szCs w:val="26"/>
        </w:rPr>
        <w:t>-day right of rescission, as currently established in Section 62.75(d)</w:t>
      </w:r>
      <w:r w:rsidR="00827B34">
        <w:rPr>
          <w:rFonts w:ascii="Times New Roman" w:hAnsi="Times New Roman"/>
          <w:sz w:val="26"/>
          <w:szCs w:val="26"/>
        </w:rPr>
        <w:t>,</w:t>
      </w:r>
      <w:r w:rsidRPr="00AF7640">
        <w:rPr>
          <w:rFonts w:ascii="Times New Roman" w:hAnsi="Times New Roman"/>
          <w:sz w:val="26"/>
          <w:szCs w:val="26"/>
        </w:rPr>
        <w:t xml:space="preserve"> is sufficient customer protection.  As the subject matter of Section 62.75 is “Disclosure statement for residential and small business customers,” adding another requirement to inform the customer of th</w:t>
      </w:r>
      <w:r w:rsidR="00827B34">
        <w:rPr>
          <w:rFonts w:ascii="Times New Roman" w:hAnsi="Times New Roman"/>
          <w:sz w:val="26"/>
          <w:szCs w:val="26"/>
        </w:rPr>
        <w:t>e</w:t>
      </w:r>
      <w:r w:rsidRPr="00AF7640">
        <w:rPr>
          <w:rFonts w:ascii="Times New Roman" w:hAnsi="Times New Roman"/>
          <w:sz w:val="26"/>
          <w:szCs w:val="26"/>
        </w:rPr>
        <w:t xml:space="preserve"> </w:t>
      </w:r>
      <w:r w:rsidR="00827B34">
        <w:rPr>
          <w:rFonts w:ascii="Times New Roman" w:hAnsi="Times New Roman"/>
          <w:sz w:val="26"/>
          <w:szCs w:val="26"/>
        </w:rPr>
        <w:t>three</w:t>
      </w:r>
      <w:r w:rsidRPr="00AF7640">
        <w:rPr>
          <w:rFonts w:ascii="Times New Roman" w:hAnsi="Times New Roman"/>
          <w:sz w:val="26"/>
          <w:szCs w:val="26"/>
        </w:rPr>
        <w:t>-day rescission period at another point in time is also beyond the scope of this rulemaking and therefore other parties to this proceeding would not have been provided an opportunity to comment on this proposal by PULP.</w:t>
      </w:r>
      <w:r w:rsidR="00EC5500" w:rsidRPr="00AF7640">
        <w:rPr>
          <w:rFonts w:ascii="Times New Roman" w:hAnsi="Times New Roman"/>
          <w:sz w:val="26"/>
          <w:szCs w:val="26"/>
        </w:rPr>
        <w:t xml:space="preserve">  Furthermore, Chapter 111 of </w:t>
      </w:r>
      <w:r w:rsidR="00BE7B2A">
        <w:rPr>
          <w:rFonts w:ascii="Times New Roman" w:hAnsi="Times New Roman"/>
          <w:sz w:val="26"/>
          <w:szCs w:val="26"/>
        </w:rPr>
        <w:t>the Commission’s regulations (relating</w:t>
      </w:r>
      <w:r w:rsidR="00EC5500" w:rsidRPr="00AF7640">
        <w:rPr>
          <w:rFonts w:ascii="Times New Roman" w:hAnsi="Times New Roman"/>
          <w:sz w:val="26"/>
          <w:szCs w:val="26"/>
        </w:rPr>
        <w:t xml:space="preserve"> to marketing sales practices for the r</w:t>
      </w:r>
      <w:r w:rsidR="00BE7B2A">
        <w:rPr>
          <w:rFonts w:ascii="Times New Roman" w:hAnsi="Times New Roman"/>
          <w:sz w:val="26"/>
          <w:szCs w:val="26"/>
        </w:rPr>
        <w:t>etail residential energy market)</w:t>
      </w:r>
      <w:r w:rsidR="00EC5500" w:rsidRPr="00AF7640">
        <w:rPr>
          <w:rFonts w:ascii="Times New Roman" w:hAnsi="Times New Roman"/>
          <w:sz w:val="26"/>
          <w:szCs w:val="26"/>
        </w:rPr>
        <w:t xml:space="preserve"> already require a supplier to inform the customer of the </w:t>
      </w:r>
      <w:r w:rsidR="00827B34">
        <w:rPr>
          <w:rFonts w:ascii="Times New Roman" w:hAnsi="Times New Roman"/>
          <w:sz w:val="26"/>
          <w:szCs w:val="26"/>
        </w:rPr>
        <w:t>three</w:t>
      </w:r>
      <w:r w:rsidR="00EC5500" w:rsidRPr="00AF7640">
        <w:rPr>
          <w:rFonts w:ascii="Times New Roman" w:hAnsi="Times New Roman"/>
          <w:sz w:val="26"/>
          <w:szCs w:val="26"/>
        </w:rPr>
        <w:t>-day rescission period</w:t>
      </w:r>
      <w:r w:rsidR="00EC5500" w:rsidRPr="00AF7640">
        <w:rPr>
          <w:rStyle w:val="FootnoteReference"/>
          <w:rFonts w:ascii="Times New Roman" w:hAnsi="Times New Roman"/>
          <w:sz w:val="26"/>
          <w:szCs w:val="26"/>
        </w:rPr>
        <w:footnoteReference w:id="8"/>
      </w:r>
      <w:r w:rsidR="00EC5500" w:rsidRPr="00AF7640">
        <w:rPr>
          <w:rFonts w:ascii="Times New Roman" w:hAnsi="Times New Roman"/>
          <w:sz w:val="26"/>
          <w:szCs w:val="26"/>
        </w:rPr>
        <w:t xml:space="preserve"> and to provide the customer with accurate and timely information.</w:t>
      </w:r>
      <w:r w:rsidR="00EC5500" w:rsidRPr="00AF7640">
        <w:rPr>
          <w:rStyle w:val="FootnoteReference"/>
          <w:rFonts w:ascii="Times New Roman" w:hAnsi="Times New Roman"/>
          <w:sz w:val="26"/>
          <w:szCs w:val="26"/>
        </w:rPr>
        <w:footnoteReference w:id="9"/>
      </w:r>
      <w:r w:rsidRPr="00AF7640">
        <w:rPr>
          <w:rFonts w:ascii="Times New Roman" w:hAnsi="Times New Roman"/>
          <w:sz w:val="26"/>
          <w:szCs w:val="26"/>
        </w:rPr>
        <w:t xml:space="preserve"> </w:t>
      </w:r>
      <w:r w:rsidR="00EC5500" w:rsidRPr="00AF7640">
        <w:rPr>
          <w:rFonts w:ascii="Times New Roman" w:hAnsi="Times New Roman"/>
          <w:sz w:val="26"/>
          <w:szCs w:val="26"/>
        </w:rPr>
        <w:t xml:space="preserve"> </w:t>
      </w:r>
      <w:r w:rsidRPr="00AF7640">
        <w:rPr>
          <w:rFonts w:ascii="Times New Roman" w:hAnsi="Times New Roman"/>
          <w:sz w:val="26"/>
          <w:szCs w:val="26"/>
        </w:rPr>
        <w:t>Therefore, we will not amend existing Section 62.75(d).</w:t>
      </w:r>
    </w:p>
    <w:p w:rsidR="008C41C4" w:rsidRDefault="008C41C4" w:rsidP="008C41C4">
      <w:pPr>
        <w:pStyle w:val="NoSpacing"/>
        <w:spacing w:line="360" w:lineRule="auto"/>
        <w:ind w:firstLine="720"/>
        <w:rPr>
          <w:rFonts w:ascii="Times New Roman" w:eastAsia="Times New Roman" w:hAnsi="Times New Roman"/>
          <w:color w:val="000000"/>
          <w:spacing w:val="1"/>
          <w:sz w:val="26"/>
          <w:szCs w:val="26"/>
        </w:rPr>
      </w:pPr>
      <w:r>
        <w:rPr>
          <w:rFonts w:ascii="Times New Roman" w:hAnsi="Times New Roman"/>
          <w:sz w:val="26"/>
          <w:szCs w:val="26"/>
        </w:rPr>
        <w:lastRenderedPageBreak/>
        <w:t xml:space="preserve">As to Section 62.75(g), </w:t>
      </w:r>
      <w:r w:rsidRPr="006A176C">
        <w:rPr>
          <w:rFonts w:ascii="Times New Roman" w:eastAsia="Times New Roman" w:hAnsi="Times New Roman"/>
          <w:color w:val="000000"/>
          <w:spacing w:val="1"/>
          <w:sz w:val="26"/>
          <w:szCs w:val="26"/>
        </w:rPr>
        <w:t xml:space="preserve">OCA recommends that this provision include the </w:t>
      </w:r>
      <w:r>
        <w:rPr>
          <w:rFonts w:ascii="Times New Roman" w:eastAsia="Times New Roman" w:hAnsi="Times New Roman"/>
          <w:color w:val="000000"/>
          <w:spacing w:val="1"/>
          <w:sz w:val="26"/>
          <w:szCs w:val="26"/>
        </w:rPr>
        <w:t>“</w:t>
      </w:r>
      <w:r w:rsidR="00BF583F">
        <w:rPr>
          <w:rFonts w:ascii="Times New Roman" w:eastAsia="Times New Roman" w:hAnsi="Times New Roman"/>
          <w:color w:val="000000"/>
          <w:spacing w:val="1"/>
          <w:sz w:val="26"/>
          <w:szCs w:val="26"/>
        </w:rPr>
        <w:t xml:space="preserve">45 </w:t>
      </w:r>
      <w:r>
        <w:rPr>
          <w:rFonts w:ascii="Times New Roman" w:eastAsia="Times New Roman" w:hAnsi="Times New Roman"/>
          <w:color w:val="000000"/>
          <w:spacing w:val="1"/>
          <w:sz w:val="26"/>
          <w:szCs w:val="26"/>
        </w:rPr>
        <w:t xml:space="preserve">to </w:t>
      </w:r>
      <w:r w:rsidR="00BF583F">
        <w:rPr>
          <w:rFonts w:ascii="Times New Roman" w:eastAsia="Times New Roman" w:hAnsi="Times New Roman"/>
          <w:color w:val="000000"/>
          <w:spacing w:val="1"/>
          <w:sz w:val="26"/>
          <w:szCs w:val="26"/>
        </w:rPr>
        <w:t>60</w:t>
      </w:r>
      <w:r>
        <w:rPr>
          <w:rFonts w:ascii="Times New Roman" w:eastAsia="Times New Roman" w:hAnsi="Times New Roman"/>
          <w:color w:val="000000"/>
          <w:spacing w:val="1"/>
          <w:sz w:val="26"/>
          <w:szCs w:val="26"/>
        </w:rPr>
        <w:t xml:space="preserve"> days” and the “30 days” time</w:t>
      </w:r>
      <w:r w:rsidRPr="006A176C">
        <w:rPr>
          <w:rFonts w:ascii="Times New Roman" w:eastAsia="Times New Roman" w:hAnsi="Times New Roman"/>
          <w:color w:val="000000"/>
          <w:spacing w:val="1"/>
          <w:sz w:val="26"/>
          <w:szCs w:val="26"/>
        </w:rPr>
        <w:t>frame</w:t>
      </w:r>
      <w:r w:rsidR="00827B34">
        <w:rPr>
          <w:rFonts w:ascii="Times New Roman" w:eastAsia="Times New Roman" w:hAnsi="Times New Roman"/>
          <w:color w:val="000000"/>
          <w:spacing w:val="1"/>
          <w:sz w:val="26"/>
          <w:szCs w:val="26"/>
        </w:rPr>
        <w:t>s in which</w:t>
      </w:r>
      <w:r w:rsidRPr="006A176C">
        <w:rPr>
          <w:rFonts w:ascii="Times New Roman" w:eastAsia="Times New Roman" w:hAnsi="Times New Roman"/>
          <w:color w:val="000000"/>
          <w:spacing w:val="1"/>
          <w:sz w:val="26"/>
          <w:szCs w:val="26"/>
        </w:rPr>
        <w:t xml:space="preserve"> consumers will receive the notices.  OCA Comments at 11</w:t>
      </w:r>
      <w:r>
        <w:rPr>
          <w:rFonts w:ascii="Times New Roman" w:eastAsia="Times New Roman" w:hAnsi="Times New Roman"/>
          <w:color w:val="000000"/>
          <w:spacing w:val="1"/>
          <w:sz w:val="26"/>
          <w:szCs w:val="26"/>
        </w:rPr>
        <w:t>, 14, OCA’s Annex A</w:t>
      </w:r>
      <w:r w:rsidRPr="006A176C">
        <w:rPr>
          <w:rFonts w:ascii="Times New Roman" w:eastAsia="Times New Roman" w:hAnsi="Times New Roman"/>
          <w:color w:val="000000"/>
          <w:spacing w:val="1"/>
          <w:sz w:val="26"/>
          <w:szCs w:val="26"/>
        </w:rPr>
        <w:t xml:space="preserve">.  OCA also notes that the phrase </w:t>
      </w:r>
      <w:r w:rsidR="00F91138">
        <w:rPr>
          <w:rFonts w:ascii="Times New Roman" w:eastAsia="Times New Roman" w:hAnsi="Times New Roman"/>
          <w:color w:val="000000"/>
          <w:spacing w:val="1"/>
          <w:sz w:val="26"/>
          <w:szCs w:val="26"/>
        </w:rPr>
        <w:t>“</w:t>
      </w:r>
      <w:r w:rsidRPr="006A176C">
        <w:rPr>
          <w:rFonts w:ascii="Times New Roman" w:eastAsia="Times New Roman" w:hAnsi="Times New Roman"/>
          <w:color w:val="000000"/>
          <w:spacing w:val="1"/>
          <w:sz w:val="26"/>
          <w:szCs w:val="26"/>
        </w:rPr>
        <w:t xml:space="preserve">whenever we propose to change the terms of service in </w:t>
      </w:r>
      <w:r w:rsidRPr="006A176C">
        <w:rPr>
          <w:rFonts w:ascii="Times New Roman" w:eastAsia="Times New Roman" w:hAnsi="Times New Roman"/>
          <w:color w:val="000000"/>
          <w:spacing w:val="1"/>
          <w:sz w:val="26"/>
          <w:szCs w:val="26"/>
          <w:u w:val="single"/>
        </w:rPr>
        <w:t>any type of contract</w:t>
      </w:r>
      <w:r w:rsidR="00F91138">
        <w:rPr>
          <w:rFonts w:ascii="Times New Roman" w:eastAsia="Times New Roman" w:hAnsi="Times New Roman"/>
          <w:color w:val="000000"/>
          <w:spacing w:val="1"/>
          <w:sz w:val="26"/>
          <w:szCs w:val="26"/>
        </w:rPr>
        <w:t>”</w:t>
      </w:r>
      <w:r w:rsidRPr="006A176C">
        <w:rPr>
          <w:rFonts w:ascii="Times New Roman" w:eastAsia="Times New Roman" w:hAnsi="Times New Roman"/>
          <w:color w:val="000000"/>
          <w:spacing w:val="1"/>
          <w:sz w:val="26"/>
          <w:szCs w:val="26"/>
        </w:rPr>
        <w:t xml:space="preserve"> could be misleading to consumers, as it suggests that an NGS has the ability to unilaterally change the terms of a contract.  </w:t>
      </w:r>
      <w:r>
        <w:rPr>
          <w:rFonts w:ascii="Times New Roman" w:eastAsia="Times New Roman" w:hAnsi="Times New Roman"/>
          <w:i/>
          <w:color w:val="000000"/>
          <w:spacing w:val="1"/>
          <w:sz w:val="26"/>
          <w:szCs w:val="26"/>
        </w:rPr>
        <w:t>Id.</w:t>
      </w:r>
      <w:r w:rsidRPr="006A176C">
        <w:rPr>
          <w:rFonts w:ascii="Times New Roman" w:eastAsia="Times New Roman" w:hAnsi="Times New Roman"/>
          <w:color w:val="000000"/>
          <w:spacing w:val="1"/>
          <w:sz w:val="26"/>
          <w:szCs w:val="26"/>
        </w:rPr>
        <w:t xml:space="preserve"> </w:t>
      </w:r>
      <w:r>
        <w:rPr>
          <w:rFonts w:ascii="Times New Roman" w:eastAsia="Times New Roman" w:hAnsi="Times New Roman"/>
          <w:color w:val="000000"/>
          <w:spacing w:val="1"/>
          <w:sz w:val="26"/>
          <w:szCs w:val="26"/>
        </w:rPr>
        <w:t xml:space="preserve"> </w:t>
      </w:r>
      <w:r w:rsidRPr="00D30BA3">
        <w:rPr>
          <w:rFonts w:ascii="Times New Roman" w:eastAsia="Times New Roman" w:hAnsi="Times New Roman"/>
          <w:color w:val="000000"/>
          <w:spacing w:val="1"/>
          <w:sz w:val="26"/>
          <w:szCs w:val="26"/>
        </w:rPr>
        <w:t xml:space="preserve">We agree with OCA’s suggested </w:t>
      </w:r>
      <w:r w:rsidR="001C7749" w:rsidRPr="00D30BA3">
        <w:rPr>
          <w:rFonts w:ascii="Times New Roman" w:eastAsia="Times New Roman" w:hAnsi="Times New Roman"/>
          <w:color w:val="000000"/>
          <w:spacing w:val="1"/>
          <w:sz w:val="26"/>
          <w:szCs w:val="26"/>
        </w:rPr>
        <w:t>language</w:t>
      </w:r>
      <w:r w:rsidRPr="00D30BA3">
        <w:rPr>
          <w:rFonts w:ascii="Times New Roman" w:eastAsia="Times New Roman" w:hAnsi="Times New Roman"/>
          <w:color w:val="000000"/>
          <w:spacing w:val="1"/>
          <w:sz w:val="26"/>
          <w:szCs w:val="26"/>
        </w:rPr>
        <w:t xml:space="preserve"> clarification</w:t>
      </w:r>
      <w:r w:rsidR="001C7749" w:rsidRPr="00D30BA3">
        <w:rPr>
          <w:rFonts w:ascii="Times New Roman" w:eastAsia="Times New Roman" w:hAnsi="Times New Roman"/>
          <w:color w:val="000000"/>
          <w:spacing w:val="1"/>
          <w:sz w:val="26"/>
          <w:szCs w:val="26"/>
        </w:rPr>
        <w:t>s</w:t>
      </w:r>
      <w:r w:rsidRPr="00D30BA3">
        <w:rPr>
          <w:rFonts w:ascii="Times New Roman" w:eastAsia="Times New Roman" w:hAnsi="Times New Roman"/>
          <w:color w:val="000000"/>
          <w:spacing w:val="1"/>
          <w:sz w:val="26"/>
          <w:szCs w:val="26"/>
        </w:rPr>
        <w:t xml:space="preserve"> as provided in OCA’s Annex A</w:t>
      </w:r>
      <w:r w:rsidR="002871CE">
        <w:rPr>
          <w:rFonts w:ascii="Times New Roman" w:eastAsia="Times New Roman" w:hAnsi="Times New Roman"/>
          <w:color w:val="000000"/>
          <w:spacing w:val="1"/>
          <w:sz w:val="26"/>
          <w:szCs w:val="26"/>
        </w:rPr>
        <w:t>.</w:t>
      </w:r>
      <w:r w:rsidRPr="00D30BA3">
        <w:rPr>
          <w:rFonts w:ascii="Times New Roman" w:eastAsia="Times New Roman" w:hAnsi="Times New Roman"/>
          <w:color w:val="000000"/>
          <w:spacing w:val="1"/>
          <w:sz w:val="26"/>
          <w:szCs w:val="26"/>
        </w:rPr>
        <w:t xml:space="preserve"> </w:t>
      </w:r>
      <w:r w:rsidR="00827B34">
        <w:rPr>
          <w:rFonts w:ascii="Times New Roman" w:eastAsia="Times New Roman" w:hAnsi="Times New Roman"/>
          <w:color w:val="000000"/>
          <w:spacing w:val="1"/>
          <w:sz w:val="26"/>
          <w:szCs w:val="26"/>
        </w:rPr>
        <w:t xml:space="preserve"> </w:t>
      </w:r>
      <w:r w:rsidR="002871CE">
        <w:rPr>
          <w:rFonts w:ascii="Times New Roman" w:eastAsia="Times New Roman" w:hAnsi="Times New Roman"/>
          <w:color w:val="000000"/>
          <w:spacing w:val="1"/>
          <w:sz w:val="26"/>
          <w:szCs w:val="26"/>
        </w:rPr>
        <w:t>T</w:t>
      </w:r>
      <w:r w:rsidRPr="00D30BA3">
        <w:rPr>
          <w:rFonts w:ascii="Times New Roman" w:eastAsia="Times New Roman" w:hAnsi="Times New Roman"/>
          <w:color w:val="000000"/>
          <w:spacing w:val="1"/>
          <w:sz w:val="26"/>
          <w:szCs w:val="26"/>
        </w:rPr>
        <w:t>herefore</w:t>
      </w:r>
      <w:r w:rsidR="002871CE">
        <w:rPr>
          <w:rFonts w:ascii="Times New Roman" w:eastAsia="Times New Roman" w:hAnsi="Times New Roman"/>
          <w:color w:val="000000"/>
          <w:spacing w:val="1"/>
          <w:sz w:val="26"/>
          <w:szCs w:val="26"/>
        </w:rPr>
        <w:t>, we will</w:t>
      </w:r>
      <w:r w:rsidRPr="00D30BA3">
        <w:rPr>
          <w:rFonts w:ascii="Times New Roman" w:eastAsia="Times New Roman" w:hAnsi="Times New Roman"/>
          <w:color w:val="000000"/>
          <w:spacing w:val="1"/>
          <w:sz w:val="26"/>
          <w:szCs w:val="26"/>
        </w:rPr>
        <w:t xml:space="preserve"> incorporate those lang</w:t>
      </w:r>
      <w:r w:rsidR="00BE7B2A">
        <w:rPr>
          <w:rFonts w:ascii="Times New Roman" w:eastAsia="Times New Roman" w:hAnsi="Times New Roman"/>
          <w:color w:val="000000"/>
          <w:spacing w:val="1"/>
          <w:sz w:val="26"/>
          <w:szCs w:val="26"/>
        </w:rPr>
        <w:t>uage suggestions into the final-</w:t>
      </w:r>
      <w:r w:rsidRPr="00D30BA3">
        <w:rPr>
          <w:rFonts w:ascii="Times New Roman" w:eastAsia="Times New Roman" w:hAnsi="Times New Roman"/>
          <w:color w:val="000000"/>
          <w:spacing w:val="1"/>
          <w:sz w:val="26"/>
          <w:szCs w:val="26"/>
        </w:rPr>
        <w:t>form regulation</w:t>
      </w:r>
      <w:r w:rsidR="002871CE">
        <w:rPr>
          <w:rFonts w:ascii="Times New Roman" w:eastAsia="Times New Roman" w:hAnsi="Times New Roman"/>
          <w:color w:val="000000"/>
          <w:spacing w:val="1"/>
          <w:sz w:val="26"/>
          <w:szCs w:val="26"/>
        </w:rPr>
        <w:t>, noting the change in the notice timeframes, given our disposition of Section 62.81</w:t>
      </w:r>
      <w:r w:rsidRPr="00D30BA3">
        <w:rPr>
          <w:rFonts w:ascii="Times New Roman" w:eastAsia="Times New Roman" w:hAnsi="Times New Roman"/>
          <w:color w:val="000000"/>
          <w:spacing w:val="1"/>
          <w:sz w:val="26"/>
          <w:szCs w:val="26"/>
        </w:rPr>
        <w:t xml:space="preserve">.  </w:t>
      </w:r>
      <w:r w:rsidRPr="00D30BA3">
        <w:rPr>
          <w:rFonts w:ascii="Times New Roman" w:eastAsia="Times New Roman" w:hAnsi="Times New Roman"/>
          <w:i/>
          <w:color w:val="000000"/>
          <w:spacing w:val="1"/>
          <w:sz w:val="26"/>
          <w:szCs w:val="26"/>
        </w:rPr>
        <w:t xml:space="preserve">See </w:t>
      </w:r>
      <w:r w:rsidR="00D30BA3" w:rsidRPr="00D30BA3">
        <w:rPr>
          <w:rFonts w:ascii="Times New Roman" w:eastAsia="Times New Roman" w:hAnsi="Times New Roman"/>
          <w:color w:val="000000"/>
          <w:spacing w:val="1"/>
          <w:sz w:val="26"/>
          <w:szCs w:val="26"/>
        </w:rPr>
        <w:t xml:space="preserve">Annex A, </w:t>
      </w:r>
      <w:r w:rsidRPr="00D30BA3">
        <w:rPr>
          <w:rFonts w:ascii="Times New Roman" w:eastAsia="Times New Roman" w:hAnsi="Times New Roman"/>
          <w:color w:val="000000"/>
          <w:spacing w:val="1"/>
          <w:sz w:val="26"/>
          <w:szCs w:val="26"/>
        </w:rPr>
        <w:t>Section 62.75(g).</w:t>
      </w:r>
    </w:p>
    <w:p w:rsidR="008C41C4" w:rsidRDefault="008C41C4" w:rsidP="008C41C4">
      <w:pPr>
        <w:pStyle w:val="NoSpacing"/>
        <w:spacing w:line="360" w:lineRule="auto"/>
        <w:ind w:firstLine="720"/>
        <w:rPr>
          <w:rFonts w:ascii="Times New Roman" w:eastAsia="Times New Roman" w:hAnsi="Times New Roman"/>
          <w:color w:val="000000"/>
          <w:spacing w:val="1"/>
          <w:sz w:val="26"/>
          <w:szCs w:val="26"/>
        </w:rPr>
      </w:pPr>
    </w:p>
    <w:p w:rsidR="00823CFA" w:rsidRDefault="008C41C4" w:rsidP="008C41C4">
      <w:pPr>
        <w:pStyle w:val="NoSpacing"/>
        <w:spacing w:line="360" w:lineRule="auto"/>
        <w:ind w:firstLine="720"/>
        <w:rPr>
          <w:rFonts w:cstheme="minorHAnsi"/>
          <w:sz w:val="26"/>
          <w:szCs w:val="26"/>
        </w:rPr>
      </w:pPr>
      <w:r>
        <w:rPr>
          <w:rFonts w:ascii="Times New Roman" w:eastAsia="Times New Roman" w:hAnsi="Times New Roman"/>
          <w:color w:val="000000"/>
          <w:spacing w:val="1"/>
          <w:sz w:val="26"/>
          <w:szCs w:val="26"/>
        </w:rPr>
        <w:t>As to Section 62.75(</w:t>
      </w:r>
      <w:r w:rsidR="001C7749">
        <w:rPr>
          <w:rFonts w:ascii="Times New Roman" w:eastAsia="Times New Roman" w:hAnsi="Times New Roman"/>
          <w:color w:val="000000"/>
          <w:spacing w:val="1"/>
          <w:sz w:val="26"/>
          <w:szCs w:val="26"/>
        </w:rPr>
        <w:t>j</w:t>
      </w:r>
      <w:r>
        <w:rPr>
          <w:rFonts w:ascii="Times New Roman" w:eastAsia="Times New Roman" w:hAnsi="Times New Roman"/>
          <w:color w:val="000000"/>
          <w:spacing w:val="1"/>
          <w:sz w:val="26"/>
          <w:szCs w:val="26"/>
        </w:rPr>
        <w:t>),</w:t>
      </w:r>
      <w:r w:rsidR="001C7749">
        <w:rPr>
          <w:rFonts w:ascii="Times New Roman" w:eastAsia="Times New Roman" w:hAnsi="Times New Roman"/>
          <w:color w:val="000000"/>
          <w:spacing w:val="1"/>
          <w:sz w:val="26"/>
          <w:szCs w:val="26"/>
        </w:rPr>
        <w:t xml:space="preserve"> </w:t>
      </w:r>
      <w:r w:rsidR="001C7749">
        <w:rPr>
          <w:rFonts w:cstheme="minorHAnsi"/>
          <w:sz w:val="26"/>
          <w:szCs w:val="26"/>
        </w:rPr>
        <w:t>IRRC recommend</w:t>
      </w:r>
      <w:r w:rsidR="00BE7B2A">
        <w:rPr>
          <w:rFonts w:cstheme="minorHAnsi"/>
          <w:sz w:val="26"/>
          <w:szCs w:val="26"/>
        </w:rPr>
        <w:t>s</w:t>
      </w:r>
      <w:r w:rsidR="001C7749">
        <w:rPr>
          <w:rFonts w:cstheme="minorHAnsi"/>
          <w:sz w:val="26"/>
          <w:szCs w:val="26"/>
        </w:rPr>
        <w:t xml:space="preserve"> that the Commission further require the NGS to provide the customer with notice if the contract is assigned </w:t>
      </w:r>
      <w:r w:rsidR="00823CFA">
        <w:rPr>
          <w:rFonts w:cstheme="minorHAnsi"/>
          <w:sz w:val="26"/>
          <w:szCs w:val="26"/>
        </w:rPr>
        <w:t xml:space="preserve">to another supplier </w:t>
      </w:r>
      <w:r w:rsidR="001C7749">
        <w:rPr>
          <w:rFonts w:cstheme="minorHAnsi"/>
          <w:sz w:val="26"/>
          <w:szCs w:val="26"/>
        </w:rPr>
        <w:t>and to include the name of the new NGS and contact information.  IRRC Comments at 5</w:t>
      </w:r>
      <w:r w:rsidR="00D30BA3">
        <w:rPr>
          <w:rFonts w:cstheme="minorHAnsi"/>
          <w:sz w:val="26"/>
          <w:szCs w:val="26"/>
        </w:rPr>
        <w:t xml:space="preserve">; </w:t>
      </w:r>
      <w:r w:rsidR="00D30BA3">
        <w:rPr>
          <w:rFonts w:cstheme="minorHAnsi"/>
          <w:i/>
          <w:sz w:val="26"/>
          <w:szCs w:val="26"/>
        </w:rPr>
        <w:t xml:space="preserve">see also </w:t>
      </w:r>
      <w:r w:rsidR="00D30BA3">
        <w:rPr>
          <w:rFonts w:cstheme="minorHAnsi"/>
          <w:sz w:val="26"/>
          <w:szCs w:val="26"/>
        </w:rPr>
        <w:t>OCA Comments at 14</w:t>
      </w:r>
      <w:r w:rsidR="001C7749">
        <w:rPr>
          <w:rFonts w:cstheme="minorHAnsi"/>
          <w:sz w:val="26"/>
          <w:szCs w:val="26"/>
        </w:rPr>
        <w:t xml:space="preserve">.  With </w:t>
      </w:r>
      <w:r w:rsidR="00D30BA3">
        <w:rPr>
          <w:rFonts w:cstheme="minorHAnsi"/>
          <w:sz w:val="26"/>
          <w:szCs w:val="26"/>
        </w:rPr>
        <w:t xml:space="preserve">IRRC’s and OCA’s </w:t>
      </w:r>
      <w:r w:rsidR="001C7749">
        <w:rPr>
          <w:rFonts w:cstheme="minorHAnsi"/>
          <w:sz w:val="26"/>
          <w:szCs w:val="26"/>
        </w:rPr>
        <w:t>suggestion</w:t>
      </w:r>
      <w:r w:rsidR="00D30BA3">
        <w:rPr>
          <w:rFonts w:cstheme="minorHAnsi"/>
          <w:sz w:val="26"/>
          <w:szCs w:val="26"/>
        </w:rPr>
        <w:t>s</w:t>
      </w:r>
      <w:r w:rsidR="001C7749">
        <w:rPr>
          <w:rFonts w:cstheme="minorHAnsi"/>
          <w:sz w:val="26"/>
          <w:szCs w:val="26"/>
        </w:rPr>
        <w:t xml:space="preserve"> for clarification in mind, we will amend and finalize this section as follows: </w:t>
      </w:r>
    </w:p>
    <w:p w:rsidR="00823CFA" w:rsidRDefault="001C7749" w:rsidP="00D51BBE">
      <w:pPr>
        <w:pStyle w:val="NoSpacing"/>
        <w:ind w:left="720" w:right="720"/>
        <w:rPr>
          <w:rFonts w:ascii="Times New Roman" w:eastAsia="Times New Roman" w:hAnsi="Times New Roman"/>
          <w:color w:val="000000"/>
          <w:spacing w:val="1"/>
          <w:sz w:val="26"/>
          <w:szCs w:val="26"/>
        </w:rPr>
      </w:pPr>
      <w:r>
        <w:rPr>
          <w:rFonts w:cstheme="minorHAnsi"/>
          <w:sz w:val="26"/>
          <w:szCs w:val="26"/>
        </w:rPr>
        <w:t xml:space="preserve">If the contract is assignable, the NGS shall </w:t>
      </w:r>
      <w:r w:rsidRPr="00761D35">
        <w:rPr>
          <w:rFonts w:cstheme="minorHAnsi"/>
          <w:sz w:val="26"/>
          <w:szCs w:val="26"/>
        </w:rPr>
        <w:t>inform</w:t>
      </w:r>
      <w:r w:rsidRPr="00761D35">
        <w:rPr>
          <w:rFonts w:ascii="Times New Roman" w:eastAsia="Times New Roman" w:hAnsi="Times New Roman"/>
          <w:color w:val="000000"/>
          <w:spacing w:val="1"/>
          <w:sz w:val="26"/>
          <w:szCs w:val="26"/>
        </w:rPr>
        <w:t xml:space="preserve"> </w:t>
      </w:r>
      <w:r w:rsidRPr="00D30BA3">
        <w:rPr>
          <w:rFonts w:ascii="Times New Roman" w:eastAsia="Times New Roman" w:hAnsi="Times New Roman"/>
          <w:color w:val="000000"/>
          <w:spacing w:val="1"/>
          <w:sz w:val="26"/>
          <w:szCs w:val="26"/>
        </w:rPr>
        <w:t xml:space="preserve">the customer </w:t>
      </w:r>
      <w:r w:rsidRPr="00D30BA3">
        <w:rPr>
          <w:rFonts w:ascii="Times New Roman" w:eastAsia="Times New Roman" w:hAnsi="Times New Roman"/>
          <w:strike/>
          <w:color w:val="000000"/>
          <w:spacing w:val="1"/>
          <w:sz w:val="26"/>
          <w:szCs w:val="26"/>
        </w:rPr>
        <w:t>accordingly</w:t>
      </w:r>
      <w:r w:rsidRPr="00D30BA3">
        <w:rPr>
          <w:rFonts w:ascii="Times New Roman" w:eastAsia="Times New Roman" w:hAnsi="Times New Roman"/>
          <w:color w:val="000000"/>
          <w:spacing w:val="1"/>
          <w:sz w:val="26"/>
          <w:szCs w:val="26"/>
        </w:rPr>
        <w:t xml:space="preserve"> </w:t>
      </w:r>
      <w:r w:rsidR="00A44637" w:rsidRPr="00A44637">
        <w:rPr>
          <w:rFonts w:ascii="Times New Roman" w:eastAsia="Times New Roman" w:hAnsi="Times New Roman"/>
          <w:b/>
          <w:color w:val="000000"/>
          <w:spacing w:val="1"/>
          <w:sz w:val="26"/>
          <w:szCs w:val="26"/>
        </w:rPr>
        <w:t xml:space="preserve">at the time the parties enter into the contract.  Prior to any contract assignment, the </w:t>
      </w:r>
      <w:r w:rsidR="00A44637">
        <w:rPr>
          <w:rFonts w:ascii="Times New Roman" w:eastAsia="Times New Roman" w:hAnsi="Times New Roman"/>
          <w:b/>
          <w:color w:val="000000"/>
          <w:spacing w:val="1"/>
          <w:sz w:val="26"/>
          <w:szCs w:val="26"/>
        </w:rPr>
        <w:t>NGS</w:t>
      </w:r>
      <w:r w:rsidR="00A44637" w:rsidRPr="00A44637">
        <w:rPr>
          <w:rFonts w:ascii="Times New Roman" w:eastAsia="Times New Roman" w:hAnsi="Times New Roman"/>
          <w:b/>
          <w:color w:val="000000"/>
          <w:spacing w:val="1"/>
          <w:sz w:val="26"/>
          <w:szCs w:val="26"/>
        </w:rPr>
        <w:t xml:space="preserve"> shall provide notice to the affected customer, the affected </w:t>
      </w:r>
      <w:r w:rsidR="00BE7B2A">
        <w:rPr>
          <w:rFonts w:ascii="Times New Roman" w:eastAsia="Times New Roman" w:hAnsi="Times New Roman"/>
          <w:b/>
          <w:color w:val="000000"/>
          <w:spacing w:val="1"/>
          <w:sz w:val="26"/>
          <w:szCs w:val="26"/>
        </w:rPr>
        <w:t>NGDC</w:t>
      </w:r>
      <w:r w:rsidR="00A44637" w:rsidRPr="00A44637">
        <w:rPr>
          <w:rFonts w:ascii="Times New Roman" w:eastAsia="Times New Roman" w:hAnsi="Times New Roman"/>
          <w:b/>
          <w:color w:val="000000"/>
          <w:spacing w:val="1"/>
          <w:sz w:val="26"/>
          <w:szCs w:val="26"/>
        </w:rPr>
        <w:t xml:space="preserve"> and </w:t>
      </w:r>
      <w:r w:rsidR="00BE7B2A">
        <w:rPr>
          <w:rFonts w:ascii="Times New Roman" w:eastAsia="Times New Roman" w:hAnsi="Times New Roman"/>
          <w:b/>
          <w:color w:val="000000"/>
          <w:spacing w:val="1"/>
          <w:sz w:val="26"/>
          <w:szCs w:val="26"/>
        </w:rPr>
        <w:t>the C</w:t>
      </w:r>
      <w:r w:rsidR="00A44637" w:rsidRPr="00A44637">
        <w:rPr>
          <w:rFonts w:ascii="Times New Roman" w:eastAsia="Times New Roman" w:hAnsi="Times New Roman"/>
          <w:b/>
          <w:color w:val="000000"/>
          <w:spacing w:val="1"/>
          <w:sz w:val="26"/>
          <w:szCs w:val="26"/>
        </w:rPr>
        <w:t>ommission.</w:t>
      </w:r>
      <w:r w:rsidRPr="00D51BBE">
        <w:rPr>
          <w:rFonts w:ascii="Times New Roman" w:eastAsia="Times New Roman" w:hAnsi="Times New Roman"/>
          <w:b/>
          <w:color w:val="000000"/>
          <w:spacing w:val="1"/>
          <w:sz w:val="26"/>
          <w:szCs w:val="26"/>
        </w:rPr>
        <w:t xml:space="preserve"> </w:t>
      </w:r>
      <w:r w:rsidR="00A44637" w:rsidRPr="00A44637">
        <w:rPr>
          <w:rFonts w:ascii="Times New Roman" w:eastAsia="Times New Roman" w:hAnsi="Times New Roman"/>
          <w:b/>
          <w:color w:val="000000"/>
          <w:spacing w:val="1"/>
          <w:sz w:val="26"/>
          <w:szCs w:val="26"/>
        </w:rPr>
        <w:t xml:space="preserve">The customer notice shall include the name of the new </w:t>
      </w:r>
      <w:r w:rsidR="00A44637">
        <w:rPr>
          <w:rFonts w:ascii="Times New Roman" w:eastAsia="Times New Roman" w:hAnsi="Times New Roman"/>
          <w:b/>
          <w:color w:val="000000"/>
          <w:spacing w:val="1"/>
          <w:sz w:val="26"/>
          <w:szCs w:val="26"/>
        </w:rPr>
        <w:t>NGS</w:t>
      </w:r>
      <w:r w:rsidR="00A44637" w:rsidRPr="00A44637">
        <w:rPr>
          <w:rFonts w:ascii="Times New Roman" w:eastAsia="Times New Roman" w:hAnsi="Times New Roman"/>
          <w:b/>
          <w:color w:val="000000"/>
          <w:spacing w:val="1"/>
          <w:sz w:val="26"/>
          <w:szCs w:val="26"/>
        </w:rPr>
        <w:t xml:space="preserve">, the contact information of the new </w:t>
      </w:r>
      <w:r w:rsidR="00A44637">
        <w:rPr>
          <w:rFonts w:ascii="Times New Roman" w:eastAsia="Times New Roman" w:hAnsi="Times New Roman"/>
          <w:b/>
          <w:color w:val="000000"/>
          <w:spacing w:val="1"/>
          <w:sz w:val="26"/>
          <w:szCs w:val="26"/>
        </w:rPr>
        <w:t>NGS</w:t>
      </w:r>
      <w:r w:rsidR="00A44637" w:rsidRPr="00A44637">
        <w:rPr>
          <w:rFonts w:ascii="Times New Roman" w:eastAsia="Times New Roman" w:hAnsi="Times New Roman"/>
          <w:b/>
          <w:color w:val="000000"/>
          <w:spacing w:val="1"/>
          <w:sz w:val="26"/>
          <w:szCs w:val="26"/>
        </w:rPr>
        <w:t xml:space="preserve"> and language informing the customer that their contract terms and conditions remain unchanged</w:t>
      </w:r>
      <w:r w:rsidRPr="00D30BA3">
        <w:rPr>
          <w:rFonts w:ascii="Times New Roman" w:eastAsia="Times New Roman" w:hAnsi="Times New Roman"/>
          <w:color w:val="000000"/>
          <w:spacing w:val="1"/>
          <w:sz w:val="26"/>
          <w:szCs w:val="26"/>
        </w:rPr>
        <w:t>.</w:t>
      </w:r>
      <w:r w:rsidR="00E7439F">
        <w:rPr>
          <w:rFonts w:ascii="Times New Roman" w:eastAsia="Times New Roman" w:hAnsi="Times New Roman"/>
          <w:color w:val="000000"/>
          <w:spacing w:val="1"/>
          <w:sz w:val="26"/>
          <w:szCs w:val="26"/>
        </w:rPr>
        <w:t xml:space="preserve">  </w:t>
      </w:r>
    </w:p>
    <w:p w:rsidR="008C41C4" w:rsidRDefault="00D30BA3" w:rsidP="00D51BBE">
      <w:pPr>
        <w:pStyle w:val="NoSpacing"/>
        <w:spacing w:before="240" w:line="360" w:lineRule="auto"/>
        <w:rPr>
          <w:rFonts w:ascii="Times New Roman" w:eastAsia="Times New Roman" w:hAnsi="Times New Roman"/>
          <w:color w:val="000000"/>
          <w:spacing w:val="1"/>
          <w:sz w:val="26"/>
          <w:szCs w:val="26"/>
        </w:rPr>
      </w:pPr>
      <w:r>
        <w:rPr>
          <w:rFonts w:ascii="Times New Roman" w:eastAsia="Times New Roman" w:hAnsi="Times New Roman"/>
          <w:i/>
          <w:color w:val="000000"/>
          <w:spacing w:val="1"/>
          <w:sz w:val="26"/>
          <w:szCs w:val="26"/>
        </w:rPr>
        <w:t xml:space="preserve">See </w:t>
      </w:r>
      <w:r>
        <w:rPr>
          <w:rFonts w:ascii="Times New Roman" w:eastAsia="Times New Roman" w:hAnsi="Times New Roman"/>
          <w:color w:val="000000"/>
          <w:spacing w:val="1"/>
          <w:sz w:val="26"/>
          <w:szCs w:val="26"/>
        </w:rPr>
        <w:t xml:space="preserve">Annex A, Section 62.75(j).  </w:t>
      </w:r>
    </w:p>
    <w:p w:rsidR="00AA45D6" w:rsidRDefault="00AA45D6" w:rsidP="00D51BBE">
      <w:pPr>
        <w:pStyle w:val="NoSpacing"/>
        <w:spacing w:before="240" w:line="360" w:lineRule="auto"/>
        <w:rPr>
          <w:rFonts w:ascii="Times New Roman" w:eastAsia="Times New Roman" w:hAnsi="Times New Roman"/>
          <w:color w:val="000000"/>
          <w:spacing w:val="1"/>
          <w:sz w:val="26"/>
          <w:szCs w:val="26"/>
        </w:rPr>
      </w:pPr>
    </w:p>
    <w:p w:rsidR="00416D61" w:rsidRPr="00BE07F6" w:rsidRDefault="00416D61" w:rsidP="00416D61">
      <w:pPr>
        <w:keepNext/>
        <w:keepLines/>
        <w:spacing w:line="360" w:lineRule="auto"/>
        <w:rPr>
          <w:rFonts w:ascii="Times New Roman" w:eastAsia="Times New Roman" w:hAnsi="Times New Roman"/>
          <w:color w:val="000000"/>
          <w:spacing w:val="4"/>
          <w:sz w:val="26"/>
          <w:szCs w:val="26"/>
          <w:u w:val="single"/>
        </w:rPr>
      </w:pPr>
      <w:r>
        <w:rPr>
          <w:rFonts w:cstheme="minorHAnsi"/>
          <w:b/>
          <w:sz w:val="26"/>
          <w:szCs w:val="26"/>
        </w:rPr>
        <w:t>Disposition of Contract Sum</w:t>
      </w:r>
      <w:r w:rsidRPr="005931B8">
        <w:rPr>
          <w:rFonts w:cstheme="minorHAnsi"/>
          <w:b/>
          <w:sz w:val="26"/>
          <w:szCs w:val="26"/>
        </w:rPr>
        <w:t xml:space="preserve">maries </w:t>
      </w:r>
      <w:r>
        <w:rPr>
          <w:rFonts w:cstheme="minorHAnsi"/>
          <w:b/>
          <w:sz w:val="26"/>
          <w:szCs w:val="26"/>
        </w:rPr>
        <w:t xml:space="preserve">and </w:t>
      </w:r>
      <w:r w:rsidRPr="005931B8">
        <w:rPr>
          <w:rFonts w:ascii="Times New Roman" w:eastAsia="Times New Roman" w:hAnsi="Times New Roman"/>
          <w:b/>
          <w:color w:val="000000"/>
          <w:spacing w:val="4"/>
          <w:sz w:val="26"/>
          <w:szCs w:val="26"/>
        </w:rPr>
        <w:t>Supplier Requests for Com</w:t>
      </w:r>
      <w:r>
        <w:rPr>
          <w:rFonts w:ascii="Times New Roman" w:eastAsia="Times New Roman" w:hAnsi="Times New Roman"/>
          <w:b/>
          <w:color w:val="000000"/>
          <w:spacing w:val="4"/>
          <w:sz w:val="26"/>
          <w:szCs w:val="26"/>
        </w:rPr>
        <w:t xml:space="preserve">mission Review </w:t>
      </w:r>
    </w:p>
    <w:p w:rsidR="00416D61" w:rsidRDefault="00017856" w:rsidP="005D4FAA">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u w:val="single"/>
        </w:rPr>
        <w:t xml:space="preserve">Contract Summaries </w:t>
      </w:r>
      <w:r w:rsidR="008E7C39">
        <w:rPr>
          <w:rFonts w:asciiTheme="minorHAnsi" w:hAnsiTheme="minorHAnsi" w:cstheme="minorHAnsi"/>
          <w:sz w:val="26"/>
          <w:szCs w:val="26"/>
          <w:u w:val="single"/>
        </w:rPr>
        <w:t>Referenced in</w:t>
      </w:r>
      <w:r>
        <w:rPr>
          <w:rFonts w:asciiTheme="minorHAnsi" w:hAnsiTheme="minorHAnsi" w:cstheme="minorHAnsi"/>
          <w:sz w:val="26"/>
          <w:szCs w:val="26"/>
          <w:u w:val="single"/>
        </w:rPr>
        <w:t xml:space="preserve"> Section 62.75(</w:t>
      </w:r>
      <w:proofErr w:type="spellStart"/>
      <w:r>
        <w:rPr>
          <w:rFonts w:asciiTheme="minorHAnsi" w:hAnsiTheme="minorHAnsi" w:cstheme="minorHAnsi"/>
          <w:sz w:val="26"/>
          <w:szCs w:val="26"/>
          <w:u w:val="single"/>
        </w:rPr>
        <w:t>i</w:t>
      </w:r>
      <w:proofErr w:type="spellEnd"/>
      <w:r>
        <w:rPr>
          <w:rFonts w:asciiTheme="minorHAnsi" w:hAnsiTheme="minorHAnsi" w:cstheme="minorHAnsi"/>
          <w:sz w:val="26"/>
          <w:szCs w:val="26"/>
          <w:u w:val="single"/>
        </w:rPr>
        <w:t>)</w:t>
      </w:r>
    </w:p>
    <w:p w:rsidR="0015220B" w:rsidRPr="00AE3817" w:rsidRDefault="00017856" w:rsidP="005D4FAA">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r>
      <w:r w:rsidR="00BE7B2A">
        <w:rPr>
          <w:rFonts w:asciiTheme="minorHAnsi" w:hAnsiTheme="minorHAnsi" w:cstheme="minorHAnsi"/>
          <w:sz w:val="26"/>
          <w:szCs w:val="26"/>
        </w:rPr>
        <w:t>The Commission will not change</w:t>
      </w:r>
      <w:r>
        <w:rPr>
          <w:rFonts w:asciiTheme="minorHAnsi" w:hAnsiTheme="minorHAnsi" w:cstheme="minorHAnsi"/>
          <w:sz w:val="26"/>
          <w:szCs w:val="26"/>
        </w:rPr>
        <w:t xml:space="preserve"> the proposed language in Section 62.75(</w:t>
      </w:r>
      <w:proofErr w:type="spellStart"/>
      <w:r>
        <w:rPr>
          <w:rFonts w:asciiTheme="minorHAnsi" w:hAnsiTheme="minorHAnsi" w:cstheme="minorHAnsi"/>
          <w:sz w:val="26"/>
          <w:szCs w:val="26"/>
        </w:rPr>
        <w:t>i</w:t>
      </w:r>
      <w:proofErr w:type="spellEnd"/>
      <w:r>
        <w:rPr>
          <w:rFonts w:asciiTheme="minorHAnsi" w:hAnsiTheme="minorHAnsi" w:cstheme="minorHAnsi"/>
          <w:sz w:val="26"/>
          <w:szCs w:val="26"/>
        </w:rPr>
        <w:t xml:space="preserve">), which will be finalized as follows: “The NGS shall provide, with the disclosure statement, a </w:t>
      </w:r>
      <w:r>
        <w:rPr>
          <w:rFonts w:asciiTheme="minorHAnsi" w:hAnsiTheme="minorHAnsi" w:cstheme="minorHAnsi"/>
          <w:sz w:val="26"/>
          <w:szCs w:val="26"/>
        </w:rPr>
        <w:lastRenderedPageBreak/>
        <w:t xml:space="preserve">separate NGS contract summary in a format provided by the Commission.”  </w:t>
      </w:r>
      <w:r>
        <w:rPr>
          <w:rFonts w:asciiTheme="minorHAnsi" w:hAnsiTheme="minorHAnsi" w:cstheme="minorHAnsi"/>
          <w:i/>
          <w:sz w:val="26"/>
          <w:szCs w:val="26"/>
        </w:rPr>
        <w:t>See</w:t>
      </w:r>
      <w:r>
        <w:rPr>
          <w:rFonts w:asciiTheme="minorHAnsi" w:hAnsiTheme="minorHAnsi" w:cstheme="minorHAnsi"/>
          <w:sz w:val="26"/>
          <w:szCs w:val="26"/>
        </w:rPr>
        <w:t xml:space="preserve"> Annex A, Section 62.75(</w:t>
      </w:r>
      <w:proofErr w:type="spellStart"/>
      <w:r>
        <w:rPr>
          <w:rFonts w:asciiTheme="minorHAnsi" w:hAnsiTheme="minorHAnsi" w:cstheme="minorHAnsi"/>
          <w:sz w:val="26"/>
          <w:szCs w:val="26"/>
        </w:rPr>
        <w:t>i</w:t>
      </w:r>
      <w:proofErr w:type="spellEnd"/>
      <w:r>
        <w:rPr>
          <w:rFonts w:asciiTheme="minorHAnsi" w:hAnsiTheme="minorHAnsi" w:cstheme="minorHAnsi"/>
          <w:sz w:val="26"/>
          <w:szCs w:val="26"/>
        </w:rPr>
        <w:t>).  We emphasize that the contract summary</w:t>
      </w:r>
      <w:r w:rsidR="0015220B">
        <w:rPr>
          <w:rFonts w:asciiTheme="minorHAnsi" w:hAnsiTheme="minorHAnsi" w:cstheme="minorHAnsi"/>
          <w:sz w:val="26"/>
          <w:szCs w:val="26"/>
        </w:rPr>
        <w:t xml:space="preserve"> </w:t>
      </w:r>
      <w:r>
        <w:rPr>
          <w:rFonts w:asciiTheme="minorHAnsi" w:hAnsiTheme="minorHAnsi" w:cstheme="minorHAnsi"/>
          <w:sz w:val="26"/>
          <w:szCs w:val="26"/>
        </w:rPr>
        <w:t>will not be embedded in the regulation</w:t>
      </w:r>
      <w:r w:rsidR="0015220B">
        <w:rPr>
          <w:rFonts w:asciiTheme="minorHAnsi" w:hAnsiTheme="minorHAnsi" w:cstheme="minorHAnsi"/>
          <w:sz w:val="26"/>
          <w:szCs w:val="26"/>
        </w:rPr>
        <w:t>s, as this will allow the Commission the flexibility to more easily and readily revise the contract summary in the future</w:t>
      </w:r>
      <w:r w:rsidR="00A44637">
        <w:rPr>
          <w:rFonts w:asciiTheme="minorHAnsi" w:hAnsiTheme="minorHAnsi" w:cstheme="minorHAnsi"/>
          <w:sz w:val="26"/>
          <w:szCs w:val="26"/>
        </w:rPr>
        <w:t>, with stakeholder input,</w:t>
      </w:r>
      <w:r w:rsidR="0015220B">
        <w:rPr>
          <w:rFonts w:asciiTheme="minorHAnsi" w:hAnsiTheme="minorHAnsi" w:cstheme="minorHAnsi"/>
          <w:sz w:val="26"/>
          <w:szCs w:val="26"/>
        </w:rPr>
        <w:t xml:space="preserve"> </w:t>
      </w:r>
      <w:r w:rsidR="00C5373B">
        <w:rPr>
          <w:rFonts w:asciiTheme="minorHAnsi" w:hAnsiTheme="minorHAnsi" w:cstheme="minorHAnsi"/>
          <w:sz w:val="26"/>
          <w:szCs w:val="26"/>
        </w:rPr>
        <w:t>to address arising issues or changes in the evolving energy markets</w:t>
      </w:r>
      <w:r>
        <w:rPr>
          <w:rFonts w:asciiTheme="minorHAnsi" w:hAnsiTheme="minorHAnsi" w:cstheme="minorHAnsi"/>
          <w:sz w:val="26"/>
          <w:szCs w:val="26"/>
        </w:rPr>
        <w:t>.</w:t>
      </w:r>
      <w:r w:rsidR="00C5373B">
        <w:rPr>
          <w:rFonts w:asciiTheme="minorHAnsi" w:hAnsiTheme="minorHAnsi" w:cstheme="minorHAnsi"/>
          <w:sz w:val="26"/>
          <w:szCs w:val="26"/>
        </w:rPr>
        <w:t xml:space="preserve">  </w:t>
      </w:r>
      <w:r w:rsidR="00C5373B">
        <w:rPr>
          <w:rFonts w:asciiTheme="minorHAnsi" w:hAnsiTheme="minorHAnsi" w:cstheme="minorHAnsi"/>
          <w:i/>
          <w:sz w:val="26"/>
          <w:szCs w:val="26"/>
        </w:rPr>
        <w:t>See Proposed Rulemaking Order</w:t>
      </w:r>
      <w:r w:rsidR="00C5373B">
        <w:rPr>
          <w:rFonts w:asciiTheme="minorHAnsi" w:hAnsiTheme="minorHAnsi" w:cstheme="minorHAnsi"/>
          <w:sz w:val="26"/>
          <w:szCs w:val="26"/>
        </w:rPr>
        <w:t xml:space="preserve">, Docket L-2015-246594 at </w:t>
      </w:r>
      <w:r w:rsidR="00434C51">
        <w:rPr>
          <w:rFonts w:asciiTheme="minorHAnsi" w:hAnsiTheme="minorHAnsi" w:cstheme="minorHAnsi"/>
          <w:sz w:val="26"/>
          <w:szCs w:val="26"/>
        </w:rPr>
        <w:t xml:space="preserve">p. </w:t>
      </w:r>
      <w:r w:rsidR="00C5373B">
        <w:rPr>
          <w:rFonts w:asciiTheme="minorHAnsi" w:hAnsiTheme="minorHAnsi" w:cstheme="minorHAnsi"/>
          <w:sz w:val="26"/>
          <w:szCs w:val="26"/>
        </w:rPr>
        <w:t>16</w:t>
      </w:r>
      <w:r w:rsidR="00E42662">
        <w:rPr>
          <w:rFonts w:asciiTheme="minorHAnsi" w:hAnsiTheme="minorHAnsi" w:cstheme="minorHAnsi"/>
          <w:sz w:val="26"/>
          <w:szCs w:val="26"/>
        </w:rPr>
        <w:t xml:space="preserve">; </w:t>
      </w:r>
      <w:r w:rsidR="00E42662">
        <w:rPr>
          <w:rFonts w:asciiTheme="minorHAnsi" w:hAnsiTheme="minorHAnsi" w:cstheme="minorHAnsi"/>
          <w:i/>
          <w:sz w:val="26"/>
          <w:szCs w:val="26"/>
        </w:rPr>
        <w:t>see also Final Omitted Rulemaking Order Re Electric Disclosure Statement</w:t>
      </w:r>
      <w:r w:rsidR="00E42662">
        <w:rPr>
          <w:rFonts w:asciiTheme="minorHAnsi" w:hAnsiTheme="minorHAnsi" w:cstheme="minorHAnsi"/>
          <w:sz w:val="26"/>
          <w:szCs w:val="26"/>
        </w:rPr>
        <w:t>, Docket No. L-2014-</w:t>
      </w:r>
      <w:r w:rsidR="00E42662">
        <w:rPr>
          <w:rFonts w:cstheme="minorHAnsi"/>
          <w:color w:val="000000"/>
          <w:sz w:val="26"/>
          <w:szCs w:val="26"/>
        </w:rPr>
        <w:t xml:space="preserve">2409385 at </w:t>
      </w:r>
      <w:r w:rsidR="00434C51">
        <w:rPr>
          <w:rFonts w:cstheme="minorHAnsi"/>
          <w:color w:val="000000"/>
          <w:sz w:val="26"/>
          <w:szCs w:val="26"/>
        </w:rPr>
        <w:t xml:space="preserve">pp. </w:t>
      </w:r>
      <w:r w:rsidR="00E42662">
        <w:rPr>
          <w:rFonts w:cstheme="minorHAnsi"/>
          <w:color w:val="000000"/>
          <w:sz w:val="26"/>
          <w:szCs w:val="26"/>
        </w:rPr>
        <w:t>15, 21, 25-27 (Final Order entered Apr</w:t>
      </w:r>
      <w:r w:rsidR="00E7439F">
        <w:rPr>
          <w:rFonts w:cstheme="minorHAnsi"/>
          <w:color w:val="000000"/>
          <w:sz w:val="26"/>
          <w:szCs w:val="26"/>
        </w:rPr>
        <w:t>il</w:t>
      </w:r>
      <w:r w:rsidR="00E42662">
        <w:rPr>
          <w:rFonts w:cstheme="minorHAnsi"/>
          <w:color w:val="000000"/>
          <w:sz w:val="26"/>
          <w:szCs w:val="26"/>
        </w:rPr>
        <w:t xml:space="preserve"> 3, 2014)</w:t>
      </w:r>
      <w:r w:rsidR="00C5373B">
        <w:rPr>
          <w:rFonts w:asciiTheme="minorHAnsi" w:hAnsiTheme="minorHAnsi" w:cstheme="minorHAnsi"/>
          <w:sz w:val="26"/>
          <w:szCs w:val="26"/>
        </w:rPr>
        <w:t>.</w:t>
      </w:r>
      <w:r w:rsidR="00AE3817">
        <w:rPr>
          <w:rFonts w:asciiTheme="minorHAnsi" w:hAnsiTheme="minorHAnsi" w:cstheme="minorHAnsi"/>
          <w:sz w:val="26"/>
          <w:szCs w:val="26"/>
        </w:rPr>
        <w:t xml:space="preserve">  In response to IRRC’s concern that stakeholders </w:t>
      </w:r>
      <w:r w:rsidR="00A44637">
        <w:rPr>
          <w:rFonts w:asciiTheme="minorHAnsi" w:hAnsiTheme="minorHAnsi" w:cstheme="minorHAnsi"/>
          <w:sz w:val="26"/>
          <w:szCs w:val="26"/>
        </w:rPr>
        <w:t xml:space="preserve">may </w:t>
      </w:r>
      <w:r w:rsidR="00AE3817">
        <w:rPr>
          <w:rFonts w:asciiTheme="minorHAnsi" w:hAnsiTheme="minorHAnsi" w:cstheme="minorHAnsi"/>
          <w:sz w:val="26"/>
          <w:szCs w:val="26"/>
        </w:rPr>
        <w:t xml:space="preserve">not be provided an opportunity to comment on any proposed revisions to the </w:t>
      </w:r>
      <w:r w:rsidR="00BE7B2A">
        <w:rPr>
          <w:rFonts w:asciiTheme="minorHAnsi" w:hAnsiTheme="minorHAnsi" w:cstheme="minorHAnsi"/>
          <w:sz w:val="26"/>
          <w:szCs w:val="26"/>
        </w:rPr>
        <w:t>c</w:t>
      </w:r>
      <w:r w:rsidR="007A1029">
        <w:rPr>
          <w:rFonts w:asciiTheme="minorHAnsi" w:hAnsiTheme="minorHAnsi" w:cstheme="minorHAnsi"/>
          <w:sz w:val="26"/>
          <w:szCs w:val="26"/>
        </w:rPr>
        <w:t>ontract</w:t>
      </w:r>
      <w:r w:rsidR="00AE3817">
        <w:rPr>
          <w:rFonts w:asciiTheme="minorHAnsi" w:hAnsiTheme="minorHAnsi" w:cstheme="minorHAnsi"/>
          <w:sz w:val="26"/>
          <w:szCs w:val="26"/>
        </w:rPr>
        <w:t xml:space="preserve"> </w:t>
      </w:r>
      <w:r w:rsidR="00BE7B2A">
        <w:rPr>
          <w:rFonts w:asciiTheme="minorHAnsi" w:hAnsiTheme="minorHAnsi" w:cstheme="minorHAnsi"/>
          <w:sz w:val="26"/>
          <w:szCs w:val="26"/>
        </w:rPr>
        <w:t>s</w:t>
      </w:r>
      <w:r w:rsidR="00AE3817">
        <w:rPr>
          <w:rFonts w:asciiTheme="minorHAnsi" w:hAnsiTheme="minorHAnsi" w:cstheme="minorHAnsi"/>
          <w:sz w:val="26"/>
          <w:szCs w:val="26"/>
        </w:rPr>
        <w:t xml:space="preserve">ummary, the Commission </w:t>
      </w:r>
      <w:r w:rsidR="00A44637">
        <w:rPr>
          <w:rFonts w:asciiTheme="minorHAnsi" w:hAnsiTheme="minorHAnsi" w:cstheme="minorHAnsi"/>
          <w:sz w:val="26"/>
          <w:szCs w:val="26"/>
        </w:rPr>
        <w:t xml:space="preserve">notes that as the </w:t>
      </w:r>
      <w:r w:rsidR="00BE7B2A">
        <w:rPr>
          <w:rFonts w:asciiTheme="minorHAnsi" w:hAnsiTheme="minorHAnsi" w:cstheme="minorHAnsi"/>
          <w:sz w:val="26"/>
          <w:szCs w:val="26"/>
        </w:rPr>
        <w:t>c</w:t>
      </w:r>
      <w:r w:rsidR="00A44637">
        <w:rPr>
          <w:rFonts w:asciiTheme="minorHAnsi" w:hAnsiTheme="minorHAnsi" w:cstheme="minorHAnsi"/>
          <w:sz w:val="26"/>
          <w:szCs w:val="26"/>
        </w:rPr>
        <w:t>o</w:t>
      </w:r>
      <w:r w:rsidR="007A1029">
        <w:rPr>
          <w:rFonts w:asciiTheme="minorHAnsi" w:hAnsiTheme="minorHAnsi" w:cstheme="minorHAnsi"/>
          <w:sz w:val="26"/>
          <w:szCs w:val="26"/>
        </w:rPr>
        <w:t>ntract</w:t>
      </w:r>
      <w:r w:rsidR="00A44637">
        <w:rPr>
          <w:rFonts w:asciiTheme="minorHAnsi" w:hAnsiTheme="minorHAnsi" w:cstheme="minorHAnsi"/>
          <w:sz w:val="26"/>
          <w:szCs w:val="26"/>
        </w:rPr>
        <w:t xml:space="preserve"> </w:t>
      </w:r>
      <w:r w:rsidR="00BE7B2A">
        <w:rPr>
          <w:rFonts w:asciiTheme="minorHAnsi" w:hAnsiTheme="minorHAnsi" w:cstheme="minorHAnsi"/>
          <w:sz w:val="26"/>
          <w:szCs w:val="26"/>
        </w:rPr>
        <w:t>s</w:t>
      </w:r>
      <w:r w:rsidR="00A44637">
        <w:rPr>
          <w:rFonts w:asciiTheme="minorHAnsi" w:hAnsiTheme="minorHAnsi" w:cstheme="minorHAnsi"/>
          <w:sz w:val="26"/>
          <w:szCs w:val="26"/>
        </w:rPr>
        <w:t>ummary is being adopted as written in Attachment A to this Order</w:t>
      </w:r>
      <w:r w:rsidR="00BE7B2A">
        <w:rPr>
          <w:rFonts w:asciiTheme="minorHAnsi" w:hAnsiTheme="minorHAnsi" w:cstheme="minorHAnsi"/>
          <w:sz w:val="26"/>
          <w:szCs w:val="26"/>
        </w:rPr>
        <w:t>.  T</w:t>
      </w:r>
      <w:r w:rsidR="00A44637">
        <w:rPr>
          <w:rFonts w:asciiTheme="minorHAnsi" w:hAnsiTheme="minorHAnsi" w:cstheme="minorHAnsi"/>
          <w:sz w:val="26"/>
          <w:szCs w:val="26"/>
        </w:rPr>
        <w:t xml:space="preserve">he Commission is required to give all stakeholders notice and an opportunity to be heard prior to rescinding or amending this </w:t>
      </w:r>
      <w:r w:rsidR="00BE7B2A">
        <w:rPr>
          <w:rFonts w:asciiTheme="minorHAnsi" w:hAnsiTheme="minorHAnsi" w:cstheme="minorHAnsi"/>
          <w:sz w:val="26"/>
          <w:szCs w:val="26"/>
        </w:rPr>
        <w:t>c</w:t>
      </w:r>
      <w:r w:rsidR="00A44637">
        <w:rPr>
          <w:rFonts w:asciiTheme="minorHAnsi" w:hAnsiTheme="minorHAnsi" w:cstheme="minorHAnsi"/>
          <w:sz w:val="26"/>
          <w:szCs w:val="26"/>
        </w:rPr>
        <w:t>o</w:t>
      </w:r>
      <w:r w:rsidR="007A1029">
        <w:rPr>
          <w:rFonts w:asciiTheme="minorHAnsi" w:hAnsiTheme="minorHAnsi" w:cstheme="minorHAnsi"/>
          <w:sz w:val="26"/>
          <w:szCs w:val="26"/>
        </w:rPr>
        <w:t xml:space="preserve">ntract </w:t>
      </w:r>
      <w:r w:rsidR="00BE7B2A">
        <w:rPr>
          <w:rFonts w:asciiTheme="minorHAnsi" w:hAnsiTheme="minorHAnsi" w:cstheme="minorHAnsi"/>
          <w:sz w:val="26"/>
          <w:szCs w:val="26"/>
        </w:rPr>
        <w:t>s</w:t>
      </w:r>
      <w:r w:rsidR="00A44637">
        <w:rPr>
          <w:rFonts w:asciiTheme="minorHAnsi" w:hAnsiTheme="minorHAnsi" w:cstheme="minorHAnsi"/>
          <w:sz w:val="26"/>
          <w:szCs w:val="26"/>
        </w:rPr>
        <w:t xml:space="preserve">ummary.  </w:t>
      </w:r>
      <w:r w:rsidR="00A44637" w:rsidRPr="00BE7B2A">
        <w:rPr>
          <w:rFonts w:asciiTheme="minorHAnsi" w:hAnsiTheme="minorHAnsi" w:cstheme="minorHAnsi"/>
          <w:i/>
          <w:sz w:val="26"/>
          <w:szCs w:val="26"/>
        </w:rPr>
        <w:t>See</w:t>
      </w:r>
      <w:r w:rsidR="00A44637">
        <w:rPr>
          <w:rFonts w:asciiTheme="minorHAnsi" w:hAnsiTheme="minorHAnsi" w:cstheme="minorHAnsi"/>
          <w:sz w:val="26"/>
          <w:szCs w:val="26"/>
        </w:rPr>
        <w:t xml:space="preserve"> 66 Pa. C.S. § 703(g)</w:t>
      </w:r>
      <w:r w:rsidR="00BE7B2A">
        <w:rPr>
          <w:rFonts w:asciiTheme="minorHAnsi" w:hAnsiTheme="minorHAnsi" w:cstheme="minorHAnsi"/>
          <w:sz w:val="26"/>
          <w:szCs w:val="26"/>
        </w:rPr>
        <w:t xml:space="preserve"> (relating to rescission or amendment of orders)</w:t>
      </w:r>
      <w:r w:rsidR="00A44637">
        <w:rPr>
          <w:rFonts w:asciiTheme="minorHAnsi" w:hAnsiTheme="minorHAnsi" w:cstheme="minorHAnsi"/>
          <w:sz w:val="26"/>
          <w:szCs w:val="26"/>
        </w:rPr>
        <w:t xml:space="preserve">.  The Commission has and will continue to </w:t>
      </w:r>
      <w:r w:rsidR="000135F9">
        <w:rPr>
          <w:rFonts w:asciiTheme="minorHAnsi" w:hAnsiTheme="minorHAnsi" w:cstheme="minorHAnsi"/>
          <w:sz w:val="26"/>
          <w:szCs w:val="26"/>
        </w:rPr>
        <w:t>comply with this statutory requirement.</w:t>
      </w:r>
    </w:p>
    <w:p w:rsidR="0015220B" w:rsidRDefault="0015220B" w:rsidP="005D4FAA">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r>
    </w:p>
    <w:p w:rsidR="00D628C0" w:rsidRDefault="0015220B" w:rsidP="005D4FAA">
      <w:pPr>
        <w:pStyle w:val="p3"/>
        <w:tabs>
          <w:tab w:val="clear" w:pos="204"/>
        </w:tabs>
        <w:spacing w:line="360" w:lineRule="auto"/>
        <w:rPr>
          <w:rFonts w:asciiTheme="minorHAnsi" w:hAnsiTheme="minorHAnsi" w:cstheme="minorHAnsi"/>
          <w:i/>
          <w:sz w:val="26"/>
          <w:szCs w:val="26"/>
        </w:rPr>
      </w:pPr>
      <w:r>
        <w:rPr>
          <w:rFonts w:asciiTheme="minorHAnsi" w:hAnsiTheme="minorHAnsi" w:cstheme="minorHAnsi"/>
          <w:sz w:val="26"/>
          <w:szCs w:val="26"/>
        </w:rPr>
        <w:tab/>
        <w:t xml:space="preserve">The parties generally agree as to the basic proposed framework for </w:t>
      </w:r>
      <w:r w:rsidR="00C5373B">
        <w:rPr>
          <w:rFonts w:asciiTheme="minorHAnsi" w:hAnsiTheme="minorHAnsi" w:cstheme="minorHAnsi"/>
          <w:sz w:val="26"/>
          <w:szCs w:val="26"/>
        </w:rPr>
        <w:t xml:space="preserve">and benefits of </w:t>
      </w:r>
      <w:r>
        <w:rPr>
          <w:rFonts w:asciiTheme="minorHAnsi" w:hAnsiTheme="minorHAnsi" w:cstheme="minorHAnsi"/>
          <w:sz w:val="26"/>
          <w:szCs w:val="26"/>
        </w:rPr>
        <w:t xml:space="preserve">the one-page contract summary.  </w:t>
      </w:r>
      <w:r>
        <w:rPr>
          <w:rFonts w:asciiTheme="minorHAnsi" w:hAnsiTheme="minorHAnsi" w:cstheme="minorHAnsi"/>
          <w:i/>
          <w:sz w:val="26"/>
          <w:szCs w:val="26"/>
        </w:rPr>
        <w:t>See</w:t>
      </w:r>
      <w:r>
        <w:rPr>
          <w:rFonts w:asciiTheme="minorHAnsi" w:hAnsiTheme="minorHAnsi" w:cstheme="minorHAnsi"/>
          <w:sz w:val="26"/>
          <w:szCs w:val="26"/>
        </w:rPr>
        <w:t xml:space="preserve"> RESA Comments at 10-12, WGL Comments at 5-6, National Marketers Comments at 5, PA Marketers Comments at 5-6, OCA Comments at 12-14.</w:t>
      </w:r>
      <w:r w:rsidR="00E42662">
        <w:rPr>
          <w:rFonts w:asciiTheme="minorHAnsi" w:hAnsiTheme="minorHAnsi" w:cstheme="minorHAnsi"/>
          <w:sz w:val="26"/>
          <w:szCs w:val="26"/>
        </w:rPr>
        <w:t xml:space="preserve">  RESA contends that Commission revisions to the contract summary should be published in the </w:t>
      </w:r>
      <w:r w:rsidR="00E42662">
        <w:rPr>
          <w:rFonts w:asciiTheme="minorHAnsi" w:hAnsiTheme="minorHAnsi" w:cstheme="minorHAnsi"/>
          <w:i/>
          <w:sz w:val="26"/>
          <w:szCs w:val="26"/>
        </w:rPr>
        <w:t>Pennsylvania Bulletin</w:t>
      </w:r>
      <w:r w:rsidR="00E42662">
        <w:rPr>
          <w:rFonts w:asciiTheme="minorHAnsi" w:hAnsiTheme="minorHAnsi" w:cstheme="minorHAnsi"/>
          <w:sz w:val="26"/>
          <w:szCs w:val="26"/>
        </w:rPr>
        <w:t xml:space="preserve"> in order to effectuate proper notice.  </w:t>
      </w:r>
      <w:r w:rsidR="00761D35">
        <w:rPr>
          <w:rFonts w:asciiTheme="minorHAnsi" w:hAnsiTheme="minorHAnsi" w:cstheme="minorHAnsi"/>
          <w:sz w:val="26"/>
          <w:szCs w:val="26"/>
        </w:rPr>
        <w:t>In response to this concern, t</w:t>
      </w:r>
      <w:r w:rsidR="00E42662">
        <w:rPr>
          <w:rFonts w:asciiTheme="minorHAnsi" w:hAnsiTheme="minorHAnsi" w:cstheme="minorHAnsi"/>
          <w:sz w:val="26"/>
          <w:szCs w:val="26"/>
        </w:rPr>
        <w:t xml:space="preserve">he Commission will include a copy of the most updated contract summary on its website.  If the Commission </w:t>
      </w:r>
      <w:r w:rsidR="000135F9">
        <w:rPr>
          <w:rFonts w:asciiTheme="minorHAnsi" w:hAnsiTheme="minorHAnsi" w:cstheme="minorHAnsi"/>
          <w:sz w:val="26"/>
          <w:szCs w:val="26"/>
        </w:rPr>
        <w:t xml:space="preserve">or any other stakeholder seeks to </w:t>
      </w:r>
      <w:r w:rsidR="00D628C0">
        <w:rPr>
          <w:rFonts w:asciiTheme="minorHAnsi" w:hAnsiTheme="minorHAnsi" w:cstheme="minorHAnsi"/>
          <w:sz w:val="26"/>
          <w:szCs w:val="26"/>
        </w:rPr>
        <w:t xml:space="preserve">revise the contract summary, the Commission will </w:t>
      </w:r>
      <w:r w:rsidR="000135F9">
        <w:rPr>
          <w:rFonts w:asciiTheme="minorHAnsi" w:hAnsiTheme="minorHAnsi" w:cstheme="minorHAnsi"/>
          <w:sz w:val="26"/>
          <w:szCs w:val="26"/>
        </w:rPr>
        <w:t>ensure that proper notice is given to all interested stakeholders as required by law</w:t>
      </w:r>
      <w:r w:rsidR="00D628C0">
        <w:rPr>
          <w:rFonts w:asciiTheme="minorHAnsi" w:hAnsiTheme="minorHAnsi" w:cstheme="minorHAnsi"/>
          <w:i/>
          <w:sz w:val="26"/>
          <w:szCs w:val="26"/>
        </w:rPr>
        <w:t>.</w:t>
      </w:r>
    </w:p>
    <w:p w:rsidR="001C53EF" w:rsidRDefault="001C53EF" w:rsidP="005D4FAA">
      <w:pPr>
        <w:pStyle w:val="p3"/>
        <w:tabs>
          <w:tab w:val="clear" w:pos="204"/>
        </w:tabs>
        <w:spacing w:line="360" w:lineRule="auto"/>
        <w:rPr>
          <w:rFonts w:asciiTheme="minorHAnsi" w:hAnsiTheme="minorHAnsi" w:cstheme="minorHAnsi"/>
          <w:i/>
          <w:sz w:val="26"/>
          <w:szCs w:val="26"/>
        </w:rPr>
      </w:pPr>
    </w:p>
    <w:p w:rsidR="000135F9" w:rsidRDefault="00D628C0" w:rsidP="005D4FAA">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t>The supplier commun</w:t>
      </w:r>
      <w:r w:rsidR="00F5324D">
        <w:rPr>
          <w:rFonts w:asciiTheme="minorHAnsi" w:hAnsiTheme="minorHAnsi" w:cstheme="minorHAnsi"/>
          <w:sz w:val="26"/>
          <w:szCs w:val="26"/>
        </w:rPr>
        <w:t xml:space="preserve">ity requests that </w:t>
      </w:r>
      <w:r w:rsidR="00FC6966">
        <w:rPr>
          <w:rFonts w:asciiTheme="minorHAnsi" w:hAnsiTheme="minorHAnsi" w:cstheme="minorHAnsi"/>
          <w:i/>
          <w:sz w:val="26"/>
          <w:szCs w:val="26"/>
        </w:rPr>
        <w:t>Contract Start D</w:t>
      </w:r>
      <w:r w:rsidR="00F5324D" w:rsidRPr="00761D35">
        <w:rPr>
          <w:rFonts w:asciiTheme="minorHAnsi" w:hAnsiTheme="minorHAnsi" w:cstheme="minorHAnsi"/>
          <w:i/>
          <w:sz w:val="26"/>
          <w:szCs w:val="26"/>
        </w:rPr>
        <w:t>ate</w:t>
      </w:r>
      <w:r>
        <w:rPr>
          <w:rFonts w:asciiTheme="minorHAnsi" w:hAnsiTheme="minorHAnsi" w:cstheme="minorHAnsi"/>
          <w:sz w:val="26"/>
          <w:szCs w:val="26"/>
        </w:rPr>
        <w:t xml:space="preserve"> in the summary be expressed as a generalized statement and not with reference to a specific date, as the actual contract start date depends on the utility switching processes outside the supplier’s control.</w:t>
      </w:r>
      <w:r w:rsidR="00F5324D">
        <w:rPr>
          <w:rFonts w:asciiTheme="minorHAnsi" w:hAnsiTheme="minorHAnsi" w:cstheme="minorHAnsi"/>
          <w:sz w:val="26"/>
          <w:szCs w:val="26"/>
        </w:rPr>
        <w:t xml:space="preserve">  In light of this valid concern, we will add </w:t>
      </w:r>
      <w:r w:rsidR="00B31DA6">
        <w:rPr>
          <w:rFonts w:asciiTheme="minorHAnsi" w:hAnsiTheme="minorHAnsi" w:cstheme="minorHAnsi"/>
          <w:sz w:val="26"/>
          <w:szCs w:val="26"/>
        </w:rPr>
        <w:t>“</w:t>
      </w:r>
      <w:r w:rsidR="00F5324D">
        <w:rPr>
          <w:rFonts w:asciiTheme="minorHAnsi" w:hAnsiTheme="minorHAnsi" w:cstheme="minorHAnsi"/>
          <w:sz w:val="26"/>
          <w:szCs w:val="26"/>
        </w:rPr>
        <w:t xml:space="preserve">the </w:t>
      </w:r>
      <w:r w:rsidR="005122E5">
        <w:rPr>
          <w:rFonts w:asciiTheme="minorHAnsi" w:hAnsiTheme="minorHAnsi" w:cstheme="minorHAnsi"/>
          <w:sz w:val="26"/>
          <w:szCs w:val="26"/>
        </w:rPr>
        <w:t>approximate</w:t>
      </w:r>
      <w:r w:rsidR="00B31DA6">
        <w:rPr>
          <w:rFonts w:asciiTheme="minorHAnsi" w:hAnsiTheme="minorHAnsi" w:cstheme="minorHAnsi"/>
          <w:sz w:val="26"/>
          <w:szCs w:val="26"/>
        </w:rPr>
        <w:t>” to</w:t>
      </w:r>
      <w:r w:rsidR="00F5324D">
        <w:rPr>
          <w:rFonts w:asciiTheme="minorHAnsi" w:hAnsiTheme="minorHAnsi" w:cstheme="minorHAnsi"/>
          <w:sz w:val="26"/>
          <w:szCs w:val="26"/>
        </w:rPr>
        <w:t xml:space="preserve"> the start date row </w:t>
      </w:r>
      <w:r w:rsidR="00F5324D">
        <w:rPr>
          <w:rFonts w:asciiTheme="minorHAnsi" w:hAnsiTheme="minorHAnsi" w:cstheme="minorHAnsi"/>
          <w:sz w:val="26"/>
          <w:szCs w:val="26"/>
        </w:rPr>
        <w:lastRenderedPageBreak/>
        <w:t xml:space="preserve">as follows: </w:t>
      </w:r>
      <w:r w:rsidR="00F5324D" w:rsidRPr="00BE0FF4">
        <w:rPr>
          <w:rFonts w:asciiTheme="minorHAnsi" w:hAnsiTheme="minorHAnsi" w:cstheme="minorHAnsi"/>
          <w:i/>
          <w:sz w:val="26"/>
          <w:szCs w:val="26"/>
        </w:rPr>
        <w:t>Pla</w:t>
      </w:r>
      <w:r w:rsidR="00F5324D">
        <w:rPr>
          <w:rFonts w:asciiTheme="minorHAnsi" w:hAnsiTheme="minorHAnsi" w:cstheme="minorHAnsi"/>
          <w:i/>
          <w:sz w:val="26"/>
          <w:szCs w:val="26"/>
        </w:rPr>
        <w:t xml:space="preserve">in language regarding </w:t>
      </w:r>
      <w:r w:rsidR="000135F9" w:rsidRPr="000135F9">
        <w:rPr>
          <w:rFonts w:asciiTheme="minorHAnsi" w:hAnsiTheme="minorHAnsi" w:cstheme="minorHAnsi"/>
          <w:b/>
          <w:i/>
          <w:sz w:val="26"/>
          <w:szCs w:val="26"/>
        </w:rPr>
        <w:t>the approximate</w:t>
      </w:r>
      <w:r w:rsidR="00F5324D">
        <w:rPr>
          <w:rFonts w:asciiTheme="minorHAnsi" w:hAnsiTheme="minorHAnsi" w:cstheme="minorHAnsi"/>
          <w:i/>
          <w:sz w:val="26"/>
          <w:szCs w:val="26"/>
        </w:rPr>
        <w:t xml:space="preserve"> start of N</w:t>
      </w:r>
      <w:r w:rsidR="00F5324D" w:rsidRPr="00BE0FF4">
        <w:rPr>
          <w:rFonts w:asciiTheme="minorHAnsi" w:hAnsiTheme="minorHAnsi" w:cstheme="minorHAnsi"/>
          <w:i/>
          <w:sz w:val="26"/>
          <w:szCs w:val="26"/>
        </w:rPr>
        <w:t>GS service</w:t>
      </w:r>
      <w:r w:rsidR="00F5324D">
        <w:rPr>
          <w:rFonts w:asciiTheme="minorHAnsi" w:hAnsiTheme="minorHAnsi" w:cstheme="minorHAnsi"/>
          <w:i/>
          <w:sz w:val="26"/>
          <w:szCs w:val="26"/>
        </w:rPr>
        <w:t>.</w:t>
      </w:r>
      <w:r w:rsidR="00F5324D">
        <w:rPr>
          <w:rFonts w:asciiTheme="minorHAnsi" w:hAnsiTheme="minorHAnsi" w:cstheme="minorHAnsi"/>
          <w:sz w:val="26"/>
          <w:szCs w:val="26"/>
        </w:rPr>
        <w:t xml:space="preserve">  </w:t>
      </w:r>
      <w:r w:rsidR="00F5324D">
        <w:rPr>
          <w:rFonts w:asciiTheme="minorHAnsi" w:hAnsiTheme="minorHAnsi" w:cstheme="minorHAnsi"/>
          <w:i/>
          <w:sz w:val="26"/>
          <w:szCs w:val="26"/>
        </w:rPr>
        <w:t xml:space="preserve">See </w:t>
      </w:r>
      <w:r w:rsidR="00F5324D">
        <w:rPr>
          <w:rFonts w:asciiTheme="minorHAnsi" w:hAnsiTheme="minorHAnsi" w:cstheme="minorHAnsi"/>
          <w:sz w:val="26"/>
          <w:szCs w:val="26"/>
        </w:rPr>
        <w:t xml:space="preserve">Attachment A.  </w:t>
      </w:r>
    </w:p>
    <w:p w:rsidR="000135F9" w:rsidRDefault="000135F9" w:rsidP="005D4FAA">
      <w:pPr>
        <w:pStyle w:val="p3"/>
        <w:tabs>
          <w:tab w:val="clear" w:pos="204"/>
        </w:tabs>
        <w:spacing w:line="360" w:lineRule="auto"/>
        <w:rPr>
          <w:rFonts w:asciiTheme="minorHAnsi" w:hAnsiTheme="minorHAnsi" w:cstheme="minorHAnsi"/>
          <w:sz w:val="26"/>
          <w:szCs w:val="26"/>
        </w:rPr>
      </w:pPr>
    </w:p>
    <w:p w:rsidR="00F5324D" w:rsidRPr="00662E22" w:rsidRDefault="00F5324D" w:rsidP="00D51BBE">
      <w:pPr>
        <w:pStyle w:val="p3"/>
        <w:tabs>
          <w:tab w:val="clear" w:pos="204"/>
        </w:tabs>
        <w:spacing w:line="360" w:lineRule="auto"/>
        <w:ind w:firstLine="720"/>
        <w:rPr>
          <w:rFonts w:asciiTheme="minorHAnsi" w:hAnsiTheme="minorHAnsi" w:cstheme="minorHAnsi"/>
          <w:sz w:val="26"/>
          <w:szCs w:val="26"/>
        </w:rPr>
      </w:pPr>
      <w:r>
        <w:rPr>
          <w:rFonts w:asciiTheme="minorHAnsi" w:hAnsiTheme="minorHAnsi" w:cstheme="minorHAnsi"/>
          <w:sz w:val="26"/>
          <w:szCs w:val="26"/>
        </w:rPr>
        <w:t>In light of our replacement of the word “term” with “d</w:t>
      </w:r>
      <w:r w:rsidR="00BE7B2A">
        <w:rPr>
          <w:rFonts w:asciiTheme="minorHAnsi" w:hAnsiTheme="minorHAnsi" w:cstheme="minorHAnsi"/>
          <w:sz w:val="26"/>
          <w:szCs w:val="26"/>
        </w:rPr>
        <w:t>uration” throughout these final-</w:t>
      </w:r>
      <w:r>
        <w:rPr>
          <w:rFonts w:asciiTheme="minorHAnsi" w:hAnsiTheme="minorHAnsi" w:cstheme="minorHAnsi"/>
          <w:sz w:val="26"/>
          <w:szCs w:val="26"/>
        </w:rPr>
        <w:t xml:space="preserve">form regulations, we will also replace “term” with “duration” in the contract summary.  </w:t>
      </w:r>
      <w:r w:rsidR="00662E22">
        <w:rPr>
          <w:rFonts w:asciiTheme="minorHAnsi" w:hAnsiTheme="minorHAnsi" w:cstheme="minorHAnsi"/>
          <w:i/>
          <w:sz w:val="26"/>
          <w:szCs w:val="26"/>
        </w:rPr>
        <w:t>See id.</w:t>
      </w:r>
      <w:r w:rsidR="00662E22">
        <w:rPr>
          <w:rFonts w:asciiTheme="minorHAnsi" w:hAnsiTheme="minorHAnsi" w:cstheme="minorHAnsi"/>
          <w:sz w:val="26"/>
          <w:szCs w:val="26"/>
        </w:rPr>
        <w:t xml:space="preserve">; </w:t>
      </w:r>
      <w:r w:rsidR="00662E22">
        <w:rPr>
          <w:rFonts w:asciiTheme="minorHAnsi" w:hAnsiTheme="minorHAnsi" w:cstheme="minorHAnsi"/>
          <w:i/>
          <w:sz w:val="26"/>
          <w:szCs w:val="26"/>
        </w:rPr>
        <w:t xml:space="preserve">see </w:t>
      </w:r>
      <w:r w:rsidR="00662E22">
        <w:rPr>
          <w:rFonts w:asciiTheme="minorHAnsi" w:hAnsiTheme="minorHAnsi" w:cstheme="minorHAnsi"/>
          <w:sz w:val="26"/>
          <w:szCs w:val="26"/>
        </w:rPr>
        <w:t xml:space="preserve">Annex A, Section 62.81.  </w:t>
      </w:r>
    </w:p>
    <w:p w:rsidR="00901356" w:rsidRDefault="00F5324D" w:rsidP="005D4FAA">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r>
    </w:p>
    <w:p w:rsidR="008F240A" w:rsidRPr="008F240A" w:rsidRDefault="008F240A" w:rsidP="00901356">
      <w:pPr>
        <w:pStyle w:val="p3"/>
        <w:tabs>
          <w:tab w:val="clear" w:pos="204"/>
        </w:tabs>
        <w:spacing w:line="360" w:lineRule="auto"/>
        <w:ind w:firstLine="720"/>
        <w:rPr>
          <w:rFonts w:asciiTheme="minorHAnsi" w:hAnsiTheme="minorHAnsi" w:cstheme="minorHAnsi"/>
          <w:sz w:val="26"/>
          <w:szCs w:val="26"/>
        </w:rPr>
      </w:pPr>
      <w:r>
        <w:rPr>
          <w:rFonts w:asciiTheme="minorHAnsi" w:hAnsiTheme="minorHAnsi" w:cstheme="minorHAnsi"/>
          <w:sz w:val="26"/>
          <w:szCs w:val="26"/>
        </w:rPr>
        <w:t>The supplier community also contend</w:t>
      </w:r>
      <w:r w:rsidR="001C53EF">
        <w:rPr>
          <w:rFonts w:asciiTheme="minorHAnsi" w:hAnsiTheme="minorHAnsi" w:cstheme="minorHAnsi"/>
          <w:sz w:val="26"/>
          <w:szCs w:val="26"/>
        </w:rPr>
        <w:t>s</w:t>
      </w:r>
      <w:r>
        <w:rPr>
          <w:rFonts w:asciiTheme="minorHAnsi" w:hAnsiTheme="minorHAnsi" w:cstheme="minorHAnsi"/>
          <w:sz w:val="26"/>
          <w:szCs w:val="26"/>
        </w:rPr>
        <w:t xml:space="preserve"> that including any information on renewal and change of terms notices in a one</w:t>
      </w:r>
      <w:r w:rsidR="001C53EF">
        <w:rPr>
          <w:rFonts w:asciiTheme="minorHAnsi" w:hAnsiTheme="minorHAnsi" w:cstheme="minorHAnsi"/>
          <w:sz w:val="26"/>
          <w:szCs w:val="26"/>
        </w:rPr>
        <w:t>-</w:t>
      </w:r>
      <w:r>
        <w:rPr>
          <w:rFonts w:asciiTheme="minorHAnsi" w:hAnsiTheme="minorHAnsi" w:cstheme="minorHAnsi"/>
          <w:sz w:val="26"/>
          <w:szCs w:val="26"/>
        </w:rPr>
        <w:t xml:space="preserve">page contract summary is confusing and unnecessary.  </w:t>
      </w:r>
      <w:r>
        <w:rPr>
          <w:rFonts w:asciiTheme="minorHAnsi" w:hAnsiTheme="minorHAnsi" w:cstheme="minorHAnsi"/>
          <w:i/>
          <w:sz w:val="26"/>
          <w:szCs w:val="26"/>
        </w:rPr>
        <w:t xml:space="preserve">See </w:t>
      </w:r>
      <w:r>
        <w:rPr>
          <w:rFonts w:asciiTheme="minorHAnsi" w:hAnsiTheme="minorHAnsi" w:cstheme="minorHAnsi"/>
          <w:sz w:val="26"/>
          <w:szCs w:val="26"/>
        </w:rPr>
        <w:t xml:space="preserve">RESA Comments at </w:t>
      </w:r>
      <w:r w:rsidR="00B31DA6">
        <w:rPr>
          <w:rFonts w:asciiTheme="minorHAnsi" w:hAnsiTheme="minorHAnsi" w:cstheme="minorHAnsi"/>
          <w:sz w:val="26"/>
          <w:szCs w:val="26"/>
        </w:rPr>
        <w:t xml:space="preserve">12; National Marketers Comments at 5; WGL Comments at 6-7.  The purpose of this </w:t>
      </w:r>
      <w:r w:rsidR="000135F9">
        <w:rPr>
          <w:rFonts w:asciiTheme="minorHAnsi" w:hAnsiTheme="minorHAnsi" w:cstheme="minorHAnsi"/>
          <w:sz w:val="26"/>
          <w:szCs w:val="26"/>
        </w:rPr>
        <w:t xml:space="preserve">requirement </w:t>
      </w:r>
      <w:r w:rsidR="00B31DA6">
        <w:rPr>
          <w:rFonts w:asciiTheme="minorHAnsi" w:hAnsiTheme="minorHAnsi" w:cstheme="minorHAnsi"/>
          <w:sz w:val="26"/>
          <w:szCs w:val="26"/>
        </w:rPr>
        <w:t xml:space="preserve">is to make customers aware of what happens at the end of the contract and to take steps necessary to avoid </w:t>
      </w:r>
      <w:r w:rsidR="00FC6966">
        <w:rPr>
          <w:rFonts w:asciiTheme="minorHAnsi" w:hAnsiTheme="minorHAnsi" w:cstheme="minorHAnsi"/>
          <w:sz w:val="26"/>
          <w:szCs w:val="26"/>
        </w:rPr>
        <w:t>any</w:t>
      </w:r>
      <w:r w:rsidR="00B31DA6">
        <w:rPr>
          <w:rFonts w:asciiTheme="minorHAnsi" w:hAnsiTheme="minorHAnsi" w:cstheme="minorHAnsi"/>
          <w:sz w:val="26"/>
          <w:szCs w:val="26"/>
        </w:rPr>
        <w:t xml:space="preserve"> </w:t>
      </w:r>
      <w:r w:rsidR="00897F50">
        <w:rPr>
          <w:rFonts w:asciiTheme="minorHAnsi" w:hAnsiTheme="minorHAnsi" w:cstheme="minorHAnsi"/>
          <w:sz w:val="26"/>
          <w:szCs w:val="26"/>
        </w:rPr>
        <w:t xml:space="preserve">unexpected and potentially adverse </w:t>
      </w:r>
      <w:r w:rsidR="000135F9">
        <w:rPr>
          <w:rFonts w:asciiTheme="minorHAnsi" w:hAnsiTheme="minorHAnsi" w:cstheme="minorHAnsi"/>
          <w:sz w:val="26"/>
          <w:szCs w:val="26"/>
        </w:rPr>
        <w:t xml:space="preserve">outcome that the customer may encounter </w:t>
      </w:r>
      <w:r w:rsidR="00B31DA6">
        <w:rPr>
          <w:rFonts w:asciiTheme="minorHAnsi" w:hAnsiTheme="minorHAnsi" w:cstheme="minorHAnsi"/>
          <w:sz w:val="26"/>
          <w:szCs w:val="26"/>
        </w:rPr>
        <w:t>upon expiration of the contract.</w:t>
      </w:r>
      <w:r w:rsidR="00423CC1">
        <w:rPr>
          <w:rFonts w:asciiTheme="minorHAnsi" w:hAnsiTheme="minorHAnsi" w:cstheme="minorHAnsi"/>
          <w:sz w:val="26"/>
          <w:szCs w:val="26"/>
        </w:rPr>
        <w:t xml:space="preserve">  </w:t>
      </w:r>
      <w:r w:rsidR="000135F9">
        <w:rPr>
          <w:rFonts w:asciiTheme="minorHAnsi" w:hAnsiTheme="minorHAnsi" w:cstheme="minorHAnsi"/>
          <w:sz w:val="26"/>
          <w:szCs w:val="26"/>
        </w:rPr>
        <w:t>Accordingly, w</w:t>
      </w:r>
      <w:r w:rsidR="00423CC1">
        <w:rPr>
          <w:rFonts w:asciiTheme="minorHAnsi" w:hAnsiTheme="minorHAnsi" w:cstheme="minorHAnsi"/>
          <w:sz w:val="26"/>
          <w:szCs w:val="26"/>
        </w:rPr>
        <w:t xml:space="preserve">e will </w:t>
      </w:r>
      <w:r w:rsidR="001C53EF">
        <w:rPr>
          <w:rFonts w:asciiTheme="minorHAnsi" w:hAnsiTheme="minorHAnsi" w:cstheme="minorHAnsi"/>
          <w:sz w:val="26"/>
          <w:szCs w:val="26"/>
        </w:rPr>
        <w:t xml:space="preserve">maintain this section within the </w:t>
      </w:r>
      <w:r w:rsidR="00BE7B2A">
        <w:rPr>
          <w:rFonts w:asciiTheme="minorHAnsi" w:hAnsiTheme="minorHAnsi" w:cstheme="minorHAnsi"/>
          <w:sz w:val="26"/>
          <w:szCs w:val="26"/>
        </w:rPr>
        <w:t>c</w:t>
      </w:r>
      <w:r w:rsidR="001C53EF">
        <w:rPr>
          <w:rFonts w:asciiTheme="minorHAnsi" w:hAnsiTheme="minorHAnsi" w:cstheme="minorHAnsi"/>
          <w:sz w:val="26"/>
          <w:szCs w:val="26"/>
        </w:rPr>
        <w:t xml:space="preserve">ontract </w:t>
      </w:r>
      <w:r w:rsidR="00BE7B2A">
        <w:rPr>
          <w:rFonts w:asciiTheme="minorHAnsi" w:hAnsiTheme="minorHAnsi" w:cstheme="minorHAnsi"/>
          <w:sz w:val="26"/>
          <w:szCs w:val="26"/>
        </w:rPr>
        <w:t>s</w:t>
      </w:r>
      <w:r w:rsidR="001C53EF">
        <w:rPr>
          <w:rFonts w:asciiTheme="minorHAnsi" w:hAnsiTheme="minorHAnsi" w:cstheme="minorHAnsi"/>
          <w:sz w:val="26"/>
          <w:szCs w:val="26"/>
        </w:rPr>
        <w:t>ummary</w:t>
      </w:r>
      <w:r w:rsidR="00423CC1">
        <w:rPr>
          <w:rFonts w:asciiTheme="minorHAnsi" w:hAnsiTheme="minorHAnsi" w:cstheme="minorHAnsi"/>
          <w:sz w:val="26"/>
          <w:szCs w:val="26"/>
        </w:rPr>
        <w:t xml:space="preserve">, but </w:t>
      </w:r>
      <w:r w:rsidR="00264B0C">
        <w:rPr>
          <w:rFonts w:asciiTheme="minorHAnsi" w:hAnsiTheme="minorHAnsi" w:cstheme="minorHAnsi"/>
          <w:sz w:val="26"/>
          <w:szCs w:val="26"/>
        </w:rPr>
        <w:t>add the label “End of Contract</w:t>
      </w:r>
      <w:r w:rsidR="005122E5">
        <w:rPr>
          <w:rFonts w:asciiTheme="minorHAnsi" w:hAnsiTheme="minorHAnsi" w:cstheme="minorHAnsi"/>
          <w:sz w:val="26"/>
          <w:szCs w:val="26"/>
        </w:rPr>
        <w:t xml:space="preserve">” and </w:t>
      </w:r>
      <w:r w:rsidR="00423CC1">
        <w:rPr>
          <w:rFonts w:asciiTheme="minorHAnsi" w:hAnsiTheme="minorHAnsi" w:cstheme="minorHAnsi"/>
          <w:sz w:val="26"/>
          <w:szCs w:val="26"/>
        </w:rPr>
        <w:t xml:space="preserve">shorten the description to “Treatment of customer at the end of contract in plain language.”  </w:t>
      </w:r>
      <w:r w:rsidR="00423CC1">
        <w:rPr>
          <w:rFonts w:asciiTheme="minorHAnsi" w:hAnsiTheme="minorHAnsi" w:cstheme="minorHAnsi"/>
          <w:i/>
          <w:sz w:val="26"/>
          <w:szCs w:val="26"/>
        </w:rPr>
        <w:t>See</w:t>
      </w:r>
      <w:r w:rsidR="00423CC1">
        <w:rPr>
          <w:rFonts w:asciiTheme="minorHAnsi" w:hAnsiTheme="minorHAnsi" w:cstheme="minorHAnsi"/>
          <w:sz w:val="26"/>
          <w:szCs w:val="26"/>
        </w:rPr>
        <w:t xml:space="preserve"> Attachment A.  Suppliers will be afforded more flexibility to provide a general, concise statement in this </w:t>
      </w:r>
      <w:r w:rsidR="00897F50">
        <w:rPr>
          <w:rFonts w:asciiTheme="minorHAnsi" w:hAnsiTheme="minorHAnsi" w:cstheme="minorHAnsi"/>
          <w:sz w:val="26"/>
          <w:szCs w:val="26"/>
        </w:rPr>
        <w:t>portion of the contract summary</w:t>
      </w:r>
      <w:r w:rsidR="00423CC1">
        <w:rPr>
          <w:rFonts w:asciiTheme="minorHAnsi" w:hAnsiTheme="minorHAnsi" w:cstheme="minorHAnsi"/>
          <w:sz w:val="26"/>
          <w:szCs w:val="26"/>
        </w:rPr>
        <w:t xml:space="preserve">.      </w:t>
      </w:r>
      <w:r w:rsidR="00B31DA6">
        <w:rPr>
          <w:rFonts w:asciiTheme="minorHAnsi" w:hAnsiTheme="minorHAnsi" w:cstheme="minorHAnsi"/>
          <w:sz w:val="26"/>
          <w:szCs w:val="26"/>
        </w:rPr>
        <w:t xml:space="preserve">    </w:t>
      </w:r>
    </w:p>
    <w:p w:rsidR="008F240A" w:rsidRDefault="008F240A" w:rsidP="005D4FAA">
      <w:pPr>
        <w:pStyle w:val="p3"/>
        <w:tabs>
          <w:tab w:val="clear" w:pos="204"/>
        </w:tabs>
        <w:spacing w:line="360" w:lineRule="auto"/>
        <w:rPr>
          <w:rFonts w:asciiTheme="minorHAnsi" w:hAnsiTheme="minorHAnsi" w:cstheme="minorHAnsi"/>
          <w:sz w:val="26"/>
          <w:szCs w:val="26"/>
        </w:rPr>
      </w:pPr>
    </w:p>
    <w:p w:rsidR="00F5324D" w:rsidRPr="008F240A" w:rsidRDefault="00F5324D" w:rsidP="005D4FAA">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t>OCA requests the inclusion of additional information to the one</w:t>
      </w:r>
      <w:r w:rsidR="001C53EF">
        <w:rPr>
          <w:rFonts w:asciiTheme="minorHAnsi" w:hAnsiTheme="minorHAnsi" w:cstheme="minorHAnsi"/>
          <w:sz w:val="26"/>
          <w:szCs w:val="26"/>
        </w:rPr>
        <w:t>-</w:t>
      </w:r>
      <w:r>
        <w:rPr>
          <w:rFonts w:asciiTheme="minorHAnsi" w:hAnsiTheme="minorHAnsi" w:cstheme="minorHAnsi"/>
          <w:sz w:val="26"/>
          <w:szCs w:val="26"/>
        </w:rPr>
        <w:t xml:space="preserve">page contract summary in order to aid consumers.  </w:t>
      </w:r>
      <w:r>
        <w:rPr>
          <w:rFonts w:asciiTheme="minorHAnsi" w:hAnsiTheme="minorHAnsi" w:cstheme="minorHAnsi"/>
          <w:i/>
          <w:sz w:val="26"/>
          <w:szCs w:val="26"/>
        </w:rPr>
        <w:t xml:space="preserve">See </w:t>
      </w:r>
      <w:r>
        <w:rPr>
          <w:rFonts w:asciiTheme="minorHAnsi" w:hAnsiTheme="minorHAnsi" w:cstheme="minorHAnsi"/>
          <w:sz w:val="26"/>
          <w:szCs w:val="26"/>
        </w:rPr>
        <w:t xml:space="preserve">OCA Comments at 12-14.  We appreciate OCA’s suggestions, but caution that inclusion of too much information potentially undermines the very purpose of the contract summary: </w:t>
      </w:r>
      <w:r w:rsidR="00BE7B2A">
        <w:rPr>
          <w:rFonts w:asciiTheme="minorHAnsi" w:hAnsiTheme="minorHAnsi" w:cstheme="minorHAnsi"/>
          <w:sz w:val="26"/>
          <w:szCs w:val="26"/>
        </w:rPr>
        <w:t xml:space="preserve">to be </w:t>
      </w:r>
      <w:r>
        <w:rPr>
          <w:rFonts w:asciiTheme="minorHAnsi" w:hAnsiTheme="minorHAnsi" w:cstheme="minorHAnsi"/>
          <w:sz w:val="26"/>
          <w:szCs w:val="26"/>
        </w:rPr>
        <w:t xml:space="preserve">a concise and effective tool for easily understanding the </w:t>
      </w:r>
      <w:r w:rsidR="00897F50">
        <w:rPr>
          <w:rFonts w:asciiTheme="minorHAnsi" w:hAnsiTheme="minorHAnsi" w:cstheme="minorHAnsi"/>
          <w:sz w:val="26"/>
          <w:szCs w:val="26"/>
        </w:rPr>
        <w:t xml:space="preserve">significant </w:t>
      </w:r>
      <w:r>
        <w:rPr>
          <w:rFonts w:asciiTheme="minorHAnsi" w:hAnsiTheme="minorHAnsi" w:cstheme="minorHAnsi"/>
          <w:sz w:val="26"/>
          <w:szCs w:val="26"/>
        </w:rPr>
        <w:t xml:space="preserve">terms and conditions of the </w:t>
      </w:r>
      <w:r w:rsidR="008471FA">
        <w:rPr>
          <w:rFonts w:asciiTheme="minorHAnsi" w:hAnsiTheme="minorHAnsi" w:cstheme="minorHAnsi"/>
          <w:sz w:val="26"/>
          <w:szCs w:val="26"/>
        </w:rPr>
        <w:t>supply contract</w:t>
      </w:r>
      <w:r>
        <w:rPr>
          <w:rFonts w:asciiTheme="minorHAnsi" w:hAnsiTheme="minorHAnsi" w:cstheme="minorHAnsi"/>
          <w:sz w:val="26"/>
          <w:szCs w:val="26"/>
        </w:rPr>
        <w:t xml:space="preserve">.  </w:t>
      </w:r>
      <w:r w:rsidR="008F240A">
        <w:rPr>
          <w:rFonts w:asciiTheme="minorHAnsi" w:hAnsiTheme="minorHAnsi" w:cstheme="minorHAnsi"/>
          <w:sz w:val="26"/>
          <w:szCs w:val="26"/>
        </w:rPr>
        <w:t xml:space="preserve">However, we </w:t>
      </w:r>
      <w:r w:rsidR="008471FA">
        <w:rPr>
          <w:rFonts w:asciiTheme="minorHAnsi" w:hAnsiTheme="minorHAnsi" w:cstheme="minorHAnsi"/>
          <w:sz w:val="26"/>
          <w:szCs w:val="26"/>
        </w:rPr>
        <w:t>do agree with</w:t>
      </w:r>
      <w:r w:rsidR="008F240A">
        <w:rPr>
          <w:rFonts w:asciiTheme="minorHAnsi" w:hAnsiTheme="minorHAnsi" w:cstheme="minorHAnsi"/>
          <w:sz w:val="26"/>
          <w:szCs w:val="26"/>
        </w:rPr>
        <w:t xml:space="preserve"> some of OCA’s suggestions and </w:t>
      </w:r>
      <w:r w:rsidR="008471FA">
        <w:rPr>
          <w:rFonts w:asciiTheme="minorHAnsi" w:hAnsiTheme="minorHAnsi" w:cstheme="minorHAnsi"/>
          <w:sz w:val="26"/>
          <w:szCs w:val="26"/>
        </w:rPr>
        <w:t xml:space="preserve">will </w:t>
      </w:r>
      <w:r w:rsidR="008F240A">
        <w:rPr>
          <w:rFonts w:asciiTheme="minorHAnsi" w:hAnsiTheme="minorHAnsi" w:cstheme="minorHAnsi"/>
          <w:sz w:val="26"/>
          <w:szCs w:val="26"/>
        </w:rPr>
        <w:t xml:space="preserve">make the following clarifications to the contract summary.  For the Natural Gas Supplier Information </w:t>
      </w:r>
      <w:r w:rsidR="008471FA">
        <w:rPr>
          <w:rFonts w:asciiTheme="minorHAnsi" w:hAnsiTheme="minorHAnsi" w:cstheme="minorHAnsi"/>
          <w:sz w:val="26"/>
          <w:szCs w:val="26"/>
        </w:rPr>
        <w:t>section</w:t>
      </w:r>
      <w:r w:rsidR="008F240A">
        <w:rPr>
          <w:rFonts w:asciiTheme="minorHAnsi" w:hAnsiTheme="minorHAnsi" w:cstheme="minorHAnsi"/>
          <w:sz w:val="26"/>
          <w:szCs w:val="26"/>
        </w:rPr>
        <w:t xml:space="preserve">, we will </w:t>
      </w:r>
      <w:r w:rsidR="00644787">
        <w:rPr>
          <w:rFonts w:asciiTheme="minorHAnsi" w:hAnsiTheme="minorHAnsi" w:cstheme="minorHAnsi"/>
          <w:sz w:val="26"/>
          <w:szCs w:val="26"/>
        </w:rPr>
        <w:t xml:space="preserve">change “gas </w:t>
      </w:r>
      <w:r w:rsidR="008F240A">
        <w:rPr>
          <w:rFonts w:asciiTheme="minorHAnsi" w:hAnsiTheme="minorHAnsi" w:cstheme="minorHAnsi"/>
          <w:sz w:val="26"/>
          <w:szCs w:val="26"/>
        </w:rPr>
        <w:t>commodity</w:t>
      </w:r>
      <w:r w:rsidR="00644787">
        <w:rPr>
          <w:rFonts w:asciiTheme="minorHAnsi" w:hAnsiTheme="minorHAnsi" w:cstheme="minorHAnsi"/>
          <w:sz w:val="26"/>
          <w:szCs w:val="26"/>
        </w:rPr>
        <w:t xml:space="preserve"> charges</w:t>
      </w:r>
      <w:r w:rsidR="008F240A">
        <w:rPr>
          <w:rFonts w:asciiTheme="minorHAnsi" w:hAnsiTheme="minorHAnsi" w:cstheme="minorHAnsi"/>
          <w:sz w:val="26"/>
          <w:szCs w:val="26"/>
        </w:rPr>
        <w:t>”</w:t>
      </w:r>
      <w:r w:rsidR="00644787">
        <w:rPr>
          <w:rFonts w:asciiTheme="minorHAnsi" w:hAnsiTheme="minorHAnsi" w:cstheme="minorHAnsi"/>
          <w:sz w:val="26"/>
          <w:szCs w:val="26"/>
        </w:rPr>
        <w:t xml:space="preserve"> to “gas commodity/supply charges.”</w:t>
      </w:r>
      <w:r w:rsidR="008F240A">
        <w:rPr>
          <w:rFonts w:asciiTheme="minorHAnsi" w:hAnsiTheme="minorHAnsi" w:cstheme="minorHAnsi"/>
          <w:sz w:val="26"/>
          <w:szCs w:val="26"/>
        </w:rPr>
        <w:t xml:space="preserve">  </w:t>
      </w:r>
      <w:r w:rsidR="008F240A">
        <w:rPr>
          <w:rFonts w:asciiTheme="minorHAnsi" w:hAnsiTheme="minorHAnsi" w:cstheme="minorHAnsi"/>
          <w:i/>
          <w:sz w:val="26"/>
          <w:szCs w:val="26"/>
        </w:rPr>
        <w:t xml:space="preserve">See </w:t>
      </w:r>
      <w:r w:rsidR="008F240A">
        <w:rPr>
          <w:rFonts w:asciiTheme="minorHAnsi" w:hAnsiTheme="minorHAnsi" w:cstheme="minorHAnsi"/>
          <w:sz w:val="26"/>
          <w:szCs w:val="26"/>
        </w:rPr>
        <w:t xml:space="preserve">Attachment A.  For Natural Gas Price Structure, we will </w:t>
      </w:r>
      <w:r w:rsidR="00644787">
        <w:rPr>
          <w:rFonts w:asciiTheme="minorHAnsi" w:hAnsiTheme="minorHAnsi" w:cstheme="minorHAnsi"/>
          <w:sz w:val="26"/>
          <w:szCs w:val="26"/>
        </w:rPr>
        <w:t xml:space="preserve">change “fixed or variable” to </w:t>
      </w:r>
      <w:r w:rsidR="008F240A">
        <w:rPr>
          <w:rFonts w:asciiTheme="minorHAnsi" w:hAnsiTheme="minorHAnsi" w:cstheme="minorHAnsi"/>
          <w:sz w:val="26"/>
          <w:szCs w:val="26"/>
        </w:rPr>
        <w:t>“</w:t>
      </w:r>
      <w:r w:rsidR="00644787">
        <w:rPr>
          <w:rFonts w:asciiTheme="minorHAnsi" w:hAnsiTheme="minorHAnsi" w:cstheme="minorHAnsi"/>
          <w:sz w:val="26"/>
          <w:szCs w:val="26"/>
        </w:rPr>
        <w:t>fixed,</w:t>
      </w:r>
      <w:r w:rsidR="008F240A">
        <w:rPr>
          <w:rFonts w:asciiTheme="minorHAnsi" w:hAnsiTheme="minorHAnsi" w:cstheme="minorHAnsi"/>
          <w:sz w:val="26"/>
          <w:szCs w:val="26"/>
        </w:rPr>
        <w:t xml:space="preserve"> variable</w:t>
      </w:r>
      <w:r w:rsidR="00644787">
        <w:rPr>
          <w:rFonts w:asciiTheme="minorHAnsi" w:hAnsiTheme="minorHAnsi" w:cstheme="minorHAnsi"/>
          <w:sz w:val="26"/>
          <w:szCs w:val="26"/>
        </w:rPr>
        <w:t xml:space="preserve"> or other</w:t>
      </w:r>
      <w:r w:rsidR="008F240A">
        <w:rPr>
          <w:rFonts w:asciiTheme="minorHAnsi" w:hAnsiTheme="minorHAnsi" w:cstheme="minorHAnsi"/>
          <w:sz w:val="26"/>
          <w:szCs w:val="26"/>
        </w:rPr>
        <w:t>,</w:t>
      </w:r>
      <w:r w:rsidR="00644787">
        <w:rPr>
          <w:rFonts w:asciiTheme="minorHAnsi" w:hAnsiTheme="minorHAnsi" w:cstheme="minorHAnsi"/>
          <w:sz w:val="26"/>
          <w:szCs w:val="26"/>
        </w:rPr>
        <w:t>”</w:t>
      </w:r>
      <w:r w:rsidR="008F240A">
        <w:rPr>
          <w:rFonts w:asciiTheme="minorHAnsi" w:hAnsiTheme="minorHAnsi" w:cstheme="minorHAnsi"/>
          <w:sz w:val="26"/>
          <w:szCs w:val="26"/>
        </w:rPr>
        <w:t xml:space="preserve"> as the supplier may offer a product with a price structure, such </w:t>
      </w:r>
      <w:r w:rsidR="008F240A">
        <w:rPr>
          <w:rFonts w:asciiTheme="minorHAnsi" w:hAnsiTheme="minorHAnsi" w:cstheme="minorHAnsi"/>
          <w:sz w:val="26"/>
          <w:szCs w:val="26"/>
        </w:rPr>
        <w:lastRenderedPageBreak/>
        <w:t xml:space="preserve">as a flat price product, that does not neatly align </w:t>
      </w:r>
      <w:r w:rsidR="008471FA">
        <w:rPr>
          <w:rFonts w:asciiTheme="minorHAnsi" w:hAnsiTheme="minorHAnsi" w:cstheme="minorHAnsi"/>
          <w:sz w:val="26"/>
          <w:szCs w:val="26"/>
        </w:rPr>
        <w:t xml:space="preserve">with </w:t>
      </w:r>
      <w:r w:rsidR="008F240A">
        <w:rPr>
          <w:rFonts w:asciiTheme="minorHAnsi" w:hAnsiTheme="minorHAnsi" w:cstheme="minorHAnsi"/>
          <w:sz w:val="26"/>
          <w:szCs w:val="26"/>
        </w:rPr>
        <w:t xml:space="preserve">either a fixed or variable pricing scheme.  For the Natural Gas Supply Price </w:t>
      </w:r>
      <w:r w:rsidR="008471FA">
        <w:rPr>
          <w:rFonts w:asciiTheme="minorHAnsi" w:hAnsiTheme="minorHAnsi" w:cstheme="minorHAnsi"/>
          <w:sz w:val="26"/>
          <w:szCs w:val="26"/>
        </w:rPr>
        <w:t>section</w:t>
      </w:r>
      <w:r w:rsidR="008F240A">
        <w:rPr>
          <w:rFonts w:asciiTheme="minorHAnsi" w:hAnsiTheme="minorHAnsi" w:cstheme="minorHAnsi"/>
          <w:sz w:val="26"/>
          <w:szCs w:val="26"/>
        </w:rPr>
        <w:t xml:space="preserve">, we will add the phrase “full disclosure” to the description of any introductory rate.  </w:t>
      </w:r>
      <w:r w:rsidR="008F240A">
        <w:rPr>
          <w:rFonts w:asciiTheme="minorHAnsi" w:hAnsiTheme="minorHAnsi" w:cstheme="minorHAnsi"/>
          <w:i/>
          <w:sz w:val="26"/>
          <w:szCs w:val="26"/>
        </w:rPr>
        <w:t>See id.</w:t>
      </w:r>
      <w:r w:rsidR="008F240A">
        <w:rPr>
          <w:rFonts w:asciiTheme="minorHAnsi" w:hAnsiTheme="minorHAnsi" w:cstheme="minorHAnsi"/>
          <w:sz w:val="26"/>
          <w:szCs w:val="26"/>
        </w:rPr>
        <w:t xml:space="preserve">  For the Incentives </w:t>
      </w:r>
      <w:r w:rsidR="008471FA">
        <w:rPr>
          <w:rFonts w:asciiTheme="minorHAnsi" w:hAnsiTheme="minorHAnsi" w:cstheme="minorHAnsi"/>
          <w:sz w:val="26"/>
          <w:szCs w:val="26"/>
        </w:rPr>
        <w:t>section</w:t>
      </w:r>
      <w:r w:rsidR="008F240A">
        <w:rPr>
          <w:rFonts w:asciiTheme="minorHAnsi" w:hAnsiTheme="minorHAnsi" w:cstheme="minorHAnsi"/>
          <w:sz w:val="26"/>
          <w:szCs w:val="26"/>
        </w:rPr>
        <w:t xml:space="preserve">, we will add “criteria” </w:t>
      </w:r>
      <w:r w:rsidR="00D77747">
        <w:rPr>
          <w:rFonts w:asciiTheme="minorHAnsi" w:hAnsiTheme="minorHAnsi" w:cstheme="minorHAnsi"/>
          <w:sz w:val="26"/>
          <w:szCs w:val="26"/>
        </w:rPr>
        <w:t xml:space="preserve">and “conditions” </w:t>
      </w:r>
      <w:r w:rsidR="008F240A">
        <w:rPr>
          <w:rFonts w:asciiTheme="minorHAnsi" w:hAnsiTheme="minorHAnsi" w:cstheme="minorHAnsi"/>
          <w:sz w:val="26"/>
          <w:szCs w:val="26"/>
        </w:rPr>
        <w:t xml:space="preserve">to the description.  </w:t>
      </w:r>
      <w:r w:rsidR="008F240A">
        <w:rPr>
          <w:rFonts w:asciiTheme="minorHAnsi" w:hAnsiTheme="minorHAnsi" w:cstheme="minorHAnsi"/>
          <w:i/>
          <w:sz w:val="26"/>
          <w:szCs w:val="26"/>
        </w:rPr>
        <w:t>See id.</w:t>
      </w:r>
      <w:r w:rsidR="008F240A">
        <w:rPr>
          <w:rFonts w:asciiTheme="minorHAnsi" w:hAnsiTheme="minorHAnsi" w:cstheme="minorHAnsi"/>
          <w:sz w:val="26"/>
          <w:szCs w:val="26"/>
        </w:rPr>
        <w:t xml:space="preserve">    </w:t>
      </w:r>
    </w:p>
    <w:p w:rsidR="00423CC1" w:rsidRDefault="00423CC1" w:rsidP="005D4FAA">
      <w:pPr>
        <w:pStyle w:val="p3"/>
        <w:tabs>
          <w:tab w:val="clear" w:pos="204"/>
        </w:tabs>
        <w:spacing w:line="360" w:lineRule="auto"/>
        <w:rPr>
          <w:rFonts w:asciiTheme="minorHAnsi" w:hAnsiTheme="minorHAnsi" w:cstheme="minorHAnsi"/>
          <w:sz w:val="26"/>
          <w:szCs w:val="26"/>
        </w:rPr>
      </w:pPr>
    </w:p>
    <w:p w:rsidR="00E42662" w:rsidRDefault="00423CC1" w:rsidP="005D4FAA">
      <w:pPr>
        <w:pStyle w:val="p3"/>
        <w:tabs>
          <w:tab w:val="clear" w:pos="204"/>
        </w:tabs>
        <w:spacing w:line="360" w:lineRule="auto"/>
        <w:rPr>
          <w:rFonts w:asciiTheme="minorHAnsi" w:hAnsiTheme="minorHAnsi" w:cstheme="minorHAnsi"/>
          <w:sz w:val="26"/>
          <w:szCs w:val="26"/>
        </w:rPr>
      </w:pPr>
      <w:r w:rsidRPr="00423CC1">
        <w:rPr>
          <w:color w:val="000000"/>
          <w:spacing w:val="4"/>
          <w:sz w:val="26"/>
          <w:szCs w:val="26"/>
          <w:u w:val="single"/>
        </w:rPr>
        <w:t>Supplier Requests for Commission Review</w:t>
      </w:r>
      <w:r>
        <w:rPr>
          <w:color w:val="000000"/>
          <w:spacing w:val="4"/>
          <w:sz w:val="26"/>
          <w:szCs w:val="26"/>
          <w:u w:val="single"/>
        </w:rPr>
        <w:t xml:space="preserve"> of Contract Terms</w:t>
      </w:r>
      <w:r w:rsidR="00F5324D" w:rsidRPr="00BE0FF4">
        <w:rPr>
          <w:rFonts w:asciiTheme="minorHAnsi" w:hAnsiTheme="minorHAnsi" w:cstheme="minorHAnsi"/>
          <w:i/>
          <w:sz w:val="26"/>
          <w:szCs w:val="26"/>
        </w:rPr>
        <w:t xml:space="preserve"> </w:t>
      </w:r>
      <w:r>
        <w:rPr>
          <w:rFonts w:asciiTheme="minorHAnsi" w:hAnsiTheme="minorHAnsi" w:cstheme="minorHAnsi"/>
          <w:sz w:val="26"/>
          <w:szCs w:val="26"/>
        </w:rPr>
        <w:t xml:space="preserve"> </w:t>
      </w:r>
    </w:p>
    <w:p w:rsidR="00423CC1" w:rsidRDefault="00423CC1" w:rsidP="005D4FAA">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t>As WGL soundly notes</w:t>
      </w:r>
      <w:r w:rsidR="00D77747">
        <w:rPr>
          <w:rFonts w:asciiTheme="minorHAnsi" w:hAnsiTheme="minorHAnsi" w:cstheme="minorHAnsi"/>
          <w:sz w:val="26"/>
          <w:szCs w:val="26"/>
        </w:rPr>
        <w:t xml:space="preserve"> in</w:t>
      </w:r>
      <w:r>
        <w:rPr>
          <w:rFonts w:asciiTheme="minorHAnsi" w:hAnsiTheme="minorHAnsi" w:cstheme="minorHAnsi"/>
          <w:sz w:val="26"/>
          <w:szCs w:val="26"/>
        </w:rPr>
        <w:t xml:space="preserve"> its comments, Commission staff may provide informal, non-binding opinions as to the form and legality of supplier contracts and supplier contract summaries.  </w:t>
      </w:r>
      <w:r>
        <w:rPr>
          <w:rFonts w:asciiTheme="minorHAnsi" w:hAnsiTheme="minorHAnsi" w:cstheme="minorHAnsi"/>
          <w:i/>
          <w:sz w:val="26"/>
          <w:szCs w:val="26"/>
        </w:rPr>
        <w:t xml:space="preserve">See </w:t>
      </w:r>
      <w:r>
        <w:rPr>
          <w:rFonts w:asciiTheme="minorHAnsi" w:hAnsiTheme="minorHAnsi" w:cstheme="minorHAnsi"/>
          <w:sz w:val="26"/>
          <w:szCs w:val="26"/>
        </w:rPr>
        <w:t>52 Pa. Code § 1.96</w:t>
      </w:r>
      <w:r w:rsidR="00644787">
        <w:rPr>
          <w:rFonts w:asciiTheme="minorHAnsi" w:hAnsiTheme="minorHAnsi" w:cstheme="minorHAnsi"/>
          <w:sz w:val="26"/>
          <w:szCs w:val="26"/>
        </w:rPr>
        <w:t xml:space="preserve"> (relating to unofficial statements and opinions by Commission personnel)</w:t>
      </w:r>
      <w:r>
        <w:rPr>
          <w:rFonts w:asciiTheme="minorHAnsi" w:hAnsiTheme="minorHAnsi" w:cstheme="minorHAnsi"/>
          <w:sz w:val="26"/>
          <w:szCs w:val="26"/>
        </w:rPr>
        <w:t>, WGL Comments at 14-15.  Suppliers do have an independent duty to know and understand Commission regulations for compliance purposes under 66 Pa. C.S. § 2208</w:t>
      </w:r>
      <w:r w:rsidR="008471FA">
        <w:rPr>
          <w:rFonts w:asciiTheme="minorHAnsi" w:hAnsiTheme="minorHAnsi" w:cstheme="minorHAnsi"/>
          <w:sz w:val="26"/>
          <w:szCs w:val="26"/>
        </w:rPr>
        <w:t>(b)</w:t>
      </w:r>
      <w:r>
        <w:rPr>
          <w:rFonts w:asciiTheme="minorHAnsi" w:hAnsiTheme="minorHAnsi" w:cstheme="minorHAnsi"/>
          <w:sz w:val="26"/>
          <w:szCs w:val="26"/>
        </w:rPr>
        <w:t xml:space="preserve">.  </w:t>
      </w:r>
      <w:r>
        <w:rPr>
          <w:rFonts w:asciiTheme="minorHAnsi" w:hAnsiTheme="minorHAnsi" w:cstheme="minorHAnsi"/>
          <w:i/>
          <w:sz w:val="26"/>
          <w:szCs w:val="26"/>
        </w:rPr>
        <w:t>See</w:t>
      </w:r>
      <w:r>
        <w:rPr>
          <w:rFonts w:asciiTheme="minorHAnsi" w:hAnsiTheme="minorHAnsi" w:cstheme="minorHAnsi"/>
          <w:sz w:val="26"/>
          <w:szCs w:val="26"/>
        </w:rPr>
        <w:t xml:space="preserve"> WGL Comments at 14-15.</w:t>
      </w:r>
      <w:r w:rsidR="0000362E">
        <w:rPr>
          <w:rFonts w:asciiTheme="minorHAnsi" w:hAnsiTheme="minorHAnsi" w:cstheme="minorHAnsi"/>
          <w:sz w:val="26"/>
          <w:szCs w:val="26"/>
        </w:rPr>
        <w:t xml:space="preserve">  Commission staff and the Commission’s Office of Competitive Market Oversight will continue to provide informal feedback</w:t>
      </w:r>
      <w:r w:rsidR="008471FA">
        <w:rPr>
          <w:rFonts w:asciiTheme="minorHAnsi" w:hAnsiTheme="minorHAnsi" w:cstheme="minorHAnsi"/>
          <w:sz w:val="26"/>
          <w:szCs w:val="26"/>
        </w:rPr>
        <w:t xml:space="preserve"> to reasonable requests by suppliers to review contract statements</w:t>
      </w:r>
      <w:r w:rsidR="0000362E">
        <w:rPr>
          <w:rFonts w:asciiTheme="minorHAnsi" w:hAnsiTheme="minorHAnsi" w:cstheme="minorHAnsi"/>
          <w:sz w:val="26"/>
          <w:szCs w:val="26"/>
        </w:rPr>
        <w:t xml:space="preserve">.  </w:t>
      </w:r>
      <w:r w:rsidR="005E1FA3">
        <w:rPr>
          <w:rFonts w:asciiTheme="minorHAnsi" w:hAnsiTheme="minorHAnsi" w:cstheme="minorHAnsi"/>
          <w:sz w:val="26"/>
          <w:szCs w:val="26"/>
        </w:rPr>
        <w:t xml:space="preserve">  </w:t>
      </w:r>
    </w:p>
    <w:p w:rsidR="0000362E" w:rsidRDefault="0000362E" w:rsidP="005D4FAA">
      <w:pPr>
        <w:pStyle w:val="p3"/>
        <w:tabs>
          <w:tab w:val="clear" w:pos="204"/>
        </w:tabs>
        <w:spacing w:line="360" w:lineRule="auto"/>
        <w:rPr>
          <w:rFonts w:asciiTheme="minorHAnsi" w:hAnsiTheme="minorHAnsi" w:cstheme="minorHAnsi"/>
          <w:sz w:val="26"/>
          <w:szCs w:val="26"/>
        </w:rPr>
      </w:pPr>
    </w:p>
    <w:p w:rsidR="00E42662" w:rsidRPr="0000362E" w:rsidRDefault="00423CC1" w:rsidP="0000362E">
      <w:pPr>
        <w:pStyle w:val="p3"/>
        <w:tabs>
          <w:tab w:val="clear" w:pos="204"/>
        </w:tabs>
        <w:spacing w:line="360" w:lineRule="auto"/>
        <w:ind w:firstLine="720"/>
        <w:rPr>
          <w:rFonts w:asciiTheme="minorHAnsi" w:hAnsiTheme="minorHAnsi" w:cstheme="minorHAnsi"/>
          <w:sz w:val="26"/>
          <w:szCs w:val="26"/>
        </w:rPr>
      </w:pPr>
      <w:r w:rsidRPr="000A0E7D">
        <w:rPr>
          <w:rFonts w:asciiTheme="minorHAnsi" w:hAnsiTheme="minorHAnsi" w:cstheme="minorHAnsi"/>
          <w:sz w:val="26"/>
          <w:szCs w:val="26"/>
        </w:rPr>
        <w:t xml:space="preserve">RESA contends that </w:t>
      </w:r>
      <w:r w:rsidR="00644787">
        <w:rPr>
          <w:rFonts w:asciiTheme="minorHAnsi" w:hAnsiTheme="minorHAnsi" w:cstheme="minorHAnsi"/>
          <w:sz w:val="26"/>
          <w:szCs w:val="26"/>
        </w:rPr>
        <w:t>Commission</w:t>
      </w:r>
      <w:r w:rsidRPr="000A0E7D">
        <w:rPr>
          <w:rFonts w:asciiTheme="minorHAnsi" w:hAnsiTheme="minorHAnsi" w:cstheme="minorHAnsi"/>
          <w:sz w:val="26"/>
          <w:szCs w:val="26"/>
        </w:rPr>
        <w:t xml:space="preserve"> staff review of the contract summary would be more beneficial if the staff review carried some weight and authority.  RESA Comments at 12.</w:t>
      </w:r>
      <w:r w:rsidR="0000362E" w:rsidRPr="000A0E7D">
        <w:rPr>
          <w:rFonts w:asciiTheme="minorHAnsi" w:hAnsiTheme="minorHAnsi" w:cstheme="minorHAnsi"/>
          <w:sz w:val="26"/>
          <w:szCs w:val="26"/>
        </w:rPr>
        <w:t xml:space="preserve">  RESA suggests that the </w:t>
      </w:r>
      <w:r w:rsidR="00644787">
        <w:rPr>
          <w:color w:val="000000"/>
          <w:sz w:val="26"/>
          <w:szCs w:val="26"/>
        </w:rPr>
        <w:t>Commission require I&amp;E</w:t>
      </w:r>
      <w:r w:rsidR="0000362E" w:rsidRPr="000A0E7D">
        <w:rPr>
          <w:color w:val="000000"/>
          <w:sz w:val="26"/>
          <w:szCs w:val="26"/>
        </w:rPr>
        <w:t xml:space="preserve"> to review disclosure statements and issue private letters that no action of an enforcement nature will be taken based on the facts presented </w:t>
      </w:r>
      <w:r w:rsidR="00D77747">
        <w:rPr>
          <w:color w:val="000000"/>
          <w:sz w:val="26"/>
          <w:szCs w:val="26"/>
        </w:rPr>
        <w:t xml:space="preserve">– </w:t>
      </w:r>
      <w:r w:rsidR="0000362E" w:rsidRPr="000A0E7D">
        <w:rPr>
          <w:color w:val="000000"/>
          <w:sz w:val="26"/>
          <w:szCs w:val="26"/>
        </w:rPr>
        <w:t xml:space="preserve">if I&amp;E deems the proposed terms and conditions to be compliant with current regulations.  </w:t>
      </w:r>
      <w:r w:rsidR="0000362E" w:rsidRPr="000A0E7D">
        <w:rPr>
          <w:i/>
          <w:color w:val="000000"/>
          <w:sz w:val="26"/>
          <w:szCs w:val="26"/>
        </w:rPr>
        <w:t xml:space="preserve">Id. </w:t>
      </w:r>
      <w:r w:rsidR="0000362E" w:rsidRPr="000A0E7D">
        <w:rPr>
          <w:color w:val="000000"/>
          <w:sz w:val="26"/>
          <w:szCs w:val="26"/>
        </w:rPr>
        <w:t>at 19.</w:t>
      </w:r>
      <w:r w:rsidRPr="000A0E7D">
        <w:rPr>
          <w:rFonts w:asciiTheme="minorHAnsi" w:hAnsiTheme="minorHAnsi" w:cstheme="minorHAnsi"/>
          <w:sz w:val="26"/>
          <w:szCs w:val="26"/>
        </w:rPr>
        <w:t xml:space="preserve">  </w:t>
      </w:r>
      <w:r w:rsidR="000A0E7D">
        <w:rPr>
          <w:rFonts w:asciiTheme="minorHAnsi" w:hAnsiTheme="minorHAnsi" w:cstheme="minorHAnsi"/>
          <w:sz w:val="26"/>
          <w:szCs w:val="26"/>
        </w:rPr>
        <w:t xml:space="preserve">We note that </w:t>
      </w:r>
      <w:r w:rsidR="0000362E" w:rsidRPr="000A0E7D">
        <w:rPr>
          <w:rFonts w:asciiTheme="minorHAnsi" w:hAnsiTheme="minorHAnsi" w:cstheme="minorHAnsi"/>
          <w:sz w:val="26"/>
          <w:szCs w:val="26"/>
        </w:rPr>
        <w:t>I&amp;E is an independent bureau that prosecutes service and rate complaints pertaining to utilities and suppliers under the Commission’s jurisdiction.  Requiring I&amp;E to issue these private “no action” letters, which are advisory in n</w:t>
      </w:r>
      <w:r w:rsidR="0046772D" w:rsidRPr="000A0E7D">
        <w:rPr>
          <w:rFonts w:asciiTheme="minorHAnsi" w:hAnsiTheme="minorHAnsi" w:cstheme="minorHAnsi"/>
          <w:sz w:val="26"/>
          <w:szCs w:val="26"/>
        </w:rPr>
        <w:t>ature, could hamper and improperly interfere with</w:t>
      </w:r>
      <w:r w:rsidR="0000362E" w:rsidRPr="000A0E7D">
        <w:rPr>
          <w:rFonts w:asciiTheme="minorHAnsi" w:hAnsiTheme="minorHAnsi" w:cstheme="minorHAnsi"/>
          <w:sz w:val="26"/>
          <w:szCs w:val="26"/>
        </w:rPr>
        <w:t xml:space="preserve"> I&amp;E’s enforcement efforts.  </w:t>
      </w:r>
      <w:r w:rsidR="0046772D" w:rsidRPr="000A0E7D">
        <w:rPr>
          <w:rFonts w:asciiTheme="minorHAnsi" w:hAnsiTheme="minorHAnsi" w:cstheme="minorHAnsi"/>
          <w:i/>
          <w:sz w:val="26"/>
          <w:szCs w:val="26"/>
        </w:rPr>
        <w:t xml:space="preserve">See </w:t>
      </w:r>
      <w:r w:rsidR="0046772D" w:rsidRPr="000A0E7D">
        <w:rPr>
          <w:rFonts w:asciiTheme="minorHAnsi" w:hAnsiTheme="minorHAnsi" w:cstheme="minorHAnsi"/>
          <w:sz w:val="26"/>
          <w:szCs w:val="26"/>
        </w:rPr>
        <w:t>66 Pa. C.S. §</w:t>
      </w:r>
      <w:r w:rsidR="00FC1D6E">
        <w:rPr>
          <w:rFonts w:asciiTheme="minorHAnsi" w:hAnsiTheme="minorHAnsi" w:cstheme="minorHAnsi"/>
          <w:sz w:val="26"/>
          <w:szCs w:val="26"/>
        </w:rPr>
        <w:t> </w:t>
      </w:r>
      <w:r w:rsidR="0046772D" w:rsidRPr="000A0E7D">
        <w:rPr>
          <w:rFonts w:asciiTheme="minorHAnsi" w:hAnsiTheme="minorHAnsi" w:cstheme="minorHAnsi"/>
          <w:sz w:val="26"/>
          <w:szCs w:val="26"/>
        </w:rPr>
        <w:t>308.2(b) (</w:t>
      </w:r>
      <w:r w:rsidR="00644787">
        <w:rPr>
          <w:rFonts w:asciiTheme="minorHAnsi" w:hAnsiTheme="minorHAnsi" w:cstheme="minorHAnsi"/>
          <w:sz w:val="26"/>
          <w:szCs w:val="26"/>
        </w:rPr>
        <w:t xml:space="preserve">relating to </w:t>
      </w:r>
      <w:r w:rsidR="0046772D" w:rsidRPr="000A0E7D">
        <w:rPr>
          <w:rFonts w:asciiTheme="minorHAnsi" w:hAnsiTheme="minorHAnsi" w:cstheme="minorHAnsi"/>
          <w:sz w:val="26"/>
          <w:szCs w:val="26"/>
        </w:rPr>
        <w:t xml:space="preserve">prohibition on commingling of functions).  </w:t>
      </w:r>
      <w:r w:rsidR="0000362E" w:rsidRPr="000A0E7D">
        <w:rPr>
          <w:rFonts w:asciiTheme="minorHAnsi" w:hAnsiTheme="minorHAnsi" w:cstheme="minorHAnsi"/>
          <w:sz w:val="26"/>
          <w:szCs w:val="26"/>
        </w:rPr>
        <w:t xml:space="preserve">Therefore, we will not direct I&amp;E to review disclosure statements for form and legality.  </w:t>
      </w:r>
      <w:r w:rsidR="005E1FA3">
        <w:rPr>
          <w:rFonts w:asciiTheme="minorHAnsi" w:hAnsiTheme="minorHAnsi" w:cstheme="minorHAnsi"/>
          <w:sz w:val="26"/>
          <w:szCs w:val="26"/>
        </w:rPr>
        <w:t xml:space="preserve">  </w:t>
      </w:r>
    </w:p>
    <w:p w:rsidR="00AA45D6" w:rsidRDefault="00AA45D6" w:rsidP="005D4FAA">
      <w:pPr>
        <w:pStyle w:val="p3"/>
        <w:tabs>
          <w:tab w:val="clear" w:pos="204"/>
        </w:tabs>
        <w:spacing w:line="360" w:lineRule="auto"/>
        <w:rPr>
          <w:rFonts w:asciiTheme="minorHAnsi" w:hAnsiTheme="minorHAnsi" w:cstheme="minorHAnsi"/>
          <w:sz w:val="26"/>
          <w:szCs w:val="26"/>
        </w:rPr>
      </w:pPr>
    </w:p>
    <w:p w:rsidR="00017856" w:rsidRDefault="00E42662" w:rsidP="005D4FAA">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r>
    </w:p>
    <w:p w:rsidR="00AA1DE2" w:rsidRPr="00AA1DE2" w:rsidRDefault="00AA1DE2" w:rsidP="005D4FAA">
      <w:pPr>
        <w:pStyle w:val="p3"/>
        <w:tabs>
          <w:tab w:val="clear" w:pos="204"/>
        </w:tabs>
        <w:spacing w:line="360" w:lineRule="auto"/>
        <w:rPr>
          <w:rFonts w:asciiTheme="minorHAnsi" w:hAnsiTheme="minorHAnsi" w:cstheme="minorHAnsi"/>
          <w:b/>
          <w:sz w:val="26"/>
          <w:szCs w:val="26"/>
        </w:rPr>
      </w:pPr>
      <w:r>
        <w:rPr>
          <w:rFonts w:asciiTheme="minorHAnsi" w:hAnsiTheme="minorHAnsi" w:cstheme="minorHAnsi"/>
          <w:b/>
          <w:sz w:val="26"/>
          <w:szCs w:val="26"/>
        </w:rPr>
        <w:lastRenderedPageBreak/>
        <w:t xml:space="preserve">Disposition </w:t>
      </w:r>
      <w:r w:rsidR="00BE23D8">
        <w:rPr>
          <w:rFonts w:asciiTheme="minorHAnsi" w:hAnsiTheme="minorHAnsi" w:cstheme="minorHAnsi"/>
          <w:b/>
          <w:sz w:val="26"/>
          <w:szCs w:val="26"/>
        </w:rPr>
        <w:t xml:space="preserve">of </w:t>
      </w:r>
      <w:r>
        <w:rPr>
          <w:rFonts w:asciiTheme="minorHAnsi" w:hAnsiTheme="minorHAnsi" w:cstheme="minorHAnsi"/>
          <w:b/>
          <w:sz w:val="26"/>
          <w:szCs w:val="26"/>
        </w:rPr>
        <w:t>Section 62.81</w:t>
      </w:r>
    </w:p>
    <w:p w:rsidR="00E97A10" w:rsidRPr="00BB6A4C" w:rsidRDefault="00E97A10" w:rsidP="00E97A10">
      <w:pPr>
        <w:pStyle w:val="p3"/>
        <w:tabs>
          <w:tab w:val="clear" w:pos="204"/>
        </w:tabs>
        <w:spacing w:line="360" w:lineRule="auto"/>
        <w:rPr>
          <w:rFonts w:asciiTheme="minorHAnsi" w:hAnsiTheme="minorHAnsi" w:cstheme="minorHAnsi"/>
          <w:sz w:val="26"/>
          <w:szCs w:val="26"/>
        </w:rPr>
      </w:pPr>
      <w:r>
        <w:rPr>
          <w:sz w:val="26"/>
          <w:szCs w:val="26"/>
          <w:u w:val="single"/>
        </w:rPr>
        <w:t xml:space="preserve">Use of the Term “Fixed Duration/Length Contract” in </w:t>
      </w:r>
      <w:r>
        <w:rPr>
          <w:rFonts w:asciiTheme="minorHAnsi" w:hAnsiTheme="minorHAnsi" w:cstheme="minorHAnsi"/>
          <w:sz w:val="26"/>
          <w:szCs w:val="26"/>
          <w:u w:val="single"/>
        </w:rPr>
        <w:t>Section 62.81</w:t>
      </w:r>
      <w:r>
        <w:rPr>
          <w:sz w:val="26"/>
          <w:szCs w:val="26"/>
        </w:rPr>
        <w:t xml:space="preserve">     </w:t>
      </w:r>
    </w:p>
    <w:p w:rsidR="00E97A10" w:rsidRDefault="00E97A10" w:rsidP="00E97A10">
      <w:pPr>
        <w:spacing w:line="360" w:lineRule="auto"/>
        <w:rPr>
          <w:rFonts w:cstheme="minorHAnsi"/>
          <w:sz w:val="26"/>
          <w:szCs w:val="26"/>
        </w:rPr>
      </w:pPr>
      <w:r>
        <w:rPr>
          <w:rFonts w:cstheme="minorHAnsi"/>
          <w:b/>
          <w:sz w:val="26"/>
          <w:szCs w:val="26"/>
        </w:rPr>
        <w:tab/>
      </w:r>
      <w:r>
        <w:rPr>
          <w:rFonts w:cstheme="minorHAnsi"/>
          <w:sz w:val="26"/>
          <w:szCs w:val="26"/>
        </w:rPr>
        <w:t xml:space="preserve"> Most parties endorse the Commission’s proposal to change the word “term” to “duration” in this section for clarification purposes.  WGL Comments at 9; PA Marketers Comments at 7.  While RESA does not object to “fixed duration,” RESA opines that “fixed length” may be more easily understood by the average consumer.  RESA Comments at 16.   As “fixed duration contract” is </w:t>
      </w:r>
      <w:proofErr w:type="spellStart"/>
      <w:r>
        <w:rPr>
          <w:rFonts w:cstheme="minorHAnsi"/>
          <w:sz w:val="26"/>
          <w:szCs w:val="26"/>
        </w:rPr>
        <w:t>definitionally</w:t>
      </w:r>
      <w:proofErr w:type="spellEnd"/>
      <w:r>
        <w:rPr>
          <w:rFonts w:cstheme="minorHAnsi"/>
          <w:sz w:val="26"/>
          <w:szCs w:val="26"/>
        </w:rPr>
        <w:t xml:space="preserve"> more precise and less ambiguous than “fixed term” or “fixed length” contract, we will retain “fixed duration contract.”</w:t>
      </w:r>
      <w:r w:rsidR="00E824A1">
        <w:rPr>
          <w:rStyle w:val="FootnoteReference"/>
          <w:rFonts w:cstheme="minorHAnsi"/>
          <w:sz w:val="26"/>
          <w:szCs w:val="26"/>
        </w:rPr>
        <w:footnoteReference w:id="10"/>
      </w:r>
      <w:r>
        <w:rPr>
          <w:rFonts w:cstheme="minorHAnsi"/>
          <w:sz w:val="26"/>
          <w:szCs w:val="26"/>
        </w:rPr>
        <w:t xml:space="preserve">  </w:t>
      </w:r>
      <w:r>
        <w:rPr>
          <w:rFonts w:cstheme="minorHAnsi"/>
          <w:i/>
          <w:sz w:val="26"/>
          <w:szCs w:val="26"/>
        </w:rPr>
        <w:t xml:space="preserve">See </w:t>
      </w:r>
      <w:r>
        <w:rPr>
          <w:rFonts w:cstheme="minorHAnsi"/>
          <w:sz w:val="26"/>
          <w:szCs w:val="26"/>
        </w:rPr>
        <w:t xml:space="preserve">Annex A, Section 62.81.  However, in light of RESA’s concern, we note that the contract summary will refer to the duration/length of the contract in order to facilitate the consumer’s understanding.  </w:t>
      </w:r>
      <w:r>
        <w:rPr>
          <w:rFonts w:cstheme="minorHAnsi"/>
          <w:i/>
          <w:sz w:val="26"/>
          <w:szCs w:val="26"/>
        </w:rPr>
        <w:t xml:space="preserve">See </w:t>
      </w:r>
      <w:r>
        <w:rPr>
          <w:rFonts w:cstheme="minorHAnsi"/>
          <w:sz w:val="26"/>
          <w:szCs w:val="26"/>
        </w:rPr>
        <w:t xml:space="preserve">Attachment </w:t>
      </w:r>
      <w:r>
        <w:rPr>
          <w:rFonts w:cstheme="minorHAnsi"/>
          <w:caps/>
          <w:sz w:val="26"/>
          <w:szCs w:val="26"/>
        </w:rPr>
        <w:t xml:space="preserve">A.  </w:t>
      </w:r>
      <w:r>
        <w:rPr>
          <w:rFonts w:cstheme="minorHAnsi"/>
          <w:sz w:val="26"/>
          <w:szCs w:val="26"/>
        </w:rPr>
        <w:t xml:space="preserve">   </w:t>
      </w:r>
    </w:p>
    <w:p w:rsidR="00E97A10" w:rsidRDefault="00E97A10" w:rsidP="005D4FAA">
      <w:pPr>
        <w:pStyle w:val="p3"/>
        <w:tabs>
          <w:tab w:val="clear" w:pos="204"/>
        </w:tabs>
        <w:spacing w:line="360" w:lineRule="auto"/>
        <w:rPr>
          <w:rFonts w:cstheme="minorHAnsi"/>
          <w:sz w:val="26"/>
          <w:szCs w:val="26"/>
          <w:u w:val="single"/>
        </w:rPr>
      </w:pPr>
    </w:p>
    <w:p w:rsidR="00BD1D9C" w:rsidRPr="00BD1D9C" w:rsidRDefault="00BD1D9C" w:rsidP="005D4FAA">
      <w:pPr>
        <w:pStyle w:val="p3"/>
        <w:tabs>
          <w:tab w:val="clear" w:pos="204"/>
        </w:tabs>
        <w:spacing w:line="360" w:lineRule="auto"/>
        <w:rPr>
          <w:rFonts w:cstheme="minorHAnsi"/>
          <w:sz w:val="26"/>
          <w:szCs w:val="26"/>
          <w:u w:val="single"/>
        </w:rPr>
      </w:pPr>
      <w:r>
        <w:rPr>
          <w:rFonts w:cstheme="minorHAnsi"/>
          <w:sz w:val="26"/>
          <w:szCs w:val="26"/>
          <w:u w:val="single"/>
        </w:rPr>
        <w:t>Timeframes for Initial and Options Notices</w:t>
      </w:r>
      <w:r w:rsidR="0016171A">
        <w:rPr>
          <w:rFonts w:cstheme="minorHAnsi"/>
          <w:sz w:val="26"/>
          <w:szCs w:val="26"/>
          <w:u w:val="single"/>
        </w:rPr>
        <w:t xml:space="preserve"> in Sections 62.81(a)(1) and 62.81(a)(2)</w:t>
      </w:r>
    </w:p>
    <w:p w:rsidR="00BD1D9C" w:rsidRPr="00AA45D6" w:rsidRDefault="00BD1D9C" w:rsidP="00AA45D6">
      <w:pPr>
        <w:pStyle w:val="p3"/>
        <w:tabs>
          <w:tab w:val="clear" w:pos="204"/>
        </w:tabs>
        <w:spacing w:line="360" w:lineRule="auto"/>
        <w:ind w:firstLine="720"/>
        <w:rPr>
          <w:rFonts w:asciiTheme="minorHAnsi" w:hAnsiTheme="minorHAnsi" w:cstheme="minorHAnsi"/>
          <w:sz w:val="26"/>
          <w:szCs w:val="26"/>
        </w:rPr>
      </w:pPr>
      <w:r>
        <w:rPr>
          <w:rFonts w:cstheme="minorHAnsi"/>
          <w:sz w:val="26"/>
          <w:szCs w:val="26"/>
        </w:rPr>
        <w:t>The supplier community generally supports the proposed time period for the initial and options notices because</w:t>
      </w:r>
      <w:r w:rsidR="00FF5A05">
        <w:rPr>
          <w:rFonts w:cstheme="minorHAnsi"/>
          <w:sz w:val="26"/>
          <w:szCs w:val="26"/>
        </w:rPr>
        <w:t xml:space="preserve"> the</w:t>
      </w:r>
      <w:r>
        <w:rPr>
          <w:rFonts w:cstheme="minorHAnsi"/>
          <w:sz w:val="26"/>
          <w:szCs w:val="26"/>
        </w:rPr>
        <w:t xml:space="preserve"> 45-60 day advance notice for the initial notice and the 30</w:t>
      </w:r>
      <w:r w:rsidR="00FF5A05">
        <w:rPr>
          <w:rFonts w:cstheme="minorHAnsi"/>
          <w:sz w:val="26"/>
          <w:szCs w:val="26"/>
        </w:rPr>
        <w:t>-</w:t>
      </w:r>
      <w:r>
        <w:rPr>
          <w:rFonts w:cstheme="minorHAnsi"/>
          <w:sz w:val="26"/>
          <w:szCs w:val="26"/>
        </w:rPr>
        <w:t xml:space="preserve">day advance notice for the options notice align with the rules applicable to the electric industry.  RESA Comments at 13, National Marketers Comments at 5; PA Marketers Comments at 6.  </w:t>
      </w:r>
      <w:r w:rsidR="003E04A6">
        <w:rPr>
          <w:rFonts w:cstheme="minorHAnsi"/>
          <w:sz w:val="26"/>
          <w:szCs w:val="26"/>
        </w:rPr>
        <w:t>WGL believes one 45</w:t>
      </w:r>
      <w:r w:rsidR="00FF5A05">
        <w:rPr>
          <w:rFonts w:cstheme="minorHAnsi"/>
          <w:sz w:val="26"/>
          <w:szCs w:val="26"/>
        </w:rPr>
        <w:t>-</w:t>
      </w:r>
      <w:r w:rsidR="003E04A6">
        <w:rPr>
          <w:rFonts w:cstheme="minorHAnsi"/>
          <w:sz w:val="26"/>
          <w:szCs w:val="26"/>
        </w:rPr>
        <w:t>day option</w:t>
      </w:r>
      <w:r w:rsidR="00644787">
        <w:rPr>
          <w:rFonts w:cstheme="minorHAnsi"/>
          <w:sz w:val="26"/>
          <w:szCs w:val="26"/>
        </w:rPr>
        <w:t>s</w:t>
      </w:r>
      <w:r w:rsidR="003E04A6">
        <w:rPr>
          <w:rFonts w:cstheme="minorHAnsi"/>
          <w:sz w:val="26"/>
          <w:szCs w:val="26"/>
        </w:rPr>
        <w:t xml:space="preserve"> notice is sufficient.  WGL Comments at 8.  </w:t>
      </w:r>
      <w:r>
        <w:rPr>
          <w:rFonts w:cstheme="minorHAnsi"/>
          <w:sz w:val="26"/>
          <w:szCs w:val="26"/>
        </w:rPr>
        <w:t>OCA and PULP do not provide language changes or suggestions to the notice timeframes.  However, IRRC q</w:t>
      </w:r>
      <w:r>
        <w:rPr>
          <w:rFonts w:asciiTheme="minorHAnsi" w:hAnsiTheme="minorHAnsi" w:cstheme="minorHAnsi"/>
          <w:sz w:val="26"/>
          <w:szCs w:val="26"/>
        </w:rPr>
        <w:t>uestion</w:t>
      </w:r>
      <w:r w:rsidR="00644787">
        <w:rPr>
          <w:rFonts w:asciiTheme="minorHAnsi" w:hAnsiTheme="minorHAnsi" w:cstheme="minorHAnsi"/>
          <w:sz w:val="26"/>
          <w:szCs w:val="26"/>
        </w:rPr>
        <w:t>s</w:t>
      </w:r>
      <w:r>
        <w:rPr>
          <w:rFonts w:asciiTheme="minorHAnsi" w:hAnsiTheme="minorHAnsi" w:cstheme="minorHAnsi"/>
          <w:sz w:val="26"/>
          <w:szCs w:val="26"/>
        </w:rPr>
        <w:t xml:space="preserve"> the reasonableness of reducing the existing notice timeframes and recommended that the </w:t>
      </w:r>
      <w:r w:rsidR="00644787">
        <w:rPr>
          <w:rFonts w:asciiTheme="minorHAnsi" w:hAnsiTheme="minorHAnsi" w:cstheme="minorHAnsi"/>
          <w:sz w:val="26"/>
          <w:szCs w:val="26"/>
        </w:rPr>
        <w:t>Commission</w:t>
      </w:r>
      <w:r>
        <w:rPr>
          <w:rFonts w:asciiTheme="minorHAnsi" w:hAnsiTheme="minorHAnsi" w:cstheme="minorHAnsi"/>
          <w:sz w:val="26"/>
          <w:szCs w:val="26"/>
        </w:rPr>
        <w:t xml:space="preserve"> keep the current timeframes in place until the gas industry moves to accelerated switching.  IRRC Comments at 5.</w:t>
      </w:r>
      <w:r w:rsidR="00446428">
        <w:rPr>
          <w:rFonts w:asciiTheme="minorHAnsi" w:hAnsiTheme="minorHAnsi" w:cstheme="minorHAnsi"/>
          <w:sz w:val="26"/>
          <w:szCs w:val="26"/>
        </w:rPr>
        <w:t xml:space="preserve">  Currently, the Commission’s regulations require NGSs to send notices to customers at about 90 days and 60 days prior to the expiration of a contract or the effective date of a proposed change in terms.  </w:t>
      </w:r>
      <w:r w:rsidR="00446428">
        <w:rPr>
          <w:rFonts w:asciiTheme="minorHAnsi" w:hAnsiTheme="minorHAnsi" w:cstheme="minorHAnsi"/>
          <w:i/>
          <w:sz w:val="26"/>
          <w:szCs w:val="26"/>
        </w:rPr>
        <w:t>See</w:t>
      </w:r>
      <w:r w:rsidR="00446428">
        <w:rPr>
          <w:rFonts w:asciiTheme="minorHAnsi" w:hAnsiTheme="minorHAnsi" w:cstheme="minorHAnsi"/>
          <w:sz w:val="26"/>
          <w:szCs w:val="26"/>
        </w:rPr>
        <w:t xml:space="preserve"> 52 Pa. Code § 62.75(g)</w:t>
      </w:r>
      <w:r w:rsidR="003B4A39">
        <w:rPr>
          <w:rFonts w:asciiTheme="minorHAnsi" w:hAnsiTheme="minorHAnsi" w:cstheme="minorHAnsi"/>
          <w:sz w:val="26"/>
          <w:szCs w:val="26"/>
        </w:rPr>
        <w:t>.</w:t>
      </w:r>
      <w:r>
        <w:rPr>
          <w:rFonts w:cstheme="minorHAnsi"/>
          <w:sz w:val="26"/>
          <w:szCs w:val="26"/>
        </w:rPr>
        <w:t xml:space="preserve">  </w:t>
      </w:r>
    </w:p>
    <w:p w:rsidR="00BD1D9C" w:rsidRDefault="00BD1D9C" w:rsidP="005D4FAA">
      <w:pPr>
        <w:pStyle w:val="p3"/>
        <w:tabs>
          <w:tab w:val="clear" w:pos="204"/>
        </w:tabs>
        <w:spacing w:line="360" w:lineRule="auto"/>
        <w:rPr>
          <w:rFonts w:cstheme="minorHAnsi"/>
          <w:sz w:val="26"/>
          <w:szCs w:val="26"/>
        </w:rPr>
      </w:pPr>
    </w:p>
    <w:p w:rsidR="00AA45D6" w:rsidRDefault="00AA45D6" w:rsidP="005D4FAA">
      <w:pPr>
        <w:pStyle w:val="p3"/>
        <w:tabs>
          <w:tab w:val="clear" w:pos="204"/>
        </w:tabs>
        <w:spacing w:line="360" w:lineRule="auto"/>
        <w:rPr>
          <w:rFonts w:cstheme="minorHAnsi"/>
          <w:sz w:val="26"/>
          <w:szCs w:val="26"/>
        </w:rPr>
      </w:pPr>
    </w:p>
    <w:p w:rsidR="000415F3" w:rsidRDefault="00446428" w:rsidP="00E82823">
      <w:pPr>
        <w:pStyle w:val="p3"/>
        <w:tabs>
          <w:tab w:val="clear" w:pos="204"/>
        </w:tabs>
        <w:spacing w:line="360" w:lineRule="auto"/>
        <w:rPr>
          <w:rFonts w:cstheme="minorHAnsi"/>
          <w:sz w:val="26"/>
          <w:szCs w:val="26"/>
        </w:rPr>
      </w:pPr>
      <w:r>
        <w:rPr>
          <w:rFonts w:cstheme="minorHAnsi"/>
          <w:sz w:val="26"/>
          <w:szCs w:val="26"/>
        </w:rPr>
        <w:lastRenderedPageBreak/>
        <w:tab/>
      </w:r>
      <w:r w:rsidR="00E82823">
        <w:rPr>
          <w:rFonts w:cstheme="minorHAnsi"/>
          <w:sz w:val="26"/>
          <w:szCs w:val="26"/>
        </w:rPr>
        <w:t>T</w:t>
      </w:r>
      <w:r>
        <w:rPr>
          <w:rFonts w:cstheme="minorHAnsi"/>
          <w:sz w:val="26"/>
          <w:szCs w:val="26"/>
        </w:rPr>
        <w:t>his Commission is concerned about forcing uniform</w:t>
      </w:r>
      <w:r w:rsidR="00E10F93">
        <w:rPr>
          <w:rFonts w:cstheme="minorHAnsi"/>
          <w:sz w:val="26"/>
          <w:szCs w:val="26"/>
        </w:rPr>
        <w:t xml:space="preserve"> notice requirements</w:t>
      </w:r>
      <w:r w:rsidR="00D24EE2">
        <w:rPr>
          <w:rFonts w:cstheme="minorHAnsi"/>
          <w:sz w:val="26"/>
          <w:szCs w:val="26"/>
        </w:rPr>
        <w:t xml:space="preserve"> at this time</w:t>
      </w:r>
      <w:r w:rsidR="00E10F93">
        <w:rPr>
          <w:rFonts w:cstheme="minorHAnsi"/>
          <w:sz w:val="26"/>
          <w:szCs w:val="26"/>
        </w:rPr>
        <w:t>, since supplier switching standards</w:t>
      </w:r>
      <w:r w:rsidR="00E82823">
        <w:rPr>
          <w:rFonts w:cstheme="minorHAnsi"/>
          <w:sz w:val="26"/>
          <w:szCs w:val="26"/>
        </w:rPr>
        <w:t xml:space="preserve"> and timeframes</w:t>
      </w:r>
      <w:r w:rsidR="00E10F93">
        <w:rPr>
          <w:rFonts w:cstheme="minorHAnsi"/>
          <w:sz w:val="26"/>
          <w:szCs w:val="26"/>
        </w:rPr>
        <w:t xml:space="preserve"> are much different in the gas industry than </w:t>
      </w:r>
      <w:r w:rsidR="00E82823">
        <w:rPr>
          <w:rFonts w:cstheme="minorHAnsi"/>
          <w:sz w:val="26"/>
          <w:szCs w:val="26"/>
        </w:rPr>
        <w:t xml:space="preserve">in </w:t>
      </w:r>
      <w:r w:rsidR="00E10F93">
        <w:rPr>
          <w:rFonts w:cstheme="minorHAnsi"/>
          <w:sz w:val="26"/>
          <w:szCs w:val="26"/>
        </w:rPr>
        <w:t xml:space="preserve">the electric industry.  </w:t>
      </w:r>
      <w:r>
        <w:rPr>
          <w:rFonts w:cstheme="minorHAnsi"/>
          <w:sz w:val="26"/>
          <w:szCs w:val="26"/>
        </w:rPr>
        <w:t xml:space="preserve"> </w:t>
      </w:r>
      <w:r w:rsidR="00B720C3">
        <w:rPr>
          <w:rFonts w:cstheme="minorHAnsi"/>
          <w:sz w:val="26"/>
          <w:szCs w:val="26"/>
        </w:rPr>
        <w:t>However, we still believe it is important to improve internal switching processes and</w:t>
      </w:r>
      <w:r w:rsidR="00E824A1">
        <w:rPr>
          <w:rFonts w:cstheme="minorHAnsi"/>
          <w:sz w:val="26"/>
          <w:szCs w:val="26"/>
        </w:rPr>
        <w:t xml:space="preserve"> notice</w:t>
      </w:r>
      <w:r w:rsidR="00B720C3">
        <w:rPr>
          <w:rFonts w:cstheme="minorHAnsi"/>
          <w:sz w:val="26"/>
          <w:szCs w:val="26"/>
        </w:rPr>
        <w:t xml:space="preserve"> timeframes, to the extent possible.  The </w:t>
      </w:r>
      <w:r w:rsidR="003E04A6">
        <w:rPr>
          <w:rFonts w:cstheme="minorHAnsi"/>
          <w:sz w:val="26"/>
          <w:szCs w:val="26"/>
        </w:rPr>
        <w:t>twin</w:t>
      </w:r>
      <w:r w:rsidR="00B720C3">
        <w:rPr>
          <w:rFonts w:cstheme="minorHAnsi"/>
          <w:sz w:val="26"/>
          <w:szCs w:val="26"/>
        </w:rPr>
        <w:t xml:space="preserve"> goal</w:t>
      </w:r>
      <w:r w:rsidR="003E04A6">
        <w:rPr>
          <w:rFonts w:cstheme="minorHAnsi"/>
          <w:sz w:val="26"/>
          <w:szCs w:val="26"/>
        </w:rPr>
        <w:t>s</w:t>
      </w:r>
      <w:r w:rsidR="00B720C3">
        <w:rPr>
          <w:rFonts w:cstheme="minorHAnsi"/>
          <w:sz w:val="26"/>
          <w:szCs w:val="26"/>
        </w:rPr>
        <w:t xml:space="preserve"> of uniform </w:t>
      </w:r>
      <w:r w:rsidR="003E04A6">
        <w:rPr>
          <w:rFonts w:cstheme="minorHAnsi"/>
          <w:sz w:val="26"/>
          <w:szCs w:val="26"/>
        </w:rPr>
        <w:t xml:space="preserve">gas/electric </w:t>
      </w:r>
      <w:r w:rsidR="00B720C3">
        <w:rPr>
          <w:rFonts w:cstheme="minorHAnsi"/>
          <w:sz w:val="26"/>
          <w:szCs w:val="26"/>
        </w:rPr>
        <w:t xml:space="preserve">notice requirements </w:t>
      </w:r>
      <w:r w:rsidR="003E04A6">
        <w:rPr>
          <w:rFonts w:cstheme="minorHAnsi"/>
          <w:sz w:val="26"/>
          <w:szCs w:val="26"/>
        </w:rPr>
        <w:t>are</w:t>
      </w:r>
      <w:r w:rsidR="00B720C3">
        <w:rPr>
          <w:rFonts w:cstheme="minorHAnsi"/>
          <w:sz w:val="26"/>
          <w:szCs w:val="26"/>
        </w:rPr>
        <w:t xml:space="preserve"> </w:t>
      </w:r>
      <w:r w:rsidR="003E04A6">
        <w:rPr>
          <w:rFonts w:cstheme="minorHAnsi"/>
          <w:sz w:val="26"/>
          <w:szCs w:val="26"/>
        </w:rPr>
        <w:t xml:space="preserve">1) </w:t>
      </w:r>
      <w:r w:rsidR="00B720C3">
        <w:rPr>
          <w:rFonts w:cstheme="minorHAnsi"/>
          <w:sz w:val="26"/>
          <w:szCs w:val="26"/>
        </w:rPr>
        <w:t>to avoid subjecting NGSs to more burdensome and costly administrative</w:t>
      </w:r>
      <w:r w:rsidR="003B4A39">
        <w:rPr>
          <w:rFonts w:cstheme="minorHAnsi"/>
          <w:sz w:val="26"/>
          <w:szCs w:val="26"/>
        </w:rPr>
        <w:t xml:space="preserve"> requirements and </w:t>
      </w:r>
      <w:r w:rsidR="003E04A6">
        <w:rPr>
          <w:rFonts w:cstheme="minorHAnsi"/>
          <w:sz w:val="26"/>
          <w:szCs w:val="26"/>
        </w:rPr>
        <w:t xml:space="preserve">2) </w:t>
      </w:r>
      <w:r w:rsidR="003B4A39">
        <w:rPr>
          <w:rFonts w:cstheme="minorHAnsi"/>
          <w:sz w:val="26"/>
          <w:szCs w:val="26"/>
        </w:rPr>
        <w:t>to avoid inundating and confusing</w:t>
      </w:r>
      <w:r w:rsidR="00B720C3">
        <w:rPr>
          <w:rFonts w:cstheme="minorHAnsi"/>
          <w:sz w:val="26"/>
          <w:szCs w:val="26"/>
        </w:rPr>
        <w:t xml:space="preserve"> consumers </w:t>
      </w:r>
      <w:r w:rsidR="00E824A1">
        <w:rPr>
          <w:rFonts w:cstheme="minorHAnsi"/>
          <w:sz w:val="26"/>
          <w:szCs w:val="26"/>
        </w:rPr>
        <w:t>with multiple notices regarding their</w:t>
      </w:r>
      <w:r w:rsidR="00B720C3">
        <w:rPr>
          <w:rFonts w:cstheme="minorHAnsi"/>
          <w:sz w:val="26"/>
          <w:szCs w:val="26"/>
        </w:rPr>
        <w:t xml:space="preserve"> dual electric and gas supply </w:t>
      </w:r>
      <w:r w:rsidR="00D24EE2">
        <w:rPr>
          <w:rFonts w:cstheme="minorHAnsi"/>
          <w:sz w:val="26"/>
          <w:szCs w:val="26"/>
        </w:rPr>
        <w:t>contracts</w:t>
      </w:r>
      <w:r w:rsidR="00B720C3">
        <w:rPr>
          <w:rFonts w:cstheme="minorHAnsi"/>
          <w:sz w:val="26"/>
          <w:szCs w:val="26"/>
        </w:rPr>
        <w:t xml:space="preserve">.  </w:t>
      </w:r>
      <w:r w:rsidR="0084528E">
        <w:rPr>
          <w:rFonts w:cstheme="minorHAnsi"/>
          <w:sz w:val="26"/>
          <w:szCs w:val="26"/>
        </w:rPr>
        <w:t xml:space="preserve">As RESA attests, most switches usually occur </w:t>
      </w:r>
      <w:r w:rsidR="002F1F57">
        <w:rPr>
          <w:rFonts w:cstheme="minorHAnsi"/>
          <w:sz w:val="26"/>
          <w:szCs w:val="26"/>
        </w:rPr>
        <w:t>with</w:t>
      </w:r>
      <w:r w:rsidR="0084528E">
        <w:rPr>
          <w:rFonts w:cstheme="minorHAnsi"/>
          <w:sz w:val="26"/>
          <w:szCs w:val="26"/>
        </w:rPr>
        <w:t>in 11-40 days</w:t>
      </w:r>
      <w:r w:rsidR="002F1F57">
        <w:rPr>
          <w:rFonts w:cstheme="minorHAnsi"/>
          <w:sz w:val="26"/>
          <w:szCs w:val="26"/>
        </w:rPr>
        <w:t xml:space="preserve"> of a request</w:t>
      </w:r>
      <w:r w:rsidR="0084528E">
        <w:rPr>
          <w:rFonts w:cstheme="minorHAnsi"/>
          <w:sz w:val="26"/>
          <w:szCs w:val="26"/>
        </w:rPr>
        <w:t>.</w:t>
      </w:r>
      <w:r w:rsidR="000415F3">
        <w:rPr>
          <w:rFonts w:cstheme="minorHAnsi"/>
          <w:sz w:val="26"/>
          <w:szCs w:val="26"/>
        </w:rPr>
        <w:t xml:space="preserve">  </w:t>
      </w:r>
      <w:r w:rsidR="000415F3">
        <w:rPr>
          <w:rFonts w:cstheme="minorHAnsi"/>
          <w:i/>
          <w:sz w:val="26"/>
          <w:szCs w:val="26"/>
        </w:rPr>
        <w:t xml:space="preserve">See </w:t>
      </w:r>
      <w:r w:rsidR="000415F3">
        <w:rPr>
          <w:rFonts w:cstheme="minorHAnsi"/>
          <w:sz w:val="26"/>
          <w:szCs w:val="26"/>
        </w:rPr>
        <w:t>RESA Comments at 14.</w:t>
      </w:r>
      <w:r w:rsidR="0084528E">
        <w:rPr>
          <w:rFonts w:cstheme="minorHAnsi"/>
          <w:sz w:val="26"/>
          <w:szCs w:val="26"/>
        </w:rPr>
        <w:t xml:space="preserve">  Therefore, a customer who receives an options notice 30 days prior to the contract expiration may have to wait another month before effectuating a switch to a new supplier.  Therefore, </w:t>
      </w:r>
      <w:r w:rsidR="00D24EE2">
        <w:rPr>
          <w:rFonts w:cstheme="minorHAnsi"/>
          <w:sz w:val="26"/>
          <w:szCs w:val="26"/>
        </w:rPr>
        <w:t xml:space="preserve">in finding middle ground between the current 60 day requirement and the proposed 30 day requirement, </w:t>
      </w:r>
      <w:r w:rsidR="0084528E">
        <w:rPr>
          <w:rFonts w:cstheme="minorHAnsi"/>
          <w:sz w:val="26"/>
          <w:szCs w:val="26"/>
        </w:rPr>
        <w:t xml:space="preserve">we will adjust the options notice requirement to “at least 45 days prior to the expiration date of the fixed duration contract or the effective date of the proposed change in terms.”  </w:t>
      </w:r>
      <w:r w:rsidR="0016171A">
        <w:rPr>
          <w:rFonts w:cstheme="minorHAnsi"/>
          <w:i/>
          <w:sz w:val="26"/>
          <w:szCs w:val="26"/>
        </w:rPr>
        <w:t xml:space="preserve">See </w:t>
      </w:r>
      <w:r w:rsidR="0016171A">
        <w:rPr>
          <w:rFonts w:cstheme="minorHAnsi"/>
          <w:sz w:val="26"/>
          <w:szCs w:val="26"/>
        </w:rPr>
        <w:t>Annex A, Section 62.81(a)(</w:t>
      </w:r>
      <w:r w:rsidR="0025210D">
        <w:rPr>
          <w:rFonts w:cstheme="minorHAnsi"/>
          <w:sz w:val="26"/>
          <w:szCs w:val="26"/>
        </w:rPr>
        <w:t>2</w:t>
      </w:r>
      <w:r w:rsidR="0016171A">
        <w:rPr>
          <w:rFonts w:cstheme="minorHAnsi"/>
          <w:sz w:val="26"/>
          <w:szCs w:val="26"/>
        </w:rPr>
        <w:t xml:space="preserve">).  </w:t>
      </w:r>
      <w:r w:rsidR="003B4A39">
        <w:rPr>
          <w:rFonts w:cstheme="minorHAnsi"/>
          <w:sz w:val="26"/>
          <w:szCs w:val="26"/>
        </w:rPr>
        <w:t>This timeframe will better ensure that in most scenarios a customer will not have to wait until the following month if the customer switches soon after receiving the options notice.</w:t>
      </w:r>
      <w:r w:rsidR="007942D1">
        <w:rPr>
          <w:rFonts w:cstheme="minorHAnsi"/>
          <w:sz w:val="26"/>
          <w:szCs w:val="26"/>
        </w:rPr>
        <w:t xml:space="preserve">  </w:t>
      </w:r>
    </w:p>
    <w:p w:rsidR="005C3102" w:rsidRDefault="005C3102" w:rsidP="00E82823">
      <w:pPr>
        <w:pStyle w:val="p3"/>
        <w:tabs>
          <w:tab w:val="clear" w:pos="204"/>
        </w:tabs>
        <w:spacing w:line="360" w:lineRule="auto"/>
        <w:rPr>
          <w:rFonts w:cstheme="minorHAnsi"/>
          <w:sz w:val="26"/>
          <w:szCs w:val="26"/>
        </w:rPr>
      </w:pPr>
    </w:p>
    <w:p w:rsidR="00552F92" w:rsidRDefault="0084528E" w:rsidP="00B720C3">
      <w:pPr>
        <w:pStyle w:val="p3"/>
        <w:tabs>
          <w:tab w:val="clear" w:pos="204"/>
        </w:tabs>
        <w:spacing w:line="360" w:lineRule="auto"/>
        <w:ind w:firstLine="720"/>
        <w:rPr>
          <w:rFonts w:asciiTheme="minorHAnsi" w:hAnsiTheme="minorHAnsi" w:cstheme="minorHAnsi"/>
          <w:sz w:val="26"/>
          <w:szCs w:val="26"/>
        </w:rPr>
      </w:pPr>
      <w:r>
        <w:rPr>
          <w:rFonts w:cstheme="minorHAnsi"/>
          <w:sz w:val="26"/>
          <w:szCs w:val="26"/>
        </w:rPr>
        <w:t>Based on th</w:t>
      </w:r>
      <w:r w:rsidR="000415F3">
        <w:rPr>
          <w:rFonts w:cstheme="minorHAnsi"/>
          <w:sz w:val="26"/>
          <w:szCs w:val="26"/>
        </w:rPr>
        <w:t>e</w:t>
      </w:r>
      <w:r>
        <w:rPr>
          <w:rFonts w:cstheme="minorHAnsi"/>
          <w:sz w:val="26"/>
          <w:szCs w:val="26"/>
        </w:rPr>
        <w:t xml:space="preserve"> adjustment to the options notice, we will adjust the </w:t>
      </w:r>
      <w:r w:rsidR="000415F3">
        <w:rPr>
          <w:rFonts w:cstheme="minorHAnsi"/>
          <w:sz w:val="26"/>
          <w:szCs w:val="26"/>
        </w:rPr>
        <w:t>90</w:t>
      </w:r>
      <w:r w:rsidR="009865DA">
        <w:rPr>
          <w:rFonts w:cstheme="minorHAnsi"/>
          <w:sz w:val="26"/>
          <w:szCs w:val="26"/>
        </w:rPr>
        <w:t>-</w:t>
      </w:r>
      <w:r w:rsidR="000415F3">
        <w:rPr>
          <w:rFonts w:cstheme="minorHAnsi"/>
          <w:sz w:val="26"/>
          <w:szCs w:val="26"/>
        </w:rPr>
        <w:t xml:space="preserve">day </w:t>
      </w:r>
      <w:r>
        <w:rPr>
          <w:rFonts w:cstheme="minorHAnsi"/>
          <w:sz w:val="26"/>
          <w:szCs w:val="26"/>
        </w:rPr>
        <w:t xml:space="preserve">initial notice </w:t>
      </w:r>
      <w:r w:rsidR="000415F3">
        <w:rPr>
          <w:rFonts w:cstheme="minorHAnsi"/>
          <w:sz w:val="26"/>
          <w:szCs w:val="26"/>
        </w:rPr>
        <w:t xml:space="preserve">requirement </w:t>
      </w:r>
      <w:r>
        <w:rPr>
          <w:rFonts w:cstheme="minorHAnsi"/>
          <w:sz w:val="26"/>
          <w:szCs w:val="26"/>
        </w:rPr>
        <w:t>to “</w:t>
      </w:r>
      <w:r w:rsidR="007E43F0">
        <w:rPr>
          <w:rFonts w:cstheme="minorHAnsi"/>
          <w:sz w:val="26"/>
          <w:szCs w:val="26"/>
        </w:rPr>
        <w:t>60 to 75</w:t>
      </w:r>
      <w:r>
        <w:rPr>
          <w:rFonts w:cstheme="minorHAnsi"/>
          <w:sz w:val="26"/>
          <w:szCs w:val="26"/>
        </w:rPr>
        <w:t xml:space="preserve"> days prior to the expiration date of the fixed duration contract or the effective date of the proposed change in terms.”  </w:t>
      </w:r>
      <w:r>
        <w:rPr>
          <w:rFonts w:cstheme="minorHAnsi"/>
          <w:i/>
          <w:sz w:val="26"/>
          <w:szCs w:val="26"/>
        </w:rPr>
        <w:t xml:space="preserve">See </w:t>
      </w:r>
      <w:r>
        <w:rPr>
          <w:rFonts w:cstheme="minorHAnsi"/>
          <w:sz w:val="26"/>
          <w:szCs w:val="26"/>
        </w:rPr>
        <w:t>Annex A, Section 62.81(a)(</w:t>
      </w:r>
      <w:r w:rsidR="00E82823">
        <w:rPr>
          <w:rFonts w:cstheme="minorHAnsi"/>
          <w:sz w:val="26"/>
          <w:szCs w:val="26"/>
        </w:rPr>
        <w:t>1</w:t>
      </w:r>
      <w:r>
        <w:rPr>
          <w:rFonts w:cstheme="minorHAnsi"/>
          <w:sz w:val="26"/>
          <w:szCs w:val="26"/>
        </w:rPr>
        <w:t>).</w:t>
      </w:r>
      <w:r w:rsidR="000415F3">
        <w:rPr>
          <w:rFonts w:cstheme="minorHAnsi"/>
          <w:sz w:val="26"/>
          <w:szCs w:val="26"/>
        </w:rPr>
        <w:t xml:space="preserve">  The electric regulations require the initial notice 45-60 days in advance of the contract expiration or change in terms and options</w:t>
      </w:r>
      <w:r w:rsidR="007E43F0">
        <w:rPr>
          <w:rFonts w:cstheme="minorHAnsi"/>
          <w:sz w:val="26"/>
          <w:szCs w:val="26"/>
        </w:rPr>
        <w:t xml:space="preserve"> notice at least 30 days prior.</w:t>
      </w:r>
      <w:r w:rsidR="000415F3">
        <w:rPr>
          <w:rFonts w:cstheme="minorHAnsi"/>
          <w:sz w:val="26"/>
          <w:szCs w:val="26"/>
        </w:rPr>
        <w:t xml:space="preserve">  </w:t>
      </w:r>
      <w:r w:rsidR="000415F3">
        <w:rPr>
          <w:rFonts w:cstheme="minorHAnsi"/>
          <w:i/>
          <w:sz w:val="26"/>
          <w:szCs w:val="26"/>
        </w:rPr>
        <w:t>See</w:t>
      </w:r>
      <w:r w:rsidR="000415F3">
        <w:rPr>
          <w:rFonts w:cstheme="minorHAnsi"/>
          <w:sz w:val="26"/>
          <w:szCs w:val="26"/>
        </w:rPr>
        <w:t xml:space="preserve"> 52 Pa. Code § </w:t>
      </w:r>
      <w:r w:rsidR="00E824A1">
        <w:rPr>
          <w:rFonts w:cstheme="minorHAnsi"/>
          <w:sz w:val="26"/>
          <w:szCs w:val="26"/>
        </w:rPr>
        <w:t>54.10</w:t>
      </w:r>
      <w:r w:rsidR="000415F3">
        <w:rPr>
          <w:rFonts w:cstheme="minorHAnsi"/>
          <w:sz w:val="26"/>
          <w:szCs w:val="26"/>
        </w:rPr>
        <w:t>(1), (2)</w:t>
      </w:r>
      <w:r w:rsidR="00E824A1">
        <w:rPr>
          <w:rFonts w:cstheme="minorHAnsi"/>
          <w:sz w:val="26"/>
          <w:szCs w:val="26"/>
        </w:rPr>
        <w:t>(ii)(A)(I)</w:t>
      </w:r>
      <w:r w:rsidR="000415F3">
        <w:rPr>
          <w:rFonts w:cstheme="minorHAnsi"/>
          <w:sz w:val="26"/>
          <w:szCs w:val="26"/>
        </w:rPr>
        <w:t xml:space="preserve">.  Therefore, a supplier providing a dual gas/electric contract can send </w:t>
      </w:r>
      <w:r w:rsidR="00C66A5B">
        <w:rPr>
          <w:rFonts w:cstheme="minorHAnsi"/>
          <w:sz w:val="26"/>
          <w:szCs w:val="26"/>
        </w:rPr>
        <w:t>the dual gas/electric</w:t>
      </w:r>
      <w:r w:rsidR="000415F3">
        <w:rPr>
          <w:rFonts w:cstheme="minorHAnsi"/>
          <w:sz w:val="26"/>
          <w:szCs w:val="26"/>
        </w:rPr>
        <w:t xml:space="preserve"> initial notice at least 60 days prior and the </w:t>
      </w:r>
      <w:r w:rsidR="00C66A5B">
        <w:rPr>
          <w:rFonts w:cstheme="minorHAnsi"/>
          <w:sz w:val="26"/>
          <w:szCs w:val="26"/>
        </w:rPr>
        <w:t xml:space="preserve">dual gas/electric </w:t>
      </w:r>
      <w:r w:rsidR="000415F3">
        <w:rPr>
          <w:rFonts w:cstheme="minorHAnsi"/>
          <w:sz w:val="26"/>
          <w:szCs w:val="26"/>
        </w:rPr>
        <w:t>options notice at least 45 days prior</w:t>
      </w:r>
      <w:r w:rsidR="00C66A5B">
        <w:rPr>
          <w:rFonts w:cstheme="minorHAnsi"/>
          <w:sz w:val="26"/>
          <w:szCs w:val="26"/>
        </w:rPr>
        <w:t xml:space="preserve"> in compliance with both regulations.  If a dual gas/electric supplier is concerned about the timing of </w:t>
      </w:r>
      <w:r w:rsidR="009865DA">
        <w:rPr>
          <w:rFonts w:cstheme="minorHAnsi"/>
          <w:sz w:val="26"/>
          <w:szCs w:val="26"/>
        </w:rPr>
        <w:t>its</w:t>
      </w:r>
      <w:r w:rsidR="00C66A5B">
        <w:rPr>
          <w:rFonts w:cstheme="minorHAnsi"/>
          <w:sz w:val="26"/>
          <w:szCs w:val="26"/>
        </w:rPr>
        <w:t xml:space="preserve"> notices, the supplier may seek informal advice or a formal determination from the Commission.  </w:t>
      </w:r>
      <w:r w:rsidR="00C66A5B">
        <w:rPr>
          <w:rFonts w:cstheme="minorHAnsi"/>
          <w:i/>
          <w:sz w:val="26"/>
          <w:szCs w:val="26"/>
        </w:rPr>
        <w:t>See</w:t>
      </w:r>
      <w:r w:rsidR="00C66A5B">
        <w:rPr>
          <w:rFonts w:cstheme="minorHAnsi"/>
          <w:sz w:val="26"/>
          <w:szCs w:val="26"/>
        </w:rPr>
        <w:t xml:space="preserve"> 52 Pa. Code §§</w:t>
      </w:r>
      <w:r w:rsidR="000415F3">
        <w:rPr>
          <w:rFonts w:cstheme="minorHAnsi"/>
          <w:sz w:val="26"/>
          <w:szCs w:val="26"/>
        </w:rPr>
        <w:t xml:space="preserve"> </w:t>
      </w:r>
      <w:r w:rsidR="00C66A5B">
        <w:rPr>
          <w:rFonts w:cstheme="minorHAnsi"/>
          <w:sz w:val="26"/>
          <w:szCs w:val="26"/>
        </w:rPr>
        <w:t>1.96,</w:t>
      </w:r>
      <w:r w:rsidR="00C66A5B">
        <w:rPr>
          <w:rFonts w:asciiTheme="minorHAnsi" w:hAnsiTheme="minorHAnsi" w:cstheme="minorHAnsi"/>
          <w:sz w:val="26"/>
          <w:szCs w:val="26"/>
        </w:rPr>
        <w:t xml:space="preserve"> 5.42. </w:t>
      </w:r>
      <w:r w:rsidR="00552F92">
        <w:rPr>
          <w:rFonts w:asciiTheme="minorHAnsi" w:hAnsiTheme="minorHAnsi" w:cstheme="minorHAnsi"/>
          <w:sz w:val="26"/>
          <w:szCs w:val="26"/>
        </w:rPr>
        <w:t xml:space="preserve"> </w:t>
      </w:r>
    </w:p>
    <w:p w:rsidR="00BE7B2A" w:rsidRDefault="00B855C5" w:rsidP="00BF583F">
      <w:pPr>
        <w:pStyle w:val="p3"/>
        <w:tabs>
          <w:tab w:val="clear" w:pos="204"/>
        </w:tabs>
        <w:spacing w:line="360" w:lineRule="auto"/>
        <w:ind w:firstLine="720"/>
        <w:rPr>
          <w:rFonts w:asciiTheme="minorHAnsi" w:hAnsiTheme="minorHAnsi" w:cstheme="minorHAnsi"/>
          <w:sz w:val="26"/>
          <w:szCs w:val="26"/>
        </w:rPr>
      </w:pPr>
      <w:r>
        <w:rPr>
          <w:rFonts w:asciiTheme="minorHAnsi" w:hAnsiTheme="minorHAnsi" w:cstheme="minorHAnsi"/>
          <w:sz w:val="26"/>
          <w:szCs w:val="26"/>
        </w:rPr>
        <w:lastRenderedPageBreak/>
        <w:t>IRRC also expresse</w:t>
      </w:r>
      <w:r w:rsidR="00E82823">
        <w:rPr>
          <w:rFonts w:asciiTheme="minorHAnsi" w:hAnsiTheme="minorHAnsi" w:cstheme="minorHAnsi"/>
          <w:sz w:val="26"/>
          <w:szCs w:val="26"/>
        </w:rPr>
        <w:t>s</w:t>
      </w:r>
      <w:r>
        <w:rPr>
          <w:rFonts w:asciiTheme="minorHAnsi" w:hAnsiTheme="minorHAnsi" w:cstheme="minorHAnsi"/>
          <w:sz w:val="26"/>
          <w:szCs w:val="26"/>
        </w:rPr>
        <w:t xml:space="preserve"> a concern that an NGS may attempt to send both the initial and options notice in the same mailing or at the same time.  </w:t>
      </w:r>
      <w:r>
        <w:rPr>
          <w:rFonts w:asciiTheme="minorHAnsi" w:hAnsiTheme="minorHAnsi" w:cstheme="minorHAnsi"/>
          <w:i/>
          <w:sz w:val="26"/>
          <w:szCs w:val="26"/>
        </w:rPr>
        <w:t xml:space="preserve">See </w:t>
      </w:r>
      <w:r>
        <w:rPr>
          <w:rFonts w:asciiTheme="minorHAnsi" w:hAnsiTheme="minorHAnsi" w:cstheme="minorHAnsi"/>
          <w:sz w:val="26"/>
          <w:szCs w:val="26"/>
        </w:rPr>
        <w:t xml:space="preserve">IRRC Comments at 6.  We believe the regulation, as written, indicates that two separate notices are required.  However, to clarify that these notices must be disseminated at separate times, we will </w:t>
      </w:r>
      <w:r w:rsidR="00EB730A">
        <w:rPr>
          <w:rFonts w:asciiTheme="minorHAnsi" w:hAnsiTheme="minorHAnsi" w:cstheme="minorHAnsi"/>
          <w:sz w:val="26"/>
          <w:szCs w:val="26"/>
        </w:rPr>
        <w:t>rewrite</w:t>
      </w:r>
      <w:r>
        <w:rPr>
          <w:rFonts w:asciiTheme="minorHAnsi" w:hAnsiTheme="minorHAnsi" w:cstheme="minorHAnsi"/>
          <w:sz w:val="26"/>
          <w:szCs w:val="26"/>
        </w:rPr>
        <w:t xml:space="preserve"> Section 62.81(a)(2) to indicate that the options notice must be disseminated </w:t>
      </w:r>
      <w:r w:rsidR="00EB730A">
        <w:rPr>
          <w:rFonts w:asciiTheme="minorHAnsi" w:hAnsiTheme="minorHAnsi" w:cstheme="minorHAnsi"/>
          <w:sz w:val="26"/>
          <w:szCs w:val="26"/>
        </w:rPr>
        <w:t>after</w:t>
      </w:r>
      <w:r>
        <w:rPr>
          <w:rFonts w:asciiTheme="minorHAnsi" w:hAnsiTheme="minorHAnsi" w:cstheme="minorHAnsi"/>
          <w:sz w:val="26"/>
          <w:szCs w:val="26"/>
        </w:rPr>
        <w:t xml:space="preserve"> </w:t>
      </w:r>
      <w:r w:rsidR="00BF583F">
        <w:rPr>
          <w:rFonts w:asciiTheme="minorHAnsi" w:hAnsiTheme="minorHAnsi" w:cstheme="minorHAnsi"/>
          <w:sz w:val="26"/>
          <w:szCs w:val="26"/>
        </w:rPr>
        <w:t>t</w:t>
      </w:r>
      <w:r>
        <w:rPr>
          <w:rFonts w:asciiTheme="minorHAnsi" w:hAnsiTheme="minorHAnsi" w:cstheme="minorHAnsi"/>
          <w:sz w:val="26"/>
          <w:szCs w:val="26"/>
        </w:rPr>
        <w:t>he initial notice</w:t>
      </w:r>
      <w:r w:rsidR="00EB730A">
        <w:rPr>
          <w:rFonts w:asciiTheme="minorHAnsi" w:hAnsiTheme="minorHAnsi" w:cstheme="minorHAnsi"/>
          <w:sz w:val="26"/>
          <w:szCs w:val="26"/>
        </w:rPr>
        <w:t xml:space="preserve">: “An options notice shall be provided </w:t>
      </w:r>
      <w:r w:rsidR="00EB730A">
        <w:rPr>
          <w:rFonts w:asciiTheme="minorHAnsi" w:hAnsiTheme="minorHAnsi" w:cstheme="minorHAnsi"/>
          <w:i/>
          <w:sz w:val="26"/>
          <w:szCs w:val="26"/>
        </w:rPr>
        <w:t>after the initial notice</w:t>
      </w:r>
      <w:r w:rsidR="00EB730A">
        <w:rPr>
          <w:rFonts w:asciiTheme="minorHAnsi" w:hAnsiTheme="minorHAnsi" w:cstheme="minorHAnsi"/>
          <w:sz w:val="26"/>
          <w:szCs w:val="26"/>
        </w:rPr>
        <w:t xml:space="preserve"> to each affected customer…”</w:t>
      </w:r>
      <w:r>
        <w:rPr>
          <w:rFonts w:asciiTheme="minorHAnsi" w:hAnsiTheme="minorHAnsi" w:cstheme="minorHAnsi"/>
          <w:sz w:val="26"/>
          <w:szCs w:val="26"/>
        </w:rPr>
        <w:t xml:space="preserve">  </w:t>
      </w:r>
      <w:r>
        <w:rPr>
          <w:rFonts w:asciiTheme="minorHAnsi" w:hAnsiTheme="minorHAnsi" w:cstheme="minorHAnsi"/>
          <w:i/>
          <w:sz w:val="26"/>
          <w:szCs w:val="26"/>
        </w:rPr>
        <w:t>See</w:t>
      </w:r>
      <w:r>
        <w:rPr>
          <w:rFonts w:asciiTheme="minorHAnsi" w:hAnsiTheme="minorHAnsi" w:cstheme="minorHAnsi"/>
          <w:sz w:val="26"/>
          <w:szCs w:val="26"/>
        </w:rPr>
        <w:t xml:space="preserve"> Annex A, Section 62.81(a)(2).</w:t>
      </w:r>
      <w:r w:rsidR="007942D1">
        <w:rPr>
          <w:rFonts w:asciiTheme="minorHAnsi" w:hAnsiTheme="minorHAnsi" w:cstheme="minorHAnsi"/>
          <w:sz w:val="26"/>
          <w:szCs w:val="26"/>
        </w:rPr>
        <w:t xml:space="preserve"> </w:t>
      </w:r>
      <w:r w:rsidR="0028634F">
        <w:rPr>
          <w:rFonts w:asciiTheme="minorHAnsi" w:hAnsiTheme="minorHAnsi" w:cstheme="minorHAnsi"/>
          <w:sz w:val="26"/>
          <w:szCs w:val="26"/>
        </w:rPr>
        <w:t xml:space="preserve">  </w:t>
      </w:r>
    </w:p>
    <w:p w:rsidR="002F1F57" w:rsidRPr="00B855C5" w:rsidRDefault="002F1F57" w:rsidP="00712D2C">
      <w:pPr>
        <w:pStyle w:val="p3"/>
        <w:tabs>
          <w:tab w:val="clear" w:pos="204"/>
        </w:tabs>
        <w:spacing w:line="360" w:lineRule="auto"/>
        <w:rPr>
          <w:rFonts w:asciiTheme="minorHAnsi" w:hAnsiTheme="minorHAnsi" w:cstheme="minorHAnsi"/>
          <w:sz w:val="26"/>
          <w:szCs w:val="26"/>
        </w:rPr>
      </w:pPr>
    </w:p>
    <w:p w:rsidR="005D4FAA" w:rsidRDefault="00BB6A4C" w:rsidP="005D4FAA">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u w:val="single"/>
        </w:rPr>
        <w:t>Use of Electronic Notices in S</w:t>
      </w:r>
      <w:r w:rsidR="005D4FAA">
        <w:rPr>
          <w:rFonts w:asciiTheme="minorHAnsi" w:hAnsiTheme="minorHAnsi" w:cstheme="minorHAnsi"/>
          <w:sz w:val="26"/>
          <w:szCs w:val="26"/>
          <w:u w:val="single"/>
        </w:rPr>
        <w:t>ection</w:t>
      </w:r>
      <w:r>
        <w:rPr>
          <w:rFonts w:asciiTheme="minorHAnsi" w:hAnsiTheme="minorHAnsi" w:cstheme="minorHAnsi"/>
          <w:sz w:val="26"/>
          <w:szCs w:val="26"/>
          <w:u w:val="single"/>
        </w:rPr>
        <w:t>s</w:t>
      </w:r>
      <w:r w:rsidR="005D4FAA">
        <w:rPr>
          <w:rFonts w:asciiTheme="minorHAnsi" w:hAnsiTheme="minorHAnsi" w:cstheme="minorHAnsi"/>
          <w:sz w:val="26"/>
          <w:szCs w:val="26"/>
          <w:u w:val="single"/>
        </w:rPr>
        <w:t xml:space="preserve"> 62.81</w:t>
      </w:r>
      <w:r w:rsidR="00662E22">
        <w:rPr>
          <w:rFonts w:asciiTheme="minorHAnsi" w:hAnsiTheme="minorHAnsi" w:cstheme="minorHAnsi"/>
          <w:sz w:val="26"/>
          <w:szCs w:val="26"/>
          <w:u w:val="single"/>
        </w:rPr>
        <w:t>(a)(1)</w:t>
      </w:r>
      <w:r>
        <w:rPr>
          <w:rFonts w:asciiTheme="minorHAnsi" w:hAnsiTheme="minorHAnsi" w:cstheme="minorHAnsi"/>
          <w:sz w:val="26"/>
          <w:szCs w:val="26"/>
          <w:u w:val="single"/>
        </w:rPr>
        <w:t xml:space="preserve"> and 62.81(a)(2)</w:t>
      </w:r>
    </w:p>
    <w:p w:rsidR="00A07F08" w:rsidRDefault="00BB6A4C" w:rsidP="00A07F08">
      <w:pPr>
        <w:pStyle w:val="p3"/>
        <w:tabs>
          <w:tab w:val="clear" w:pos="204"/>
        </w:tabs>
        <w:spacing w:line="360" w:lineRule="auto"/>
        <w:rPr>
          <w:sz w:val="26"/>
          <w:szCs w:val="26"/>
        </w:rPr>
      </w:pPr>
      <w:r>
        <w:rPr>
          <w:rFonts w:asciiTheme="minorHAnsi" w:hAnsiTheme="minorHAnsi" w:cstheme="minorHAnsi"/>
          <w:sz w:val="26"/>
          <w:szCs w:val="26"/>
        </w:rPr>
        <w:tab/>
      </w:r>
      <w:r w:rsidRPr="004C75FF">
        <w:rPr>
          <w:sz w:val="26"/>
          <w:szCs w:val="26"/>
        </w:rPr>
        <w:t>RESA</w:t>
      </w:r>
      <w:r>
        <w:rPr>
          <w:sz w:val="26"/>
          <w:szCs w:val="26"/>
        </w:rPr>
        <w:t>, the PA Marketers, and WGL</w:t>
      </w:r>
      <w:r w:rsidRPr="004C75FF">
        <w:rPr>
          <w:sz w:val="26"/>
          <w:szCs w:val="26"/>
        </w:rPr>
        <w:t xml:space="preserve"> </w:t>
      </w:r>
      <w:r w:rsidR="009F1B07">
        <w:rPr>
          <w:sz w:val="26"/>
          <w:szCs w:val="26"/>
        </w:rPr>
        <w:t xml:space="preserve">Energy </w:t>
      </w:r>
      <w:r w:rsidRPr="004C75FF">
        <w:rPr>
          <w:sz w:val="26"/>
          <w:szCs w:val="26"/>
        </w:rPr>
        <w:t xml:space="preserve">urge the Commission to permit </w:t>
      </w:r>
      <w:r>
        <w:rPr>
          <w:sz w:val="26"/>
          <w:szCs w:val="26"/>
        </w:rPr>
        <w:t>the</w:t>
      </w:r>
      <w:r w:rsidRPr="004C75FF">
        <w:rPr>
          <w:sz w:val="26"/>
          <w:szCs w:val="26"/>
        </w:rPr>
        <w:t xml:space="preserve"> options notices to be sent </w:t>
      </w:r>
      <w:r>
        <w:rPr>
          <w:sz w:val="26"/>
          <w:szCs w:val="26"/>
        </w:rPr>
        <w:t>e</w:t>
      </w:r>
      <w:r w:rsidRPr="004C75FF">
        <w:rPr>
          <w:sz w:val="26"/>
          <w:szCs w:val="26"/>
        </w:rPr>
        <w:t xml:space="preserve">lectronically, provided that the customer has agreed to accept electronic communications. </w:t>
      </w:r>
      <w:r>
        <w:rPr>
          <w:sz w:val="26"/>
          <w:szCs w:val="26"/>
        </w:rPr>
        <w:t xml:space="preserve"> RESA Comments at 18; PA Marketers Comments at 7; WGL Comments at 14.  IRRC also </w:t>
      </w:r>
      <w:r w:rsidR="009F1B07">
        <w:rPr>
          <w:sz w:val="26"/>
          <w:szCs w:val="26"/>
        </w:rPr>
        <w:t xml:space="preserve">asked </w:t>
      </w:r>
      <w:r>
        <w:rPr>
          <w:sz w:val="26"/>
          <w:szCs w:val="26"/>
        </w:rPr>
        <w:t>the Commission to revise the final-form regulation to allow a customer to elect to receive the options notice in an electronic form as an alternative to first-class mail.  IRRC Comments at 6.</w:t>
      </w:r>
      <w:r w:rsidR="00A07F08">
        <w:rPr>
          <w:sz w:val="26"/>
          <w:szCs w:val="26"/>
        </w:rPr>
        <w:t xml:space="preserve">  In light of the increasing number of customers who prefer electronic mail, </w:t>
      </w:r>
      <w:r w:rsidR="005325AA">
        <w:rPr>
          <w:sz w:val="26"/>
          <w:szCs w:val="26"/>
        </w:rPr>
        <w:t xml:space="preserve">we agree with IRRC and </w:t>
      </w:r>
      <w:r w:rsidR="00A07F08">
        <w:rPr>
          <w:sz w:val="26"/>
          <w:szCs w:val="26"/>
        </w:rPr>
        <w:t>we will allow</w:t>
      </w:r>
      <w:r>
        <w:rPr>
          <w:sz w:val="26"/>
          <w:szCs w:val="26"/>
        </w:rPr>
        <w:t xml:space="preserve"> </w:t>
      </w:r>
      <w:r w:rsidR="00A07F08">
        <w:rPr>
          <w:sz w:val="26"/>
          <w:szCs w:val="26"/>
        </w:rPr>
        <w:t xml:space="preserve">the options notice to be transmitted electronically, so long as the customer has affirmatively elected to receive electronic notice.   </w:t>
      </w:r>
      <w:r w:rsidR="00A07F08" w:rsidRPr="00A37D7A">
        <w:rPr>
          <w:sz w:val="26"/>
          <w:szCs w:val="26"/>
        </w:rPr>
        <w:t xml:space="preserve">Therefore, we will revise and edit Section 62.81(a)(2) </w:t>
      </w:r>
      <w:r w:rsidR="00A37D7A" w:rsidRPr="00A37D7A">
        <w:rPr>
          <w:sz w:val="26"/>
          <w:szCs w:val="26"/>
        </w:rPr>
        <w:t>to state:</w:t>
      </w:r>
      <w:r w:rsidR="00A07F08" w:rsidRPr="00A37D7A">
        <w:rPr>
          <w:sz w:val="26"/>
          <w:szCs w:val="26"/>
        </w:rPr>
        <w:t xml:space="preserve"> “the notice shall be provided by first class mail unless the customer has affirmatively elected to receive electronic communications from the NGS.</w:t>
      </w:r>
      <w:r w:rsidR="00552F92" w:rsidRPr="00A37D7A">
        <w:rPr>
          <w:sz w:val="26"/>
          <w:szCs w:val="26"/>
        </w:rPr>
        <w:t>”</w:t>
      </w:r>
      <w:r w:rsidR="00A07F08" w:rsidRPr="00A37D7A">
        <w:rPr>
          <w:sz w:val="26"/>
          <w:szCs w:val="26"/>
        </w:rPr>
        <w:t xml:space="preserve">  </w:t>
      </w:r>
      <w:r w:rsidR="00A07F08" w:rsidRPr="00A37D7A">
        <w:rPr>
          <w:i/>
          <w:sz w:val="26"/>
          <w:szCs w:val="26"/>
        </w:rPr>
        <w:t>See</w:t>
      </w:r>
      <w:r w:rsidR="00A07F08" w:rsidRPr="00A37D7A">
        <w:rPr>
          <w:sz w:val="26"/>
          <w:szCs w:val="26"/>
        </w:rPr>
        <w:t xml:space="preserve"> Annex A, Sections 62.81(a)(2).</w:t>
      </w:r>
    </w:p>
    <w:p w:rsidR="00264B0C" w:rsidRDefault="00264B0C" w:rsidP="00A07F08">
      <w:pPr>
        <w:pStyle w:val="p3"/>
        <w:tabs>
          <w:tab w:val="clear" w:pos="204"/>
        </w:tabs>
        <w:spacing w:line="360" w:lineRule="auto"/>
        <w:rPr>
          <w:sz w:val="26"/>
          <w:szCs w:val="26"/>
        </w:rPr>
      </w:pPr>
    </w:p>
    <w:p w:rsidR="004A2043" w:rsidRDefault="004A2043" w:rsidP="00A07F08">
      <w:pPr>
        <w:pStyle w:val="p3"/>
        <w:tabs>
          <w:tab w:val="clear" w:pos="204"/>
        </w:tabs>
        <w:spacing w:line="360" w:lineRule="auto"/>
        <w:rPr>
          <w:sz w:val="26"/>
          <w:szCs w:val="26"/>
        </w:rPr>
      </w:pPr>
      <w:r>
        <w:rPr>
          <w:sz w:val="26"/>
          <w:szCs w:val="26"/>
          <w:u w:val="single"/>
        </w:rPr>
        <w:t>Clarification in Section 62.81(a)(1)(vi)</w:t>
      </w:r>
    </w:p>
    <w:p w:rsidR="00595EDB" w:rsidRDefault="004A2043" w:rsidP="00A07F08">
      <w:pPr>
        <w:pStyle w:val="p3"/>
        <w:tabs>
          <w:tab w:val="clear" w:pos="204"/>
        </w:tabs>
        <w:spacing w:line="360" w:lineRule="auto"/>
        <w:rPr>
          <w:sz w:val="26"/>
          <w:szCs w:val="26"/>
        </w:rPr>
      </w:pPr>
      <w:r>
        <w:rPr>
          <w:sz w:val="26"/>
          <w:szCs w:val="26"/>
        </w:rPr>
        <w:tab/>
      </w:r>
      <w:r>
        <w:rPr>
          <w:rFonts w:asciiTheme="minorHAnsi" w:hAnsiTheme="minorHAnsi" w:cstheme="minorHAnsi"/>
          <w:sz w:val="26"/>
          <w:szCs w:val="26"/>
        </w:rPr>
        <w:t>IRRC ask</w:t>
      </w:r>
      <w:r w:rsidR="00644787">
        <w:rPr>
          <w:rFonts w:asciiTheme="minorHAnsi" w:hAnsiTheme="minorHAnsi" w:cstheme="minorHAnsi"/>
          <w:sz w:val="26"/>
          <w:szCs w:val="26"/>
        </w:rPr>
        <w:t>s</w:t>
      </w:r>
      <w:r>
        <w:rPr>
          <w:rFonts w:asciiTheme="minorHAnsi" w:hAnsiTheme="minorHAnsi" w:cstheme="minorHAnsi"/>
          <w:sz w:val="26"/>
          <w:szCs w:val="26"/>
        </w:rPr>
        <w:t xml:space="preserve"> the </w:t>
      </w:r>
      <w:r w:rsidR="00644787">
        <w:rPr>
          <w:rFonts w:asciiTheme="minorHAnsi" w:hAnsiTheme="minorHAnsi" w:cstheme="minorHAnsi"/>
          <w:sz w:val="26"/>
          <w:szCs w:val="26"/>
        </w:rPr>
        <w:t>Commission</w:t>
      </w:r>
      <w:r>
        <w:rPr>
          <w:rFonts w:asciiTheme="minorHAnsi" w:hAnsiTheme="minorHAnsi" w:cstheme="minorHAnsi"/>
          <w:sz w:val="26"/>
          <w:szCs w:val="26"/>
        </w:rPr>
        <w:t xml:space="preserve"> for clarification on the language “how to avoid the fee, if possible” in proposed Section 62.81(a)(1)(vi), specifically inquiring as to whether a customer could be charged a cancellation fee, even if the customer has fulfilled all the requirements of the fixed duration contract.  If a customer fulfills all the</w:t>
      </w:r>
      <w:r w:rsidR="009F1B07">
        <w:rPr>
          <w:rFonts w:asciiTheme="minorHAnsi" w:hAnsiTheme="minorHAnsi" w:cstheme="minorHAnsi"/>
          <w:sz w:val="26"/>
          <w:szCs w:val="26"/>
        </w:rPr>
        <w:t xml:space="preserve"> requirements of the fixed duration </w:t>
      </w:r>
      <w:r>
        <w:rPr>
          <w:rFonts w:asciiTheme="minorHAnsi" w:hAnsiTheme="minorHAnsi" w:cstheme="minorHAnsi"/>
          <w:sz w:val="26"/>
          <w:szCs w:val="26"/>
        </w:rPr>
        <w:t xml:space="preserve">contract, the customer should not be charged an early cancellation fee.  This language is similar to the language in our electric disclosure statement regulations.  </w:t>
      </w:r>
      <w:r>
        <w:rPr>
          <w:rFonts w:asciiTheme="minorHAnsi" w:hAnsiTheme="minorHAnsi" w:cstheme="minorHAnsi"/>
          <w:i/>
          <w:sz w:val="26"/>
          <w:szCs w:val="26"/>
        </w:rPr>
        <w:lastRenderedPageBreak/>
        <w:t>See</w:t>
      </w:r>
      <w:r>
        <w:rPr>
          <w:rFonts w:asciiTheme="minorHAnsi" w:hAnsiTheme="minorHAnsi" w:cstheme="minorHAnsi"/>
          <w:sz w:val="26"/>
          <w:szCs w:val="26"/>
        </w:rPr>
        <w:t xml:space="preserve"> 52 Pa. Code § 54.10(1)(vi).  </w:t>
      </w:r>
      <w:r w:rsidR="001F32B4">
        <w:rPr>
          <w:rFonts w:asciiTheme="minorHAnsi" w:hAnsiTheme="minorHAnsi" w:cstheme="minorHAnsi"/>
          <w:sz w:val="26"/>
          <w:szCs w:val="26"/>
        </w:rPr>
        <w:t>As we stated in the electric disclosure statement final rulemaking order, t</w:t>
      </w:r>
      <w:r w:rsidR="001F32B4">
        <w:rPr>
          <w:sz w:val="26"/>
          <w:szCs w:val="26"/>
        </w:rPr>
        <w:t>he Commission strongly believes that c</w:t>
      </w:r>
      <w:r w:rsidR="001F32B4" w:rsidRPr="002419E6">
        <w:rPr>
          <w:sz w:val="26"/>
          <w:szCs w:val="26"/>
        </w:rPr>
        <w:t>usto</w:t>
      </w:r>
      <w:r w:rsidR="001F32B4">
        <w:rPr>
          <w:sz w:val="26"/>
          <w:szCs w:val="26"/>
        </w:rPr>
        <w:t>mers nearing the end of a fixed duration contract</w:t>
      </w:r>
      <w:r w:rsidR="001F32B4" w:rsidRPr="002419E6">
        <w:rPr>
          <w:sz w:val="26"/>
          <w:szCs w:val="26"/>
        </w:rPr>
        <w:t xml:space="preserve"> need to be made aware </w:t>
      </w:r>
      <w:r w:rsidR="00DE7536">
        <w:rPr>
          <w:sz w:val="26"/>
          <w:szCs w:val="26"/>
        </w:rPr>
        <w:t>if</w:t>
      </w:r>
      <w:r w:rsidR="001F32B4" w:rsidRPr="002419E6">
        <w:rPr>
          <w:sz w:val="26"/>
          <w:szCs w:val="26"/>
        </w:rPr>
        <w:t xml:space="preserve"> their existing contract has a cancellation fee.</w:t>
      </w:r>
      <w:r w:rsidR="001F32B4">
        <w:rPr>
          <w:sz w:val="26"/>
          <w:szCs w:val="26"/>
        </w:rPr>
        <w:t xml:space="preserve">  </w:t>
      </w:r>
      <w:r w:rsidR="001F32B4">
        <w:rPr>
          <w:i/>
          <w:sz w:val="26"/>
          <w:szCs w:val="26"/>
        </w:rPr>
        <w:t>See Chapter</w:t>
      </w:r>
      <w:r w:rsidR="001F32B4" w:rsidRPr="001F32B4">
        <w:rPr>
          <w:rFonts w:cstheme="minorHAnsi"/>
          <w:i/>
          <w:sz w:val="26"/>
          <w:szCs w:val="26"/>
        </w:rPr>
        <w:t xml:space="preserve"> 5</w:t>
      </w:r>
      <w:r w:rsidR="001F32B4">
        <w:rPr>
          <w:rFonts w:cstheme="minorHAnsi"/>
          <w:i/>
          <w:sz w:val="26"/>
          <w:szCs w:val="26"/>
        </w:rPr>
        <w:t>4</w:t>
      </w:r>
      <w:r w:rsidR="001F32B4" w:rsidRPr="001F32B4">
        <w:rPr>
          <w:rFonts w:cstheme="minorHAnsi"/>
          <w:i/>
          <w:sz w:val="26"/>
          <w:szCs w:val="26"/>
        </w:rPr>
        <w:t xml:space="preserve"> Regulations Regarding</w:t>
      </w:r>
      <w:r w:rsidR="001F32B4">
        <w:rPr>
          <w:rFonts w:cstheme="minorHAnsi"/>
          <w:i/>
          <w:sz w:val="26"/>
          <w:szCs w:val="26"/>
        </w:rPr>
        <w:t xml:space="preserve"> Electric</w:t>
      </w:r>
      <w:r w:rsidR="001F32B4" w:rsidRPr="001F32B4">
        <w:rPr>
          <w:rFonts w:cstheme="minorHAnsi"/>
          <w:i/>
          <w:sz w:val="26"/>
          <w:szCs w:val="26"/>
        </w:rPr>
        <w:t xml:space="preserve"> Disclosure Statement for Residential and Small Business Customers</w:t>
      </w:r>
      <w:r w:rsidR="001F32B4">
        <w:rPr>
          <w:rFonts w:cstheme="minorHAnsi"/>
          <w:sz w:val="26"/>
          <w:szCs w:val="26"/>
        </w:rPr>
        <w:t>, Docket No. L-2014-</w:t>
      </w:r>
      <w:r w:rsidR="001F32B4">
        <w:rPr>
          <w:rFonts w:cstheme="minorHAnsi"/>
          <w:color w:val="000000"/>
          <w:sz w:val="26"/>
          <w:szCs w:val="26"/>
        </w:rPr>
        <w:t>2409385</w:t>
      </w:r>
      <w:r w:rsidR="001F32B4">
        <w:rPr>
          <w:rFonts w:cstheme="minorHAnsi"/>
          <w:sz w:val="26"/>
          <w:szCs w:val="26"/>
        </w:rPr>
        <w:t xml:space="preserve"> at</w:t>
      </w:r>
      <w:r w:rsidR="00434C51">
        <w:rPr>
          <w:rFonts w:cstheme="minorHAnsi"/>
          <w:sz w:val="26"/>
          <w:szCs w:val="26"/>
        </w:rPr>
        <w:t xml:space="preserve"> p.</w:t>
      </w:r>
      <w:r w:rsidR="002E060D">
        <w:rPr>
          <w:rFonts w:cstheme="minorHAnsi"/>
          <w:sz w:val="26"/>
          <w:szCs w:val="26"/>
        </w:rPr>
        <w:t xml:space="preserve"> 32</w:t>
      </w:r>
      <w:r w:rsidR="001F32B4">
        <w:rPr>
          <w:rFonts w:cstheme="minorHAnsi"/>
          <w:sz w:val="26"/>
          <w:szCs w:val="26"/>
        </w:rPr>
        <w:t xml:space="preserve"> (Final-Omitted Rulemaking Order entered Apr</w:t>
      </w:r>
      <w:r w:rsidR="00E7439F">
        <w:rPr>
          <w:rFonts w:cstheme="minorHAnsi"/>
          <w:sz w:val="26"/>
          <w:szCs w:val="26"/>
        </w:rPr>
        <w:t>il</w:t>
      </w:r>
      <w:r w:rsidR="001F32B4">
        <w:rPr>
          <w:rFonts w:cstheme="minorHAnsi"/>
          <w:sz w:val="26"/>
          <w:szCs w:val="26"/>
        </w:rPr>
        <w:t xml:space="preserve"> 3, 2014).</w:t>
      </w:r>
      <w:r w:rsidR="001F32B4" w:rsidRPr="001F32B4">
        <w:rPr>
          <w:rFonts w:cstheme="minorHAnsi"/>
          <w:i/>
          <w:sz w:val="26"/>
          <w:szCs w:val="26"/>
        </w:rPr>
        <w:t xml:space="preserve"> </w:t>
      </w:r>
      <w:r w:rsidR="001F32B4">
        <w:rPr>
          <w:rFonts w:cstheme="minorHAnsi"/>
          <w:sz w:val="26"/>
          <w:szCs w:val="26"/>
        </w:rPr>
        <w:t xml:space="preserve"> </w:t>
      </w:r>
      <w:r w:rsidR="001F32B4">
        <w:rPr>
          <w:sz w:val="26"/>
          <w:szCs w:val="26"/>
        </w:rPr>
        <w:t xml:space="preserve">If the customer desires to switch suppliers, then the customer needs to know how to avoid any cancellation fee and not switch before the end of the contractual agreement with the current supplier.  We have not </w:t>
      </w:r>
      <w:r w:rsidR="002F1F57">
        <w:rPr>
          <w:sz w:val="26"/>
          <w:szCs w:val="26"/>
        </w:rPr>
        <w:t>received any complaints related to</w:t>
      </w:r>
      <w:r w:rsidR="001F32B4">
        <w:rPr>
          <w:sz w:val="26"/>
          <w:szCs w:val="26"/>
        </w:rPr>
        <w:t xml:space="preserve"> this language, </w:t>
      </w:r>
      <w:r w:rsidR="00264B0C">
        <w:rPr>
          <w:sz w:val="26"/>
          <w:szCs w:val="26"/>
        </w:rPr>
        <w:t xml:space="preserve">but in light of IRRC’s concerns, we will slightly </w:t>
      </w:r>
      <w:r w:rsidR="00CD103C">
        <w:rPr>
          <w:sz w:val="26"/>
          <w:szCs w:val="26"/>
        </w:rPr>
        <w:t xml:space="preserve">modify </w:t>
      </w:r>
      <w:r w:rsidR="001F32B4">
        <w:rPr>
          <w:sz w:val="26"/>
          <w:szCs w:val="26"/>
        </w:rPr>
        <w:t xml:space="preserve">and </w:t>
      </w:r>
      <w:r w:rsidR="00264B0C">
        <w:rPr>
          <w:sz w:val="26"/>
          <w:szCs w:val="26"/>
        </w:rPr>
        <w:t>clarify the language in Sect</w:t>
      </w:r>
      <w:r w:rsidR="00644787">
        <w:rPr>
          <w:sz w:val="26"/>
          <w:szCs w:val="26"/>
        </w:rPr>
        <w:t>ion 62.81(a)(1)(vi).  The final-</w:t>
      </w:r>
      <w:r w:rsidR="00264B0C">
        <w:rPr>
          <w:sz w:val="26"/>
          <w:szCs w:val="26"/>
        </w:rPr>
        <w:t xml:space="preserve">form regulation will provide: </w:t>
      </w:r>
    </w:p>
    <w:p w:rsidR="00595EDB" w:rsidRDefault="00595EDB" w:rsidP="00595EDB">
      <w:pPr>
        <w:rPr>
          <w:sz w:val="26"/>
          <w:szCs w:val="26"/>
          <w:u w:val="single"/>
        </w:rPr>
      </w:pPr>
    </w:p>
    <w:p w:rsidR="00595EDB" w:rsidRPr="00D51BBE" w:rsidRDefault="00595EDB" w:rsidP="00D51BBE">
      <w:pPr>
        <w:ind w:left="720" w:right="720"/>
        <w:jc w:val="both"/>
        <w:rPr>
          <w:sz w:val="26"/>
          <w:szCs w:val="26"/>
        </w:rPr>
      </w:pPr>
      <w:r w:rsidRPr="00D51BBE">
        <w:rPr>
          <w:sz w:val="26"/>
          <w:szCs w:val="26"/>
        </w:rPr>
        <w:t xml:space="preserve">(vi) A statement indicating whether the existing fixed duration contract has a cancellation fee and an explanation of the fee amount and how to avoid the </w:t>
      </w:r>
      <w:r w:rsidR="002F1F57" w:rsidRPr="00D51BBE">
        <w:rPr>
          <w:b/>
          <w:sz w:val="26"/>
          <w:szCs w:val="26"/>
        </w:rPr>
        <w:t>cancellation</w:t>
      </w:r>
      <w:r w:rsidRPr="00D51BBE">
        <w:rPr>
          <w:sz w:val="26"/>
          <w:szCs w:val="26"/>
        </w:rPr>
        <w:t xml:space="preserve"> fee, </w:t>
      </w:r>
      <w:r w:rsidRPr="00D51BBE">
        <w:rPr>
          <w:strike/>
          <w:sz w:val="26"/>
          <w:szCs w:val="26"/>
        </w:rPr>
        <w:t>if possible,</w:t>
      </w:r>
      <w:r w:rsidRPr="00D51BBE">
        <w:rPr>
          <w:sz w:val="26"/>
          <w:szCs w:val="26"/>
        </w:rPr>
        <w:t xml:space="preserve"> including notice of the date when the customer can choose a different product from the customer’s existing</w:t>
      </w:r>
      <w:r w:rsidR="00644787">
        <w:rPr>
          <w:sz w:val="26"/>
          <w:szCs w:val="26"/>
        </w:rPr>
        <w:t xml:space="preserve"> NGS, choose an alternative NGS</w:t>
      </w:r>
      <w:r w:rsidRPr="00D51BBE">
        <w:rPr>
          <w:sz w:val="26"/>
          <w:szCs w:val="26"/>
        </w:rPr>
        <w:t xml:space="preserve"> or return to the supplier of last resort. </w:t>
      </w:r>
    </w:p>
    <w:p w:rsidR="00595EDB" w:rsidRDefault="00595EDB" w:rsidP="00A07F08">
      <w:pPr>
        <w:pStyle w:val="p3"/>
        <w:tabs>
          <w:tab w:val="clear" w:pos="204"/>
        </w:tabs>
        <w:spacing w:line="360" w:lineRule="auto"/>
        <w:rPr>
          <w:sz w:val="26"/>
          <w:szCs w:val="26"/>
        </w:rPr>
      </w:pPr>
    </w:p>
    <w:p w:rsidR="001F32B4" w:rsidRDefault="001F32B4" w:rsidP="00A07F08">
      <w:pPr>
        <w:pStyle w:val="p3"/>
        <w:tabs>
          <w:tab w:val="clear" w:pos="204"/>
        </w:tabs>
        <w:spacing w:line="360" w:lineRule="auto"/>
        <w:rPr>
          <w:sz w:val="26"/>
          <w:szCs w:val="26"/>
        </w:rPr>
      </w:pPr>
      <w:r>
        <w:rPr>
          <w:sz w:val="26"/>
          <w:szCs w:val="26"/>
        </w:rPr>
        <w:t xml:space="preserve">Annex A, Section 62.81(a)(1)(vi).  </w:t>
      </w:r>
    </w:p>
    <w:p w:rsidR="00BA6A43" w:rsidRDefault="00BA6A43" w:rsidP="00A07F08">
      <w:pPr>
        <w:pStyle w:val="p3"/>
        <w:tabs>
          <w:tab w:val="clear" w:pos="204"/>
        </w:tabs>
        <w:spacing w:line="360" w:lineRule="auto"/>
        <w:rPr>
          <w:sz w:val="26"/>
          <w:szCs w:val="26"/>
        </w:rPr>
      </w:pPr>
    </w:p>
    <w:p w:rsidR="00644787" w:rsidRDefault="00DE7536" w:rsidP="00644787">
      <w:pPr>
        <w:pStyle w:val="p3"/>
        <w:tabs>
          <w:tab w:val="clear" w:pos="204"/>
        </w:tabs>
        <w:rPr>
          <w:sz w:val="26"/>
          <w:szCs w:val="26"/>
          <w:u w:val="single"/>
        </w:rPr>
      </w:pPr>
      <w:r>
        <w:rPr>
          <w:sz w:val="26"/>
          <w:szCs w:val="26"/>
          <w:u w:val="single"/>
        </w:rPr>
        <w:t>Notice of Price Changes</w:t>
      </w:r>
      <w:r w:rsidR="008E450A">
        <w:rPr>
          <w:sz w:val="26"/>
          <w:szCs w:val="26"/>
          <w:u w:val="single"/>
        </w:rPr>
        <w:t xml:space="preserve"> and Month-to-Month Contract Conversions</w:t>
      </w:r>
      <w:r>
        <w:rPr>
          <w:sz w:val="26"/>
          <w:szCs w:val="26"/>
          <w:u w:val="single"/>
        </w:rPr>
        <w:t xml:space="preserve"> in </w:t>
      </w:r>
    </w:p>
    <w:p w:rsidR="00DE7536" w:rsidRDefault="00644787" w:rsidP="00BA6A43">
      <w:pPr>
        <w:pStyle w:val="p3"/>
        <w:tabs>
          <w:tab w:val="clear" w:pos="204"/>
        </w:tabs>
        <w:spacing w:line="360" w:lineRule="auto"/>
        <w:rPr>
          <w:sz w:val="26"/>
          <w:szCs w:val="26"/>
        </w:rPr>
      </w:pPr>
      <w:r>
        <w:rPr>
          <w:sz w:val="26"/>
          <w:szCs w:val="26"/>
          <w:u w:val="single"/>
        </w:rPr>
        <w:t>Section</w:t>
      </w:r>
      <w:r w:rsidR="00DE7536">
        <w:rPr>
          <w:sz w:val="26"/>
          <w:szCs w:val="26"/>
          <w:u w:val="single"/>
        </w:rPr>
        <w:t xml:space="preserve"> 62.81(a)(2)(ii)</w:t>
      </w:r>
    </w:p>
    <w:p w:rsidR="00C842E7" w:rsidRDefault="00DE7536" w:rsidP="00A07F08">
      <w:pPr>
        <w:pStyle w:val="p3"/>
        <w:tabs>
          <w:tab w:val="clear" w:pos="204"/>
        </w:tabs>
        <w:spacing w:line="360" w:lineRule="auto"/>
        <w:rPr>
          <w:sz w:val="26"/>
          <w:szCs w:val="26"/>
        </w:rPr>
      </w:pPr>
      <w:r>
        <w:rPr>
          <w:sz w:val="26"/>
          <w:szCs w:val="26"/>
        </w:rPr>
        <w:tab/>
      </w:r>
      <w:r w:rsidRPr="007352B4">
        <w:rPr>
          <w:sz w:val="26"/>
          <w:szCs w:val="26"/>
        </w:rPr>
        <w:t>Due to technical and administrative challenges</w:t>
      </w:r>
      <w:r w:rsidR="000259FC" w:rsidRPr="007352B4">
        <w:rPr>
          <w:sz w:val="26"/>
          <w:szCs w:val="26"/>
        </w:rPr>
        <w:t>, an increase in mailing costs, and an increase in business risks</w:t>
      </w:r>
      <w:r w:rsidRPr="007352B4">
        <w:rPr>
          <w:sz w:val="26"/>
          <w:szCs w:val="26"/>
        </w:rPr>
        <w:t>, the supplier community generally opposes requiring a supplier to provide a 30</w:t>
      </w:r>
      <w:r w:rsidR="007352B4">
        <w:rPr>
          <w:sz w:val="26"/>
          <w:szCs w:val="26"/>
        </w:rPr>
        <w:t>-</w:t>
      </w:r>
      <w:r w:rsidRPr="007352B4">
        <w:rPr>
          <w:sz w:val="26"/>
          <w:szCs w:val="26"/>
        </w:rPr>
        <w:t xml:space="preserve">day notice of a price change if a customer fails to respond to the options notice and is converted to a month-to-month contract.  </w:t>
      </w:r>
      <w:r w:rsidRPr="007352B4">
        <w:rPr>
          <w:i/>
          <w:sz w:val="26"/>
          <w:szCs w:val="26"/>
        </w:rPr>
        <w:t xml:space="preserve">See </w:t>
      </w:r>
      <w:r w:rsidRPr="007352B4">
        <w:rPr>
          <w:sz w:val="26"/>
          <w:szCs w:val="26"/>
        </w:rPr>
        <w:t xml:space="preserve">PA Marketers Comments at 6; </w:t>
      </w:r>
      <w:r w:rsidR="000259FC" w:rsidRPr="007352B4">
        <w:rPr>
          <w:sz w:val="26"/>
          <w:szCs w:val="26"/>
        </w:rPr>
        <w:t>RESA Comments at 15-16</w:t>
      </w:r>
      <w:r w:rsidR="0074134A" w:rsidRPr="007352B4">
        <w:rPr>
          <w:sz w:val="26"/>
          <w:szCs w:val="26"/>
        </w:rPr>
        <w:t xml:space="preserve"> (contending this would lead to higher prices for consumers)</w:t>
      </w:r>
      <w:r w:rsidR="000259FC" w:rsidRPr="007352B4">
        <w:rPr>
          <w:sz w:val="26"/>
          <w:szCs w:val="26"/>
        </w:rPr>
        <w:t xml:space="preserve">; National Marketers </w:t>
      </w:r>
      <w:r w:rsidR="007352B4">
        <w:rPr>
          <w:sz w:val="26"/>
          <w:szCs w:val="26"/>
        </w:rPr>
        <w:t>C</w:t>
      </w:r>
      <w:r w:rsidR="000259FC" w:rsidRPr="007352B4">
        <w:rPr>
          <w:sz w:val="26"/>
          <w:szCs w:val="26"/>
        </w:rPr>
        <w:t>omments at 7.</w:t>
      </w:r>
      <w:r w:rsidR="00DC723C" w:rsidRPr="007352B4">
        <w:rPr>
          <w:sz w:val="26"/>
          <w:szCs w:val="26"/>
        </w:rPr>
        <w:t xml:space="preserve">  </w:t>
      </w:r>
      <w:r w:rsidR="001E7775" w:rsidRPr="007352B4">
        <w:rPr>
          <w:sz w:val="26"/>
          <w:szCs w:val="26"/>
        </w:rPr>
        <w:t xml:space="preserve">In suggesting that </w:t>
      </w:r>
      <w:r w:rsidR="00BA6A43">
        <w:rPr>
          <w:sz w:val="26"/>
          <w:szCs w:val="26"/>
        </w:rPr>
        <w:t xml:space="preserve">a </w:t>
      </w:r>
      <w:r w:rsidR="001E7775" w:rsidRPr="007352B4">
        <w:rPr>
          <w:sz w:val="26"/>
          <w:szCs w:val="26"/>
        </w:rPr>
        <w:t>10-15 day notice timeframe of price changes is more reasonable, the PA Marketers also note that suppliers could provide the option of email or SMS text notification to ensure that the customer still receives notice in a timely manner.  PA Marketers Comments at 6.</w:t>
      </w:r>
      <w:r w:rsidR="001E7775">
        <w:rPr>
          <w:sz w:val="26"/>
          <w:szCs w:val="26"/>
        </w:rPr>
        <w:t xml:space="preserve">  </w:t>
      </w:r>
    </w:p>
    <w:p w:rsidR="007D065C" w:rsidRDefault="00C842E7" w:rsidP="00C842E7">
      <w:pPr>
        <w:pStyle w:val="p3"/>
        <w:tabs>
          <w:tab w:val="clear" w:pos="204"/>
        </w:tabs>
        <w:spacing w:line="360" w:lineRule="auto"/>
        <w:ind w:firstLine="720"/>
        <w:rPr>
          <w:sz w:val="26"/>
          <w:szCs w:val="26"/>
        </w:rPr>
      </w:pPr>
      <w:r>
        <w:rPr>
          <w:sz w:val="26"/>
          <w:szCs w:val="26"/>
        </w:rPr>
        <w:lastRenderedPageBreak/>
        <w:t xml:space="preserve">The supplier community also urges the Commission to permit conversion of a fixed duration contract to a month-to-month contract without requiring advance notice of price changes.  RESA Comments at 17-18; National Marketers Comments at 7.  RESA contends that requiring this advance notice of the price change would “obliterate” the opportunity to convert a customer to a month-to-month contract after the customer fails to respond to the options notice.  RESA Comments at 15.       </w:t>
      </w:r>
      <w:r w:rsidRPr="002419E6">
        <w:rPr>
          <w:sz w:val="26"/>
          <w:szCs w:val="26"/>
        </w:rPr>
        <w:t xml:space="preserve"> </w:t>
      </w:r>
      <w:r>
        <w:rPr>
          <w:sz w:val="26"/>
          <w:szCs w:val="26"/>
        </w:rPr>
        <w:t xml:space="preserve"> </w:t>
      </w:r>
      <w:r>
        <w:rPr>
          <w:rFonts w:asciiTheme="minorHAnsi" w:hAnsiTheme="minorHAnsi" w:cstheme="minorHAnsi"/>
          <w:sz w:val="26"/>
          <w:szCs w:val="26"/>
        </w:rPr>
        <w:t xml:space="preserve">    </w:t>
      </w:r>
    </w:p>
    <w:p w:rsidR="005C3102" w:rsidRDefault="005C3102" w:rsidP="007D065C">
      <w:pPr>
        <w:pStyle w:val="p3"/>
        <w:tabs>
          <w:tab w:val="clear" w:pos="204"/>
        </w:tabs>
        <w:spacing w:line="360" w:lineRule="auto"/>
        <w:ind w:firstLine="720"/>
        <w:rPr>
          <w:sz w:val="26"/>
          <w:szCs w:val="26"/>
        </w:rPr>
      </w:pPr>
    </w:p>
    <w:p w:rsidR="001C2563" w:rsidRDefault="00717CC9" w:rsidP="007175E5">
      <w:pPr>
        <w:pStyle w:val="p3"/>
        <w:tabs>
          <w:tab w:val="clear" w:pos="204"/>
        </w:tabs>
        <w:spacing w:line="360" w:lineRule="auto"/>
        <w:ind w:firstLine="720"/>
        <w:rPr>
          <w:sz w:val="26"/>
          <w:szCs w:val="26"/>
        </w:rPr>
      </w:pPr>
      <w:r>
        <w:rPr>
          <w:sz w:val="26"/>
          <w:szCs w:val="26"/>
        </w:rPr>
        <w:t xml:space="preserve">OCA supports the 30-day notice of a price change in proposed Section 62.81(a)(2)(ii)(A)(I).  </w:t>
      </w:r>
      <w:r>
        <w:rPr>
          <w:i/>
          <w:sz w:val="26"/>
          <w:szCs w:val="26"/>
        </w:rPr>
        <w:t>See</w:t>
      </w:r>
      <w:r>
        <w:rPr>
          <w:sz w:val="26"/>
          <w:szCs w:val="26"/>
        </w:rPr>
        <w:t xml:space="preserve"> OCA Comments at 14.  </w:t>
      </w:r>
      <w:r w:rsidR="007D065C">
        <w:rPr>
          <w:sz w:val="26"/>
          <w:szCs w:val="26"/>
        </w:rPr>
        <w:t xml:space="preserve">The purpose of the provision is to provide additional protection to those customers who do not respond to the options notice and are thereby converted to a month-to-month fixed or variable </w:t>
      </w:r>
      <w:r w:rsidR="001C2563">
        <w:rPr>
          <w:sz w:val="26"/>
          <w:szCs w:val="26"/>
        </w:rPr>
        <w:t xml:space="preserve">price </w:t>
      </w:r>
      <w:r w:rsidR="007D065C">
        <w:rPr>
          <w:sz w:val="26"/>
          <w:szCs w:val="26"/>
        </w:rPr>
        <w:t>contract</w:t>
      </w:r>
      <w:r w:rsidR="00831894">
        <w:rPr>
          <w:sz w:val="26"/>
          <w:szCs w:val="26"/>
        </w:rPr>
        <w:t xml:space="preserve"> without affirmatively agreeing to that type of product</w:t>
      </w:r>
      <w:r w:rsidR="007D065C">
        <w:rPr>
          <w:sz w:val="26"/>
          <w:szCs w:val="26"/>
        </w:rPr>
        <w:t xml:space="preserve">.  </w:t>
      </w:r>
      <w:r w:rsidR="007D065C">
        <w:rPr>
          <w:i/>
          <w:sz w:val="26"/>
          <w:szCs w:val="26"/>
        </w:rPr>
        <w:t>See Proposed Rulemaking Order</w:t>
      </w:r>
      <w:r w:rsidR="007D065C">
        <w:rPr>
          <w:sz w:val="26"/>
          <w:szCs w:val="26"/>
        </w:rPr>
        <w:t>, Docket L-2015-2465942</w:t>
      </w:r>
      <w:r>
        <w:rPr>
          <w:sz w:val="26"/>
          <w:szCs w:val="26"/>
        </w:rPr>
        <w:t xml:space="preserve">, at </w:t>
      </w:r>
      <w:r w:rsidR="00434C51">
        <w:rPr>
          <w:sz w:val="26"/>
          <w:szCs w:val="26"/>
        </w:rPr>
        <w:t xml:space="preserve">p. </w:t>
      </w:r>
      <w:r>
        <w:rPr>
          <w:sz w:val="26"/>
          <w:szCs w:val="26"/>
        </w:rPr>
        <w:t>21</w:t>
      </w:r>
      <w:r w:rsidR="007D065C">
        <w:rPr>
          <w:sz w:val="26"/>
          <w:szCs w:val="26"/>
        </w:rPr>
        <w:t xml:space="preserve"> (Order entered </w:t>
      </w:r>
      <w:r>
        <w:rPr>
          <w:sz w:val="26"/>
          <w:szCs w:val="26"/>
        </w:rPr>
        <w:t>Mar</w:t>
      </w:r>
      <w:r w:rsidR="00E7439F">
        <w:rPr>
          <w:sz w:val="26"/>
          <w:szCs w:val="26"/>
        </w:rPr>
        <w:t>ch</w:t>
      </w:r>
      <w:r>
        <w:rPr>
          <w:sz w:val="26"/>
          <w:szCs w:val="26"/>
        </w:rPr>
        <w:t xml:space="preserve"> 26, 2015).</w:t>
      </w:r>
      <w:r w:rsidR="007175E5">
        <w:rPr>
          <w:sz w:val="26"/>
          <w:szCs w:val="26"/>
        </w:rPr>
        <w:t xml:space="preserve">  </w:t>
      </w:r>
    </w:p>
    <w:p w:rsidR="001C2563" w:rsidRDefault="001C2563" w:rsidP="007175E5">
      <w:pPr>
        <w:pStyle w:val="p3"/>
        <w:tabs>
          <w:tab w:val="clear" w:pos="204"/>
        </w:tabs>
        <w:spacing w:line="360" w:lineRule="auto"/>
        <w:ind w:firstLine="720"/>
        <w:rPr>
          <w:sz w:val="26"/>
          <w:szCs w:val="26"/>
        </w:rPr>
      </w:pPr>
    </w:p>
    <w:p w:rsidR="001C2563" w:rsidRDefault="00A54226" w:rsidP="007175E5">
      <w:pPr>
        <w:pStyle w:val="p3"/>
        <w:tabs>
          <w:tab w:val="clear" w:pos="204"/>
        </w:tabs>
        <w:spacing w:line="360" w:lineRule="auto"/>
        <w:ind w:firstLine="720"/>
        <w:rPr>
          <w:sz w:val="26"/>
          <w:szCs w:val="26"/>
        </w:rPr>
      </w:pPr>
      <w:r>
        <w:rPr>
          <w:sz w:val="26"/>
          <w:szCs w:val="26"/>
        </w:rPr>
        <w:t>IRRC question</w:t>
      </w:r>
      <w:r w:rsidR="00BA6A43">
        <w:rPr>
          <w:sz w:val="26"/>
          <w:szCs w:val="26"/>
        </w:rPr>
        <w:t>s</w:t>
      </w:r>
      <w:r>
        <w:rPr>
          <w:sz w:val="26"/>
          <w:szCs w:val="26"/>
        </w:rPr>
        <w:t xml:space="preserve"> whether it was </w:t>
      </w:r>
      <w:r w:rsidR="00EB1B0E">
        <w:rPr>
          <w:sz w:val="26"/>
          <w:szCs w:val="26"/>
        </w:rPr>
        <w:t xml:space="preserve">still </w:t>
      </w:r>
      <w:r>
        <w:rPr>
          <w:sz w:val="26"/>
          <w:szCs w:val="26"/>
        </w:rPr>
        <w:t xml:space="preserve">reasonable to allow an NGS to convert a customer from a fixed rate plan to a variable rate plan without affirmative customer consent.  IRRC Comments at 6.  </w:t>
      </w:r>
      <w:r w:rsidR="00EB1B0E">
        <w:rPr>
          <w:sz w:val="26"/>
          <w:szCs w:val="26"/>
        </w:rPr>
        <w:t>Our electric disclosure regulations currently require the same 30-day notice of a price change</w:t>
      </w:r>
      <w:r w:rsidR="004E3F1B">
        <w:rPr>
          <w:sz w:val="26"/>
          <w:szCs w:val="26"/>
        </w:rPr>
        <w:t xml:space="preserve"> and allow for conversion from a fixed rate plan to a variable rate plan</w:t>
      </w:r>
      <w:r w:rsidR="00EB1B0E">
        <w:rPr>
          <w:sz w:val="26"/>
          <w:szCs w:val="26"/>
        </w:rPr>
        <w:t xml:space="preserve">.  </w:t>
      </w:r>
      <w:r w:rsidR="00EB1B0E">
        <w:rPr>
          <w:i/>
          <w:sz w:val="26"/>
          <w:szCs w:val="26"/>
        </w:rPr>
        <w:t>See</w:t>
      </w:r>
      <w:r w:rsidR="00EB1B0E">
        <w:rPr>
          <w:sz w:val="26"/>
          <w:szCs w:val="26"/>
        </w:rPr>
        <w:t xml:space="preserve"> 52 Pa. Code § 54.10(2)(ii)(A)(I ).  Th</w:t>
      </w:r>
      <w:r w:rsidR="002347F2">
        <w:rPr>
          <w:sz w:val="26"/>
          <w:szCs w:val="26"/>
        </w:rPr>
        <w:t>e</w:t>
      </w:r>
      <w:r w:rsidR="00EB1B0E">
        <w:rPr>
          <w:sz w:val="26"/>
          <w:szCs w:val="26"/>
        </w:rPr>
        <w:t xml:space="preserve"> </w:t>
      </w:r>
      <w:r w:rsidR="002347F2">
        <w:rPr>
          <w:sz w:val="26"/>
          <w:szCs w:val="26"/>
        </w:rPr>
        <w:t xml:space="preserve">conversion from a fixed rate plan to a variable rate plan </w:t>
      </w:r>
      <w:r w:rsidR="00EB1B0E">
        <w:rPr>
          <w:sz w:val="26"/>
          <w:szCs w:val="26"/>
        </w:rPr>
        <w:t xml:space="preserve">has been a contractual practice </w:t>
      </w:r>
      <w:r w:rsidR="004E3F1B">
        <w:rPr>
          <w:sz w:val="26"/>
          <w:szCs w:val="26"/>
        </w:rPr>
        <w:t xml:space="preserve">in the retail energy markets </w:t>
      </w:r>
      <w:r w:rsidR="00EB1B0E">
        <w:rPr>
          <w:sz w:val="26"/>
          <w:szCs w:val="26"/>
        </w:rPr>
        <w:t xml:space="preserve">since 2001.  </w:t>
      </w:r>
      <w:r w:rsidR="004E3F1B">
        <w:rPr>
          <w:sz w:val="26"/>
          <w:szCs w:val="26"/>
        </w:rPr>
        <w:t xml:space="preserve">Accordingly, we implemented and will now finalize important </w:t>
      </w:r>
      <w:r w:rsidR="0075258A">
        <w:rPr>
          <w:sz w:val="26"/>
          <w:szCs w:val="26"/>
        </w:rPr>
        <w:t xml:space="preserve">additional </w:t>
      </w:r>
      <w:r w:rsidR="004E3F1B">
        <w:rPr>
          <w:sz w:val="26"/>
          <w:szCs w:val="26"/>
        </w:rPr>
        <w:t>consumer protections, such as the revised Section 62.75 on the required disclosure statement and this additional Section 62.81 on required customer notices regarding contract expiration or a change in contractual terms.</w:t>
      </w:r>
      <w:r w:rsidR="0047783E">
        <w:rPr>
          <w:sz w:val="26"/>
          <w:szCs w:val="26"/>
        </w:rPr>
        <w:t xml:space="preserve">  Further, we agree with IRRC and will require the options notice to inform the customer of what will occur if the customer fails to respond to the notices.  IRRC Comments at 6.  </w:t>
      </w:r>
      <w:r w:rsidR="0075258A">
        <w:rPr>
          <w:sz w:val="26"/>
          <w:szCs w:val="26"/>
        </w:rPr>
        <w:t>Critically</w:t>
      </w:r>
      <w:r w:rsidR="004E3F1B">
        <w:rPr>
          <w:sz w:val="26"/>
          <w:szCs w:val="26"/>
        </w:rPr>
        <w:t xml:space="preserve">, a customer may still cancel </w:t>
      </w:r>
      <w:r w:rsidR="002347F2">
        <w:rPr>
          <w:sz w:val="26"/>
          <w:szCs w:val="26"/>
        </w:rPr>
        <w:t xml:space="preserve">the variable rate plan </w:t>
      </w:r>
      <w:r w:rsidR="004E3F1B">
        <w:rPr>
          <w:sz w:val="26"/>
          <w:szCs w:val="26"/>
        </w:rPr>
        <w:t xml:space="preserve">at any time without a penalty, as a month-to-month contract in this scenario must </w:t>
      </w:r>
      <w:r w:rsidR="0075258A">
        <w:rPr>
          <w:sz w:val="26"/>
          <w:szCs w:val="26"/>
        </w:rPr>
        <w:t xml:space="preserve">not, under these </w:t>
      </w:r>
      <w:r w:rsidR="004E3F1B">
        <w:rPr>
          <w:sz w:val="26"/>
          <w:szCs w:val="26"/>
        </w:rPr>
        <w:t xml:space="preserve">finalized regulations, include a cancellation fee.  </w:t>
      </w:r>
      <w:r w:rsidR="004E3F1B">
        <w:rPr>
          <w:i/>
          <w:sz w:val="26"/>
          <w:szCs w:val="26"/>
        </w:rPr>
        <w:t xml:space="preserve">See </w:t>
      </w:r>
      <w:r w:rsidR="004E3F1B">
        <w:rPr>
          <w:sz w:val="26"/>
          <w:szCs w:val="26"/>
        </w:rPr>
        <w:t>Annex A, Section 62.81(b)(1)(</w:t>
      </w:r>
      <w:proofErr w:type="spellStart"/>
      <w:r w:rsidR="004E3F1B">
        <w:rPr>
          <w:sz w:val="26"/>
          <w:szCs w:val="26"/>
        </w:rPr>
        <w:t>i</w:t>
      </w:r>
      <w:proofErr w:type="spellEnd"/>
      <w:r w:rsidR="004E3F1B">
        <w:rPr>
          <w:sz w:val="26"/>
          <w:szCs w:val="26"/>
        </w:rPr>
        <w:t>).</w:t>
      </w:r>
      <w:r w:rsidR="0047783E">
        <w:rPr>
          <w:sz w:val="26"/>
          <w:szCs w:val="26"/>
        </w:rPr>
        <w:t xml:space="preserve">  </w:t>
      </w:r>
    </w:p>
    <w:p w:rsidR="001C2563" w:rsidRDefault="0047783E" w:rsidP="007175E5">
      <w:pPr>
        <w:pStyle w:val="p3"/>
        <w:tabs>
          <w:tab w:val="clear" w:pos="204"/>
        </w:tabs>
        <w:spacing w:line="360" w:lineRule="auto"/>
        <w:ind w:firstLine="720"/>
        <w:rPr>
          <w:sz w:val="26"/>
          <w:szCs w:val="26"/>
        </w:rPr>
      </w:pPr>
      <w:r>
        <w:rPr>
          <w:sz w:val="26"/>
          <w:szCs w:val="26"/>
        </w:rPr>
        <w:lastRenderedPageBreak/>
        <w:t xml:space="preserve">With respect to IRRC’s question as to what happens to a customer if the NGS declines to renew a contract upon expiration, we note that the NGS is obligated to </w:t>
      </w:r>
      <w:r w:rsidR="001C2563">
        <w:rPr>
          <w:sz w:val="26"/>
          <w:szCs w:val="26"/>
        </w:rPr>
        <w:t xml:space="preserve">inform </w:t>
      </w:r>
      <w:r>
        <w:rPr>
          <w:sz w:val="26"/>
          <w:szCs w:val="26"/>
        </w:rPr>
        <w:t>the customer</w:t>
      </w:r>
      <w:r w:rsidR="001C2563">
        <w:rPr>
          <w:sz w:val="26"/>
          <w:szCs w:val="26"/>
        </w:rPr>
        <w:t xml:space="preserve"> of the available</w:t>
      </w:r>
      <w:r>
        <w:rPr>
          <w:sz w:val="26"/>
          <w:szCs w:val="26"/>
        </w:rPr>
        <w:t xml:space="preserve"> option</w:t>
      </w:r>
      <w:r w:rsidR="001C2563">
        <w:rPr>
          <w:sz w:val="26"/>
          <w:szCs w:val="26"/>
        </w:rPr>
        <w:t>s</w:t>
      </w:r>
      <w:r>
        <w:rPr>
          <w:sz w:val="26"/>
          <w:szCs w:val="26"/>
        </w:rPr>
        <w:t xml:space="preserve"> in the options notice.  In this scenario, a customer cannot remain with the current NGS; so, if the customer does nothing, the customer would return seamlessly to the supplier of last resort.  We will add </w:t>
      </w:r>
      <w:r w:rsidR="00E7439F">
        <w:rPr>
          <w:sz w:val="26"/>
          <w:szCs w:val="26"/>
        </w:rPr>
        <w:t xml:space="preserve">the following </w:t>
      </w:r>
      <w:r>
        <w:rPr>
          <w:sz w:val="26"/>
          <w:szCs w:val="26"/>
        </w:rPr>
        <w:t>language to the regulation to address this scenario</w:t>
      </w:r>
      <w:r w:rsidR="00E7439F">
        <w:rPr>
          <w:sz w:val="26"/>
          <w:szCs w:val="26"/>
        </w:rPr>
        <w:t xml:space="preserve">: </w:t>
      </w:r>
    </w:p>
    <w:p w:rsidR="001C2563" w:rsidRDefault="00E7439F" w:rsidP="00D51BBE">
      <w:pPr>
        <w:pStyle w:val="p3"/>
        <w:tabs>
          <w:tab w:val="clear" w:pos="204"/>
        </w:tabs>
        <w:ind w:left="720" w:right="720"/>
        <w:rPr>
          <w:sz w:val="26"/>
          <w:szCs w:val="26"/>
        </w:rPr>
      </w:pPr>
      <w:r w:rsidRPr="00D51BBE">
        <w:rPr>
          <w:sz w:val="26"/>
          <w:szCs w:val="26"/>
        </w:rPr>
        <w:t>(</w:t>
      </w:r>
      <w:proofErr w:type="spellStart"/>
      <w:r w:rsidRPr="00D51BBE">
        <w:rPr>
          <w:sz w:val="26"/>
          <w:szCs w:val="26"/>
        </w:rPr>
        <w:t>i</w:t>
      </w:r>
      <w:proofErr w:type="spellEnd"/>
      <w:r w:rsidRPr="00D51BBE">
        <w:rPr>
          <w:sz w:val="26"/>
          <w:szCs w:val="26"/>
        </w:rPr>
        <w:t>) A statement advising the customer of the specific changes being proposed by the NGS and informing the customer of how to exercise the customer’s options, including the customer’s ability to accept the proposed changes, to choose another product offering from the customer’s existing NGS, to select another NGS or to return to the supplier of last resort,</w:t>
      </w:r>
      <w:r>
        <w:rPr>
          <w:sz w:val="26"/>
          <w:szCs w:val="26"/>
        </w:rPr>
        <w:t xml:space="preserve"> </w:t>
      </w:r>
      <w:r w:rsidR="001C2563" w:rsidRPr="001C2563">
        <w:rPr>
          <w:b/>
          <w:sz w:val="26"/>
          <w:szCs w:val="26"/>
        </w:rPr>
        <w:t xml:space="preserve">and what will occur if the customer fails to respond to the notice.  If the </w:t>
      </w:r>
      <w:r w:rsidR="001C2563">
        <w:rPr>
          <w:b/>
          <w:sz w:val="26"/>
          <w:szCs w:val="26"/>
        </w:rPr>
        <w:t>NGS</w:t>
      </w:r>
      <w:r w:rsidR="001C2563" w:rsidRPr="001C2563">
        <w:rPr>
          <w:b/>
          <w:sz w:val="26"/>
          <w:szCs w:val="26"/>
        </w:rPr>
        <w:t xml:space="preserve"> intends to discontinue service to the customer at the end of the contract, the options notice must include a statement that the </w:t>
      </w:r>
      <w:r w:rsidR="001C2563">
        <w:rPr>
          <w:b/>
          <w:sz w:val="26"/>
          <w:szCs w:val="26"/>
        </w:rPr>
        <w:t>NGS</w:t>
      </w:r>
      <w:r w:rsidR="001C2563" w:rsidRPr="001C2563">
        <w:rPr>
          <w:b/>
          <w:sz w:val="26"/>
          <w:szCs w:val="26"/>
        </w:rPr>
        <w:t xml:space="preserve"> </w:t>
      </w:r>
      <w:r w:rsidR="001C2563" w:rsidRPr="004F60C9">
        <w:rPr>
          <w:b/>
          <w:sz w:val="26"/>
          <w:szCs w:val="26"/>
        </w:rPr>
        <w:t xml:space="preserve">will no longer serve the customer at the end of the contract and that the customer will be returned to the supplier of last resort if the customer does not select another </w:t>
      </w:r>
      <w:r w:rsidR="001C2563">
        <w:rPr>
          <w:b/>
          <w:sz w:val="26"/>
          <w:szCs w:val="26"/>
        </w:rPr>
        <w:t>NGS</w:t>
      </w:r>
      <w:r w:rsidR="001C2563" w:rsidRPr="001C2563">
        <w:rPr>
          <w:b/>
          <w:sz w:val="26"/>
          <w:szCs w:val="26"/>
        </w:rPr>
        <w:t>.</w:t>
      </w:r>
      <w:r>
        <w:rPr>
          <w:sz w:val="26"/>
          <w:szCs w:val="26"/>
        </w:rPr>
        <w:t xml:space="preserve">  </w:t>
      </w:r>
    </w:p>
    <w:p w:rsidR="004E3F1B" w:rsidRDefault="0047783E" w:rsidP="00D51BBE">
      <w:pPr>
        <w:pStyle w:val="p3"/>
        <w:tabs>
          <w:tab w:val="clear" w:pos="204"/>
        </w:tabs>
        <w:spacing w:before="240" w:line="360" w:lineRule="auto"/>
        <w:rPr>
          <w:sz w:val="26"/>
          <w:szCs w:val="26"/>
        </w:rPr>
      </w:pPr>
      <w:r>
        <w:rPr>
          <w:i/>
          <w:sz w:val="26"/>
          <w:szCs w:val="26"/>
        </w:rPr>
        <w:t>See</w:t>
      </w:r>
      <w:r>
        <w:rPr>
          <w:sz w:val="26"/>
          <w:szCs w:val="26"/>
        </w:rPr>
        <w:t xml:space="preserve"> Annex A, Section 62.81(a)(2)(</w:t>
      </w:r>
      <w:proofErr w:type="spellStart"/>
      <w:r w:rsidR="00BA6A43">
        <w:rPr>
          <w:sz w:val="26"/>
          <w:szCs w:val="26"/>
        </w:rPr>
        <w:t>i</w:t>
      </w:r>
      <w:proofErr w:type="spellEnd"/>
      <w:r>
        <w:rPr>
          <w:sz w:val="26"/>
          <w:szCs w:val="26"/>
        </w:rPr>
        <w:t xml:space="preserve">).    </w:t>
      </w:r>
      <w:r w:rsidR="004E3F1B">
        <w:rPr>
          <w:sz w:val="26"/>
          <w:szCs w:val="26"/>
        </w:rPr>
        <w:t xml:space="preserve">  </w:t>
      </w:r>
    </w:p>
    <w:p w:rsidR="00C50913" w:rsidRDefault="00C50913" w:rsidP="007175E5">
      <w:pPr>
        <w:pStyle w:val="p3"/>
        <w:tabs>
          <w:tab w:val="clear" w:pos="204"/>
        </w:tabs>
        <w:spacing w:line="360" w:lineRule="auto"/>
        <w:ind w:firstLine="720"/>
        <w:rPr>
          <w:sz w:val="26"/>
          <w:szCs w:val="26"/>
        </w:rPr>
      </w:pPr>
    </w:p>
    <w:p w:rsidR="00AA45D6" w:rsidRDefault="004E3F1B" w:rsidP="00712D2C">
      <w:pPr>
        <w:pStyle w:val="p3"/>
        <w:tabs>
          <w:tab w:val="clear" w:pos="204"/>
        </w:tabs>
        <w:spacing w:line="360" w:lineRule="auto"/>
        <w:ind w:firstLine="720"/>
        <w:rPr>
          <w:rFonts w:cstheme="minorHAnsi"/>
          <w:sz w:val="26"/>
          <w:szCs w:val="26"/>
        </w:rPr>
      </w:pPr>
      <w:r w:rsidRPr="002347F2">
        <w:rPr>
          <w:sz w:val="26"/>
          <w:szCs w:val="26"/>
        </w:rPr>
        <w:t>W</w:t>
      </w:r>
      <w:r w:rsidR="00C842E7" w:rsidRPr="002347F2">
        <w:rPr>
          <w:sz w:val="26"/>
          <w:szCs w:val="26"/>
        </w:rPr>
        <w:t>e understand that th</w:t>
      </w:r>
      <w:r w:rsidR="00A54226" w:rsidRPr="002347F2">
        <w:rPr>
          <w:sz w:val="26"/>
          <w:szCs w:val="26"/>
        </w:rPr>
        <w:t>e</w:t>
      </w:r>
      <w:r w:rsidR="00C842E7" w:rsidRPr="002347F2">
        <w:rPr>
          <w:sz w:val="26"/>
          <w:szCs w:val="26"/>
        </w:rPr>
        <w:t xml:space="preserve"> </w:t>
      </w:r>
      <w:r w:rsidR="00120015" w:rsidRPr="002347F2">
        <w:rPr>
          <w:sz w:val="26"/>
          <w:szCs w:val="26"/>
        </w:rPr>
        <w:t xml:space="preserve">30-day notice </w:t>
      </w:r>
      <w:r w:rsidR="00C842E7" w:rsidRPr="002347F2">
        <w:rPr>
          <w:sz w:val="26"/>
          <w:szCs w:val="26"/>
        </w:rPr>
        <w:t xml:space="preserve">requirement </w:t>
      </w:r>
      <w:r w:rsidR="0075258A" w:rsidRPr="002347F2">
        <w:rPr>
          <w:sz w:val="26"/>
          <w:szCs w:val="26"/>
        </w:rPr>
        <w:t xml:space="preserve">in Section 62.81(a)(2)(ii)(A)(I) </w:t>
      </w:r>
      <w:r w:rsidR="00C842E7" w:rsidRPr="002347F2">
        <w:rPr>
          <w:sz w:val="26"/>
          <w:szCs w:val="26"/>
        </w:rPr>
        <w:t xml:space="preserve">may impede the ability of suppliers to offer certain products, especially variable rate products.  However, </w:t>
      </w:r>
      <w:r w:rsidR="00A54226" w:rsidRPr="002347F2">
        <w:rPr>
          <w:sz w:val="26"/>
          <w:szCs w:val="26"/>
        </w:rPr>
        <w:t>based on the above comments</w:t>
      </w:r>
      <w:r w:rsidR="00A37D7A">
        <w:rPr>
          <w:sz w:val="26"/>
          <w:szCs w:val="26"/>
        </w:rPr>
        <w:t>,</w:t>
      </w:r>
      <w:r w:rsidR="00A54226" w:rsidRPr="002347F2">
        <w:rPr>
          <w:sz w:val="26"/>
          <w:szCs w:val="26"/>
        </w:rPr>
        <w:t xml:space="preserve"> and </w:t>
      </w:r>
      <w:r w:rsidR="00C842E7" w:rsidRPr="002347F2">
        <w:rPr>
          <w:sz w:val="26"/>
          <w:szCs w:val="26"/>
        </w:rPr>
        <w:t>at this</w:t>
      </w:r>
      <w:r w:rsidR="00A54226" w:rsidRPr="002347F2">
        <w:rPr>
          <w:sz w:val="26"/>
          <w:szCs w:val="26"/>
        </w:rPr>
        <w:t xml:space="preserve"> stage</w:t>
      </w:r>
      <w:r w:rsidR="00C842E7" w:rsidRPr="002347F2">
        <w:rPr>
          <w:sz w:val="26"/>
          <w:szCs w:val="26"/>
        </w:rPr>
        <w:t xml:space="preserve"> in the development of the market, the </w:t>
      </w:r>
      <w:r w:rsidR="00A37D7A">
        <w:rPr>
          <w:sz w:val="26"/>
          <w:szCs w:val="26"/>
        </w:rPr>
        <w:t xml:space="preserve">Commission believes the </w:t>
      </w:r>
      <w:r w:rsidR="00C842E7" w:rsidRPr="002347F2">
        <w:rPr>
          <w:sz w:val="26"/>
          <w:szCs w:val="26"/>
        </w:rPr>
        <w:t xml:space="preserve">30-day advance notice of price changes is still an important consumer protection.  </w:t>
      </w:r>
      <w:r w:rsidR="002347F2">
        <w:rPr>
          <w:sz w:val="26"/>
          <w:szCs w:val="26"/>
        </w:rPr>
        <w:t xml:space="preserve">As noted in our </w:t>
      </w:r>
      <w:r w:rsidR="00A37D7A">
        <w:rPr>
          <w:sz w:val="26"/>
          <w:szCs w:val="26"/>
        </w:rPr>
        <w:t>E</w:t>
      </w:r>
      <w:r w:rsidR="002347F2">
        <w:rPr>
          <w:sz w:val="26"/>
          <w:szCs w:val="26"/>
        </w:rPr>
        <w:t xml:space="preserve">lectric </w:t>
      </w:r>
      <w:r w:rsidR="00A37D7A">
        <w:rPr>
          <w:sz w:val="26"/>
          <w:szCs w:val="26"/>
        </w:rPr>
        <w:t>D</w:t>
      </w:r>
      <w:r w:rsidR="002347F2">
        <w:rPr>
          <w:sz w:val="26"/>
          <w:szCs w:val="26"/>
        </w:rPr>
        <w:t xml:space="preserve">isclosure </w:t>
      </w:r>
      <w:r w:rsidR="00A37D7A">
        <w:rPr>
          <w:sz w:val="26"/>
          <w:szCs w:val="26"/>
        </w:rPr>
        <w:t>S</w:t>
      </w:r>
      <w:r w:rsidR="002347F2">
        <w:rPr>
          <w:sz w:val="26"/>
          <w:szCs w:val="26"/>
        </w:rPr>
        <w:t xml:space="preserve">tatement </w:t>
      </w:r>
      <w:r w:rsidR="00A37D7A">
        <w:rPr>
          <w:sz w:val="26"/>
          <w:szCs w:val="26"/>
        </w:rPr>
        <w:t>F</w:t>
      </w:r>
      <w:r w:rsidR="002347F2">
        <w:rPr>
          <w:sz w:val="26"/>
          <w:szCs w:val="26"/>
        </w:rPr>
        <w:t>inal-</w:t>
      </w:r>
      <w:r w:rsidR="00A37D7A">
        <w:rPr>
          <w:sz w:val="26"/>
          <w:szCs w:val="26"/>
        </w:rPr>
        <w:t>O</w:t>
      </w:r>
      <w:r w:rsidR="002347F2">
        <w:rPr>
          <w:sz w:val="26"/>
          <w:szCs w:val="26"/>
        </w:rPr>
        <w:t xml:space="preserve">mitted </w:t>
      </w:r>
      <w:r w:rsidR="00A37D7A">
        <w:rPr>
          <w:sz w:val="26"/>
          <w:szCs w:val="26"/>
        </w:rPr>
        <w:t>R</w:t>
      </w:r>
      <w:r w:rsidR="002347F2">
        <w:rPr>
          <w:sz w:val="26"/>
          <w:szCs w:val="26"/>
        </w:rPr>
        <w:t xml:space="preserve">ulemaking </w:t>
      </w:r>
      <w:r w:rsidR="00A37D7A">
        <w:rPr>
          <w:sz w:val="26"/>
          <w:szCs w:val="26"/>
        </w:rPr>
        <w:t>O</w:t>
      </w:r>
      <w:r w:rsidR="002347F2">
        <w:rPr>
          <w:sz w:val="26"/>
          <w:szCs w:val="26"/>
        </w:rPr>
        <w:t xml:space="preserve">rder, because many of the customers enrolled in fixed-term contracts have affirmatively chosen a </w:t>
      </w:r>
      <w:r w:rsidR="002347F2" w:rsidRPr="001C5D22">
        <w:rPr>
          <w:sz w:val="26"/>
          <w:szCs w:val="26"/>
        </w:rPr>
        <w:t>fixed</w:t>
      </w:r>
      <w:r w:rsidR="002347F2">
        <w:rPr>
          <w:sz w:val="26"/>
          <w:szCs w:val="26"/>
        </w:rPr>
        <w:t xml:space="preserve"> rate, these customers may need more information regarding the potential variability in rates they may experience upon contract expiration or when the terms of the contract are changed.  </w:t>
      </w:r>
      <w:r w:rsidR="002347F2">
        <w:rPr>
          <w:i/>
          <w:sz w:val="26"/>
          <w:szCs w:val="26"/>
        </w:rPr>
        <w:t>See Chapter</w:t>
      </w:r>
      <w:r w:rsidR="002347F2" w:rsidRPr="001F32B4">
        <w:rPr>
          <w:rFonts w:cstheme="minorHAnsi"/>
          <w:i/>
          <w:sz w:val="26"/>
          <w:szCs w:val="26"/>
        </w:rPr>
        <w:t xml:space="preserve"> 5</w:t>
      </w:r>
      <w:r w:rsidR="002347F2">
        <w:rPr>
          <w:rFonts w:cstheme="minorHAnsi"/>
          <w:i/>
          <w:sz w:val="26"/>
          <w:szCs w:val="26"/>
        </w:rPr>
        <w:t>4</w:t>
      </w:r>
      <w:r w:rsidR="002347F2" w:rsidRPr="001F32B4">
        <w:rPr>
          <w:rFonts w:cstheme="minorHAnsi"/>
          <w:i/>
          <w:sz w:val="26"/>
          <w:szCs w:val="26"/>
        </w:rPr>
        <w:t xml:space="preserve"> Regulations Regarding</w:t>
      </w:r>
      <w:r w:rsidR="002347F2">
        <w:rPr>
          <w:rFonts w:cstheme="minorHAnsi"/>
          <w:i/>
          <w:sz w:val="26"/>
          <w:szCs w:val="26"/>
        </w:rPr>
        <w:t xml:space="preserve"> Electric</w:t>
      </w:r>
      <w:r w:rsidR="002347F2" w:rsidRPr="001F32B4">
        <w:rPr>
          <w:rFonts w:cstheme="minorHAnsi"/>
          <w:i/>
          <w:sz w:val="26"/>
          <w:szCs w:val="26"/>
        </w:rPr>
        <w:t xml:space="preserve"> Disclosure Statement for Residential and Small Business Customers</w:t>
      </w:r>
      <w:r w:rsidR="002347F2">
        <w:rPr>
          <w:rFonts w:cstheme="minorHAnsi"/>
          <w:sz w:val="26"/>
          <w:szCs w:val="26"/>
        </w:rPr>
        <w:t>, Docket No. L-2014-</w:t>
      </w:r>
      <w:r w:rsidR="002347F2">
        <w:rPr>
          <w:rFonts w:cstheme="minorHAnsi"/>
          <w:color w:val="000000"/>
          <w:sz w:val="26"/>
          <w:szCs w:val="26"/>
        </w:rPr>
        <w:t>2409385</w:t>
      </w:r>
      <w:r w:rsidR="002347F2">
        <w:rPr>
          <w:rFonts w:cstheme="minorHAnsi"/>
          <w:sz w:val="26"/>
          <w:szCs w:val="26"/>
        </w:rPr>
        <w:t xml:space="preserve"> at </w:t>
      </w:r>
      <w:r w:rsidR="00434C51">
        <w:rPr>
          <w:rFonts w:cstheme="minorHAnsi"/>
          <w:sz w:val="26"/>
          <w:szCs w:val="26"/>
        </w:rPr>
        <w:t xml:space="preserve">p. </w:t>
      </w:r>
      <w:r w:rsidR="002347F2">
        <w:rPr>
          <w:rFonts w:cstheme="minorHAnsi"/>
          <w:sz w:val="26"/>
          <w:szCs w:val="26"/>
        </w:rPr>
        <w:t>32 (Final-Omitted Rulemaking Order entered Apr</w:t>
      </w:r>
      <w:r w:rsidR="00A37D7A">
        <w:rPr>
          <w:rFonts w:cstheme="minorHAnsi"/>
          <w:sz w:val="26"/>
          <w:szCs w:val="26"/>
        </w:rPr>
        <w:t>il</w:t>
      </w:r>
      <w:r w:rsidR="002347F2">
        <w:rPr>
          <w:rFonts w:cstheme="minorHAnsi"/>
          <w:sz w:val="26"/>
          <w:szCs w:val="26"/>
        </w:rPr>
        <w:t xml:space="preserve"> 3, 2014).</w:t>
      </w:r>
      <w:r w:rsidR="002347F2" w:rsidRPr="001F32B4">
        <w:rPr>
          <w:rFonts w:cstheme="minorHAnsi"/>
          <w:i/>
          <w:sz w:val="26"/>
          <w:szCs w:val="26"/>
        </w:rPr>
        <w:t xml:space="preserve"> </w:t>
      </w:r>
      <w:r w:rsidR="002347F2">
        <w:rPr>
          <w:rFonts w:cstheme="minorHAnsi"/>
          <w:sz w:val="26"/>
          <w:szCs w:val="26"/>
        </w:rPr>
        <w:t xml:space="preserve"> We believe this same </w:t>
      </w:r>
      <w:r w:rsidR="001C2563">
        <w:rPr>
          <w:rFonts w:cstheme="minorHAnsi"/>
          <w:sz w:val="26"/>
          <w:szCs w:val="26"/>
        </w:rPr>
        <w:t>rational</w:t>
      </w:r>
      <w:r w:rsidR="00D51BBE">
        <w:rPr>
          <w:rFonts w:cstheme="minorHAnsi"/>
          <w:sz w:val="26"/>
          <w:szCs w:val="26"/>
        </w:rPr>
        <w:t>e</w:t>
      </w:r>
      <w:r w:rsidR="001C2563">
        <w:rPr>
          <w:rFonts w:cstheme="minorHAnsi"/>
          <w:sz w:val="26"/>
          <w:szCs w:val="26"/>
        </w:rPr>
        <w:t xml:space="preserve"> </w:t>
      </w:r>
      <w:r w:rsidR="002347F2">
        <w:rPr>
          <w:rFonts w:cstheme="minorHAnsi"/>
          <w:sz w:val="26"/>
          <w:szCs w:val="26"/>
        </w:rPr>
        <w:t xml:space="preserve">applies in the competitive natural gas marketplace, </w:t>
      </w:r>
    </w:p>
    <w:p w:rsidR="00AA45D6" w:rsidRDefault="00AA45D6" w:rsidP="00AA45D6">
      <w:pPr>
        <w:pStyle w:val="p3"/>
        <w:tabs>
          <w:tab w:val="clear" w:pos="204"/>
        </w:tabs>
        <w:spacing w:line="360" w:lineRule="auto"/>
        <w:rPr>
          <w:rFonts w:cstheme="minorHAnsi"/>
          <w:sz w:val="26"/>
          <w:szCs w:val="26"/>
        </w:rPr>
      </w:pPr>
    </w:p>
    <w:p w:rsidR="00DE7536" w:rsidRPr="00712D2C" w:rsidRDefault="002347F2" w:rsidP="00AA45D6">
      <w:pPr>
        <w:pStyle w:val="p3"/>
        <w:tabs>
          <w:tab w:val="clear" w:pos="204"/>
        </w:tabs>
        <w:spacing w:line="360" w:lineRule="auto"/>
        <w:rPr>
          <w:rFonts w:cstheme="minorHAnsi"/>
          <w:sz w:val="26"/>
          <w:szCs w:val="26"/>
        </w:rPr>
      </w:pPr>
      <w:r>
        <w:rPr>
          <w:rFonts w:cstheme="minorHAnsi"/>
          <w:sz w:val="26"/>
          <w:szCs w:val="26"/>
        </w:rPr>
        <w:lastRenderedPageBreak/>
        <w:t xml:space="preserve">as well.  </w:t>
      </w:r>
      <w:r w:rsidR="00C842E7" w:rsidRPr="002347F2">
        <w:rPr>
          <w:sz w:val="26"/>
          <w:szCs w:val="26"/>
        </w:rPr>
        <w:t xml:space="preserve">Therefore, we will retain the language in Section 62.81(a)(2)(ii)(A)(I).  </w:t>
      </w:r>
      <w:r w:rsidR="00C842E7" w:rsidRPr="002347F2">
        <w:rPr>
          <w:i/>
          <w:sz w:val="26"/>
          <w:szCs w:val="26"/>
        </w:rPr>
        <w:t>See</w:t>
      </w:r>
      <w:r w:rsidR="00C842E7" w:rsidRPr="002347F2">
        <w:rPr>
          <w:sz w:val="26"/>
          <w:szCs w:val="26"/>
        </w:rPr>
        <w:t xml:space="preserve"> Annex A, Section 62.81(a)(2)(ii)(A)(I).</w:t>
      </w:r>
      <w:r w:rsidR="00C842E7">
        <w:rPr>
          <w:sz w:val="26"/>
          <w:szCs w:val="26"/>
        </w:rPr>
        <w:t xml:space="preserve">   </w:t>
      </w:r>
      <w:r w:rsidR="007D065C">
        <w:rPr>
          <w:sz w:val="26"/>
          <w:szCs w:val="26"/>
        </w:rPr>
        <w:t xml:space="preserve">  </w:t>
      </w:r>
    </w:p>
    <w:p w:rsidR="00901356" w:rsidRPr="00DE7536" w:rsidRDefault="00901356" w:rsidP="007D065C">
      <w:pPr>
        <w:pStyle w:val="p3"/>
        <w:tabs>
          <w:tab w:val="clear" w:pos="204"/>
        </w:tabs>
        <w:spacing w:line="360" w:lineRule="auto"/>
        <w:ind w:firstLine="720"/>
        <w:rPr>
          <w:sz w:val="26"/>
          <w:szCs w:val="26"/>
        </w:rPr>
      </w:pPr>
    </w:p>
    <w:p w:rsidR="00F91138" w:rsidRDefault="008E450A" w:rsidP="00A07F08">
      <w:pPr>
        <w:pStyle w:val="p3"/>
        <w:tabs>
          <w:tab w:val="clear" w:pos="204"/>
        </w:tabs>
        <w:spacing w:line="360" w:lineRule="auto"/>
        <w:rPr>
          <w:rFonts w:asciiTheme="minorHAnsi" w:hAnsiTheme="minorHAnsi" w:cstheme="minorHAnsi"/>
          <w:sz w:val="26"/>
          <w:szCs w:val="26"/>
        </w:rPr>
      </w:pPr>
      <w:r>
        <w:rPr>
          <w:sz w:val="26"/>
          <w:szCs w:val="26"/>
        </w:rPr>
        <w:tab/>
      </w:r>
      <w:r w:rsidR="00C842E7">
        <w:rPr>
          <w:rFonts w:asciiTheme="minorHAnsi" w:hAnsiTheme="minorHAnsi" w:cstheme="minorHAnsi"/>
          <w:sz w:val="26"/>
          <w:szCs w:val="26"/>
        </w:rPr>
        <w:t>IRRC also ask</w:t>
      </w:r>
      <w:r w:rsidR="00BA6A43">
        <w:rPr>
          <w:rFonts w:asciiTheme="minorHAnsi" w:hAnsiTheme="minorHAnsi" w:cstheme="minorHAnsi"/>
          <w:sz w:val="26"/>
          <w:szCs w:val="26"/>
        </w:rPr>
        <w:t>s</w:t>
      </w:r>
      <w:r w:rsidR="00C842E7">
        <w:rPr>
          <w:rFonts w:asciiTheme="minorHAnsi" w:hAnsiTheme="minorHAnsi" w:cstheme="minorHAnsi"/>
          <w:sz w:val="26"/>
          <w:szCs w:val="26"/>
        </w:rPr>
        <w:t xml:space="preserve"> the Commission to ensure certain terms, such as billed prices and marketed prices, are clear and consistent throughout these regulations.  </w:t>
      </w:r>
      <w:r w:rsidR="00C842E7">
        <w:rPr>
          <w:rFonts w:asciiTheme="minorHAnsi" w:hAnsiTheme="minorHAnsi" w:cstheme="minorHAnsi"/>
          <w:i/>
          <w:sz w:val="26"/>
          <w:szCs w:val="26"/>
        </w:rPr>
        <w:t>See</w:t>
      </w:r>
      <w:r w:rsidR="00C842E7">
        <w:rPr>
          <w:rFonts w:asciiTheme="minorHAnsi" w:hAnsiTheme="minorHAnsi" w:cstheme="minorHAnsi"/>
          <w:sz w:val="26"/>
          <w:szCs w:val="26"/>
        </w:rPr>
        <w:t xml:space="preserve"> IRRC Comments at 2.  Under the definition in Section 62.72, a “billed price” is the “disclosed NGS price[] on the customer bill.”  For purposes of clarity, we have inserted the word </w:t>
      </w:r>
    </w:p>
    <w:p w:rsidR="00E97A10" w:rsidRPr="00C842E7" w:rsidRDefault="00F91138" w:rsidP="00A07F08">
      <w:pPr>
        <w:pStyle w:val="p3"/>
        <w:tabs>
          <w:tab w:val="clear" w:pos="204"/>
        </w:tabs>
        <w:spacing w:line="360" w:lineRule="auto"/>
        <w:rPr>
          <w:sz w:val="26"/>
          <w:szCs w:val="26"/>
        </w:rPr>
      </w:pPr>
      <w:r>
        <w:rPr>
          <w:rFonts w:asciiTheme="minorHAnsi" w:hAnsiTheme="minorHAnsi" w:cstheme="minorHAnsi"/>
          <w:sz w:val="26"/>
          <w:szCs w:val="26"/>
        </w:rPr>
        <w:t>“</w:t>
      </w:r>
      <w:r w:rsidR="00C842E7">
        <w:rPr>
          <w:rFonts w:asciiTheme="minorHAnsi" w:hAnsiTheme="minorHAnsi" w:cstheme="minorHAnsi"/>
          <w:sz w:val="26"/>
          <w:szCs w:val="26"/>
        </w:rPr>
        <w:t>billed” into the regulations Section</w:t>
      </w:r>
      <w:r w:rsidR="00A54226">
        <w:rPr>
          <w:rFonts w:asciiTheme="minorHAnsi" w:hAnsiTheme="minorHAnsi" w:cstheme="minorHAnsi"/>
          <w:sz w:val="26"/>
          <w:szCs w:val="26"/>
        </w:rPr>
        <w:t>s</w:t>
      </w:r>
      <w:r w:rsidR="00C842E7">
        <w:rPr>
          <w:rFonts w:asciiTheme="minorHAnsi" w:hAnsiTheme="minorHAnsi" w:cstheme="minorHAnsi"/>
          <w:sz w:val="26"/>
          <w:szCs w:val="26"/>
        </w:rPr>
        <w:t xml:space="preserve"> 62.81(a)(2)</w:t>
      </w:r>
      <w:r w:rsidR="00A54226">
        <w:rPr>
          <w:rFonts w:asciiTheme="minorHAnsi" w:hAnsiTheme="minorHAnsi" w:cstheme="minorHAnsi"/>
          <w:sz w:val="26"/>
          <w:szCs w:val="26"/>
        </w:rPr>
        <w:t xml:space="preserve">(ii), </w:t>
      </w:r>
      <w:r w:rsidR="0025210D">
        <w:rPr>
          <w:rFonts w:asciiTheme="minorHAnsi" w:hAnsiTheme="minorHAnsi" w:cstheme="minorHAnsi"/>
          <w:sz w:val="26"/>
          <w:szCs w:val="26"/>
        </w:rPr>
        <w:t xml:space="preserve">62.81(a)(2)(ii)(A)(I), </w:t>
      </w:r>
      <w:r w:rsidR="00A54226">
        <w:rPr>
          <w:rFonts w:asciiTheme="minorHAnsi" w:hAnsiTheme="minorHAnsi" w:cstheme="minorHAnsi"/>
          <w:sz w:val="26"/>
          <w:szCs w:val="26"/>
        </w:rPr>
        <w:t xml:space="preserve">62.81(a)(2)(ii)(A)(II), and 62.81(a)(2)(ii)(B).  </w:t>
      </w:r>
      <w:r w:rsidR="00A54226">
        <w:rPr>
          <w:rFonts w:asciiTheme="minorHAnsi" w:hAnsiTheme="minorHAnsi" w:cstheme="minorHAnsi"/>
          <w:i/>
          <w:sz w:val="26"/>
          <w:szCs w:val="26"/>
        </w:rPr>
        <w:t>See</w:t>
      </w:r>
      <w:r w:rsidR="00A54226">
        <w:rPr>
          <w:rFonts w:asciiTheme="minorHAnsi" w:hAnsiTheme="minorHAnsi" w:cstheme="minorHAnsi"/>
          <w:sz w:val="26"/>
          <w:szCs w:val="26"/>
        </w:rPr>
        <w:t xml:space="preserve"> Annex A, Sections 62.81(a)(2)(ii),</w:t>
      </w:r>
      <w:r w:rsidR="0025210D">
        <w:rPr>
          <w:rFonts w:asciiTheme="minorHAnsi" w:hAnsiTheme="minorHAnsi" w:cstheme="minorHAnsi"/>
          <w:sz w:val="26"/>
          <w:szCs w:val="26"/>
        </w:rPr>
        <w:t xml:space="preserve"> 62.81(a)(2)(ii)(A)(I), </w:t>
      </w:r>
      <w:r w:rsidR="00A54226">
        <w:rPr>
          <w:rFonts w:asciiTheme="minorHAnsi" w:hAnsiTheme="minorHAnsi" w:cstheme="minorHAnsi"/>
          <w:sz w:val="26"/>
          <w:szCs w:val="26"/>
        </w:rPr>
        <w:t xml:space="preserve">62.81(a)(2)(ii)(A)(II), and 62.81(a)(2)(ii)(B).    </w:t>
      </w:r>
    </w:p>
    <w:p w:rsidR="00552F92" w:rsidRDefault="00552F92" w:rsidP="005D4FAA">
      <w:pPr>
        <w:pStyle w:val="p3"/>
        <w:tabs>
          <w:tab w:val="clear" w:pos="204"/>
        </w:tabs>
        <w:spacing w:line="360" w:lineRule="auto"/>
        <w:rPr>
          <w:sz w:val="26"/>
          <w:szCs w:val="26"/>
        </w:rPr>
      </w:pPr>
    </w:p>
    <w:p w:rsidR="00120015" w:rsidRDefault="00107998" w:rsidP="005D4FAA">
      <w:pPr>
        <w:pStyle w:val="p3"/>
        <w:tabs>
          <w:tab w:val="clear" w:pos="204"/>
        </w:tabs>
        <w:spacing w:line="360" w:lineRule="auto"/>
        <w:rPr>
          <w:sz w:val="26"/>
          <w:szCs w:val="26"/>
        </w:rPr>
      </w:pPr>
      <w:r>
        <w:rPr>
          <w:sz w:val="26"/>
          <w:szCs w:val="26"/>
          <w:u w:val="single"/>
        </w:rPr>
        <w:t xml:space="preserve">Cancellation Fees in </w:t>
      </w:r>
      <w:r w:rsidR="00120015">
        <w:rPr>
          <w:sz w:val="26"/>
          <w:szCs w:val="26"/>
          <w:u w:val="single"/>
        </w:rPr>
        <w:t>Section 62.81(b)</w:t>
      </w:r>
    </w:p>
    <w:p w:rsidR="00120015" w:rsidRDefault="00BA6A43" w:rsidP="005D4FAA">
      <w:pPr>
        <w:pStyle w:val="p3"/>
        <w:tabs>
          <w:tab w:val="clear" w:pos="204"/>
        </w:tabs>
        <w:spacing w:line="360" w:lineRule="auto"/>
        <w:rPr>
          <w:sz w:val="26"/>
          <w:szCs w:val="26"/>
        </w:rPr>
      </w:pPr>
      <w:r>
        <w:rPr>
          <w:sz w:val="26"/>
          <w:szCs w:val="26"/>
        </w:rPr>
        <w:tab/>
        <w:t>Overall, commentato</w:t>
      </w:r>
      <w:r w:rsidR="00120015">
        <w:rPr>
          <w:sz w:val="26"/>
          <w:szCs w:val="26"/>
        </w:rPr>
        <w:t xml:space="preserve">rs suggest few changes to proposed Section 62.81(b).  </w:t>
      </w:r>
      <w:r w:rsidR="009A749E">
        <w:rPr>
          <w:sz w:val="26"/>
          <w:szCs w:val="26"/>
        </w:rPr>
        <w:t>Proposed Section 62.81(b) specifies that</w:t>
      </w:r>
      <w:r>
        <w:rPr>
          <w:sz w:val="26"/>
          <w:szCs w:val="26"/>
        </w:rPr>
        <w:t xml:space="preserve"> </w:t>
      </w:r>
      <w:r w:rsidR="009A749E">
        <w:rPr>
          <w:sz w:val="26"/>
          <w:szCs w:val="26"/>
        </w:rPr>
        <w:t xml:space="preserve">if a customer does not respond to the initial notice or options notice, then the fixed duration contract shall be converted into another fixed duration contract or a month-to-month contract, so long as neither converted contract contains cancellation fees.  In contrast to that proposal, </w:t>
      </w:r>
      <w:r w:rsidR="00120015">
        <w:rPr>
          <w:sz w:val="26"/>
          <w:szCs w:val="26"/>
        </w:rPr>
        <w:t>WGL Energy contends that auto-renewals that include cancellation fees are sound public policy and important features of a competitive market.  WGL Comments at 9-13 (asserting that energy choice programs in Maryland that include these processes have been a success).</w:t>
      </w:r>
      <w:r w:rsidR="009A749E">
        <w:rPr>
          <w:sz w:val="26"/>
          <w:szCs w:val="26"/>
        </w:rPr>
        <w:t xml:space="preserve">  WGL believe</w:t>
      </w:r>
      <w:r w:rsidR="00120015">
        <w:rPr>
          <w:sz w:val="26"/>
          <w:szCs w:val="26"/>
        </w:rPr>
        <w:t xml:space="preserve">s that disallowing auto-renewals with early cancellation fees will lead to reduced supplier retention rates and diminished competitive markets and product offerings in Pennsylvania.  </w:t>
      </w:r>
      <w:r w:rsidR="00120015">
        <w:rPr>
          <w:i/>
          <w:sz w:val="26"/>
          <w:szCs w:val="26"/>
        </w:rPr>
        <w:t>Id.</w:t>
      </w:r>
      <w:r w:rsidR="00120015">
        <w:rPr>
          <w:sz w:val="26"/>
          <w:szCs w:val="26"/>
        </w:rPr>
        <w:t xml:space="preserve"> at 12.    </w:t>
      </w:r>
    </w:p>
    <w:p w:rsidR="009A749E" w:rsidRDefault="009A749E" w:rsidP="005D4FAA">
      <w:pPr>
        <w:pStyle w:val="p3"/>
        <w:tabs>
          <w:tab w:val="clear" w:pos="204"/>
        </w:tabs>
        <w:spacing w:line="360" w:lineRule="auto"/>
        <w:rPr>
          <w:sz w:val="26"/>
          <w:szCs w:val="26"/>
        </w:rPr>
      </w:pPr>
    </w:p>
    <w:p w:rsidR="009A749E" w:rsidRDefault="009A749E" w:rsidP="005D4FAA">
      <w:pPr>
        <w:pStyle w:val="p3"/>
        <w:tabs>
          <w:tab w:val="clear" w:pos="204"/>
        </w:tabs>
        <w:spacing w:line="360" w:lineRule="auto"/>
        <w:rPr>
          <w:sz w:val="26"/>
          <w:szCs w:val="26"/>
        </w:rPr>
      </w:pPr>
      <w:r>
        <w:rPr>
          <w:sz w:val="26"/>
          <w:szCs w:val="26"/>
        </w:rPr>
        <w:tab/>
        <w:t xml:space="preserve">Similar to our rationale for Section 62.81(a)(2), the Commission proposed this provision to provide additional protection to those customers who do not respond to the options notice and are thereby converted to a month-to-month fixed or variable </w:t>
      </w:r>
      <w:r w:rsidR="004F60C9">
        <w:rPr>
          <w:sz w:val="26"/>
          <w:szCs w:val="26"/>
        </w:rPr>
        <w:t xml:space="preserve">price </w:t>
      </w:r>
      <w:r>
        <w:rPr>
          <w:sz w:val="26"/>
          <w:szCs w:val="26"/>
        </w:rPr>
        <w:t>contract without affirmatively agreeing to that type of product.  WGL s</w:t>
      </w:r>
      <w:r w:rsidR="00E670A7">
        <w:rPr>
          <w:sz w:val="26"/>
          <w:szCs w:val="26"/>
        </w:rPr>
        <w:t>tates</w:t>
      </w:r>
      <w:r>
        <w:rPr>
          <w:sz w:val="26"/>
          <w:szCs w:val="26"/>
        </w:rPr>
        <w:t xml:space="preserve"> that about 50% of customers do not re-sign due to inertia or the hassle of signing and returning a </w:t>
      </w:r>
      <w:r>
        <w:rPr>
          <w:sz w:val="26"/>
          <w:szCs w:val="26"/>
        </w:rPr>
        <w:lastRenderedPageBreak/>
        <w:t xml:space="preserve">new contract.  </w:t>
      </w:r>
      <w:r w:rsidR="00E670A7">
        <w:rPr>
          <w:sz w:val="26"/>
          <w:szCs w:val="26"/>
        </w:rPr>
        <w:t xml:space="preserve">WGL Comments at 12.  WGL </w:t>
      </w:r>
      <w:r w:rsidR="00BF583F">
        <w:rPr>
          <w:sz w:val="26"/>
          <w:szCs w:val="26"/>
        </w:rPr>
        <w:t>argue</w:t>
      </w:r>
      <w:r w:rsidR="00E670A7">
        <w:rPr>
          <w:sz w:val="26"/>
          <w:szCs w:val="26"/>
        </w:rPr>
        <w:t>s that a</w:t>
      </w:r>
      <w:r>
        <w:rPr>
          <w:sz w:val="26"/>
          <w:szCs w:val="26"/>
        </w:rPr>
        <w:t xml:space="preserve">llowing auto-renewals with cancellation fees in a regulatory environment with fair rules will benefit the retail energy market and provide customers with more competitive product offerings.  </w:t>
      </w:r>
      <w:r>
        <w:rPr>
          <w:i/>
          <w:sz w:val="26"/>
          <w:szCs w:val="26"/>
        </w:rPr>
        <w:t>See</w:t>
      </w:r>
      <w:r w:rsidR="00E670A7">
        <w:rPr>
          <w:sz w:val="26"/>
          <w:szCs w:val="26"/>
        </w:rPr>
        <w:t xml:space="preserve"> </w:t>
      </w:r>
      <w:r w:rsidR="00E670A7">
        <w:rPr>
          <w:i/>
          <w:sz w:val="26"/>
          <w:szCs w:val="26"/>
        </w:rPr>
        <w:t>id</w:t>
      </w:r>
      <w:r>
        <w:rPr>
          <w:sz w:val="26"/>
          <w:szCs w:val="26"/>
        </w:rPr>
        <w:t xml:space="preserve">.     </w:t>
      </w:r>
    </w:p>
    <w:p w:rsidR="00B6525E" w:rsidRDefault="00B6525E" w:rsidP="005D4FAA">
      <w:pPr>
        <w:pStyle w:val="p3"/>
        <w:tabs>
          <w:tab w:val="clear" w:pos="204"/>
        </w:tabs>
        <w:spacing w:line="360" w:lineRule="auto"/>
        <w:rPr>
          <w:sz w:val="26"/>
          <w:szCs w:val="26"/>
        </w:rPr>
      </w:pPr>
    </w:p>
    <w:p w:rsidR="00B6525E" w:rsidRDefault="00E670A7" w:rsidP="00E670A7">
      <w:pPr>
        <w:spacing w:line="360" w:lineRule="auto"/>
        <w:ind w:firstLine="720"/>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We must balance our role of facilitating the market while still protecting </w:t>
      </w:r>
      <w:r w:rsidR="00F651AA">
        <w:rPr>
          <w:rFonts w:ascii="Times New Roman" w:eastAsia="Times New Roman" w:hAnsi="Times New Roman"/>
          <w:color w:val="000000"/>
          <w:sz w:val="26"/>
          <w:szCs w:val="26"/>
        </w:rPr>
        <w:t xml:space="preserve">the </w:t>
      </w:r>
      <w:r>
        <w:rPr>
          <w:rFonts w:ascii="Times New Roman" w:eastAsia="Times New Roman" w:hAnsi="Times New Roman"/>
          <w:color w:val="000000"/>
          <w:sz w:val="26"/>
          <w:szCs w:val="26"/>
        </w:rPr>
        <w:t>c</w:t>
      </w:r>
      <w:r w:rsidR="00F651AA">
        <w:rPr>
          <w:rFonts w:ascii="Times New Roman" w:eastAsia="Times New Roman" w:hAnsi="Times New Roman"/>
          <w:color w:val="000000"/>
          <w:sz w:val="26"/>
          <w:szCs w:val="26"/>
        </w:rPr>
        <w:t>onsu</w:t>
      </w:r>
      <w:r>
        <w:rPr>
          <w:rFonts w:ascii="Times New Roman" w:eastAsia="Times New Roman" w:hAnsi="Times New Roman"/>
          <w:color w:val="000000"/>
          <w:sz w:val="26"/>
          <w:szCs w:val="26"/>
        </w:rPr>
        <w:t xml:space="preserve">mer.  </w:t>
      </w:r>
      <w:r w:rsidR="00DD64BF">
        <w:rPr>
          <w:rFonts w:ascii="Times New Roman" w:eastAsia="Times New Roman" w:hAnsi="Times New Roman"/>
          <w:color w:val="000000"/>
          <w:sz w:val="26"/>
          <w:szCs w:val="26"/>
        </w:rPr>
        <w:t>Notably, this consumer protection provision still exists in our electric regulations, 52 Pa. Code § 54.10(3)(</w:t>
      </w:r>
      <w:proofErr w:type="spellStart"/>
      <w:r w:rsidR="00DD64BF">
        <w:rPr>
          <w:rFonts w:ascii="Times New Roman" w:eastAsia="Times New Roman" w:hAnsi="Times New Roman"/>
          <w:color w:val="000000"/>
          <w:sz w:val="26"/>
          <w:szCs w:val="26"/>
        </w:rPr>
        <w:t>i</w:t>
      </w:r>
      <w:proofErr w:type="spellEnd"/>
      <w:r w:rsidR="00DD64BF">
        <w:rPr>
          <w:rFonts w:ascii="Times New Roman" w:eastAsia="Times New Roman" w:hAnsi="Times New Roman"/>
          <w:color w:val="000000"/>
          <w:sz w:val="26"/>
          <w:szCs w:val="26"/>
        </w:rPr>
        <w:t xml:space="preserve">), and the retail electric supply market continues to grow and remain competitive.  </w:t>
      </w:r>
      <w:r>
        <w:rPr>
          <w:rFonts w:ascii="Times New Roman" w:eastAsia="Times New Roman" w:hAnsi="Times New Roman"/>
          <w:color w:val="000000"/>
          <w:sz w:val="26"/>
          <w:szCs w:val="26"/>
        </w:rPr>
        <w:t xml:space="preserve">As we stated in the </w:t>
      </w:r>
      <w:r>
        <w:rPr>
          <w:rFonts w:ascii="Times New Roman" w:eastAsia="Times New Roman" w:hAnsi="Times New Roman"/>
          <w:i/>
          <w:color w:val="000000"/>
          <w:sz w:val="26"/>
          <w:szCs w:val="26"/>
        </w:rPr>
        <w:t>Proposed Rulemaking Order</w:t>
      </w:r>
      <w:r>
        <w:rPr>
          <w:rFonts w:ascii="Times New Roman" w:eastAsia="Times New Roman" w:hAnsi="Times New Roman"/>
          <w:color w:val="000000"/>
          <w:sz w:val="26"/>
          <w:szCs w:val="26"/>
        </w:rPr>
        <w:t>, th</w:t>
      </w:r>
      <w:r w:rsidRPr="003853FC">
        <w:rPr>
          <w:rFonts w:ascii="Times New Roman" w:eastAsia="Times New Roman" w:hAnsi="Times New Roman"/>
          <w:color w:val="000000"/>
          <w:sz w:val="26"/>
          <w:szCs w:val="26"/>
        </w:rPr>
        <w:t>e Commission</w:t>
      </w:r>
      <w:r>
        <w:rPr>
          <w:rFonts w:ascii="Times New Roman" w:eastAsia="Times New Roman" w:hAnsi="Times New Roman"/>
          <w:color w:val="000000"/>
          <w:sz w:val="26"/>
          <w:szCs w:val="26"/>
        </w:rPr>
        <w:t xml:space="preserve"> does not have clear authority to</w:t>
      </w:r>
      <w:r w:rsidRPr="003853FC">
        <w:rPr>
          <w:rFonts w:ascii="Times New Roman" w:eastAsia="Times New Roman" w:hAnsi="Times New Roman"/>
          <w:color w:val="000000"/>
          <w:sz w:val="26"/>
          <w:szCs w:val="26"/>
        </w:rPr>
        <w:t xml:space="preserve"> set or regulate the amount of </w:t>
      </w:r>
      <w:r>
        <w:rPr>
          <w:rFonts w:ascii="Times New Roman" w:eastAsia="Times New Roman" w:hAnsi="Times New Roman"/>
          <w:color w:val="000000"/>
          <w:sz w:val="26"/>
          <w:szCs w:val="26"/>
        </w:rPr>
        <w:t xml:space="preserve">cancellation </w:t>
      </w:r>
      <w:r w:rsidRPr="003853FC">
        <w:rPr>
          <w:rFonts w:ascii="Times New Roman" w:eastAsia="Times New Roman" w:hAnsi="Times New Roman"/>
          <w:color w:val="000000"/>
          <w:sz w:val="26"/>
          <w:szCs w:val="26"/>
        </w:rPr>
        <w:t>fees.</w:t>
      </w:r>
      <w:r>
        <w:rPr>
          <w:rFonts w:ascii="Times New Roman" w:eastAsia="Times New Roman" w:hAnsi="Times New Roman"/>
          <w:color w:val="000000"/>
          <w:sz w:val="26"/>
          <w:szCs w:val="26"/>
        </w:rPr>
        <w:t xml:space="preserve">  </w:t>
      </w:r>
      <w:r>
        <w:rPr>
          <w:sz w:val="26"/>
          <w:szCs w:val="26"/>
        </w:rPr>
        <w:t>Docket</w:t>
      </w:r>
      <w:r w:rsidR="00E7439F">
        <w:rPr>
          <w:sz w:val="26"/>
          <w:szCs w:val="26"/>
        </w:rPr>
        <w:t xml:space="preserve"> No.</w:t>
      </w:r>
      <w:r>
        <w:rPr>
          <w:sz w:val="26"/>
          <w:szCs w:val="26"/>
        </w:rPr>
        <w:t xml:space="preserve"> L-2015-2465942, at </w:t>
      </w:r>
      <w:r w:rsidR="00434C51">
        <w:rPr>
          <w:sz w:val="26"/>
          <w:szCs w:val="26"/>
        </w:rPr>
        <w:t xml:space="preserve">p. </w:t>
      </w:r>
      <w:r>
        <w:rPr>
          <w:sz w:val="26"/>
          <w:szCs w:val="26"/>
        </w:rPr>
        <w:t>21 (Order entered Mar</w:t>
      </w:r>
      <w:r w:rsidR="00E7439F">
        <w:rPr>
          <w:sz w:val="26"/>
          <w:szCs w:val="26"/>
        </w:rPr>
        <w:t>ch</w:t>
      </w:r>
      <w:r>
        <w:rPr>
          <w:sz w:val="26"/>
          <w:szCs w:val="26"/>
        </w:rPr>
        <w:t xml:space="preserve"> 26, 2015).  </w:t>
      </w:r>
      <w:r w:rsidRPr="003853FC">
        <w:rPr>
          <w:rFonts w:ascii="Times New Roman" w:eastAsia="Times New Roman" w:hAnsi="Times New Roman"/>
          <w:color w:val="000000"/>
          <w:sz w:val="26"/>
          <w:szCs w:val="26"/>
        </w:rPr>
        <w:t xml:space="preserve">We </w:t>
      </w:r>
      <w:r>
        <w:rPr>
          <w:rFonts w:ascii="Times New Roman" w:eastAsia="Times New Roman" w:hAnsi="Times New Roman"/>
          <w:color w:val="000000"/>
          <w:sz w:val="26"/>
          <w:szCs w:val="26"/>
        </w:rPr>
        <w:t>expect and ask</w:t>
      </w:r>
      <w:r w:rsidRPr="003853FC">
        <w:rPr>
          <w:rFonts w:ascii="Times New Roman" w:eastAsia="Times New Roman" w:hAnsi="Times New Roman"/>
          <w:color w:val="000000"/>
          <w:sz w:val="26"/>
          <w:szCs w:val="26"/>
        </w:rPr>
        <w:t xml:space="preserve"> customers </w:t>
      </w:r>
      <w:r>
        <w:rPr>
          <w:rFonts w:ascii="Times New Roman" w:eastAsia="Times New Roman" w:hAnsi="Times New Roman"/>
          <w:color w:val="000000"/>
          <w:sz w:val="26"/>
          <w:szCs w:val="26"/>
        </w:rPr>
        <w:t>to</w:t>
      </w:r>
      <w:r w:rsidRPr="003853FC">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stay </w:t>
      </w:r>
      <w:r w:rsidRPr="003853FC">
        <w:rPr>
          <w:rFonts w:ascii="Times New Roman" w:eastAsia="Times New Roman" w:hAnsi="Times New Roman"/>
          <w:color w:val="000000"/>
          <w:sz w:val="26"/>
          <w:szCs w:val="26"/>
        </w:rPr>
        <w:t>alert for and act on expiration notices</w:t>
      </w:r>
      <w:r>
        <w:rPr>
          <w:rFonts w:ascii="Times New Roman" w:eastAsia="Times New Roman" w:hAnsi="Times New Roman"/>
          <w:color w:val="000000"/>
          <w:sz w:val="26"/>
          <w:szCs w:val="26"/>
        </w:rPr>
        <w:t xml:space="preserve"> from suppliers</w:t>
      </w:r>
      <w:r w:rsidRPr="003853FC">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However, as WGL notes in its comments, approximately half of the customers, whether through neglect or inadvertence, </w:t>
      </w:r>
      <w:r w:rsidRPr="003853FC">
        <w:rPr>
          <w:rFonts w:ascii="Times New Roman" w:eastAsia="Times New Roman" w:hAnsi="Times New Roman"/>
          <w:color w:val="000000"/>
          <w:sz w:val="26"/>
          <w:szCs w:val="26"/>
        </w:rPr>
        <w:t xml:space="preserve">will </w:t>
      </w:r>
      <w:r>
        <w:rPr>
          <w:rFonts w:ascii="Times New Roman" w:eastAsia="Times New Roman" w:hAnsi="Times New Roman"/>
          <w:color w:val="000000"/>
          <w:sz w:val="26"/>
          <w:szCs w:val="26"/>
        </w:rPr>
        <w:t xml:space="preserve">still </w:t>
      </w:r>
      <w:r w:rsidRPr="003853FC">
        <w:rPr>
          <w:rFonts w:ascii="Times New Roman" w:eastAsia="Times New Roman" w:hAnsi="Times New Roman"/>
          <w:color w:val="000000"/>
          <w:sz w:val="26"/>
          <w:szCs w:val="26"/>
        </w:rPr>
        <w:t xml:space="preserve">overlook </w:t>
      </w:r>
      <w:r>
        <w:rPr>
          <w:rFonts w:ascii="Times New Roman" w:eastAsia="Times New Roman" w:hAnsi="Times New Roman"/>
          <w:color w:val="000000"/>
          <w:sz w:val="26"/>
          <w:szCs w:val="26"/>
        </w:rPr>
        <w:t>and</w:t>
      </w:r>
      <w:r w:rsidRPr="003853FC">
        <w:rPr>
          <w:rFonts w:ascii="Times New Roman" w:eastAsia="Times New Roman" w:hAnsi="Times New Roman"/>
          <w:color w:val="000000"/>
          <w:sz w:val="26"/>
          <w:szCs w:val="26"/>
        </w:rPr>
        <w:t xml:space="preserve"> ignore notices</w:t>
      </w:r>
      <w:r>
        <w:rPr>
          <w:rFonts w:ascii="Times New Roman" w:eastAsia="Times New Roman" w:hAnsi="Times New Roman"/>
          <w:color w:val="000000"/>
          <w:sz w:val="26"/>
          <w:szCs w:val="26"/>
        </w:rPr>
        <w:t>, later finding themselves</w:t>
      </w:r>
      <w:r w:rsidRPr="003853FC">
        <w:rPr>
          <w:rFonts w:ascii="Times New Roman" w:eastAsia="Times New Roman" w:hAnsi="Times New Roman"/>
          <w:color w:val="000000"/>
          <w:sz w:val="26"/>
          <w:szCs w:val="26"/>
        </w:rPr>
        <w:t xml:space="preserve"> automatically enrolle</w:t>
      </w:r>
      <w:r>
        <w:rPr>
          <w:rFonts w:ascii="Times New Roman" w:eastAsia="Times New Roman" w:hAnsi="Times New Roman"/>
          <w:color w:val="000000"/>
          <w:sz w:val="26"/>
          <w:szCs w:val="26"/>
        </w:rPr>
        <w:t>d in a new product that potentially has a</w:t>
      </w:r>
      <w:r w:rsidRPr="003853FC">
        <w:rPr>
          <w:rFonts w:ascii="Times New Roman" w:eastAsia="Times New Roman" w:hAnsi="Times New Roman"/>
          <w:color w:val="000000"/>
          <w:sz w:val="26"/>
          <w:szCs w:val="26"/>
        </w:rPr>
        <w:t xml:space="preserve"> high</w:t>
      </w:r>
      <w:r>
        <w:rPr>
          <w:rFonts w:ascii="Times New Roman" w:eastAsia="Times New Roman" w:hAnsi="Times New Roman"/>
          <w:color w:val="000000"/>
          <w:sz w:val="26"/>
          <w:szCs w:val="26"/>
        </w:rPr>
        <w:t>er</w:t>
      </w:r>
      <w:r w:rsidRPr="003853FC">
        <w:rPr>
          <w:rFonts w:ascii="Times New Roman" w:eastAsia="Times New Roman" w:hAnsi="Times New Roman"/>
          <w:color w:val="000000"/>
          <w:sz w:val="26"/>
          <w:szCs w:val="26"/>
        </w:rPr>
        <w:t xml:space="preserve"> price</w:t>
      </w:r>
      <w:r>
        <w:rPr>
          <w:rFonts w:ascii="Times New Roman" w:eastAsia="Times New Roman" w:hAnsi="Times New Roman"/>
          <w:color w:val="000000"/>
          <w:sz w:val="26"/>
          <w:szCs w:val="26"/>
        </w:rPr>
        <w:t xml:space="preserve"> and a</w:t>
      </w:r>
      <w:r w:rsidRPr="003853FC">
        <w:rPr>
          <w:rFonts w:ascii="Times New Roman" w:eastAsia="Times New Roman" w:hAnsi="Times New Roman"/>
          <w:color w:val="000000"/>
          <w:sz w:val="26"/>
          <w:szCs w:val="26"/>
        </w:rPr>
        <w:t xml:space="preserve"> cancellation fee.  </w:t>
      </w:r>
      <w:r w:rsidR="0075258A">
        <w:rPr>
          <w:rFonts w:ascii="Times New Roman" w:eastAsia="Times New Roman" w:hAnsi="Times New Roman"/>
          <w:color w:val="000000"/>
          <w:sz w:val="26"/>
          <w:szCs w:val="26"/>
        </w:rPr>
        <w:t xml:space="preserve">We do not want to </w:t>
      </w:r>
      <w:r w:rsidR="00B6525E">
        <w:rPr>
          <w:rFonts w:ascii="Times New Roman" w:eastAsia="Times New Roman" w:hAnsi="Times New Roman"/>
          <w:color w:val="000000"/>
          <w:sz w:val="26"/>
          <w:szCs w:val="26"/>
        </w:rPr>
        <w:t>establish rules</w:t>
      </w:r>
      <w:r w:rsidR="0075258A">
        <w:rPr>
          <w:rFonts w:ascii="Times New Roman" w:eastAsia="Times New Roman" w:hAnsi="Times New Roman"/>
          <w:color w:val="000000"/>
          <w:sz w:val="26"/>
          <w:szCs w:val="26"/>
        </w:rPr>
        <w:t xml:space="preserve"> that more easily allow a customer to be ensnared and held captive</w:t>
      </w:r>
      <w:r w:rsidR="00B6525E">
        <w:rPr>
          <w:rFonts w:ascii="Times New Roman" w:eastAsia="Times New Roman" w:hAnsi="Times New Roman"/>
          <w:color w:val="000000"/>
          <w:sz w:val="26"/>
          <w:szCs w:val="26"/>
        </w:rPr>
        <w:t xml:space="preserve"> to hid</w:t>
      </w:r>
      <w:r w:rsidR="0045555F">
        <w:rPr>
          <w:rFonts w:ascii="Times New Roman" w:eastAsia="Times New Roman" w:hAnsi="Times New Roman"/>
          <w:color w:val="000000"/>
          <w:sz w:val="26"/>
          <w:szCs w:val="26"/>
        </w:rPr>
        <w:t>d</w:t>
      </w:r>
      <w:r w:rsidR="00B6525E">
        <w:rPr>
          <w:rFonts w:ascii="Times New Roman" w:eastAsia="Times New Roman" w:hAnsi="Times New Roman"/>
          <w:color w:val="000000"/>
          <w:sz w:val="26"/>
          <w:szCs w:val="26"/>
        </w:rPr>
        <w:t>e</w:t>
      </w:r>
      <w:r w:rsidR="0045555F">
        <w:rPr>
          <w:rFonts w:ascii="Times New Roman" w:eastAsia="Times New Roman" w:hAnsi="Times New Roman"/>
          <w:color w:val="000000"/>
          <w:sz w:val="26"/>
          <w:szCs w:val="26"/>
        </w:rPr>
        <w:t>n</w:t>
      </w:r>
      <w:r w:rsidR="00B6525E">
        <w:rPr>
          <w:rFonts w:ascii="Times New Roman" w:eastAsia="Times New Roman" w:hAnsi="Times New Roman"/>
          <w:color w:val="000000"/>
          <w:sz w:val="26"/>
          <w:szCs w:val="26"/>
        </w:rPr>
        <w:t xml:space="preserve"> cancellation fees that are bundled with an </w:t>
      </w:r>
    </w:p>
    <w:p w:rsidR="00B6525E" w:rsidRDefault="00B6525E" w:rsidP="00B6525E">
      <w:pPr>
        <w:spacing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auto-renewal</w:t>
      </w:r>
      <w:r w:rsidR="0075258A">
        <w:rPr>
          <w:rFonts w:ascii="Times New Roman" w:eastAsia="Times New Roman" w:hAnsi="Times New Roman"/>
          <w:color w:val="000000"/>
          <w:sz w:val="26"/>
          <w:szCs w:val="26"/>
        </w:rPr>
        <w:t xml:space="preserve">.  </w:t>
      </w:r>
      <w:r w:rsidR="00E670A7">
        <w:rPr>
          <w:rFonts w:ascii="Times New Roman" w:eastAsia="Times New Roman" w:hAnsi="Times New Roman"/>
          <w:color w:val="000000"/>
          <w:sz w:val="26"/>
          <w:szCs w:val="26"/>
        </w:rPr>
        <w:t xml:space="preserve">Aside from </w:t>
      </w:r>
      <w:r w:rsidR="00E670A7" w:rsidRPr="003853FC">
        <w:rPr>
          <w:rFonts w:ascii="Times New Roman" w:eastAsia="Times New Roman" w:hAnsi="Times New Roman"/>
          <w:color w:val="000000"/>
          <w:sz w:val="26"/>
          <w:szCs w:val="26"/>
        </w:rPr>
        <w:t xml:space="preserve">harm to individual customers, this could also </w:t>
      </w:r>
      <w:r w:rsidR="0075258A">
        <w:rPr>
          <w:rFonts w:ascii="Times New Roman" w:eastAsia="Times New Roman" w:hAnsi="Times New Roman"/>
          <w:color w:val="000000"/>
          <w:sz w:val="26"/>
          <w:szCs w:val="26"/>
        </w:rPr>
        <w:t>freeze customer migration and cause</w:t>
      </w:r>
      <w:r w:rsidR="00E670A7" w:rsidRPr="003853FC">
        <w:rPr>
          <w:rFonts w:ascii="Times New Roman" w:eastAsia="Times New Roman" w:hAnsi="Times New Roman"/>
          <w:color w:val="000000"/>
          <w:sz w:val="26"/>
          <w:szCs w:val="26"/>
        </w:rPr>
        <w:t xml:space="preserve"> serious harm to the overall impression of the competitive </w:t>
      </w:r>
      <w:r w:rsidR="00E670A7">
        <w:rPr>
          <w:rFonts w:ascii="Times New Roman" w:eastAsia="Times New Roman" w:hAnsi="Times New Roman"/>
          <w:color w:val="000000"/>
          <w:sz w:val="26"/>
          <w:szCs w:val="26"/>
        </w:rPr>
        <w:t xml:space="preserve">gas </w:t>
      </w:r>
      <w:r w:rsidR="0075258A">
        <w:rPr>
          <w:rFonts w:ascii="Times New Roman" w:eastAsia="Times New Roman" w:hAnsi="Times New Roman"/>
          <w:color w:val="000000"/>
          <w:sz w:val="26"/>
          <w:szCs w:val="26"/>
        </w:rPr>
        <w:t>retail s</w:t>
      </w:r>
      <w:r w:rsidR="00E670A7">
        <w:rPr>
          <w:rFonts w:ascii="Times New Roman" w:eastAsia="Times New Roman" w:hAnsi="Times New Roman"/>
          <w:color w:val="000000"/>
          <w:sz w:val="26"/>
          <w:szCs w:val="26"/>
        </w:rPr>
        <w:t xml:space="preserve">upply </w:t>
      </w:r>
      <w:r w:rsidR="00E670A7" w:rsidRPr="003853FC">
        <w:rPr>
          <w:rFonts w:ascii="Times New Roman" w:eastAsia="Times New Roman" w:hAnsi="Times New Roman"/>
          <w:color w:val="000000"/>
          <w:sz w:val="26"/>
          <w:szCs w:val="26"/>
        </w:rPr>
        <w:t>market.</w:t>
      </w:r>
      <w:r w:rsidR="0075258A">
        <w:rPr>
          <w:rFonts w:ascii="Times New Roman" w:eastAsia="Times New Roman" w:hAnsi="Times New Roman"/>
          <w:color w:val="000000"/>
          <w:sz w:val="26"/>
          <w:szCs w:val="26"/>
        </w:rPr>
        <w:t xml:space="preserve">  </w:t>
      </w:r>
      <w:r w:rsidR="00DD64BF">
        <w:rPr>
          <w:rFonts w:ascii="Times New Roman" w:eastAsia="Times New Roman" w:hAnsi="Times New Roman"/>
          <w:color w:val="000000"/>
          <w:sz w:val="26"/>
          <w:szCs w:val="26"/>
        </w:rPr>
        <w:t>Therefore, we will retain the proposed language</w:t>
      </w:r>
      <w:r>
        <w:rPr>
          <w:rFonts w:ascii="Times New Roman" w:eastAsia="Times New Roman" w:hAnsi="Times New Roman"/>
          <w:color w:val="000000"/>
          <w:sz w:val="26"/>
          <w:szCs w:val="26"/>
        </w:rPr>
        <w:t xml:space="preserve">, which prohibits </w:t>
      </w:r>
    </w:p>
    <w:p w:rsidR="00E670A7" w:rsidRPr="003853FC" w:rsidRDefault="00B6525E" w:rsidP="00B6525E">
      <w:pPr>
        <w:spacing w:line="36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auto-renewals with cancellation fees</w:t>
      </w:r>
      <w:r w:rsidR="00DD64BF">
        <w:rPr>
          <w:rFonts w:ascii="Times New Roman" w:eastAsia="Times New Roman" w:hAnsi="Times New Roman"/>
          <w:color w:val="000000"/>
          <w:sz w:val="26"/>
          <w:szCs w:val="26"/>
        </w:rPr>
        <w:t xml:space="preserve">.  </w:t>
      </w:r>
      <w:r w:rsidR="00DD64BF">
        <w:rPr>
          <w:rFonts w:ascii="Times New Roman" w:eastAsia="Times New Roman" w:hAnsi="Times New Roman"/>
          <w:i/>
          <w:color w:val="000000"/>
          <w:sz w:val="26"/>
          <w:szCs w:val="26"/>
        </w:rPr>
        <w:t xml:space="preserve">See </w:t>
      </w:r>
      <w:r w:rsidR="00DD64BF">
        <w:rPr>
          <w:rFonts w:ascii="Times New Roman" w:eastAsia="Times New Roman" w:hAnsi="Times New Roman"/>
          <w:color w:val="000000"/>
          <w:sz w:val="26"/>
          <w:szCs w:val="26"/>
        </w:rPr>
        <w:t xml:space="preserve">Annex A, Section 62.81(b).  </w:t>
      </w:r>
      <w:r w:rsidR="00E670A7">
        <w:rPr>
          <w:rFonts w:ascii="Times New Roman" w:eastAsia="Times New Roman" w:hAnsi="Times New Roman"/>
          <w:color w:val="000000"/>
          <w:sz w:val="26"/>
          <w:szCs w:val="26"/>
        </w:rPr>
        <w:t xml:space="preserve">Importantly, </w:t>
      </w:r>
      <w:r w:rsidR="00E670A7" w:rsidRPr="003853FC">
        <w:rPr>
          <w:rFonts w:ascii="Times New Roman" w:eastAsia="Times New Roman" w:hAnsi="Times New Roman"/>
          <w:color w:val="000000"/>
          <w:sz w:val="26"/>
          <w:szCs w:val="26"/>
        </w:rPr>
        <w:t xml:space="preserve">this </w:t>
      </w:r>
      <w:r w:rsidR="00DD64BF">
        <w:rPr>
          <w:rFonts w:ascii="Times New Roman" w:eastAsia="Times New Roman" w:hAnsi="Times New Roman"/>
          <w:color w:val="000000"/>
          <w:sz w:val="26"/>
          <w:szCs w:val="26"/>
        </w:rPr>
        <w:t xml:space="preserve">regulation </w:t>
      </w:r>
      <w:r w:rsidR="00E670A7" w:rsidRPr="003853FC">
        <w:rPr>
          <w:rFonts w:ascii="Times New Roman" w:eastAsia="Times New Roman" w:hAnsi="Times New Roman"/>
          <w:color w:val="000000"/>
          <w:sz w:val="26"/>
          <w:szCs w:val="26"/>
        </w:rPr>
        <w:t>does not preclude a supplier from offering the customer a new product with cancellation fees</w:t>
      </w:r>
      <w:r w:rsidR="00E670A7">
        <w:rPr>
          <w:rFonts w:ascii="Times New Roman" w:eastAsia="Times New Roman" w:hAnsi="Times New Roman"/>
          <w:color w:val="000000"/>
          <w:sz w:val="26"/>
          <w:szCs w:val="26"/>
        </w:rPr>
        <w:t>, though the</w:t>
      </w:r>
      <w:r w:rsidR="00E670A7" w:rsidRPr="003853FC">
        <w:rPr>
          <w:rFonts w:ascii="Times New Roman" w:eastAsia="Times New Roman" w:hAnsi="Times New Roman"/>
          <w:color w:val="000000"/>
          <w:sz w:val="26"/>
          <w:szCs w:val="26"/>
        </w:rPr>
        <w:t xml:space="preserve"> customer </w:t>
      </w:r>
      <w:r w:rsidR="00E670A7">
        <w:rPr>
          <w:rFonts w:ascii="Times New Roman" w:eastAsia="Times New Roman" w:hAnsi="Times New Roman"/>
          <w:color w:val="000000"/>
          <w:sz w:val="26"/>
          <w:szCs w:val="26"/>
        </w:rPr>
        <w:t>must</w:t>
      </w:r>
      <w:r w:rsidR="00E670A7" w:rsidRPr="003853FC">
        <w:rPr>
          <w:rFonts w:ascii="Times New Roman" w:eastAsia="Times New Roman" w:hAnsi="Times New Roman"/>
          <w:color w:val="000000"/>
          <w:sz w:val="26"/>
          <w:szCs w:val="26"/>
        </w:rPr>
        <w:t xml:space="preserve"> affirmatively agree to </w:t>
      </w:r>
      <w:r w:rsidR="00E670A7">
        <w:rPr>
          <w:rFonts w:ascii="Times New Roman" w:eastAsia="Times New Roman" w:hAnsi="Times New Roman"/>
          <w:color w:val="000000"/>
          <w:sz w:val="26"/>
          <w:szCs w:val="26"/>
        </w:rPr>
        <w:t>th</w:t>
      </w:r>
      <w:r w:rsidR="00E670A7" w:rsidRPr="003853FC">
        <w:rPr>
          <w:rFonts w:ascii="Times New Roman" w:eastAsia="Times New Roman" w:hAnsi="Times New Roman"/>
          <w:color w:val="000000"/>
          <w:sz w:val="26"/>
          <w:szCs w:val="26"/>
        </w:rPr>
        <w:t>a</w:t>
      </w:r>
      <w:r w:rsidR="00E670A7">
        <w:rPr>
          <w:rFonts w:ascii="Times New Roman" w:eastAsia="Times New Roman" w:hAnsi="Times New Roman"/>
          <w:color w:val="000000"/>
          <w:sz w:val="26"/>
          <w:szCs w:val="26"/>
        </w:rPr>
        <w:t>t</w:t>
      </w:r>
      <w:r w:rsidR="00E670A7" w:rsidRPr="003853FC">
        <w:rPr>
          <w:rFonts w:ascii="Times New Roman" w:eastAsia="Times New Roman" w:hAnsi="Times New Roman"/>
          <w:color w:val="000000"/>
          <w:sz w:val="26"/>
          <w:szCs w:val="26"/>
        </w:rPr>
        <w:t xml:space="preserve"> product.  </w:t>
      </w:r>
    </w:p>
    <w:p w:rsidR="00B6525E" w:rsidRDefault="00B6525E" w:rsidP="005D4FAA">
      <w:pPr>
        <w:pStyle w:val="p3"/>
        <w:tabs>
          <w:tab w:val="clear" w:pos="204"/>
        </w:tabs>
        <w:spacing w:line="360" w:lineRule="auto"/>
        <w:rPr>
          <w:sz w:val="26"/>
          <w:szCs w:val="26"/>
        </w:rPr>
      </w:pPr>
    </w:p>
    <w:p w:rsidR="00E91F49" w:rsidRDefault="00E91F49" w:rsidP="00BE23D8">
      <w:pPr>
        <w:rPr>
          <w:rFonts w:cstheme="minorHAnsi"/>
          <w:b/>
          <w:sz w:val="26"/>
          <w:szCs w:val="26"/>
        </w:rPr>
      </w:pPr>
      <w:r w:rsidRPr="006E5A86">
        <w:rPr>
          <w:rFonts w:cstheme="minorHAnsi"/>
          <w:b/>
          <w:sz w:val="26"/>
          <w:szCs w:val="26"/>
        </w:rPr>
        <w:t>CONCLUSION</w:t>
      </w:r>
    </w:p>
    <w:p w:rsidR="00D40277" w:rsidRDefault="00D40277" w:rsidP="00D25BD4">
      <w:pPr>
        <w:spacing w:line="360" w:lineRule="auto"/>
        <w:rPr>
          <w:rFonts w:cstheme="minorHAnsi"/>
          <w:b/>
          <w:sz w:val="26"/>
          <w:szCs w:val="26"/>
        </w:rPr>
      </w:pPr>
    </w:p>
    <w:p w:rsidR="004F60C9" w:rsidRDefault="00E91F49" w:rsidP="00D25BD4">
      <w:pPr>
        <w:spacing w:line="360" w:lineRule="auto"/>
        <w:rPr>
          <w:rFonts w:eastAsia="Times New Roman" w:cstheme="minorHAnsi"/>
          <w:bCs/>
          <w:sz w:val="26"/>
          <w:szCs w:val="26"/>
        </w:rPr>
      </w:pPr>
      <w:r w:rsidRPr="006E5A86">
        <w:rPr>
          <w:rFonts w:cstheme="minorHAnsi"/>
          <w:b/>
          <w:sz w:val="26"/>
          <w:szCs w:val="26"/>
        </w:rPr>
        <w:tab/>
      </w:r>
      <w:r w:rsidR="00500FF0">
        <w:rPr>
          <w:rFonts w:cstheme="minorHAnsi"/>
          <w:sz w:val="26"/>
          <w:szCs w:val="26"/>
        </w:rPr>
        <w:t>Similar to</w:t>
      </w:r>
      <w:r w:rsidR="004F09AA">
        <w:rPr>
          <w:rFonts w:cstheme="minorHAnsi"/>
          <w:sz w:val="26"/>
          <w:szCs w:val="26"/>
        </w:rPr>
        <w:t xml:space="preserve"> our 2014 revisions and regulatory reforms in the electric industry, the Commission </w:t>
      </w:r>
      <w:r w:rsidR="007F7E7B">
        <w:rPr>
          <w:rFonts w:cstheme="minorHAnsi"/>
          <w:sz w:val="26"/>
          <w:szCs w:val="26"/>
        </w:rPr>
        <w:t>finalizes</w:t>
      </w:r>
      <w:r w:rsidR="004F09AA">
        <w:rPr>
          <w:rFonts w:cstheme="minorHAnsi"/>
          <w:sz w:val="26"/>
          <w:szCs w:val="26"/>
        </w:rPr>
        <w:t xml:space="preserve"> regulations at 52 Pa. Code §§ 62.72, 62.75, and 62.81</w:t>
      </w:r>
      <w:r w:rsidR="00B5213D">
        <w:rPr>
          <w:rFonts w:cstheme="minorHAnsi"/>
          <w:sz w:val="26"/>
          <w:szCs w:val="26"/>
        </w:rPr>
        <w:t xml:space="preserve"> </w:t>
      </w:r>
      <w:r w:rsidR="004F09AA">
        <w:rPr>
          <w:rFonts w:cstheme="minorHAnsi"/>
          <w:sz w:val="26"/>
          <w:szCs w:val="26"/>
        </w:rPr>
        <w:t>regarding customer disclosure information in the natural gas supply market</w:t>
      </w:r>
      <w:r w:rsidR="00500FF0">
        <w:rPr>
          <w:rFonts w:cstheme="minorHAnsi"/>
          <w:sz w:val="26"/>
          <w:szCs w:val="26"/>
        </w:rPr>
        <w:t>.</w:t>
      </w:r>
      <w:r w:rsidR="004F09AA">
        <w:rPr>
          <w:rFonts w:cstheme="minorHAnsi"/>
          <w:sz w:val="26"/>
          <w:szCs w:val="26"/>
        </w:rPr>
        <w:t xml:space="preserve"> </w:t>
      </w:r>
      <w:r w:rsidR="00500FF0">
        <w:rPr>
          <w:rFonts w:cstheme="minorHAnsi"/>
          <w:sz w:val="26"/>
          <w:szCs w:val="26"/>
        </w:rPr>
        <w:t xml:space="preserve"> </w:t>
      </w:r>
      <w:r w:rsidR="00500FF0">
        <w:rPr>
          <w:rFonts w:eastAsia="Times New Roman" w:cstheme="minorHAnsi"/>
          <w:bCs/>
          <w:sz w:val="26"/>
          <w:szCs w:val="26"/>
        </w:rPr>
        <w:t xml:space="preserve">During the </w:t>
      </w:r>
      <w:r w:rsidR="004F60C9">
        <w:rPr>
          <w:rFonts w:eastAsia="Times New Roman" w:cstheme="minorHAnsi"/>
          <w:bCs/>
          <w:sz w:val="26"/>
          <w:szCs w:val="26"/>
        </w:rPr>
        <w:t xml:space="preserve">polar vortex </w:t>
      </w:r>
      <w:r w:rsidR="00500FF0">
        <w:rPr>
          <w:rFonts w:eastAsia="Times New Roman" w:cstheme="minorHAnsi"/>
          <w:bCs/>
          <w:sz w:val="26"/>
          <w:szCs w:val="26"/>
        </w:rPr>
        <w:t xml:space="preserve">in the </w:t>
      </w:r>
      <w:r w:rsidR="00CF1287">
        <w:rPr>
          <w:rFonts w:eastAsia="Times New Roman" w:cstheme="minorHAnsi"/>
          <w:bCs/>
          <w:sz w:val="26"/>
          <w:szCs w:val="26"/>
        </w:rPr>
        <w:t>w</w:t>
      </w:r>
      <w:r w:rsidR="00500FF0">
        <w:rPr>
          <w:rFonts w:eastAsia="Times New Roman" w:cstheme="minorHAnsi"/>
          <w:bCs/>
          <w:sz w:val="26"/>
          <w:szCs w:val="26"/>
        </w:rPr>
        <w:t>inter of 2014, w</w:t>
      </w:r>
      <w:r w:rsidR="00500FF0" w:rsidRPr="004F09AA">
        <w:rPr>
          <w:rFonts w:eastAsia="Times New Roman" w:cstheme="minorHAnsi"/>
          <w:bCs/>
          <w:sz w:val="26"/>
          <w:szCs w:val="26"/>
        </w:rPr>
        <w:t xml:space="preserve">e </w:t>
      </w:r>
      <w:r w:rsidR="00500FF0">
        <w:rPr>
          <w:rFonts w:eastAsia="Times New Roman" w:cstheme="minorHAnsi"/>
          <w:bCs/>
          <w:sz w:val="26"/>
          <w:szCs w:val="26"/>
        </w:rPr>
        <w:t>observed</w:t>
      </w:r>
      <w:r w:rsidR="00500FF0" w:rsidRPr="004F09AA">
        <w:rPr>
          <w:rFonts w:eastAsia="Times New Roman" w:cstheme="minorHAnsi"/>
          <w:bCs/>
          <w:sz w:val="26"/>
          <w:szCs w:val="26"/>
        </w:rPr>
        <w:t xml:space="preserve"> first-hand the frustrations of customers </w:t>
      </w:r>
      <w:r w:rsidR="00500FF0" w:rsidRPr="004F09AA">
        <w:rPr>
          <w:rFonts w:eastAsia="Times New Roman" w:cstheme="minorHAnsi"/>
          <w:bCs/>
          <w:sz w:val="26"/>
          <w:szCs w:val="26"/>
        </w:rPr>
        <w:lastRenderedPageBreak/>
        <w:t>enrolled in variable</w:t>
      </w:r>
      <w:r w:rsidR="00BA6A43">
        <w:rPr>
          <w:rFonts w:eastAsia="Times New Roman" w:cstheme="minorHAnsi"/>
          <w:bCs/>
          <w:sz w:val="26"/>
          <w:szCs w:val="26"/>
        </w:rPr>
        <w:t xml:space="preserve"> </w:t>
      </w:r>
      <w:r w:rsidR="00500FF0" w:rsidRPr="004F09AA">
        <w:rPr>
          <w:rFonts w:eastAsia="Times New Roman" w:cstheme="minorHAnsi"/>
          <w:bCs/>
          <w:sz w:val="26"/>
          <w:szCs w:val="26"/>
        </w:rPr>
        <w:t xml:space="preserve">priced </w:t>
      </w:r>
      <w:r w:rsidR="0008166D">
        <w:rPr>
          <w:rFonts w:eastAsia="Times New Roman" w:cstheme="minorHAnsi"/>
          <w:bCs/>
          <w:sz w:val="26"/>
          <w:szCs w:val="26"/>
        </w:rPr>
        <w:t>electric supply</w:t>
      </w:r>
      <w:r w:rsidR="00500FF0">
        <w:rPr>
          <w:rFonts w:eastAsia="Times New Roman" w:cstheme="minorHAnsi"/>
          <w:bCs/>
          <w:sz w:val="26"/>
          <w:szCs w:val="26"/>
        </w:rPr>
        <w:t xml:space="preserve"> </w:t>
      </w:r>
      <w:r w:rsidR="00500FF0" w:rsidRPr="004F09AA">
        <w:rPr>
          <w:rFonts w:eastAsia="Times New Roman" w:cstheme="minorHAnsi"/>
          <w:bCs/>
          <w:sz w:val="26"/>
          <w:szCs w:val="26"/>
        </w:rPr>
        <w:t xml:space="preserve">contracts who </w:t>
      </w:r>
      <w:r w:rsidR="00500FF0">
        <w:rPr>
          <w:rFonts w:eastAsia="Times New Roman" w:cstheme="minorHAnsi"/>
          <w:bCs/>
          <w:sz w:val="26"/>
          <w:szCs w:val="26"/>
        </w:rPr>
        <w:t>wer</w:t>
      </w:r>
      <w:r w:rsidR="00500FF0" w:rsidRPr="004F09AA">
        <w:rPr>
          <w:rFonts w:eastAsia="Times New Roman" w:cstheme="minorHAnsi"/>
          <w:bCs/>
          <w:sz w:val="26"/>
          <w:szCs w:val="26"/>
        </w:rPr>
        <w:t>e not sufficiently aware of potentially significant price increases due to fluctuating wholesale market conditions.</w:t>
      </w:r>
      <w:r w:rsidR="00500FF0">
        <w:rPr>
          <w:rFonts w:eastAsia="Times New Roman" w:cstheme="minorHAnsi"/>
          <w:bCs/>
          <w:sz w:val="26"/>
          <w:szCs w:val="26"/>
        </w:rPr>
        <w:t xml:space="preserve">  We want to avoid this kind of occurrence in the retail gas supply market.</w:t>
      </w:r>
      <w:r w:rsidR="00500FF0" w:rsidRPr="004F09AA">
        <w:rPr>
          <w:rFonts w:eastAsia="Times New Roman" w:cstheme="minorHAnsi"/>
          <w:bCs/>
          <w:sz w:val="26"/>
          <w:szCs w:val="26"/>
        </w:rPr>
        <w:t xml:space="preserve">  </w:t>
      </w:r>
      <w:r w:rsidR="00500FF0">
        <w:rPr>
          <w:rFonts w:eastAsia="Times New Roman" w:cstheme="minorHAnsi"/>
          <w:bCs/>
          <w:sz w:val="26"/>
          <w:szCs w:val="26"/>
        </w:rPr>
        <w:t xml:space="preserve">We finalize these regulations </w:t>
      </w:r>
      <w:r w:rsidR="004F09AA">
        <w:rPr>
          <w:rFonts w:cstheme="minorHAnsi"/>
          <w:sz w:val="26"/>
          <w:szCs w:val="26"/>
        </w:rPr>
        <w:t xml:space="preserve">in order to </w:t>
      </w:r>
      <w:r w:rsidR="004F09AA">
        <w:rPr>
          <w:rFonts w:eastAsia="Times New Roman" w:cstheme="minorHAnsi"/>
          <w:bCs/>
          <w:sz w:val="26"/>
          <w:szCs w:val="26"/>
        </w:rPr>
        <w:t>protect consumers and better</w:t>
      </w:r>
      <w:r w:rsidR="00284E3D" w:rsidRPr="004F09AA">
        <w:rPr>
          <w:rFonts w:eastAsia="Times New Roman" w:cstheme="minorHAnsi"/>
          <w:bCs/>
          <w:sz w:val="26"/>
          <w:szCs w:val="26"/>
        </w:rPr>
        <w:t xml:space="preserve"> </w:t>
      </w:r>
      <w:r w:rsidR="00A93480" w:rsidRPr="004F09AA">
        <w:rPr>
          <w:rFonts w:eastAsia="Times New Roman" w:cstheme="minorHAnsi"/>
          <w:bCs/>
          <w:sz w:val="26"/>
          <w:szCs w:val="26"/>
        </w:rPr>
        <w:t>inform</w:t>
      </w:r>
      <w:r w:rsidRPr="004F09AA">
        <w:rPr>
          <w:rFonts w:eastAsia="Times New Roman" w:cstheme="minorHAnsi"/>
          <w:bCs/>
          <w:sz w:val="26"/>
          <w:szCs w:val="26"/>
        </w:rPr>
        <w:t xml:space="preserve"> customers about the scope and limits of rate variability, the terms and conditions of an </w:t>
      </w:r>
      <w:r w:rsidR="004F09AA" w:rsidRPr="004F09AA">
        <w:rPr>
          <w:rFonts w:eastAsia="Times New Roman" w:cstheme="minorHAnsi"/>
          <w:bCs/>
          <w:sz w:val="26"/>
          <w:szCs w:val="26"/>
        </w:rPr>
        <w:t>NGS</w:t>
      </w:r>
      <w:r w:rsidRPr="004F09AA">
        <w:rPr>
          <w:rFonts w:eastAsia="Times New Roman" w:cstheme="minorHAnsi"/>
          <w:bCs/>
          <w:sz w:val="26"/>
          <w:szCs w:val="26"/>
        </w:rPr>
        <w:t xml:space="preserve"> contract</w:t>
      </w:r>
      <w:r w:rsidR="00A93480" w:rsidRPr="004F09AA">
        <w:rPr>
          <w:rFonts w:eastAsia="Times New Roman" w:cstheme="minorHAnsi"/>
          <w:bCs/>
          <w:sz w:val="26"/>
          <w:szCs w:val="26"/>
        </w:rPr>
        <w:t>,</w:t>
      </w:r>
      <w:r w:rsidR="0041560C" w:rsidRPr="004F09AA">
        <w:rPr>
          <w:rFonts w:eastAsia="Times New Roman" w:cstheme="minorHAnsi"/>
          <w:bCs/>
          <w:sz w:val="26"/>
          <w:szCs w:val="26"/>
        </w:rPr>
        <w:t xml:space="preserve"> and </w:t>
      </w:r>
      <w:r w:rsidRPr="004F09AA">
        <w:rPr>
          <w:rFonts w:eastAsia="Times New Roman" w:cstheme="minorHAnsi"/>
          <w:bCs/>
          <w:sz w:val="26"/>
          <w:szCs w:val="26"/>
        </w:rPr>
        <w:t xml:space="preserve">a customer’s options prior to and after the expiration of their current </w:t>
      </w:r>
      <w:r w:rsidR="00186E3D" w:rsidRPr="004F09AA">
        <w:rPr>
          <w:rFonts w:eastAsia="Times New Roman" w:cstheme="minorHAnsi"/>
          <w:bCs/>
          <w:sz w:val="26"/>
          <w:szCs w:val="26"/>
        </w:rPr>
        <w:t xml:space="preserve">contract </w:t>
      </w:r>
      <w:r w:rsidRPr="004F09AA">
        <w:rPr>
          <w:rFonts w:eastAsia="Times New Roman" w:cstheme="minorHAnsi"/>
          <w:bCs/>
          <w:sz w:val="26"/>
          <w:szCs w:val="26"/>
        </w:rPr>
        <w:t xml:space="preserve">for </w:t>
      </w:r>
      <w:r w:rsidR="004F09AA" w:rsidRPr="004F09AA">
        <w:rPr>
          <w:rFonts w:eastAsia="Times New Roman" w:cstheme="minorHAnsi"/>
          <w:bCs/>
          <w:sz w:val="26"/>
          <w:szCs w:val="26"/>
        </w:rPr>
        <w:t>gas</w:t>
      </w:r>
      <w:r w:rsidRPr="004F09AA">
        <w:rPr>
          <w:rFonts w:eastAsia="Times New Roman" w:cstheme="minorHAnsi"/>
          <w:bCs/>
          <w:sz w:val="26"/>
          <w:szCs w:val="26"/>
        </w:rPr>
        <w:t xml:space="preserve"> supply.  </w:t>
      </w:r>
    </w:p>
    <w:p w:rsidR="004F60C9" w:rsidRDefault="004F60C9" w:rsidP="00D25BD4">
      <w:pPr>
        <w:spacing w:line="360" w:lineRule="auto"/>
        <w:rPr>
          <w:rFonts w:eastAsia="Times New Roman" w:cstheme="minorHAnsi"/>
          <w:bCs/>
          <w:sz w:val="26"/>
          <w:szCs w:val="26"/>
        </w:rPr>
      </w:pPr>
    </w:p>
    <w:p w:rsidR="00E91F49" w:rsidRDefault="00E91F49" w:rsidP="00D51BBE">
      <w:pPr>
        <w:spacing w:line="360" w:lineRule="auto"/>
        <w:ind w:firstLine="720"/>
        <w:rPr>
          <w:rFonts w:eastAsia="Times New Roman" w:cstheme="minorHAnsi"/>
          <w:bCs/>
          <w:sz w:val="26"/>
          <w:szCs w:val="26"/>
        </w:rPr>
      </w:pPr>
      <w:r w:rsidRPr="004F09AA">
        <w:rPr>
          <w:rFonts w:eastAsia="Times New Roman" w:cstheme="minorHAnsi"/>
          <w:bCs/>
          <w:sz w:val="26"/>
          <w:szCs w:val="26"/>
        </w:rPr>
        <w:t xml:space="preserve">The </w:t>
      </w:r>
      <w:r w:rsidR="007F7E7B">
        <w:rPr>
          <w:rFonts w:eastAsia="Times New Roman" w:cstheme="minorHAnsi"/>
          <w:bCs/>
          <w:sz w:val="26"/>
          <w:szCs w:val="26"/>
        </w:rPr>
        <w:t>finaliz</w:t>
      </w:r>
      <w:r w:rsidR="004F09AA">
        <w:rPr>
          <w:rFonts w:eastAsia="Times New Roman" w:cstheme="minorHAnsi"/>
          <w:bCs/>
          <w:sz w:val="26"/>
          <w:szCs w:val="26"/>
        </w:rPr>
        <w:t xml:space="preserve">ed </w:t>
      </w:r>
      <w:r w:rsidR="009423B8" w:rsidRPr="004F09AA">
        <w:rPr>
          <w:rFonts w:eastAsia="Times New Roman" w:cstheme="minorHAnsi"/>
          <w:bCs/>
          <w:sz w:val="26"/>
          <w:szCs w:val="26"/>
        </w:rPr>
        <w:t>r</w:t>
      </w:r>
      <w:r w:rsidRPr="004F09AA">
        <w:rPr>
          <w:rFonts w:eastAsia="Times New Roman" w:cstheme="minorHAnsi"/>
          <w:bCs/>
          <w:sz w:val="26"/>
          <w:szCs w:val="26"/>
        </w:rPr>
        <w:t>egulations</w:t>
      </w:r>
      <w:r w:rsidR="00500FF0">
        <w:rPr>
          <w:rFonts w:eastAsia="Times New Roman" w:cstheme="minorHAnsi"/>
          <w:bCs/>
          <w:sz w:val="26"/>
          <w:szCs w:val="26"/>
        </w:rPr>
        <w:t>, which are substantially similar to the finalized electric disclosure regulations,</w:t>
      </w:r>
      <w:r w:rsidRPr="004F09AA">
        <w:rPr>
          <w:rFonts w:eastAsia="Times New Roman" w:cstheme="minorHAnsi"/>
          <w:bCs/>
          <w:sz w:val="26"/>
          <w:szCs w:val="26"/>
        </w:rPr>
        <w:t xml:space="preserve"> </w:t>
      </w:r>
      <w:r w:rsidR="007F7E7B">
        <w:rPr>
          <w:rFonts w:eastAsia="Times New Roman" w:cstheme="minorHAnsi"/>
          <w:bCs/>
          <w:sz w:val="26"/>
          <w:szCs w:val="26"/>
        </w:rPr>
        <w:t>requi</w:t>
      </w:r>
      <w:r w:rsidR="004F09AA">
        <w:rPr>
          <w:rFonts w:eastAsia="Times New Roman" w:cstheme="minorHAnsi"/>
          <w:bCs/>
          <w:sz w:val="26"/>
          <w:szCs w:val="26"/>
        </w:rPr>
        <w:t>re</w:t>
      </w:r>
      <w:r w:rsidRPr="004F09AA">
        <w:rPr>
          <w:rFonts w:eastAsia="Times New Roman" w:cstheme="minorHAnsi"/>
          <w:bCs/>
          <w:sz w:val="26"/>
          <w:szCs w:val="26"/>
        </w:rPr>
        <w:t xml:space="preserve"> </w:t>
      </w:r>
      <w:r w:rsidR="004F09AA">
        <w:rPr>
          <w:rFonts w:eastAsia="Times New Roman" w:cstheme="minorHAnsi"/>
          <w:bCs/>
          <w:sz w:val="26"/>
          <w:szCs w:val="26"/>
        </w:rPr>
        <w:t xml:space="preserve">enhanced </w:t>
      </w:r>
      <w:r w:rsidR="007F7E7B">
        <w:rPr>
          <w:rFonts w:eastAsia="Times New Roman" w:cstheme="minorHAnsi"/>
          <w:bCs/>
          <w:sz w:val="26"/>
          <w:szCs w:val="26"/>
        </w:rPr>
        <w:t xml:space="preserve">disclosure </w:t>
      </w:r>
      <w:r w:rsidR="004F09AA">
        <w:rPr>
          <w:rFonts w:eastAsia="Times New Roman" w:cstheme="minorHAnsi"/>
          <w:bCs/>
          <w:sz w:val="26"/>
          <w:szCs w:val="26"/>
        </w:rPr>
        <w:t>information</w:t>
      </w:r>
      <w:r w:rsidR="00500FF0">
        <w:rPr>
          <w:rFonts w:eastAsia="Times New Roman" w:cstheme="minorHAnsi"/>
          <w:bCs/>
          <w:sz w:val="26"/>
          <w:szCs w:val="26"/>
        </w:rPr>
        <w:t xml:space="preserve"> and notices</w:t>
      </w:r>
      <w:r w:rsidR="004F09AA">
        <w:rPr>
          <w:rFonts w:eastAsia="Times New Roman" w:cstheme="minorHAnsi"/>
          <w:bCs/>
          <w:sz w:val="26"/>
          <w:szCs w:val="26"/>
        </w:rPr>
        <w:t xml:space="preserve"> from N</w:t>
      </w:r>
      <w:r w:rsidRPr="004F09AA">
        <w:rPr>
          <w:rFonts w:eastAsia="Times New Roman" w:cstheme="minorHAnsi"/>
          <w:bCs/>
          <w:sz w:val="26"/>
          <w:szCs w:val="26"/>
        </w:rPr>
        <w:t>GSs to customers</w:t>
      </w:r>
      <w:r w:rsidR="007F7E7B">
        <w:rPr>
          <w:rFonts w:eastAsia="Times New Roman" w:cstheme="minorHAnsi"/>
          <w:bCs/>
          <w:sz w:val="26"/>
          <w:szCs w:val="26"/>
        </w:rPr>
        <w:t>.  W</w:t>
      </w:r>
      <w:r w:rsidRPr="004F09AA">
        <w:rPr>
          <w:rFonts w:eastAsia="Times New Roman" w:cstheme="minorHAnsi"/>
          <w:bCs/>
          <w:sz w:val="26"/>
          <w:szCs w:val="26"/>
        </w:rPr>
        <w:t>ell</w:t>
      </w:r>
      <w:r w:rsidR="00E66954" w:rsidRPr="004F09AA">
        <w:rPr>
          <w:rFonts w:eastAsia="Times New Roman" w:cstheme="minorHAnsi"/>
          <w:bCs/>
          <w:sz w:val="26"/>
          <w:szCs w:val="26"/>
        </w:rPr>
        <w:t>-</w:t>
      </w:r>
      <w:r w:rsidRPr="004F09AA">
        <w:rPr>
          <w:rFonts w:eastAsia="Times New Roman" w:cstheme="minorHAnsi"/>
          <w:bCs/>
          <w:sz w:val="26"/>
          <w:szCs w:val="26"/>
        </w:rPr>
        <w:t xml:space="preserve">informed customers are essential participants in a successful competitive retail market.  </w:t>
      </w:r>
      <w:r w:rsidR="00500FF0">
        <w:rPr>
          <w:rFonts w:eastAsia="Times New Roman" w:cstheme="minorHAnsi"/>
          <w:bCs/>
          <w:sz w:val="26"/>
          <w:szCs w:val="26"/>
        </w:rPr>
        <w:t>Therefore</w:t>
      </w:r>
      <w:r w:rsidR="004F09AA">
        <w:rPr>
          <w:rFonts w:eastAsia="Times New Roman" w:cstheme="minorHAnsi"/>
          <w:bCs/>
          <w:sz w:val="26"/>
          <w:szCs w:val="26"/>
        </w:rPr>
        <w:t xml:space="preserve">, we </w:t>
      </w:r>
      <w:r w:rsidR="007F7E7B">
        <w:rPr>
          <w:rFonts w:eastAsia="Times New Roman" w:cstheme="minorHAnsi"/>
          <w:bCs/>
          <w:sz w:val="26"/>
          <w:szCs w:val="26"/>
        </w:rPr>
        <w:t>finalize the</w:t>
      </w:r>
      <w:r w:rsidR="004F09AA">
        <w:rPr>
          <w:rFonts w:eastAsia="Times New Roman" w:cstheme="minorHAnsi"/>
          <w:bCs/>
          <w:sz w:val="26"/>
          <w:szCs w:val="26"/>
        </w:rPr>
        <w:t xml:space="preserve"> attached </w:t>
      </w:r>
      <w:r w:rsidRPr="004F09AA">
        <w:rPr>
          <w:rFonts w:eastAsia="Times New Roman" w:cstheme="minorHAnsi"/>
          <w:bCs/>
          <w:sz w:val="26"/>
          <w:szCs w:val="26"/>
        </w:rPr>
        <w:t>updat</w:t>
      </w:r>
      <w:r w:rsidR="004F09AA">
        <w:rPr>
          <w:rFonts w:eastAsia="Times New Roman" w:cstheme="minorHAnsi"/>
          <w:bCs/>
          <w:sz w:val="26"/>
          <w:szCs w:val="26"/>
        </w:rPr>
        <w:t xml:space="preserve">es and revisions to our </w:t>
      </w:r>
      <w:r w:rsidR="009C2878" w:rsidRPr="004F09AA">
        <w:rPr>
          <w:rFonts w:eastAsia="Times New Roman" w:cstheme="minorHAnsi"/>
          <w:bCs/>
          <w:sz w:val="26"/>
          <w:szCs w:val="26"/>
        </w:rPr>
        <w:t>r</w:t>
      </w:r>
      <w:r w:rsidRPr="004F09AA">
        <w:rPr>
          <w:rFonts w:eastAsia="Times New Roman" w:cstheme="minorHAnsi"/>
          <w:bCs/>
          <w:sz w:val="26"/>
          <w:szCs w:val="26"/>
        </w:rPr>
        <w:t xml:space="preserve">egulations </w:t>
      </w:r>
      <w:r w:rsidR="004F09AA">
        <w:rPr>
          <w:rFonts w:eastAsia="Times New Roman" w:cstheme="minorHAnsi"/>
          <w:bCs/>
          <w:sz w:val="26"/>
          <w:szCs w:val="26"/>
        </w:rPr>
        <w:t xml:space="preserve">in order </w:t>
      </w:r>
      <w:r w:rsidRPr="004F09AA">
        <w:rPr>
          <w:rFonts w:eastAsia="Times New Roman" w:cstheme="minorHAnsi"/>
          <w:bCs/>
          <w:sz w:val="26"/>
          <w:szCs w:val="26"/>
        </w:rPr>
        <w:t>to create a more user-friendly marketplace that should continue to attract increased numbers of customers.</w:t>
      </w:r>
      <w:r w:rsidRPr="00755EBD">
        <w:rPr>
          <w:rFonts w:eastAsia="Times New Roman" w:cstheme="minorHAnsi"/>
          <w:bCs/>
          <w:sz w:val="26"/>
          <w:szCs w:val="26"/>
        </w:rPr>
        <w:t xml:space="preserve">  </w:t>
      </w:r>
      <w:r w:rsidR="004F09AA">
        <w:rPr>
          <w:rFonts w:ascii="Times New Roman" w:eastAsia="Times New Roman" w:hAnsi="Times New Roman"/>
          <w:i/>
          <w:color w:val="000000"/>
          <w:sz w:val="26"/>
          <w:szCs w:val="26"/>
        </w:rPr>
        <w:t>See</w:t>
      </w:r>
      <w:r w:rsidR="004F09AA">
        <w:rPr>
          <w:rFonts w:ascii="Times New Roman" w:eastAsia="Times New Roman" w:hAnsi="Times New Roman"/>
          <w:color w:val="000000"/>
          <w:sz w:val="26"/>
          <w:szCs w:val="26"/>
        </w:rPr>
        <w:t xml:space="preserve"> Annex A</w:t>
      </w:r>
      <w:r w:rsidR="00B5213D">
        <w:rPr>
          <w:rFonts w:ascii="Times New Roman" w:eastAsia="Times New Roman" w:hAnsi="Times New Roman"/>
          <w:color w:val="000000"/>
          <w:sz w:val="26"/>
          <w:szCs w:val="26"/>
        </w:rPr>
        <w:t xml:space="preserve">, Proposed 52 Pa. Code §§ </w:t>
      </w:r>
      <w:r w:rsidR="00B5213D">
        <w:rPr>
          <w:rFonts w:cstheme="minorHAnsi"/>
          <w:sz w:val="26"/>
          <w:szCs w:val="26"/>
        </w:rPr>
        <w:t>62.72, 62.75, and 62.81</w:t>
      </w:r>
      <w:r w:rsidR="004F09AA">
        <w:rPr>
          <w:rFonts w:ascii="Times New Roman" w:eastAsia="Times New Roman" w:hAnsi="Times New Roman"/>
          <w:color w:val="000000"/>
          <w:sz w:val="26"/>
          <w:szCs w:val="26"/>
        </w:rPr>
        <w:t>.</w:t>
      </w:r>
      <w:r w:rsidR="004F09AA" w:rsidRPr="003853FC">
        <w:rPr>
          <w:rFonts w:ascii="Times New Roman" w:eastAsia="Times New Roman" w:hAnsi="Times New Roman"/>
          <w:color w:val="000000"/>
          <w:sz w:val="26"/>
          <w:szCs w:val="26"/>
        </w:rPr>
        <w:t xml:space="preserve">  </w:t>
      </w:r>
    </w:p>
    <w:p w:rsidR="00754790" w:rsidRDefault="00754790" w:rsidP="00D25BD4">
      <w:pPr>
        <w:spacing w:line="360" w:lineRule="auto"/>
        <w:rPr>
          <w:rFonts w:eastAsia="Times New Roman" w:cstheme="minorHAnsi"/>
          <w:bCs/>
          <w:sz w:val="26"/>
          <w:szCs w:val="26"/>
        </w:rPr>
      </w:pPr>
    </w:p>
    <w:p w:rsidR="00754790" w:rsidRDefault="005969FE" w:rsidP="00754790">
      <w:pPr>
        <w:spacing w:line="360" w:lineRule="auto"/>
        <w:ind w:firstLine="720"/>
        <w:rPr>
          <w:sz w:val="26"/>
          <w:szCs w:val="26"/>
        </w:rPr>
      </w:pPr>
      <w:r w:rsidRPr="00C25CBE">
        <w:rPr>
          <w:sz w:val="26"/>
          <w:szCs w:val="26"/>
        </w:rPr>
        <w:t xml:space="preserve">Accordingly, pursuant to Sections 501 and 2208 of the Public Utility Code, 66 Pa. C.S. §§ 501 and 2208; </w:t>
      </w:r>
      <w:r w:rsidR="00B5213D" w:rsidRPr="00C25CBE">
        <w:rPr>
          <w:sz w:val="26"/>
          <w:szCs w:val="26"/>
        </w:rPr>
        <w:t>the Commonwealth Documents Law,</w:t>
      </w:r>
      <w:r w:rsidRPr="00C25CBE">
        <w:rPr>
          <w:sz w:val="26"/>
          <w:szCs w:val="26"/>
        </w:rPr>
        <w:t xml:space="preserve"> 45 P.S. §§ 1201-1202, and the regulations promulgated thereunder at 1 Pa. Code §§ 7.1, 7.2, and 7.5; Section 204(b) of the Commonwe</w:t>
      </w:r>
      <w:r w:rsidR="00B5213D" w:rsidRPr="00C25CBE">
        <w:rPr>
          <w:sz w:val="26"/>
          <w:szCs w:val="26"/>
        </w:rPr>
        <w:t>alth Attorneys Act, 71 P.S. 732-</w:t>
      </w:r>
      <w:r w:rsidRPr="00C25CBE">
        <w:rPr>
          <w:sz w:val="26"/>
          <w:szCs w:val="26"/>
        </w:rPr>
        <w:t>204(b); Section 745.5</w:t>
      </w:r>
      <w:r w:rsidR="00C25CBE" w:rsidRPr="00C25CBE">
        <w:rPr>
          <w:sz w:val="26"/>
          <w:szCs w:val="26"/>
        </w:rPr>
        <w:t>a</w:t>
      </w:r>
      <w:r w:rsidRPr="00C25CBE">
        <w:rPr>
          <w:sz w:val="26"/>
          <w:szCs w:val="26"/>
        </w:rPr>
        <w:t xml:space="preserve"> of the Regulatory Review Act, 71 P.S. § 745.5</w:t>
      </w:r>
      <w:r w:rsidR="00C25CBE" w:rsidRPr="00C25CBE">
        <w:rPr>
          <w:sz w:val="26"/>
          <w:szCs w:val="26"/>
        </w:rPr>
        <w:t>a</w:t>
      </w:r>
      <w:r w:rsidRPr="00C25CBE">
        <w:rPr>
          <w:sz w:val="26"/>
          <w:szCs w:val="26"/>
        </w:rPr>
        <w:t>; and Section 612 of the Administrative Code of 1929, 71 P.S. § 232, and the regulations promulgated th</w:t>
      </w:r>
      <w:r w:rsidR="00B5213D" w:rsidRPr="00C25CBE">
        <w:rPr>
          <w:sz w:val="26"/>
          <w:szCs w:val="26"/>
        </w:rPr>
        <w:t xml:space="preserve">ereunder at 4 Pa. Code §§ 7.231, </w:t>
      </w:r>
      <w:r w:rsidRPr="00C25CBE">
        <w:rPr>
          <w:sz w:val="26"/>
          <w:szCs w:val="26"/>
        </w:rPr>
        <w:t>7.23</w:t>
      </w:r>
      <w:r w:rsidR="00B5213D" w:rsidRPr="00C25CBE">
        <w:rPr>
          <w:sz w:val="26"/>
          <w:szCs w:val="26"/>
        </w:rPr>
        <w:t>2, and 7.234</w:t>
      </w:r>
      <w:r w:rsidR="00180008" w:rsidRPr="00C25CBE">
        <w:rPr>
          <w:sz w:val="26"/>
          <w:szCs w:val="26"/>
        </w:rPr>
        <w:t>,</w:t>
      </w:r>
      <w:r w:rsidR="00180008">
        <w:rPr>
          <w:sz w:val="26"/>
          <w:szCs w:val="26"/>
        </w:rPr>
        <w:t xml:space="preserve"> we </w:t>
      </w:r>
      <w:r w:rsidR="007F7E7B">
        <w:rPr>
          <w:sz w:val="26"/>
          <w:szCs w:val="26"/>
        </w:rPr>
        <w:t>seek to finalize</w:t>
      </w:r>
      <w:r w:rsidR="00180008">
        <w:rPr>
          <w:sz w:val="26"/>
          <w:szCs w:val="26"/>
        </w:rPr>
        <w:t xml:space="preserve"> the</w:t>
      </w:r>
      <w:r w:rsidRPr="008C1109">
        <w:rPr>
          <w:sz w:val="26"/>
          <w:szCs w:val="26"/>
        </w:rPr>
        <w:t xml:space="preserve"> regulations set forth in Annex A, attached hereto;</w:t>
      </w:r>
      <w:r>
        <w:rPr>
          <w:sz w:val="26"/>
          <w:szCs w:val="26"/>
        </w:rPr>
        <w:t xml:space="preserve"> </w:t>
      </w:r>
      <w:r w:rsidRPr="0018219E">
        <w:rPr>
          <w:b/>
          <w:sz w:val="26"/>
          <w:szCs w:val="26"/>
        </w:rPr>
        <w:t>THEREFORE</w:t>
      </w:r>
      <w:r w:rsidRPr="002C4C75">
        <w:rPr>
          <w:sz w:val="26"/>
          <w:szCs w:val="26"/>
        </w:rPr>
        <w:t>,</w:t>
      </w:r>
    </w:p>
    <w:p w:rsidR="002E46D7" w:rsidRDefault="002E46D7" w:rsidP="00754790">
      <w:pPr>
        <w:spacing w:line="360" w:lineRule="auto"/>
        <w:ind w:firstLine="720"/>
        <w:rPr>
          <w:sz w:val="26"/>
          <w:szCs w:val="26"/>
        </w:rPr>
      </w:pPr>
    </w:p>
    <w:p w:rsidR="002E46D7" w:rsidRDefault="00754790" w:rsidP="00C12FC5">
      <w:pPr>
        <w:spacing w:line="360" w:lineRule="auto"/>
        <w:ind w:firstLine="720"/>
        <w:rPr>
          <w:b/>
          <w:sz w:val="26"/>
          <w:szCs w:val="20"/>
        </w:rPr>
      </w:pPr>
      <w:r w:rsidRPr="00B73A1D">
        <w:rPr>
          <w:b/>
          <w:sz w:val="26"/>
          <w:szCs w:val="20"/>
        </w:rPr>
        <w:t>IT IS ORDERED</w:t>
      </w:r>
      <w:r w:rsidRPr="002C1DDC">
        <w:rPr>
          <w:b/>
          <w:sz w:val="26"/>
          <w:szCs w:val="20"/>
        </w:rPr>
        <w:t>:</w:t>
      </w:r>
    </w:p>
    <w:p w:rsidR="00C272A9" w:rsidRDefault="00754790" w:rsidP="00C12FC5">
      <w:pPr>
        <w:spacing w:line="360" w:lineRule="auto"/>
        <w:ind w:firstLine="720"/>
        <w:rPr>
          <w:sz w:val="26"/>
          <w:szCs w:val="26"/>
        </w:rPr>
      </w:pPr>
      <w:r w:rsidRPr="00B73A1D">
        <w:rPr>
          <w:sz w:val="26"/>
          <w:szCs w:val="20"/>
        </w:rPr>
        <w:br/>
      </w:r>
      <w:r w:rsidR="002E46D7">
        <w:rPr>
          <w:sz w:val="26"/>
          <w:szCs w:val="26"/>
        </w:rPr>
        <w:tab/>
      </w:r>
      <w:r w:rsidR="00C272A9">
        <w:rPr>
          <w:sz w:val="26"/>
          <w:szCs w:val="26"/>
        </w:rPr>
        <w:t>1</w:t>
      </w:r>
      <w:r w:rsidR="00C272A9" w:rsidRPr="002C4C75">
        <w:rPr>
          <w:sz w:val="26"/>
          <w:szCs w:val="26"/>
        </w:rPr>
        <w:t xml:space="preserve">.  </w:t>
      </w:r>
      <w:r w:rsidR="00C272A9" w:rsidRPr="002C4C75">
        <w:rPr>
          <w:sz w:val="26"/>
          <w:szCs w:val="26"/>
        </w:rPr>
        <w:tab/>
      </w:r>
      <w:r w:rsidR="004F60C9">
        <w:rPr>
          <w:sz w:val="26"/>
          <w:szCs w:val="26"/>
        </w:rPr>
        <w:t>That the regulations at 52 Pa. Code Chapter 62 are amended as set forth in Annex A</w:t>
      </w:r>
      <w:r w:rsidR="007F7E7B">
        <w:rPr>
          <w:sz w:val="26"/>
          <w:szCs w:val="26"/>
        </w:rPr>
        <w:t>.</w:t>
      </w:r>
    </w:p>
    <w:p w:rsidR="004F60C9" w:rsidRPr="007F7E7B" w:rsidRDefault="004F60C9" w:rsidP="00C12FC5">
      <w:pPr>
        <w:spacing w:line="360" w:lineRule="auto"/>
        <w:ind w:firstLine="720"/>
        <w:rPr>
          <w:sz w:val="26"/>
          <w:szCs w:val="26"/>
        </w:rPr>
      </w:pPr>
      <w:r>
        <w:rPr>
          <w:sz w:val="26"/>
          <w:szCs w:val="26"/>
        </w:rPr>
        <w:lastRenderedPageBreak/>
        <w:t>2.</w:t>
      </w:r>
      <w:r>
        <w:rPr>
          <w:sz w:val="26"/>
          <w:szCs w:val="26"/>
        </w:rPr>
        <w:tab/>
        <w:t xml:space="preserve">That the natural gas supplier contract summary is adopted as </w:t>
      </w:r>
      <w:r w:rsidR="00FB4876">
        <w:rPr>
          <w:sz w:val="26"/>
          <w:szCs w:val="26"/>
        </w:rPr>
        <w:t>set forth</w:t>
      </w:r>
      <w:r>
        <w:rPr>
          <w:sz w:val="26"/>
          <w:szCs w:val="26"/>
        </w:rPr>
        <w:t xml:space="preserve"> in Attachment A to this Final Rulemaking Order</w:t>
      </w:r>
      <w:r w:rsidR="00FB4876">
        <w:rPr>
          <w:sz w:val="26"/>
          <w:szCs w:val="26"/>
        </w:rPr>
        <w:t>.</w:t>
      </w:r>
      <w:r>
        <w:rPr>
          <w:sz w:val="26"/>
          <w:szCs w:val="26"/>
        </w:rPr>
        <w:t xml:space="preserve"> </w:t>
      </w:r>
    </w:p>
    <w:p w:rsidR="00C272A9" w:rsidRDefault="00C272A9" w:rsidP="00C272A9">
      <w:pPr>
        <w:spacing w:line="360" w:lineRule="auto"/>
        <w:ind w:firstLine="720"/>
        <w:rPr>
          <w:sz w:val="26"/>
          <w:szCs w:val="26"/>
        </w:rPr>
      </w:pPr>
    </w:p>
    <w:p w:rsidR="00C272A9" w:rsidRDefault="00FB4876" w:rsidP="00C272A9">
      <w:pPr>
        <w:spacing w:line="360" w:lineRule="auto"/>
        <w:ind w:firstLine="720"/>
        <w:rPr>
          <w:sz w:val="26"/>
          <w:szCs w:val="26"/>
        </w:rPr>
      </w:pPr>
      <w:r>
        <w:rPr>
          <w:sz w:val="26"/>
          <w:szCs w:val="26"/>
        </w:rPr>
        <w:t>3</w:t>
      </w:r>
      <w:r w:rsidR="00C272A9">
        <w:rPr>
          <w:sz w:val="26"/>
          <w:szCs w:val="26"/>
        </w:rPr>
        <w:t>.</w:t>
      </w:r>
      <w:r w:rsidR="00C272A9">
        <w:rPr>
          <w:sz w:val="26"/>
          <w:szCs w:val="26"/>
        </w:rPr>
        <w:tab/>
        <w:t xml:space="preserve">That the </w:t>
      </w:r>
      <w:r w:rsidR="004F60C9">
        <w:rPr>
          <w:sz w:val="26"/>
          <w:szCs w:val="26"/>
        </w:rPr>
        <w:t xml:space="preserve">Law Bureau </w:t>
      </w:r>
      <w:r w:rsidR="00C272A9">
        <w:rPr>
          <w:sz w:val="26"/>
          <w:szCs w:val="26"/>
        </w:rPr>
        <w:t xml:space="preserve">shall submit this </w:t>
      </w:r>
      <w:r w:rsidR="007F7E7B">
        <w:rPr>
          <w:sz w:val="26"/>
          <w:szCs w:val="26"/>
        </w:rPr>
        <w:t>Final Rulemaking O</w:t>
      </w:r>
      <w:r w:rsidR="00C272A9">
        <w:rPr>
          <w:sz w:val="26"/>
          <w:szCs w:val="26"/>
        </w:rPr>
        <w:t>rder</w:t>
      </w:r>
      <w:r w:rsidR="00494824">
        <w:rPr>
          <w:sz w:val="26"/>
          <w:szCs w:val="26"/>
        </w:rPr>
        <w:t>, Attachment A,</w:t>
      </w:r>
      <w:r w:rsidR="00C272A9">
        <w:rPr>
          <w:sz w:val="26"/>
          <w:szCs w:val="26"/>
        </w:rPr>
        <w:t xml:space="preserve"> and Annex A to the Office of Attorney General for review as to form and legality and to the Governor’s Budget Office for review of fiscal impact.</w:t>
      </w:r>
    </w:p>
    <w:p w:rsidR="00071B81" w:rsidRDefault="00071B81" w:rsidP="00C272A9">
      <w:pPr>
        <w:spacing w:line="360" w:lineRule="auto"/>
        <w:ind w:firstLine="720"/>
        <w:rPr>
          <w:sz w:val="26"/>
          <w:szCs w:val="26"/>
        </w:rPr>
      </w:pPr>
    </w:p>
    <w:p w:rsidR="00C272A9" w:rsidRDefault="00FB4876" w:rsidP="00C272A9">
      <w:pPr>
        <w:spacing w:line="360" w:lineRule="auto"/>
        <w:ind w:firstLine="720"/>
        <w:rPr>
          <w:sz w:val="26"/>
          <w:szCs w:val="26"/>
        </w:rPr>
      </w:pPr>
      <w:r>
        <w:rPr>
          <w:sz w:val="26"/>
          <w:szCs w:val="26"/>
        </w:rPr>
        <w:t>4</w:t>
      </w:r>
      <w:r w:rsidR="00C272A9">
        <w:rPr>
          <w:sz w:val="26"/>
          <w:szCs w:val="26"/>
        </w:rPr>
        <w:t>.</w:t>
      </w:r>
      <w:r w:rsidR="00C272A9">
        <w:rPr>
          <w:sz w:val="26"/>
          <w:szCs w:val="26"/>
        </w:rPr>
        <w:tab/>
        <w:t xml:space="preserve">That the </w:t>
      </w:r>
      <w:r>
        <w:rPr>
          <w:sz w:val="26"/>
          <w:szCs w:val="26"/>
        </w:rPr>
        <w:t xml:space="preserve">Law Bureau </w:t>
      </w:r>
      <w:r w:rsidR="00C272A9">
        <w:rPr>
          <w:sz w:val="26"/>
          <w:szCs w:val="26"/>
        </w:rPr>
        <w:t xml:space="preserve">shall submit this </w:t>
      </w:r>
      <w:r w:rsidR="007F7E7B">
        <w:rPr>
          <w:sz w:val="26"/>
          <w:szCs w:val="26"/>
        </w:rPr>
        <w:t>Final</w:t>
      </w:r>
      <w:r w:rsidR="00C272A9">
        <w:rPr>
          <w:sz w:val="26"/>
          <w:szCs w:val="26"/>
        </w:rPr>
        <w:t xml:space="preserve"> </w:t>
      </w:r>
      <w:r w:rsidR="007F7E7B">
        <w:rPr>
          <w:sz w:val="26"/>
          <w:szCs w:val="26"/>
        </w:rPr>
        <w:t>R</w:t>
      </w:r>
      <w:r w:rsidR="00C272A9">
        <w:rPr>
          <w:sz w:val="26"/>
          <w:szCs w:val="26"/>
        </w:rPr>
        <w:t xml:space="preserve">ulemaking </w:t>
      </w:r>
      <w:r w:rsidR="007F7E7B">
        <w:rPr>
          <w:sz w:val="26"/>
          <w:szCs w:val="26"/>
        </w:rPr>
        <w:t>O</w:t>
      </w:r>
      <w:r w:rsidR="00C272A9">
        <w:rPr>
          <w:sz w:val="26"/>
          <w:szCs w:val="26"/>
        </w:rPr>
        <w:t>rder</w:t>
      </w:r>
      <w:r w:rsidR="00494824">
        <w:rPr>
          <w:sz w:val="26"/>
          <w:szCs w:val="26"/>
        </w:rPr>
        <w:t>, Attachment A,</w:t>
      </w:r>
      <w:r w:rsidR="00C272A9">
        <w:rPr>
          <w:sz w:val="26"/>
          <w:szCs w:val="26"/>
        </w:rPr>
        <w:t xml:space="preserve"> and Annex A </w:t>
      </w:r>
      <w:r>
        <w:rPr>
          <w:sz w:val="26"/>
          <w:szCs w:val="26"/>
        </w:rPr>
        <w:t>for review by the designated standing committees of both houses of the General Assembly, and for review by the Independent Regulatory Review Commission</w:t>
      </w:r>
      <w:r w:rsidR="00C272A9">
        <w:rPr>
          <w:sz w:val="26"/>
          <w:szCs w:val="26"/>
        </w:rPr>
        <w:t>.</w:t>
      </w:r>
    </w:p>
    <w:p w:rsidR="00C272A9" w:rsidRDefault="00C272A9" w:rsidP="00C272A9">
      <w:pPr>
        <w:spacing w:line="360" w:lineRule="auto"/>
        <w:ind w:firstLine="720"/>
        <w:rPr>
          <w:sz w:val="26"/>
          <w:szCs w:val="26"/>
        </w:rPr>
      </w:pPr>
    </w:p>
    <w:p w:rsidR="00C272A9" w:rsidRDefault="00FB4876" w:rsidP="00C272A9">
      <w:pPr>
        <w:spacing w:line="360" w:lineRule="auto"/>
        <w:ind w:firstLine="720"/>
        <w:rPr>
          <w:sz w:val="26"/>
          <w:szCs w:val="26"/>
        </w:rPr>
      </w:pPr>
      <w:r>
        <w:rPr>
          <w:sz w:val="26"/>
          <w:szCs w:val="26"/>
        </w:rPr>
        <w:t>5</w:t>
      </w:r>
      <w:r w:rsidR="00C272A9">
        <w:rPr>
          <w:sz w:val="26"/>
          <w:szCs w:val="26"/>
        </w:rPr>
        <w:t>.</w:t>
      </w:r>
      <w:r w:rsidR="00C272A9">
        <w:rPr>
          <w:sz w:val="26"/>
          <w:szCs w:val="26"/>
        </w:rPr>
        <w:tab/>
        <w:t xml:space="preserve">That the </w:t>
      </w:r>
      <w:r>
        <w:rPr>
          <w:sz w:val="26"/>
          <w:szCs w:val="26"/>
        </w:rPr>
        <w:t xml:space="preserve">Law Bureau </w:t>
      </w:r>
      <w:r w:rsidR="00C272A9">
        <w:rPr>
          <w:sz w:val="26"/>
          <w:szCs w:val="26"/>
        </w:rPr>
        <w:t xml:space="preserve">shall </w:t>
      </w:r>
      <w:r>
        <w:rPr>
          <w:sz w:val="26"/>
          <w:szCs w:val="26"/>
        </w:rPr>
        <w:t xml:space="preserve">deposit </w:t>
      </w:r>
      <w:r w:rsidR="00C272A9">
        <w:rPr>
          <w:sz w:val="26"/>
          <w:szCs w:val="26"/>
        </w:rPr>
        <w:t xml:space="preserve">this </w:t>
      </w:r>
      <w:r w:rsidR="007F7E7B">
        <w:rPr>
          <w:sz w:val="26"/>
          <w:szCs w:val="26"/>
        </w:rPr>
        <w:t>Final</w:t>
      </w:r>
      <w:r w:rsidR="00C272A9">
        <w:rPr>
          <w:sz w:val="26"/>
          <w:szCs w:val="26"/>
        </w:rPr>
        <w:t xml:space="preserve"> </w:t>
      </w:r>
      <w:r w:rsidR="007F7E7B">
        <w:rPr>
          <w:sz w:val="26"/>
          <w:szCs w:val="26"/>
        </w:rPr>
        <w:t>Rulemaking O</w:t>
      </w:r>
      <w:r w:rsidR="00C272A9">
        <w:rPr>
          <w:sz w:val="26"/>
          <w:szCs w:val="26"/>
        </w:rPr>
        <w:t>rder</w:t>
      </w:r>
      <w:r w:rsidR="00494824">
        <w:rPr>
          <w:sz w:val="26"/>
          <w:szCs w:val="26"/>
        </w:rPr>
        <w:t>, Attachment A,</w:t>
      </w:r>
      <w:r w:rsidR="00C272A9">
        <w:rPr>
          <w:sz w:val="26"/>
          <w:szCs w:val="26"/>
        </w:rPr>
        <w:t xml:space="preserve"> and Annex A with the Legislative Reference Bureau </w:t>
      </w:r>
      <w:r w:rsidR="007F7E7B">
        <w:rPr>
          <w:sz w:val="26"/>
          <w:szCs w:val="26"/>
        </w:rPr>
        <w:t xml:space="preserve">for final publication </w:t>
      </w:r>
      <w:r>
        <w:rPr>
          <w:sz w:val="26"/>
          <w:szCs w:val="26"/>
        </w:rPr>
        <w:t xml:space="preserve">in the </w:t>
      </w:r>
      <w:r w:rsidRPr="00D51BBE">
        <w:rPr>
          <w:i/>
          <w:sz w:val="26"/>
          <w:szCs w:val="26"/>
        </w:rPr>
        <w:t>Pennsylvania Bulletin</w:t>
      </w:r>
      <w:r w:rsidR="007F7E7B">
        <w:rPr>
          <w:sz w:val="26"/>
          <w:szCs w:val="26"/>
        </w:rPr>
        <w:t>.</w:t>
      </w:r>
    </w:p>
    <w:p w:rsidR="00FB4876" w:rsidRDefault="00FB4876" w:rsidP="00C272A9">
      <w:pPr>
        <w:spacing w:line="360" w:lineRule="auto"/>
        <w:ind w:firstLine="720"/>
        <w:rPr>
          <w:sz w:val="26"/>
          <w:szCs w:val="26"/>
        </w:rPr>
      </w:pPr>
    </w:p>
    <w:p w:rsidR="00FB4876" w:rsidRDefault="00FB4876" w:rsidP="00C272A9">
      <w:pPr>
        <w:spacing w:line="360" w:lineRule="auto"/>
        <w:ind w:firstLine="720"/>
        <w:rPr>
          <w:sz w:val="26"/>
          <w:szCs w:val="26"/>
        </w:rPr>
      </w:pPr>
      <w:r>
        <w:rPr>
          <w:sz w:val="26"/>
          <w:szCs w:val="26"/>
        </w:rPr>
        <w:t>6.</w:t>
      </w:r>
      <w:r>
        <w:rPr>
          <w:sz w:val="26"/>
          <w:szCs w:val="26"/>
        </w:rPr>
        <w:tab/>
        <w:t xml:space="preserve">That these regulations shall become effective upon publication in the </w:t>
      </w:r>
      <w:r w:rsidRPr="00D51BBE">
        <w:rPr>
          <w:i/>
          <w:sz w:val="26"/>
          <w:szCs w:val="26"/>
        </w:rPr>
        <w:t>Pennsylvania Bulletin</w:t>
      </w:r>
      <w:r>
        <w:rPr>
          <w:sz w:val="26"/>
          <w:szCs w:val="26"/>
        </w:rPr>
        <w:t>.</w:t>
      </w:r>
    </w:p>
    <w:p w:rsidR="00B5213D" w:rsidRPr="007A1C68" w:rsidRDefault="00B5213D" w:rsidP="00C272A9">
      <w:pPr>
        <w:spacing w:line="360" w:lineRule="auto"/>
        <w:ind w:firstLine="720"/>
        <w:rPr>
          <w:sz w:val="26"/>
          <w:szCs w:val="26"/>
        </w:rPr>
      </w:pPr>
    </w:p>
    <w:p w:rsidR="00C272A9" w:rsidRPr="007A1C68" w:rsidRDefault="00FB4876" w:rsidP="00C272A9">
      <w:pPr>
        <w:spacing w:line="360" w:lineRule="auto"/>
        <w:ind w:firstLine="720"/>
        <w:rPr>
          <w:sz w:val="26"/>
          <w:szCs w:val="26"/>
        </w:rPr>
      </w:pPr>
      <w:r>
        <w:rPr>
          <w:sz w:val="26"/>
          <w:szCs w:val="26"/>
        </w:rPr>
        <w:t>7</w:t>
      </w:r>
      <w:r w:rsidR="007F7E7B">
        <w:rPr>
          <w:sz w:val="26"/>
          <w:szCs w:val="26"/>
        </w:rPr>
        <w:t>.</w:t>
      </w:r>
      <w:r w:rsidR="007F7E7B">
        <w:rPr>
          <w:sz w:val="26"/>
          <w:szCs w:val="26"/>
        </w:rPr>
        <w:tab/>
      </w:r>
      <w:r w:rsidR="007F7E7B">
        <w:rPr>
          <w:sz w:val="26"/>
        </w:rPr>
        <w:t>That the Commission’s Office of Competitive Market Oversight</w:t>
      </w:r>
      <w:r w:rsidR="007F7E7B" w:rsidRPr="00323956">
        <w:rPr>
          <w:rFonts w:cstheme="minorHAnsi"/>
          <w:sz w:val="26"/>
          <w:szCs w:val="26"/>
        </w:rPr>
        <w:t xml:space="preserve"> </w:t>
      </w:r>
      <w:r w:rsidR="007F7E7B">
        <w:rPr>
          <w:rFonts w:cstheme="minorHAnsi"/>
          <w:sz w:val="26"/>
          <w:szCs w:val="26"/>
        </w:rPr>
        <w:t>shall provide</w:t>
      </w:r>
      <w:r w:rsidR="007F7E7B" w:rsidRPr="00D57EB0">
        <w:rPr>
          <w:rFonts w:cstheme="minorHAnsi"/>
          <w:sz w:val="26"/>
          <w:szCs w:val="26"/>
        </w:rPr>
        <w:t xml:space="preserve"> further direction to currently licensed </w:t>
      </w:r>
      <w:r w:rsidR="003F1604">
        <w:rPr>
          <w:rFonts w:cstheme="minorHAnsi"/>
          <w:sz w:val="26"/>
          <w:szCs w:val="26"/>
        </w:rPr>
        <w:t>natural gas suppliers</w:t>
      </w:r>
      <w:r w:rsidR="007F7E7B" w:rsidRPr="00D57EB0">
        <w:rPr>
          <w:rFonts w:cstheme="minorHAnsi"/>
          <w:sz w:val="26"/>
          <w:szCs w:val="26"/>
        </w:rPr>
        <w:t xml:space="preserve"> serving residential and/or small business customers regarding the submission of </w:t>
      </w:r>
      <w:r w:rsidR="007F7E7B">
        <w:rPr>
          <w:rFonts w:cstheme="minorHAnsi"/>
          <w:sz w:val="26"/>
          <w:szCs w:val="26"/>
        </w:rPr>
        <w:t>N</w:t>
      </w:r>
      <w:r w:rsidR="007F7E7B" w:rsidRPr="00D57EB0">
        <w:rPr>
          <w:rFonts w:cstheme="minorHAnsi"/>
          <w:sz w:val="26"/>
          <w:szCs w:val="26"/>
        </w:rPr>
        <w:t>GS Contract Summaries to the Commission</w:t>
      </w:r>
      <w:r>
        <w:rPr>
          <w:rFonts w:cstheme="minorHAnsi"/>
          <w:sz w:val="26"/>
          <w:szCs w:val="26"/>
        </w:rPr>
        <w:t xml:space="preserve"> for informal review</w:t>
      </w:r>
      <w:r w:rsidR="007F7E7B" w:rsidRPr="00D57EB0">
        <w:rPr>
          <w:rFonts w:cstheme="minorHAnsi"/>
          <w:sz w:val="26"/>
          <w:szCs w:val="26"/>
        </w:rPr>
        <w:t>.</w:t>
      </w:r>
      <w:r w:rsidR="007F7E7B" w:rsidRPr="007F7E7B">
        <w:rPr>
          <w:rFonts w:cstheme="minorHAnsi"/>
          <w:sz w:val="26"/>
          <w:szCs w:val="26"/>
        </w:rPr>
        <w:t xml:space="preserve"> </w:t>
      </w:r>
      <w:r>
        <w:rPr>
          <w:rFonts w:cstheme="minorHAnsi"/>
          <w:sz w:val="26"/>
          <w:szCs w:val="26"/>
        </w:rPr>
        <w:t xml:space="preserve"> </w:t>
      </w:r>
    </w:p>
    <w:p w:rsidR="00C272A9" w:rsidRDefault="00C272A9" w:rsidP="00C272A9">
      <w:pPr>
        <w:spacing w:line="360" w:lineRule="auto"/>
        <w:ind w:firstLine="720"/>
        <w:rPr>
          <w:sz w:val="26"/>
          <w:szCs w:val="26"/>
        </w:rPr>
      </w:pPr>
    </w:p>
    <w:p w:rsidR="005C3102" w:rsidRDefault="00FB4876" w:rsidP="00BA6A43">
      <w:pPr>
        <w:spacing w:line="360" w:lineRule="auto"/>
        <w:ind w:firstLine="720"/>
        <w:rPr>
          <w:sz w:val="26"/>
          <w:szCs w:val="26"/>
        </w:rPr>
      </w:pPr>
      <w:r>
        <w:rPr>
          <w:sz w:val="26"/>
        </w:rPr>
        <w:t>8</w:t>
      </w:r>
      <w:r w:rsidR="00DB2766">
        <w:rPr>
          <w:sz w:val="26"/>
        </w:rPr>
        <w:t>.</w:t>
      </w:r>
      <w:r w:rsidR="00DB2766">
        <w:rPr>
          <w:sz w:val="26"/>
        </w:rPr>
        <w:tab/>
      </w:r>
      <w:r w:rsidR="00754790">
        <w:rPr>
          <w:sz w:val="26"/>
        </w:rPr>
        <w:t xml:space="preserve">That this </w:t>
      </w:r>
      <w:r w:rsidR="00D64434">
        <w:rPr>
          <w:sz w:val="26"/>
        </w:rPr>
        <w:t>Order</w:t>
      </w:r>
      <w:r w:rsidR="00CB555C">
        <w:rPr>
          <w:sz w:val="26"/>
        </w:rPr>
        <w:t xml:space="preserve"> </w:t>
      </w:r>
      <w:r w:rsidR="00EF4333">
        <w:rPr>
          <w:sz w:val="26"/>
          <w:szCs w:val="26"/>
        </w:rPr>
        <w:t xml:space="preserve">and </w:t>
      </w:r>
      <w:r w:rsidR="0041560C">
        <w:rPr>
          <w:sz w:val="26"/>
          <w:szCs w:val="26"/>
        </w:rPr>
        <w:t>Annex</w:t>
      </w:r>
      <w:r w:rsidR="00D3115E">
        <w:rPr>
          <w:sz w:val="26"/>
          <w:szCs w:val="26"/>
        </w:rPr>
        <w:t xml:space="preserve"> A</w:t>
      </w:r>
      <w:r w:rsidR="00754790">
        <w:rPr>
          <w:sz w:val="26"/>
          <w:szCs w:val="26"/>
        </w:rPr>
        <w:t xml:space="preserve">, </w:t>
      </w:r>
      <w:r w:rsidR="00754790" w:rsidRPr="00652EBB">
        <w:rPr>
          <w:sz w:val="26"/>
        </w:rPr>
        <w:t>revisin</w:t>
      </w:r>
      <w:r w:rsidR="00754790">
        <w:rPr>
          <w:sz w:val="26"/>
        </w:rPr>
        <w:t>g</w:t>
      </w:r>
      <w:r w:rsidR="00754790" w:rsidRPr="00652EBB">
        <w:rPr>
          <w:sz w:val="26"/>
        </w:rPr>
        <w:t xml:space="preserve"> the regulations appearing in </w:t>
      </w:r>
      <w:r w:rsidR="00754790">
        <w:rPr>
          <w:sz w:val="26"/>
        </w:rPr>
        <w:t xml:space="preserve">Title </w:t>
      </w:r>
      <w:r w:rsidR="00754790" w:rsidRPr="00652EBB">
        <w:rPr>
          <w:sz w:val="26"/>
        </w:rPr>
        <w:t xml:space="preserve">52 </w:t>
      </w:r>
      <w:r w:rsidR="00754790">
        <w:rPr>
          <w:sz w:val="26"/>
        </w:rPr>
        <w:t xml:space="preserve">of the </w:t>
      </w:r>
      <w:r w:rsidR="00754790" w:rsidRPr="00652EBB">
        <w:rPr>
          <w:sz w:val="26"/>
        </w:rPr>
        <w:t>P</w:t>
      </w:r>
      <w:r w:rsidR="00754790">
        <w:rPr>
          <w:sz w:val="26"/>
        </w:rPr>
        <w:t>ennsylvania</w:t>
      </w:r>
      <w:r w:rsidR="00754790" w:rsidRPr="00652EBB">
        <w:rPr>
          <w:sz w:val="26"/>
        </w:rPr>
        <w:t xml:space="preserve"> Code Chapter 5</w:t>
      </w:r>
      <w:r w:rsidR="0041560C">
        <w:rPr>
          <w:sz w:val="26"/>
        </w:rPr>
        <w:t>4</w:t>
      </w:r>
      <w:r w:rsidR="00754790" w:rsidRPr="00652EBB">
        <w:rPr>
          <w:sz w:val="26"/>
        </w:rPr>
        <w:t xml:space="preserve"> relating to </w:t>
      </w:r>
      <w:r w:rsidR="00071B81">
        <w:rPr>
          <w:sz w:val="26"/>
        </w:rPr>
        <w:t>Natural Gas</w:t>
      </w:r>
      <w:r w:rsidR="007E5C72">
        <w:rPr>
          <w:sz w:val="26"/>
        </w:rPr>
        <w:t xml:space="preserve"> Choice</w:t>
      </w:r>
      <w:r w:rsidR="00DA1464">
        <w:rPr>
          <w:sz w:val="26"/>
        </w:rPr>
        <w:t>, be served on</w:t>
      </w:r>
      <w:r w:rsidR="00754790">
        <w:rPr>
          <w:sz w:val="26"/>
          <w:szCs w:val="26"/>
        </w:rPr>
        <w:t xml:space="preserve"> all licensed </w:t>
      </w:r>
      <w:r w:rsidR="00071B81">
        <w:rPr>
          <w:sz w:val="26"/>
          <w:szCs w:val="26"/>
        </w:rPr>
        <w:t>Natural Gas</w:t>
      </w:r>
      <w:r w:rsidR="00754790">
        <w:rPr>
          <w:sz w:val="26"/>
          <w:szCs w:val="26"/>
        </w:rPr>
        <w:t xml:space="preserve"> Suppliers, </w:t>
      </w:r>
      <w:r w:rsidR="00754790" w:rsidRPr="000A5187">
        <w:rPr>
          <w:sz w:val="26"/>
          <w:szCs w:val="26"/>
        </w:rPr>
        <w:t xml:space="preserve">the Bureau of Investigation and Enforcement, </w:t>
      </w:r>
      <w:r w:rsidR="00754790">
        <w:rPr>
          <w:sz w:val="26"/>
          <w:szCs w:val="26"/>
        </w:rPr>
        <w:t xml:space="preserve">the Office of Consumer Advocate, the Office of Small Business Advocate, and </w:t>
      </w:r>
      <w:r w:rsidR="00754790" w:rsidRPr="008A0540">
        <w:rPr>
          <w:sz w:val="26"/>
          <w:szCs w:val="26"/>
        </w:rPr>
        <w:t xml:space="preserve">those parties who </w:t>
      </w:r>
      <w:r w:rsidR="00754790" w:rsidRPr="008A0540">
        <w:rPr>
          <w:sz w:val="26"/>
          <w:szCs w:val="26"/>
        </w:rPr>
        <w:lastRenderedPageBreak/>
        <w:t xml:space="preserve">submitted comments </w:t>
      </w:r>
      <w:r w:rsidR="00071B81">
        <w:rPr>
          <w:sz w:val="26"/>
          <w:szCs w:val="26"/>
        </w:rPr>
        <w:t xml:space="preserve">to the December 18, 2014 Final Order </w:t>
      </w:r>
      <w:r w:rsidR="00754790" w:rsidRPr="008A0540">
        <w:rPr>
          <w:sz w:val="26"/>
          <w:szCs w:val="26"/>
        </w:rPr>
        <w:t xml:space="preserve">at </w:t>
      </w:r>
      <w:r w:rsidR="00071B81">
        <w:rPr>
          <w:rFonts w:cstheme="minorHAnsi"/>
          <w:sz w:val="26"/>
          <w:szCs w:val="26"/>
        </w:rPr>
        <w:t>Docket N</w:t>
      </w:r>
      <w:r w:rsidR="007F7E7B">
        <w:rPr>
          <w:rFonts w:cstheme="minorHAnsi"/>
          <w:sz w:val="26"/>
          <w:szCs w:val="26"/>
        </w:rPr>
        <w:t>o.</w:t>
      </w:r>
      <w:r w:rsidR="00071B81">
        <w:rPr>
          <w:rFonts w:cstheme="minorHAnsi"/>
          <w:sz w:val="26"/>
          <w:szCs w:val="26"/>
        </w:rPr>
        <w:t xml:space="preserve"> I</w:t>
      </w:r>
      <w:r>
        <w:rPr>
          <w:rFonts w:cstheme="minorHAnsi"/>
          <w:sz w:val="26"/>
          <w:szCs w:val="26"/>
        </w:rPr>
        <w:noBreakHyphen/>
      </w:r>
      <w:r w:rsidR="00071B81">
        <w:rPr>
          <w:rFonts w:cstheme="minorHAnsi"/>
          <w:sz w:val="26"/>
          <w:szCs w:val="26"/>
        </w:rPr>
        <w:t>2013</w:t>
      </w:r>
      <w:r>
        <w:rPr>
          <w:rFonts w:cstheme="minorHAnsi"/>
          <w:sz w:val="26"/>
          <w:szCs w:val="26"/>
        </w:rPr>
        <w:noBreakHyphen/>
      </w:r>
      <w:r w:rsidR="00071B81">
        <w:rPr>
          <w:rFonts w:cstheme="minorHAnsi"/>
          <w:sz w:val="26"/>
          <w:szCs w:val="26"/>
        </w:rPr>
        <w:t>2381742</w:t>
      </w:r>
      <w:r w:rsidR="007F7E7B">
        <w:rPr>
          <w:rFonts w:cstheme="minorHAnsi"/>
          <w:sz w:val="26"/>
          <w:szCs w:val="26"/>
        </w:rPr>
        <w:t xml:space="preserve"> and the Proposed Rulemaking Order at Docket No. L-2015-2465942</w:t>
      </w:r>
      <w:r w:rsidR="00754790">
        <w:rPr>
          <w:sz w:val="26"/>
          <w:szCs w:val="26"/>
        </w:rPr>
        <w:t>.</w:t>
      </w:r>
    </w:p>
    <w:p w:rsidR="00BA6A43" w:rsidRDefault="00BA6A43" w:rsidP="00BA6A43">
      <w:pPr>
        <w:spacing w:line="360" w:lineRule="auto"/>
        <w:ind w:firstLine="720"/>
      </w:pPr>
    </w:p>
    <w:p w:rsidR="00BA6A43" w:rsidRDefault="00DB2766" w:rsidP="000B5053">
      <w:pPr>
        <w:tabs>
          <w:tab w:val="left" w:pos="742"/>
        </w:tabs>
        <w:spacing w:line="360" w:lineRule="auto"/>
        <w:rPr>
          <w:i/>
          <w:sz w:val="26"/>
          <w:szCs w:val="26"/>
        </w:rPr>
      </w:pPr>
      <w:r>
        <w:rPr>
          <w:sz w:val="26"/>
          <w:szCs w:val="26"/>
        </w:rPr>
        <w:tab/>
      </w:r>
      <w:r w:rsidR="00FB4876">
        <w:rPr>
          <w:sz w:val="26"/>
          <w:szCs w:val="26"/>
        </w:rPr>
        <w:t>9</w:t>
      </w:r>
      <w:r w:rsidR="00754790" w:rsidRPr="000A5187">
        <w:rPr>
          <w:sz w:val="26"/>
          <w:szCs w:val="26"/>
        </w:rPr>
        <w:t>.</w:t>
      </w:r>
      <w:r w:rsidR="00754790" w:rsidRPr="000A5187">
        <w:rPr>
          <w:sz w:val="26"/>
          <w:szCs w:val="26"/>
        </w:rPr>
        <w:tab/>
        <w:t xml:space="preserve">That a copy of this </w:t>
      </w:r>
      <w:r w:rsidR="007F7E7B">
        <w:rPr>
          <w:sz w:val="26"/>
          <w:szCs w:val="26"/>
        </w:rPr>
        <w:t>Final</w:t>
      </w:r>
      <w:r w:rsidR="00D64434">
        <w:rPr>
          <w:sz w:val="26"/>
          <w:szCs w:val="26"/>
        </w:rPr>
        <w:t xml:space="preserve"> Rulemaking </w:t>
      </w:r>
      <w:r w:rsidR="00D64434" w:rsidRPr="000A5187">
        <w:rPr>
          <w:sz w:val="26"/>
          <w:szCs w:val="26"/>
        </w:rPr>
        <w:t>Order</w:t>
      </w:r>
      <w:r w:rsidR="00D64434">
        <w:rPr>
          <w:sz w:val="26"/>
          <w:szCs w:val="26"/>
        </w:rPr>
        <w:t xml:space="preserve">, Attachment </w:t>
      </w:r>
      <w:r w:rsidR="00D3115E">
        <w:rPr>
          <w:sz w:val="26"/>
          <w:szCs w:val="26"/>
        </w:rPr>
        <w:t>A</w:t>
      </w:r>
      <w:r w:rsidR="007F7E7B">
        <w:rPr>
          <w:sz w:val="26"/>
          <w:szCs w:val="26"/>
        </w:rPr>
        <w:t>,</w:t>
      </w:r>
      <w:r w:rsidR="00D3115E">
        <w:rPr>
          <w:sz w:val="26"/>
          <w:szCs w:val="26"/>
        </w:rPr>
        <w:t xml:space="preserve"> </w:t>
      </w:r>
      <w:r w:rsidR="00D64434">
        <w:rPr>
          <w:sz w:val="26"/>
          <w:szCs w:val="26"/>
        </w:rPr>
        <w:t>and Annex</w:t>
      </w:r>
      <w:r w:rsidR="00D3115E">
        <w:rPr>
          <w:sz w:val="26"/>
          <w:szCs w:val="26"/>
        </w:rPr>
        <w:t xml:space="preserve"> A</w:t>
      </w:r>
      <w:r w:rsidR="00D64434" w:rsidDel="00D64434">
        <w:rPr>
          <w:sz w:val="26"/>
          <w:szCs w:val="26"/>
        </w:rPr>
        <w:t xml:space="preserve"> </w:t>
      </w:r>
      <w:r w:rsidR="00754790" w:rsidRPr="000A5187">
        <w:rPr>
          <w:sz w:val="26"/>
          <w:szCs w:val="26"/>
        </w:rPr>
        <w:t xml:space="preserve">shall be posted on the Commission’s website at the Office of Competitive Market Oversight web page and on the web page for the </w:t>
      </w:r>
      <w:r w:rsidR="00754790" w:rsidRPr="000A5187">
        <w:rPr>
          <w:i/>
          <w:sz w:val="26"/>
          <w:szCs w:val="26"/>
        </w:rPr>
        <w:t xml:space="preserve">Investigation of Pennsylvania's Retail </w:t>
      </w:r>
      <w:r w:rsidR="00C272A9">
        <w:rPr>
          <w:i/>
          <w:sz w:val="26"/>
          <w:szCs w:val="26"/>
        </w:rPr>
        <w:t xml:space="preserve">Gas Supply </w:t>
      </w:r>
      <w:r w:rsidR="00754790" w:rsidRPr="000A5187">
        <w:rPr>
          <w:i/>
          <w:sz w:val="26"/>
          <w:szCs w:val="26"/>
        </w:rPr>
        <w:t>Market.</w:t>
      </w:r>
    </w:p>
    <w:p w:rsidR="000B5053" w:rsidRDefault="000B5053" w:rsidP="000B5053">
      <w:pPr>
        <w:tabs>
          <w:tab w:val="left" w:pos="742"/>
        </w:tabs>
        <w:spacing w:line="360" w:lineRule="auto"/>
      </w:pPr>
    </w:p>
    <w:p w:rsidR="00BA6A43" w:rsidRPr="00BA6A43" w:rsidRDefault="00BA6A43" w:rsidP="00071B81">
      <w:pPr>
        <w:tabs>
          <w:tab w:val="left" w:pos="742"/>
        </w:tabs>
        <w:spacing w:line="360" w:lineRule="auto"/>
        <w:rPr>
          <w:sz w:val="26"/>
          <w:szCs w:val="26"/>
        </w:rPr>
      </w:pPr>
      <w:r>
        <w:rPr>
          <w:sz w:val="26"/>
          <w:szCs w:val="26"/>
        </w:rPr>
        <w:tab/>
        <w:t xml:space="preserve">10. </w:t>
      </w:r>
      <w:r>
        <w:rPr>
          <w:sz w:val="26"/>
          <w:szCs w:val="26"/>
        </w:rPr>
        <w:tab/>
        <w:t xml:space="preserve">That the contact person for legal issues related to this rulemaking is Jennedy S. Johnson, Assistant Counsel, Law Bureau, 717-265-8423.  Alternate formats of this document are available to persons with disabilities and may be obtained by contacting Alyson </w:t>
      </w:r>
      <w:proofErr w:type="spellStart"/>
      <w:r>
        <w:rPr>
          <w:sz w:val="26"/>
          <w:szCs w:val="26"/>
        </w:rPr>
        <w:t>Zerbe</w:t>
      </w:r>
      <w:proofErr w:type="spellEnd"/>
      <w:r>
        <w:rPr>
          <w:sz w:val="26"/>
          <w:szCs w:val="26"/>
        </w:rPr>
        <w:t>, Regulatory Coordinator, Law Bureau, 717-772-4597.</w:t>
      </w:r>
    </w:p>
    <w:p w:rsidR="00E91F49" w:rsidRPr="00D87600" w:rsidRDefault="00F90808" w:rsidP="00213616">
      <w:pPr>
        <w:pStyle w:val="p17"/>
        <w:spacing w:line="360" w:lineRule="auto"/>
        <w:ind w:left="5057"/>
        <w:rPr>
          <w:rFonts w:cstheme="minorHAnsi"/>
          <w:b/>
          <w:bCs/>
          <w:sz w:val="26"/>
          <w:szCs w:val="26"/>
        </w:rPr>
      </w:pPr>
      <w:r>
        <w:rPr>
          <w:noProof/>
        </w:rPr>
        <w:drawing>
          <wp:anchor distT="0" distB="0" distL="114300" distR="114300" simplePos="0" relativeHeight="251659264" behindDoc="1" locked="0" layoutInCell="1" allowOverlap="1" wp14:anchorId="6AAC91C7" wp14:editId="7961608C">
            <wp:simplePos x="0" y="0"/>
            <wp:positionH relativeFrom="column">
              <wp:posOffset>3233420</wp:posOffset>
            </wp:positionH>
            <wp:positionV relativeFrom="paragraph">
              <wp:posOffset>351155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91F49" w:rsidRPr="00D87600">
        <w:rPr>
          <w:rFonts w:asciiTheme="minorHAnsi" w:hAnsiTheme="minorHAnsi" w:cstheme="minorHAnsi"/>
          <w:b/>
          <w:bCs/>
          <w:color w:val="000000"/>
          <w:sz w:val="26"/>
          <w:szCs w:val="26"/>
        </w:rPr>
        <w:br/>
        <w:t>BY THE COMMISSION</w:t>
      </w:r>
    </w:p>
    <w:p w:rsidR="00E91F49" w:rsidRDefault="00E91F49" w:rsidP="00D25BD4">
      <w:pPr>
        <w:tabs>
          <w:tab w:val="left" w:pos="5057"/>
        </w:tabs>
        <w:spacing w:line="360" w:lineRule="auto"/>
        <w:rPr>
          <w:rFonts w:cstheme="minorHAnsi"/>
          <w:b/>
          <w:bCs/>
          <w:sz w:val="26"/>
          <w:szCs w:val="26"/>
        </w:rPr>
      </w:pPr>
    </w:p>
    <w:p w:rsidR="00DA44C5" w:rsidRPr="00D87600" w:rsidRDefault="00DA44C5" w:rsidP="00D25BD4">
      <w:pPr>
        <w:tabs>
          <w:tab w:val="left" w:pos="5057"/>
        </w:tabs>
        <w:spacing w:line="360" w:lineRule="auto"/>
        <w:rPr>
          <w:rFonts w:cstheme="minorHAnsi"/>
          <w:b/>
          <w:bCs/>
          <w:sz w:val="26"/>
          <w:szCs w:val="26"/>
        </w:rPr>
      </w:pPr>
    </w:p>
    <w:p w:rsidR="00E91F49" w:rsidRPr="00D87600" w:rsidRDefault="00E91F49" w:rsidP="00213616">
      <w:pPr>
        <w:pStyle w:val="p18"/>
        <w:ind w:left="5069"/>
        <w:rPr>
          <w:rFonts w:asciiTheme="minorHAnsi" w:hAnsiTheme="minorHAnsi" w:cstheme="minorHAnsi"/>
          <w:sz w:val="26"/>
          <w:szCs w:val="26"/>
        </w:rPr>
      </w:pPr>
      <w:r w:rsidRPr="00D87600">
        <w:rPr>
          <w:rFonts w:asciiTheme="minorHAnsi" w:hAnsiTheme="minorHAnsi" w:cstheme="minorHAnsi"/>
          <w:sz w:val="26"/>
          <w:szCs w:val="26"/>
        </w:rPr>
        <w:t>Rosemary Chiavetta</w:t>
      </w:r>
    </w:p>
    <w:p w:rsidR="00E91F49" w:rsidRPr="00D87600" w:rsidRDefault="00E91F49" w:rsidP="00213616">
      <w:pPr>
        <w:pStyle w:val="p18"/>
        <w:ind w:left="5069"/>
        <w:rPr>
          <w:rFonts w:asciiTheme="minorHAnsi" w:hAnsiTheme="minorHAnsi" w:cstheme="minorHAnsi"/>
          <w:sz w:val="26"/>
          <w:szCs w:val="26"/>
        </w:rPr>
      </w:pPr>
      <w:r w:rsidRPr="00D87600">
        <w:rPr>
          <w:rFonts w:asciiTheme="minorHAnsi" w:hAnsiTheme="minorHAnsi" w:cstheme="minorHAnsi"/>
          <w:sz w:val="26"/>
          <w:szCs w:val="26"/>
        </w:rPr>
        <w:t>Secretary</w:t>
      </w:r>
    </w:p>
    <w:p w:rsidR="00E91F49" w:rsidRPr="00D87600" w:rsidRDefault="00E91F49" w:rsidP="00D25BD4">
      <w:pPr>
        <w:tabs>
          <w:tab w:val="left" w:pos="5062"/>
        </w:tabs>
        <w:spacing w:line="360" w:lineRule="auto"/>
        <w:rPr>
          <w:rFonts w:cstheme="minorHAnsi"/>
          <w:sz w:val="26"/>
          <w:szCs w:val="26"/>
        </w:rPr>
      </w:pPr>
    </w:p>
    <w:p w:rsidR="00E91F49" w:rsidRPr="00D87600" w:rsidRDefault="00E91F49" w:rsidP="00D25BD4">
      <w:pPr>
        <w:pStyle w:val="p14"/>
        <w:spacing w:line="360" w:lineRule="auto"/>
        <w:rPr>
          <w:rFonts w:asciiTheme="minorHAnsi" w:hAnsiTheme="minorHAnsi" w:cstheme="minorHAnsi"/>
          <w:sz w:val="26"/>
          <w:szCs w:val="26"/>
        </w:rPr>
      </w:pPr>
      <w:r w:rsidRPr="00D87600">
        <w:rPr>
          <w:rFonts w:asciiTheme="minorHAnsi" w:hAnsiTheme="minorHAnsi" w:cstheme="minorHAnsi"/>
          <w:sz w:val="26"/>
          <w:szCs w:val="26"/>
        </w:rPr>
        <w:t>(SEAL)</w:t>
      </w:r>
    </w:p>
    <w:p w:rsidR="004E6F65" w:rsidRDefault="00E91F49" w:rsidP="00213616">
      <w:pPr>
        <w:pStyle w:val="p14"/>
        <w:rPr>
          <w:rFonts w:asciiTheme="minorHAnsi" w:hAnsiTheme="minorHAnsi" w:cstheme="minorHAnsi"/>
          <w:sz w:val="26"/>
          <w:szCs w:val="26"/>
        </w:rPr>
      </w:pPr>
      <w:r w:rsidRPr="00D87600">
        <w:rPr>
          <w:rFonts w:asciiTheme="minorHAnsi" w:hAnsiTheme="minorHAnsi" w:cstheme="minorHAnsi"/>
          <w:sz w:val="26"/>
          <w:szCs w:val="26"/>
        </w:rPr>
        <w:t xml:space="preserve">ORDER ADOPTED: </w:t>
      </w:r>
      <w:r w:rsidR="00FB4876">
        <w:rPr>
          <w:rFonts w:asciiTheme="minorHAnsi" w:hAnsiTheme="minorHAnsi" w:cstheme="minorHAnsi"/>
          <w:sz w:val="26"/>
          <w:szCs w:val="26"/>
        </w:rPr>
        <w:t xml:space="preserve"> April 21, 2016</w:t>
      </w:r>
    </w:p>
    <w:p w:rsidR="00213616" w:rsidRDefault="00213616" w:rsidP="00213616">
      <w:pPr>
        <w:pStyle w:val="p14"/>
        <w:rPr>
          <w:rFonts w:asciiTheme="minorHAnsi" w:hAnsiTheme="minorHAnsi" w:cstheme="minorHAnsi"/>
          <w:sz w:val="26"/>
          <w:szCs w:val="26"/>
        </w:rPr>
      </w:pPr>
    </w:p>
    <w:p w:rsidR="006869CD" w:rsidRDefault="00977124" w:rsidP="001E7AFF">
      <w:pPr>
        <w:pStyle w:val="p14"/>
        <w:rPr>
          <w:sz w:val="26"/>
          <w:szCs w:val="26"/>
        </w:rPr>
        <w:sectPr w:rsidR="006869CD" w:rsidSect="005004B5">
          <w:footerReference w:type="default" r:id="rId13"/>
          <w:pgSz w:w="12240" w:h="15840"/>
          <w:pgMar w:top="1440" w:right="1440" w:bottom="1440" w:left="1440" w:header="720" w:footer="720" w:gutter="0"/>
          <w:cols w:space="720"/>
          <w:docGrid w:linePitch="360"/>
        </w:sectPr>
      </w:pPr>
      <w:r>
        <w:rPr>
          <w:sz w:val="26"/>
          <w:szCs w:val="26"/>
        </w:rPr>
        <w:t>ORDER ENTERED:</w:t>
      </w:r>
      <w:r w:rsidR="00CA5ABE">
        <w:rPr>
          <w:sz w:val="26"/>
          <w:szCs w:val="26"/>
        </w:rPr>
        <w:t xml:space="preserve">  </w:t>
      </w:r>
      <w:r w:rsidR="00F90808">
        <w:rPr>
          <w:sz w:val="26"/>
          <w:szCs w:val="26"/>
        </w:rPr>
        <w:t>April 21, 2016</w:t>
      </w:r>
      <w:bookmarkStart w:id="0" w:name="_GoBack"/>
      <w:bookmarkEnd w:id="0"/>
    </w:p>
    <w:p w:rsidR="006869CD" w:rsidRDefault="006869CD" w:rsidP="001E7AFF">
      <w:pPr>
        <w:pStyle w:val="p14"/>
        <w:rPr>
          <w:sz w:val="26"/>
          <w:szCs w:val="26"/>
        </w:rPr>
      </w:pPr>
    </w:p>
    <w:p w:rsidR="00977124" w:rsidRPr="00BE0FF4" w:rsidRDefault="00977124" w:rsidP="00B27C80">
      <w:pPr>
        <w:spacing w:after="200"/>
        <w:jc w:val="center"/>
        <w:rPr>
          <w:rFonts w:eastAsia="Times New Roman" w:cstheme="minorHAnsi"/>
          <w:b/>
          <w:bCs/>
          <w:sz w:val="26"/>
          <w:szCs w:val="26"/>
        </w:rPr>
      </w:pPr>
      <w:r w:rsidRPr="002A0094">
        <w:rPr>
          <w:rFonts w:eastAsia="Times New Roman" w:cstheme="minorHAnsi"/>
          <w:b/>
          <w:bCs/>
          <w:sz w:val="26"/>
          <w:szCs w:val="26"/>
        </w:rPr>
        <w:t>ATTACHMENT A</w:t>
      </w:r>
    </w:p>
    <w:p w:rsidR="00977124" w:rsidRPr="00BE0FF4" w:rsidRDefault="00C272A9" w:rsidP="00977124">
      <w:pPr>
        <w:rPr>
          <w:rFonts w:cstheme="minorHAnsi"/>
          <w:sz w:val="26"/>
          <w:szCs w:val="26"/>
        </w:rPr>
      </w:pPr>
      <w:r>
        <w:rPr>
          <w:rFonts w:cstheme="minorHAnsi"/>
          <w:b/>
          <w:sz w:val="26"/>
          <w:szCs w:val="26"/>
        </w:rPr>
        <w:t>Natural Gas</w:t>
      </w:r>
      <w:r w:rsidR="00977124" w:rsidRPr="00BE0FF4">
        <w:rPr>
          <w:rFonts w:cstheme="minorHAnsi"/>
          <w:b/>
          <w:sz w:val="26"/>
          <w:szCs w:val="26"/>
        </w:rPr>
        <w:t xml:space="preserve"> Supplier Contract Summary</w:t>
      </w:r>
    </w:p>
    <w:tbl>
      <w:tblPr>
        <w:tblStyle w:val="TableGrid"/>
        <w:tblW w:w="0" w:type="auto"/>
        <w:tblLook w:val="04A0" w:firstRow="1" w:lastRow="0" w:firstColumn="1" w:lastColumn="0" w:noHBand="0" w:noVBand="1"/>
      </w:tblPr>
      <w:tblGrid>
        <w:gridCol w:w="4788"/>
        <w:gridCol w:w="4788"/>
      </w:tblGrid>
      <w:tr w:rsidR="00977124" w:rsidRPr="002530E7" w:rsidTr="00977124">
        <w:tc>
          <w:tcPr>
            <w:tcW w:w="4788" w:type="dxa"/>
          </w:tcPr>
          <w:p w:rsidR="00977124" w:rsidRPr="00BE0FF4" w:rsidRDefault="008B31D0" w:rsidP="00977124">
            <w:pPr>
              <w:rPr>
                <w:rFonts w:asciiTheme="minorHAnsi" w:hAnsiTheme="minorHAnsi" w:cstheme="minorHAnsi"/>
                <w:sz w:val="26"/>
                <w:szCs w:val="26"/>
              </w:rPr>
            </w:pPr>
            <w:r>
              <w:rPr>
                <w:rFonts w:asciiTheme="minorHAnsi" w:hAnsiTheme="minorHAnsi" w:cstheme="minorHAnsi"/>
                <w:sz w:val="26"/>
                <w:szCs w:val="26"/>
              </w:rPr>
              <w:t>Natural Gas</w:t>
            </w:r>
            <w:r w:rsidR="00977124" w:rsidRPr="00BE0FF4">
              <w:rPr>
                <w:rFonts w:asciiTheme="minorHAnsi" w:hAnsiTheme="minorHAnsi" w:cstheme="minorHAnsi"/>
                <w:sz w:val="26"/>
                <w:szCs w:val="26"/>
              </w:rPr>
              <w:t xml:space="preserve"> Supplier Information</w:t>
            </w:r>
          </w:p>
        </w:tc>
        <w:tc>
          <w:tcPr>
            <w:tcW w:w="4788" w:type="dxa"/>
          </w:tcPr>
          <w:p w:rsidR="00977124" w:rsidRPr="00BE0FF4" w:rsidRDefault="00977124" w:rsidP="00977124">
            <w:pPr>
              <w:rPr>
                <w:rFonts w:asciiTheme="minorHAnsi" w:hAnsiTheme="minorHAnsi" w:cstheme="minorHAnsi"/>
                <w:i/>
                <w:sz w:val="26"/>
                <w:szCs w:val="26"/>
              </w:rPr>
            </w:pPr>
            <w:r w:rsidRPr="00BE0FF4">
              <w:rPr>
                <w:rFonts w:asciiTheme="minorHAnsi" w:hAnsiTheme="minorHAnsi" w:cstheme="minorHAnsi"/>
                <w:i/>
                <w:sz w:val="26"/>
                <w:szCs w:val="26"/>
              </w:rPr>
              <w:t>Name, telephone number, website, etc.</w:t>
            </w:r>
          </w:p>
          <w:p w:rsidR="00977124" w:rsidRPr="00BE0FF4" w:rsidRDefault="00202C13" w:rsidP="000E1F77">
            <w:pPr>
              <w:rPr>
                <w:rFonts w:asciiTheme="minorHAnsi" w:hAnsiTheme="minorHAnsi" w:cstheme="minorHAnsi"/>
                <w:i/>
                <w:sz w:val="26"/>
                <w:szCs w:val="26"/>
              </w:rPr>
            </w:pPr>
            <w:r>
              <w:rPr>
                <w:rFonts w:asciiTheme="minorHAnsi" w:hAnsiTheme="minorHAnsi" w:cstheme="minorHAnsi"/>
                <w:i/>
                <w:sz w:val="26"/>
                <w:szCs w:val="26"/>
              </w:rPr>
              <w:t>Plain language statement that N</w:t>
            </w:r>
            <w:r w:rsidR="00977124" w:rsidRPr="00BE0FF4">
              <w:rPr>
                <w:rFonts w:asciiTheme="minorHAnsi" w:hAnsiTheme="minorHAnsi" w:cstheme="minorHAnsi"/>
                <w:i/>
                <w:sz w:val="26"/>
                <w:szCs w:val="26"/>
              </w:rPr>
              <w:t xml:space="preserve">GS is responsible for </w:t>
            </w:r>
            <w:r w:rsidR="000E1F77">
              <w:rPr>
                <w:rFonts w:asciiTheme="minorHAnsi" w:hAnsiTheme="minorHAnsi" w:cstheme="minorHAnsi"/>
                <w:i/>
                <w:sz w:val="26"/>
                <w:szCs w:val="26"/>
              </w:rPr>
              <w:t>gas commodity</w:t>
            </w:r>
            <w:r w:rsidR="00A05B23">
              <w:rPr>
                <w:rFonts w:asciiTheme="minorHAnsi" w:hAnsiTheme="minorHAnsi" w:cstheme="minorHAnsi"/>
                <w:i/>
                <w:sz w:val="26"/>
                <w:szCs w:val="26"/>
              </w:rPr>
              <w:t>/supply</w:t>
            </w:r>
            <w:r w:rsidR="000E1F77">
              <w:rPr>
                <w:rFonts w:asciiTheme="minorHAnsi" w:hAnsiTheme="minorHAnsi" w:cstheme="minorHAnsi"/>
                <w:i/>
                <w:sz w:val="26"/>
                <w:szCs w:val="26"/>
              </w:rPr>
              <w:t xml:space="preserve"> </w:t>
            </w:r>
            <w:r w:rsidR="00977124" w:rsidRPr="00BE0FF4">
              <w:rPr>
                <w:rFonts w:asciiTheme="minorHAnsi" w:hAnsiTheme="minorHAnsi" w:cstheme="minorHAnsi"/>
                <w:i/>
                <w:sz w:val="26"/>
                <w:szCs w:val="26"/>
              </w:rPr>
              <w:t>charges.</w:t>
            </w:r>
          </w:p>
        </w:tc>
      </w:tr>
      <w:tr w:rsidR="00977124" w:rsidRPr="002530E7" w:rsidTr="00977124">
        <w:tc>
          <w:tcPr>
            <w:tcW w:w="4788" w:type="dxa"/>
          </w:tcPr>
          <w:p w:rsidR="00977124" w:rsidRPr="00BE0FF4" w:rsidRDefault="002A0094" w:rsidP="00977124">
            <w:pPr>
              <w:rPr>
                <w:rFonts w:asciiTheme="minorHAnsi" w:hAnsiTheme="minorHAnsi" w:cstheme="minorHAnsi"/>
                <w:sz w:val="26"/>
                <w:szCs w:val="26"/>
              </w:rPr>
            </w:pPr>
            <w:r>
              <w:rPr>
                <w:rFonts w:asciiTheme="minorHAnsi" w:hAnsiTheme="minorHAnsi" w:cstheme="minorHAnsi"/>
                <w:sz w:val="26"/>
                <w:szCs w:val="26"/>
              </w:rPr>
              <w:t xml:space="preserve">Natural Gas </w:t>
            </w:r>
            <w:r w:rsidR="00977124" w:rsidRPr="00BE0FF4">
              <w:rPr>
                <w:rFonts w:asciiTheme="minorHAnsi" w:hAnsiTheme="minorHAnsi" w:cstheme="minorHAnsi"/>
                <w:sz w:val="26"/>
                <w:szCs w:val="26"/>
              </w:rPr>
              <w:t>Price Structure</w:t>
            </w:r>
          </w:p>
        </w:tc>
        <w:tc>
          <w:tcPr>
            <w:tcW w:w="4788" w:type="dxa"/>
          </w:tcPr>
          <w:p w:rsidR="00977124" w:rsidRPr="00BE0FF4" w:rsidRDefault="00A05B23" w:rsidP="00A05B23">
            <w:pPr>
              <w:rPr>
                <w:rFonts w:asciiTheme="minorHAnsi" w:hAnsiTheme="minorHAnsi" w:cstheme="minorHAnsi"/>
                <w:i/>
                <w:sz w:val="26"/>
                <w:szCs w:val="26"/>
              </w:rPr>
            </w:pPr>
            <w:r>
              <w:rPr>
                <w:rFonts w:asciiTheme="minorHAnsi" w:hAnsiTheme="minorHAnsi" w:cstheme="minorHAnsi"/>
                <w:i/>
                <w:sz w:val="26"/>
                <w:szCs w:val="26"/>
              </w:rPr>
              <w:t xml:space="preserve">Fixed, </w:t>
            </w:r>
            <w:r w:rsidR="00977124" w:rsidRPr="00BE0FF4">
              <w:rPr>
                <w:rFonts w:asciiTheme="minorHAnsi" w:hAnsiTheme="minorHAnsi" w:cstheme="minorHAnsi"/>
                <w:i/>
                <w:sz w:val="26"/>
                <w:szCs w:val="26"/>
              </w:rPr>
              <w:t>variable</w:t>
            </w:r>
            <w:r>
              <w:rPr>
                <w:rFonts w:asciiTheme="minorHAnsi" w:hAnsiTheme="minorHAnsi" w:cstheme="minorHAnsi"/>
                <w:i/>
                <w:sz w:val="26"/>
                <w:szCs w:val="26"/>
              </w:rPr>
              <w:t xml:space="preserve"> or other</w:t>
            </w:r>
            <w:r w:rsidR="00977124" w:rsidRPr="00BE0FF4">
              <w:rPr>
                <w:rFonts w:asciiTheme="minorHAnsi" w:hAnsiTheme="minorHAnsi" w:cstheme="minorHAnsi"/>
                <w:i/>
                <w:sz w:val="26"/>
                <w:szCs w:val="26"/>
              </w:rPr>
              <w:t xml:space="preserve">.  If variable, based on what?  </w:t>
            </w:r>
            <w:r w:rsidR="00DA1464">
              <w:rPr>
                <w:rFonts w:asciiTheme="minorHAnsi" w:hAnsiTheme="minorHAnsi" w:cstheme="minorHAnsi"/>
                <w:i/>
                <w:sz w:val="26"/>
                <w:szCs w:val="26"/>
              </w:rPr>
              <w:t xml:space="preserve">If variable, how often is the </w:t>
            </w:r>
            <w:r w:rsidR="00202C13">
              <w:rPr>
                <w:rFonts w:asciiTheme="minorHAnsi" w:hAnsiTheme="minorHAnsi" w:cstheme="minorHAnsi"/>
                <w:i/>
                <w:sz w:val="26"/>
                <w:szCs w:val="26"/>
              </w:rPr>
              <w:t>price</w:t>
            </w:r>
            <w:r w:rsidR="00DA1464">
              <w:rPr>
                <w:rFonts w:asciiTheme="minorHAnsi" w:hAnsiTheme="minorHAnsi" w:cstheme="minorHAnsi"/>
                <w:i/>
                <w:sz w:val="26"/>
                <w:szCs w:val="26"/>
              </w:rPr>
              <w:t xml:space="preserve"> expected to vary? </w:t>
            </w:r>
            <w:r w:rsidR="00977124" w:rsidRPr="00BE0FF4">
              <w:rPr>
                <w:rFonts w:asciiTheme="minorHAnsi" w:hAnsiTheme="minorHAnsi" w:cstheme="minorHAnsi"/>
                <w:i/>
                <w:sz w:val="26"/>
                <w:szCs w:val="26"/>
              </w:rPr>
              <w:t xml:space="preserve">If variable, </w:t>
            </w:r>
            <w:r w:rsidR="00B27C80">
              <w:rPr>
                <w:rFonts w:asciiTheme="minorHAnsi" w:hAnsiTheme="minorHAnsi" w:cstheme="minorHAnsi"/>
                <w:i/>
                <w:sz w:val="26"/>
                <w:szCs w:val="26"/>
              </w:rPr>
              <w:t xml:space="preserve">give </w:t>
            </w:r>
            <w:r w:rsidR="00977124" w:rsidRPr="00BE0FF4">
              <w:rPr>
                <w:rFonts w:asciiTheme="minorHAnsi" w:hAnsiTheme="minorHAnsi" w:cstheme="minorHAnsi"/>
                <w:i/>
                <w:sz w:val="26"/>
                <w:szCs w:val="26"/>
              </w:rPr>
              <w:t xml:space="preserve">any applicable ranges/ceilings. If no ranges/ceilings, a plain language statement indicating </w:t>
            </w:r>
            <w:r w:rsidR="00B27C80">
              <w:rPr>
                <w:rFonts w:asciiTheme="minorHAnsi" w:hAnsiTheme="minorHAnsi" w:cstheme="minorHAnsi"/>
                <w:i/>
                <w:sz w:val="26"/>
                <w:szCs w:val="26"/>
              </w:rPr>
              <w:t>this fact</w:t>
            </w:r>
            <w:r w:rsidR="00977124" w:rsidRPr="00BE0FF4">
              <w:rPr>
                <w:rFonts w:asciiTheme="minorHAnsi" w:hAnsiTheme="minorHAnsi" w:cstheme="minorHAnsi"/>
                <w:i/>
                <w:sz w:val="26"/>
                <w:szCs w:val="26"/>
              </w:rPr>
              <w:t>.</w:t>
            </w:r>
            <w:r w:rsidR="00B27C80">
              <w:rPr>
                <w:rFonts w:asciiTheme="minorHAnsi" w:hAnsiTheme="minorHAnsi" w:cstheme="minorHAnsi"/>
                <w:i/>
                <w:sz w:val="26"/>
                <w:szCs w:val="26"/>
              </w:rPr>
              <w:t xml:space="preserve">  If variable, describe when the customer will receive notification of price changes in relation to time of month, final monthly meter read, billing cycle or when </w:t>
            </w:r>
            <w:r w:rsidR="00AE07F5">
              <w:rPr>
                <w:rFonts w:asciiTheme="minorHAnsi" w:hAnsiTheme="minorHAnsi" w:cstheme="minorHAnsi"/>
                <w:i/>
                <w:sz w:val="26"/>
                <w:szCs w:val="26"/>
              </w:rPr>
              <w:t>the price takes effect.</w:t>
            </w:r>
          </w:p>
        </w:tc>
      </w:tr>
      <w:tr w:rsidR="00977124" w:rsidRPr="002530E7" w:rsidTr="00977124">
        <w:tc>
          <w:tcPr>
            <w:tcW w:w="4788" w:type="dxa"/>
          </w:tcPr>
          <w:p w:rsidR="00977124" w:rsidRPr="00BE0FF4" w:rsidRDefault="002A0094" w:rsidP="00977124">
            <w:pPr>
              <w:rPr>
                <w:rFonts w:asciiTheme="minorHAnsi" w:hAnsiTheme="minorHAnsi" w:cstheme="minorHAnsi"/>
                <w:sz w:val="26"/>
                <w:szCs w:val="26"/>
              </w:rPr>
            </w:pPr>
            <w:r>
              <w:rPr>
                <w:rFonts w:asciiTheme="minorHAnsi" w:hAnsiTheme="minorHAnsi" w:cstheme="minorHAnsi"/>
                <w:sz w:val="26"/>
                <w:szCs w:val="26"/>
              </w:rPr>
              <w:t xml:space="preserve">Natural Gas </w:t>
            </w:r>
            <w:r w:rsidR="00977124" w:rsidRPr="00BE0FF4">
              <w:rPr>
                <w:rFonts w:asciiTheme="minorHAnsi" w:hAnsiTheme="minorHAnsi" w:cstheme="minorHAnsi"/>
                <w:sz w:val="26"/>
                <w:szCs w:val="26"/>
              </w:rPr>
              <w:t>Supply Price</w:t>
            </w:r>
          </w:p>
        </w:tc>
        <w:tc>
          <w:tcPr>
            <w:tcW w:w="4788" w:type="dxa"/>
          </w:tcPr>
          <w:p w:rsidR="00977124" w:rsidRPr="00BE0FF4" w:rsidRDefault="00977124" w:rsidP="00A05B23">
            <w:pPr>
              <w:rPr>
                <w:rFonts w:asciiTheme="minorHAnsi" w:hAnsiTheme="minorHAnsi" w:cstheme="minorHAnsi"/>
                <w:i/>
                <w:sz w:val="26"/>
                <w:szCs w:val="26"/>
              </w:rPr>
            </w:pPr>
            <w:r w:rsidRPr="002A0094">
              <w:rPr>
                <w:rFonts w:asciiTheme="minorHAnsi" w:hAnsiTheme="minorHAnsi" w:cstheme="minorHAnsi"/>
                <w:i/>
                <w:sz w:val="26"/>
                <w:szCs w:val="26"/>
                <w:shd w:val="clear" w:color="auto" w:fill="FFFFFF" w:themeFill="background1"/>
              </w:rPr>
              <w:t>$/</w:t>
            </w:r>
            <w:r w:rsidR="002A0094" w:rsidRPr="002A0094">
              <w:rPr>
                <w:rFonts w:asciiTheme="minorHAnsi" w:hAnsiTheme="minorHAnsi" w:cstheme="minorHAnsi"/>
                <w:i/>
                <w:sz w:val="26"/>
                <w:szCs w:val="26"/>
                <w:shd w:val="clear" w:color="auto" w:fill="FFFFFF" w:themeFill="background1"/>
              </w:rPr>
              <w:t>unit</w:t>
            </w:r>
            <w:r w:rsidRPr="002A0094">
              <w:rPr>
                <w:rFonts w:asciiTheme="minorHAnsi" w:hAnsiTheme="minorHAnsi" w:cstheme="minorHAnsi"/>
                <w:i/>
                <w:sz w:val="26"/>
                <w:szCs w:val="26"/>
                <w:shd w:val="clear" w:color="auto" w:fill="FFFFFF" w:themeFill="background1"/>
              </w:rPr>
              <w:t xml:space="preserve"> or ¢/</w:t>
            </w:r>
            <w:r w:rsidR="002A0094" w:rsidRPr="002A0094">
              <w:rPr>
                <w:rFonts w:asciiTheme="minorHAnsi" w:hAnsiTheme="minorHAnsi" w:cstheme="minorHAnsi"/>
                <w:i/>
                <w:sz w:val="26"/>
                <w:szCs w:val="26"/>
                <w:shd w:val="clear" w:color="auto" w:fill="FFFFFF" w:themeFill="background1"/>
              </w:rPr>
              <w:t>unit</w:t>
            </w:r>
            <w:r w:rsidRPr="00BE0FF4">
              <w:rPr>
                <w:rFonts w:asciiTheme="minorHAnsi" w:hAnsiTheme="minorHAnsi" w:cstheme="minorHAnsi"/>
                <w:i/>
                <w:sz w:val="26"/>
                <w:szCs w:val="26"/>
              </w:rPr>
              <w:t>.  If variable</w:t>
            </w:r>
            <w:r w:rsidR="00202C13">
              <w:rPr>
                <w:rFonts w:asciiTheme="minorHAnsi" w:hAnsiTheme="minorHAnsi" w:cstheme="minorHAnsi"/>
                <w:i/>
                <w:sz w:val="26"/>
                <w:szCs w:val="26"/>
              </w:rPr>
              <w:t xml:space="preserve"> price</w:t>
            </w:r>
            <w:r w:rsidRPr="00BE0FF4">
              <w:rPr>
                <w:rFonts w:asciiTheme="minorHAnsi" w:hAnsiTheme="minorHAnsi" w:cstheme="minorHAnsi"/>
                <w:i/>
                <w:sz w:val="26"/>
                <w:szCs w:val="26"/>
              </w:rPr>
              <w:t xml:space="preserve">, the first billing cycle’s rate.  </w:t>
            </w:r>
            <w:r w:rsidR="00A05B23">
              <w:rPr>
                <w:rFonts w:asciiTheme="minorHAnsi" w:hAnsiTheme="minorHAnsi" w:cstheme="minorHAnsi"/>
                <w:i/>
                <w:sz w:val="26"/>
                <w:szCs w:val="26"/>
              </w:rPr>
              <w:t>Full disclosure of a</w:t>
            </w:r>
            <w:r w:rsidRPr="00BE0FF4">
              <w:rPr>
                <w:rFonts w:asciiTheme="minorHAnsi" w:hAnsiTheme="minorHAnsi" w:cstheme="minorHAnsi"/>
                <w:i/>
                <w:sz w:val="26"/>
                <w:szCs w:val="26"/>
              </w:rPr>
              <w:t>ny introductory rate.</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 xml:space="preserve">Statement Regarding Savings </w:t>
            </w:r>
          </w:p>
        </w:tc>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i/>
                <w:sz w:val="26"/>
                <w:szCs w:val="26"/>
              </w:rPr>
              <w:t>Plain language that the supply price may not always provide savings to the customer</w:t>
            </w:r>
            <w:r w:rsidR="00CF1287">
              <w:rPr>
                <w:rFonts w:asciiTheme="minorHAnsi" w:hAnsiTheme="minorHAnsi" w:cstheme="minorHAnsi"/>
                <w:i/>
                <w:sz w:val="26"/>
                <w:szCs w:val="26"/>
              </w:rPr>
              <w:t>.</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Deposit Requirements</w:t>
            </w:r>
          </w:p>
        </w:tc>
        <w:tc>
          <w:tcPr>
            <w:tcW w:w="4788" w:type="dxa"/>
          </w:tcPr>
          <w:p w:rsidR="00977124" w:rsidRPr="00BE0FF4" w:rsidRDefault="00977124" w:rsidP="00977124">
            <w:pPr>
              <w:rPr>
                <w:rFonts w:asciiTheme="minorHAnsi" w:hAnsiTheme="minorHAnsi" w:cstheme="minorHAnsi"/>
                <w:i/>
                <w:sz w:val="26"/>
                <w:szCs w:val="26"/>
              </w:rPr>
            </w:pPr>
            <w:r w:rsidRPr="00BE0FF4">
              <w:rPr>
                <w:rFonts w:asciiTheme="minorHAnsi" w:hAnsiTheme="minorHAnsi" w:cstheme="minorHAnsi"/>
                <w:i/>
                <w:sz w:val="26"/>
                <w:szCs w:val="26"/>
              </w:rPr>
              <w:t>Any deposit requirements necessary for a customer and any terms associated with that deposit, in plain language.</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Incentives</w:t>
            </w:r>
          </w:p>
        </w:tc>
        <w:tc>
          <w:tcPr>
            <w:tcW w:w="4788" w:type="dxa"/>
          </w:tcPr>
          <w:p w:rsidR="00977124" w:rsidRPr="00BE0FF4" w:rsidRDefault="00977124" w:rsidP="00CF4D10">
            <w:pPr>
              <w:rPr>
                <w:rFonts w:asciiTheme="minorHAnsi" w:hAnsiTheme="minorHAnsi" w:cstheme="minorHAnsi"/>
                <w:i/>
                <w:sz w:val="26"/>
                <w:szCs w:val="26"/>
              </w:rPr>
            </w:pPr>
            <w:r w:rsidRPr="00BE0FF4">
              <w:rPr>
                <w:rFonts w:asciiTheme="minorHAnsi" w:hAnsiTheme="minorHAnsi" w:cstheme="minorHAnsi"/>
                <w:i/>
                <w:sz w:val="26"/>
                <w:szCs w:val="26"/>
              </w:rPr>
              <w:t>Any bonuses, discounts, cashback, offers</w:t>
            </w:r>
            <w:r w:rsidR="00A05B23">
              <w:rPr>
                <w:rFonts w:asciiTheme="minorHAnsi" w:hAnsiTheme="minorHAnsi" w:cstheme="minorHAnsi"/>
                <w:i/>
                <w:sz w:val="26"/>
                <w:szCs w:val="26"/>
              </w:rPr>
              <w:t>, etc.</w:t>
            </w:r>
            <w:r w:rsidRPr="00BE0FF4">
              <w:rPr>
                <w:rFonts w:asciiTheme="minorHAnsi" w:hAnsiTheme="minorHAnsi" w:cstheme="minorHAnsi"/>
                <w:i/>
                <w:sz w:val="26"/>
                <w:szCs w:val="26"/>
              </w:rPr>
              <w:t xml:space="preserve"> and any associated terms,</w:t>
            </w:r>
            <w:r w:rsidR="00CF4D10">
              <w:rPr>
                <w:rFonts w:asciiTheme="minorHAnsi" w:hAnsiTheme="minorHAnsi" w:cstheme="minorHAnsi"/>
                <w:i/>
                <w:sz w:val="26"/>
                <w:szCs w:val="26"/>
              </w:rPr>
              <w:t xml:space="preserve"> criteria and conditions,</w:t>
            </w:r>
            <w:r w:rsidRPr="00BE0FF4">
              <w:rPr>
                <w:rFonts w:asciiTheme="minorHAnsi" w:hAnsiTheme="minorHAnsi" w:cstheme="minorHAnsi"/>
                <w:i/>
                <w:sz w:val="26"/>
                <w:szCs w:val="26"/>
              </w:rPr>
              <w:t xml:space="preserve"> in plain language.</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Contract Start Date</w:t>
            </w:r>
          </w:p>
        </w:tc>
        <w:tc>
          <w:tcPr>
            <w:tcW w:w="4788" w:type="dxa"/>
          </w:tcPr>
          <w:p w:rsidR="00977124" w:rsidRPr="00BE0FF4" w:rsidRDefault="00977124" w:rsidP="005122E5">
            <w:pPr>
              <w:rPr>
                <w:rFonts w:asciiTheme="minorHAnsi" w:hAnsiTheme="minorHAnsi" w:cstheme="minorHAnsi"/>
                <w:i/>
                <w:sz w:val="26"/>
                <w:szCs w:val="26"/>
              </w:rPr>
            </w:pPr>
            <w:r w:rsidRPr="00BE0FF4">
              <w:rPr>
                <w:rFonts w:asciiTheme="minorHAnsi" w:hAnsiTheme="minorHAnsi" w:cstheme="minorHAnsi"/>
                <w:i/>
                <w:sz w:val="26"/>
                <w:szCs w:val="26"/>
              </w:rPr>
              <w:t>Pla</w:t>
            </w:r>
            <w:r w:rsidR="005D4328">
              <w:rPr>
                <w:rFonts w:asciiTheme="minorHAnsi" w:hAnsiTheme="minorHAnsi" w:cstheme="minorHAnsi"/>
                <w:i/>
                <w:sz w:val="26"/>
                <w:szCs w:val="26"/>
              </w:rPr>
              <w:t xml:space="preserve">in language regarding </w:t>
            </w:r>
            <w:r w:rsidR="00FC6966">
              <w:rPr>
                <w:rFonts w:asciiTheme="minorHAnsi" w:hAnsiTheme="minorHAnsi" w:cstheme="minorHAnsi"/>
                <w:i/>
                <w:sz w:val="26"/>
                <w:szCs w:val="26"/>
              </w:rPr>
              <w:t xml:space="preserve">the </w:t>
            </w:r>
            <w:r w:rsidR="005122E5">
              <w:rPr>
                <w:rFonts w:asciiTheme="minorHAnsi" w:hAnsiTheme="minorHAnsi" w:cstheme="minorHAnsi"/>
                <w:i/>
                <w:sz w:val="26"/>
                <w:szCs w:val="26"/>
              </w:rPr>
              <w:t xml:space="preserve">approximate </w:t>
            </w:r>
            <w:r w:rsidR="005D4328">
              <w:rPr>
                <w:rFonts w:asciiTheme="minorHAnsi" w:hAnsiTheme="minorHAnsi" w:cstheme="minorHAnsi"/>
                <w:i/>
                <w:sz w:val="26"/>
                <w:szCs w:val="26"/>
              </w:rPr>
              <w:t>start of N</w:t>
            </w:r>
            <w:r w:rsidRPr="00BE0FF4">
              <w:rPr>
                <w:rFonts w:asciiTheme="minorHAnsi" w:hAnsiTheme="minorHAnsi" w:cstheme="minorHAnsi"/>
                <w:i/>
                <w:sz w:val="26"/>
                <w:szCs w:val="26"/>
              </w:rPr>
              <w:t>GS service</w:t>
            </w:r>
            <w:r w:rsidR="002A0094">
              <w:rPr>
                <w:rFonts w:asciiTheme="minorHAnsi" w:hAnsiTheme="minorHAnsi" w:cstheme="minorHAnsi"/>
                <w:i/>
                <w:sz w:val="26"/>
                <w:szCs w:val="26"/>
              </w:rPr>
              <w:t>.</w:t>
            </w:r>
            <w:r w:rsidRPr="00BE0FF4">
              <w:rPr>
                <w:rFonts w:asciiTheme="minorHAnsi" w:hAnsiTheme="minorHAnsi" w:cstheme="minorHAnsi"/>
                <w:i/>
                <w:sz w:val="26"/>
                <w:szCs w:val="26"/>
              </w:rPr>
              <w:t xml:space="preserve"> </w:t>
            </w:r>
          </w:p>
        </w:tc>
      </w:tr>
      <w:tr w:rsidR="00977124" w:rsidRPr="002530E7" w:rsidTr="00977124">
        <w:tc>
          <w:tcPr>
            <w:tcW w:w="4788" w:type="dxa"/>
          </w:tcPr>
          <w:p w:rsidR="00977124" w:rsidRPr="00BE0FF4" w:rsidRDefault="00977124" w:rsidP="00500FF0">
            <w:pPr>
              <w:rPr>
                <w:rFonts w:asciiTheme="minorHAnsi" w:hAnsiTheme="minorHAnsi" w:cstheme="minorHAnsi"/>
                <w:sz w:val="26"/>
                <w:szCs w:val="26"/>
              </w:rPr>
            </w:pPr>
            <w:r w:rsidRPr="00BE0FF4">
              <w:rPr>
                <w:rFonts w:asciiTheme="minorHAnsi" w:hAnsiTheme="minorHAnsi" w:cstheme="minorHAnsi"/>
                <w:sz w:val="26"/>
                <w:szCs w:val="26"/>
              </w:rPr>
              <w:t xml:space="preserve">Contract </w:t>
            </w:r>
            <w:r w:rsidR="009C3578" w:rsidRPr="00500FF0">
              <w:rPr>
                <w:rFonts w:asciiTheme="minorHAnsi" w:hAnsiTheme="minorHAnsi" w:cstheme="minorHAnsi"/>
                <w:sz w:val="26"/>
                <w:szCs w:val="26"/>
              </w:rPr>
              <w:t>D</w:t>
            </w:r>
            <w:r w:rsidR="00500FF0">
              <w:rPr>
                <w:rFonts w:asciiTheme="minorHAnsi" w:hAnsiTheme="minorHAnsi" w:cstheme="minorHAnsi"/>
                <w:sz w:val="26"/>
                <w:szCs w:val="26"/>
              </w:rPr>
              <w:t>uration</w:t>
            </w:r>
            <w:r w:rsidRPr="00BE0FF4">
              <w:rPr>
                <w:rFonts w:asciiTheme="minorHAnsi" w:hAnsiTheme="minorHAnsi" w:cstheme="minorHAnsi"/>
                <w:sz w:val="26"/>
                <w:szCs w:val="26"/>
              </w:rPr>
              <w:t>/Length</w:t>
            </w:r>
          </w:p>
        </w:tc>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i/>
                <w:sz w:val="26"/>
                <w:szCs w:val="26"/>
              </w:rPr>
              <w:t>In months, billing cycles, etc.</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Cancellation/Early Termination Fees</w:t>
            </w:r>
          </w:p>
        </w:tc>
        <w:tc>
          <w:tcPr>
            <w:tcW w:w="4788" w:type="dxa"/>
          </w:tcPr>
          <w:p w:rsidR="00977124" w:rsidRPr="00BE0FF4" w:rsidRDefault="00977124" w:rsidP="00977124">
            <w:pPr>
              <w:rPr>
                <w:rFonts w:asciiTheme="minorHAnsi" w:hAnsiTheme="minorHAnsi" w:cstheme="minorHAnsi"/>
                <w:i/>
                <w:sz w:val="26"/>
                <w:szCs w:val="26"/>
              </w:rPr>
            </w:pPr>
            <w:r>
              <w:rPr>
                <w:rFonts w:asciiTheme="minorHAnsi" w:hAnsiTheme="minorHAnsi" w:cstheme="minorHAnsi"/>
                <w:i/>
                <w:sz w:val="26"/>
                <w:szCs w:val="26"/>
              </w:rPr>
              <w:t>Yes or no.  If yes, describe the amount of the fee and how to avoid that fee, if possible.</w:t>
            </w:r>
          </w:p>
        </w:tc>
      </w:tr>
      <w:tr w:rsidR="00977124" w:rsidRPr="002530E7" w:rsidTr="00977124">
        <w:tc>
          <w:tcPr>
            <w:tcW w:w="4788" w:type="dxa"/>
          </w:tcPr>
          <w:p w:rsidR="00977124" w:rsidRPr="00BE0FF4" w:rsidRDefault="00264B0C" w:rsidP="00264B0C">
            <w:pPr>
              <w:rPr>
                <w:rFonts w:asciiTheme="minorHAnsi" w:hAnsiTheme="minorHAnsi" w:cstheme="minorHAnsi"/>
                <w:sz w:val="26"/>
                <w:szCs w:val="26"/>
              </w:rPr>
            </w:pPr>
            <w:r>
              <w:rPr>
                <w:rFonts w:asciiTheme="minorHAnsi" w:hAnsiTheme="minorHAnsi" w:cstheme="minorHAnsi"/>
                <w:sz w:val="26"/>
                <w:szCs w:val="26"/>
              </w:rPr>
              <w:t>End of Contract</w:t>
            </w:r>
          </w:p>
        </w:tc>
        <w:tc>
          <w:tcPr>
            <w:tcW w:w="4788" w:type="dxa"/>
          </w:tcPr>
          <w:p w:rsidR="00977124" w:rsidRPr="00BE0FF4" w:rsidRDefault="00977124" w:rsidP="00FC6966">
            <w:pPr>
              <w:rPr>
                <w:rFonts w:asciiTheme="minorHAnsi" w:hAnsiTheme="minorHAnsi" w:cstheme="minorHAnsi"/>
                <w:i/>
                <w:sz w:val="26"/>
                <w:szCs w:val="26"/>
              </w:rPr>
            </w:pPr>
            <w:r w:rsidRPr="00BE0FF4">
              <w:rPr>
                <w:rFonts w:asciiTheme="minorHAnsi" w:hAnsiTheme="minorHAnsi" w:cstheme="minorHAnsi"/>
                <w:i/>
                <w:sz w:val="26"/>
                <w:szCs w:val="26"/>
              </w:rPr>
              <w:t xml:space="preserve">Treatment of customer at </w:t>
            </w:r>
            <w:r w:rsidR="00D77747">
              <w:rPr>
                <w:rFonts w:asciiTheme="minorHAnsi" w:hAnsiTheme="minorHAnsi" w:cstheme="minorHAnsi"/>
                <w:i/>
                <w:sz w:val="26"/>
                <w:szCs w:val="26"/>
              </w:rPr>
              <w:t xml:space="preserve">the </w:t>
            </w:r>
            <w:r w:rsidRPr="00BE0FF4">
              <w:rPr>
                <w:rFonts w:asciiTheme="minorHAnsi" w:hAnsiTheme="minorHAnsi" w:cstheme="minorHAnsi"/>
                <w:i/>
                <w:sz w:val="26"/>
                <w:szCs w:val="26"/>
              </w:rPr>
              <w:t>end of contrac</w:t>
            </w:r>
            <w:r w:rsidR="00FC6966">
              <w:rPr>
                <w:rFonts w:asciiTheme="minorHAnsi" w:hAnsiTheme="minorHAnsi" w:cstheme="minorHAnsi"/>
                <w:i/>
                <w:sz w:val="26"/>
                <w:szCs w:val="26"/>
              </w:rPr>
              <w:t>t i</w:t>
            </w:r>
            <w:r w:rsidRPr="00BE0FF4">
              <w:rPr>
                <w:rFonts w:asciiTheme="minorHAnsi" w:hAnsiTheme="minorHAnsi" w:cstheme="minorHAnsi"/>
                <w:i/>
                <w:sz w:val="26"/>
                <w:szCs w:val="26"/>
              </w:rPr>
              <w:t>n plain language.</w:t>
            </w:r>
          </w:p>
        </w:tc>
      </w:tr>
    </w:tbl>
    <w:p w:rsidR="00977124" w:rsidRDefault="00977124" w:rsidP="004E6F65">
      <w:pPr>
        <w:pStyle w:val="p14"/>
        <w:spacing w:line="360" w:lineRule="auto"/>
        <w:rPr>
          <w:sz w:val="26"/>
          <w:szCs w:val="26"/>
        </w:rPr>
      </w:pPr>
    </w:p>
    <w:p w:rsidR="002A0094" w:rsidRDefault="002A0094" w:rsidP="004E6F65">
      <w:pPr>
        <w:pStyle w:val="p14"/>
        <w:spacing w:line="360" w:lineRule="auto"/>
        <w:rPr>
          <w:sz w:val="26"/>
          <w:szCs w:val="26"/>
        </w:rPr>
      </w:pPr>
    </w:p>
    <w:p w:rsidR="002A0094" w:rsidRDefault="002A0094" w:rsidP="004E6F65">
      <w:pPr>
        <w:pStyle w:val="p14"/>
        <w:spacing w:line="360" w:lineRule="auto"/>
        <w:rPr>
          <w:sz w:val="26"/>
          <w:szCs w:val="26"/>
        </w:rPr>
      </w:pPr>
    </w:p>
    <w:p w:rsidR="006869CD" w:rsidRDefault="006869CD" w:rsidP="00977124">
      <w:pPr>
        <w:rPr>
          <w:rFonts w:ascii="Times New Roman" w:eastAsia="Times New Roman" w:hAnsi="Times New Roman"/>
          <w:lang w:bidi="ar-SA"/>
        </w:rPr>
        <w:sectPr w:rsidR="006869CD" w:rsidSect="00B85136">
          <w:pgSz w:w="12240" w:h="15840"/>
          <w:pgMar w:top="1440" w:right="1440" w:bottom="1440" w:left="1440" w:header="720" w:footer="720" w:gutter="0"/>
          <w:pgNumType w:start="1"/>
          <w:cols w:space="720"/>
          <w:docGrid w:linePitch="360"/>
        </w:sectPr>
      </w:pPr>
    </w:p>
    <w:p w:rsidR="00977124" w:rsidRDefault="00977124" w:rsidP="00977124">
      <w:pPr>
        <w:rPr>
          <w:rFonts w:ascii="Times New Roman" w:eastAsia="Times New Roman" w:hAnsi="Times New Roman"/>
          <w:lang w:bidi="ar-SA"/>
        </w:rPr>
      </w:pPr>
    </w:p>
    <w:p w:rsidR="00103F0D" w:rsidRDefault="00103F0D" w:rsidP="00103F0D">
      <w:pPr>
        <w:jc w:val="center"/>
        <w:rPr>
          <w:rFonts w:cstheme="minorHAnsi"/>
          <w:b/>
          <w:sz w:val="26"/>
          <w:szCs w:val="26"/>
        </w:rPr>
      </w:pPr>
      <w:r w:rsidRPr="00D25BD4">
        <w:rPr>
          <w:rFonts w:cstheme="minorHAnsi"/>
          <w:b/>
          <w:sz w:val="26"/>
          <w:szCs w:val="26"/>
        </w:rPr>
        <w:t>ANNEX</w:t>
      </w:r>
      <w:r>
        <w:rPr>
          <w:rFonts w:cstheme="minorHAnsi"/>
          <w:b/>
          <w:sz w:val="26"/>
          <w:szCs w:val="26"/>
        </w:rPr>
        <w:t xml:space="preserve"> A</w:t>
      </w:r>
    </w:p>
    <w:p w:rsidR="00103F0D" w:rsidRPr="00977124" w:rsidRDefault="00103F0D" w:rsidP="00103F0D">
      <w:pPr>
        <w:jc w:val="center"/>
        <w:rPr>
          <w:rFonts w:cstheme="minorHAnsi"/>
          <w:b/>
          <w:sz w:val="26"/>
          <w:szCs w:val="26"/>
        </w:rPr>
      </w:pPr>
      <w:r w:rsidRPr="00977124">
        <w:rPr>
          <w:rFonts w:cstheme="minorHAnsi"/>
          <w:b/>
          <w:sz w:val="26"/>
          <w:szCs w:val="26"/>
        </w:rPr>
        <w:t>TITLE 52. PUBLIC UTILITIES</w:t>
      </w:r>
    </w:p>
    <w:p w:rsidR="00103F0D" w:rsidRPr="00977124" w:rsidRDefault="00103F0D" w:rsidP="00103F0D">
      <w:pPr>
        <w:jc w:val="center"/>
        <w:rPr>
          <w:rFonts w:cstheme="minorHAnsi"/>
          <w:b/>
          <w:sz w:val="26"/>
          <w:szCs w:val="26"/>
        </w:rPr>
      </w:pPr>
      <w:r w:rsidRPr="00977124">
        <w:rPr>
          <w:rFonts w:cstheme="minorHAnsi"/>
          <w:b/>
          <w:sz w:val="26"/>
          <w:szCs w:val="26"/>
        </w:rPr>
        <w:t xml:space="preserve">PART I. PUBLIC UTILITY COMMISSION </w:t>
      </w:r>
    </w:p>
    <w:p w:rsidR="00103F0D" w:rsidRPr="00977124" w:rsidRDefault="00103F0D" w:rsidP="00103F0D">
      <w:pPr>
        <w:jc w:val="center"/>
        <w:rPr>
          <w:rFonts w:cstheme="minorHAnsi"/>
          <w:b/>
          <w:sz w:val="26"/>
          <w:szCs w:val="26"/>
        </w:rPr>
      </w:pPr>
      <w:r w:rsidRPr="00977124">
        <w:rPr>
          <w:rFonts w:cstheme="minorHAnsi"/>
          <w:b/>
          <w:sz w:val="26"/>
          <w:szCs w:val="26"/>
        </w:rPr>
        <w:t>Subpart C. FIXED SERVICE UTILITIES</w:t>
      </w:r>
    </w:p>
    <w:p w:rsidR="00103F0D" w:rsidRPr="00977124" w:rsidRDefault="00540676" w:rsidP="00103F0D">
      <w:pPr>
        <w:jc w:val="center"/>
        <w:rPr>
          <w:rFonts w:cstheme="minorHAnsi"/>
          <w:b/>
          <w:sz w:val="26"/>
          <w:szCs w:val="26"/>
        </w:rPr>
      </w:pPr>
      <w:r>
        <w:rPr>
          <w:rFonts w:cstheme="minorHAnsi"/>
          <w:b/>
          <w:sz w:val="26"/>
          <w:szCs w:val="26"/>
        </w:rPr>
        <w:t>CHAPTER 62</w:t>
      </w:r>
      <w:r w:rsidR="00103F0D" w:rsidRPr="00977124">
        <w:rPr>
          <w:rFonts w:cstheme="minorHAnsi"/>
          <w:b/>
          <w:sz w:val="26"/>
          <w:szCs w:val="26"/>
        </w:rPr>
        <w:t xml:space="preserve">: </w:t>
      </w:r>
      <w:r w:rsidR="00B113D1">
        <w:rPr>
          <w:rFonts w:cstheme="minorHAnsi"/>
          <w:b/>
          <w:sz w:val="26"/>
          <w:szCs w:val="26"/>
        </w:rPr>
        <w:t>NATURAL GAS</w:t>
      </w:r>
      <w:r w:rsidR="00103F0D" w:rsidRPr="00977124">
        <w:rPr>
          <w:rFonts w:cstheme="minorHAnsi"/>
          <w:b/>
          <w:sz w:val="26"/>
          <w:szCs w:val="26"/>
        </w:rPr>
        <w:t xml:space="preserve"> CHOICE</w:t>
      </w:r>
    </w:p>
    <w:p w:rsidR="00103F0D" w:rsidRPr="00977124" w:rsidRDefault="00103F0D" w:rsidP="00103F0D">
      <w:pPr>
        <w:jc w:val="center"/>
        <w:rPr>
          <w:rFonts w:cstheme="minorHAnsi"/>
          <w:b/>
          <w:sz w:val="26"/>
          <w:szCs w:val="26"/>
        </w:rPr>
      </w:pPr>
      <w:r w:rsidRPr="00977124">
        <w:rPr>
          <w:rFonts w:cstheme="minorHAnsi"/>
          <w:b/>
          <w:sz w:val="26"/>
          <w:szCs w:val="26"/>
        </w:rPr>
        <w:t xml:space="preserve">Subchapter </w:t>
      </w:r>
      <w:r w:rsidR="00B113D1">
        <w:rPr>
          <w:rFonts w:cstheme="minorHAnsi"/>
          <w:b/>
          <w:sz w:val="26"/>
          <w:szCs w:val="26"/>
        </w:rPr>
        <w:t>C</w:t>
      </w:r>
      <w:r w:rsidRPr="00977124">
        <w:rPr>
          <w:rFonts w:cstheme="minorHAnsi"/>
          <w:b/>
          <w:sz w:val="26"/>
          <w:szCs w:val="26"/>
        </w:rPr>
        <w:t>. CUSTOMER INFO</w:t>
      </w:r>
      <w:r>
        <w:rPr>
          <w:rFonts w:cstheme="minorHAnsi"/>
          <w:b/>
          <w:sz w:val="26"/>
          <w:szCs w:val="26"/>
        </w:rPr>
        <w:t>RMATION</w:t>
      </w:r>
      <w:r w:rsidR="00B113D1">
        <w:rPr>
          <w:rFonts w:cstheme="minorHAnsi"/>
          <w:b/>
          <w:sz w:val="26"/>
          <w:szCs w:val="26"/>
        </w:rPr>
        <w:t xml:space="preserve"> DISCLOSURE</w:t>
      </w:r>
    </w:p>
    <w:p w:rsidR="00103F0D" w:rsidRDefault="00103F0D" w:rsidP="00103F0D">
      <w:pPr>
        <w:spacing w:line="360" w:lineRule="auto"/>
        <w:jc w:val="center"/>
        <w:rPr>
          <w:rFonts w:cstheme="minorHAnsi"/>
          <w:b/>
          <w:color w:val="FF0000"/>
          <w:sz w:val="26"/>
          <w:szCs w:val="26"/>
        </w:rPr>
      </w:pPr>
    </w:p>
    <w:p w:rsidR="00B113D1" w:rsidRPr="00B113D1" w:rsidRDefault="00B113D1" w:rsidP="00B113D1">
      <w:pPr>
        <w:rPr>
          <w:sz w:val="26"/>
          <w:szCs w:val="26"/>
        </w:rPr>
      </w:pPr>
    </w:p>
    <w:p w:rsidR="00B113D1" w:rsidRDefault="00B113D1" w:rsidP="00B113D1">
      <w:pPr>
        <w:rPr>
          <w:b/>
          <w:sz w:val="26"/>
          <w:szCs w:val="26"/>
        </w:rPr>
      </w:pPr>
      <w:r w:rsidRPr="00B113D1">
        <w:rPr>
          <w:b/>
          <w:sz w:val="26"/>
          <w:szCs w:val="26"/>
        </w:rPr>
        <w:t>§ 62.72. Definitions.</w:t>
      </w:r>
    </w:p>
    <w:p w:rsidR="00B113D1" w:rsidRPr="00B113D1" w:rsidRDefault="00B113D1" w:rsidP="00B113D1">
      <w:pPr>
        <w:rPr>
          <w:b/>
          <w:sz w:val="26"/>
          <w:szCs w:val="26"/>
        </w:rPr>
      </w:pPr>
    </w:p>
    <w:p w:rsidR="00B113D1" w:rsidRDefault="00B113D1" w:rsidP="00B113D1">
      <w:pPr>
        <w:ind w:firstLine="360"/>
        <w:rPr>
          <w:sz w:val="26"/>
          <w:szCs w:val="26"/>
        </w:rPr>
      </w:pPr>
      <w:bookmarkStart w:id="1" w:name="62.72."/>
      <w:r w:rsidRPr="00B113D1">
        <w:rPr>
          <w:sz w:val="26"/>
          <w:szCs w:val="26"/>
        </w:rPr>
        <w:t>The following words and terms, when used in this subchapter, have the following meanings, unless the context c</w:t>
      </w:r>
      <w:r>
        <w:rPr>
          <w:sz w:val="26"/>
          <w:szCs w:val="26"/>
        </w:rPr>
        <w:t xml:space="preserve">learly indicates otherwise: </w:t>
      </w:r>
      <w:r>
        <w:rPr>
          <w:sz w:val="26"/>
          <w:szCs w:val="26"/>
        </w:rPr>
        <w:br/>
      </w:r>
    </w:p>
    <w:p w:rsidR="00B113D1" w:rsidRDefault="00B113D1" w:rsidP="00B113D1">
      <w:pPr>
        <w:ind w:firstLine="360"/>
        <w:rPr>
          <w:sz w:val="26"/>
          <w:szCs w:val="26"/>
        </w:rPr>
      </w:pPr>
      <w:r w:rsidRPr="00B113D1">
        <w:rPr>
          <w:i/>
          <w:iCs/>
          <w:sz w:val="26"/>
          <w:szCs w:val="26"/>
        </w:rPr>
        <w:t>Basic services</w:t>
      </w:r>
      <w:r w:rsidRPr="00B113D1">
        <w:rPr>
          <w:sz w:val="26"/>
          <w:szCs w:val="26"/>
        </w:rPr>
        <w:t>—Services necessary for the physical delivery of natural gas to a retail customer, consisting of natural gas distribution services and na</w:t>
      </w:r>
      <w:r>
        <w:rPr>
          <w:sz w:val="26"/>
          <w:szCs w:val="26"/>
        </w:rPr>
        <w:t xml:space="preserve">tural gas supply services. </w:t>
      </w:r>
      <w:r>
        <w:rPr>
          <w:sz w:val="26"/>
          <w:szCs w:val="26"/>
        </w:rPr>
        <w:br/>
      </w:r>
    </w:p>
    <w:p w:rsidR="00B113D1" w:rsidRDefault="00D85789" w:rsidP="00B113D1">
      <w:pPr>
        <w:ind w:firstLine="360"/>
        <w:rPr>
          <w:sz w:val="26"/>
          <w:szCs w:val="26"/>
        </w:rPr>
      </w:pPr>
      <w:r>
        <w:rPr>
          <w:i/>
          <w:iCs/>
          <w:sz w:val="26"/>
          <w:szCs w:val="26"/>
        </w:rPr>
        <w:t xml:space="preserve">Billed </w:t>
      </w:r>
      <w:r w:rsidRPr="00D85789">
        <w:rPr>
          <w:i/>
          <w:iCs/>
          <w:strike/>
          <w:sz w:val="26"/>
          <w:szCs w:val="26"/>
        </w:rPr>
        <w:t>prices</w:t>
      </w:r>
      <w:r>
        <w:rPr>
          <w:i/>
          <w:iCs/>
          <w:strike/>
          <w:sz w:val="26"/>
          <w:szCs w:val="26"/>
        </w:rPr>
        <w:t xml:space="preserve"> </w:t>
      </w:r>
      <w:r w:rsidRPr="00D85789">
        <w:rPr>
          <w:b/>
          <w:i/>
          <w:iCs/>
          <w:sz w:val="26"/>
          <w:szCs w:val="26"/>
        </w:rPr>
        <w:t>PRICE(S)</w:t>
      </w:r>
      <w:r w:rsidR="00B113D1" w:rsidRPr="00B113D1">
        <w:rPr>
          <w:sz w:val="26"/>
          <w:szCs w:val="26"/>
        </w:rPr>
        <w:t xml:space="preserve">—The disclosed NGS </w:t>
      </w:r>
      <w:r w:rsidR="00B113D1" w:rsidRPr="00D85789">
        <w:rPr>
          <w:strike/>
          <w:sz w:val="26"/>
          <w:szCs w:val="26"/>
        </w:rPr>
        <w:t>price</w:t>
      </w:r>
      <w:r>
        <w:rPr>
          <w:strike/>
          <w:sz w:val="26"/>
          <w:szCs w:val="26"/>
        </w:rPr>
        <w:t xml:space="preserve">s </w:t>
      </w:r>
      <w:r>
        <w:rPr>
          <w:b/>
          <w:sz w:val="26"/>
          <w:szCs w:val="26"/>
        </w:rPr>
        <w:t>PRICE(S)</w:t>
      </w:r>
      <w:r w:rsidR="00B113D1" w:rsidRPr="00B113D1">
        <w:rPr>
          <w:sz w:val="26"/>
          <w:szCs w:val="26"/>
        </w:rPr>
        <w:t xml:space="preserve"> on the customer bill. </w:t>
      </w:r>
    </w:p>
    <w:p w:rsidR="00B113D1" w:rsidRDefault="00B113D1" w:rsidP="00B113D1">
      <w:pPr>
        <w:ind w:firstLine="360"/>
        <w:rPr>
          <w:sz w:val="26"/>
          <w:szCs w:val="26"/>
        </w:rPr>
      </w:pPr>
    </w:p>
    <w:p w:rsidR="00B113D1" w:rsidRDefault="00B113D1" w:rsidP="00B113D1">
      <w:pPr>
        <w:ind w:firstLine="360"/>
        <w:rPr>
          <w:sz w:val="26"/>
          <w:szCs w:val="26"/>
        </w:rPr>
      </w:pPr>
      <w:r w:rsidRPr="00F91138">
        <w:rPr>
          <w:i/>
          <w:strike/>
          <w:sz w:val="26"/>
          <w:szCs w:val="26"/>
          <w:u w:val="single"/>
        </w:rPr>
        <w:t>Billing month</w:t>
      </w:r>
      <w:r w:rsidRPr="00F91138">
        <w:rPr>
          <w:strike/>
          <w:sz w:val="26"/>
          <w:szCs w:val="26"/>
          <w:u w:val="single"/>
        </w:rPr>
        <w:t>—A period of not less than 26 days and not more than 35 days.</w:t>
      </w:r>
    </w:p>
    <w:p w:rsidR="00D85789" w:rsidRDefault="00D85789" w:rsidP="00B113D1">
      <w:pPr>
        <w:ind w:firstLine="360"/>
        <w:rPr>
          <w:sz w:val="26"/>
          <w:szCs w:val="26"/>
        </w:rPr>
      </w:pPr>
    </w:p>
    <w:p w:rsidR="00D85789" w:rsidRPr="00D85789" w:rsidRDefault="00D85789" w:rsidP="00B113D1">
      <w:pPr>
        <w:ind w:firstLine="360"/>
        <w:rPr>
          <w:i/>
          <w:sz w:val="26"/>
          <w:szCs w:val="26"/>
        </w:rPr>
      </w:pPr>
      <w:r>
        <w:rPr>
          <w:i/>
          <w:sz w:val="26"/>
          <w:szCs w:val="26"/>
        </w:rPr>
        <w:t xml:space="preserve">City gate—The point where interstate pipelines deliver gas into NGDC facilities.  </w:t>
      </w:r>
    </w:p>
    <w:bookmarkEnd w:id="1"/>
    <w:p w:rsidR="00B113D1" w:rsidRDefault="00B113D1" w:rsidP="00B113D1">
      <w:pPr>
        <w:spacing w:line="360" w:lineRule="auto"/>
        <w:rPr>
          <w:rFonts w:cstheme="minorHAnsi"/>
          <w:b/>
          <w:sz w:val="26"/>
          <w:szCs w:val="26"/>
        </w:rPr>
      </w:pPr>
    </w:p>
    <w:p w:rsidR="00B113D1" w:rsidRPr="00B113D1" w:rsidRDefault="00B113D1" w:rsidP="00103F0D">
      <w:pPr>
        <w:spacing w:line="360" w:lineRule="auto"/>
        <w:jc w:val="center"/>
        <w:rPr>
          <w:rFonts w:cstheme="minorHAnsi"/>
          <w:b/>
          <w:sz w:val="26"/>
          <w:szCs w:val="26"/>
        </w:rPr>
      </w:pPr>
      <w:r>
        <w:rPr>
          <w:rFonts w:cstheme="minorHAnsi"/>
          <w:b/>
          <w:sz w:val="26"/>
          <w:szCs w:val="26"/>
        </w:rPr>
        <w:t>*</w:t>
      </w:r>
      <w:r>
        <w:rPr>
          <w:rFonts w:cstheme="minorHAnsi"/>
          <w:b/>
          <w:sz w:val="26"/>
          <w:szCs w:val="26"/>
        </w:rPr>
        <w:tab/>
        <w:t>*</w:t>
      </w:r>
      <w:r>
        <w:rPr>
          <w:rFonts w:cstheme="minorHAnsi"/>
          <w:b/>
          <w:sz w:val="26"/>
          <w:szCs w:val="26"/>
        </w:rPr>
        <w:tab/>
        <w:t>*</w:t>
      </w:r>
      <w:r>
        <w:rPr>
          <w:rFonts w:cstheme="minorHAnsi"/>
          <w:b/>
          <w:sz w:val="26"/>
          <w:szCs w:val="26"/>
        </w:rPr>
        <w:tab/>
        <w:t>*</w:t>
      </w:r>
      <w:r>
        <w:rPr>
          <w:rFonts w:cstheme="minorHAnsi"/>
          <w:b/>
          <w:sz w:val="26"/>
          <w:szCs w:val="26"/>
        </w:rPr>
        <w:tab/>
        <w:t>*</w:t>
      </w:r>
    </w:p>
    <w:p w:rsidR="00103F0D" w:rsidRPr="00977124" w:rsidRDefault="00103F0D" w:rsidP="00103F0D">
      <w:pPr>
        <w:spacing w:beforeAutospacing="1" w:after="100" w:afterAutospacing="1"/>
        <w:outlineLvl w:val="3"/>
        <w:rPr>
          <w:rFonts w:eastAsia="Times New Roman" w:cstheme="minorHAnsi"/>
          <w:b/>
          <w:bCs/>
          <w:sz w:val="26"/>
          <w:szCs w:val="26"/>
        </w:rPr>
      </w:pPr>
      <w:r w:rsidRPr="00977124">
        <w:rPr>
          <w:rFonts w:eastAsia="Times New Roman" w:cstheme="minorHAnsi"/>
          <w:b/>
          <w:bCs/>
          <w:sz w:val="26"/>
          <w:szCs w:val="26"/>
        </w:rPr>
        <w:t xml:space="preserve">§ </w:t>
      </w:r>
      <w:r w:rsidR="00B113D1">
        <w:rPr>
          <w:rFonts w:eastAsia="Times New Roman" w:cstheme="minorHAnsi"/>
          <w:b/>
          <w:bCs/>
          <w:sz w:val="26"/>
          <w:szCs w:val="26"/>
        </w:rPr>
        <w:t>62</w:t>
      </w:r>
      <w:r w:rsidRPr="00977124">
        <w:rPr>
          <w:rFonts w:eastAsia="Times New Roman" w:cstheme="minorHAnsi"/>
          <w:b/>
          <w:bCs/>
          <w:sz w:val="26"/>
          <w:szCs w:val="26"/>
        </w:rPr>
        <w:t>.</w:t>
      </w:r>
      <w:r w:rsidR="00C53F4F">
        <w:rPr>
          <w:rFonts w:eastAsia="Times New Roman" w:cstheme="minorHAnsi"/>
          <w:b/>
          <w:bCs/>
          <w:sz w:val="26"/>
          <w:szCs w:val="26"/>
        </w:rPr>
        <w:t>75</w:t>
      </w:r>
      <w:r w:rsidR="00C01D7D">
        <w:rPr>
          <w:rFonts w:eastAsia="Times New Roman" w:cstheme="minorHAnsi"/>
          <w:b/>
          <w:bCs/>
          <w:sz w:val="26"/>
          <w:szCs w:val="26"/>
        </w:rPr>
        <w:t>.</w:t>
      </w:r>
      <w:r w:rsidRPr="00977124">
        <w:rPr>
          <w:rFonts w:eastAsia="Times New Roman" w:cstheme="minorHAnsi"/>
          <w:b/>
          <w:bCs/>
          <w:sz w:val="26"/>
          <w:szCs w:val="26"/>
        </w:rPr>
        <w:t xml:space="preserve"> Disclosure statement for residential and small business customers.</w:t>
      </w:r>
    </w:p>
    <w:p w:rsidR="00D85789" w:rsidRPr="00D85789" w:rsidRDefault="00D85789" w:rsidP="00D85789">
      <w:pPr>
        <w:spacing w:line="360" w:lineRule="auto"/>
        <w:jc w:val="center"/>
        <w:rPr>
          <w:rFonts w:cstheme="minorHAnsi"/>
          <w:b/>
          <w:sz w:val="26"/>
          <w:szCs w:val="26"/>
        </w:rPr>
      </w:pPr>
      <w:bookmarkStart w:id="2" w:name="62.75."/>
      <w:r>
        <w:rPr>
          <w:rFonts w:cstheme="minorHAnsi"/>
          <w:b/>
          <w:sz w:val="26"/>
          <w:szCs w:val="26"/>
        </w:rPr>
        <w:t>*</w:t>
      </w:r>
      <w:r>
        <w:rPr>
          <w:rFonts w:cstheme="minorHAnsi"/>
          <w:b/>
          <w:sz w:val="26"/>
          <w:szCs w:val="26"/>
        </w:rPr>
        <w:tab/>
        <w:t>*</w:t>
      </w:r>
      <w:r>
        <w:rPr>
          <w:rFonts w:cstheme="minorHAnsi"/>
          <w:b/>
          <w:sz w:val="26"/>
          <w:szCs w:val="26"/>
        </w:rPr>
        <w:tab/>
        <w:t>*</w:t>
      </w:r>
      <w:r>
        <w:rPr>
          <w:rFonts w:cstheme="minorHAnsi"/>
          <w:b/>
          <w:sz w:val="26"/>
          <w:szCs w:val="26"/>
        </w:rPr>
        <w:tab/>
        <w:t>*</w:t>
      </w:r>
      <w:r>
        <w:rPr>
          <w:rFonts w:cstheme="minorHAnsi"/>
          <w:b/>
          <w:sz w:val="26"/>
          <w:szCs w:val="26"/>
        </w:rPr>
        <w:tab/>
        <w:t>*</w:t>
      </w:r>
    </w:p>
    <w:p w:rsidR="00C272A9" w:rsidRPr="00C272A9" w:rsidRDefault="00D85789" w:rsidP="00C272A9">
      <w:pPr>
        <w:ind w:firstLine="360"/>
        <w:rPr>
          <w:sz w:val="26"/>
          <w:szCs w:val="26"/>
        </w:rPr>
      </w:pPr>
      <w:r w:rsidRPr="00C272A9">
        <w:rPr>
          <w:sz w:val="26"/>
          <w:szCs w:val="26"/>
        </w:rPr>
        <w:t xml:space="preserve"> </w:t>
      </w:r>
      <w:r w:rsidR="00C272A9" w:rsidRPr="00C272A9">
        <w:rPr>
          <w:sz w:val="26"/>
          <w:szCs w:val="26"/>
        </w:rPr>
        <w:t xml:space="preserve">(c)  The disclosure statement’s terms of service shall be disclosed, including the following terms and conditions, if applicable: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 xml:space="preserve">(1)  Commodity charges shall be disclosed according to the actual prices and be presented in the standard pricing unit of the NGDC or other Commission-approved standard pricing unit. Commodity charges shall include estimated total state taxes. Commodity charges exclude State Sales Tax and county tax.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 xml:space="preserve">(2)  The variable pricing statement (if applicable) shall include: </w:t>
      </w:r>
    </w:p>
    <w:p w:rsidR="00C272A9" w:rsidRPr="00C272A9" w:rsidRDefault="00C272A9" w:rsidP="0023567E">
      <w:pPr>
        <w:ind w:left="720" w:firstLine="360"/>
        <w:rPr>
          <w:sz w:val="26"/>
          <w:szCs w:val="26"/>
        </w:rPr>
      </w:pPr>
      <w:r w:rsidRPr="00C272A9">
        <w:rPr>
          <w:sz w:val="26"/>
          <w:szCs w:val="26"/>
        </w:rPr>
        <w:t>     </w:t>
      </w:r>
      <w:r>
        <w:rPr>
          <w:sz w:val="26"/>
          <w:szCs w:val="26"/>
        </w:rPr>
        <w:tab/>
      </w:r>
      <w:r w:rsidRPr="00C272A9">
        <w:rPr>
          <w:sz w:val="26"/>
          <w:szCs w:val="26"/>
        </w:rPr>
        <w:t>(</w:t>
      </w:r>
      <w:proofErr w:type="spellStart"/>
      <w:r w:rsidRPr="00C272A9">
        <w:rPr>
          <w:sz w:val="26"/>
          <w:szCs w:val="26"/>
        </w:rPr>
        <w:t>i</w:t>
      </w:r>
      <w:proofErr w:type="spellEnd"/>
      <w:r w:rsidRPr="00C272A9">
        <w:rPr>
          <w:sz w:val="26"/>
          <w:szCs w:val="26"/>
        </w:rPr>
        <w:t xml:space="preserve">)   Conditions of variability (state on what basis prices will vary) including the NGS’s specific prescribed variable pricing methodology. </w:t>
      </w:r>
    </w:p>
    <w:p w:rsidR="00C272A9" w:rsidRDefault="00C272A9" w:rsidP="00C272A9">
      <w:pPr>
        <w:ind w:left="720" w:firstLine="720"/>
        <w:rPr>
          <w:sz w:val="26"/>
          <w:szCs w:val="26"/>
        </w:rPr>
      </w:pPr>
      <w:r w:rsidRPr="00C272A9">
        <w:rPr>
          <w:sz w:val="26"/>
          <w:szCs w:val="26"/>
        </w:rPr>
        <w:t xml:space="preserve">(ii)   The starting price and the ceiling price, if the ceiling price is applicable. </w:t>
      </w:r>
      <w:r w:rsidR="00E640D1" w:rsidRPr="007E43F0">
        <w:rPr>
          <w:rFonts w:ascii="Times New Roman" w:hAnsi="Times New Roman"/>
          <w:b/>
          <w:bCs/>
          <w:sz w:val="26"/>
          <w:szCs w:val="26"/>
        </w:rPr>
        <w:t xml:space="preserve">IF THE PRICE IS INTRODUCTORY, </w:t>
      </w:r>
      <w:r w:rsidR="00110928" w:rsidRPr="007E43F0">
        <w:rPr>
          <w:rFonts w:ascii="Times New Roman" w:hAnsi="Times New Roman"/>
          <w:b/>
          <w:bCs/>
          <w:sz w:val="26"/>
          <w:szCs w:val="26"/>
        </w:rPr>
        <w:t xml:space="preserve">THE VARIABLE PRICING STATEMENT SHALL INCLUDE </w:t>
      </w:r>
      <w:r w:rsidR="00E640D1" w:rsidRPr="007E43F0">
        <w:rPr>
          <w:rFonts w:ascii="Times New Roman" w:hAnsi="Times New Roman"/>
          <w:b/>
          <w:bCs/>
          <w:sz w:val="26"/>
          <w:szCs w:val="26"/>
        </w:rPr>
        <w:t xml:space="preserve">A STATEMENT THAT THE PRICE IS AN INTRODUCTORY PRICE, THE DURATION OF THE </w:t>
      </w:r>
      <w:r w:rsidR="00E640D1" w:rsidRPr="007E43F0">
        <w:rPr>
          <w:rFonts w:ascii="Times New Roman" w:hAnsi="Times New Roman"/>
          <w:b/>
          <w:bCs/>
          <w:sz w:val="26"/>
          <w:szCs w:val="26"/>
        </w:rPr>
        <w:lastRenderedPageBreak/>
        <w:t>INTRODUCTORY PERIOD AND THE PRICE FOR THE FIRST BILLING CYCLE AFTER THE INTRODUCTORY PERIOD.</w:t>
      </w:r>
    </w:p>
    <w:p w:rsidR="006B4F4A" w:rsidRPr="002934A3" w:rsidRDefault="002934A3" w:rsidP="002934A3">
      <w:pPr>
        <w:ind w:left="720" w:firstLine="720"/>
        <w:rPr>
          <w:sz w:val="26"/>
          <w:szCs w:val="26"/>
        </w:rPr>
      </w:pPr>
      <w:r w:rsidRPr="002934A3">
        <w:rPr>
          <w:sz w:val="26"/>
          <w:szCs w:val="26"/>
          <w:u w:val="single"/>
        </w:rPr>
        <w:t xml:space="preserve">(iii) </w:t>
      </w:r>
      <w:r w:rsidR="006B4F4A" w:rsidRPr="002934A3">
        <w:rPr>
          <w:rFonts w:eastAsia="Times New Roman"/>
          <w:sz w:val="26"/>
          <w:szCs w:val="26"/>
          <w:u w:val="single"/>
        </w:rPr>
        <w:t xml:space="preserve">If there is not a limit on price variability, the </w:t>
      </w:r>
      <w:r w:rsidR="006B4F4A" w:rsidRPr="005D6B31">
        <w:rPr>
          <w:rFonts w:eastAsia="Times New Roman"/>
          <w:strike/>
          <w:sz w:val="26"/>
          <w:szCs w:val="26"/>
          <w:u w:val="single"/>
        </w:rPr>
        <w:t>NGDC</w:t>
      </w:r>
      <w:r w:rsidR="005D6B31" w:rsidRPr="00717CB0">
        <w:rPr>
          <w:rFonts w:eastAsia="Times New Roman"/>
          <w:sz w:val="26"/>
          <w:szCs w:val="26"/>
        </w:rPr>
        <w:t xml:space="preserve"> NGS</w:t>
      </w:r>
      <w:r w:rsidR="006B4F4A" w:rsidRPr="00717CB0">
        <w:rPr>
          <w:rFonts w:eastAsia="Times New Roman"/>
          <w:sz w:val="26"/>
          <w:szCs w:val="26"/>
        </w:rPr>
        <w:t xml:space="preserve"> </w:t>
      </w:r>
      <w:r w:rsidR="006B4F4A" w:rsidRPr="002934A3">
        <w:rPr>
          <w:rFonts w:eastAsia="Times New Roman"/>
          <w:sz w:val="26"/>
          <w:szCs w:val="26"/>
          <w:u w:val="single"/>
        </w:rPr>
        <w:t xml:space="preserve">shall </w:t>
      </w:r>
      <w:r w:rsidR="004B7B4F">
        <w:rPr>
          <w:rFonts w:eastAsia="Times New Roman"/>
          <w:sz w:val="26"/>
          <w:szCs w:val="26"/>
          <w:u w:val="single"/>
        </w:rPr>
        <w:t xml:space="preserve">provide a </w:t>
      </w:r>
      <w:r w:rsidR="006B4F4A" w:rsidRPr="002934A3">
        <w:rPr>
          <w:rFonts w:eastAsia="Times New Roman"/>
          <w:sz w:val="26"/>
          <w:szCs w:val="26"/>
          <w:u w:val="single"/>
        </w:rPr>
        <w:t>clear and conspicuous state</w:t>
      </w:r>
      <w:r w:rsidR="004B7B4F">
        <w:rPr>
          <w:rFonts w:eastAsia="Times New Roman"/>
          <w:sz w:val="26"/>
          <w:szCs w:val="26"/>
          <w:u w:val="single"/>
        </w:rPr>
        <w:t>ment</w:t>
      </w:r>
      <w:r w:rsidR="006B4F4A" w:rsidRPr="002934A3">
        <w:rPr>
          <w:rFonts w:eastAsia="Times New Roman"/>
          <w:sz w:val="26"/>
          <w:szCs w:val="26"/>
          <w:u w:val="single"/>
        </w:rPr>
        <w:t xml:space="preserve"> that there is not a limit on how much the price may change from one billing </w:t>
      </w:r>
      <w:r w:rsidR="006B4F4A" w:rsidRPr="00EA2F5E">
        <w:rPr>
          <w:rFonts w:eastAsia="Times New Roman"/>
          <w:sz w:val="26"/>
          <w:szCs w:val="26"/>
          <w:u w:val="single"/>
        </w:rPr>
        <w:t>cycle</w:t>
      </w:r>
      <w:r w:rsidR="006B4F4A" w:rsidRPr="002934A3">
        <w:rPr>
          <w:rFonts w:eastAsia="Times New Roman"/>
          <w:sz w:val="26"/>
          <w:szCs w:val="26"/>
          <w:u w:val="single"/>
        </w:rPr>
        <w:t xml:space="preserve"> to the next. </w:t>
      </w:r>
    </w:p>
    <w:p w:rsidR="006B4F4A" w:rsidRPr="00712FC9" w:rsidRDefault="002934A3" w:rsidP="002934A3">
      <w:pPr>
        <w:pStyle w:val="NoSpacing"/>
        <w:ind w:left="720" w:firstLine="720"/>
        <w:rPr>
          <w:rFonts w:eastAsia="Times New Roman" w:cstheme="minorHAnsi"/>
          <w:strike/>
          <w:sz w:val="26"/>
          <w:szCs w:val="26"/>
          <w:u w:val="single"/>
        </w:rPr>
      </w:pPr>
      <w:r w:rsidRPr="009158DD">
        <w:rPr>
          <w:rFonts w:eastAsia="Times New Roman"/>
          <w:strike/>
          <w:sz w:val="26"/>
          <w:szCs w:val="26"/>
          <w:u w:val="single"/>
        </w:rPr>
        <w:t>(iv)</w:t>
      </w:r>
      <w:r w:rsidR="006B4F4A" w:rsidRPr="00712FC9">
        <w:rPr>
          <w:rFonts w:eastAsia="Times New Roman"/>
          <w:strike/>
          <w:sz w:val="26"/>
          <w:szCs w:val="26"/>
          <w:u w:val="single"/>
        </w:rPr>
        <w:t>The price to be charged, per billing unit, for the first billing</w:t>
      </w:r>
      <w:r w:rsidR="004D5C5C" w:rsidRPr="00712FC9">
        <w:rPr>
          <w:rFonts w:eastAsia="Times New Roman"/>
          <w:strike/>
          <w:sz w:val="26"/>
          <w:szCs w:val="26"/>
          <w:u w:val="single"/>
        </w:rPr>
        <w:t xml:space="preserve"> month </w:t>
      </w:r>
      <w:r w:rsidR="006B4F4A" w:rsidRPr="00712FC9">
        <w:rPr>
          <w:rFonts w:eastAsia="Times New Roman"/>
          <w:strike/>
          <w:sz w:val="26"/>
          <w:szCs w:val="26"/>
          <w:u w:val="single"/>
        </w:rPr>
        <w:t xml:space="preserve">of </w:t>
      </w:r>
      <w:r w:rsidR="006B4F4A" w:rsidRPr="00712FC9">
        <w:rPr>
          <w:rFonts w:eastAsia="Times New Roman" w:cstheme="minorHAnsi"/>
          <w:strike/>
          <w:sz w:val="26"/>
          <w:szCs w:val="26"/>
          <w:u w:val="single"/>
        </w:rPr>
        <w:t>service.</w:t>
      </w:r>
      <w:r w:rsidR="0047783E" w:rsidRPr="00712FC9">
        <w:rPr>
          <w:rFonts w:eastAsia="Times New Roman" w:cstheme="minorHAnsi"/>
          <w:strike/>
          <w:sz w:val="26"/>
          <w:szCs w:val="26"/>
          <w:u w:val="single"/>
        </w:rPr>
        <w:t xml:space="preserve">  </w:t>
      </w:r>
    </w:p>
    <w:p w:rsidR="0025271E" w:rsidRPr="00264B0C" w:rsidRDefault="002934A3" w:rsidP="002934A3">
      <w:pPr>
        <w:pStyle w:val="NoSpacing"/>
        <w:ind w:left="720" w:firstLine="720"/>
        <w:rPr>
          <w:rFonts w:eastAsia="Times New Roman" w:cstheme="minorHAnsi"/>
          <w:sz w:val="26"/>
          <w:szCs w:val="26"/>
          <w:u w:val="single"/>
        </w:rPr>
      </w:pPr>
      <w:r w:rsidRPr="009158DD">
        <w:rPr>
          <w:rFonts w:eastAsia="Times New Roman" w:cstheme="minorHAnsi"/>
          <w:strike/>
          <w:sz w:val="26"/>
          <w:szCs w:val="26"/>
          <w:u w:val="single"/>
        </w:rPr>
        <w:t>(v)</w:t>
      </w:r>
      <w:r w:rsidR="003C7512" w:rsidRPr="009158DD">
        <w:rPr>
          <w:rFonts w:eastAsia="Times New Roman" w:cstheme="minorHAnsi"/>
          <w:b/>
          <w:sz w:val="26"/>
          <w:szCs w:val="26"/>
        </w:rPr>
        <w:t>(</w:t>
      </w:r>
      <w:r w:rsidR="00110928">
        <w:rPr>
          <w:rFonts w:eastAsia="Times New Roman" w:cstheme="minorHAnsi"/>
          <w:b/>
          <w:sz w:val="26"/>
          <w:szCs w:val="26"/>
        </w:rPr>
        <w:t>iv</w:t>
      </w:r>
      <w:r w:rsidR="003C7512" w:rsidRPr="009158DD">
        <w:rPr>
          <w:rFonts w:eastAsia="Times New Roman" w:cstheme="minorHAnsi"/>
          <w:b/>
          <w:sz w:val="26"/>
          <w:szCs w:val="26"/>
        </w:rPr>
        <w:t>)</w:t>
      </w:r>
      <w:r w:rsidR="009158DD">
        <w:rPr>
          <w:rFonts w:eastAsia="Times New Roman" w:cstheme="minorHAnsi"/>
          <w:b/>
          <w:sz w:val="26"/>
          <w:szCs w:val="26"/>
        </w:rPr>
        <w:t xml:space="preserve"> </w:t>
      </w:r>
      <w:r w:rsidR="004B7B4F" w:rsidRPr="003B09DF">
        <w:rPr>
          <w:rFonts w:eastAsia="Times New Roman" w:cstheme="minorHAnsi"/>
          <w:sz w:val="26"/>
          <w:szCs w:val="26"/>
          <w:u w:val="single"/>
        </w:rPr>
        <w:t>A d</w:t>
      </w:r>
      <w:r w:rsidR="006B4F4A" w:rsidRPr="003B09DF">
        <w:rPr>
          <w:rFonts w:eastAsia="Times New Roman" w:cstheme="minorHAnsi"/>
          <w:sz w:val="26"/>
          <w:szCs w:val="26"/>
          <w:u w:val="single"/>
        </w:rPr>
        <w:t>escription of when</w:t>
      </w:r>
      <w:r w:rsidR="006B4F4A" w:rsidRPr="003B09DF">
        <w:rPr>
          <w:rFonts w:eastAsia="Times New Roman" w:cstheme="minorHAnsi"/>
          <w:sz w:val="26"/>
          <w:szCs w:val="26"/>
        </w:rPr>
        <w:t xml:space="preserve"> </w:t>
      </w:r>
      <w:r w:rsidR="005F449D" w:rsidRPr="0023567E">
        <w:rPr>
          <w:rFonts w:eastAsia="Times New Roman" w:cstheme="minorHAnsi"/>
          <w:b/>
          <w:sz w:val="26"/>
          <w:szCs w:val="26"/>
        </w:rPr>
        <w:t>AND HOW</w:t>
      </w:r>
      <w:r w:rsidR="005F449D" w:rsidRPr="003B09DF">
        <w:rPr>
          <w:rFonts w:eastAsia="Times New Roman" w:cstheme="minorHAnsi"/>
          <w:sz w:val="26"/>
          <w:szCs w:val="26"/>
        </w:rPr>
        <w:t xml:space="preserve"> </w:t>
      </w:r>
      <w:r w:rsidR="006B4F4A" w:rsidRPr="003B09DF">
        <w:rPr>
          <w:rFonts w:eastAsia="Times New Roman" w:cstheme="minorHAnsi"/>
          <w:sz w:val="26"/>
          <w:szCs w:val="26"/>
          <w:u w:val="single"/>
        </w:rPr>
        <w:t xml:space="preserve">the customer will receive </w:t>
      </w:r>
      <w:r w:rsidR="006B4F4A" w:rsidRPr="00264B0C">
        <w:rPr>
          <w:rFonts w:eastAsia="Times New Roman" w:cstheme="minorHAnsi"/>
          <w:sz w:val="26"/>
          <w:szCs w:val="26"/>
          <w:u w:val="single"/>
        </w:rPr>
        <w:t>notification of price changes.</w:t>
      </w:r>
    </w:p>
    <w:p w:rsidR="00184F98" w:rsidRPr="00264B0C" w:rsidRDefault="0025271E" w:rsidP="003B09DF">
      <w:pPr>
        <w:pStyle w:val="CommentText"/>
        <w:ind w:left="720" w:firstLine="720"/>
        <w:rPr>
          <w:rFonts w:asciiTheme="minorHAnsi" w:hAnsiTheme="minorHAnsi" w:cstheme="minorHAnsi"/>
          <w:sz w:val="26"/>
          <w:szCs w:val="26"/>
        </w:rPr>
      </w:pPr>
      <w:r w:rsidRPr="009158DD">
        <w:rPr>
          <w:rFonts w:asciiTheme="minorHAnsi" w:hAnsiTheme="minorHAnsi" w:cstheme="minorHAnsi"/>
          <w:strike/>
          <w:sz w:val="26"/>
          <w:szCs w:val="26"/>
          <w:u w:val="single"/>
        </w:rPr>
        <w:t>(vi)</w:t>
      </w:r>
      <w:r w:rsidR="003C7512" w:rsidRPr="009158DD">
        <w:rPr>
          <w:rFonts w:cstheme="minorHAnsi"/>
          <w:b/>
          <w:sz w:val="26"/>
          <w:szCs w:val="26"/>
        </w:rPr>
        <w:t>(</w:t>
      </w:r>
      <w:r w:rsidR="00110928">
        <w:rPr>
          <w:rFonts w:cstheme="minorHAnsi"/>
          <w:b/>
          <w:sz w:val="26"/>
          <w:szCs w:val="26"/>
        </w:rPr>
        <w:t>v</w:t>
      </w:r>
      <w:r w:rsidR="003C7512" w:rsidRPr="009158DD">
        <w:rPr>
          <w:rFonts w:cstheme="minorHAnsi"/>
          <w:b/>
          <w:sz w:val="26"/>
          <w:szCs w:val="26"/>
        </w:rPr>
        <w:t>)</w:t>
      </w:r>
      <w:r w:rsidRPr="009158DD">
        <w:rPr>
          <w:rFonts w:asciiTheme="minorHAnsi" w:hAnsiTheme="minorHAnsi" w:cstheme="minorHAnsi"/>
          <w:sz w:val="26"/>
          <w:szCs w:val="26"/>
        </w:rPr>
        <w:t xml:space="preserve"> </w:t>
      </w:r>
      <w:r w:rsidR="00264B0C" w:rsidRPr="00264B0C">
        <w:rPr>
          <w:rFonts w:asciiTheme="minorHAnsi" w:hAnsiTheme="minorHAnsi" w:cstheme="minorHAnsi"/>
          <w:sz w:val="26"/>
          <w:szCs w:val="26"/>
          <w:u w:val="single"/>
        </w:rPr>
        <w:t>A telephone number and Internet address at which a customer may obtain the previous 24 months’ average monthly billed prices for that customer’s rate class and NGDC service territory. If an NGS has not been providing service in a rate class and NGDC service territory for 24 months, the NGS shall provide the average monthly billed prices for the months available to date.</w:t>
      </w:r>
      <w:r w:rsidR="00264B0C" w:rsidRPr="009318CC">
        <w:rPr>
          <w:rFonts w:asciiTheme="minorHAnsi" w:hAnsiTheme="minorHAnsi" w:cstheme="minorHAnsi"/>
          <w:sz w:val="26"/>
          <w:szCs w:val="26"/>
        </w:rPr>
        <w:t xml:space="preserve">  </w:t>
      </w:r>
      <w:r w:rsidR="00264B0C" w:rsidRPr="0023567E">
        <w:rPr>
          <w:rFonts w:asciiTheme="minorHAnsi" w:hAnsiTheme="minorHAnsi" w:cstheme="minorHAnsi"/>
          <w:b/>
          <w:sz w:val="26"/>
          <w:szCs w:val="26"/>
        </w:rPr>
        <w:t>IF NO PRICE HISTORY OR NO REPRESENTATIVE PRICE INFORMATION IS AVAILABLE FOR THE PRODUCT, THE NGS SHALL INFORM THE CUSTOMER OF THIS FACT.</w:t>
      </w:r>
      <w:r w:rsidR="00264B0C" w:rsidRPr="00F5171D">
        <w:rPr>
          <w:rFonts w:asciiTheme="minorHAnsi" w:hAnsiTheme="minorHAnsi" w:cstheme="minorHAnsi"/>
        </w:rPr>
        <w:t xml:space="preserve">   </w:t>
      </w:r>
      <w:r w:rsidR="00264B0C" w:rsidRPr="009318CC">
        <w:rPr>
          <w:rFonts w:asciiTheme="minorHAnsi" w:hAnsiTheme="minorHAnsi" w:cstheme="minorHAnsi"/>
          <w:sz w:val="26"/>
          <w:szCs w:val="26"/>
        </w:rPr>
        <w:t xml:space="preserve"> </w:t>
      </w:r>
    </w:p>
    <w:p w:rsidR="006B4F4A" w:rsidRPr="003B09DF" w:rsidRDefault="0025271E" w:rsidP="0025271E">
      <w:pPr>
        <w:pStyle w:val="NoSpacing"/>
        <w:ind w:left="720" w:firstLine="720"/>
        <w:rPr>
          <w:rFonts w:ascii="Times New Roman" w:eastAsia="Times New Roman" w:hAnsi="Times New Roman"/>
          <w:sz w:val="26"/>
          <w:szCs w:val="26"/>
          <w:u w:val="single"/>
        </w:rPr>
      </w:pPr>
      <w:r w:rsidRPr="009158DD">
        <w:rPr>
          <w:rFonts w:ascii="Times New Roman" w:eastAsia="Times New Roman" w:hAnsi="Times New Roman"/>
          <w:strike/>
          <w:sz w:val="26"/>
          <w:szCs w:val="26"/>
          <w:u w:val="single"/>
        </w:rPr>
        <w:t>(vii)</w:t>
      </w:r>
      <w:r w:rsidR="003C7512" w:rsidRPr="009158DD">
        <w:rPr>
          <w:rFonts w:eastAsia="Times New Roman" w:cstheme="minorHAnsi"/>
          <w:b/>
          <w:sz w:val="26"/>
          <w:szCs w:val="26"/>
        </w:rPr>
        <w:t>(</w:t>
      </w:r>
      <w:r w:rsidR="00110928">
        <w:rPr>
          <w:rFonts w:eastAsia="Times New Roman" w:cstheme="minorHAnsi"/>
          <w:b/>
          <w:sz w:val="26"/>
          <w:szCs w:val="26"/>
        </w:rPr>
        <w:t>vi</w:t>
      </w:r>
      <w:r w:rsidR="003C7512" w:rsidRPr="009158DD">
        <w:rPr>
          <w:rFonts w:eastAsia="Times New Roman" w:cstheme="minorHAnsi"/>
          <w:b/>
          <w:sz w:val="26"/>
          <w:szCs w:val="26"/>
        </w:rPr>
        <w:t>)</w:t>
      </w:r>
      <w:r w:rsidRPr="009158DD">
        <w:rPr>
          <w:rFonts w:ascii="Times New Roman" w:eastAsia="Times New Roman" w:hAnsi="Times New Roman"/>
          <w:sz w:val="26"/>
          <w:szCs w:val="26"/>
        </w:rPr>
        <w:t xml:space="preserve"> </w:t>
      </w:r>
      <w:r w:rsidRPr="003B09DF">
        <w:rPr>
          <w:rFonts w:ascii="Times New Roman" w:eastAsia="Times New Roman" w:hAnsi="Times New Roman"/>
          <w:sz w:val="26"/>
          <w:szCs w:val="26"/>
          <w:u w:val="single"/>
        </w:rPr>
        <w:t xml:space="preserve">In plain language, a statement that historical pricing is not indicative of present or future pricing. </w:t>
      </w:r>
      <w:r w:rsidR="006B4F4A" w:rsidRPr="003B09DF">
        <w:rPr>
          <w:rFonts w:ascii="Times New Roman" w:eastAsia="Times New Roman" w:hAnsi="Times New Roman"/>
          <w:sz w:val="26"/>
          <w:szCs w:val="26"/>
          <w:u w:val="single"/>
        </w:rPr>
        <w:t xml:space="preserve">  </w:t>
      </w:r>
    </w:p>
    <w:p w:rsidR="00C272A9" w:rsidRPr="00C272A9" w:rsidRDefault="00C272A9" w:rsidP="00C272A9">
      <w:pPr>
        <w:ind w:firstLine="720"/>
        <w:rPr>
          <w:sz w:val="26"/>
          <w:szCs w:val="26"/>
        </w:rPr>
      </w:pPr>
      <w:r w:rsidRPr="00C272A9">
        <w:rPr>
          <w:sz w:val="26"/>
          <w:szCs w:val="26"/>
        </w:rPr>
        <w:t xml:space="preserve">(3)  An itemization of basic and </w:t>
      </w:r>
      <w:proofErr w:type="spellStart"/>
      <w:r w:rsidRPr="00C272A9">
        <w:rPr>
          <w:sz w:val="26"/>
          <w:szCs w:val="26"/>
        </w:rPr>
        <w:t>nonbasic</w:t>
      </w:r>
      <w:proofErr w:type="spellEnd"/>
      <w:r w:rsidRPr="00C272A9">
        <w:rPr>
          <w:sz w:val="26"/>
          <w:szCs w:val="26"/>
        </w:rPr>
        <w:t xml:space="preserve"> charges distinctly separate and clearly labeled. </w:t>
      </w:r>
    </w:p>
    <w:p w:rsidR="00C272A9" w:rsidRDefault="00C272A9" w:rsidP="00C272A9">
      <w:pPr>
        <w:rPr>
          <w:sz w:val="26"/>
          <w:szCs w:val="26"/>
        </w:rPr>
      </w:pPr>
      <w:r w:rsidRPr="00C272A9">
        <w:rPr>
          <w:sz w:val="26"/>
          <w:szCs w:val="26"/>
        </w:rPr>
        <w:t>   </w:t>
      </w:r>
      <w:r>
        <w:rPr>
          <w:sz w:val="26"/>
          <w:szCs w:val="26"/>
        </w:rPr>
        <w:tab/>
      </w:r>
      <w:r w:rsidRPr="00C272A9">
        <w:rPr>
          <w:sz w:val="26"/>
          <w:szCs w:val="26"/>
        </w:rPr>
        <w:t xml:space="preserve">(4)  The length of the agreement, which includes: </w:t>
      </w:r>
    </w:p>
    <w:p w:rsidR="00C272A9" w:rsidRPr="00C272A9" w:rsidRDefault="00C272A9" w:rsidP="00C272A9">
      <w:pPr>
        <w:ind w:left="720" w:firstLine="720"/>
        <w:rPr>
          <w:sz w:val="26"/>
          <w:szCs w:val="26"/>
        </w:rPr>
      </w:pPr>
      <w:r w:rsidRPr="00C272A9">
        <w:rPr>
          <w:sz w:val="26"/>
          <w:szCs w:val="26"/>
        </w:rPr>
        <w:t>(</w:t>
      </w:r>
      <w:proofErr w:type="spellStart"/>
      <w:r w:rsidRPr="00C272A9">
        <w:rPr>
          <w:sz w:val="26"/>
          <w:szCs w:val="26"/>
        </w:rPr>
        <w:t>i</w:t>
      </w:r>
      <w:proofErr w:type="spellEnd"/>
      <w:r w:rsidRPr="00C272A9">
        <w:rPr>
          <w:sz w:val="26"/>
          <w:szCs w:val="26"/>
        </w:rPr>
        <w:t xml:space="preserve">)   The starting date. </w:t>
      </w:r>
    </w:p>
    <w:p w:rsidR="00C272A9" w:rsidRPr="00C272A9" w:rsidRDefault="00C272A9" w:rsidP="00C272A9">
      <w:pPr>
        <w:rPr>
          <w:sz w:val="26"/>
          <w:szCs w:val="26"/>
        </w:rPr>
      </w:pPr>
      <w:r w:rsidRPr="00C272A9">
        <w:rPr>
          <w:sz w:val="26"/>
          <w:szCs w:val="26"/>
        </w:rPr>
        <w:t>     </w:t>
      </w:r>
      <w:r>
        <w:rPr>
          <w:sz w:val="26"/>
          <w:szCs w:val="26"/>
        </w:rPr>
        <w:tab/>
      </w:r>
      <w:r>
        <w:rPr>
          <w:sz w:val="26"/>
          <w:szCs w:val="26"/>
        </w:rPr>
        <w:tab/>
      </w:r>
      <w:r w:rsidRPr="00C272A9">
        <w:rPr>
          <w:sz w:val="26"/>
          <w:szCs w:val="26"/>
        </w:rPr>
        <w:t xml:space="preserve">(ii)   The expiration date, if applicable.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(5) </w:t>
      </w:r>
      <w:r w:rsidR="00EA55AF">
        <w:rPr>
          <w:sz w:val="26"/>
          <w:szCs w:val="26"/>
        </w:rPr>
        <w:t xml:space="preserve"> </w:t>
      </w:r>
      <w:r w:rsidRPr="00C272A9">
        <w:rPr>
          <w:sz w:val="26"/>
          <w:szCs w:val="26"/>
        </w:rPr>
        <w:t xml:space="preserve">An explanation of sign-up bonuses, add-ons, limited time offers, other sales promotions and exclusions, if applicable.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(6) </w:t>
      </w:r>
      <w:r w:rsidR="00EA55AF">
        <w:rPr>
          <w:sz w:val="26"/>
          <w:szCs w:val="26"/>
        </w:rPr>
        <w:t xml:space="preserve"> </w:t>
      </w:r>
      <w:r w:rsidRPr="00C272A9">
        <w:rPr>
          <w:sz w:val="26"/>
          <w:szCs w:val="26"/>
        </w:rPr>
        <w:t xml:space="preserve">An explanation of prices, terms and conditions for special services, if applicable.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(7) </w:t>
      </w:r>
      <w:r w:rsidR="00EA55AF">
        <w:rPr>
          <w:sz w:val="26"/>
          <w:szCs w:val="26"/>
        </w:rPr>
        <w:t xml:space="preserve"> </w:t>
      </w:r>
      <w:r w:rsidRPr="00C272A9">
        <w:rPr>
          <w:sz w:val="26"/>
          <w:szCs w:val="26"/>
        </w:rPr>
        <w:t xml:space="preserve">The cancellation provisions, if applicable. </w:t>
      </w:r>
      <w:r w:rsidR="006B4F4A">
        <w:rPr>
          <w:sz w:val="26"/>
          <w:szCs w:val="26"/>
        </w:rPr>
        <w:t>[</w:t>
      </w:r>
      <w:r w:rsidRPr="00C272A9">
        <w:rPr>
          <w:sz w:val="26"/>
          <w:szCs w:val="26"/>
        </w:rPr>
        <w:t>When a customer moves from one location to another, even if the move is within an NGDC’s service territory, the agreement is cancelled.</w:t>
      </w:r>
      <w:r w:rsidR="006B4F4A">
        <w:rPr>
          <w:sz w:val="26"/>
          <w:szCs w:val="26"/>
        </w:rPr>
        <w:t>]</w:t>
      </w:r>
      <w:r w:rsidRPr="00C272A9">
        <w:rPr>
          <w:sz w:val="26"/>
          <w:szCs w:val="26"/>
        </w:rPr>
        <w:t xml:space="preserve">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 xml:space="preserve">(8) The renewal provisions, if applicable. </w:t>
      </w:r>
      <w:r w:rsidR="006B4F4A" w:rsidRPr="00023FE8">
        <w:rPr>
          <w:sz w:val="26"/>
          <w:szCs w:val="26"/>
        </w:rPr>
        <w:t>[</w:t>
      </w:r>
      <w:r w:rsidRPr="00023FE8">
        <w:rPr>
          <w:sz w:val="26"/>
          <w:szCs w:val="26"/>
        </w:rPr>
        <w:t xml:space="preserve">Automatic renewal is allowed at the same terms and conditions as long as the new agreement is month-to-month. </w:t>
      </w:r>
    </w:p>
    <w:p w:rsidR="00C272A9" w:rsidRPr="00C272A9" w:rsidRDefault="00C272A9" w:rsidP="00C272A9">
      <w:pPr>
        <w:rPr>
          <w:sz w:val="26"/>
          <w:szCs w:val="26"/>
        </w:rPr>
      </w:pPr>
      <w:r w:rsidRPr="00C272A9">
        <w:rPr>
          <w:sz w:val="26"/>
          <w:szCs w:val="26"/>
        </w:rPr>
        <w:t>   </w:t>
      </w:r>
      <w:r>
        <w:rPr>
          <w:sz w:val="26"/>
          <w:szCs w:val="26"/>
        </w:rPr>
        <w:tab/>
      </w:r>
      <w:r w:rsidRPr="00C272A9">
        <w:rPr>
          <w:sz w:val="26"/>
          <w:szCs w:val="26"/>
        </w:rPr>
        <w:t xml:space="preserve">(9) The name and telephone number of the supplier of last resort. </w:t>
      </w:r>
    </w:p>
    <w:p w:rsidR="00C272A9" w:rsidRPr="00C272A9" w:rsidRDefault="00C272A9" w:rsidP="00C272A9">
      <w:pPr>
        <w:rPr>
          <w:sz w:val="26"/>
          <w:szCs w:val="26"/>
        </w:rPr>
      </w:pPr>
      <w:r w:rsidRPr="00C272A9">
        <w:rPr>
          <w:sz w:val="26"/>
          <w:szCs w:val="26"/>
        </w:rPr>
        <w:t>   </w:t>
      </w:r>
      <w:r>
        <w:rPr>
          <w:sz w:val="26"/>
          <w:szCs w:val="26"/>
        </w:rPr>
        <w:tab/>
      </w:r>
      <w:r w:rsidR="009158DD">
        <w:rPr>
          <w:sz w:val="26"/>
          <w:szCs w:val="26"/>
        </w:rPr>
        <w:t xml:space="preserve">(10)] </w:t>
      </w:r>
      <w:r w:rsidR="009158DD">
        <w:rPr>
          <w:sz w:val="26"/>
          <w:szCs w:val="26"/>
          <w:u w:val="single"/>
        </w:rPr>
        <w:t>(9)</w:t>
      </w:r>
      <w:r w:rsidRPr="00C272A9">
        <w:rPr>
          <w:sz w:val="26"/>
          <w:szCs w:val="26"/>
        </w:rPr>
        <w:t xml:space="preserve"> An explanation of </w:t>
      </w:r>
      <w:r w:rsidR="004C3CB8">
        <w:rPr>
          <w:sz w:val="26"/>
          <w:szCs w:val="26"/>
          <w:u w:val="single"/>
        </w:rPr>
        <w:t xml:space="preserve">limits on price </w:t>
      </w:r>
      <w:r w:rsidR="004C3CB8" w:rsidRPr="004C3CB8">
        <w:rPr>
          <w:sz w:val="26"/>
          <w:szCs w:val="26"/>
          <w:u w:val="single"/>
        </w:rPr>
        <w:t>variability</w:t>
      </w:r>
      <w:r w:rsidR="000D785D">
        <w:rPr>
          <w:sz w:val="26"/>
          <w:szCs w:val="26"/>
          <w:u w:val="single"/>
        </w:rPr>
        <w:t>,</w:t>
      </w:r>
      <w:r w:rsidR="004C3CB8">
        <w:rPr>
          <w:sz w:val="26"/>
          <w:szCs w:val="26"/>
        </w:rPr>
        <w:t xml:space="preserve"> </w:t>
      </w:r>
      <w:r w:rsidRPr="004C3CB8">
        <w:rPr>
          <w:sz w:val="26"/>
          <w:szCs w:val="26"/>
        </w:rPr>
        <w:t>penalties</w:t>
      </w:r>
      <w:r w:rsidRPr="00C272A9">
        <w:rPr>
          <w:sz w:val="26"/>
          <w:szCs w:val="26"/>
        </w:rPr>
        <w:t xml:space="preserve">, fees or exceptions, printed in type size larger than the type size appearing in the terms of service. Penalties shall be disclosed in actual dollars or a specific method for determining the actual dollars shall be disclosed. </w:t>
      </w:r>
    </w:p>
    <w:p w:rsidR="00C272A9" w:rsidRPr="00C272A9" w:rsidRDefault="00C272A9" w:rsidP="00C272A9">
      <w:pPr>
        <w:rPr>
          <w:sz w:val="26"/>
          <w:szCs w:val="26"/>
        </w:rPr>
      </w:pPr>
      <w:r w:rsidRPr="00C272A9">
        <w:rPr>
          <w:sz w:val="26"/>
          <w:szCs w:val="26"/>
        </w:rPr>
        <w:t>   </w:t>
      </w:r>
      <w:r>
        <w:rPr>
          <w:sz w:val="26"/>
          <w:szCs w:val="26"/>
        </w:rPr>
        <w:tab/>
      </w:r>
      <w:r w:rsidR="009158DD">
        <w:rPr>
          <w:sz w:val="26"/>
          <w:szCs w:val="26"/>
        </w:rPr>
        <w:t xml:space="preserve">[(11)] </w:t>
      </w:r>
      <w:r w:rsidR="00EA55AF">
        <w:rPr>
          <w:sz w:val="26"/>
          <w:szCs w:val="26"/>
          <w:u w:val="single"/>
        </w:rPr>
        <w:t>(10)</w:t>
      </w:r>
      <w:r w:rsidRPr="00C272A9">
        <w:rPr>
          <w:sz w:val="26"/>
          <w:szCs w:val="26"/>
        </w:rPr>
        <w:t> Customer contact information that includes the name of the</w:t>
      </w:r>
      <w:r w:rsidR="00EA55AF">
        <w:rPr>
          <w:sz w:val="26"/>
          <w:szCs w:val="26"/>
        </w:rPr>
        <w:t xml:space="preserve"> [</w:t>
      </w:r>
      <w:r w:rsidRPr="00C272A9">
        <w:rPr>
          <w:sz w:val="26"/>
          <w:szCs w:val="26"/>
        </w:rPr>
        <w:t>NGDC and</w:t>
      </w:r>
      <w:r w:rsidR="00EA55AF">
        <w:rPr>
          <w:sz w:val="26"/>
          <w:szCs w:val="26"/>
        </w:rPr>
        <w:t xml:space="preserve">] </w:t>
      </w:r>
      <w:r w:rsidRPr="00C272A9">
        <w:rPr>
          <w:sz w:val="26"/>
          <w:szCs w:val="26"/>
        </w:rPr>
        <w:t xml:space="preserve">NGS, and the NGS’s address, telephone number, Commission license number and Internet address, if available. </w:t>
      </w:r>
      <w:r w:rsidRPr="006D158B">
        <w:rPr>
          <w:strike/>
          <w:sz w:val="26"/>
          <w:szCs w:val="26"/>
        </w:rPr>
        <w:t>The NGS’s information shall appear first and be prominent.</w:t>
      </w:r>
      <w:r w:rsidRPr="00C272A9">
        <w:rPr>
          <w:sz w:val="26"/>
          <w:szCs w:val="26"/>
        </w:rPr>
        <w:t xml:space="preserve"> </w:t>
      </w:r>
    </w:p>
    <w:p w:rsidR="009158DD" w:rsidRDefault="009158DD" w:rsidP="00C272A9">
      <w:pPr>
        <w:rPr>
          <w:sz w:val="26"/>
          <w:szCs w:val="26"/>
        </w:rPr>
      </w:pPr>
      <w:r>
        <w:rPr>
          <w:sz w:val="26"/>
          <w:szCs w:val="26"/>
        </w:rPr>
        <w:lastRenderedPageBreak/>
        <w:tab/>
        <w:t>[(12) A statement that directs a customer to the Commission if the customer is not satisfied after discussing the terms of service contained in the disclosure statement with the NGS.</w:t>
      </w:r>
    </w:p>
    <w:p w:rsidR="009158DD" w:rsidRDefault="009158DD" w:rsidP="00C272A9">
      <w:pPr>
        <w:rPr>
          <w:sz w:val="26"/>
          <w:szCs w:val="26"/>
        </w:rPr>
      </w:pPr>
    </w:p>
    <w:p w:rsidR="009158DD" w:rsidRDefault="009158DD" w:rsidP="00C272A9">
      <w:pPr>
        <w:rPr>
          <w:sz w:val="26"/>
          <w:szCs w:val="26"/>
        </w:rPr>
      </w:pPr>
      <w:r>
        <w:rPr>
          <w:sz w:val="26"/>
          <w:szCs w:val="26"/>
        </w:rPr>
        <w:tab/>
        <w:t>(13) The names and telephone number for universal service program information.]</w:t>
      </w:r>
    </w:p>
    <w:p w:rsidR="00C272A9" w:rsidRDefault="00C272A9" w:rsidP="00CB4F77">
      <w:pPr>
        <w:rPr>
          <w:sz w:val="26"/>
          <w:szCs w:val="26"/>
        </w:rPr>
      </w:pPr>
      <w:r w:rsidRPr="00C272A9">
        <w:rPr>
          <w:sz w:val="26"/>
          <w:szCs w:val="26"/>
        </w:rPr>
        <w:t>   </w:t>
      </w:r>
      <w:r w:rsidR="00CB4F77">
        <w:rPr>
          <w:sz w:val="26"/>
          <w:szCs w:val="26"/>
        </w:rPr>
        <w:tab/>
      </w:r>
      <w:r w:rsidR="00EA55AF">
        <w:rPr>
          <w:sz w:val="26"/>
          <w:szCs w:val="26"/>
          <w:u w:val="single"/>
        </w:rPr>
        <w:t>(11</w:t>
      </w:r>
      <w:r w:rsidR="00EA55AF" w:rsidRPr="009158DD">
        <w:rPr>
          <w:sz w:val="26"/>
          <w:szCs w:val="26"/>
          <w:u w:val="single"/>
        </w:rPr>
        <w:t>)</w:t>
      </w:r>
      <w:r w:rsidR="009158DD" w:rsidRPr="009158DD">
        <w:rPr>
          <w:sz w:val="26"/>
          <w:szCs w:val="26"/>
          <w:u w:val="single"/>
        </w:rPr>
        <w:t xml:space="preserve"> </w:t>
      </w:r>
      <w:r w:rsidRPr="009158DD">
        <w:rPr>
          <w:sz w:val="26"/>
          <w:szCs w:val="26"/>
          <w:u w:val="single"/>
        </w:rPr>
        <w:t xml:space="preserve">A statement </w:t>
      </w:r>
      <w:r w:rsidR="004C3CB8" w:rsidRPr="009158DD">
        <w:rPr>
          <w:sz w:val="26"/>
          <w:szCs w:val="26"/>
          <w:u w:val="single"/>
        </w:rPr>
        <w:t>provid</w:t>
      </w:r>
      <w:r w:rsidR="004B7B4F" w:rsidRPr="009158DD">
        <w:rPr>
          <w:sz w:val="26"/>
          <w:szCs w:val="26"/>
          <w:u w:val="single"/>
        </w:rPr>
        <w:t>ing</w:t>
      </w:r>
      <w:r w:rsidR="004C3CB8" w:rsidRPr="004C3CB8">
        <w:rPr>
          <w:sz w:val="26"/>
          <w:szCs w:val="26"/>
          <w:u w:val="single"/>
        </w:rPr>
        <w:t xml:space="preserve"> that information about shopping for a gas supplier is available</w:t>
      </w:r>
      <w:r w:rsidR="00202C13">
        <w:rPr>
          <w:sz w:val="26"/>
          <w:szCs w:val="26"/>
          <w:u w:val="single"/>
        </w:rPr>
        <w:t xml:space="preserve"> </w:t>
      </w:r>
      <w:r w:rsidR="002934A3">
        <w:rPr>
          <w:sz w:val="26"/>
          <w:szCs w:val="26"/>
          <w:u w:val="single"/>
        </w:rPr>
        <w:t xml:space="preserve">at </w:t>
      </w:r>
      <w:hyperlink r:id="rId14" w:history="1">
        <w:r w:rsidR="0025271E" w:rsidRPr="000E1F77">
          <w:rPr>
            <w:rStyle w:val="Hyperlink"/>
            <w:color w:val="000000" w:themeColor="text1"/>
            <w:sz w:val="26"/>
            <w:szCs w:val="26"/>
          </w:rPr>
          <w:t>www.PaGasSwitch.com</w:t>
        </w:r>
      </w:hyperlink>
      <w:r w:rsidR="000E1F77" w:rsidRPr="000E1F77">
        <w:rPr>
          <w:rStyle w:val="Hyperlink"/>
          <w:color w:val="000000" w:themeColor="text1"/>
          <w:sz w:val="26"/>
          <w:szCs w:val="26"/>
        </w:rPr>
        <w:t xml:space="preserve"> or other successor media platform as determined by the Commission</w:t>
      </w:r>
      <w:r w:rsidR="009158DD" w:rsidRPr="009158DD">
        <w:rPr>
          <w:rStyle w:val="Hyperlink"/>
          <w:strike/>
          <w:color w:val="000000" w:themeColor="text1"/>
          <w:sz w:val="26"/>
          <w:szCs w:val="26"/>
        </w:rPr>
        <w:t>.</w:t>
      </w:r>
      <w:r w:rsidR="009158DD">
        <w:rPr>
          <w:rStyle w:val="Hyperlink"/>
          <w:color w:val="000000" w:themeColor="text1"/>
          <w:sz w:val="26"/>
          <w:szCs w:val="26"/>
          <w:u w:val="none"/>
        </w:rPr>
        <w:t>,</w:t>
      </w:r>
      <w:r w:rsidR="00CC1F45">
        <w:rPr>
          <w:rStyle w:val="Hyperlink"/>
          <w:color w:val="000000" w:themeColor="text1"/>
          <w:sz w:val="26"/>
          <w:szCs w:val="26"/>
          <w:u w:val="none"/>
        </w:rPr>
        <w:t xml:space="preserve"> </w:t>
      </w:r>
      <w:r w:rsidR="009158DD">
        <w:rPr>
          <w:rStyle w:val="Hyperlink"/>
          <w:b/>
          <w:color w:val="000000" w:themeColor="text1"/>
          <w:sz w:val="26"/>
          <w:szCs w:val="26"/>
          <w:u w:val="none"/>
        </w:rPr>
        <w:t xml:space="preserve">BY CALLING </w:t>
      </w:r>
      <w:r w:rsidR="00CC1F45" w:rsidRPr="0023567E">
        <w:rPr>
          <w:rStyle w:val="Hyperlink"/>
          <w:b/>
          <w:color w:val="000000" w:themeColor="text1"/>
          <w:sz w:val="26"/>
          <w:szCs w:val="26"/>
          <w:u w:val="none"/>
        </w:rPr>
        <w:t>THE COMMISSION’S TELEPHONE NUMBER AT 1-800-6</w:t>
      </w:r>
      <w:r w:rsidR="00184F98" w:rsidRPr="0023567E">
        <w:rPr>
          <w:rStyle w:val="Hyperlink"/>
          <w:b/>
          <w:color w:val="000000" w:themeColor="text1"/>
          <w:sz w:val="26"/>
          <w:szCs w:val="26"/>
          <w:u w:val="none"/>
        </w:rPr>
        <w:t>9</w:t>
      </w:r>
      <w:r w:rsidR="00CC1F45" w:rsidRPr="0023567E">
        <w:rPr>
          <w:rStyle w:val="Hyperlink"/>
          <w:b/>
          <w:color w:val="000000" w:themeColor="text1"/>
          <w:sz w:val="26"/>
          <w:szCs w:val="26"/>
          <w:u w:val="none"/>
        </w:rPr>
        <w:t xml:space="preserve">2-7380, AND </w:t>
      </w:r>
      <w:r w:rsidR="009158DD">
        <w:rPr>
          <w:rStyle w:val="Hyperlink"/>
          <w:b/>
          <w:color w:val="000000" w:themeColor="text1"/>
          <w:sz w:val="26"/>
          <w:szCs w:val="26"/>
          <w:u w:val="none"/>
        </w:rPr>
        <w:t xml:space="preserve">AT </w:t>
      </w:r>
      <w:r w:rsidR="00CC1F45" w:rsidRPr="0023567E">
        <w:rPr>
          <w:rStyle w:val="Hyperlink"/>
          <w:b/>
          <w:color w:val="000000" w:themeColor="text1"/>
          <w:sz w:val="26"/>
          <w:szCs w:val="26"/>
          <w:u w:val="none"/>
        </w:rPr>
        <w:t>WWW.OCA.STATE.PA.US</w:t>
      </w:r>
      <w:r w:rsidR="009158DD">
        <w:rPr>
          <w:rStyle w:val="Hyperlink"/>
          <w:b/>
          <w:color w:val="000000" w:themeColor="text1"/>
          <w:sz w:val="26"/>
          <w:szCs w:val="26"/>
          <w:u w:val="none"/>
        </w:rPr>
        <w:t>.</w:t>
      </w:r>
      <w:r w:rsidR="000E1F77">
        <w:rPr>
          <w:rStyle w:val="Hyperlink"/>
          <w:color w:val="000000" w:themeColor="text1"/>
          <w:sz w:val="26"/>
          <w:szCs w:val="26"/>
          <w:u w:val="none"/>
        </w:rPr>
        <w:t xml:space="preserve"> </w:t>
      </w:r>
    </w:p>
    <w:p w:rsidR="00C272A9" w:rsidRDefault="00C272A9" w:rsidP="00C272A9">
      <w:pPr>
        <w:ind w:firstLine="360"/>
        <w:rPr>
          <w:sz w:val="26"/>
          <w:szCs w:val="26"/>
        </w:rPr>
      </w:pPr>
      <w:r w:rsidRPr="00C272A9">
        <w:rPr>
          <w:sz w:val="26"/>
          <w:szCs w:val="26"/>
        </w:rPr>
        <w:t xml:space="preserve">(d)  Customers shall be provided a 3-day right of rescission period following receipt of the disclosure statement from the NGS. </w:t>
      </w:r>
    </w:p>
    <w:p w:rsidR="00E758C1" w:rsidRPr="00C272A9" w:rsidRDefault="00E758C1" w:rsidP="00C272A9">
      <w:pPr>
        <w:ind w:firstLine="360"/>
        <w:rPr>
          <w:sz w:val="26"/>
          <w:szCs w:val="26"/>
        </w:rPr>
      </w:pPr>
    </w:p>
    <w:p w:rsidR="00C272A9" w:rsidRPr="00E758C1" w:rsidRDefault="00E758C1" w:rsidP="00E758C1">
      <w:pPr>
        <w:spacing w:line="360" w:lineRule="auto"/>
        <w:jc w:val="center"/>
        <w:rPr>
          <w:rFonts w:cstheme="minorHAnsi"/>
          <w:b/>
          <w:sz w:val="26"/>
          <w:szCs w:val="26"/>
        </w:rPr>
      </w:pPr>
      <w:r>
        <w:rPr>
          <w:rFonts w:cstheme="minorHAnsi"/>
          <w:b/>
          <w:sz w:val="26"/>
          <w:szCs w:val="26"/>
        </w:rPr>
        <w:t>*</w:t>
      </w:r>
      <w:r>
        <w:rPr>
          <w:rFonts w:cstheme="minorHAnsi"/>
          <w:b/>
          <w:sz w:val="26"/>
          <w:szCs w:val="26"/>
        </w:rPr>
        <w:tab/>
        <w:t>*</w:t>
      </w:r>
      <w:r>
        <w:rPr>
          <w:rFonts w:cstheme="minorHAnsi"/>
          <w:b/>
          <w:sz w:val="26"/>
          <w:szCs w:val="26"/>
        </w:rPr>
        <w:tab/>
        <w:t>*</w:t>
      </w:r>
      <w:r>
        <w:rPr>
          <w:rFonts w:cstheme="minorHAnsi"/>
          <w:b/>
          <w:sz w:val="26"/>
          <w:szCs w:val="26"/>
        </w:rPr>
        <w:tab/>
        <w:t>*</w:t>
      </w:r>
      <w:r>
        <w:rPr>
          <w:rFonts w:cstheme="minorHAnsi"/>
          <w:b/>
          <w:sz w:val="26"/>
          <w:szCs w:val="26"/>
        </w:rPr>
        <w:tab/>
        <w:t>*</w:t>
      </w:r>
    </w:p>
    <w:p w:rsidR="00C272A9" w:rsidRPr="00C272A9" w:rsidRDefault="00C272A9" w:rsidP="00C272A9">
      <w:pPr>
        <w:ind w:firstLine="360"/>
        <w:rPr>
          <w:sz w:val="26"/>
          <w:szCs w:val="26"/>
        </w:rPr>
      </w:pPr>
      <w:r w:rsidRPr="00C272A9">
        <w:rPr>
          <w:sz w:val="26"/>
          <w:szCs w:val="26"/>
        </w:rPr>
        <w:t xml:space="preserve">(g)  Disclosure statements shall include the following customer notification: </w:t>
      </w:r>
    </w:p>
    <w:p w:rsidR="00C272A9" w:rsidRPr="00C272A9" w:rsidRDefault="00C272A9" w:rsidP="004C3CB8">
      <w:pPr>
        <w:pStyle w:val="NoSpacing"/>
        <w:rPr>
          <w:sz w:val="26"/>
          <w:szCs w:val="26"/>
        </w:rPr>
      </w:pPr>
      <w:r w:rsidRPr="00C272A9">
        <w:rPr>
          <w:sz w:val="26"/>
          <w:szCs w:val="26"/>
        </w:rPr>
        <w:t>   </w:t>
      </w:r>
      <w:r>
        <w:rPr>
          <w:sz w:val="26"/>
          <w:szCs w:val="26"/>
        </w:rPr>
        <w:tab/>
      </w:r>
      <w:r w:rsidR="004C3CB8">
        <w:rPr>
          <w:sz w:val="26"/>
          <w:szCs w:val="26"/>
        </w:rPr>
        <w:t>[</w:t>
      </w:r>
      <w:r w:rsidRPr="00C272A9">
        <w:rPr>
          <w:sz w:val="26"/>
          <w:szCs w:val="26"/>
        </w:rPr>
        <w:t xml:space="preserve">(1)  “If you have a fixed term agreement with us that is longer than 3 months and it is approaching the expiration date, we will send you advance written notices at about 90 days and 60 days before the expiration date. If we propose to change our terms of service in any type of agreement, we will send you advance written notices at about 90 days and 60 days before the effective date of the change. If we are billing you directly for our services, then we will provide the notices as a bill message, a bill insert, or in a separate corresponding mailing. If the NGDC is billing our charges for us, then we will provide the notices in separate corresponding mailings. We will explain your options to you in these two advance notifications.” </w:t>
      </w:r>
    </w:p>
    <w:p w:rsidR="00C272A9" w:rsidRPr="00C272A9" w:rsidRDefault="00C272A9" w:rsidP="00C272A9">
      <w:pPr>
        <w:ind w:firstLine="720"/>
        <w:rPr>
          <w:sz w:val="26"/>
          <w:szCs w:val="26"/>
        </w:rPr>
      </w:pPr>
      <w:r w:rsidRPr="00C272A9">
        <w:rPr>
          <w:sz w:val="26"/>
          <w:szCs w:val="26"/>
        </w:rPr>
        <w:t>(2)  The NGS may add appropriate language in the notice so that the notice may serve as an amendment to the original agreement if the customer affirmatively reselects the NGS. Affirmative res</w:t>
      </w:r>
      <w:r w:rsidR="009318CC">
        <w:rPr>
          <w:sz w:val="26"/>
          <w:szCs w:val="26"/>
        </w:rPr>
        <w:t>e</w:t>
      </w:r>
      <w:r w:rsidRPr="00C272A9">
        <w:rPr>
          <w:sz w:val="26"/>
          <w:szCs w:val="26"/>
        </w:rPr>
        <w:t xml:space="preserve">lection occurs when the customer initiates a telephone call to the NGS and during the conversation the customer accepts the new offer, the NGS initiates a telephone call to the customer and during the conversation the customer accepts the new offer, the customer accepts the new offer by signing a document and returning it to the NGS, or the customer acknowledges the acceptance of the new offer electronically, perhaps by checking a box on a form on the NGS’s website. These are offered as examples and are not meant to be all inclusive. After a customer affirmatively reselects the NGS, the NGS is relieved of its obligation to fulfill outstanding notice requirements. If the change in terms notice is for a reduction in the price of the commodity charges, the NGS is required to send only one written notice at least 60 but not more than 90 days prior to the effective date of the price change. A fixed term agreement may be converted to a month-to-month agreement, either at the same terms and conditions or at revised terms and conditions, as long as the agreement converts from a fixed term to a month-to-month agreement and contains no cancellation penalties, in the event that the customer does not respond to the notice. A fixed term agreement may be converted to another fixed term agreement as long as the new agreement includes a customer initiated cancellation provision that allows the customer to cancel at any time </w:t>
      </w:r>
      <w:r w:rsidRPr="00C272A9">
        <w:rPr>
          <w:sz w:val="26"/>
          <w:szCs w:val="26"/>
        </w:rPr>
        <w:lastRenderedPageBreak/>
        <w:t>for any reason and contains no cancellation penalties, in the event that the customer does not respond to the notice.</w:t>
      </w:r>
      <w:r w:rsidR="004C3CB8">
        <w:rPr>
          <w:sz w:val="26"/>
          <w:szCs w:val="26"/>
        </w:rPr>
        <w:t>]</w:t>
      </w:r>
      <w:r w:rsidRPr="00C272A9">
        <w:rPr>
          <w:sz w:val="26"/>
          <w:szCs w:val="26"/>
        </w:rPr>
        <w:t xml:space="preserve"> </w:t>
      </w:r>
    </w:p>
    <w:p w:rsidR="0025271E" w:rsidRDefault="0025271E" w:rsidP="0025271E">
      <w:pPr>
        <w:pStyle w:val="NoSpacing"/>
        <w:ind w:firstLine="720"/>
        <w:rPr>
          <w:sz w:val="26"/>
          <w:szCs w:val="26"/>
        </w:rPr>
      </w:pPr>
      <w:r w:rsidRPr="00D30BA3">
        <w:rPr>
          <w:rFonts w:eastAsia="Times New Roman"/>
          <w:sz w:val="26"/>
          <w:szCs w:val="26"/>
          <w:u w:val="single"/>
        </w:rPr>
        <w:t xml:space="preserve">‘‘If you have a fixed duration contract approaching the expiration date, or whenever we propose to change the terms of service </w:t>
      </w:r>
      <w:r w:rsidRPr="00D30BA3">
        <w:rPr>
          <w:rFonts w:eastAsia="Times New Roman"/>
          <w:strike/>
          <w:sz w:val="26"/>
          <w:szCs w:val="26"/>
          <w:u w:val="single"/>
        </w:rPr>
        <w:t>in any type of contract</w:t>
      </w:r>
      <w:r w:rsidRPr="00D30BA3">
        <w:rPr>
          <w:rFonts w:eastAsia="Times New Roman"/>
          <w:sz w:val="26"/>
          <w:szCs w:val="26"/>
          <w:u w:val="single"/>
        </w:rPr>
        <w:t>, you will receive two separate written notifications</w:t>
      </w:r>
      <w:r w:rsidR="00D30BA3">
        <w:rPr>
          <w:rFonts w:eastAsia="Times New Roman"/>
          <w:sz w:val="26"/>
          <w:szCs w:val="26"/>
          <w:u w:val="single"/>
        </w:rPr>
        <w:t xml:space="preserve">, </w:t>
      </w:r>
      <w:r w:rsidR="00D30BA3" w:rsidRPr="0023567E">
        <w:rPr>
          <w:rFonts w:eastAsia="Times New Roman"/>
          <w:b/>
          <w:sz w:val="26"/>
          <w:szCs w:val="26"/>
        </w:rPr>
        <w:t xml:space="preserve">THE FIRST APPROXIMATELY </w:t>
      </w:r>
      <w:r w:rsidR="007E43F0">
        <w:rPr>
          <w:rFonts w:eastAsia="Times New Roman"/>
          <w:b/>
          <w:sz w:val="26"/>
          <w:szCs w:val="26"/>
        </w:rPr>
        <w:t>60 TO 75</w:t>
      </w:r>
      <w:r w:rsidR="004A3E2A">
        <w:rPr>
          <w:rFonts w:eastAsia="Times New Roman"/>
          <w:b/>
          <w:sz w:val="26"/>
          <w:szCs w:val="26"/>
        </w:rPr>
        <w:t xml:space="preserve"> DAYS IN ADVANCE AND THE SECOND</w:t>
      </w:r>
      <w:r w:rsidR="006D158B" w:rsidRPr="0023567E">
        <w:rPr>
          <w:rFonts w:eastAsia="Times New Roman"/>
          <w:b/>
          <w:sz w:val="26"/>
          <w:szCs w:val="26"/>
        </w:rPr>
        <w:t xml:space="preserve"> </w:t>
      </w:r>
      <w:r w:rsidR="002871CE" w:rsidRPr="0023567E">
        <w:rPr>
          <w:rFonts w:eastAsia="Times New Roman"/>
          <w:b/>
          <w:sz w:val="26"/>
          <w:szCs w:val="26"/>
        </w:rPr>
        <w:t>45</w:t>
      </w:r>
      <w:r w:rsidR="00D30BA3" w:rsidRPr="0023567E">
        <w:rPr>
          <w:rFonts w:eastAsia="Times New Roman"/>
          <w:b/>
          <w:sz w:val="26"/>
          <w:szCs w:val="26"/>
        </w:rPr>
        <w:t xml:space="preserve"> DAYS IN ADVANCE OF</w:t>
      </w:r>
      <w:r w:rsidRPr="00D30BA3">
        <w:rPr>
          <w:rFonts w:eastAsia="Times New Roman"/>
          <w:sz w:val="26"/>
          <w:szCs w:val="26"/>
          <w:u w:val="single"/>
        </w:rPr>
        <w:t xml:space="preserve"> </w:t>
      </w:r>
      <w:r w:rsidRPr="00D30BA3">
        <w:rPr>
          <w:rFonts w:eastAsia="Times New Roman"/>
          <w:strike/>
          <w:sz w:val="26"/>
          <w:szCs w:val="26"/>
          <w:u w:val="single"/>
        </w:rPr>
        <w:t>that precede</w:t>
      </w:r>
      <w:r w:rsidRPr="00D30BA3">
        <w:rPr>
          <w:rFonts w:eastAsia="Times New Roman"/>
          <w:sz w:val="26"/>
          <w:szCs w:val="26"/>
          <w:u w:val="single"/>
        </w:rPr>
        <w:t xml:space="preserve"> either the expiration date or the effective date of the proposed changes. These notifications will explain your options going forward.’’</w:t>
      </w:r>
    </w:p>
    <w:p w:rsidR="0025271E" w:rsidRDefault="00C272A9" w:rsidP="0025271E">
      <w:pPr>
        <w:pStyle w:val="NoSpacing"/>
        <w:ind w:firstLine="360"/>
        <w:rPr>
          <w:sz w:val="26"/>
          <w:szCs w:val="26"/>
        </w:rPr>
      </w:pPr>
      <w:r w:rsidRPr="004C3CB8">
        <w:rPr>
          <w:sz w:val="26"/>
          <w:szCs w:val="26"/>
        </w:rPr>
        <w:t>(h)  If the supplier of last resort changes, the new supplier of last resort shall notify customers of that change, and shall provide customers with the name, address, telephone number and Internet address, if available.</w:t>
      </w:r>
      <w:r w:rsidR="004C3CB8" w:rsidRPr="004C3CB8">
        <w:rPr>
          <w:sz w:val="26"/>
          <w:szCs w:val="26"/>
        </w:rPr>
        <w:t xml:space="preserve">  </w:t>
      </w:r>
    </w:p>
    <w:p w:rsidR="0025271E" w:rsidRDefault="0025271E" w:rsidP="0025271E">
      <w:pPr>
        <w:pStyle w:val="NoSpacing"/>
        <w:ind w:firstLine="360"/>
        <w:rPr>
          <w:rFonts w:eastAsia="Times New Roman" w:cstheme="minorHAnsi"/>
          <w:sz w:val="26"/>
          <w:szCs w:val="26"/>
          <w:u w:val="single"/>
        </w:rPr>
      </w:pPr>
      <w:r>
        <w:rPr>
          <w:sz w:val="26"/>
          <w:szCs w:val="26"/>
        </w:rPr>
        <w:t>(</w:t>
      </w:r>
      <w:proofErr w:type="spellStart"/>
      <w:r w:rsidRPr="0025271E">
        <w:rPr>
          <w:rFonts w:cstheme="minorHAnsi"/>
          <w:sz w:val="26"/>
          <w:szCs w:val="26"/>
          <w:u w:val="single"/>
        </w:rPr>
        <w:t>i</w:t>
      </w:r>
      <w:proofErr w:type="spellEnd"/>
      <w:r w:rsidRPr="0025271E">
        <w:rPr>
          <w:rFonts w:cstheme="minorHAnsi"/>
          <w:sz w:val="26"/>
          <w:szCs w:val="26"/>
          <w:u w:val="single"/>
        </w:rPr>
        <w:t xml:space="preserve">) </w:t>
      </w:r>
      <w:r w:rsidR="004C3CB8" w:rsidRPr="0025271E">
        <w:rPr>
          <w:rFonts w:eastAsia="Times New Roman" w:cstheme="minorHAnsi"/>
          <w:sz w:val="26"/>
          <w:szCs w:val="26"/>
          <w:u w:val="single"/>
        </w:rPr>
        <w:t xml:space="preserve">The NGS shall provide, with the disclosure statement, a separate NGS contract summary in a format provided by the Commission. </w:t>
      </w:r>
    </w:p>
    <w:p w:rsidR="004C3CB8" w:rsidRPr="0025271E" w:rsidRDefault="0025271E" w:rsidP="0025271E">
      <w:pPr>
        <w:pStyle w:val="NoSpacing"/>
        <w:ind w:firstLine="360"/>
        <w:rPr>
          <w:rFonts w:eastAsia="Times New Roman" w:cstheme="minorHAnsi"/>
          <w:sz w:val="26"/>
          <w:szCs w:val="26"/>
          <w:u w:val="single"/>
        </w:rPr>
      </w:pPr>
      <w:r>
        <w:rPr>
          <w:rFonts w:eastAsia="Times New Roman" w:cstheme="minorHAnsi"/>
          <w:sz w:val="26"/>
          <w:szCs w:val="26"/>
          <w:u w:val="single"/>
        </w:rPr>
        <w:t>(</w:t>
      </w:r>
      <w:r w:rsidRPr="00D30BA3">
        <w:rPr>
          <w:rFonts w:eastAsia="Times New Roman" w:cstheme="minorHAnsi"/>
          <w:sz w:val="26"/>
          <w:szCs w:val="26"/>
          <w:u w:val="single"/>
        </w:rPr>
        <w:t xml:space="preserve">j) </w:t>
      </w:r>
      <w:r w:rsidR="004C3CB8" w:rsidRPr="00D30BA3">
        <w:rPr>
          <w:rFonts w:eastAsia="Times New Roman" w:cstheme="minorHAnsi"/>
          <w:sz w:val="26"/>
          <w:szCs w:val="26"/>
          <w:u w:val="single"/>
        </w:rPr>
        <w:t xml:space="preserve">If the contract is assignable, </w:t>
      </w:r>
      <w:r w:rsidRPr="00D30BA3">
        <w:rPr>
          <w:rFonts w:eastAsia="Times New Roman" w:cstheme="minorHAnsi"/>
          <w:sz w:val="26"/>
          <w:szCs w:val="26"/>
          <w:u w:val="single"/>
        </w:rPr>
        <w:t xml:space="preserve">the NGS shall </w:t>
      </w:r>
      <w:r w:rsidR="000D785D" w:rsidRPr="00761D35">
        <w:rPr>
          <w:rFonts w:eastAsia="Times New Roman" w:cstheme="minorHAnsi"/>
          <w:sz w:val="26"/>
          <w:szCs w:val="26"/>
          <w:u w:val="single"/>
        </w:rPr>
        <w:t>inform</w:t>
      </w:r>
      <w:r w:rsidR="004C3CB8" w:rsidRPr="00D30BA3">
        <w:rPr>
          <w:rFonts w:eastAsia="Times New Roman" w:cstheme="minorHAnsi"/>
          <w:sz w:val="26"/>
          <w:szCs w:val="26"/>
          <w:u w:val="single"/>
        </w:rPr>
        <w:t xml:space="preserve"> the customer</w:t>
      </w:r>
      <w:r w:rsidR="00D30BA3" w:rsidRPr="00D30BA3">
        <w:rPr>
          <w:rFonts w:eastAsia="Times New Roman" w:cstheme="minorHAnsi"/>
          <w:sz w:val="26"/>
          <w:szCs w:val="26"/>
          <w:u w:val="single"/>
        </w:rPr>
        <w:t xml:space="preserve"> </w:t>
      </w:r>
      <w:r w:rsidR="00E758C1">
        <w:rPr>
          <w:rFonts w:ascii="Times New Roman" w:eastAsia="Times New Roman" w:hAnsi="Times New Roman"/>
          <w:strike/>
          <w:color w:val="000000"/>
          <w:spacing w:val="1"/>
          <w:sz w:val="26"/>
          <w:szCs w:val="26"/>
          <w:u w:val="single"/>
        </w:rPr>
        <w:t>accordingly.</w:t>
      </w:r>
      <w:r w:rsidR="00D30BA3" w:rsidRPr="00D30BA3">
        <w:rPr>
          <w:rFonts w:ascii="Times New Roman" w:eastAsia="Times New Roman" w:hAnsi="Times New Roman"/>
          <w:color w:val="000000"/>
          <w:spacing w:val="1"/>
          <w:sz w:val="26"/>
          <w:szCs w:val="26"/>
        </w:rPr>
        <w:t xml:space="preserve"> </w:t>
      </w:r>
      <w:r w:rsidR="00761D35" w:rsidRPr="0023567E">
        <w:rPr>
          <w:rFonts w:ascii="Times New Roman" w:eastAsia="Times New Roman" w:hAnsi="Times New Roman"/>
          <w:b/>
          <w:color w:val="000000"/>
          <w:spacing w:val="1"/>
          <w:sz w:val="26"/>
          <w:szCs w:val="26"/>
        </w:rPr>
        <w:t>AT THE TIM</w:t>
      </w:r>
      <w:r w:rsidR="004D71B6" w:rsidRPr="0023567E">
        <w:rPr>
          <w:rFonts w:ascii="Times New Roman" w:eastAsia="Times New Roman" w:hAnsi="Times New Roman"/>
          <w:b/>
          <w:color w:val="000000"/>
          <w:spacing w:val="1"/>
          <w:sz w:val="26"/>
          <w:szCs w:val="26"/>
        </w:rPr>
        <w:t xml:space="preserve">E THE PARTIES ENTER </w:t>
      </w:r>
      <w:r w:rsidR="00B05074" w:rsidRPr="0023567E">
        <w:rPr>
          <w:rFonts w:ascii="Times New Roman" w:eastAsia="Times New Roman" w:hAnsi="Times New Roman"/>
          <w:b/>
          <w:color w:val="000000"/>
          <w:spacing w:val="1"/>
          <w:sz w:val="26"/>
          <w:szCs w:val="26"/>
        </w:rPr>
        <w:t xml:space="preserve">INTO </w:t>
      </w:r>
      <w:r w:rsidR="004D71B6" w:rsidRPr="0023567E">
        <w:rPr>
          <w:rFonts w:ascii="Times New Roman" w:eastAsia="Times New Roman" w:hAnsi="Times New Roman"/>
          <w:b/>
          <w:color w:val="000000"/>
          <w:spacing w:val="1"/>
          <w:sz w:val="26"/>
          <w:szCs w:val="26"/>
        </w:rPr>
        <w:t>THE CONTRACT.</w:t>
      </w:r>
      <w:r w:rsidR="00761D35" w:rsidRPr="0023567E">
        <w:rPr>
          <w:rFonts w:ascii="Times New Roman" w:eastAsia="Times New Roman" w:hAnsi="Times New Roman"/>
          <w:b/>
          <w:color w:val="000000"/>
          <w:spacing w:val="1"/>
          <w:sz w:val="26"/>
          <w:szCs w:val="26"/>
        </w:rPr>
        <w:t xml:space="preserve"> </w:t>
      </w:r>
      <w:r w:rsidR="00E94F60" w:rsidRPr="0023567E">
        <w:rPr>
          <w:rFonts w:ascii="Times New Roman" w:eastAsia="Times New Roman" w:hAnsi="Times New Roman"/>
          <w:b/>
          <w:color w:val="000000"/>
          <w:spacing w:val="1"/>
          <w:sz w:val="26"/>
          <w:szCs w:val="26"/>
        </w:rPr>
        <w:t xml:space="preserve"> </w:t>
      </w:r>
      <w:r w:rsidR="004D71B6" w:rsidRPr="0023567E">
        <w:rPr>
          <w:rFonts w:ascii="Times New Roman" w:eastAsia="Times New Roman" w:hAnsi="Times New Roman"/>
          <w:b/>
          <w:color w:val="000000"/>
          <w:spacing w:val="1"/>
          <w:sz w:val="26"/>
          <w:szCs w:val="26"/>
        </w:rPr>
        <w:t xml:space="preserve">PRIOR TO ANY CONTRACT ASSIGNMENT, THE NGS SHALL PROVIDE NOTICE TO THE AFFECTED CUSTOMER, THE AFFECTED </w:t>
      </w:r>
      <w:r w:rsidR="00DE7B71" w:rsidRPr="0023567E">
        <w:rPr>
          <w:rFonts w:ascii="Times New Roman" w:eastAsia="Times New Roman" w:hAnsi="Times New Roman"/>
          <w:b/>
          <w:color w:val="000000"/>
          <w:spacing w:val="1"/>
          <w:sz w:val="26"/>
          <w:szCs w:val="26"/>
        </w:rPr>
        <w:t>NGDC</w:t>
      </w:r>
      <w:r w:rsidR="004D71B6" w:rsidRPr="0023567E">
        <w:rPr>
          <w:rFonts w:ascii="Times New Roman" w:eastAsia="Times New Roman" w:hAnsi="Times New Roman"/>
          <w:b/>
          <w:color w:val="000000"/>
          <w:spacing w:val="1"/>
          <w:sz w:val="26"/>
          <w:szCs w:val="26"/>
        </w:rPr>
        <w:t xml:space="preserve"> AND THE COMMISSION. </w:t>
      </w:r>
      <w:r w:rsidR="00DE7B71" w:rsidRPr="0023567E">
        <w:rPr>
          <w:rFonts w:ascii="Times New Roman" w:eastAsia="Times New Roman" w:hAnsi="Times New Roman"/>
          <w:b/>
          <w:color w:val="000000"/>
          <w:spacing w:val="1"/>
          <w:sz w:val="26"/>
          <w:szCs w:val="26"/>
        </w:rPr>
        <w:t xml:space="preserve"> </w:t>
      </w:r>
      <w:r w:rsidR="004D71B6" w:rsidRPr="0023567E">
        <w:rPr>
          <w:rFonts w:ascii="Times New Roman" w:eastAsia="Times New Roman" w:hAnsi="Times New Roman"/>
          <w:b/>
          <w:color w:val="000000"/>
          <w:spacing w:val="1"/>
          <w:sz w:val="26"/>
          <w:szCs w:val="26"/>
        </w:rPr>
        <w:t xml:space="preserve">THE CUSTOMER NOTICE SHALL INCLUDE THE NAME OF THE NEW NGS, THE CONTACT INFORMATION </w:t>
      </w:r>
      <w:r w:rsidR="00DE7B71" w:rsidRPr="0023567E">
        <w:rPr>
          <w:rFonts w:ascii="Times New Roman" w:eastAsia="Times New Roman" w:hAnsi="Times New Roman"/>
          <w:b/>
          <w:color w:val="000000"/>
          <w:spacing w:val="1"/>
          <w:sz w:val="26"/>
          <w:szCs w:val="26"/>
        </w:rPr>
        <w:t xml:space="preserve">FOR </w:t>
      </w:r>
      <w:r w:rsidR="004D71B6" w:rsidRPr="0023567E">
        <w:rPr>
          <w:rFonts w:ascii="Times New Roman" w:eastAsia="Times New Roman" w:hAnsi="Times New Roman"/>
          <w:b/>
          <w:color w:val="000000"/>
          <w:spacing w:val="1"/>
          <w:sz w:val="26"/>
          <w:szCs w:val="26"/>
        </w:rPr>
        <w:t>THE NEW NGS, AND LANGUAGE INFORMING THE CUSTOMER THAT THEIR CONTRACT TERMS AND CONDITIONS REMAIN UNCHANGED.</w:t>
      </w:r>
      <w:r w:rsidR="004D71B6">
        <w:rPr>
          <w:rFonts w:ascii="Times New Roman" w:eastAsia="Times New Roman" w:hAnsi="Times New Roman"/>
          <w:color w:val="000000"/>
          <w:spacing w:val="1"/>
          <w:sz w:val="26"/>
          <w:szCs w:val="26"/>
        </w:rPr>
        <w:t xml:space="preserve">  </w:t>
      </w:r>
    </w:p>
    <w:bookmarkEnd w:id="2"/>
    <w:p w:rsidR="00C272A9" w:rsidRDefault="00C272A9" w:rsidP="00B113D1">
      <w:pPr>
        <w:spacing w:line="360" w:lineRule="auto"/>
        <w:jc w:val="center"/>
        <w:rPr>
          <w:rFonts w:eastAsia="Times New Roman" w:cstheme="minorHAnsi"/>
          <w:sz w:val="26"/>
          <w:szCs w:val="26"/>
        </w:rPr>
      </w:pPr>
    </w:p>
    <w:p w:rsidR="00B113D1" w:rsidRPr="00517EFF" w:rsidRDefault="00103F0D" w:rsidP="00B113D1">
      <w:pPr>
        <w:spacing w:line="360" w:lineRule="auto"/>
        <w:jc w:val="center"/>
        <w:rPr>
          <w:rFonts w:cstheme="minorHAnsi"/>
          <w:b/>
          <w:sz w:val="26"/>
          <w:szCs w:val="26"/>
        </w:rPr>
      </w:pPr>
      <w:r w:rsidRPr="00517EFF" w:rsidDel="009F05C4">
        <w:rPr>
          <w:rFonts w:eastAsia="Times New Roman" w:cstheme="minorHAnsi"/>
          <w:sz w:val="26"/>
          <w:szCs w:val="26"/>
        </w:rPr>
        <w:t xml:space="preserve"> </w:t>
      </w:r>
      <w:r w:rsidR="00B113D1" w:rsidRPr="00517EFF">
        <w:rPr>
          <w:rFonts w:cstheme="minorHAnsi"/>
          <w:b/>
          <w:sz w:val="26"/>
          <w:szCs w:val="26"/>
        </w:rPr>
        <w:t>*</w:t>
      </w:r>
      <w:r w:rsidR="00B113D1" w:rsidRPr="00517EFF">
        <w:rPr>
          <w:rFonts w:cstheme="minorHAnsi"/>
          <w:b/>
          <w:sz w:val="26"/>
          <w:szCs w:val="26"/>
        </w:rPr>
        <w:tab/>
        <w:t>*</w:t>
      </w:r>
      <w:r w:rsidR="00B113D1" w:rsidRPr="00517EFF">
        <w:rPr>
          <w:rFonts w:cstheme="minorHAnsi"/>
          <w:b/>
          <w:sz w:val="26"/>
          <w:szCs w:val="26"/>
        </w:rPr>
        <w:tab/>
        <w:t>*</w:t>
      </w:r>
      <w:r w:rsidR="00B113D1" w:rsidRPr="00517EFF">
        <w:rPr>
          <w:rFonts w:cstheme="minorHAnsi"/>
          <w:b/>
          <w:sz w:val="26"/>
          <w:szCs w:val="26"/>
        </w:rPr>
        <w:tab/>
        <w:t>*</w:t>
      </w:r>
      <w:r w:rsidR="00B113D1" w:rsidRPr="00517EFF">
        <w:rPr>
          <w:rFonts w:cstheme="minorHAnsi"/>
          <w:b/>
          <w:sz w:val="26"/>
          <w:szCs w:val="26"/>
        </w:rPr>
        <w:tab/>
        <w:t>*</w:t>
      </w:r>
    </w:p>
    <w:p w:rsidR="00517EFF" w:rsidRPr="00AE6439" w:rsidRDefault="00517EFF" w:rsidP="00517EFF">
      <w:pPr>
        <w:pStyle w:val="Heading4"/>
        <w:rPr>
          <w:sz w:val="26"/>
          <w:szCs w:val="26"/>
          <w:u w:val="single"/>
        </w:rPr>
      </w:pPr>
      <w:bookmarkStart w:id="3" w:name="54.10."/>
      <w:r w:rsidRPr="00AE6439">
        <w:rPr>
          <w:sz w:val="26"/>
          <w:szCs w:val="26"/>
          <w:u w:val="single"/>
        </w:rPr>
        <w:t>§ 62.81. Notice of contract expiration or change in terms for residential and small business customers.</w:t>
      </w:r>
    </w:p>
    <w:p w:rsidR="00517EFF" w:rsidRPr="00AE6439" w:rsidRDefault="00DA44C5" w:rsidP="00517EFF">
      <w:pPr>
        <w:rPr>
          <w:sz w:val="26"/>
          <w:szCs w:val="26"/>
          <w:u w:val="single"/>
        </w:rPr>
      </w:pPr>
      <w:r w:rsidRPr="00AE6439">
        <w:rPr>
          <w:sz w:val="26"/>
          <w:szCs w:val="26"/>
          <w:u w:val="single"/>
        </w:rPr>
        <w:t xml:space="preserve">(a) </w:t>
      </w:r>
      <w:r w:rsidR="00517EFF" w:rsidRPr="00AE6439">
        <w:rPr>
          <w:sz w:val="26"/>
          <w:szCs w:val="26"/>
          <w:u w:val="single"/>
        </w:rPr>
        <w:t xml:space="preserve">An NGS shall provide the following notices to customers prior to the expiration of a fixed </w:t>
      </w:r>
      <w:r w:rsidR="00B560DE">
        <w:rPr>
          <w:sz w:val="26"/>
          <w:szCs w:val="26"/>
          <w:u w:val="single"/>
        </w:rPr>
        <w:t>duration</w:t>
      </w:r>
      <w:r w:rsidR="00517EFF" w:rsidRPr="00AE6439">
        <w:rPr>
          <w:sz w:val="26"/>
          <w:szCs w:val="26"/>
          <w:u w:val="single"/>
        </w:rPr>
        <w:t xml:space="preserve"> contract or prior to a change in contract terms: </w:t>
      </w:r>
    </w:p>
    <w:p w:rsidR="00517EFF" w:rsidRPr="00AE6439" w:rsidRDefault="00DA44C5" w:rsidP="00DA44C5">
      <w:pPr>
        <w:ind w:firstLine="360"/>
        <w:rPr>
          <w:sz w:val="26"/>
          <w:szCs w:val="26"/>
          <w:u w:val="single"/>
        </w:rPr>
      </w:pPr>
      <w:r>
        <w:rPr>
          <w:sz w:val="26"/>
          <w:szCs w:val="26"/>
          <w:u w:val="single"/>
        </w:rPr>
        <w:t xml:space="preserve">(1) </w:t>
      </w:r>
      <w:r w:rsidR="00517EFF" w:rsidRPr="00AE6439">
        <w:rPr>
          <w:sz w:val="26"/>
          <w:szCs w:val="26"/>
          <w:u w:val="single"/>
        </w:rPr>
        <w:t xml:space="preserve">An initial notice shall be provided to each affected customer </w:t>
      </w:r>
      <w:r w:rsidR="00517EFF" w:rsidRPr="007E43F0">
        <w:rPr>
          <w:strike/>
          <w:sz w:val="26"/>
          <w:szCs w:val="26"/>
          <w:u w:val="single"/>
        </w:rPr>
        <w:t>45 to 60</w:t>
      </w:r>
      <w:r w:rsidR="003E04A6" w:rsidRPr="007E43F0">
        <w:rPr>
          <w:sz w:val="26"/>
          <w:szCs w:val="26"/>
          <w:u w:val="single"/>
        </w:rPr>
        <w:t xml:space="preserve"> </w:t>
      </w:r>
      <w:r w:rsidR="007E43F0" w:rsidRPr="007E43F0">
        <w:rPr>
          <w:b/>
          <w:sz w:val="26"/>
          <w:szCs w:val="26"/>
        </w:rPr>
        <w:t xml:space="preserve">60 TO 75 </w:t>
      </w:r>
      <w:r w:rsidR="00517EFF" w:rsidRPr="00AE6439">
        <w:rPr>
          <w:sz w:val="26"/>
          <w:szCs w:val="26"/>
          <w:u w:val="single"/>
        </w:rPr>
        <w:t xml:space="preserve">days prior to the expiration date of the fixed </w:t>
      </w:r>
      <w:r w:rsidR="00B560DE">
        <w:rPr>
          <w:sz w:val="26"/>
          <w:szCs w:val="26"/>
          <w:u w:val="single"/>
        </w:rPr>
        <w:t>duration</w:t>
      </w:r>
      <w:r w:rsidR="00517EFF" w:rsidRPr="00AE6439">
        <w:rPr>
          <w:sz w:val="26"/>
          <w:szCs w:val="26"/>
          <w:u w:val="single"/>
        </w:rPr>
        <w:t xml:space="preserve"> contract or the effective date of the proposed change in terms</w:t>
      </w:r>
      <w:r w:rsidR="00517EFF" w:rsidRPr="00595EDB">
        <w:rPr>
          <w:sz w:val="26"/>
          <w:szCs w:val="26"/>
          <w:u w:val="single"/>
        </w:rPr>
        <w:t xml:space="preserve">. </w:t>
      </w:r>
      <w:r w:rsidR="00DE7B71">
        <w:rPr>
          <w:sz w:val="26"/>
          <w:szCs w:val="26"/>
          <w:u w:val="single"/>
        </w:rPr>
        <w:t xml:space="preserve"> </w:t>
      </w:r>
      <w:r w:rsidR="00517EFF" w:rsidRPr="00595EDB">
        <w:rPr>
          <w:sz w:val="26"/>
          <w:szCs w:val="26"/>
          <w:u w:val="single"/>
        </w:rPr>
        <w:t xml:space="preserve">For </w:t>
      </w:r>
      <w:r w:rsidR="00E758C1">
        <w:rPr>
          <w:sz w:val="26"/>
          <w:szCs w:val="26"/>
          <w:u w:val="single"/>
        </w:rPr>
        <w:t>a customer</w:t>
      </w:r>
      <w:r w:rsidR="00517EFF" w:rsidRPr="00595EDB">
        <w:rPr>
          <w:sz w:val="26"/>
          <w:szCs w:val="26"/>
          <w:u w:val="single"/>
        </w:rPr>
        <w:t xml:space="preserve"> who ha</w:t>
      </w:r>
      <w:r w:rsidR="00E758C1">
        <w:rPr>
          <w:sz w:val="26"/>
          <w:szCs w:val="26"/>
          <w:u w:val="single"/>
        </w:rPr>
        <w:t>s</w:t>
      </w:r>
      <w:r w:rsidR="00517EFF" w:rsidRPr="00595EDB">
        <w:rPr>
          <w:sz w:val="26"/>
          <w:szCs w:val="26"/>
          <w:u w:val="single"/>
        </w:rPr>
        <w:t xml:space="preserve"> elected to receive electronic communications from the NGS, the notice shall be transmitted in th</w:t>
      </w:r>
      <w:r w:rsidR="00E758C1">
        <w:rPr>
          <w:sz w:val="26"/>
          <w:szCs w:val="26"/>
          <w:u w:val="single"/>
        </w:rPr>
        <w:t xml:space="preserve">e manner chosen by the customer.  </w:t>
      </w:r>
      <w:r w:rsidR="00517EFF" w:rsidRPr="00AE6439">
        <w:rPr>
          <w:sz w:val="26"/>
          <w:szCs w:val="26"/>
          <w:u w:val="single"/>
        </w:rPr>
        <w:t xml:space="preserve">The initial notice must include: </w:t>
      </w:r>
    </w:p>
    <w:p w:rsidR="00517EFF" w:rsidRPr="00AE6439" w:rsidRDefault="00517EFF" w:rsidP="00DA44C5">
      <w:pPr>
        <w:ind w:firstLine="720"/>
        <w:rPr>
          <w:sz w:val="26"/>
          <w:szCs w:val="26"/>
          <w:u w:val="single"/>
        </w:rPr>
      </w:pPr>
      <w:r w:rsidRPr="00AE6439">
        <w:rPr>
          <w:sz w:val="26"/>
          <w:szCs w:val="26"/>
          <w:u w:val="single"/>
        </w:rPr>
        <w:t>(</w:t>
      </w:r>
      <w:proofErr w:type="spellStart"/>
      <w:r w:rsidR="00DA44C5">
        <w:rPr>
          <w:sz w:val="26"/>
          <w:szCs w:val="26"/>
          <w:u w:val="single"/>
        </w:rPr>
        <w:t>i</w:t>
      </w:r>
      <w:proofErr w:type="spellEnd"/>
      <w:r w:rsidRPr="00AE6439">
        <w:rPr>
          <w:sz w:val="26"/>
          <w:szCs w:val="26"/>
          <w:u w:val="single"/>
        </w:rPr>
        <w:t xml:space="preserve">) A general description of the proposed change in terms of service. </w:t>
      </w:r>
    </w:p>
    <w:p w:rsidR="00517EFF" w:rsidRPr="00AE6439" w:rsidRDefault="00517EFF" w:rsidP="00DA44C5">
      <w:pPr>
        <w:ind w:firstLine="720"/>
        <w:rPr>
          <w:sz w:val="26"/>
          <w:szCs w:val="26"/>
          <w:u w:val="single"/>
        </w:rPr>
      </w:pPr>
      <w:r w:rsidRPr="00AE6439">
        <w:rPr>
          <w:sz w:val="26"/>
          <w:szCs w:val="26"/>
          <w:u w:val="single"/>
        </w:rPr>
        <w:t>(</w:t>
      </w:r>
      <w:r w:rsidR="00DA44C5">
        <w:rPr>
          <w:sz w:val="26"/>
          <w:szCs w:val="26"/>
          <w:u w:val="single"/>
        </w:rPr>
        <w:t>ii</w:t>
      </w:r>
      <w:r w:rsidRPr="00AE6439">
        <w:rPr>
          <w:sz w:val="26"/>
          <w:szCs w:val="26"/>
          <w:u w:val="single"/>
        </w:rPr>
        <w:t xml:space="preserve">) The date a change shall be effective or when the fixed </w:t>
      </w:r>
      <w:r w:rsidR="00B560DE">
        <w:rPr>
          <w:sz w:val="26"/>
          <w:szCs w:val="26"/>
          <w:u w:val="single"/>
        </w:rPr>
        <w:t xml:space="preserve">duration </w:t>
      </w:r>
      <w:r w:rsidRPr="00AE6439">
        <w:rPr>
          <w:sz w:val="26"/>
          <w:szCs w:val="26"/>
          <w:u w:val="single"/>
        </w:rPr>
        <w:t xml:space="preserve">contract is to expire. </w:t>
      </w:r>
    </w:p>
    <w:p w:rsidR="00517EFF" w:rsidRPr="00AE6439" w:rsidRDefault="00DA44C5" w:rsidP="00DA44C5">
      <w:pPr>
        <w:ind w:firstLine="720"/>
        <w:rPr>
          <w:sz w:val="26"/>
          <w:szCs w:val="26"/>
          <w:u w:val="single"/>
        </w:rPr>
      </w:pPr>
      <w:r>
        <w:rPr>
          <w:sz w:val="26"/>
          <w:szCs w:val="26"/>
          <w:u w:val="single"/>
        </w:rPr>
        <w:t>(iii</w:t>
      </w:r>
      <w:r w:rsidR="00517EFF" w:rsidRPr="00AE6439">
        <w:rPr>
          <w:sz w:val="26"/>
          <w:szCs w:val="26"/>
          <w:u w:val="single"/>
        </w:rPr>
        <w:t xml:space="preserve">) An explanation of why a change in contract terms is necessary. </w:t>
      </w:r>
    </w:p>
    <w:p w:rsidR="00517EFF" w:rsidRPr="00AE6439" w:rsidRDefault="00DA44C5" w:rsidP="00DA44C5">
      <w:pPr>
        <w:ind w:firstLine="720"/>
        <w:rPr>
          <w:sz w:val="26"/>
          <w:szCs w:val="26"/>
          <w:u w:val="single"/>
        </w:rPr>
      </w:pPr>
      <w:r>
        <w:rPr>
          <w:sz w:val="26"/>
          <w:szCs w:val="26"/>
          <w:u w:val="single"/>
        </w:rPr>
        <w:t>(iv</w:t>
      </w:r>
      <w:r w:rsidR="00517EFF" w:rsidRPr="00AE6439">
        <w:rPr>
          <w:sz w:val="26"/>
          <w:szCs w:val="26"/>
          <w:u w:val="single"/>
        </w:rPr>
        <w:t xml:space="preserve">) A statement indicating when a follow-up options notice shall be issued with details regarding the proposed change. </w:t>
      </w:r>
    </w:p>
    <w:p w:rsidR="00517EFF" w:rsidRPr="00AE6439" w:rsidRDefault="00DA44C5" w:rsidP="00DA44C5">
      <w:pPr>
        <w:ind w:firstLine="720"/>
        <w:rPr>
          <w:sz w:val="26"/>
          <w:szCs w:val="26"/>
          <w:u w:val="single"/>
        </w:rPr>
      </w:pPr>
      <w:r>
        <w:rPr>
          <w:sz w:val="26"/>
          <w:szCs w:val="26"/>
          <w:u w:val="single"/>
        </w:rPr>
        <w:t>(v</w:t>
      </w:r>
      <w:r w:rsidR="00517EFF" w:rsidRPr="00AE6439">
        <w:rPr>
          <w:sz w:val="26"/>
          <w:szCs w:val="26"/>
          <w:u w:val="single"/>
        </w:rPr>
        <w:t>) A statement explaining that the options notice must discuss the customer’s options to the proposed change in terms of service or expiring fixed</w:t>
      </w:r>
      <w:r w:rsidR="00B560DE">
        <w:rPr>
          <w:sz w:val="26"/>
          <w:szCs w:val="26"/>
          <w:u w:val="single"/>
        </w:rPr>
        <w:t xml:space="preserve"> duration </w:t>
      </w:r>
      <w:r w:rsidR="00517EFF" w:rsidRPr="00AE6439">
        <w:rPr>
          <w:sz w:val="26"/>
          <w:szCs w:val="26"/>
          <w:u w:val="single"/>
        </w:rPr>
        <w:t xml:space="preserve">contract. </w:t>
      </w:r>
    </w:p>
    <w:p w:rsidR="00517EFF" w:rsidRPr="00AE6439" w:rsidRDefault="00DA44C5" w:rsidP="009318CC">
      <w:pPr>
        <w:ind w:firstLine="720"/>
        <w:rPr>
          <w:sz w:val="26"/>
          <w:szCs w:val="26"/>
          <w:u w:val="single"/>
        </w:rPr>
      </w:pPr>
      <w:r>
        <w:rPr>
          <w:sz w:val="26"/>
          <w:szCs w:val="26"/>
          <w:u w:val="single"/>
        </w:rPr>
        <w:lastRenderedPageBreak/>
        <w:t>(vi</w:t>
      </w:r>
      <w:r w:rsidR="00517EFF" w:rsidRPr="00AE6439">
        <w:rPr>
          <w:sz w:val="26"/>
          <w:szCs w:val="26"/>
          <w:u w:val="single"/>
        </w:rPr>
        <w:t xml:space="preserve">) A statement indicating whether the existing fixed </w:t>
      </w:r>
      <w:r w:rsidR="00B560DE">
        <w:rPr>
          <w:sz w:val="26"/>
          <w:szCs w:val="26"/>
          <w:u w:val="single"/>
        </w:rPr>
        <w:t>duration</w:t>
      </w:r>
      <w:r w:rsidR="00517EFF" w:rsidRPr="00AE6439">
        <w:rPr>
          <w:sz w:val="26"/>
          <w:szCs w:val="26"/>
          <w:u w:val="single"/>
        </w:rPr>
        <w:t xml:space="preserve"> </w:t>
      </w:r>
      <w:r w:rsidR="00E758C1">
        <w:rPr>
          <w:sz w:val="26"/>
          <w:szCs w:val="26"/>
          <w:u w:val="single"/>
        </w:rPr>
        <w:t>contract has a cancellation fee</w:t>
      </w:r>
      <w:r w:rsidR="00517EFF" w:rsidRPr="00AE6439">
        <w:rPr>
          <w:sz w:val="26"/>
          <w:szCs w:val="26"/>
          <w:u w:val="single"/>
        </w:rPr>
        <w:t xml:space="preserve"> and an explanation of the fee amount and how to avoid the </w:t>
      </w:r>
      <w:r w:rsidR="00595EDB" w:rsidRPr="0023567E">
        <w:rPr>
          <w:b/>
          <w:sz w:val="26"/>
          <w:szCs w:val="26"/>
        </w:rPr>
        <w:t>CANCELLATION</w:t>
      </w:r>
      <w:r w:rsidR="00595EDB">
        <w:rPr>
          <w:sz w:val="26"/>
          <w:szCs w:val="26"/>
          <w:u w:val="single"/>
        </w:rPr>
        <w:t xml:space="preserve"> </w:t>
      </w:r>
      <w:r w:rsidR="00517EFF" w:rsidRPr="00AE6439">
        <w:rPr>
          <w:sz w:val="26"/>
          <w:szCs w:val="26"/>
          <w:u w:val="single"/>
        </w:rPr>
        <w:t xml:space="preserve">fee, </w:t>
      </w:r>
      <w:r w:rsidR="00517EFF" w:rsidRPr="00595EDB">
        <w:rPr>
          <w:strike/>
          <w:sz w:val="26"/>
          <w:szCs w:val="26"/>
          <w:u w:val="single"/>
        </w:rPr>
        <w:t>if possible,</w:t>
      </w:r>
      <w:r w:rsidR="00517EFF" w:rsidRPr="00AE6439">
        <w:rPr>
          <w:sz w:val="26"/>
          <w:szCs w:val="26"/>
          <w:u w:val="single"/>
        </w:rPr>
        <w:t xml:space="preserve"> including notice of the date when the customer can choose a different product from the customer’s existing NGS, choose an alternative NGS or return to </w:t>
      </w:r>
      <w:r w:rsidR="00B92A32">
        <w:rPr>
          <w:sz w:val="26"/>
          <w:szCs w:val="26"/>
          <w:u w:val="single"/>
        </w:rPr>
        <w:t>the supplier of last resort</w:t>
      </w:r>
      <w:r w:rsidR="00517EFF" w:rsidRPr="00AE6439">
        <w:rPr>
          <w:sz w:val="26"/>
          <w:szCs w:val="26"/>
          <w:u w:val="single"/>
        </w:rPr>
        <w:t xml:space="preserve">. </w:t>
      </w:r>
    </w:p>
    <w:p w:rsidR="00517EFF" w:rsidRPr="00AE6439" w:rsidRDefault="00517EFF" w:rsidP="00DA44C5">
      <w:pPr>
        <w:ind w:firstLine="360"/>
        <w:rPr>
          <w:sz w:val="26"/>
          <w:szCs w:val="26"/>
          <w:u w:val="single"/>
        </w:rPr>
      </w:pPr>
      <w:r w:rsidRPr="00AE6439">
        <w:rPr>
          <w:sz w:val="26"/>
          <w:szCs w:val="26"/>
          <w:u w:val="single"/>
        </w:rPr>
        <w:t>(</w:t>
      </w:r>
      <w:r w:rsidR="00DA44C5">
        <w:rPr>
          <w:sz w:val="26"/>
          <w:szCs w:val="26"/>
          <w:u w:val="single"/>
        </w:rPr>
        <w:t>2</w:t>
      </w:r>
      <w:r w:rsidRPr="00AE6439">
        <w:rPr>
          <w:sz w:val="26"/>
          <w:szCs w:val="26"/>
          <w:u w:val="single"/>
        </w:rPr>
        <w:t xml:space="preserve">) </w:t>
      </w:r>
      <w:r w:rsidRPr="00EB730A">
        <w:rPr>
          <w:sz w:val="26"/>
          <w:szCs w:val="26"/>
          <w:u w:val="single"/>
        </w:rPr>
        <w:t>An o</w:t>
      </w:r>
      <w:r w:rsidR="00110928" w:rsidRPr="00EB730A">
        <w:rPr>
          <w:sz w:val="26"/>
          <w:szCs w:val="26"/>
          <w:u w:val="single"/>
        </w:rPr>
        <w:t xml:space="preserve">ptions notice </w:t>
      </w:r>
      <w:r w:rsidR="008B79C8" w:rsidRPr="00EB730A">
        <w:rPr>
          <w:sz w:val="26"/>
          <w:szCs w:val="26"/>
          <w:u w:val="single"/>
        </w:rPr>
        <w:t>shall be provided</w:t>
      </w:r>
      <w:r w:rsidRPr="00EB730A">
        <w:rPr>
          <w:sz w:val="26"/>
          <w:szCs w:val="26"/>
          <w:u w:val="single"/>
        </w:rPr>
        <w:t xml:space="preserve"> </w:t>
      </w:r>
      <w:r w:rsidRPr="00EB730A">
        <w:rPr>
          <w:strike/>
          <w:sz w:val="26"/>
          <w:szCs w:val="26"/>
          <w:u w:val="single"/>
        </w:rPr>
        <w:t>by first class mail</w:t>
      </w:r>
      <w:r w:rsidRPr="00EB730A">
        <w:rPr>
          <w:sz w:val="26"/>
          <w:szCs w:val="26"/>
          <w:u w:val="single"/>
        </w:rPr>
        <w:t xml:space="preserve"> </w:t>
      </w:r>
      <w:r w:rsidR="00110928" w:rsidRPr="00EB730A">
        <w:rPr>
          <w:b/>
          <w:caps/>
          <w:sz w:val="26"/>
          <w:szCs w:val="26"/>
        </w:rPr>
        <w:t>after the initial notice</w:t>
      </w:r>
      <w:r w:rsidR="00110928" w:rsidRPr="00EB730A">
        <w:rPr>
          <w:sz w:val="26"/>
          <w:szCs w:val="26"/>
          <w:u w:val="single"/>
        </w:rPr>
        <w:t xml:space="preserve"> </w:t>
      </w:r>
      <w:r w:rsidRPr="00EB730A">
        <w:rPr>
          <w:sz w:val="26"/>
          <w:szCs w:val="26"/>
          <w:u w:val="single"/>
        </w:rPr>
        <w:t xml:space="preserve">to each affected customer at least </w:t>
      </w:r>
      <w:r w:rsidRPr="00EB730A">
        <w:rPr>
          <w:strike/>
          <w:sz w:val="26"/>
          <w:szCs w:val="26"/>
          <w:u w:val="single"/>
        </w:rPr>
        <w:t>30</w:t>
      </w:r>
      <w:r w:rsidR="003E04A6" w:rsidRPr="00EB730A">
        <w:rPr>
          <w:sz w:val="26"/>
          <w:szCs w:val="26"/>
          <w:u w:val="single"/>
        </w:rPr>
        <w:t xml:space="preserve"> </w:t>
      </w:r>
      <w:r w:rsidR="003E04A6" w:rsidRPr="00EB730A">
        <w:rPr>
          <w:b/>
          <w:sz w:val="26"/>
          <w:szCs w:val="26"/>
        </w:rPr>
        <w:t>45</w:t>
      </w:r>
      <w:r w:rsidRPr="00EB730A">
        <w:rPr>
          <w:sz w:val="26"/>
          <w:szCs w:val="26"/>
          <w:u w:val="single"/>
        </w:rPr>
        <w:t xml:space="preserve"> days prior to the expiration date of the fixed </w:t>
      </w:r>
      <w:r w:rsidR="00B560DE" w:rsidRPr="00EB730A">
        <w:rPr>
          <w:sz w:val="26"/>
          <w:szCs w:val="26"/>
          <w:u w:val="single"/>
        </w:rPr>
        <w:t>duration</w:t>
      </w:r>
      <w:r w:rsidRPr="00EB730A">
        <w:rPr>
          <w:sz w:val="26"/>
          <w:szCs w:val="26"/>
          <w:u w:val="single"/>
        </w:rPr>
        <w:t xml:space="preserve"> contract or the effective date of the proposed change in terms.</w:t>
      </w:r>
      <w:r w:rsidRPr="00717CB0">
        <w:rPr>
          <w:sz w:val="26"/>
          <w:szCs w:val="26"/>
        </w:rPr>
        <w:t xml:space="preserve"> </w:t>
      </w:r>
      <w:r w:rsidR="00A07F08" w:rsidRPr="0023567E">
        <w:rPr>
          <w:b/>
          <w:sz w:val="26"/>
          <w:szCs w:val="26"/>
        </w:rPr>
        <w:t>THE NOTICE SHALL BE PROVIDED BY FIRST CLASS MAIL UNLESS THE CUSTOMER HAS AFFIRMATIVELY ELECTED TO RECEIVE ELECTRONIC COMMUNICATIONS FROM THE NGS.</w:t>
      </w:r>
      <w:r w:rsidR="00A07F08" w:rsidRPr="00717CB0">
        <w:rPr>
          <w:sz w:val="26"/>
          <w:szCs w:val="26"/>
        </w:rPr>
        <w:t xml:space="preserve"> </w:t>
      </w:r>
      <w:r w:rsidRPr="00AE6439">
        <w:rPr>
          <w:sz w:val="26"/>
          <w:szCs w:val="26"/>
          <w:u w:val="single"/>
        </w:rPr>
        <w:t xml:space="preserve">The options notice must include: </w:t>
      </w:r>
    </w:p>
    <w:p w:rsidR="00517EFF" w:rsidRPr="00AE6439" w:rsidRDefault="00517EFF" w:rsidP="00DA44C5">
      <w:pPr>
        <w:ind w:firstLine="720"/>
        <w:rPr>
          <w:sz w:val="26"/>
          <w:szCs w:val="26"/>
          <w:u w:val="single"/>
        </w:rPr>
      </w:pPr>
      <w:r w:rsidRPr="00AE6439">
        <w:rPr>
          <w:sz w:val="26"/>
          <w:szCs w:val="26"/>
          <w:u w:val="single"/>
        </w:rPr>
        <w:t>(</w:t>
      </w:r>
      <w:proofErr w:type="spellStart"/>
      <w:r w:rsidR="00DA44C5">
        <w:rPr>
          <w:sz w:val="26"/>
          <w:szCs w:val="26"/>
          <w:u w:val="single"/>
        </w:rPr>
        <w:t>i</w:t>
      </w:r>
      <w:proofErr w:type="spellEnd"/>
      <w:r w:rsidRPr="00AE6439">
        <w:rPr>
          <w:sz w:val="26"/>
          <w:szCs w:val="26"/>
          <w:u w:val="single"/>
        </w:rPr>
        <w:t xml:space="preserve">) A statement advising the customer of the specific changes being proposed by the NGS and informing the customer of how to exercise the customer’s options, including the customer’s ability to accept the proposed changes, to choose another product offering from the customer’s existing NGS, to select another NGS or to return to </w:t>
      </w:r>
      <w:r w:rsidR="00B92A32">
        <w:rPr>
          <w:sz w:val="26"/>
          <w:szCs w:val="26"/>
          <w:u w:val="single"/>
        </w:rPr>
        <w:t>the supplier of last resort</w:t>
      </w:r>
      <w:r w:rsidR="001D114F" w:rsidRPr="001D114F">
        <w:rPr>
          <w:strike/>
          <w:sz w:val="26"/>
          <w:szCs w:val="26"/>
          <w:u w:val="single"/>
        </w:rPr>
        <w:t>.</w:t>
      </w:r>
      <w:r w:rsidR="0047783E" w:rsidRPr="001D114F">
        <w:rPr>
          <w:sz w:val="26"/>
          <w:szCs w:val="26"/>
        </w:rPr>
        <w:t>,</w:t>
      </w:r>
      <w:r w:rsidR="0047783E">
        <w:rPr>
          <w:sz w:val="26"/>
          <w:szCs w:val="26"/>
        </w:rPr>
        <w:t xml:space="preserve"> </w:t>
      </w:r>
      <w:r w:rsidR="0047783E" w:rsidRPr="0023567E">
        <w:rPr>
          <w:b/>
          <w:sz w:val="26"/>
          <w:szCs w:val="26"/>
        </w:rPr>
        <w:t>AND WHAT WILL OCCUR IF THE CUSTOMER FAILS TO RESPOND TO THE NOTICE.  IF THE NGS INTENDS TO DISCONTINUE SERVICE TO THE CUSTOMER AT THE END OF THE CONTRACT, THE OPTIONS NOTICE MUST INCLUDE A STATEMENT THAT THE NGS WILL NO LONGER SERVE THE CUSTOM</w:t>
      </w:r>
      <w:r w:rsidR="00970051" w:rsidRPr="0023567E">
        <w:rPr>
          <w:b/>
          <w:sz w:val="26"/>
          <w:szCs w:val="26"/>
        </w:rPr>
        <w:t>ER AT THE END OF THE CONTRACT AND THAT THE CUSTOMER WILL BE RETURNED TO THE SUPPLIER OF LAST RESORT IF THE CUSTOMER DOES NOT SELECT ANOTHER NGS</w:t>
      </w:r>
      <w:r w:rsidR="00970051" w:rsidRPr="001D114F">
        <w:rPr>
          <w:sz w:val="26"/>
          <w:szCs w:val="26"/>
        </w:rPr>
        <w:t>.</w:t>
      </w:r>
      <w:r w:rsidR="00970051">
        <w:rPr>
          <w:sz w:val="26"/>
          <w:szCs w:val="26"/>
        </w:rPr>
        <w:t xml:space="preserve">  </w:t>
      </w:r>
    </w:p>
    <w:p w:rsidR="00517EFF" w:rsidRPr="00AE6439" w:rsidRDefault="00DA44C5" w:rsidP="00DA44C5">
      <w:pPr>
        <w:ind w:firstLine="720"/>
        <w:rPr>
          <w:sz w:val="26"/>
          <w:szCs w:val="26"/>
          <w:u w:val="single"/>
        </w:rPr>
      </w:pPr>
      <w:r>
        <w:rPr>
          <w:sz w:val="26"/>
          <w:szCs w:val="26"/>
          <w:u w:val="single"/>
        </w:rPr>
        <w:t>(ii</w:t>
      </w:r>
      <w:r w:rsidR="00517EFF" w:rsidRPr="00AE6439">
        <w:rPr>
          <w:sz w:val="26"/>
          <w:szCs w:val="26"/>
          <w:u w:val="single"/>
        </w:rPr>
        <w:t xml:space="preserve">) Information regarding </w:t>
      </w:r>
      <w:r w:rsidR="000E1F77">
        <w:rPr>
          <w:sz w:val="26"/>
          <w:szCs w:val="26"/>
          <w:u w:val="single"/>
        </w:rPr>
        <w:t xml:space="preserve">the </w:t>
      </w:r>
      <w:r w:rsidR="00517EFF" w:rsidRPr="00AE6439">
        <w:rPr>
          <w:sz w:val="26"/>
          <w:szCs w:val="26"/>
          <w:u w:val="single"/>
        </w:rPr>
        <w:t>new</w:t>
      </w:r>
      <w:r w:rsidR="00517EFF" w:rsidRPr="00717CB0">
        <w:rPr>
          <w:sz w:val="26"/>
          <w:szCs w:val="26"/>
        </w:rPr>
        <w:t xml:space="preserve"> </w:t>
      </w:r>
      <w:r w:rsidR="00CC6670" w:rsidRPr="0023567E">
        <w:rPr>
          <w:b/>
          <w:sz w:val="26"/>
          <w:szCs w:val="26"/>
        </w:rPr>
        <w:t>BILLED</w:t>
      </w:r>
      <w:r w:rsidR="00CC6670" w:rsidRPr="00717CB0">
        <w:rPr>
          <w:sz w:val="26"/>
          <w:szCs w:val="26"/>
        </w:rPr>
        <w:t xml:space="preserve"> </w:t>
      </w:r>
      <w:r w:rsidR="00295AF5" w:rsidRPr="00AE6439">
        <w:rPr>
          <w:sz w:val="26"/>
          <w:szCs w:val="26"/>
          <w:u w:val="single"/>
        </w:rPr>
        <w:t>pric</w:t>
      </w:r>
      <w:r w:rsidR="00295AF5">
        <w:rPr>
          <w:sz w:val="26"/>
          <w:szCs w:val="26"/>
          <w:u w:val="single"/>
        </w:rPr>
        <w:t>e</w:t>
      </w:r>
      <w:r w:rsidR="00295AF5" w:rsidRPr="00AE6439">
        <w:rPr>
          <w:sz w:val="26"/>
          <w:szCs w:val="26"/>
          <w:u w:val="single"/>
        </w:rPr>
        <w:t xml:space="preserve"> </w:t>
      </w:r>
      <w:r w:rsidR="00517EFF" w:rsidRPr="00AE6439">
        <w:rPr>
          <w:sz w:val="26"/>
          <w:szCs w:val="26"/>
          <w:u w:val="single"/>
        </w:rPr>
        <w:t>or renewal</w:t>
      </w:r>
      <w:r w:rsidR="00517EFF" w:rsidRPr="00717CB0">
        <w:rPr>
          <w:sz w:val="26"/>
          <w:szCs w:val="26"/>
        </w:rPr>
        <w:t xml:space="preserve"> </w:t>
      </w:r>
      <w:r w:rsidR="00CC6670" w:rsidRPr="0023567E">
        <w:rPr>
          <w:b/>
          <w:sz w:val="26"/>
          <w:szCs w:val="26"/>
        </w:rPr>
        <w:t>BILLED</w:t>
      </w:r>
      <w:r w:rsidR="00CC6670" w:rsidRPr="00717CB0">
        <w:rPr>
          <w:sz w:val="26"/>
          <w:szCs w:val="26"/>
        </w:rPr>
        <w:t xml:space="preserve"> </w:t>
      </w:r>
      <w:r w:rsidR="00295AF5" w:rsidRPr="00AE6439">
        <w:rPr>
          <w:sz w:val="26"/>
          <w:szCs w:val="26"/>
          <w:u w:val="single"/>
        </w:rPr>
        <w:t>pric</w:t>
      </w:r>
      <w:r w:rsidR="00295AF5">
        <w:rPr>
          <w:sz w:val="26"/>
          <w:szCs w:val="26"/>
          <w:u w:val="single"/>
        </w:rPr>
        <w:t>e</w:t>
      </w:r>
      <w:r w:rsidR="008B79C8">
        <w:rPr>
          <w:sz w:val="26"/>
          <w:szCs w:val="26"/>
          <w:u w:val="single"/>
        </w:rPr>
        <w:t>,</w:t>
      </w:r>
      <w:r w:rsidR="00517EFF" w:rsidRPr="00AE6439">
        <w:rPr>
          <w:sz w:val="26"/>
          <w:szCs w:val="26"/>
          <w:u w:val="single"/>
        </w:rPr>
        <w:t xml:space="preserve"> including the price to b</w:t>
      </w:r>
      <w:r w:rsidR="004D5C5C">
        <w:rPr>
          <w:sz w:val="26"/>
          <w:szCs w:val="26"/>
          <w:u w:val="single"/>
        </w:rPr>
        <w:t xml:space="preserve">e charged for the first billing </w:t>
      </w:r>
      <w:r w:rsidR="004D5C5C" w:rsidRPr="00F91138">
        <w:rPr>
          <w:strike/>
          <w:sz w:val="26"/>
          <w:szCs w:val="26"/>
          <w:u w:val="single"/>
        </w:rPr>
        <w:t>month</w:t>
      </w:r>
      <w:r w:rsidR="004D5C5C">
        <w:rPr>
          <w:sz w:val="26"/>
          <w:szCs w:val="26"/>
        </w:rPr>
        <w:t xml:space="preserve"> </w:t>
      </w:r>
      <w:r w:rsidR="004D5C5C" w:rsidRPr="0023567E">
        <w:rPr>
          <w:b/>
          <w:sz w:val="26"/>
          <w:szCs w:val="26"/>
        </w:rPr>
        <w:t>CYCLE</w:t>
      </w:r>
      <w:r w:rsidR="004D5C5C">
        <w:rPr>
          <w:sz w:val="26"/>
          <w:szCs w:val="26"/>
        </w:rPr>
        <w:t xml:space="preserve"> </w:t>
      </w:r>
      <w:r w:rsidR="00517EFF" w:rsidRPr="00AE6439">
        <w:rPr>
          <w:sz w:val="26"/>
          <w:szCs w:val="26"/>
          <w:u w:val="single"/>
        </w:rPr>
        <w:t xml:space="preserve">of </w:t>
      </w:r>
      <w:r w:rsidR="00952405">
        <w:rPr>
          <w:sz w:val="26"/>
          <w:szCs w:val="26"/>
          <w:u w:val="single"/>
        </w:rPr>
        <w:t>commodity</w:t>
      </w:r>
      <w:r w:rsidR="00517EFF" w:rsidRPr="00AE6439">
        <w:rPr>
          <w:sz w:val="26"/>
          <w:szCs w:val="26"/>
          <w:u w:val="single"/>
        </w:rPr>
        <w:t xml:space="preserve"> service: </w:t>
      </w:r>
    </w:p>
    <w:p w:rsidR="00517EFF" w:rsidRPr="00AE6439" w:rsidRDefault="00DA44C5" w:rsidP="00DA44C5">
      <w:pPr>
        <w:ind w:left="720" w:firstLine="720"/>
        <w:rPr>
          <w:sz w:val="26"/>
          <w:szCs w:val="26"/>
          <w:u w:val="single"/>
        </w:rPr>
      </w:pPr>
      <w:r>
        <w:rPr>
          <w:sz w:val="26"/>
          <w:szCs w:val="26"/>
          <w:u w:val="single"/>
        </w:rPr>
        <w:t>(A</w:t>
      </w:r>
      <w:r w:rsidR="00517EFF" w:rsidRPr="00AE6439">
        <w:rPr>
          <w:sz w:val="26"/>
          <w:szCs w:val="26"/>
          <w:u w:val="single"/>
        </w:rPr>
        <w:t xml:space="preserve">) If a customer fails to respond to the options notice and is converted to a month-to-month contract, the NGS shall provide a disclosure statement under § 62.75 (relating to disclosure statement for residential and small business customers). </w:t>
      </w:r>
    </w:p>
    <w:p w:rsidR="00517EFF" w:rsidRPr="00AE6439" w:rsidRDefault="00CC6670" w:rsidP="00CC6670">
      <w:pPr>
        <w:ind w:left="1080" w:firstLine="720"/>
        <w:rPr>
          <w:sz w:val="26"/>
          <w:szCs w:val="26"/>
          <w:u w:val="single"/>
        </w:rPr>
      </w:pPr>
      <w:r>
        <w:rPr>
          <w:sz w:val="26"/>
          <w:szCs w:val="26"/>
          <w:u w:val="single"/>
        </w:rPr>
        <w:t>(I</w:t>
      </w:r>
      <w:r w:rsidR="00517EFF" w:rsidRPr="00AE6439">
        <w:rPr>
          <w:sz w:val="26"/>
          <w:szCs w:val="26"/>
          <w:u w:val="single"/>
        </w:rPr>
        <w:t xml:space="preserve">) Notice of a subsequent change in </w:t>
      </w:r>
      <w:r w:rsidR="001D114F">
        <w:rPr>
          <w:b/>
          <w:sz w:val="26"/>
          <w:szCs w:val="26"/>
        </w:rPr>
        <w:t xml:space="preserve">BILLED </w:t>
      </w:r>
      <w:r w:rsidR="005F1F6A" w:rsidRPr="00AE6439">
        <w:rPr>
          <w:sz w:val="26"/>
          <w:szCs w:val="26"/>
          <w:u w:val="single"/>
        </w:rPr>
        <w:t>pric</w:t>
      </w:r>
      <w:r w:rsidR="005F1F6A">
        <w:rPr>
          <w:sz w:val="26"/>
          <w:szCs w:val="26"/>
          <w:u w:val="single"/>
        </w:rPr>
        <w:t>e</w:t>
      </w:r>
      <w:r w:rsidR="005F1F6A" w:rsidRPr="00AE6439">
        <w:rPr>
          <w:sz w:val="26"/>
          <w:szCs w:val="26"/>
          <w:u w:val="single"/>
        </w:rPr>
        <w:t xml:space="preserve"> </w:t>
      </w:r>
      <w:r w:rsidR="00517EFF" w:rsidRPr="00AE6439">
        <w:rPr>
          <w:sz w:val="26"/>
          <w:szCs w:val="26"/>
          <w:u w:val="single"/>
        </w:rPr>
        <w:t xml:space="preserve">shall be provided to the customer at least 30 days prior to the new price being charged. </w:t>
      </w:r>
    </w:p>
    <w:p w:rsidR="00517EFF" w:rsidRPr="00AE6439" w:rsidRDefault="00D11976" w:rsidP="00CC6670">
      <w:pPr>
        <w:ind w:left="1080" w:firstLine="720"/>
        <w:rPr>
          <w:sz w:val="26"/>
          <w:szCs w:val="26"/>
          <w:u w:val="single"/>
        </w:rPr>
      </w:pPr>
      <w:r w:rsidRPr="00AE6439">
        <w:rPr>
          <w:sz w:val="26"/>
          <w:szCs w:val="26"/>
          <w:u w:val="single"/>
        </w:rPr>
        <w:t>(</w:t>
      </w:r>
      <w:r w:rsidR="00CC6670">
        <w:rPr>
          <w:sz w:val="26"/>
          <w:szCs w:val="26"/>
          <w:u w:val="single"/>
        </w:rPr>
        <w:t>II</w:t>
      </w:r>
      <w:r w:rsidR="00517EFF" w:rsidRPr="00AE6439">
        <w:rPr>
          <w:sz w:val="26"/>
          <w:szCs w:val="26"/>
          <w:u w:val="single"/>
        </w:rPr>
        <w:t xml:space="preserve">) For </w:t>
      </w:r>
      <w:r w:rsidR="001D114F">
        <w:rPr>
          <w:sz w:val="26"/>
          <w:szCs w:val="26"/>
          <w:u w:val="single"/>
        </w:rPr>
        <w:t>a customer</w:t>
      </w:r>
      <w:r w:rsidR="00517EFF" w:rsidRPr="00AE6439">
        <w:rPr>
          <w:sz w:val="26"/>
          <w:szCs w:val="26"/>
          <w:u w:val="single"/>
        </w:rPr>
        <w:t xml:space="preserve"> who</w:t>
      </w:r>
      <w:r w:rsidR="001D114F">
        <w:rPr>
          <w:sz w:val="26"/>
          <w:szCs w:val="26"/>
          <w:u w:val="single"/>
        </w:rPr>
        <w:t xml:space="preserve"> has</w:t>
      </w:r>
      <w:r w:rsidR="00517EFF" w:rsidRPr="00AE6439">
        <w:rPr>
          <w:sz w:val="26"/>
          <w:szCs w:val="26"/>
          <w:u w:val="single"/>
        </w:rPr>
        <w:t xml:space="preserve"> elected to receive electronic communications from the NGS, notice of the change in </w:t>
      </w:r>
      <w:r w:rsidR="00517EFF" w:rsidRPr="00CC6670">
        <w:rPr>
          <w:strike/>
          <w:sz w:val="26"/>
          <w:szCs w:val="26"/>
          <w:u w:val="single"/>
        </w:rPr>
        <w:t>pricing</w:t>
      </w:r>
      <w:r w:rsidR="00CC6670" w:rsidRPr="00717CB0">
        <w:rPr>
          <w:sz w:val="26"/>
          <w:szCs w:val="26"/>
        </w:rPr>
        <w:t xml:space="preserve"> </w:t>
      </w:r>
      <w:r w:rsidR="00CC6670" w:rsidRPr="0023567E">
        <w:rPr>
          <w:b/>
          <w:sz w:val="26"/>
          <w:szCs w:val="26"/>
        </w:rPr>
        <w:t>BILLED PRICE</w:t>
      </w:r>
      <w:r w:rsidR="00517EFF" w:rsidRPr="00717CB0">
        <w:rPr>
          <w:sz w:val="26"/>
          <w:szCs w:val="26"/>
        </w:rPr>
        <w:t xml:space="preserve"> </w:t>
      </w:r>
      <w:r w:rsidR="00517EFF" w:rsidRPr="00AE6439">
        <w:rPr>
          <w:sz w:val="26"/>
          <w:szCs w:val="26"/>
          <w:u w:val="single"/>
        </w:rPr>
        <w:t xml:space="preserve">shall be transmitted in the manner chosen by the customer. </w:t>
      </w:r>
      <w:r w:rsidR="0013204F">
        <w:rPr>
          <w:sz w:val="26"/>
          <w:szCs w:val="26"/>
          <w:u w:val="single"/>
        </w:rPr>
        <w:t xml:space="preserve"> </w:t>
      </w:r>
      <w:r w:rsidR="00517EFF" w:rsidRPr="00AE6439">
        <w:rPr>
          <w:sz w:val="26"/>
          <w:szCs w:val="26"/>
          <w:u w:val="single"/>
        </w:rPr>
        <w:t xml:space="preserve">For all other customers, notice shall be provided by first class mail. </w:t>
      </w:r>
    </w:p>
    <w:p w:rsidR="00517EFF" w:rsidRPr="00AE6439" w:rsidRDefault="00517EFF" w:rsidP="00CC6670">
      <w:pPr>
        <w:ind w:left="720" w:firstLine="720"/>
        <w:rPr>
          <w:sz w:val="26"/>
          <w:szCs w:val="26"/>
          <w:u w:val="single"/>
        </w:rPr>
      </w:pPr>
      <w:r w:rsidRPr="00AE6439">
        <w:rPr>
          <w:sz w:val="26"/>
          <w:szCs w:val="26"/>
          <w:u w:val="single"/>
        </w:rPr>
        <w:t>(</w:t>
      </w:r>
      <w:r w:rsidR="00CC6670">
        <w:rPr>
          <w:sz w:val="26"/>
          <w:szCs w:val="26"/>
          <w:u w:val="single"/>
        </w:rPr>
        <w:t>B</w:t>
      </w:r>
      <w:r w:rsidR="00D11976" w:rsidRPr="00AE6439">
        <w:rPr>
          <w:sz w:val="26"/>
          <w:szCs w:val="26"/>
          <w:u w:val="single"/>
        </w:rPr>
        <w:t>)</w:t>
      </w:r>
      <w:r w:rsidRPr="00AE6439">
        <w:rPr>
          <w:sz w:val="26"/>
          <w:szCs w:val="26"/>
          <w:u w:val="single"/>
        </w:rPr>
        <w:t xml:space="preserve"> If a customer fails to respond to the options notice and is entered into a new fixed </w:t>
      </w:r>
      <w:r w:rsidR="00B560DE">
        <w:rPr>
          <w:sz w:val="26"/>
          <w:szCs w:val="26"/>
          <w:u w:val="single"/>
        </w:rPr>
        <w:t>duration</w:t>
      </w:r>
      <w:r w:rsidRPr="00AE6439">
        <w:rPr>
          <w:sz w:val="26"/>
          <w:szCs w:val="26"/>
          <w:u w:val="single"/>
        </w:rPr>
        <w:t xml:space="preserve"> contract, the NGS shall provide the</w:t>
      </w:r>
      <w:r w:rsidRPr="008D1515">
        <w:rPr>
          <w:sz w:val="26"/>
          <w:szCs w:val="26"/>
        </w:rPr>
        <w:t xml:space="preserve"> </w:t>
      </w:r>
      <w:r w:rsidR="008D1515" w:rsidRPr="0023567E">
        <w:rPr>
          <w:b/>
          <w:sz w:val="26"/>
          <w:szCs w:val="26"/>
        </w:rPr>
        <w:t>BILLED</w:t>
      </w:r>
      <w:r w:rsidR="008D1515">
        <w:rPr>
          <w:sz w:val="26"/>
          <w:szCs w:val="26"/>
        </w:rPr>
        <w:t xml:space="preserve"> </w:t>
      </w:r>
      <w:r w:rsidRPr="00AE6439">
        <w:rPr>
          <w:sz w:val="26"/>
          <w:szCs w:val="26"/>
          <w:u w:val="single"/>
        </w:rPr>
        <w:t>price</w:t>
      </w:r>
      <w:r w:rsidR="006F6B45">
        <w:rPr>
          <w:sz w:val="26"/>
          <w:szCs w:val="26"/>
          <w:u w:val="single"/>
        </w:rPr>
        <w:t xml:space="preserve"> </w:t>
      </w:r>
      <w:r w:rsidR="000D785D">
        <w:rPr>
          <w:sz w:val="26"/>
          <w:szCs w:val="26"/>
          <w:u w:val="single"/>
        </w:rPr>
        <w:t xml:space="preserve">to be charged and the </w:t>
      </w:r>
      <w:r w:rsidRPr="00AE6439">
        <w:rPr>
          <w:sz w:val="26"/>
          <w:szCs w:val="26"/>
          <w:u w:val="single"/>
        </w:rPr>
        <w:t xml:space="preserve">length of the contract.    </w:t>
      </w:r>
    </w:p>
    <w:p w:rsidR="00517EFF" w:rsidRPr="00AE6439" w:rsidRDefault="00714E0D" w:rsidP="00714E0D">
      <w:pPr>
        <w:ind w:firstLine="720"/>
        <w:rPr>
          <w:sz w:val="26"/>
          <w:szCs w:val="26"/>
          <w:u w:val="single"/>
        </w:rPr>
      </w:pPr>
      <w:r w:rsidRPr="009A1D3C">
        <w:rPr>
          <w:b/>
          <w:sz w:val="26"/>
          <w:szCs w:val="26"/>
        </w:rPr>
        <w:t>(iii)</w:t>
      </w:r>
      <w:r w:rsidR="000D785D" w:rsidRPr="009A1D3C">
        <w:rPr>
          <w:strike/>
          <w:sz w:val="26"/>
          <w:szCs w:val="26"/>
          <w:u w:val="single"/>
        </w:rPr>
        <w:t>(</w:t>
      </w:r>
      <w:r w:rsidR="00CC6670" w:rsidRPr="00714E0D">
        <w:rPr>
          <w:strike/>
          <w:sz w:val="26"/>
          <w:szCs w:val="26"/>
          <w:u w:val="single"/>
        </w:rPr>
        <w:t>C</w:t>
      </w:r>
      <w:r w:rsidR="00517EFF" w:rsidRPr="00714E0D">
        <w:rPr>
          <w:strike/>
          <w:sz w:val="26"/>
          <w:szCs w:val="26"/>
          <w:u w:val="single"/>
        </w:rPr>
        <w:t>)</w:t>
      </w:r>
      <w:r w:rsidR="00517EFF" w:rsidRPr="00714E0D">
        <w:rPr>
          <w:sz w:val="26"/>
          <w:szCs w:val="26"/>
          <w:u w:val="single"/>
        </w:rPr>
        <w:t xml:space="preserve"> </w:t>
      </w:r>
      <w:r w:rsidR="00517EFF" w:rsidRPr="00AE6439">
        <w:rPr>
          <w:sz w:val="26"/>
          <w:szCs w:val="26"/>
          <w:u w:val="single"/>
        </w:rPr>
        <w:t>The telephone numbers and Internet addresses, as applicable, for the Office of Consumer Advocate, the Commission</w:t>
      </w:r>
      <w:r w:rsidR="008B79C8">
        <w:rPr>
          <w:sz w:val="26"/>
          <w:szCs w:val="26"/>
          <w:u w:val="single"/>
        </w:rPr>
        <w:t>,</w:t>
      </w:r>
      <w:r w:rsidR="00517EFF" w:rsidRPr="00AE6439">
        <w:rPr>
          <w:sz w:val="26"/>
          <w:szCs w:val="26"/>
          <w:u w:val="single"/>
        </w:rPr>
        <w:t xml:space="preserve"> and Pa</w:t>
      </w:r>
      <w:r w:rsidR="0025271E">
        <w:rPr>
          <w:sz w:val="26"/>
          <w:szCs w:val="26"/>
          <w:u w:val="single"/>
        </w:rPr>
        <w:t>GasS</w:t>
      </w:r>
      <w:r w:rsidR="00517EFF" w:rsidRPr="00AE6439">
        <w:rPr>
          <w:sz w:val="26"/>
          <w:szCs w:val="26"/>
          <w:u w:val="single"/>
        </w:rPr>
        <w:t xml:space="preserve">witch.com. </w:t>
      </w:r>
    </w:p>
    <w:p w:rsidR="00517EFF" w:rsidRPr="00AE6439" w:rsidRDefault="00714E0D" w:rsidP="00714E0D">
      <w:pPr>
        <w:ind w:firstLine="720"/>
        <w:rPr>
          <w:sz w:val="26"/>
          <w:szCs w:val="26"/>
          <w:u w:val="single"/>
        </w:rPr>
      </w:pPr>
      <w:r w:rsidRPr="009A1D3C">
        <w:rPr>
          <w:b/>
          <w:sz w:val="26"/>
          <w:szCs w:val="26"/>
        </w:rPr>
        <w:t>(iv)</w:t>
      </w:r>
      <w:r w:rsidR="000D785D" w:rsidRPr="009A1D3C">
        <w:rPr>
          <w:strike/>
          <w:sz w:val="26"/>
          <w:szCs w:val="26"/>
          <w:u w:val="single"/>
        </w:rPr>
        <w:t>(</w:t>
      </w:r>
      <w:r w:rsidR="00CC6670" w:rsidRPr="00714E0D">
        <w:rPr>
          <w:strike/>
          <w:sz w:val="26"/>
          <w:szCs w:val="26"/>
          <w:u w:val="single"/>
        </w:rPr>
        <w:t>D</w:t>
      </w:r>
      <w:r w:rsidR="00517EFF" w:rsidRPr="00714E0D">
        <w:rPr>
          <w:strike/>
          <w:sz w:val="26"/>
          <w:szCs w:val="26"/>
          <w:u w:val="single"/>
        </w:rPr>
        <w:t>)</w:t>
      </w:r>
      <w:r w:rsidR="00517EFF" w:rsidRPr="00714E0D">
        <w:rPr>
          <w:sz w:val="26"/>
          <w:szCs w:val="26"/>
          <w:u w:val="single"/>
        </w:rPr>
        <w:t xml:space="preserve"> </w:t>
      </w:r>
      <w:r w:rsidR="00517EFF" w:rsidRPr="00AE6439">
        <w:rPr>
          <w:sz w:val="26"/>
          <w:szCs w:val="26"/>
          <w:u w:val="single"/>
        </w:rPr>
        <w:t xml:space="preserve">Language clearly visible on the front of the envelope used to provide the options notice stating that it contains important information regarding the expiration or changes in terms of the customer’s natural gas supply contract. </w:t>
      </w:r>
    </w:p>
    <w:p w:rsidR="00517EFF" w:rsidRPr="00AE6439" w:rsidRDefault="00517EFF" w:rsidP="00517EFF">
      <w:pPr>
        <w:rPr>
          <w:sz w:val="26"/>
          <w:szCs w:val="26"/>
          <w:u w:val="single"/>
        </w:rPr>
      </w:pPr>
      <w:r w:rsidRPr="00AE6439">
        <w:rPr>
          <w:sz w:val="26"/>
          <w:szCs w:val="26"/>
          <w:u w:val="single"/>
        </w:rPr>
        <w:lastRenderedPageBreak/>
        <w:t>(</w:t>
      </w:r>
      <w:r w:rsidR="00CC6670">
        <w:rPr>
          <w:sz w:val="26"/>
          <w:szCs w:val="26"/>
          <w:u w:val="single"/>
        </w:rPr>
        <w:t>b</w:t>
      </w:r>
      <w:r w:rsidRPr="00AE6439">
        <w:rPr>
          <w:sz w:val="26"/>
          <w:szCs w:val="26"/>
          <w:u w:val="single"/>
        </w:rPr>
        <w:t>) When a cust</w:t>
      </w:r>
      <w:r w:rsidR="004B7B4F">
        <w:rPr>
          <w:sz w:val="26"/>
          <w:szCs w:val="26"/>
          <w:u w:val="single"/>
        </w:rPr>
        <w:t xml:space="preserve">omer fails to respond to the initial notice and the options </w:t>
      </w:r>
      <w:r w:rsidRPr="00AE6439">
        <w:rPr>
          <w:sz w:val="26"/>
          <w:szCs w:val="26"/>
          <w:u w:val="single"/>
        </w:rPr>
        <w:t xml:space="preserve">notice, the following apply: </w:t>
      </w:r>
    </w:p>
    <w:p w:rsidR="00517EFF" w:rsidRPr="00AE6439" w:rsidRDefault="00517EFF" w:rsidP="00517EFF">
      <w:pPr>
        <w:ind w:firstLine="360"/>
        <w:rPr>
          <w:sz w:val="26"/>
          <w:szCs w:val="26"/>
          <w:u w:val="single"/>
        </w:rPr>
      </w:pPr>
      <w:r w:rsidRPr="00AE6439">
        <w:rPr>
          <w:sz w:val="26"/>
          <w:szCs w:val="26"/>
          <w:u w:val="single"/>
        </w:rPr>
        <w:t xml:space="preserve">(1) A fixed </w:t>
      </w:r>
      <w:r w:rsidR="00B560DE">
        <w:rPr>
          <w:sz w:val="26"/>
          <w:szCs w:val="26"/>
          <w:u w:val="single"/>
        </w:rPr>
        <w:t>duration</w:t>
      </w:r>
      <w:r w:rsidRPr="00AE6439">
        <w:rPr>
          <w:sz w:val="26"/>
          <w:szCs w:val="26"/>
          <w:u w:val="single"/>
        </w:rPr>
        <w:t xml:space="preserve"> contract shall be converted to one of the following: </w:t>
      </w:r>
    </w:p>
    <w:p w:rsidR="00517EFF" w:rsidRPr="00AE6439" w:rsidRDefault="00D11976" w:rsidP="00D11976">
      <w:pPr>
        <w:ind w:firstLine="720"/>
        <w:rPr>
          <w:sz w:val="26"/>
          <w:szCs w:val="26"/>
          <w:u w:val="single"/>
        </w:rPr>
      </w:pPr>
      <w:r w:rsidRPr="00AE6439">
        <w:rPr>
          <w:sz w:val="26"/>
          <w:szCs w:val="26"/>
          <w:u w:val="single"/>
        </w:rPr>
        <w:t>(</w:t>
      </w:r>
      <w:proofErr w:type="spellStart"/>
      <w:r w:rsidRPr="00AE6439">
        <w:rPr>
          <w:sz w:val="26"/>
          <w:szCs w:val="26"/>
          <w:u w:val="single"/>
        </w:rPr>
        <w:t>i</w:t>
      </w:r>
      <w:proofErr w:type="spellEnd"/>
      <w:r w:rsidR="00517EFF" w:rsidRPr="00AE6439">
        <w:rPr>
          <w:sz w:val="26"/>
          <w:szCs w:val="26"/>
          <w:u w:val="single"/>
        </w:rPr>
        <w:t xml:space="preserve">) A month-to-month contract, either at the same terms and conditions or at revised terms and conditions, as long as the contract does not contain cancellation fees. </w:t>
      </w:r>
    </w:p>
    <w:p w:rsidR="00517EFF" w:rsidRPr="00AE6439" w:rsidRDefault="00D11976" w:rsidP="00D11976">
      <w:pPr>
        <w:ind w:firstLine="720"/>
        <w:rPr>
          <w:sz w:val="26"/>
          <w:szCs w:val="26"/>
          <w:u w:val="single"/>
        </w:rPr>
      </w:pPr>
      <w:r w:rsidRPr="00AE6439">
        <w:rPr>
          <w:sz w:val="26"/>
          <w:szCs w:val="26"/>
          <w:u w:val="single"/>
        </w:rPr>
        <w:t>(ii</w:t>
      </w:r>
      <w:r w:rsidR="00517EFF" w:rsidRPr="00AE6439">
        <w:rPr>
          <w:sz w:val="26"/>
          <w:szCs w:val="26"/>
          <w:u w:val="single"/>
        </w:rPr>
        <w:t xml:space="preserve">) Another fixed </w:t>
      </w:r>
      <w:r w:rsidR="00B560DE">
        <w:rPr>
          <w:sz w:val="26"/>
          <w:szCs w:val="26"/>
          <w:u w:val="single"/>
        </w:rPr>
        <w:t>duration</w:t>
      </w:r>
      <w:r w:rsidR="00517EFF" w:rsidRPr="00AE6439">
        <w:rPr>
          <w:sz w:val="26"/>
          <w:szCs w:val="26"/>
          <w:u w:val="single"/>
        </w:rPr>
        <w:t xml:space="preserve"> contract, as long as the new contract includes a customer-initiated cancellation provision that allows the customer to cancel at any time, for any reason, and does not contain cancellation fees.   </w:t>
      </w:r>
    </w:p>
    <w:p w:rsidR="00517EFF" w:rsidRPr="00AE6439" w:rsidRDefault="00517EFF" w:rsidP="00517EFF">
      <w:pPr>
        <w:ind w:firstLine="360"/>
        <w:rPr>
          <w:sz w:val="26"/>
          <w:szCs w:val="26"/>
          <w:u w:val="single"/>
        </w:rPr>
      </w:pPr>
      <w:r w:rsidRPr="00AE6439">
        <w:rPr>
          <w:sz w:val="26"/>
          <w:szCs w:val="26"/>
          <w:u w:val="single"/>
        </w:rPr>
        <w:t xml:space="preserve">(2) The converted contracts shall remain in place until the customer chooses one of the following options: </w:t>
      </w:r>
    </w:p>
    <w:p w:rsidR="00517EFF" w:rsidRPr="00AE6439" w:rsidRDefault="00D11976" w:rsidP="00D11976">
      <w:pPr>
        <w:ind w:firstLine="720"/>
        <w:rPr>
          <w:sz w:val="26"/>
          <w:szCs w:val="26"/>
          <w:u w:val="single"/>
        </w:rPr>
      </w:pPr>
      <w:r w:rsidRPr="00AE6439">
        <w:rPr>
          <w:sz w:val="26"/>
          <w:szCs w:val="26"/>
          <w:u w:val="single"/>
        </w:rPr>
        <w:t>(</w:t>
      </w:r>
      <w:proofErr w:type="spellStart"/>
      <w:r w:rsidRPr="00AE6439">
        <w:rPr>
          <w:sz w:val="26"/>
          <w:szCs w:val="26"/>
          <w:u w:val="single"/>
        </w:rPr>
        <w:t>i</w:t>
      </w:r>
      <w:proofErr w:type="spellEnd"/>
      <w:r w:rsidR="00517EFF" w:rsidRPr="00AE6439">
        <w:rPr>
          <w:sz w:val="26"/>
          <w:szCs w:val="26"/>
          <w:u w:val="single"/>
        </w:rPr>
        <w:t>) Select</w:t>
      </w:r>
      <w:r w:rsidR="00714E0D">
        <w:rPr>
          <w:sz w:val="26"/>
          <w:szCs w:val="26"/>
          <w:u w:val="single"/>
        </w:rPr>
        <w:t>s</w:t>
      </w:r>
      <w:r w:rsidR="00517EFF" w:rsidRPr="00AE6439">
        <w:rPr>
          <w:sz w:val="26"/>
          <w:szCs w:val="26"/>
          <w:u w:val="single"/>
        </w:rPr>
        <w:t xml:space="preserve"> another product offering from the existing NGS. </w:t>
      </w:r>
    </w:p>
    <w:p w:rsidR="00517EFF" w:rsidRPr="00AE6439" w:rsidRDefault="00517EFF" w:rsidP="00D11976">
      <w:pPr>
        <w:ind w:firstLine="720"/>
        <w:rPr>
          <w:sz w:val="26"/>
          <w:szCs w:val="26"/>
          <w:u w:val="single"/>
        </w:rPr>
      </w:pPr>
      <w:r w:rsidRPr="00AE6439">
        <w:rPr>
          <w:sz w:val="26"/>
          <w:szCs w:val="26"/>
          <w:u w:val="single"/>
        </w:rPr>
        <w:t>(</w:t>
      </w:r>
      <w:r w:rsidR="00D11976" w:rsidRPr="00AE6439">
        <w:rPr>
          <w:sz w:val="26"/>
          <w:szCs w:val="26"/>
          <w:u w:val="single"/>
        </w:rPr>
        <w:t>ii)</w:t>
      </w:r>
      <w:r w:rsidRPr="00AE6439">
        <w:rPr>
          <w:sz w:val="26"/>
          <w:szCs w:val="26"/>
          <w:u w:val="single"/>
        </w:rPr>
        <w:t xml:space="preserve"> Enroll</w:t>
      </w:r>
      <w:r w:rsidR="00714E0D">
        <w:rPr>
          <w:sz w:val="26"/>
          <w:szCs w:val="26"/>
          <w:u w:val="single"/>
        </w:rPr>
        <w:t>s</w:t>
      </w:r>
      <w:r w:rsidRPr="00AE6439">
        <w:rPr>
          <w:sz w:val="26"/>
          <w:szCs w:val="26"/>
          <w:u w:val="single"/>
        </w:rPr>
        <w:t xml:space="preserve"> with another NGS. </w:t>
      </w:r>
    </w:p>
    <w:p w:rsidR="00517EFF" w:rsidRPr="00AE6439" w:rsidRDefault="00D11976" w:rsidP="00D11976">
      <w:pPr>
        <w:ind w:firstLine="720"/>
        <w:rPr>
          <w:sz w:val="26"/>
          <w:szCs w:val="26"/>
          <w:u w:val="single"/>
        </w:rPr>
      </w:pPr>
      <w:r w:rsidRPr="00AE6439">
        <w:rPr>
          <w:sz w:val="26"/>
          <w:szCs w:val="26"/>
          <w:u w:val="single"/>
        </w:rPr>
        <w:t>(iii</w:t>
      </w:r>
      <w:r w:rsidR="00517EFF" w:rsidRPr="00AE6439">
        <w:rPr>
          <w:sz w:val="26"/>
          <w:szCs w:val="26"/>
          <w:u w:val="single"/>
        </w:rPr>
        <w:t>) Return</w:t>
      </w:r>
      <w:r w:rsidR="00714E0D">
        <w:rPr>
          <w:sz w:val="26"/>
          <w:szCs w:val="26"/>
          <w:u w:val="single"/>
        </w:rPr>
        <w:t>s</w:t>
      </w:r>
      <w:r w:rsidR="00517EFF" w:rsidRPr="00AE6439">
        <w:rPr>
          <w:sz w:val="26"/>
          <w:szCs w:val="26"/>
          <w:u w:val="single"/>
        </w:rPr>
        <w:t xml:space="preserve"> to the </w:t>
      </w:r>
      <w:r w:rsidR="00B92A32">
        <w:rPr>
          <w:sz w:val="26"/>
          <w:szCs w:val="26"/>
          <w:u w:val="single"/>
        </w:rPr>
        <w:t>supplier of last resort</w:t>
      </w:r>
      <w:r w:rsidR="00517EFF" w:rsidRPr="00AE6439">
        <w:rPr>
          <w:sz w:val="26"/>
          <w:szCs w:val="26"/>
          <w:u w:val="single"/>
        </w:rPr>
        <w:t>.</w:t>
      </w:r>
    </w:p>
    <w:bookmarkEnd w:id="3"/>
    <w:p w:rsidR="00977124" w:rsidRPr="00977124" w:rsidRDefault="00977124" w:rsidP="004E6F65">
      <w:pPr>
        <w:pStyle w:val="p14"/>
        <w:spacing w:line="360" w:lineRule="auto"/>
        <w:rPr>
          <w:sz w:val="26"/>
          <w:szCs w:val="26"/>
        </w:rPr>
      </w:pPr>
    </w:p>
    <w:sectPr w:rsidR="00977124" w:rsidRPr="00977124" w:rsidSect="00B8513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BE3" w:rsidRDefault="00112BE3" w:rsidP="000A489A">
      <w:r>
        <w:separator/>
      </w:r>
    </w:p>
  </w:endnote>
  <w:endnote w:type="continuationSeparator" w:id="0">
    <w:p w:rsidR="00112BE3" w:rsidRDefault="00112BE3" w:rsidP="000A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699530"/>
      <w:docPartObj>
        <w:docPartGallery w:val="Page Numbers (Bottom of Page)"/>
        <w:docPartUnique/>
      </w:docPartObj>
    </w:sdtPr>
    <w:sdtEndPr>
      <w:rPr>
        <w:noProof/>
      </w:rPr>
    </w:sdtEndPr>
    <w:sdtContent>
      <w:p w:rsidR="005004B5" w:rsidRDefault="005004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004B5" w:rsidRDefault="005004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376045"/>
      <w:docPartObj>
        <w:docPartGallery w:val="Page Numbers (Bottom of Page)"/>
        <w:docPartUnique/>
      </w:docPartObj>
    </w:sdtPr>
    <w:sdtEndPr>
      <w:rPr>
        <w:noProof/>
      </w:rPr>
    </w:sdtEndPr>
    <w:sdtContent>
      <w:p w:rsidR="005004B5" w:rsidRDefault="005004B5">
        <w:pPr>
          <w:pStyle w:val="Footer"/>
          <w:jc w:val="center"/>
        </w:pPr>
        <w:r>
          <w:fldChar w:fldCharType="begin"/>
        </w:r>
        <w:r>
          <w:instrText xml:space="preserve"> PAGE   \* MERGEFORMAT </w:instrText>
        </w:r>
        <w:r>
          <w:fldChar w:fldCharType="separate"/>
        </w:r>
        <w:r w:rsidR="00F90808">
          <w:rPr>
            <w:noProof/>
          </w:rPr>
          <w:t>6</w:t>
        </w:r>
        <w:r>
          <w:rPr>
            <w:noProof/>
          </w:rPr>
          <w:fldChar w:fldCharType="end"/>
        </w:r>
      </w:p>
    </w:sdtContent>
  </w:sdt>
  <w:p w:rsidR="005004B5" w:rsidRDefault="00500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BE3" w:rsidRDefault="00112BE3" w:rsidP="000A489A">
      <w:r>
        <w:separator/>
      </w:r>
    </w:p>
  </w:footnote>
  <w:footnote w:type="continuationSeparator" w:id="0">
    <w:p w:rsidR="00112BE3" w:rsidRDefault="00112BE3" w:rsidP="000A489A">
      <w:r>
        <w:continuationSeparator/>
      </w:r>
    </w:p>
  </w:footnote>
  <w:footnote w:id="1">
    <w:p w:rsidR="005004B5" w:rsidRPr="00AE134F" w:rsidRDefault="005004B5" w:rsidP="00971F57">
      <w:pPr>
        <w:pStyle w:val="FootnoteText"/>
        <w:rPr>
          <w:rFonts w:ascii="Times New Roman" w:hAnsi="Times New Roman"/>
          <w:sz w:val="22"/>
          <w:szCs w:val="22"/>
        </w:rPr>
      </w:pPr>
      <w:r w:rsidRPr="00AE134F">
        <w:rPr>
          <w:rStyle w:val="FootnoteReference"/>
          <w:rFonts w:ascii="Times New Roman" w:hAnsi="Times New Roman"/>
          <w:sz w:val="22"/>
          <w:szCs w:val="22"/>
        </w:rPr>
        <w:footnoteRef/>
      </w:r>
      <w:r w:rsidRPr="00AE134F">
        <w:rPr>
          <w:rFonts w:ascii="Times New Roman" w:hAnsi="Times New Roman"/>
          <w:sz w:val="22"/>
          <w:szCs w:val="22"/>
        </w:rPr>
        <w:t xml:space="preserve"> </w:t>
      </w:r>
      <w:r w:rsidRPr="00AE134F">
        <w:rPr>
          <w:rFonts w:ascii="Times New Roman" w:hAnsi="Times New Roman"/>
          <w:i/>
          <w:sz w:val="22"/>
          <w:szCs w:val="22"/>
        </w:rPr>
        <w:t>See Final-Omitted Rulemaking Order: Rulemaking to Amend the Provisions of 52 Pa. Code, Section 54.5 Regulations Regarding Disclosure Statement for Residential and Small Business Customers</w:t>
      </w:r>
      <w:r w:rsidRPr="00AE134F">
        <w:rPr>
          <w:rFonts w:ascii="Times New Roman" w:hAnsi="Times New Roman"/>
          <w:b/>
          <w:i/>
          <w:sz w:val="22"/>
          <w:szCs w:val="22"/>
        </w:rPr>
        <w:t xml:space="preserve"> </w:t>
      </w:r>
      <w:r w:rsidRPr="00AE134F">
        <w:rPr>
          <w:rFonts w:ascii="Times New Roman" w:hAnsi="Times New Roman"/>
          <w:i/>
          <w:sz w:val="22"/>
          <w:szCs w:val="22"/>
        </w:rPr>
        <w:t>and to Add Section 54.10 Regulations Regarding the Provision of Notices of Contract Renewal or Changes in Terms</w:t>
      </w:r>
      <w:r>
        <w:rPr>
          <w:rFonts w:ascii="Times New Roman" w:hAnsi="Times New Roman"/>
          <w:sz w:val="22"/>
          <w:szCs w:val="22"/>
        </w:rPr>
        <w:t xml:space="preserve">, </w:t>
      </w:r>
      <w:r w:rsidRPr="00AE134F">
        <w:rPr>
          <w:rFonts w:ascii="Times New Roman" w:hAnsi="Times New Roman"/>
          <w:sz w:val="22"/>
          <w:szCs w:val="22"/>
        </w:rPr>
        <w:t>Docket No. L-2014-2409385 (Order entered Apr</w:t>
      </w:r>
      <w:r>
        <w:rPr>
          <w:rFonts w:ascii="Times New Roman" w:hAnsi="Times New Roman"/>
          <w:sz w:val="22"/>
          <w:szCs w:val="22"/>
        </w:rPr>
        <w:t>il</w:t>
      </w:r>
      <w:r w:rsidRPr="00AE134F">
        <w:rPr>
          <w:rFonts w:ascii="Times New Roman" w:hAnsi="Times New Roman"/>
          <w:sz w:val="22"/>
          <w:szCs w:val="22"/>
        </w:rPr>
        <w:t xml:space="preserve"> 3, 2014)</w:t>
      </w:r>
      <w:r>
        <w:rPr>
          <w:rFonts w:ascii="Times New Roman" w:hAnsi="Times New Roman"/>
          <w:sz w:val="22"/>
          <w:szCs w:val="22"/>
        </w:rPr>
        <w:t xml:space="preserve">; </w:t>
      </w:r>
      <w:r>
        <w:rPr>
          <w:rFonts w:ascii="Times New Roman" w:hAnsi="Times New Roman"/>
          <w:i/>
          <w:sz w:val="22"/>
          <w:szCs w:val="22"/>
        </w:rPr>
        <w:t xml:space="preserve">see </w:t>
      </w:r>
      <w:r>
        <w:rPr>
          <w:rFonts w:ascii="Times New Roman" w:hAnsi="Times New Roman"/>
          <w:sz w:val="22"/>
          <w:szCs w:val="22"/>
        </w:rPr>
        <w:t>52 Pa. Code §§ 54.5, 54.10</w:t>
      </w:r>
      <w:r w:rsidRPr="00AE134F">
        <w:rPr>
          <w:rFonts w:ascii="Times New Roman" w:hAnsi="Times New Roman"/>
          <w:sz w:val="22"/>
          <w:szCs w:val="22"/>
        </w:rPr>
        <w:t xml:space="preserve">. </w:t>
      </w:r>
    </w:p>
  </w:footnote>
  <w:footnote w:id="2">
    <w:p w:rsidR="005004B5" w:rsidRPr="00AE134F" w:rsidRDefault="005004B5" w:rsidP="00AC65DD">
      <w:pPr>
        <w:pStyle w:val="FootnoteText"/>
        <w:rPr>
          <w:rFonts w:ascii="Times New Roman" w:hAnsi="Times New Roman"/>
          <w:sz w:val="22"/>
          <w:szCs w:val="22"/>
        </w:rPr>
      </w:pPr>
      <w:r w:rsidRPr="00AE134F">
        <w:rPr>
          <w:rStyle w:val="FootnoteReference"/>
          <w:rFonts w:ascii="Times New Roman" w:hAnsi="Times New Roman"/>
          <w:sz w:val="22"/>
          <w:szCs w:val="22"/>
        </w:rPr>
        <w:footnoteRef/>
      </w:r>
      <w:r w:rsidRPr="00AE134F">
        <w:rPr>
          <w:rFonts w:ascii="Times New Roman" w:hAnsi="Times New Roman"/>
          <w:sz w:val="22"/>
          <w:szCs w:val="22"/>
        </w:rPr>
        <w:t xml:space="preserve"> </w:t>
      </w:r>
      <w:r w:rsidRPr="00AE134F">
        <w:rPr>
          <w:rFonts w:ascii="Times New Roman" w:hAnsi="Times New Roman"/>
          <w:i/>
          <w:sz w:val="22"/>
          <w:szCs w:val="22"/>
        </w:rPr>
        <w:t>See Final Rulemaking Order: Customer Information Disclosure Requirements for Natural Gas Distribution Companies and Natural Gas Suppliers,</w:t>
      </w:r>
      <w:r w:rsidRPr="00AE134F">
        <w:rPr>
          <w:rFonts w:ascii="Times New Roman" w:hAnsi="Times New Roman"/>
          <w:sz w:val="22"/>
          <w:szCs w:val="22"/>
        </w:rPr>
        <w:t xml:space="preserve"> Docket No. L-00000149 (Adopted Nov</w:t>
      </w:r>
      <w:r>
        <w:rPr>
          <w:rFonts w:ascii="Times New Roman" w:hAnsi="Times New Roman"/>
          <w:sz w:val="22"/>
          <w:szCs w:val="22"/>
        </w:rPr>
        <w:t>ember</w:t>
      </w:r>
      <w:r w:rsidRPr="00AE134F">
        <w:rPr>
          <w:rFonts w:ascii="Times New Roman" w:hAnsi="Times New Roman"/>
          <w:sz w:val="22"/>
          <w:szCs w:val="22"/>
        </w:rPr>
        <w:t xml:space="preserve"> 29, 2000). </w:t>
      </w:r>
    </w:p>
  </w:footnote>
  <w:footnote w:id="3">
    <w:p w:rsidR="005004B5" w:rsidRPr="00AE134F" w:rsidRDefault="005004B5" w:rsidP="00C06AB5">
      <w:pPr>
        <w:pStyle w:val="FootnoteText"/>
        <w:rPr>
          <w:rFonts w:ascii="Times New Roman" w:hAnsi="Times New Roman"/>
          <w:sz w:val="22"/>
          <w:szCs w:val="22"/>
        </w:rPr>
      </w:pPr>
      <w:r w:rsidRPr="00AE134F">
        <w:rPr>
          <w:rStyle w:val="FootnoteReference"/>
          <w:rFonts w:ascii="Times New Roman" w:hAnsi="Times New Roman"/>
          <w:sz w:val="22"/>
          <w:szCs w:val="22"/>
        </w:rPr>
        <w:footnoteRef/>
      </w:r>
      <w:r w:rsidRPr="00AE134F">
        <w:rPr>
          <w:rFonts w:ascii="Times New Roman" w:hAnsi="Times New Roman"/>
          <w:sz w:val="22"/>
          <w:szCs w:val="22"/>
        </w:rPr>
        <w:t xml:space="preserve"> We note that the Commission has already examined some of the issues resulting from the current inconsistency between the electric and gas disclosure rules.  </w:t>
      </w:r>
      <w:r w:rsidRPr="00AE134F">
        <w:rPr>
          <w:rFonts w:ascii="Times New Roman" w:hAnsi="Times New Roman"/>
          <w:i/>
          <w:sz w:val="22"/>
          <w:szCs w:val="22"/>
        </w:rPr>
        <w:t xml:space="preserve">See Final Order on Request for Clarification on Notice Requirements for Combined Electricity &amp; Natural Gas Disclosure Statements, </w:t>
      </w:r>
      <w:r w:rsidRPr="00AE134F">
        <w:rPr>
          <w:rFonts w:ascii="Times New Roman" w:hAnsi="Times New Roman"/>
          <w:sz w:val="22"/>
          <w:szCs w:val="22"/>
        </w:rPr>
        <w:t>Docket No. L</w:t>
      </w:r>
      <w:r>
        <w:rPr>
          <w:rFonts w:ascii="Times New Roman" w:hAnsi="Times New Roman"/>
          <w:sz w:val="22"/>
          <w:szCs w:val="22"/>
        </w:rPr>
        <w:noBreakHyphen/>
      </w:r>
      <w:r w:rsidRPr="00AE134F">
        <w:rPr>
          <w:rFonts w:ascii="Times New Roman" w:hAnsi="Times New Roman"/>
          <w:sz w:val="22"/>
          <w:szCs w:val="22"/>
        </w:rPr>
        <w:t xml:space="preserve">2014-2409385 (Order entered October 2, 2014).    </w:t>
      </w:r>
    </w:p>
  </w:footnote>
  <w:footnote w:id="4">
    <w:p w:rsidR="005004B5" w:rsidRPr="007942D1" w:rsidRDefault="005004B5">
      <w:pPr>
        <w:pStyle w:val="FootnoteText"/>
        <w:rPr>
          <w:sz w:val="22"/>
          <w:szCs w:val="22"/>
        </w:rPr>
      </w:pPr>
      <w:r w:rsidRPr="007942D1">
        <w:rPr>
          <w:rStyle w:val="FootnoteReference"/>
          <w:sz w:val="22"/>
          <w:szCs w:val="22"/>
        </w:rPr>
        <w:footnoteRef/>
      </w:r>
      <w:r w:rsidRPr="007942D1">
        <w:rPr>
          <w:sz w:val="22"/>
          <w:szCs w:val="22"/>
        </w:rPr>
        <w:t xml:space="preserve"> </w:t>
      </w:r>
      <w:r w:rsidRPr="007942D1">
        <w:rPr>
          <w:rFonts w:cstheme="minorHAnsi"/>
          <w:sz w:val="22"/>
          <w:szCs w:val="22"/>
        </w:rPr>
        <w:t xml:space="preserve">Comments to the </w:t>
      </w:r>
      <w:r w:rsidRPr="007942D1">
        <w:rPr>
          <w:rFonts w:cstheme="minorHAnsi"/>
          <w:i/>
          <w:sz w:val="22"/>
          <w:szCs w:val="22"/>
        </w:rPr>
        <w:t>Gas RMI Final Order</w:t>
      </w:r>
      <w:r w:rsidRPr="007942D1">
        <w:rPr>
          <w:rFonts w:cstheme="minorHAnsi"/>
          <w:sz w:val="22"/>
          <w:szCs w:val="22"/>
        </w:rPr>
        <w:t>,</w:t>
      </w:r>
      <w:r w:rsidRPr="007942D1">
        <w:rPr>
          <w:rFonts w:cstheme="minorHAnsi"/>
          <w:i/>
          <w:sz w:val="22"/>
          <w:szCs w:val="22"/>
        </w:rPr>
        <w:t xml:space="preserve"> </w:t>
      </w:r>
      <w:r w:rsidRPr="007942D1">
        <w:rPr>
          <w:rFonts w:cstheme="minorHAnsi"/>
          <w:sz w:val="22"/>
          <w:szCs w:val="22"/>
        </w:rPr>
        <w:t xml:space="preserve">pertaining to disclosure statement requirements in the gas industry, were filed by Columbia Gas of PA; Dominion Retail, Inc. d/b/a Dominion Energy Solutions, Shipley Choice, LLC d/b/a Shipley Energy, Rhoads Energy Corp. and </w:t>
      </w:r>
      <w:proofErr w:type="spellStart"/>
      <w:r w:rsidRPr="007942D1">
        <w:rPr>
          <w:rFonts w:cstheme="minorHAnsi"/>
          <w:sz w:val="22"/>
          <w:szCs w:val="22"/>
        </w:rPr>
        <w:t>AMERIgreen</w:t>
      </w:r>
      <w:proofErr w:type="spellEnd"/>
      <w:r w:rsidRPr="007942D1">
        <w:rPr>
          <w:rFonts w:cstheme="minorHAnsi"/>
          <w:sz w:val="22"/>
          <w:szCs w:val="22"/>
        </w:rPr>
        <w:t xml:space="preserve"> Energy; the National Energy Marketers Association; the Office of Consumer Advocate; PECO Energy Company; Peoples Natural Gas Company LLC and Peoples TWP LLC; Philadelphia Gas Works; the Retail Energy Supply Association; UGI Distribution Companies; Valley Energy, Inc.; and WGL Energy Services, Inc.  </w:t>
      </w:r>
    </w:p>
  </w:footnote>
  <w:footnote w:id="5">
    <w:p w:rsidR="005004B5" w:rsidRPr="007942D1" w:rsidRDefault="005004B5">
      <w:pPr>
        <w:pStyle w:val="FootnoteText"/>
        <w:rPr>
          <w:sz w:val="22"/>
          <w:szCs w:val="22"/>
        </w:rPr>
      </w:pPr>
      <w:r w:rsidRPr="007942D1">
        <w:rPr>
          <w:rStyle w:val="FootnoteReference"/>
          <w:sz w:val="22"/>
          <w:szCs w:val="22"/>
        </w:rPr>
        <w:footnoteRef/>
      </w:r>
      <w:r w:rsidRPr="007942D1">
        <w:rPr>
          <w:sz w:val="22"/>
          <w:szCs w:val="22"/>
        </w:rPr>
        <w:t xml:space="preserve"> </w:t>
      </w:r>
      <w:r w:rsidRPr="007942D1">
        <w:rPr>
          <w:i/>
          <w:sz w:val="22"/>
          <w:szCs w:val="22"/>
        </w:rPr>
        <w:t xml:space="preserve">See </w:t>
      </w:r>
      <w:r w:rsidRPr="007942D1">
        <w:rPr>
          <w:sz w:val="22"/>
          <w:szCs w:val="22"/>
        </w:rPr>
        <w:t xml:space="preserve">PUC Mission Statement, </w:t>
      </w:r>
      <w:r w:rsidRPr="007942D1">
        <w:rPr>
          <w:i/>
          <w:sz w:val="22"/>
          <w:szCs w:val="22"/>
        </w:rPr>
        <w:t xml:space="preserve">available at </w:t>
      </w:r>
      <w:hyperlink r:id="rId1" w:history="1">
        <w:r w:rsidRPr="007942D1">
          <w:rPr>
            <w:rStyle w:val="Hyperlink"/>
            <w:sz w:val="22"/>
            <w:szCs w:val="22"/>
          </w:rPr>
          <w:t>http://www.puc.state.pa.us/about_puc.aspx</w:t>
        </w:r>
      </w:hyperlink>
      <w:r w:rsidRPr="007942D1">
        <w:rPr>
          <w:sz w:val="22"/>
          <w:szCs w:val="22"/>
        </w:rPr>
        <w:t>.</w:t>
      </w:r>
      <w:r w:rsidRPr="007942D1">
        <w:rPr>
          <w:i/>
          <w:sz w:val="22"/>
          <w:szCs w:val="22"/>
        </w:rPr>
        <w:t xml:space="preserve"> </w:t>
      </w:r>
    </w:p>
  </w:footnote>
  <w:footnote w:id="6">
    <w:p w:rsidR="005004B5" w:rsidRPr="007942D1" w:rsidRDefault="005004B5" w:rsidP="0037347D">
      <w:pPr>
        <w:pStyle w:val="FootnoteText"/>
        <w:rPr>
          <w:sz w:val="22"/>
          <w:szCs w:val="22"/>
        </w:rPr>
      </w:pPr>
      <w:r w:rsidRPr="007942D1">
        <w:rPr>
          <w:rStyle w:val="FootnoteReference"/>
          <w:sz w:val="22"/>
          <w:szCs w:val="22"/>
        </w:rPr>
        <w:footnoteRef/>
      </w:r>
      <w:r w:rsidRPr="007942D1">
        <w:rPr>
          <w:sz w:val="22"/>
          <w:szCs w:val="22"/>
        </w:rPr>
        <w:t xml:space="preserve"> </w:t>
      </w:r>
      <w:r w:rsidRPr="007942D1">
        <w:rPr>
          <w:i/>
          <w:sz w:val="22"/>
          <w:szCs w:val="22"/>
        </w:rPr>
        <w:t xml:space="preserve">See </w:t>
      </w:r>
      <w:hyperlink r:id="rId2" w:history="1">
        <w:r w:rsidRPr="007942D1">
          <w:rPr>
            <w:rStyle w:val="Hyperlink"/>
            <w:sz w:val="22"/>
            <w:szCs w:val="22"/>
          </w:rPr>
          <w:t>http://www.oca.state.pa.us/information_links/UniversalServNos.htm</w:t>
        </w:r>
      </w:hyperlink>
      <w:r w:rsidRPr="007942D1">
        <w:rPr>
          <w:sz w:val="22"/>
          <w:szCs w:val="22"/>
        </w:rPr>
        <w:t xml:space="preserve">.  </w:t>
      </w:r>
    </w:p>
  </w:footnote>
  <w:footnote w:id="7">
    <w:p w:rsidR="005004B5" w:rsidRDefault="005004B5" w:rsidP="00B358E1">
      <w:pPr>
        <w:pStyle w:val="FootnoteText"/>
      </w:pPr>
      <w:r w:rsidRPr="007942D1">
        <w:rPr>
          <w:rStyle w:val="FootnoteReference"/>
          <w:sz w:val="22"/>
          <w:szCs w:val="22"/>
        </w:rPr>
        <w:footnoteRef/>
      </w:r>
      <w:r w:rsidRPr="007942D1">
        <w:rPr>
          <w:sz w:val="22"/>
          <w:szCs w:val="22"/>
        </w:rPr>
        <w:t xml:space="preserve"> The Commission’s Bureau of Consumer Services has experienced customer confusion regarding this parallel universal service program requirement in </w:t>
      </w:r>
      <w:r>
        <w:rPr>
          <w:sz w:val="22"/>
          <w:szCs w:val="22"/>
        </w:rPr>
        <w:t>the</w:t>
      </w:r>
      <w:r w:rsidRPr="007942D1">
        <w:rPr>
          <w:sz w:val="22"/>
          <w:szCs w:val="22"/>
        </w:rPr>
        <w:t xml:space="preserve"> electric regulations at 52 Pa. Code § 54.5(c</w:t>
      </w:r>
      <w:proofErr w:type="gramStart"/>
      <w:r w:rsidRPr="007942D1">
        <w:rPr>
          <w:sz w:val="22"/>
          <w:szCs w:val="22"/>
        </w:rPr>
        <w:t>)(</w:t>
      </w:r>
      <w:proofErr w:type="gramEnd"/>
      <w:r w:rsidRPr="007942D1">
        <w:rPr>
          <w:sz w:val="22"/>
          <w:szCs w:val="22"/>
        </w:rPr>
        <w:t>10).</w:t>
      </w:r>
      <w:r>
        <w:t xml:space="preserve">  </w:t>
      </w:r>
    </w:p>
  </w:footnote>
  <w:footnote w:id="8">
    <w:p w:rsidR="005004B5" w:rsidRDefault="005004B5">
      <w:pPr>
        <w:pStyle w:val="FootnoteText"/>
        <w:rPr>
          <w:sz w:val="22"/>
          <w:szCs w:val="22"/>
        </w:rPr>
      </w:pPr>
      <w:r w:rsidRPr="00EC5500">
        <w:rPr>
          <w:rStyle w:val="FootnoteReference"/>
          <w:sz w:val="22"/>
          <w:szCs w:val="22"/>
        </w:rPr>
        <w:footnoteRef/>
      </w:r>
      <w:r w:rsidRPr="00EC5500">
        <w:rPr>
          <w:sz w:val="22"/>
          <w:szCs w:val="22"/>
        </w:rPr>
        <w:t xml:space="preserve"> “A customer shall be informed of the 3-business-day right of rescission of the transaction under §§ 54.5(d) and 62.75(d) (relating to disclosure statement for residential and small business customers) and the customer’s rights under section 7 of the Unfair Trade Practices and Consumer Protection Law (73 </w:t>
      </w:r>
    </w:p>
    <w:p w:rsidR="005004B5" w:rsidRPr="00EC5500" w:rsidRDefault="005004B5">
      <w:pPr>
        <w:pStyle w:val="FootnoteText"/>
        <w:rPr>
          <w:sz w:val="22"/>
          <w:szCs w:val="22"/>
        </w:rPr>
      </w:pPr>
      <w:r w:rsidRPr="00EC5500">
        <w:rPr>
          <w:sz w:val="22"/>
          <w:szCs w:val="22"/>
        </w:rPr>
        <w:t>P. S. §</w:t>
      </w:r>
      <w:proofErr w:type="gramStart"/>
      <w:r w:rsidRPr="00EC5500">
        <w:rPr>
          <w:sz w:val="22"/>
          <w:szCs w:val="22"/>
        </w:rPr>
        <w:t>  201</w:t>
      </w:r>
      <w:proofErr w:type="gramEnd"/>
      <w:r w:rsidRPr="00EC5500">
        <w:rPr>
          <w:sz w:val="22"/>
          <w:szCs w:val="22"/>
        </w:rPr>
        <w:t>-7) at the end of the verification process contact.”  52 Pa. Code § 111.7(b</w:t>
      </w:r>
      <w:proofErr w:type="gramStart"/>
      <w:r w:rsidRPr="00EC5500">
        <w:rPr>
          <w:sz w:val="22"/>
          <w:szCs w:val="22"/>
        </w:rPr>
        <w:t>)(</w:t>
      </w:r>
      <w:proofErr w:type="gramEnd"/>
      <w:r w:rsidRPr="00EC5500">
        <w:rPr>
          <w:sz w:val="22"/>
          <w:szCs w:val="22"/>
        </w:rPr>
        <w:t>3).</w:t>
      </w:r>
    </w:p>
  </w:footnote>
  <w:footnote w:id="9">
    <w:p w:rsidR="005004B5" w:rsidRDefault="005004B5">
      <w:pPr>
        <w:pStyle w:val="FootnoteText"/>
      </w:pPr>
      <w:r w:rsidRPr="00EC5500">
        <w:rPr>
          <w:rStyle w:val="FootnoteReference"/>
          <w:sz w:val="22"/>
          <w:szCs w:val="22"/>
        </w:rPr>
        <w:footnoteRef/>
      </w:r>
      <w:r w:rsidRPr="00EC5500">
        <w:rPr>
          <w:sz w:val="22"/>
          <w:szCs w:val="22"/>
        </w:rPr>
        <w:t xml:space="preserve"> A supplier “[s]hall provide accurate and timely information about services and products being offered. Information includes rates being </w:t>
      </w:r>
      <w:proofErr w:type="gramStart"/>
      <w:r w:rsidRPr="00EC5500">
        <w:rPr>
          <w:sz w:val="22"/>
          <w:szCs w:val="22"/>
        </w:rPr>
        <w:t>offered,</w:t>
      </w:r>
      <w:proofErr w:type="gramEnd"/>
      <w:r w:rsidRPr="00EC5500">
        <w:rPr>
          <w:sz w:val="22"/>
          <w:szCs w:val="22"/>
        </w:rPr>
        <w:t xml:space="preserve"> contract terms, early termination fees and right of cancellation and rescission.”  52 Pa. Code § 111.12(d</w:t>
      </w:r>
      <w:proofErr w:type="gramStart"/>
      <w:r w:rsidRPr="00EC5500">
        <w:rPr>
          <w:sz w:val="22"/>
          <w:szCs w:val="22"/>
        </w:rPr>
        <w:t>)(</w:t>
      </w:r>
      <w:proofErr w:type="gramEnd"/>
      <w:r w:rsidRPr="00EC5500">
        <w:rPr>
          <w:sz w:val="22"/>
          <w:szCs w:val="22"/>
        </w:rPr>
        <w:t>4).</w:t>
      </w:r>
      <w:r>
        <w:t xml:space="preserve">  </w:t>
      </w:r>
    </w:p>
  </w:footnote>
  <w:footnote w:id="10">
    <w:p w:rsidR="005004B5" w:rsidRDefault="005004B5">
      <w:pPr>
        <w:pStyle w:val="FootnoteText"/>
      </w:pPr>
      <w:r>
        <w:rPr>
          <w:rStyle w:val="FootnoteReference"/>
        </w:rPr>
        <w:footnoteRef/>
      </w:r>
      <w:r>
        <w:t xml:space="preserve"> </w:t>
      </w:r>
      <w:r w:rsidRPr="00842CE5">
        <w:rPr>
          <w:sz w:val="22"/>
          <w:szCs w:val="22"/>
        </w:rPr>
        <w:t xml:space="preserve">We also note that Ohio’s disclosure statement regulations refer to the “contract duration.”  </w:t>
      </w:r>
      <w:r w:rsidRPr="00842CE5">
        <w:rPr>
          <w:i/>
          <w:sz w:val="22"/>
          <w:szCs w:val="22"/>
        </w:rPr>
        <w:t>See</w:t>
      </w:r>
      <w:r w:rsidRPr="00842CE5">
        <w:rPr>
          <w:sz w:val="22"/>
          <w:szCs w:val="22"/>
        </w:rPr>
        <w:t xml:space="preserve"> </w:t>
      </w:r>
      <w:r w:rsidRPr="00842CE5">
        <w:rPr>
          <w:rFonts w:cstheme="minorHAnsi"/>
          <w:sz w:val="22"/>
          <w:szCs w:val="22"/>
        </w:rPr>
        <w:t>O</w:t>
      </w:r>
      <w:r w:rsidRPr="00842CE5">
        <w:rPr>
          <w:rFonts w:cstheme="minorHAnsi"/>
        </w:rPr>
        <w:t xml:space="preserve">HIO </w:t>
      </w:r>
      <w:r w:rsidRPr="00842CE5">
        <w:rPr>
          <w:rFonts w:cstheme="minorHAnsi"/>
          <w:sz w:val="22"/>
          <w:szCs w:val="22"/>
        </w:rPr>
        <w:t>A</w:t>
      </w:r>
      <w:r w:rsidRPr="00842CE5">
        <w:rPr>
          <w:rFonts w:cstheme="minorHAnsi"/>
        </w:rPr>
        <w:t>DMIN</w:t>
      </w:r>
      <w:r w:rsidRPr="00842CE5">
        <w:rPr>
          <w:rFonts w:cstheme="minorHAnsi"/>
          <w:sz w:val="22"/>
          <w:szCs w:val="22"/>
        </w:rPr>
        <w:t>. C</w:t>
      </w:r>
      <w:r w:rsidRPr="00842CE5">
        <w:rPr>
          <w:rFonts w:cstheme="minorHAnsi"/>
        </w:rPr>
        <w:t>ODE</w:t>
      </w:r>
      <w:r w:rsidRPr="00842CE5">
        <w:rPr>
          <w:rFonts w:cstheme="minorHAnsi"/>
          <w:sz w:val="22"/>
          <w:szCs w:val="22"/>
        </w:rPr>
        <w:t xml:space="preserve"> 4901:1-29-1</w:t>
      </w:r>
      <w:r>
        <w:rPr>
          <w:rFonts w:cstheme="minorHAnsi"/>
          <w:sz w:val="22"/>
          <w:szCs w:val="22"/>
        </w:rPr>
        <w:t xml:space="preserve">1(O).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CF1"/>
    <w:multiLevelType w:val="hybridMultilevel"/>
    <w:tmpl w:val="9C82D502"/>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24C48"/>
    <w:multiLevelType w:val="multilevel"/>
    <w:tmpl w:val="5AA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D4ABE"/>
    <w:multiLevelType w:val="multilevel"/>
    <w:tmpl w:val="61D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E8323C"/>
    <w:multiLevelType w:val="multilevel"/>
    <w:tmpl w:val="B55E7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C5383A"/>
    <w:multiLevelType w:val="hybridMultilevel"/>
    <w:tmpl w:val="A8EE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642E7"/>
    <w:multiLevelType w:val="hybridMultilevel"/>
    <w:tmpl w:val="C354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470A2E"/>
    <w:multiLevelType w:val="hybridMultilevel"/>
    <w:tmpl w:val="342AB10C"/>
    <w:lvl w:ilvl="0" w:tplc="12102B5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3302D"/>
    <w:multiLevelType w:val="hybridMultilevel"/>
    <w:tmpl w:val="1BC821B2"/>
    <w:lvl w:ilvl="0" w:tplc="2ACC3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F87E45"/>
    <w:multiLevelType w:val="hybridMultilevel"/>
    <w:tmpl w:val="51243056"/>
    <w:lvl w:ilvl="0" w:tplc="E098D5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A46F55"/>
    <w:multiLevelType w:val="hybridMultilevel"/>
    <w:tmpl w:val="F6327DD6"/>
    <w:lvl w:ilvl="0" w:tplc="365261A2">
      <w:start w:val="4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944F6A"/>
    <w:multiLevelType w:val="hybridMultilevel"/>
    <w:tmpl w:val="BD24A0EC"/>
    <w:lvl w:ilvl="0" w:tplc="49CC7A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B7925E4"/>
    <w:multiLevelType w:val="hybridMultilevel"/>
    <w:tmpl w:val="E834A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415CF8"/>
    <w:multiLevelType w:val="hybridMultilevel"/>
    <w:tmpl w:val="AC64121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FC61B47"/>
    <w:multiLevelType w:val="hybridMultilevel"/>
    <w:tmpl w:val="721E4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3C2308"/>
    <w:multiLevelType w:val="hybridMultilevel"/>
    <w:tmpl w:val="4574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1F6B47"/>
    <w:multiLevelType w:val="hybridMultilevel"/>
    <w:tmpl w:val="FD44C4F8"/>
    <w:lvl w:ilvl="0" w:tplc="AE72F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6308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9AE2A8D"/>
    <w:multiLevelType w:val="hybridMultilevel"/>
    <w:tmpl w:val="3608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CA2B0F"/>
    <w:multiLevelType w:val="hybridMultilevel"/>
    <w:tmpl w:val="2B282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E6A60C2"/>
    <w:multiLevelType w:val="hybridMultilevel"/>
    <w:tmpl w:val="8E4EAA12"/>
    <w:lvl w:ilvl="0" w:tplc="306AC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EC55AF"/>
    <w:multiLevelType w:val="hybridMultilevel"/>
    <w:tmpl w:val="CDD4F802"/>
    <w:lvl w:ilvl="0" w:tplc="61649FF4">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5373846"/>
    <w:multiLevelType w:val="hybridMultilevel"/>
    <w:tmpl w:val="89145B9A"/>
    <w:lvl w:ilvl="0" w:tplc="B15CAA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9F6287"/>
    <w:multiLevelType w:val="hybridMultilevel"/>
    <w:tmpl w:val="3084C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7B97910"/>
    <w:multiLevelType w:val="hybridMultilevel"/>
    <w:tmpl w:val="470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3617C8"/>
    <w:multiLevelType w:val="hybridMultilevel"/>
    <w:tmpl w:val="FF1E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6F1738"/>
    <w:multiLevelType w:val="hybridMultilevel"/>
    <w:tmpl w:val="E6DC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F84F23"/>
    <w:multiLevelType w:val="hybridMultilevel"/>
    <w:tmpl w:val="71CAD340"/>
    <w:lvl w:ilvl="0" w:tplc="2AB4AE84">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294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1244F06"/>
    <w:multiLevelType w:val="hybridMultilevel"/>
    <w:tmpl w:val="98D0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EA658C"/>
    <w:multiLevelType w:val="hybridMultilevel"/>
    <w:tmpl w:val="661847BC"/>
    <w:lvl w:ilvl="0" w:tplc="7E3C37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27664EE"/>
    <w:multiLevelType w:val="hybridMultilevel"/>
    <w:tmpl w:val="9728472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1">
    <w:nsid w:val="43E15A9A"/>
    <w:multiLevelType w:val="hybridMultilevel"/>
    <w:tmpl w:val="3EE2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BE1835"/>
    <w:multiLevelType w:val="hybridMultilevel"/>
    <w:tmpl w:val="CDFCF388"/>
    <w:lvl w:ilvl="0" w:tplc="49CC7A1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4B1653F8"/>
    <w:multiLevelType w:val="hybridMultilevel"/>
    <w:tmpl w:val="3FF4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B438EF"/>
    <w:multiLevelType w:val="hybridMultilevel"/>
    <w:tmpl w:val="D33415F8"/>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5">
    <w:nsid w:val="5BB27B80"/>
    <w:multiLevelType w:val="hybridMultilevel"/>
    <w:tmpl w:val="4B3EE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1F3F76"/>
    <w:multiLevelType w:val="hybridMultilevel"/>
    <w:tmpl w:val="A8F2F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5FD5DB2"/>
    <w:multiLevelType w:val="hybridMultilevel"/>
    <w:tmpl w:val="72A0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420F63"/>
    <w:multiLevelType w:val="hybridMultilevel"/>
    <w:tmpl w:val="F1D0524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nsid w:val="6DA64D83"/>
    <w:multiLevelType w:val="hybridMultilevel"/>
    <w:tmpl w:val="2ECCC51A"/>
    <w:lvl w:ilvl="0" w:tplc="99A00EF6">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816402D"/>
    <w:multiLevelType w:val="hybridMultilevel"/>
    <w:tmpl w:val="A224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BA6BA4"/>
    <w:multiLevelType w:val="hybridMultilevel"/>
    <w:tmpl w:val="43543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FE0FC4"/>
    <w:multiLevelType w:val="hybridMultilevel"/>
    <w:tmpl w:val="F2A4101E"/>
    <w:lvl w:ilvl="0" w:tplc="EA8CB41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F180F47"/>
    <w:multiLevelType w:val="hybridMultilevel"/>
    <w:tmpl w:val="3BE64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802E27"/>
    <w:multiLevelType w:val="multilevel"/>
    <w:tmpl w:val="9C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16"/>
  </w:num>
  <w:num w:numId="3">
    <w:abstractNumId w:val="37"/>
  </w:num>
  <w:num w:numId="4">
    <w:abstractNumId w:val="23"/>
  </w:num>
  <w:num w:numId="5">
    <w:abstractNumId w:val="5"/>
  </w:num>
  <w:num w:numId="6">
    <w:abstractNumId w:val="43"/>
  </w:num>
  <w:num w:numId="7">
    <w:abstractNumId w:val="38"/>
  </w:num>
  <w:num w:numId="8">
    <w:abstractNumId w:val="31"/>
  </w:num>
  <w:num w:numId="9">
    <w:abstractNumId w:val="4"/>
  </w:num>
  <w:num w:numId="10">
    <w:abstractNumId w:val="14"/>
  </w:num>
  <w:num w:numId="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13"/>
  </w:num>
  <w:num w:numId="14">
    <w:abstractNumId w:val="30"/>
  </w:num>
  <w:num w:numId="15">
    <w:abstractNumId w:val="25"/>
  </w:num>
  <w:num w:numId="16">
    <w:abstractNumId w:val="6"/>
  </w:num>
  <w:num w:numId="17">
    <w:abstractNumId w:val="26"/>
  </w:num>
  <w:num w:numId="18">
    <w:abstractNumId w:val="19"/>
  </w:num>
  <w:num w:numId="19">
    <w:abstractNumId w:val="41"/>
  </w:num>
  <w:num w:numId="20">
    <w:abstractNumId w:val="8"/>
  </w:num>
  <w:num w:numId="21">
    <w:abstractNumId w:val="29"/>
  </w:num>
  <w:num w:numId="22">
    <w:abstractNumId w:val="11"/>
  </w:num>
  <w:num w:numId="23">
    <w:abstractNumId w:val="32"/>
  </w:num>
  <w:num w:numId="24">
    <w:abstractNumId w:val="10"/>
  </w:num>
  <w:num w:numId="25">
    <w:abstractNumId w:val="17"/>
  </w:num>
  <w:num w:numId="26">
    <w:abstractNumId w:val="9"/>
  </w:num>
  <w:num w:numId="27">
    <w:abstractNumId w:val="39"/>
  </w:num>
  <w:num w:numId="28">
    <w:abstractNumId w:val="7"/>
  </w:num>
  <w:num w:numId="29">
    <w:abstractNumId w:val="36"/>
  </w:num>
  <w:num w:numId="30">
    <w:abstractNumId w:val="21"/>
  </w:num>
  <w:num w:numId="31">
    <w:abstractNumId w:val="33"/>
  </w:num>
  <w:num w:numId="32">
    <w:abstractNumId w:val="0"/>
  </w:num>
  <w:num w:numId="33">
    <w:abstractNumId w:val="3"/>
  </w:num>
  <w:num w:numId="34">
    <w:abstractNumId w:val="1"/>
  </w:num>
  <w:num w:numId="35">
    <w:abstractNumId w:val="2"/>
  </w:num>
  <w:num w:numId="36">
    <w:abstractNumId w:val="44"/>
  </w:num>
  <w:num w:numId="37">
    <w:abstractNumId w:val="20"/>
  </w:num>
  <w:num w:numId="38">
    <w:abstractNumId w:val="24"/>
  </w:num>
  <w:num w:numId="39">
    <w:abstractNumId w:val="18"/>
  </w:num>
  <w:num w:numId="40">
    <w:abstractNumId w:val="15"/>
  </w:num>
  <w:num w:numId="41">
    <w:abstractNumId w:val="28"/>
  </w:num>
  <w:num w:numId="42">
    <w:abstractNumId w:val="42"/>
  </w:num>
  <w:num w:numId="43">
    <w:abstractNumId w:val="22"/>
  </w:num>
  <w:num w:numId="44">
    <w:abstractNumId w:val="35"/>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7C"/>
    <w:rsid w:val="0000088A"/>
    <w:rsid w:val="00001D53"/>
    <w:rsid w:val="00002094"/>
    <w:rsid w:val="0000362E"/>
    <w:rsid w:val="00003F95"/>
    <w:rsid w:val="0000507D"/>
    <w:rsid w:val="00005C99"/>
    <w:rsid w:val="00005E9C"/>
    <w:rsid w:val="00006154"/>
    <w:rsid w:val="0000648C"/>
    <w:rsid w:val="00007337"/>
    <w:rsid w:val="00010A57"/>
    <w:rsid w:val="00011E5B"/>
    <w:rsid w:val="00012CE3"/>
    <w:rsid w:val="00012FAF"/>
    <w:rsid w:val="000135F9"/>
    <w:rsid w:val="000152A5"/>
    <w:rsid w:val="00017856"/>
    <w:rsid w:val="00017F0F"/>
    <w:rsid w:val="00021019"/>
    <w:rsid w:val="00022F42"/>
    <w:rsid w:val="00023FE8"/>
    <w:rsid w:val="0002403C"/>
    <w:rsid w:val="000248CB"/>
    <w:rsid w:val="00024EE4"/>
    <w:rsid w:val="000254C0"/>
    <w:rsid w:val="000259FC"/>
    <w:rsid w:val="00027048"/>
    <w:rsid w:val="00027273"/>
    <w:rsid w:val="000276EF"/>
    <w:rsid w:val="00027F77"/>
    <w:rsid w:val="00030D6E"/>
    <w:rsid w:val="000321EF"/>
    <w:rsid w:val="00032CAD"/>
    <w:rsid w:val="00032DBF"/>
    <w:rsid w:val="00033E8C"/>
    <w:rsid w:val="000347A1"/>
    <w:rsid w:val="00034F2B"/>
    <w:rsid w:val="00035AAC"/>
    <w:rsid w:val="000362A6"/>
    <w:rsid w:val="00037E3F"/>
    <w:rsid w:val="00040158"/>
    <w:rsid w:val="000415F3"/>
    <w:rsid w:val="00041A7D"/>
    <w:rsid w:val="00041F92"/>
    <w:rsid w:val="000432D5"/>
    <w:rsid w:val="00043D18"/>
    <w:rsid w:val="00043F86"/>
    <w:rsid w:val="00045E26"/>
    <w:rsid w:val="000467CC"/>
    <w:rsid w:val="000472E8"/>
    <w:rsid w:val="00050780"/>
    <w:rsid w:val="00052D7C"/>
    <w:rsid w:val="00053389"/>
    <w:rsid w:val="00053E8F"/>
    <w:rsid w:val="00054A34"/>
    <w:rsid w:val="00055B52"/>
    <w:rsid w:val="00056133"/>
    <w:rsid w:val="00056C5C"/>
    <w:rsid w:val="00060B1B"/>
    <w:rsid w:val="00060FF9"/>
    <w:rsid w:val="00062013"/>
    <w:rsid w:val="00062D9A"/>
    <w:rsid w:val="0006456E"/>
    <w:rsid w:val="00064B14"/>
    <w:rsid w:val="00064B2F"/>
    <w:rsid w:val="00064DBF"/>
    <w:rsid w:val="000668F5"/>
    <w:rsid w:val="00066B75"/>
    <w:rsid w:val="00066C91"/>
    <w:rsid w:val="0006760E"/>
    <w:rsid w:val="00067ED8"/>
    <w:rsid w:val="00071B81"/>
    <w:rsid w:val="0007236C"/>
    <w:rsid w:val="00074994"/>
    <w:rsid w:val="00075ADC"/>
    <w:rsid w:val="00077EE8"/>
    <w:rsid w:val="0008166D"/>
    <w:rsid w:val="00083399"/>
    <w:rsid w:val="00083D72"/>
    <w:rsid w:val="00084821"/>
    <w:rsid w:val="00091848"/>
    <w:rsid w:val="00092FF5"/>
    <w:rsid w:val="00094109"/>
    <w:rsid w:val="00097189"/>
    <w:rsid w:val="000A08FD"/>
    <w:rsid w:val="000A09E2"/>
    <w:rsid w:val="000A0E7D"/>
    <w:rsid w:val="000A1431"/>
    <w:rsid w:val="000A1579"/>
    <w:rsid w:val="000A1FD9"/>
    <w:rsid w:val="000A3245"/>
    <w:rsid w:val="000A3F8E"/>
    <w:rsid w:val="000A489A"/>
    <w:rsid w:val="000A5AF7"/>
    <w:rsid w:val="000A5F69"/>
    <w:rsid w:val="000A64C3"/>
    <w:rsid w:val="000A6B1A"/>
    <w:rsid w:val="000A6F68"/>
    <w:rsid w:val="000B11EF"/>
    <w:rsid w:val="000B140F"/>
    <w:rsid w:val="000B220F"/>
    <w:rsid w:val="000B44FC"/>
    <w:rsid w:val="000B5053"/>
    <w:rsid w:val="000B7A8B"/>
    <w:rsid w:val="000B7CF4"/>
    <w:rsid w:val="000C138F"/>
    <w:rsid w:val="000C26DF"/>
    <w:rsid w:val="000C5251"/>
    <w:rsid w:val="000C5B53"/>
    <w:rsid w:val="000C5FFD"/>
    <w:rsid w:val="000C6F3F"/>
    <w:rsid w:val="000C776D"/>
    <w:rsid w:val="000C78DE"/>
    <w:rsid w:val="000D325A"/>
    <w:rsid w:val="000D4552"/>
    <w:rsid w:val="000D7505"/>
    <w:rsid w:val="000D785D"/>
    <w:rsid w:val="000E1F77"/>
    <w:rsid w:val="000E4535"/>
    <w:rsid w:val="000E45F0"/>
    <w:rsid w:val="000E5A09"/>
    <w:rsid w:val="000F1B53"/>
    <w:rsid w:val="000F5801"/>
    <w:rsid w:val="000F63A4"/>
    <w:rsid w:val="001005AE"/>
    <w:rsid w:val="001006D1"/>
    <w:rsid w:val="00101520"/>
    <w:rsid w:val="00102D80"/>
    <w:rsid w:val="00103974"/>
    <w:rsid w:val="00103F0D"/>
    <w:rsid w:val="0010541F"/>
    <w:rsid w:val="001054B6"/>
    <w:rsid w:val="00107998"/>
    <w:rsid w:val="001079E4"/>
    <w:rsid w:val="00107A0A"/>
    <w:rsid w:val="001103C6"/>
    <w:rsid w:val="00110928"/>
    <w:rsid w:val="00110CB4"/>
    <w:rsid w:val="00111219"/>
    <w:rsid w:val="00111534"/>
    <w:rsid w:val="00112A02"/>
    <w:rsid w:val="00112BE3"/>
    <w:rsid w:val="001149C2"/>
    <w:rsid w:val="00117FD1"/>
    <w:rsid w:val="00120015"/>
    <w:rsid w:val="001209FB"/>
    <w:rsid w:val="0012329A"/>
    <w:rsid w:val="00123799"/>
    <w:rsid w:val="00124420"/>
    <w:rsid w:val="001273B3"/>
    <w:rsid w:val="00131D20"/>
    <w:rsid w:val="0013204F"/>
    <w:rsid w:val="00133A1A"/>
    <w:rsid w:val="0013404A"/>
    <w:rsid w:val="0013634F"/>
    <w:rsid w:val="00140437"/>
    <w:rsid w:val="00143323"/>
    <w:rsid w:val="00144414"/>
    <w:rsid w:val="0014462D"/>
    <w:rsid w:val="001467EC"/>
    <w:rsid w:val="00146A2D"/>
    <w:rsid w:val="00147BFE"/>
    <w:rsid w:val="0015018B"/>
    <w:rsid w:val="0015156F"/>
    <w:rsid w:val="0015220B"/>
    <w:rsid w:val="00152696"/>
    <w:rsid w:val="00153F8A"/>
    <w:rsid w:val="0015562E"/>
    <w:rsid w:val="0015673B"/>
    <w:rsid w:val="0015794D"/>
    <w:rsid w:val="00157ABD"/>
    <w:rsid w:val="00160689"/>
    <w:rsid w:val="0016162F"/>
    <w:rsid w:val="0016171A"/>
    <w:rsid w:val="00164F00"/>
    <w:rsid w:val="0016531E"/>
    <w:rsid w:val="0016563E"/>
    <w:rsid w:val="00165A3E"/>
    <w:rsid w:val="0016786A"/>
    <w:rsid w:val="001706B1"/>
    <w:rsid w:val="001708BF"/>
    <w:rsid w:val="0017133A"/>
    <w:rsid w:val="00171600"/>
    <w:rsid w:val="00171685"/>
    <w:rsid w:val="00172EF0"/>
    <w:rsid w:val="00173097"/>
    <w:rsid w:val="00176929"/>
    <w:rsid w:val="001779CC"/>
    <w:rsid w:val="00180008"/>
    <w:rsid w:val="00184F98"/>
    <w:rsid w:val="00186E3D"/>
    <w:rsid w:val="001908BB"/>
    <w:rsid w:val="00190C62"/>
    <w:rsid w:val="00192085"/>
    <w:rsid w:val="00193136"/>
    <w:rsid w:val="00193D61"/>
    <w:rsid w:val="00194C73"/>
    <w:rsid w:val="00195803"/>
    <w:rsid w:val="0019695A"/>
    <w:rsid w:val="0019796C"/>
    <w:rsid w:val="001A1513"/>
    <w:rsid w:val="001A2D3F"/>
    <w:rsid w:val="001A5DC3"/>
    <w:rsid w:val="001B05E8"/>
    <w:rsid w:val="001B0DFF"/>
    <w:rsid w:val="001B1992"/>
    <w:rsid w:val="001B1EB0"/>
    <w:rsid w:val="001B2398"/>
    <w:rsid w:val="001B26B1"/>
    <w:rsid w:val="001B2E8D"/>
    <w:rsid w:val="001B5617"/>
    <w:rsid w:val="001B5CB4"/>
    <w:rsid w:val="001B6835"/>
    <w:rsid w:val="001B7F5A"/>
    <w:rsid w:val="001C14D2"/>
    <w:rsid w:val="001C1682"/>
    <w:rsid w:val="001C2563"/>
    <w:rsid w:val="001C3337"/>
    <w:rsid w:val="001C4DAA"/>
    <w:rsid w:val="001C53EF"/>
    <w:rsid w:val="001C5CB2"/>
    <w:rsid w:val="001C5D22"/>
    <w:rsid w:val="001C75AB"/>
    <w:rsid w:val="001C7749"/>
    <w:rsid w:val="001C7D0F"/>
    <w:rsid w:val="001D0AD6"/>
    <w:rsid w:val="001D113A"/>
    <w:rsid w:val="001D114F"/>
    <w:rsid w:val="001D78A5"/>
    <w:rsid w:val="001E0273"/>
    <w:rsid w:val="001E10B6"/>
    <w:rsid w:val="001E16B6"/>
    <w:rsid w:val="001E1880"/>
    <w:rsid w:val="001E2CD4"/>
    <w:rsid w:val="001E417F"/>
    <w:rsid w:val="001E47C8"/>
    <w:rsid w:val="001E5DDD"/>
    <w:rsid w:val="001E6013"/>
    <w:rsid w:val="001E7775"/>
    <w:rsid w:val="001E7A13"/>
    <w:rsid w:val="001E7AFF"/>
    <w:rsid w:val="001F0B71"/>
    <w:rsid w:val="001F17C5"/>
    <w:rsid w:val="001F32B4"/>
    <w:rsid w:val="001F38D6"/>
    <w:rsid w:val="001F4460"/>
    <w:rsid w:val="001F6C8D"/>
    <w:rsid w:val="001F7FCA"/>
    <w:rsid w:val="0020097E"/>
    <w:rsid w:val="002013D2"/>
    <w:rsid w:val="00201A98"/>
    <w:rsid w:val="00201ADA"/>
    <w:rsid w:val="0020281A"/>
    <w:rsid w:val="00202A70"/>
    <w:rsid w:val="00202C13"/>
    <w:rsid w:val="00204D69"/>
    <w:rsid w:val="002060BB"/>
    <w:rsid w:val="00207555"/>
    <w:rsid w:val="002078EE"/>
    <w:rsid w:val="00207D03"/>
    <w:rsid w:val="00207DCC"/>
    <w:rsid w:val="00207EB4"/>
    <w:rsid w:val="002107A5"/>
    <w:rsid w:val="00211AC1"/>
    <w:rsid w:val="00213616"/>
    <w:rsid w:val="002159DE"/>
    <w:rsid w:val="002168DB"/>
    <w:rsid w:val="002202D4"/>
    <w:rsid w:val="00220539"/>
    <w:rsid w:val="00221CCD"/>
    <w:rsid w:val="00226BC4"/>
    <w:rsid w:val="002308C8"/>
    <w:rsid w:val="00231F0C"/>
    <w:rsid w:val="00232F37"/>
    <w:rsid w:val="002347F2"/>
    <w:rsid w:val="0023567E"/>
    <w:rsid w:val="002369C6"/>
    <w:rsid w:val="00237031"/>
    <w:rsid w:val="00240189"/>
    <w:rsid w:val="00240E5B"/>
    <w:rsid w:val="00242B5E"/>
    <w:rsid w:val="00243B3F"/>
    <w:rsid w:val="00244F88"/>
    <w:rsid w:val="00245B5B"/>
    <w:rsid w:val="0025210D"/>
    <w:rsid w:val="0025271E"/>
    <w:rsid w:val="002530E7"/>
    <w:rsid w:val="00254F0F"/>
    <w:rsid w:val="00256167"/>
    <w:rsid w:val="002569CA"/>
    <w:rsid w:val="00261119"/>
    <w:rsid w:val="00264045"/>
    <w:rsid w:val="00264B0C"/>
    <w:rsid w:val="002730F0"/>
    <w:rsid w:val="002740B6"/>
    <w:rsid w:val="00274A83"/>
    <w:rsid w:val="00276C62"/>
    <w:rsid w:val="00277DB7"/>
    <w:rsid w:val="00280FA1"/>
    <w:rsid w:val="00282924"/>
    <w:rsid w:val="00284944"/>
    <w:rsid w:val="00284E3D"/>
    <w:rsid w:val="0028634F"/>
    <w:rsid w:val="002871CE"/>
    <w:rsid w:val="00290A55"/>
    <w:rsid w:val="0029166F"/>
    <w:rsid w:val="00292298"/>
    <w:rsid w:val="00292604"/>
    <w:rsid w:val="00292CA8"/>
    <w:rsid w:val="002934A3"/>
    <w:rsid w:val="002939EA"/>
    <w:rsid w:val="00295AF5"/>
    <w:rsid w:val="002960E8"/>
    <w:rsid w:val="002A0094"/>
    <w:rsid w:val="002A4636"/>
    <w:rsid w:val="002A563F"/>
    <w:rsid w:val="002A6705"/>
    <w:rsid w:val="002A696C"/>
    <w:rsid w:val="002B0DA1"/>
    <w:rsid w:val="002B3869"/>
    <w:rsid w:val="002B5AA0"/>
    <w:rsid w:val="002C05C8"/>
    <w:rsid w:val="002C164D"/>
    <w:rsid w:val="002C281B"/>
    <w:rsid w:val="002C297D"/>
    <w:rsid w:val="002C3ECE"/>
    <w:rsid w:val="002C4C72"/>
    <w:rsid w:val="002C74D1"/>
    <w:rsid w:val="002D003B"/>
    <w:rsid w:val="002D04BA"/>
    <w:rsid w:val="002D1116"/>
    <w:rsid w:val="002D4324"/>
    <w:rsid w:val="002D62FD"/>
    <w:rsid w:val="002D6909"/>
    <w:rsid w:val="002D700A"/>
    <w:rsid w:val="002D73FA"/>
    <w:rsid w:val="002E014E"/>
    <w:rsid w:val="002E0312"/>
    <w:rsid w:val="002E060D"/>
    <w:rsid w:val="002E1C7C"/>
    <w:rsid w:val="002E442A"/>
    <w:rsid w:val="002E46D7"/>
    <w:rsid w:val="002E5FA9"/>
    <w:rsid w:val="002E6ACF"/>
    <w:rsid w:val="002F1053"/>
    <w:rsid w:val="002F1A78"/>
    <w:rsid w:val="002F1F57"/>
    <w:rsid w:val="002F205C"/>
    <w:rsid w:val="002F4626"/>
    <w:rsid w:val="002F54E2"/>
    <w:rsid w:val="002F620C"/>
    <w:rsid w:val="00300E59"/>
    <w:rsid w:val="00300FB4"/>
    <w:rsid w:val="00301D3E"/>
    <w:rsid w:val="0031072A"/>
    <w:rsid w:val="003126E0"/>
    <w:rsid w:val="00312C9A"/>
    <w:rsid w:val="00313E7C"/>
    <w:rsid w:val="00313EE8"/>
    <w:rsid w:val="00315C13"/>
    <w:rsid w:val="00316B95"/>
    <w:rsid w:val="00317342"/>
    <w:rsid w:val="003174AE"/>
    <w:rsid w:val="003176D2"/>
    <w:rsid w:val="00321041"/>
    <w:rsid w:val="00323956"/>
    <w:rsid w:val="00326651"/>
    <w:rsid w:val="003266ED"/>
    <w:rsid w:val="00326B1F"/>
    <w:rsid w:val="00326D7B"/>
    <w:rsid w:val="00326ECA"/>
    <w:rsid w:val="003276CB"/>
    <w:rsid w:val="00327E36"/>
    <w:rsid w:val="00330789"/>
    <w:rsid w:val="00330AAD"/>
    <w:rsid w:val="00330B7A"/>
    <w:rsid w:val="00332480"/>
    <w:rsid w:val="00332BD8"/>
    <w:rsid w:val="003347D7"/>
    <w:rsid w:val="0034061B"/>
    <w:rsid w:val="003428AB"/>
    <w:rsid w:val="00342E4D"/>
    <w:rsid w:val="00344E01"/>
    <w:rsid w:val="00346C42"/>
    <w:rsid w:val="00353E62"/>
    <w:rsid w:val="00355FB5"/>
    <w:rsid w:val="00357C6E"/>
    <w:rsid w:val="0036027B"/>
    <w:rsid w:val="00362E02"/>
    <w:rsid w:val="00363871"/>
    <w:rsid w:val="003642AF"/>
    <w:rsid w:val="00364AA4"/>
    <w:rsid w:val="00366136"/>
    <w:rsid w:val="0036699B"/>
    <w:rsid w:val="003669A9"/>
    <w:rsid w:val="00366A39"/>
    <w:rsid w:val="003703AC"/>
    <w:rsid w:val="00371AA6"/>
    <w:rsid w:val="0037347D"/>
    <w:rsid w:val="0037355F"/>
    <w:rsid w:val="00374740"/>
    <w:rsid w:val="003759E5"/>
    <w:rsid w:val="0037795E"/>
    <w:rsid w:val="00381549"/>
    <w:rsid w:val="003837D4"/>
    <w:rsid w:val="00383836"/>
    <w:rsid w:val="003845B6"/>
    <w:rsid w:val="003845C3"/>
    <w:rsid w:val="0038579C"/>
    <w:rsid w:val="00391B4B"/>
    <w:rsid w:val="003926B8"/>
    <w:rsid w:val="00392CCF"/>
    <w:rsid w:val="0039449D"/>
    <w:rsid w:val="00396FB1"/>
    <w:rsid w:val="003A53C6"/>
    <w:rsid w:val="003B09DF"/>
    <w:rsid w:val="003B4341"/>
    <w:rsid w:val="003B46F1"/>
    <w:rsid w:val="003B4A39"/>
    <w:rsid w:val="003B4F99"/>
    <w:rsid w:val="003B68C1"/>
    <w:rsid w:val="003B794F"/>
    <w:rsid w:val="003C0995"/>
    <w:rsid w:val="003C099E"/>
    <w:rsid w:val="003C13E6"/>
    <w:rsid w:val="003C1DAD"/>
    <w:rsid w:val="003C27A0"/>
    <w:rsid w:val="003C3C71"/>
    <w:rsid w:val="003C46F4"/>
    <w:rsid w:val="003C68EB"/>
    <w:rsid w:val="003C7512"/>
    <w:rsid w:val="003D025C"/>
    <w:rsid w:val="003D0485"/>
    <w:rsid w:val="003D0B55"/>
    <w:rsid w:val="003D1457"/>
    <w:rsid w:val="003D1CC4"/>
    <w:rsid w:val="003D381C"/>
    <w:rsid w:val="003D3A5B"/>
    <w:rsid w:val="003D665C"/>
    <w:rsid w:val="003E04A6"/>
    <w:rsid w:val="003E0593"/>
    <w:rsid w:val="003E326F"/>
    <w:rsid w:val="003E7B4E"/>
    <w:rsid w:val="003E7D52"/>
    <w:rsid w:val="003F1604"/>
    <w:rsid w:val="003F1C82"/>
    <w:rsid w:val="003F25F9"/>
    <w:rsid w:val="003F28B9"/>
    <w:rsid w:val="003F4485"/>
    <w:rsid w:val="003F49A7"/>
    <w:rsid w:val="003F5490"/>
    <w:rsid w:val="003F710F"/>
    <w:rsid w:val="003F7AC9"/>
    <w:rsid w:val="004001E6"/>
    <w:rsid w:val="00400964"/>
    <w:rsid w:val="00401ED3"/>
    <w:rsid w:val="00402115"/>
    <w:rsid w:val="00402207"/>
    <w:rsid w:val="00402927"/>
    <w:rsid w:val="00403888"/>
    <w:rsid w:val="004039BE"/>
    <w:rsid w:val="00405569"/>
    <w:rsid w:val="00410136"/>
    <w:rsid w:val="00411499"/>
    <w:rsid w:val="00411F89"/>
    <w:rsid w:val="00414B79"/>
    <w:rsid w:val="0041560C"/>
    <w:rsid w:val="00415DB6"/>
    <w:rsid w:val="0041659F"/>
    <w:rsid w:val="00416D61"/>
    <w:rsid w:val="00417273"/>
    <w:rsid w:val="00417734"/>
    <w:rsid w:val="00420593"/>
    <w:rsid w:val="00423CC1"/>
    <w:rsid w:val="004303CF"/>
    <w:rsid w:val="004307F3"/>
    <w:rsid w:val="0043096E"/>
    <w:rsid w:val="004309E5"/>
    <w:rsid w:val="004319E5"/>
    <w:rsid w:val="00432499"/>
    <w:rsid w:val="00434C51"/>
    <w:rsid w:val="004373F0"/>
    <w:rsid w:val="00441EDD"/>
    <w:rsid w:val="00444427"/>
    <w:rsid w:val="00446428"/>
    <w:rsid w:val="0044749F"/>
    <w:rsid w:val="004503B0"/>
    <w:rsid w:val="00450B75"/>
    <w:rsid w:val="00452F5D"/>
    <w:rsid w:val="0045555F"/>
    <w:rsid w:val="00455A77"/>
    <w:rsid w:val="00461514"/>
    <w:rsid w:val="004625EA"/>
    <w:rsid w:val="0046772D"/>
    <w:rsid w:val="00467AB6"/>
    <w:rsid w:val="004708E7"/>
    <w:rsid w:val="00472394"/>
    <w:rsid w:val="00473E24"/>
    <w:rsid w:val="004742B7"/>
    <w:rsid w:val="0047658A"/>
    <w:rsid w:val="004776AA"/>
    <w:rsid w:val="0047783E"/>
    <w:rsid w:val="00481777"/>
    <w:rsid w:val="00484F5F"/>
    <w:rsid w:val="004850DF"/>
    <w:rsid w:val="004854E1"/>
    <w:rsid w:val="00486154"/>
    <w:rsid w:val="00486562"/>
    <w:rsid w:val="00486D3D"/>
    <w:rsid w:val="004906F5"/>
    <w:rsid w:val="00490BC9"/>
    <w:rsid w:val="0049217F"/>
    <w:rsid w:val="00494824"/>
    <w:rsid w:val="004956CF"/>
    <w:rsid w:val="0049629B"/>
    <w:rsid w:val="004962FE"/>
    <w:rsid w:val="004A0CC3"/>
    <w:rsid w:val="004A2043"/>
    <w:rsid w:val="004A2227"/>
    <w:rsid w:val="004A2B77"/>
    <w:rsid w:val="004A2D3A"/>
    <w:rsid w:val="004A3E2A"/>
    <w:rsid w:val="004B1894"/>
    <w:rsid w:val="004B28E7"/>
    <w:rsid w:val="004B2C16"/>
    <w:rsid w:val="004B2D49"/>
    <w:rsid w:val="004B60E6"/>
    <w:rsid w:val="004B7B4F"/>
    <w:rsid w:val="004C1F50"/>
    <w:rsid w:val="004C277B"/>
    <w:rsid w:val="004C3CB8"/>
    <w:rsid w:val="004C587C"/>
    <w:rsid w:val="004C72FD"/>
    <w:rsid w:val="004C7AD6"/>
    <w:rsid w:val="004D3B04"/>
    <w:rsid w:val="004D42E2"/>
    <w:rsid w:val="004D5C5C"/>
    <w:rsid w:val="004D71B6"/>
    <w:rsid w:val="004D7316"/>
    <w:rsid w:val="004D7B38"/>
    <w:rsid w:val="004E1F95"/>
    <w:rsid w:val="004E3666"/>
    <w:rsid w:val="004E3F1B"/>
    <w:rsid w:val="004E42E1"/>
    <w:rsid w:val="004E43B1"/>
    <w:rsid w:val="004E46F8"/>
    <w:rsid w:val="004E4A5D"/>
    <w:rsid w:val="004E4C14"/>
    <w:rsid w:val="004E4E1A"/>
    <w:rsid w:val="004E5230"/>
    <w:rsid w:val="004E5677"/>
    <w:rsid w:val="004E6F65"/>
    <w:rsid w:val="004F01A7"/>
    <w:rsid w:val="004F09AA"/>
    <w:rsid w:val="004F0DDC"/>
    <w:rsid w:val="004F0EF4"/>
    <w:rsid w:val="004F15AF"/>
    <w:rsid w:val="004F1C1E"/>
    <w:rsid w:val="004F34AB"/>
    <w:rsid w:val="004F3745"/>
    <w:rsid w:val="004F383E"/>
    <w:rsid w:val="004F5BB9"/>
    <w:rsid w:val="004F5C83"/>
    <w:rsid w:val="004F60C9"/>
    <w:rsid w:val="004F6751"/>
    <w:rsid w:val="004F6BF4"/>
    <w:rsid w:val="004F72A1"/>
    <w:rsid w:val="004F72CB"/>
    <w:rsid w:val="004F7F86"/>
    <w:rsid w:val="005004B5"/>
    <w:rsid w:val="00500622"/>
    <w:rsid w:val="00500FF0"/>
    <w:rsid w:val="005016EE"/>
    <w:rsid w:val="0050626F"/>
    <w:rsid w:val="0051082D"/>
    <w:rsid w:val="005119C9"/>
    <w:rsid w:val="005122E5"/>
    <w:rsid w:val="0051393E"/>
    <w:rsid w:val="00515402"/>
    <w:rsid w:val="005154D8"/>
    <w:rsid w:val="005156B9"/>
    <w:rsid w:val="0051577E"/>
    <w:rsid w:val="00515E7F"/>
    <w:rsid w:val="005176C8"/>
    <w:rsid w:val="00517EFF"/>
    <w:rsid w:val="00520053"/>
    <w:rsid w:val="0052067C"/>
    <w:rsid w:val="00523143"/>
    <w:rsid w:val="00524456"/>
    <w:rsid w:val="00524A12"/>
    <w:rsid w:val="0052506F"/>
    <w:rsid w:val="00525CFE"/>
    <w:rsid w:val="005269DB"/>
    <w:rsid w:val="00526D01"/>
    <w:rsid w:val="005279EF"/>
    <w:rsid w:val="00527B72"/>
    <w:rsid w:val="005324B6"/>
    <w:rsid w:val="005325AA"/>
    <w:rsid w:val="00533D38"/>
    <w:rsid w:val="00534E0E"/>
    <w:rsid w:val="00536290"/>
    <w:rsid w:val="00537D7D"/>
    <w:rsid w:val="00540676"/>
    <w:rsid w:val="005406BB"/>
    <w:rsid w:val="00540743"/>
    <w:rsid w:val="0054131B"/>
    <w:rsid w:val="005428F0"/>
    <w:rsid w:val="005435BB"/>
    <w:rsid w:val="005458C4"/>
    <w:rsid w:val="005470AC"/>
    <w:rsid w:val="005504E4"/>
    <w:rsid w:val="00550D2F"/>
    <w:rsid w:val="00551ADF"/>
    <w:rsid w:val="00551DBA"/>
    <w:rsid w:val="00552553"/>
    <w:rsid w:val="00552F92"/>
    <w:rsid w:val="00554C0C"/>
    <w:rsid w:val="00554D6A"/>
    <w:rsid w:val="00555CCB"/>
    <w:rsid w:val="005568BB"/>
    <w:rsid w:val="00557449"/>
    <w:rsid w:val="00563025"/>
    <w:rsid w:val="005633E4"/>
    <w:rsid w:val="005639FB"/>
    <w:rsid w:val="005669C0"/>
    <w:rsid w:val="00566B75"/>
    <w:rsid w:val="00567F96"/>
    <w:rsid w:val="00572885"/>
    <w:rsid w:val="005729E3"/>
    <w:rsid w:val="00572DCB"/>
    <w:rsid w:val="00573254"/>
    <w:rsid w:val="00573904"/>
    <w:rsid w:val="00573CE1"/>
    <w:rsid w:val="00574701"/>
    <w:rsid w:val="0057636C"/>
    <w:rsid w:val="00576FED"/>
    <w:rsid w:val="0057750B"/>
    <w:rsid w:val="0058114E"/>
    <w:rsid w:val="00581163"/>
    <w:rsid w:val="005815BD"/>
    <w:rsid w:val="005841A7"/>
    <w:rsid w:val="00585ADC"/>
    <w:rsid w:val="005869AE"/>
    <w:rsid w:val="005873CE"/>
    <w:rsid w:val="005913A6"/>
    <w:rsid w:val="005931B8"/>
    <w:rsid w:val="005950D5"/>
    <w:rsid w:val="00595EDB"/>
    <w:rsid w:val="005969FE"/>
    <w:rsid w:val="005A0D6B"/>
    <w:rsid w:val="005A1595"/>
    <w:rsid w:val="005A3BB2"/>
    <w:rsid w:val="005A7A52"/>
    <w:rsid w:val="005A7C9E"/>
    <w:rsid w:val="005B2558"/>
    <w:rsid w:val="005B46EB"/>
    <w:rsid w:val="005B6D85"/>
    <w:rsid w:val="005C1E8F"/>
    <w:rsid w:val="005C3102"/>
    <w:rsid w:val="005C34C3"/>
    <w:rsid w:val="005C469A"/>
    <w:rsid w:val="005C4EEE"/>
    <w:rsid w:val="005C538C"/>
    <w:rsid w:val="005C6D37"/>
    <w:rsid w:val="005D036F"/>
    <w:rsid w:val="005D0414"/>
    <w:rsid w:val="005D2562"/>
    <w:rsid w:val="005D257A"/>
    <w:rsid w:val="005D330F"/>
    <w:rsid w:val="005D36BD"/>
    <w:rsid w:val="005D4328"/>
    <w:rsid w:val="005D4FAA"/>
    <w:rsid w:val="005D6A31"/>
    <w:rsid w:val="005D6B31"/>
    <w:rsid w:val="005E06A7"/>
    <w:rsid w:val="005E1FA3"/>
    <w:rsid w:val="005E6207"/>
    <w:rsid w:val="005E6B9C"/>
    <w:rsid w:val="005F04F5"/>
    <w:rsid w:val="005F1F6A"/>
    <w:rsid w:val="005F2884"/>
    <w:rsid w:val="005F394A"/>
    <w:rsid w:val="005F449D"/>
    <w:rsid w:val="005F4DDA"/>
    <w:rsid w:val="005F4FBD"/>
    <w:rsid w:val="005F7073"/>
    <w:rsid w:val="005F7F4F"/>
    <w:rsid w:val="00605D73"/>
    <w:rsid w:val="00610628"/>
    <w:rsid w:val="006113CB"/>
    <w:rsid w:val="006126E1"/>
    <w:rsid w:val="00613A4E"/>
    <w:rsid w:val="00613E27"/>
    <w:rsid w:val="00613EDF"/>
    <w:rsid w:val="00614224"/>
    <w:rsid w:val="00614599"/>
    <w:rsid w:val="006153A7"/>
    <w:rsid w:val="006200E7"/>
    <w:rsid w:val="006207EF"/>
    <w:rsid w:val="00623A84"/>
    <w:rsid w:val="00625D83"/>
    <w:rsid w:val="00626A16"/>
    <w:rsid w:val="00626DA7"/>
    <w:rsid w:val="00626E96"/>
    <w:rsid w:val="006271DB"/>
    <w:rsid w:val="006304F6"/>
    <w:rsid w:val="00630A02"/>
    <w:rsid w:val="00631103"/>
    <w:rsid w:val="0063177C"/>
    <w:rsid w:val="00634EB3"/>
    <w:rsid w:val="00634EB8"/>
    <w:rsid w:val="006359F0"/>
    <w:rsid w:val="006405B3"/>
    <w:rsid w:val="006406F9"/>
    <w:rsid w:val="00640B8C"/>
    <w:rsid w:val="0064137D"/>
    <w:rsid w:val="006421B1"/>
    <w:rsid w:val="00642CDA"/>
    <w:rsid w:val="0064314F"/>
    <w:rsid w:val="00643575"/>
    <w:rsid w:val="0064377A"/>
    <w:rsid w:val="00644787"/>
    <w:rsid w:val="00647C2B"/>
    <w:rsid w:val="00652DAE"/>
    <w:rsid w:val="00653510"/>
    <w:rsid w:val="0065369E"/>
    <w:rsid w:val="00653D43"/>
    <w:rsid w:val="0065563B"/>
    <w:rsid w:val="00657169"/>
    <w:rsid w:val="00657F55"/>
    <w:rsid w:val="0066127C"/>
    <w:rsid w:val="00662E22"/>
    <w:rsid w:val="00663F0A"/>
    <w:rsid w:val="00665F1C"/>
    <w:rsid w:val="00666057"/>
    <w:rsid w:val="0066700E"/>
    <w:rsid w:val="00667527"/>
    <w:rsid w:val="006700A0"/>
    <w:rsid w:val="006705DF"/>
    <w:rsid w:val="0067151B"/>
    <w:rsid w:val="00671E6A"/>
    <w:rsid w:val="0067353A"/>
    <w:rsid w:val="006739CF"/>
    <w:rsid w:val="0067601E"/>
    <w:rsid w:val="00676BC5"/>
    <w:rsid w:val="006771DB"/>
    <w:rsid w:val="00680725"/>
    <w:rsid w:val="00684132"/>
    <w:rsid w:val="006848C2"/>
    <w:rsid w:val="006849B6"/>
    <w:rsid w:val="00685903"/>
    <w:rsid w:val="00685E29"/>
    <w:rsid w:val="006869CD"/>
    <w:rsid w:val="00686E23"/>
    <w:rsid w:val="00686EBD"/>
    <w:rsid w:val="0069058F"/>
    <w:rsid w:val="0069217C"/>
    <w:rsid w:val="006943FB"/>
    <w:rsid w:val="00694BF6"/>
    <w:rsid w:val="00696BA2"/>
    <w:rsid w:val="006A176C"/>
    <w:rsid w:val="006A2CC7"/>
    <w:rsid w:val="006A3160"/>
    <w:rsid w:val="006A341D"/>
    <w:rsid w:val="006A5A43"/>
    <w:rsid w:val="006A6279"/>
    <w:rsid w:val="006A74E9"/>
    <w:rsid w:val="006A7F0E"/>
    <w:rsid w:val="006B1ADC"/>
    <w:rsid w:val="006B1FDE"/>
    <w:rsid w:val="006B3355"/>
    <w:rsid w:val="006B337D"/>
    <w:rsid w:val="006B4569"/>
    <w:rsid w:val="006B4F4A"/>
    <w:rsid w:val="006C1AA2"/>
    <w:rsid w:val="006C1ED2"/>
    <w:rsid w:val="006C3720"/>
    <w:rsid w:val="006C3F8B"/>
    <w:rsid w:val="006C55C1"/>
    <w:rsid w:val="006C56AD"/>
    <w:rsid w:val="006C67E3"/>
    <w:rsid w:val="006C6BA3"/>
    <w:rsid w:val="006D0F96"/>
    <w:rsid w:val="006D109A"/>
    <w:rsid w:val="006D14B8"/>
    <w:rsid w:val="006D158B"/>
    <w:rsid w:val="006D1C8E"/>
    <w:rsid w:val="006D1D12"/>
    <w:rsid w:val="006D3A89"/>
    <w:rsid w:val="006D46F4"/>
    <w:rsid w:val="006D776C"/>
    <w:rsid w:val="006E1EB2"/>
    <w:rsid w:val="006E5762"/>
    <w:rsid w:val="006E5A86"/>
    <w:rsid w:val="006E6E08"/>
    <w:rsid w:val="006F27DC"/>
    <w:rsid w:val="006F34AA"/>
    <w:rsid w:val="006F34D6"/>
    <w:rsid w:val="006F4AAE"/>
    <w:rsid w:val="006F5B0B"/>
    <w:rsid w:val="006F6B45"/>
    <w:rsid w:val="00700F91"/>
    <w:rsid w:val="007017F1"/>
    <w:rsid w:val="00701B66"/>
    <w:rsid w:val="00702148"/>
    <w:rsid w:val="00703A54"/>
    <w:rsid w:val="007055AF"/>
    <w:rsid w:val="00711849"/>
    <w:rsid w:val="00712D2C"/>
    <w:rsid w:val="00712E92"/>
    <w:rsid w:val="00712FC9"/>
    <w:rsid w:val="00714186"/>
    <w:rsid w:val="00714D1C"/>
    <w:rsid w:val="00714E0D"/>
    <w:rsid w:val="00715302"/>
    <w:rsid w:val="00715F5E"/>
    <w:rsid w:val="007163D2"/>
    <w:rsid w:val="00717551"/>
    <w:rsid w:val="007175E5"/>
    <w:rsid w:val="00717A19"/>
    <w:rsid w:val="00717CB0"/>
    <w:rsid w:val="00717CC9"/>
    <w:rsid w:val="007200DD"/>
    <w:rsid w:val="00720601"/>
    <w:rsid w:val="007214A4"/>
    <w:rsid w:val="00721D4E"/>
    <w:rsid w:val="00722B70"/>
    <w:rsid w:val="00726F05"/>
    <w:rsid w:val="00727319"/>
    <w:rsid w:val="00727EFD"/>
    <w:rsid w:val="00733227"/>
    <w:rsid w:val="007352B4"/>
    <w:rsid w:val="0073643C"/>
    <w:rsid w:val="00736853"/>
    <w:rsid w:val="00736BE1"/>
    <w:rsid w:val="0074005B"/>
    <w:rsid w:val="0074134A"/>
    <w:rsid w:val="00741751"/>
    <w:rsid w:val="00745731"/>
    <w:rsid w:val="0074682F"/>
    <w:rsid w:val="00750538"/>
    <w:rsid w:val="007517AD"/>
    <w:rsid w:val="0075258A"/>
    <w:rsid w:val="00752D9B"/>
    <w:rsid w:val="0075420F"/>
    <w:rsid w:val="00754790"/>
    <w:rsid w:val="00755872"/>
    <w:rsid w:val="00755B3A"/>
    <w:rsid w:val="00755EBD"/>
    <w:rsid w:val="00756F1F"/>
    <w:rsid w:val="007602B7"/>
    <w:rsid w:val="00760FEE"/>
    <w:rsid w:val="00761D35"/>
    <w:rsid w:val="00764234"/>
    <w:rsid w:val="00765458"/>
    <w:rsid w:val="00766410"/>
    <w:rsid w:val="00766AA4"/>
    <w:rsid w:val="0076772E"/>
    <w:rsid w:val="00767D39"/>
    <w:rsid w:val="00770B9A"/>
    <w:rsid w:val="00770F0E"/>
    <w:rsid w:val="00772A46"/>
    <w:rsid w:val="007739B4"/>
    <w:rsid w:val="0077524B"/>
    <w:rsid w:val="00775484"/>
    <w:rsid w:val="0077606E"/>
    <w:rsid w:val="00777EE6"/>
    <w:rsid w:val="007823B8"/>
    <w:rsid w:val="00783AF2"/>
    <w:rsid w:val="00783D76"/>
    <w:rsid w:val="007861F7"/>
    <w:rsid w:val="00786B7A"/>
    <w:rsid w:val="007910BF"/>
    <w:rsid w:val="00791B63"/>
    <w:rsid w:val="007921C7"/>
    <w:rsid w:val="00793F73"/>
    <w:rsid w:val="007942D1"/>
    <w:rsid w:val="00794488"/>
    <w:rsid w:val="00796FE5"/>
    <w:rsid w:val="007A1029"/>
    <w:rsid w:val="007A1C68"/>
    <w:rsid w:val="007A6AD7"/>
    <w:rsid w:val="007A6FD4"/>
    <w:rsid w:val="007A78B4"/>
    <w:rsid w:val="007B0778"/>
    <w:rsid w:val="007B0BD8"/>
    <w:rsid w:val="007B22F0"/>
    <w:rsid w:val="007B25BC"/>
    <w:rsid w:val="007B58E1"/>
    <w:rsid w:val="007B5C3A"/>
    <w:rsid w:val="007B5DF2"/>
    <w:rsid w:val="007C049D"/>
    <w:rsid w:val="007C2B18"/>
    <w:rsid w:val="007C48A3"/>
    <w:rsid w:val="007C4EAC"/>
    <w:rsid w:val="007C70DD"/>
    <w:rsid w:val="007C75EF"/>
    <w:rsid w:val="007C7653"/>
    <w:rsid w:val="007D065C"/>
    <w:rsid w:val="007D0B03"/>
    <w:rsid w:val="007D166F"/>
    <w:rsid w:val="007D2013"/>
    <w:rsid w:val="007D27E9"/>
    <w:rsid w:val="007D4D2D"/>
    <w:rsid w:val="007D56BA"/>
    <w:rsid w:val="007D7059"/>
    <w:rsid w:val="007E0E1F"/>
    <w:rsid w:val="007E227B"/>
    <w:rsid w:val="007E340F"/>
    <w:rsid w:val="007E3AB3"/>
    <w:rsid w:val="007E3C35"/>
    <w:rsid w:val="007E43F0"/>
    <w:rsid w:val="007E5C72"/>
    <w:rsid w:val="007F08C6"/>
    <w:rsid w:val="007F35CE"/>
    <w:rsid w:val="007F5759"/>
    <w:rsid w:val="007F5A0E"/>
    <w:rsid w:val="007F7E7B"/>
    <w:rsid w:val="008005D2"/>
    <w:rsid w:val="00800F37"/>
    <w:rsid w:val="00800FF9"/>
    <w:rsid w:val="0080719D"/>
    <w:rsid w:val="008079DA"/>
    <w:rsid w:val="0081092F"/>
    <w:rsid w:val="008114FD"/>
    <w:rsid w:val="008129C2"/>
    <w:rsid w:val="00813730"/>
    <w:rsid w:val="008143EE"/>
    <w:rsid w:val="00814541"/>
    <w:rsid w:val="00816B69"/>
    <w:rsid w:val="00817CEF"/>
    <w:rsid w:val="0082077F"/>
    <w:rsid w:val="008224C0"/>
    <w:rsid w:val="00823CFA"/>
    <w:rsid w:val="00823E50"/>
    <w:rsid w:val="0082421C"/>
    <w:rsid w:val="0082476E"/>
    <w:rsid w:val="008252EF"/>
    <w:rsid w:val="0082531A"/>
    <w:rsid w:val="00826F8B"/>
    <w:rsid w:val="00827226"/>
    <w:rsid w:val="00827B34"/>
    <w:rsid w:val="00827E6E"/>
    <w:rsid w:val="00831894"/>
    <w:rsid w:val="008334B4"/>
    <w:rsid w:val="008337DE"/>
    <w:rsid w:val="008343DB"/>
    <w:rsid w:val="0083498A"/>
    <w:rsid w:val="008352EE"/>
    <w:rsid w:val="00835702"/>
    <w:rsid w:val="00837114"/>
    <w:rsid w:val="00840CFC"/>
    <w:rsid w:val="00842CE5"/>
    <w:rsid w:val="00842EAD"/>
    <w:rsid w:val="00843AE9"/>
    <w:rsid w:val="00844B9A"/>
    <w:rsid w:val="0084528E"/>
    <w:rsid w:val="008457E8"/>
    <w:rsid w:val="008469A8"/>
    <w:rsid w:val="00846CF9"/>
    <w:rsid w:val="008471FA"/>
    <w:rsid w:val="00850463"/>
    <w:rsid w:val="008535B4"/>
    <w:rsid w:val="00856496"/>
    <w:rsid w:val="0085788A"/>
    <w:rsid w:val="00860CB8"/>
    <w:rsid w:val="00863608"/>
    <w:rsid w:val="00863711"/>
    <w:rsid w:val="00863F0E"/>
    <w:rsid w:val="00867881"/>
    <w:rsid w:val="00867BF4"/>
    <w:rsid w:val="00871647"/>
    <w:rsid w:val="00871ED5"/>
    <w:rsid w:val="00872570"/>
    <w:rsid w:val="0087277E"/>
    <w:rsid w:val="008731E8"/>
    <w:rsid w:val="0087336D"/>
    <w:rsid w:val="00873392"/>
    <w:rsid w:val="00873A31"/>
    <w:rsid w:val="00873D9A"/>
    <w:rsid w:val="008745FF"/>
    <w:rsid w:val="008755F3"/>
    <w:rsid w:val="008776EB"/>
    <w:rsid w:val="00877B60"/>
    <w:rsid w:val="0088058E"/>
    <w:rsid w:val="008807D6"/>
    <w:rsid w:val="0088137F"/>
    <w:rsid w:val="008825B5"/>
    <w:rsid w:val="00883FF5"/>
    <w:rsid w:val="00884918"/>
    <w:rsid w:val="008910ED"/>
    <w:rsid w:val="00891D0B"/>
    <w:rsid w:val="00893211"/>
    <w:rsid w:val="00897F50"/>
    <w:rsid w:val="008A09D6"/>
    <w:rsid w:val="008A3B4F"/>
    <w:rsid w:val="008A4498"/>
    <w:rsid w:val="008A5BF6"/>
    <w:rsid w:val="008B31D0"/>
    <w:rsid w:val="008B33B2"/>
    <w:rsid w:val="008B5E6F"/>
    <w:rsid w:val="008B61BE"/>
    <w:rsid w:val="008B74BC"/>
    <w:rsid w:val="008B79C8"/>
    <w:rsid w:val="008B7FE1"/>
    <w:rsid w:val="008C1A22"/>
    <w:rsid w:val="008C41C4"/>
    <w:rsid w:val="008C4B49"/>
    <w:rsid w:val="008C54AD"/>
    <w:rsid w:val="008C615C"/>
    <w:rsid w:val="008C77F8"/>
    <w:rsid w:val="008D05A1"/>
    <w:rsid w:val="008D0A8A"/>
    <w:rsid w:val="008D1239"/>
    <w:rsid w:val="008D131D"/>
    <w:rsid w:val="008D1515"/>
    <w:rsid w:val="008D17F9"/>
    <w:rsid w:val="008D1C78"/>
    <w:rsid w:val="008D4F57"/>
    <w:rsid w:val="008D6DF1"/>
    <w:rsid w:val="008D79AE"/>
    <w:rsid w:val="008E0222"/>
    <w:rsid w:val="008E194D"/>
    <w:rsid w:val="008E2217"/>
    <w:rsid w:val="008E306F"/>
    <w:rsid w:val="008E450A"/>
    <w:rsid w:val="008E5D14"/>
    <w:rsid w:val="008E72F5"/>
    <w:rsid w:val="008E7A0C"/>
    <w:rsid w:val="008E7C39"/>
    <w:rsid w:val="008F0E8A"/>
    <w:rsid w:val="008F240A"/>
    <w:rsid w:val="008F2C14"/>
    <w:rsid w:val="008F591B"/>
    <w:rsid w:val="008F5B25"/>
    <w:rsid w:val="00901356"/>
    <w:rsid w:val="00901ED2"/>
    <w:rsid w:val="009104D6"/>
    <w:rsid w:val="0091191B"/>
    <w:rsid w:val="009158DD"/>
    <w:rsid w:val="009161D2"/>
    <w:rsid w:val="00916326"/>
    <w:rsid w:val="00916F2C"/>
    <w:rsid w:val="00921005"/>
    <w:rsid w:val="009247E8"/>
    <w:rsid w:val="009254A7"/>
    <w:rsid w:val="00925AA0"/>
    <w:rsid w:val="00925FE0"/>
    <w:rsid w:val="0092665E"/>
    <w:rsid w:val="009307D1"/>
    <w:rsid w:val="009318CC"/>
    <w:rsid w:val="00931EA0"/>
    <w:rsid w:val="00933524"/>
    <w:rsid w:val="00934FC1"/>
    <w:rsid w:val="009423B8"/>
    <w:rsid w:val="00943DF1"/>
    <w:rsid w:val="00944200"/>
    <w:rsid w:val="00946FC5"/>
    <w:rsid w:val="00951293"/>
    <w:rsid w:val="00952405"/>
    <w:rsid w:val="00952BD1"/>
    <w:rsid w:val="00952E0E"/>
    <w:rsid w:val="0095300E"/>
    <w:rsid w:val="00953334"/>
    <w:rsid w:val="009554C4"/>
    <w:rsid w:val="00955B48"/>
    <w:rsid w:val="00961B47"/>
    <w:rsid w:val="00961C7B"/>
    <w:rsid w:val="00962F60"/>
    <w:rsid w:val="00963150"/>
    <w:rsid w:val="0096382E"/>
    <w:rsid w:val="00966EB7"/>
    <w:rsid w:val="00970051"/>
    <w:rsid w:val="009704E4"/>
    <w:rsid w:val="009705D5"/>
    <w:rsid w:val="0097189D"/>
    <w:rsid w:val="00971F57"/>
    <w:rsid w:val="0097297D"/>
    <w:rsid w:val="00973C62"/>
    <w:rsid w:val="00973F97"/>
    <w:rsid w:val="00977124"/>
    <w:rsid w:val="00977F20"/>
    <w:rsid w:val="009811F4"/>
    <w:rsid w:val="009820D9"/>
    <w:rsid w:val="00982D7A"/>
    <w:rsid w:val="0098382B"/>
    <w:rsid w:val="00983B2E"/>
    <w:rsid w:val="00983B56"/>
    <w:rsid w:val="00986100"/>
    <w:rsid w:val="009865DA"/>
    <w:rsid w:val="00990B66"/>
    <w:rsid w:val="009922AB"/>
    <w:rsid w:val="00993527"/>
    <w:rsid w:val="0099392D"/>
    <w:rsid w:val="009A040B"/>
    <w:rsid w:val="009A17E9"/>
    <w:rsid w:val="009A1D3C"/>
    <w:rsid w:val="009A3D7A"/>
    <w:rsid w:val="009A4B5F"/>
    <w:rsid w:val="009A510C"/>
    <w:rsid w:val="009A521A"/>
    <w:rsid w:val="009A749E"/>
    <w:rsid w:val="009A7FFE"/>
    <w:rsid w:val="009B0F3C"/>
    <w:rsid w:val="009B1719"/>
    <w:rsid w:val="009B3A42"/>
    <w:rsid w:val="009B466F"/>
    <w:rsid w:val="009B54C9"/>
    <w:rsid w:val="009B6239"/>
    <w:rsid w:val="009B6B97"/>
    <w:rsid w:val="009C27C5"/>
    <w:rsid w:val="009C2878"/>
    <w:rsid w:val="009C3520"/>
    <w:rsid w:val="009C3578"/>
    <w:rsid w:val="009C5851"/>
    <w:rsid w:val="009C65AB"/>
    <w:rsid w:val="009C6CA6"/>
    <w:rsid w:val="009C6E69"/>
    <w:rsid w:val="009C7F8D"/>
    <w:rsid w:val="009D0D33"/>
    <w:rsid w:val="009D1DFA"/>
    <w:rsid w:val="009D3EA0"/>
    <w:rsid w:val="009D55D3"/>
    <w:rsid w:val="009D582C"/>
    <w:rsid w:val="009D67D9"/>
    <w:rsid w:val="009D6E45"/>
    <w:rsid w:val="009D7F64"/>
    <w:rsid w:val="009E0016"/>
    <w:rsid w:val="009E0BEA"/>
    <w:rsid w:val="009E1650"/>
    <w:rsid w:val="009E1B77"/>
    <w:rsid w:val="009E291D"/>
    <w:rsid w:val="009E4D70"/>
    <w:rsid w:val="009E4D7E"/>
    <w:rsid w:val="009E5733"/>
    <w:rsid w:val="009E75EE"/>
    <w:rsid w:val="009F1B07"/>
    <w:rsid w:val="009F29A8"/>
    <w:rsid w:val="009F29B7"/>
    <w:rsid w:val="009F59CE"/>
    <w:rsid w:val="009F6278"/>
    <w:rsid w:val="009F6990"/>
    <w:rsid w:val="009F6EDE"/>
    <w:rsid w:val="009F717E"/>
    <w:rsid w:val="009F71A1"/>
    <w:rsid w:val="009F7A22"/>
    <w:rsid w:val="00A00668"/>
    <w:rsid w:val="00A019A3"/>
    <w:rsid w:val="00A01B4F"/>
    <w:rsid w:val="00A04D55"/>
    <w:rsid w:val="00A0532B"/>
    <w:rsid w:val="00A05B23"/>
    <w:rsid w:val="00A06D1F"/>
    <w:rsid w:val="00A07F08"/>
    <w:rsid w:val="00A1236B"/>
    <w:rsid w:val="00A1697A"/>
    <w:rsid w:val="00A1714F"/>
    <w:rsid w:val="00A17939"/>
    <w:rsid w:val="00A27180"/>
    <w:rsid w:val="00A276DD"/>
    <w:rsid w:val="00A30D2C"/>
    <w:rsid w:val="00A30D3E"/>
    <w:rsid w:val="00A33FFD"/>
    <w:rsid w:val="00A34634"/>
    <w:rsid w:val="00A34E12"/>
    <w:rsid w:val="00A37521"/>
    <w:rsid w:val="00A37C38"/>
    <w:rsid w:val="00A37D7A"/>
    <w:rsid w:val="00A37DA4"/>
    <w:rsid w:val="00A40F83"/>
    <w:rsid w:val="00A4230A"/>
    <w:rsid w:val="00A42F03"/>
    <w:rsid w:val="00A44637"/>
    <w:rsid w:val="00A4497E"/>
    <w:rsid w:val="00A45208"/>
    <w:rsid w:val="00A47BCB"/>
    <w:rsid w:val="00A52D63"/>
    <w:rsid w:val="00A54226"/>
    <w:rsid w:val="00A5587B"/>
    <w:rsid w:val="00A61067"/>
    <w:rsid w:val="00A62459"/>
    <w:rsid w:val="00A62476"/>
    <w:rsid w:val="00A62623"/>
    <w:rsid w:val="00A627EA"/>
    <w:rsid w:val="00A62993"/>
    <w:rsid w:val="00A63201"/>
    <w:rsid w:val="00A6422E"/>
    <w:rsid w:val="00A64837"/>
    <w:rsid w:val="00A65BDC"/>
    <w:rsid w:val="00A66D2B"/>
    <w:rsid w:val="00A67623"/>
    <w:rsid w:val="00A67F80"/>
    <w:rsid w:val="00A70285"/>
    <w:rsid w:val="00A706F8"/>
    <w:rsid w:val="00A71F29"/>
    <w:rsid w:val="00A71FB7"/>
    <w:rsid w:val="00A724CD"/>
    <w:rsid w:val="00A7396D"/>
    <w:rsid w:val="00A74563"/>
    <w:rsid w:val="00A74B91"/>
    <w:rsid w:val="00A75517"/>
    <w:rsid w:val="00A765B1"/>
    <w:rsid w:val="00A81273"/>
    <w:rsid w:val="00A82621"/>
    <w:rsid w:val="00A83D93"/>
    <w:rsid w:val="00A84D0B"/>
    <w:rsid w:val="00A8627E"/>
    <w:rsid w:val="00A90431"/>
    <w:rsid w:val="00A9154E"/>
    <w:rsid w:val="00A91B3D"/>
    <w:rsid w:val="00A93480"/>
    <w:rsid w:val="00A93B12"/>
    <w:rsid w:val="00A951B1"/>
    <w:rsid w:val="00A962A7"/>
    <w:rsid w:val="00A977DF"/>
    <w:rsid w:val="00AA0037"/>
    <w:rsid w:val="00AA044E"/>
    <w:rsid w:val="00AA0C77"/>
    <w:rsid w:val="00AA0F57"/>
    <w:rsid w:val="00AA19C4"/>
    <w:rsid w:val="00AA1DE2"/>
    <w:rsid w:val="00AA2268"/>
    <w:rsid w:val="00AA45D6"/>
    <w:rsid w:val="00AA4DD3"/>
    <w:rsid w:val="00AA4DDC"/>
    <w:rsid w:val="00AB2802"/>
    <w:rsid w:val="00AB2859"/>
    <w:rsid w:val="00AB36AE"/>
    <w:rsid w:val="00AB57D4"/>
    <w:rsid w:val="00AB66E7"/>
    <w:rsid w:val="00AB7FC8"/>
    <w:rsid w:val="00AC0801"/>
    <w:rsid w:val="00AC0E38"/>
    <w:rsid w:val="00AC2797"/>
    <w:rsid w:val="00AC5551"/>
    <w:rsid w:val="00AC5BC0"/>
    <w:rsid w:val="00AC65DD"/>
    <w:rsid w:val="00AC781A"/>
    <w:rsid w:val="00AD1750"/>
    <w:rsid w:val="00AD308C"/>
    <w:rsid w:val="00AD3989"/>
    <w:rsid w:val="00AD3D05"/>
    <w:rsid w:val="00AD3EFE"/>
    <w:rsid w:val="00AD460D"/>
    <w:rsid w:val="00AD6AAA"/>
    <w:rsid w:val="00AE07F5"/>
    <w:rsid w:val="00AE134F"/>
    <w:rsid w:val="00AE1E94"/>
    <w:rsid w:val="00AE2EA8"/>
    <w:rsid w:val="00AE3817"/>
    <w:rsid w:val="00AE39E8"/>
    <w:rsid w:val="00AE5874"/>
    <w:rsid w:val="00AE6439"/>
    <w:rsid w:val="00AE6CBB"/>
    <w:rsid w:val="00AF0D02"/>
    <w:rsid w:val="00AF15E7"/>
    <w:rsid w:val="00AF1BF4"/>
    <w:rsid w:val="00AF2257"/>
    <w:rsid w:val="00AF2618"/>
    <w:rsid w:val="00AF2C15"/>
    <w:rsid w:val="00AF2CB9"/>
    <w:rsid w:val="00AF2FBF"/>
    <w:rsid w:val="00AF7640"/>
    <w:rsid w:val="00AF7728"/>
    <w:rsid w:val="00B02DDE"/>
    <w:rsid w:val="00B044A6"/>
    <w:rsid w:val="00B05074"/>
    <w:rsid w:val="00B050E1"/>
    <w:rsid w:val="00B05ECF"/>
    <w:rsid w:val="00B061B3"/>
    <w:rsid w:val="00B10171"/>
    <w:rsid w:val="00B10A1E"/>
    <w:rsid w:val="00B113D1"/>
    <w:rsid w:val="00B12986"/>
    <w:rsid w:val="00B12CC6"/>
    <w:rsid w:val="00B1499E"/>
    <w:rsid w:val="00B16866"/>
    <w:rsid w:val="00B1698F"/>
    <w:rsid w:val="00B16AA4"/>
    <w:rsid w:val="00B173CD"/>
    <w:rsid w:val="00B202BE"/>
    <w:rsid w:val="00B2036E"/>
    <w:rsid w:val="00B21B7B"/>
    <w:rsid w:val="00B2560B"/>
    <w:rsid w:val="00B2631D"/>
    <w:rsid w:val="00B26C38"/>
    <w:rsid w:val="00B27C44"/>
    <w:rsid w:val="00B27C80"/>
    <w:rsid w:val="00B30A7B"/>
    <w:rsid w:val="00B31885"/>
    <w:rsid w:val="00B31DA6"/>
    <w:rsid w:val="00B33EDF"/>
    <w:rsid w:val="00B34A77"/>
    <w:rsid w:val="00B34C4C"/>
    <w:rsid w:val="00B358E1"/>
    <w:rsid w:val="00B3652C"/>
    <w:rsid w:val="00B36ABE"/>
    <w:rsid w:val="00B375A2"/>
    <w:rsid w:val="00B37C04"/>
    <w:rsid w:val="00B406C4"/>
    <w:rsid w:val="00B41FF0"/>
    <w:rsid w:val="00B43972"/>
    <w:rsid w:val="00B44865"/>
    <w:rsid w:val="00B45361"/>
    <w:rsid w:val="00B466A0"/>
    <w:rsid w:val="00B4700D"/>
    <w:rsid w:val="00B5213D"/>
    <w:rsid w:val="00B523D6"/>
    <w:rsid w:val="00B53916"/>
    <w:rsid w:val="00B53F73"/>
    <w:rsid w:val="00B54C2B"/>
    <w:rsid w:val="00B55EC6"/>
    <w:rsid w:val="00B560DE"/>
    <w:rsid w:val="00B57349"/>
    <w:rsid w:val="00B6048C"/>
    <w:rsid w:val="00B60AC0"/>
    <w:rsid w:val="00B6525E"/>
    <w:rsid w:val="00B656A9"/>
    <w:rsid w:val="00B670EE"/>
    <w:rsid w:val="00B67158"/>
    <w:rsid w:val="00B672BC"/>
    <w:rsid w:val="00B7020B"/>
    <w:rsid w:val="00B70C39"/>
    <w:rsid w:val="00B71C33"/>
    <w:rsid w:val="00B71FA0"/>
    <w:rsid w:val="00B720C3"/>
    <w:rsid w:val="00B73B67"/>
    <w:rsid w:val="00B75222"/>
    <w:rsid w:val="00B76DE7"/>
    <w:rsid w:val="00B774F6"/>
    <w:rsid w:val="00B80182"/>
    <w:rsid w:val="00B80CD4"/>
    <w:rsid w:val="00B80F07"/>
    <w:rsid w:val="00B814CC"/>
    <w:rsid w:val="00B81C63"/>
    <w:rsid w:val="00B82660"/>
    <w:rsid w:val="00B82E2D"/>
    <w:rsid w:val="00B83874"/>
    <w:rsid w:val="00B84E36"/>
    <w:rsid w:val="00B85130"/>
    <w:rsid w:val="00B85136"/>
    <w:rsid w:val="00B855C5"/>
    <w:rsid w:val="00B86256"/>
    <w:rsid w:val="00B905F7"/>
    <w:rsid w:val="00B90E02"/>
    <w:rsid w:val="00B918D6"/>
    <w:rsid w:val="00B92A32"/>
    <w:rsid w:val="00B93AAE"/>
    <w:rsid w:val="00B93F97"/>
    <w:rsid w:val="00B96C30"/>
    <w:rsid w:val="00B97D10"/>
    <w:rsid w:val="00BA152E"/>
    <w:rsid w:val="00BA1E49"/>
    <w:rsid w:val="00BA4E04"/>
    <w:rsid w:val="00BA5583"/>
    <w:rsid w:val="00BA6A43"/>
    <w:rsid w:val="00BB1182"/>
    <w:rsid w:val="00BB535D"/>
    <w:rsid w:val="00BB5CDF"/>
    <w:rsid w:val="00BB6693"/>
    <w:rsid w:val="00BB6A4C"/>
    <w:rsid w:val="00BB6AC6"/>
    <w:rsid w:val="00BB756E"/>
    <w:rsid w:val="00BC33F2"/>
    <w:rsid w:val="00BC435B"/>
    <w:rsid w:val="00BC613B"/>
    <w:rsid w:val="00BC77F4"/>
    <w:rsid w:val="00BD04DE"/>
    <w:rsid w:val="00BD1D9C"/>
    <w:rsid w:val="00BD1EBB"/>
    <w:rsid w:val="00BD2644"/>
    <w:rsid w:val="00BD7054"/>
    <w:rsid w:val="00BD7ED1"/>
    <w:rsid w:val="00BE07F6"/>
    <w:rsid w:val="00BE0FF4"/>
    <w:rsid w:val="00BE23D8"/>
    <w:rsid w:val="00BE3060"/>
    <w:rsid w:val="00BE3C5D"/>
    <w:rsid w:val="00BE4D6E"/>
    <w:rsid w:val="00BE552B"/>
    <w:rsid w:val="00BE5B72"/>
    <w:rsid w:val="00BE61E9"/>
    <w:rsid w:val="00BE630B"/>
    <w:rsid w:val="00BE7773"/>
    <w:rsid w:val="00BE7949"/>
    <w:rsid w:val="00BE7B2A"/>
    <w:rsid w:val="00BE7E77"/>
    <w:rsid w:val="00BF0604"/>
    <w:rsid w:val="00BF11BE"/>
    <w:rsid w:val="00BF2C90"/>
    <w:rsid w:val="00BF4AD1"/>
    <w:rsid w:val="00BF4D47"/>
    <w:rsid w:val="00BF583F"/>
    <w:rsid w:val="00BF5C08"/>
    <w:rsid w:val="00BF7BAE"/>
    <w:rsid w:val="00BF7D9D"/>
    <w:rsid w:val="00C0184C"/>
    <w:rsid w:val="00C01D7D"/>
    <w:rsid w:val="00C0214B"/>
    <w:rsid w:val="00C036EB"/>
    <w:rsid w:val="00C03C4B"/>
    <w:rsid w:val="00C06A2F"/>
    <w:rsid w:val="00C06AB5"/>
    <w:rsid w:val="00C0767A"/>
    <w:rsid w:val="00C105C3"/>
    <w:rsid w:val="00C12FC5"/>
    <w:rsid w:val="00C13611"/>
    <w:rsid w:val="00C144A4"/>
    <w:rsid w:val="00C14F5C"/>
    <w:rsid w:val="00C15159"/>
    <w:rsid w:val="00C15F48"/>
    <w:rsid w:val="00C16DC2"/>
    <w:rsid w:val="00C17554"/>
    <w:rsid w:val="00C201F4"/>
    <w:rsid w:val="00C222AC"/>
    <w:rsid w:val="00C222DC"/>
    <w:rsid w:val="00C22F67"/>
    <w:rsid w:val="00C23EAB"/>
    <w:rsid w:val="00C23FA0"/>
    <w:rsid w:val="00C241BA"/>
    <w:rsid w:val="00C25CBE"/>
    <w:rsid w:val="00C25F09"/>
    <w:rsid w:val="00C272A9"/>
    <w:rsid w:val="00C2783E"/>
    <w:rsid w:val="00C27EE3"/>
    <w:rsid w:val="00C379B9"/>
    <w:rsid w:val="00C37E27"/>
    <w:rsid w:val="00C4082C"/>
    <w:rsid w:val="00C4152E"/>
    <w:rsid w:val="00C4156F"/>
    <w:rsid w:val="00C41A7F"/>
    <w:rsid w:val="00C42205"/>
    <w:rsid w:val="00C4265C"/>
    <w:rsid w:val="00C42BF8"/>
    <w:rsid w:val="00C42F14"/>
    <w:rsid w:val="00C46BF7"/>
    <w:rsid w:val="00C46CA9"/>
    <w:rsid w:val="00C50913"/>
    <w:rsid w:val="00C5373B"/>
    <w:rsid w:val="00C53F4F"/>
    <w:rsid w:val="00C542AC"/>
    <w:rsid w:val="00C56E11"/>
    <w:rsid w:val="00C6168F"/>
    <w:rsid w:val="00C627C8"/>
    <w:rsid w:val="00C63181"/>
    <w:rsid w:val="00C65447"/>
    <w:rsid w:val="00C6577E"/>
    <w:rsid w:val="00C66A5B"/>
    <w:rsid w:val="00C67422"/>
    <w:rsid w:val="00C674B2"/>
    <w:rsid w:val="00C67709"/>
    <w:rsid w:val="00C70034"/>
    <w:rsid w:val="00C72264"/>
    <w:rsid w:val="00C75063"/>
    <w:rsid w:val="00C75AA8"/>
    <w:rsid w:val="00C8139F"/>
    <w:rsid w:val="00C81DD1"/>
    <w:rsid w:val="00C820A7"/>
    <w:rsid w:val="00C842E7"/>
    <w:rsid w:val="00C854CA"/>
    <w:rsid w:val="00C8707F"/>
    <w:rsid w:val="00C92700"/>
    <w:rsid w:val="00C92B86"/>
    <w:rsid w:val="00C93BE1"/>
    <w:rsid w:val="00C94911"/>
    <w:rsid w:val="00C96200"/>
    <w:rsid w:val="00C96F37"/>
    <w:rsid w:val="00CA0E51"/>
    <w:rsid w:val="00CA0E59"/>
    <w:rsid w:val="00CA1E06"/>
    <w:rsid w:val="00CA2792"/>
    <w:rsid w:val="00CA2C42"/>
    <w:rsid w:val="00CA4D31"/>
    <w:rsid w:val="00CA55E2"/>
    <w:rsid w:val="00CA599D"/>
    <w:rsid w:val="00CA5ABE"/>
    <w:rsid w:val="00CA75BE"/>
    <w:rsid w:val="00CA76DF"/>
    <w:rsid w:val="00CB17DF"/>
    <w:rsid w:val="00CB2847"/>
    <w:rsid w:val="00CB3307"/>
    <w:rsid w:val="00CB4E9C"/>
    <w:rsid w:val="00CB4F77"/>
    <w:rsid w:val="00CB555C"/>
    <w:rsid w:val="00CB5722"/>
    <w:rsid w:val="00CC1340"/>
    <w:rsid w:val="00CC1F45"/>
    <w:rsid w:val="00CC1F86"/>
    <w:rsid w:val="00CC3F80"/>
    <w:rsid w:val="00CC3F99"/>
    <w:rsid w:val="00CC521A"/>
    <w:rsid w:val="00CC65FE"/>
    <w:rsid w:val="00CC6670"/>
    <w:rsid w:val="00CC67A3"/>
    <w:rsid w:val="00CD0267"/>
    <w:rsid w:val="00CD103C"/>
    <w:rsid w:val="00CD22BB"/>
    <w:rsid w:val="00CD3A4B"/>
    <w:rsid w:val="00CD47BC"/>
    <w:rsid w:val="00CD48E8"/>
    <w:rsid w:val="00CD4BC1"/>
    <w:rsid w:val="00CE106E"/>
    <w:rsid w:val="00CE3729"/>
    <w:rsid w:val="00CE44CD"/>
    <w:rsid w:val="00CE520F"/>
    <w:rsid w:val="00CE56C0"/>
    <w:rsid w:val="00CE61E3"/>
    <w:rsid w:val="00CE710B"/>
    <w:rsid w:val="00CE7BE4"/>
    <w:rsid w:val="00CE7DFD"/>
    <w:rsid w:val="00CF1287"/>
    <w:rsid w:val="00CF1EF5"/>
    <w:rsid w:val="00CF2806"/>
    <w:rsid w:val="00CF2B93"/>
    <w:rsid w:val="00CF4D10"/>
    <w:rsid w:val="00CF5B6B"/>
    <w:rsid w:val="00CF6D6C"/>
    <w:rsid w:val="00CF71D5"/>
    <w:rsid w:val="00D02B32"/>
    <w:rsid w:val="00D02FD7"/>
    <w:rsid w:val="00D05635"/>
    <w:rsid w:val="00D05C0F"/>
    <w:rsid w:val="00D06F4D"/>
    <w:rsid w:val="00D10D7A"/>
    <w:rsid w:val="00D11976"/>
    <w:rsid w:val="00D1388D"/>
    <w:rsid w:val="00D1453B"/>
    <w:rsid w:val="00D17A5A"/>
    <w:rsid w:val="00D23E35"/>
    <w:rsid w:val="00D246D0"/>
    <w:rsid w:val="00D24706"/>
    <w:rsid w:val="00D24EE2"/>
    <w:rsid w:val="00D25BD4"/>
    <w:rsid w:val="00D25EF9"/>
    <w:rsid w:val="00D26CF2"/>
    <w:rsid w:val="00D27B11"/>
    <w:rsid w:val="00D307E7"/>
    <w:rsid w:val="00D309F7"/>
    <w:rsid w:val="00D30BA3"/>
    <w:rsid w:val="00D31037"/>
    <w:rsid w:val="00D3115E"/>
    <w:rsid w:val="00D319DC"/>
    <w:rsid w:val="00D31D1F"/>
    <w:rsid w:val="00D34BF1"/>
    <w:rsid w:val="00D34EB8"/>
    <w:rsid w:val="00D37289"/>
    <w:rsid w:val="00D40277"/>
    <w:rsid w:val="00D40925"/>
    <w:rsid w:val="00D43E49"/>
    <w:rsid w:val="00D46684"/>
    <w:rsid w:val="00D46A10"/>
    <w:rsid w:val="00D473AA"/>
    <w:rsid w:val="00D47544"/>
    <w:rsid w:val="00D514EE"/>
    <w:rsid w:val="00D51BBE"/>
    <w:rsid w:val="00D53BA1"/>
    <w:rsid w:val="00D541DD"/>
    <w:rsid w:val="00D5598D"/>
    <w:rsid w:val="00D57513"/>
    <w:rsid w:val="00D57EB0"/>
    <w:rsid w:val="00D6030D"/>
    <w:rsid w:val="00D615CA"/>
    <w:rsid w:val="00D62256"/>
    <w:rsid w:val="00D622CC"/>
    <w:rsid w:val="00D628C0"/>
    <w:rsid w:val="00D62F39"/>
    <w:rsid w:val="00D64434"/>
    <w:rsid w:val="00D66973"/>
    <w:rsid w:val="00D66F09"/>
    <w:rsid w:val="00D67982"/>
    <w:rsid w:val="00D71166"/>
    <w:rsid w:val="00D72B8B"/>
    <w:rsid w:val="00D73DB6"/>
    <w:rsid w:val="00D755CD"/>
    <w:rsid w:val="00D75AAF"/>
    <w:rsid w:val="00D76D7A"/>
    <w:rsid w:val="00D77747"/>
    <w:rsid w:val="00D82978"/>
    <w:rsid w:val="00D834A8"/>
    <w:rsid w:val="00D84B7F"/>
    <w:rsid w:val="00D84E94"/>
    <w:rsid w:val="00D84F69"/>
    <w:rsid w:val="00D85789"/>
    <w:rsid w:val="00D87600"/>
    <w:rsid w:val="00D90A78"/>
    <w:rsid w:val="00D91645"/>
    <w:rsid w:val="00D91D90"/>
    <w:rsid w:val="00D9263A"/>
    <w:rsid w:val="00D92A7E"/>
    <w:rsid w:val="00D93048"/>
    <w:rsid w:val="00D93174"/>
    <w:rsid w:val="00D93A46"/>
    <w:rsid w:val="00D93DEF"/>
    <w:rsid w:val="00D9499A"/>
    <w:rsid w:val="00D951A6"/>
    <w:rsid w:val="00D9664C"/>
    <w:rsid w:val="00DA1464"/>
    <w:rsid w:val="00DA44C5"/>
    <w:rsid w:val="00DA5050"/>
    <w:rsid w:val="00DA7CAE"/>
    <w:rsid w:val="00DB22DC"/>
    <w:rsid w:val="00DB2766"/>
    <w:rsid w:val="00DB3498"/>
    <w:rsid w:val="00DB3992"/>
    <w:rsid w:val="00DB3CBE"/>
    <w:rsid w:val="00DB45EB"/>
    <w:rsid w:val="00DB5727"/>
    <w:rsid w:val="00DB719D"/>
    <w:rsid w:val="00DB7297"/>
    <w:rsid w:val="00DB73AE"/>
    <w:rsid w:val="00DB7855"/>
    <w:rsid w:val="00DB793F"/>
    <w:rsid w:val="00DB7D3F"/>
    <w:rsid w:val="00DC07D9"/>
    <w:rsid w:val="00DC129F"/>
    <w:rsid w:val="00DC198F"/>
    <w:rsid w:val="00DC328B"/>
    <w:rsid w:val="00DC4060"/>
    <w:rsid w:val="00DC5B25"/>
    <w:rsid w:val="00DC723C"/>
    <w:rsid w:val="00DD0ADE"/>
    <w:rsid w:val="00DD0CA4"/>
    <w:rsid w:val="00DD14E4"/>
    <w:rsid w:val="00DD389A"/>
    <w:rsid w:val="00DD4093"/>
    <w:rsid w:val="00DD4845"/>
    <w:rsid w:val="00DD5493"/>
    <w:rsid w:val="00DD6127"/>
    <w:rsid w:val="00DD64BF"/>
    <w:rsid w:val="00DD66EF"/>
    <w:rsid w:val="00DD683B"/>
    <w:rsid w:val="00DD6B9A"/>
    <w:rsid w:val="00DD6D66"/>
    <w:rsid w:val="00DD764E"/>
    <w:rsid w:val="00DD7B37"/>
    <w:rsid w:val="00DE245F"/>
    <w:rsid w:val="00DE2B1F"/>
    <w:rsid w:val="00DE33F0"/>
    <w:rsid w:val="00DE6E0F"/>
    <w:rsid w:val="00DE7536"/>
    <w:rsid w:val="00DE7B71"/>
    <w:rsid w:val="00DF0268"/>
    <w:rsid w:val="00DF062D"/>
    <w:rsid w:val="00DF15D4"/>
    <w:rsid w:val="00DF2748"/>
    <w:rsid w:val="00DF2B58"/>
    <w:rsid w:val="00DF3FC3"/>
    <w:rsid w:val="00DF4410"/>
    <w:rsid w:val="00DF567C"/>
    <w:rsid w:val="00DF731B"/>
    <w:rsid w:val="00DF7F14"/>
    <w:rsid w:val="00E0055A"/>
    <w:rsid w:val="00E00EDA"/>
    <w:rsid w:val="00E027EA"/>
    <w:rsid w:val="00E03815"/>
    <w:rsid w:val="00E064DA"/>
    <w:rsid w:val="00E074DD"/>
    <w:rsid w:val="00E101F5"/>
    <w:rsid w:val="00E10378"/>
    <w:rsid w:val="00E1072F"/>
    <w:rsid w:val="00E10CD6"/>
    <w:rsid w:val="00E10F93"/>
    <w:rsid w:val="00E1176B"/>
    <w:rsid w:val="00E11EBB"/>
    <w:rsid w:val="00E13675"/>
    <w:rsid w:val="00E13C66"/>
    <w:rsid w:val="00E14DD5"/>
    <w:rsid w:val="00E1640B"/>
    <w:rsid w:val="00E17058"/>
    <w:rsid w:val="00E17D5B"/>
    <w:rsid w:val="00E17FA4"/>
    <w:rsid w:val="00E202EC"/>
    <w:rsid w:val="00E20745"/>
    <w:rsid w:val="00E22361"/>
    <w:rsid w:val="00E2417B"/>
    <w:rsid w:val="00E25286"/>
    <w:rsid w:val="00E25B84"/>
    <w:rsid w:val="00E273C3"/>
    <w:rsid w:val="00E34025"/>
    <w:rsid w:val="00E34EEA"/>
    <w:rsid w:val="00E35A57"/>
    <w:rsid w:val="00E36727"/>
    <w:rsid w:val="00E37738"/>
    <w:rsid w:val="00E37828"/>
    <w:rsid w:val="00E412A6"/>
    <w:rsid w:val="00E42662"/>
    <w:rsid w:val="00E448AE"/>
    <w:rsid w:val="00E451E3"/>
    <w:rsid w:val="00E46C4D"/>
    <w:rsid w:val="00E47483"/>
    <w:rsid w:val="00E5006D"/>
    <w:rsid w:val="00E51D0C"/>
    <w:rsid w:val="00E5511C"/>
    <w:rsid w:val="00E564F7"/>
    <w:rsid w:val="00E56C35"/>
    <w:rsid w:val="00E57082"/>
    <w:rsid w:val="00E5771E"/>
    <w:rsid w:val="00E57BA4"/>
    <w:rsid w:val="00E6082A"/>
    <w:rsid w:val="00E6161E"/>
    <w:rsid w:val="00E61907"/>
    <w:rsid w:val="00E61BD4"/>
    <w:rsid w:val="00E61DAC"/>
    <w:rsid w:val="00E62F3A"/>
    <w:rsid w:val="00E640D1"/>
    <w:rsid w:val="00E659EA"/>
    <w:rsid w:val="00E66954"/>
    <w:rsid w:val="00E670A7"/>
    <w:rsid w:val="00E6777C"/>
    <w:rsid w:val="00E67950"/>
    <w:rsid w:val="00E70038"/>
    <w:rsid w:val="00E70C16"/>
    <w:rsid w:val="00E70DB4"/>
    <w:rsid w:val="00E71540"/>
    <w:rsid w:val="00E71986"/>
    <w:rsid w:val="00E719F6"/>
    <w:rsid w:val="00E73BBB"/>
    <w:rsid w:val="00E7439F"/>
    <w:rsid w:val="00E74837"/>
    <w:rsid w:val="00E758C1"/>
    <w:rsid w:val="00E75CD1"/>
    <w:rsid w:val="00E75F7C"/>
    <w:rsid w:val="00E773DA"/>
    <w:rsid w:val="00E77AA7"/>
    <w:rsid w:val="00E77F38"/>
    <w:rsid w:val="00E81607"/>
    <w:rsid w:val="00E824A1"/>
    <w:rsid w:val="00E82799"/>
    <w:rsid w:val="00E82823"/>
    <w:rsid w:val="00E838BF"/>
    <w:rsid w:val="00E83AEB"/>
    <w:rsid w:val="00E83F4D"/>
    <w:rsid w:val="00E83FA9"/>
    <w:rsid w:val="00E851F3"/>
    <w:rsid w:val="00E8530A"/>
    <w:rsid w:val="00E86346"/>
    <w:rsid w:val="00E86958"/>
    <w:rsid w:val="00E91554"/>
    <w:rsid w:val="00E91F49"/>
    <w:rsid w:val="00E94F60"/>
    <w:rsid w:val="00E96E82"/>
    <w:rsid w:val="00E97A10"/>
    <w:rsid w:val="00E97E24"/>
    <w:rsid w:val="00EA09CA"/>
    <w:rsid w:val="00EA1360"/>
    <w:rsid w:val="00EA2F5E"/>
    <w:rsid w:val="00EA4170"/>
    <w:rsid w:val="00EA4DBB"/>
    <w:rsid w:val="00EA55AF"/>
    <w:rsid w:val="00EA77F3"/>
    <w:rsid w:val="00EB1172"/>
    <w:rsid w:val="00EB1606"/>
    <w:rsid w:val="00EB172E"/>
    <w:rsid w:val="00EB1B0E"/>
    <w:rsid w:val="00EB3B26"/>
    <w:rsid w:val="00EB49CF"/>
    <w:rsid w:val="00EB5B9F"/>
    <w:rsid w:val="00EB730A"/>
    <w:rsid w:val="00EC11F6"/>
    <w:rsid w:val="00EC1DB9"/>
    <w:rsid w:val="00EC21F1"/>
    <w:rsid w:val="00EC26E2"/>
    <w:rsid w:val="00EC5500"/>
    <w:rsid w:val="00EC5606"/>
    <w:rsid w:val="00EC7E74"/>
    <w:rsid w:val="00ED125F"/>
    <w:rsid w:val="00ED1F72"/>
    <w:rsid w:val="00ED58BB"/>
    <w:rsid w:val="00ED7425"/>
    <w:rsid w:val="00EE03D8"/>
    <w:rsid w:val="00EE0FA2"/>
    <w:rsid w:val="00EE15A1"/>
    <w:rsid w:val="00EE3382"/>
    <w:rsid w:val="00EE4D45"/>
    <w:rsid w:val="00EE5E0C"/>
    <w:rsid w:val="00EE6009"/>
    <w:rsid w:val="00EE6B95"/>
    <w:rsid w:val="00EF0CD5"/>
    <w:rsid w:val="00EF2170"/>
    <w:rsid w:val="00EF24A3"/>
    <w:rsid w:val="00EF2D69"/>
    <w:rsid w:val="00EF3CF3"/>
    <w:rsid w:val="00EF4333"/>
    <w:rsid w:val="00EF6E9A"/>
    <w:rsid w:val="00EF7939"/>
    <w:rsid w:val="00F0100D"/>
    <w:rsid w:val="00F0328F"/>
    <w:rsid w:val="00F03384"/>
    <w:rsid w:val="00F05BC9"/>
    <w:rsid w:val="00F06B42"/>
    <w:rsid w:val="00F06DF6"/>
    <w:rsid w:val="00F10379"/>
    <w:rsid w:val="00F125CB"/>
    <w:rsid w:val="00F14504"/>
    <w:rsid w:val="00F14B82"/>
    <w:rsid w:val="00F162ED"/>
    <w:rsid w:val="00F17AA9"/>
    <w:rsid w:val="00F22AB8"/>
    <w:rsid w:val="00F22CFC"/>
    <w:rsid w:val="00F23829"/>
    <w:rsid w:val="00F242FB"/>
    <w:rsid w:val="00F24952"/>
    <w:rsid w:val="00F269A7"/>
    <w:rsid w:val="00F275E8"/>
    <w:rsid w:val="00F325C7"/>
    <w:rsid w:val="00F32960"/>
    <w:rsid w:val="00F32A46"/>
    <w:rsid w:val="00F330A4"/>
    <w:rsid w:val="00F33A05"/>
    <w:rsid w:val="00F35CFE"/>
    <w:rsid w:val="00F373A0"/>
    <w:rsid w:val="00F40BAC"/>
    <w:rsid w:val="00F412D8"/>
    <w:rsid w:val="00F417C3"/>
    <w:rsid w:val="00F41DEC"/>
    <w:rsid w:val="00F41E3E"/>
    <w:rsid w:val="00F43A5C"/>
    <w:rsid w:val="00F47720"/>
    <w:rsid w:val="00F50835"/>
    <w:rsid w:val="00F5171D"/>
    <w:rsid w:val="00F51943"/>
    <w:rsid w:val="00F52166"/>
    <w:rsid w:val="00F522B9"/>
    <w:rsid w:val="00F52B43"/>
    <w:rsid w:val="00F5324D"/>
    <w:rsid w:val="00F53F2E"/>
    <w:rsid w:val="00F5515D"/>
    <w:rsid w:val="00F553A4"/>
    <w:rsid w:val="00F5589F"/>
    <w:rsid w:val="00F55F9F"/>
    <w:rsid w:val="00F56F14"/>
    <w:rsid w:val="00F602E4"/>
    <w:rsid w:val="00F618C8"/>
    <w:rsid w:val="00F618CF"/>
    <w:rsid w:val="00F61E33"/>
    <w:rsid w:val="00F6213D"/>
    <w:rsid w:val="00F62BB0"/>
    <w:rsid w:val="00F632E8"/>
    <w:rsid w:val="00F639DE"/>
    <w:rsid w:val="00F6415A"/>
    <w:rsid w:val="00F651AA"/>
    <w:rsid w:val="00F66C7A"/>
    <w:rsid w:val="00F67DE5"/>
    <w:rsid w:val="00F70030"/>
    <w:rsid w:val="00F70416"/>
    <w:rsid w:val="00F70574"/>
    <w:rsid w:val="00F70BCF"/>
    <w:rsid w:val="00F71F68"/>
    <w:rsid w:val="00F73321"/>
    <w:rsid w:val="00F7352B"/>
    <w:rsid w:val="00F73E67"/>
    <w:rsid w:val="00F7630E"/>
    <w:rsid w:val="00F81475"/>
    <w:rsid w:val="00F8228E"/>
    <w:rsid w:val="00F82422"/>
    <w:rsid w:val="00F84255"/>
    <w:rsid w:val="00F84450"/>
    <w:rsid w:val="00F86139"/>
    <w:rsid w:val="00F86958"/>
    <w:rsid w:val="00F86CFD"/>
    <w:rsid w:val="00F90808"/>
    <w:rsid w:val="00F90872"/>
    <w:rsid w:val="00F91138"/>
    <w:rsid w:val="00F917B2"/>
    <w:rsid w:val="00F94818"/>
    <w:rsid w:val="00F956E6"/>
    <w:rsid w:val="00F95FE8"/>
    <w:rsid w:val="00F96889"/>
    <w:rsid w:val="00FA016E"/>
    <w:rsid w:val="00FA1290"/>
    <w:rsid w:val="00FA1F58"/>
    <w:rsid w:val="00FA3BD3"/>
    <w:rsid w:val="00FA465C"/>
    <w:rsid w:val="00FA4A63"/>
    <w:rsid w:val="00FB0017"/>
    <w:rsid w:val="00FB0A45"/>
    <w:rsid w:val="00FB1FC5"/>
    <w:rsid w:val="00FB32F3"/>
    <w:rsid w:val="00FB4876"/>
    <w:rsid w:val="00FC0DFF"/>
    <w:rsid w:val="00FC1D6E"/>
    <w:rsid w:val="00FC2AAC"/>
    <w:rsid w:val="00FC3D03"/>
    <w:rsid w:val="00FC4413"/>
    <w:rsid w:val="00FC61D7"/>
    <w:rsid w:val="00FC6966"/>
    <w:rsid w:val="00FD0758"/>
    <w:rsid w:val="00FD18F0"/>
    <w:rsid w:val="00FD1CA4"/>
    <w:rsid w:val="00FD23AB"/>
    <w:rsid w:val="00FD47AA"/>
    <w:rsid w:val="00FD605B"/>
    <w:rsid w:val="00FD7516"/>
    <w:rsid w:val="00FE126D"/>
    <w:rsid w:val="00FE1F21"/>
    <w:rsid w:val="00FE22B2"/>
    <w:rsid w:val="00FE44DD"/>
    <w:rsid w:val="00FE5D47"/>
    <w:rsid w:val="00FE75C9"/>
    <w:rsid w:val="00FF0E06"/>
    <w:rsid w:val="00FF3217"/>
    <w:rsid w:val="00FF42AF"/>
    <w:rsid w:val="00FF44BC"/>
    <w:rsid w:val="00FF4F63"/>
    <w:rsid w:val="00FF5A05"/>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B55"/>
    <w:pPr>
      <w:spacing w:after="0"/>
    </w:pPr>
    <w:rPr>
      <w:sz w:val="24"/>
      <w:szCs w:val="24"/>
    </w:rPr>
  </w:style>
  <w:style w:type="paragraph" w:styleId="Heading1">
    <w:name w:val="heading 1"/>
    <w:basedOn w:val="Normal"/>
    <w:next w:val="Normal"/>
    <w:link w:val="Heading1Char"/>
    <w:qFormat/>
    <w:rsid w:val="0023703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23703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23703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23703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3703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3703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37031"/>
    <w:pPr>
      <w:spacing w:before="240" w:after="60"/>
      <w:outlineLvl w:val="6"/>
    </w:pPr>
  </w:style>
  <w:style w:type="paragraph" w:styleId="Heading8">
    <w:name w:val="heading 8"/>
    <w:basedOn w:val="Normal"/>
    <w:next w:val="Normal"/>
    <w:link w:val="Heading8Char"/>
    <w:uiPriority w:val="9"/>
    <w:semiHidden/>
    <w:unhideWhenUsed/>
    <w:qFormat/>
    <w:rsid w:val="00237031"/>
    <w:pPr>
      <w:spacing w:before="240" w:after="60"/>
      <w:outlineLvl w:val="7"/>
    </w:pPr>
    <w:rPr>
      <w:i/>
      <w:iCs/>
    </w:rPr>
  </w:style>
  <w:style w:type="paragraph" w:styleId="Heading9">
    <w:name w:val="heading 9"/>
    <w:basedOn w:val="Normal"/>
    <w:next w:val="Normal"/>
    <w:link w:val="Heading9Char"/>
    <w:uiPriority w:val="9"/>
    <w:semiHidden/>
    <w:unhideWhenUsed/>
    <w:qFormat/>
    <w:rsid w:val="0023703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7031"/>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23703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237031"/>
    <w:rPr>
      <w:rFonts w:cstheme="majorBidi"/>
      <w:b/>
      <w:bCs/>
      <w:sz w:val="28"/>
      <w:szCs w:val="28"/>
    </w:rPr>
  </w:style>
  <w:style w:type="character" w:customStyle="1" w:styleId="Heading1Char">
    <w:name w:val="Heading 1 Char"/>
    <w:basedOn w:val="DefaultParagraphFont"/>
    <w:link w:val="Heading1"/>
    <w:rsid w:val="00237031"/>
    <w:rPr>
      <w:rFonts w:asciiTheme="majorHAnsi" w:eastAsiaTheme="majorEastAsia" w:hAnsiTheme="majorHAnsi"/>
      <w:b/>
      <w:bCs/>
      <w:kern w:val="32"/>
      <w:sz w:val="32"/>
      <w:szCs w:val="32"/>
    </w:rPr>
  </w:style>
  <w:style w:type="character" w:customStyle="1" w:styleId="Heading5Char">
    <w:name w:val="Heading 5 Char"/>
    <w:basedOn w:val="DefaultParagraphFont"/>
    <w:link w:val="Heading5"/>
    <w:uiPriority w:val="9"/>
    <w:semiHidden/>
    <w:rsid w:val="00237031"/>
    <w:rPr>
      <w:b/>
      <w:bCs/>
      <w:i/>
      <w:iCs/>
      <w:sz w:val="26"/>
      <w:szCs w:val="26"/>
    </w:rPr>
  </w:style>
  <w:style w:type="character" w:customStyle="1" w:styleId="Heading6Char">
    <w:name w:val="Heading 6 Char"/>
    <w:basedOn w:val="DefaultParagraphFont"/>
    <w:link w:val="Heading6"/>
    <w:uiPriority w:val="9"/>
    <w:semiHidden/>
    <w:rsid w:val="00237031"/>
    <w:rPr>
      <w:b/>
      <w:bCs/>
    </w:rPr>
  </w:style>
  <w:style w:type="character" w:customStyle="1" w:styleId="Heading7Char">
    <w:name w:val="Heading 7 Char"/>
    <w:basedOn w:val="DefaultParagraphFont"/>
    <w:link w:val="Heading7"/>
    <w:uiPriority w:val="9"/>
    <w:semiHidden/>
    <w:rsid w:val="00237031"/>
    <w:rPr>
      <w:sz w:val="24"/>
      <w:szCs w:val="24"/>
    </w:rPr>
  </w:style>
  <w:style w:type="character" w:customStyle="1" w:styleId="Heading8Char">
    <w:name w:val="Heading 8 Char"/>
    <w:basedOn w:val="DefaultParagraphFont"/>
    <w:link w:val="Heading8"/>
    <w:uiPriority w:val="9"/>
    <w:semiHidden/>
    <w:rsid w:val="00237031"/>
    <w:rPr>
      <w:i/>
      <w:iCs/>
      <w:sz w:val="24"/>
      <w:szCs w:val="24"/>
    </w:rPr>
  </w:style>
  <w:style w:type="character" w:customStyle="1" w:styleId="Heading9Char">
    <w:name w:val="Heading 9 Char"/>
    <w:basedOn w:val="DefaultParagraphFont"/>
    <w:link w:val="Heading9"/>
    <w:uiPriority w:val="9"/>
    <w:semiHidden/>
    <w:rsid w:val="00237031"/>
    <w:rPr>
      <w:rFonts w:asciiTheme="majorHAnsi" w:eastAsiaTheme="majorEastAsia" w:hAnsiTheme="majorHAnsi"/>
    </w:rPr>
  </w:style>
  <w:style w:type="paragraph" w:styleId="Title">
    <w:name w:val="Title"/>
    <w:basedOn w:val="Normal"/>
    <w:next w:val="Normal"/>
    <w:link w:val="TitleChar"/>
    <w:qFormat/>
    <w:rsid w:val="0023703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23703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3703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37031"/>
    <w:rPr>
      <w:rFonts w:asciiTheme="majorHAnsi" w:eastAsiaTheme="majorEastAsia" w:hAnsiTheme="majorHAnsi"/>
      <w:sz w:val="24"/>
      <w:szCs w:val="24"/>
    </w:rPr>
  </w:style>
  <w:style w:type="character" w:styleId="Strong">
    <w:name w:val="Strong"/>
    <w:basedOn w:val="DefaultParagraphFont"/>
    <w:uiPriority w:val="22"/>
    <w:qFormat/>
    <w:rsid w:val="00237031"/>
    <w:rPr>
      <w:b/>
      <w:bCs/>
    </w:rPr>
  </w:style>
  <w:style w:type="character" w:styleId="Emphasis">
    <w:name w:val="Emphasis"/>
    <w:basedOn w:val="DefaultParagraphFont"/>
    <w:uiPriority w:val="20"/>
    <w:qFormat/>
    <w:rsid w:val="00237031"/>
    <w:rPr>
      <w:rFonts w:asciiTheme="minorHAnsi" w:hAnsiTheme="minorHAnsi"/>
      <w:b/>
      <w:i/>
      <w:iCs/>
    </w:rPr>
  </w:style>
  <w:style w:type="paragraph" w:styleId="NoSpacing">
    <w:name w:val="No Spacing"/>
    <w:basedOn w:val="Normal"/>
    <w:uiPriority w:val="1"/>
    <w:qFormat/>
    <w:rsid w:val="00237031"/>
    <w:rPr>
      <w:szCs w:val="32"/>
    </w:rPr>
  </w:style>
  <w:style w:type="paragraph" w:styleId="ListParagraph">
    <w:name w:val="List Paragraph"/>
    <w:basedOn w:val="Normal"/>
    <w:uiPriority w:val="34"/>
    <w:qFormat/>
    <w:rsid w:val="00237031"/>
    <w:pPr>
      <w:ind w:left="720"/>
      <w:contextualSpacing/>
    </w:pPr>
  </w:style>
  <w:style w:type="paragraph" w:styleId="Quote">
    <w:name w:val="Quote"/>
    <w:basedOn w:val="Normal"/>
    <w:next w:val="Normal"/>
    <w:link w:val="QuoteChar"/>
    <w:uiPriority w:val="29"/>
    <w:qFormat/>
    <w:rsid w:val="00237031"/>
    <w:rPr>
      <w:i/>
    </w:rPr>
  </w:style>
  <w:style w:type="character" w:customStyle="1" w:styleId="QuoteChar">
    <w:name w:val="Quote Char"/>
    <w:basedOn w:val="DefaultParagraphFont"/>
    <w:link w:val="Quote"/>
    <w:uiPriority w:val="29"/>
    <w:rsid w:val="00237031"/>
    <w:rPr>
      <w:i/>
      <w:sz w:val="24"/>
      <w:szCs w:val="24"/>
    </w:rPr>
  </w:style>
  <w:style w:type="paragraph" w:styleId="IntenseQuote">
    <w:name w:val="Intense Quote"/>
    <w:basedOn w:val="Normal"/>
    <w:next w:val="Normal"/>
    <w:link w:val="IntenseQuoteChar"/>
    <w:uiPriority w:val="30"/>
    <w:qFormat/>
    <w:rsid w:val="00237031"/>
    <w:pPr>
      <w:ind w:left="720" w:right="720"/>
    </w:pPr>
    <w:rPr>
      <w:b/>
      <w:i/>
      <w:szCs w:val="22"/>
    </w:rPr>
  </w:style>
  <w:style w:type="character" w:customStyle="1" w:styleId="IntenseQuoteChar">
    <w:name w:val="Intense Quote Char"/>
    <w:basedOn w:val="DefaultParagraphFont"/>
    <w:link w:val="IntenseQuote"/>
    <w:uiPriority w:val="30"/>
    <w:rsid w:val="00237031"/>
    <w:rPr>
      <w:b/>
      <w:i/>
      <w:sz w:val="24"/>
    </w:rPr>
  </w:style>
  <w:style w:type="character" w:styleId="SubtleEmphasis">
    <w:name w:val="Subtle Emphasis"/>
    <w:uiPriority w:val="19"/>
    <w:qFormat/>
    <w:rsid w:val="00237031"/>
    <w:rPr>
      <w:i/>
      <w:color w:val="5A5A5A" w:themeColor="text1" w:themeTint="A5"/>
    </w:rPr>
  </w:style>
  <w:style w:type="character" w:styleId="IntenseEmphasis">
    <w:name w:val="Intense Emphasis"/>
    <w:basedOn w:val="DefaultParagraphFont"/>
    <w:uiPriority w:val="21"/>
    <w:qFormat/>
    <w:rsid w:val="00237031"/>
    <w:rPr>
      <w:b/>
      <w:i/>
      <w:sz w:val="24"/>
      <w:szCs w:val="24"/>
      <w:u w:val="single"/>
    </w:rPr>
  </w:style>
  <w:style w:type="character" w:styleId="SubtleReference">
    <w:name w:val="Subtle Reference"/>
    <w:basedOn w:val="DefaultParagraphFont"/>
    <w:uiPriority w:val="31"/>
    <w:qFormat/>
    <w:rsid w:val="00237031"/>
    <w:rPr>
      <w:sz w:val="24"/>
      <w:szCs w:val="24"/>
      <w:u w:val="single"/>
    </w:rPr>
  </w:style>
  <w:style w:type="character" w:styleId="IntenseReference">
    <w:name w:val="Intense Reference"/>
    <w:basedOn w:val="DefaultParagraphFont"/>
    <w:uiPriority w:val="32"/>
    <w:qFormat/>
    <w:rsid w:val="00237031"/>
    <w:rPr>
      <w:b/>
      <w:sz w:val="24"/>
      <w:u w:val="single"/>
    </w:rPr>
  </w:style>
  <w:style w:type="character" w:styleId="BookTitle">
    <w:name w:val="Book Title"/>
    <w:basedOn w:val="DefaultParagraphFont"/>
    <w:uiPriority w:val="33"/>
    <w:qFormat/>
    <w:rsid w:val="0023703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37031"/>
    <w:pPr>
      <w:outlineLvl w:val="9"/>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0A489A"/>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0A489A"/>
    <w:rPr>
      <w:sz w:val="20"/>
      <w:szCs w:val="20"/>
    </w:rPr>
  </w:style>
  <w:style w:type="character" w:styleId="FootnoteReference">
    <w:name w:val="footnote reference"/>
    <w:aliases w:val="o,fr"/>
    <w:basedOn w:val="DefaultParagraphFont"/>
    <w:uiPriority w:val="99"/>
    <w:unhideWhenUsed/>
    <w:rsid w:val="000A489A"/>
    <w:rPr>
      <w:vertAlign w:val="superscript"/>
    </w:rPr>
  </w:style>
  <w:style w:type="paragraph" w:styleId="BalloonText">
    <w:name w:val="Balloon Text"/>
    <w:basedOn w:val="Normal"/>
    <w:link w:val="BalloonTextChar"/>
    <w:unhideWhenUsed/>
    <w:rsid w:val="00C379B9"/>
    <w:rPr>
      <w:rFonts w:ascii="Tahoma" w:hAnsi="Tahoma" w:cs="Tahoma"/>
      <w:sz w:val="16"/>
      <w:szCs w:val="16"/>
    </w:rPr>
  </w:style>
  <w:style w:type="character" w:customStyle="1" w:styleId="BalloonTextChar">
    <w:name w:val="Balloon Text Char"/>
    <w:basedOn w:val="DefaultParagraphFont"/>
    <w:link w:val="BalloonText"/>
    <w:rsid w:val="00C379B9"/>
    <w:rPr>
      <w:rFonts w:ascii="Tahoma" w:hAnsi="Tahoma" w:cs="Tahoma"/>
      <w:sz w:val="16"/>
      <w:szCs w:val="16"/>
    </w:rPr>
  </w:style>
  <w:style w:type="paragraph" w:styleId="Header">
    <w:name w:val="header"/>
    <w:basedOn w:val="Normal"/>
    <w:link w:val="HeaderChar"/>
    <w:unhideWhenUsed/>
    <w:rsid w:val="000A5AF7"/>
    <w:pPr>
      <w:tabs>
        <w:tab w:val="center" w:pos="4680"/>
        <w:tab w:val="right" w:pos="9360"/>
      </w:tabs>
    </w:pPr>
  </w:style>
  <w:style w:type="character" w:customStyle="1" w:styleId="HeaderChar">
    <w:name w:val="Header Char"/>
    <w:basedOn w:val="DefaultParagraphFont"/>
    <w:link w:val="Header"/>
    <w:rsid w:val="000A5AF7"/>
    <w:rPr>
      <w:sz w:val="24"/>
      <w:szCs w:val="24"/>
    </w:rPr>
  </w:style>
  <w:style w:type="paragraph" w:styleId="Footer">
    <w:name w:val="footer"/>
    <w:basedOn w:val="Normal"/>
    <w:link w:val="FooterChar"/>
    <w:uiPriority w:val="99"/>
    <w:unhideWhenUsed/>
    <w:rsid w:val="000A5AF7"/>
    <w:pPr>
      <w:tabs>
        <w:tab w:val="center" w:pos="4680"/>
        <w:tab w:val="right" w:pos="9360"/>
      </w:tabs>
    </w:pPr>
  </w:style>
  <w:style w:type="character" w:customStyle="1" w:styleId="FooterChar">
    <w:name w:val="Footer Char"/>
    <w:basedOn w:val="DefaultParagraphFont"/>
    <w:link w:val="Footer"/>
    <w:uiPriority w:val="99"/>
    <w:rsid w:val="000A5AF7"/>
    <w:rPr>
      <w:sz w:val="24"/>
      <w:szCs w:val="24"/>
    </w:rPr>
  </w:style>
  <w:style w:type="paragraph" w:customStyle="1" w:styleId="p3">
    <w:name w:val="p3"/>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4">
    <w:name w:val="p14"/>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7">
    <w:name w:val="p17"/>
    <w:basedOn w:val="Normal"/>
    <w:rsid w:val="009D3EA0"/>
    <w:pPr>
      <w:widowControl w:val="0"/>
      <w:tabs>
        <w:tab w:val="left" w:pos="5057"/>
      </w:tabs>
      <w:autoSpaceDE w:val="0"/>
      <w:autoSpaceDN w:val="0"/>
      <w:adjustRightInd w:val="0"/>
      <w:ind w:left="3617"/>
    </w:pPr>
    <w:rPr>
      <w:rFonts w:ascii="Times New Roman" w:eastAsia="Times New Roman" w:hAnsi="Times New Roman"/>
      <w:lang w:bidi="ar-SA"/>
    </w:rPr>
  </w:style>
  <w:style w:type="paragraph" w:customStyle="1" w:styleId="p18">
    <w:name w:val="p18"/>
    <w:basedOn w:val="Normal"/>
    <w:rsid w:val="009D3EA0"/>
    <w:pPr>
      <w:widowControl w:val="0"/>
      <w:tabs>
        <w:tab w:val="left" w:pos="5062"/>
      </w:tabs>
      <w:autoSpaceDE w:val="0"/>
      <w:autoSpaceDN w:val="0"/>
      <w:adjustRightInd w:val="0"/>
      <w:ind w:left="3622"/>
    </w:pPr>
    <w:rPr>
      <w:rFonts w:ascii="Times New Roman" w:eastAsia="Times New Roman" w:hAnsi="Times New Roman"/>
      <w:lang w:bidi="ar-SA"/>
    </w:rPr>
  </w:style>
  <w:style w:type="character" w:styleId="Hyperlink">
    <w:name w:val="Hyperlink"/>
    <w:uiPriority w:val="99"/>
    <w:rsid w:val="009D3EA0"/>
    <w:rPr>
      <w:color w:val="0000FF"/>
      <w:u w:val="single"/>
    </w:rPr>
  </w:style>
  <w:style w:type="paragraph" w:styleId="BodyText">
    <w:name w:val="Body Text"/>
    <w:basedOn w:val="Normal"/>
    <w:link w:val="BodyTextChar"/>
    <w:rsid w:val="009D3EA0"/>
    <w:rPr>
      <w:rFonts w:ascii="Times New Roman" w:eastAsia="Times New Roman" w:hAnsi="Times New Roman"/>
      <w:sz w:val="26"/>
      <w:szCs w:val="20"/>
      <w:lang w:bidi="ar-SA"/>
    </w:rPr>
  </w:style>
  <w:style w:type="character" w:customStyle="1" w:styleId="BodyTextChar">
    <w:name w:val="Body Text Char"/>
    <w:basedOn w:val="DefaultParagraphFont"/>
    <w:link w:val="BodyText"/>
    <w:rsid w:val="009D3EA0"/>
    <w:rPr>
      <w:rFonts w:ascii="Times New Roman" w:eastAsia="Times New Roman" w:hAnsi="Times New Roman"/>
      <w:sz w:val="26"/>
      <w:szCs w:val="20"/>
      <w:lang w:bidi="ar-SA"/>
    </w:rPr>
  </w:style>
  <w:style w:type="paragraph" w:styleId="NormalWeb">
    <w:name w:val="Normal (Web)"/>
    <w:basedOn w:val="Normal"/>
    <w:uiPriority w:val="99"/>
    <w:unhideWhenUsed/>
    <w:rsid w:val="009D3EA0"/>
    <w:pPr>
      <w:spacing w:before="100" w:beforeAutospacing="1" w:after="100" w:afterAutospacing="1"/>
    </w:pPr>
    <w:rPr>
      <w:rFonts w:ascii="Times New Roman" w:eastAsia="Times New Roman" w:hAnsi="Times New Roman"/>
      <w:lang w:bidi="ar-SA"/>
    </w:rPr>
  </w:style>
  <w:style w:type="paragraph" w:styleId="EndnoteText">
    <w:name w:val="endnote text"/>
    <w:basedOn w:val="Normal"/>
    <w:link w:val="EndnoteTextChar"/>
    <w:rsid w:val="009D3EA0"/>
    <w:rPr>
      <w:rFonts w:ascii="Courier New" w:eastAsia="Times New Roman" w:hAnsi="Courier New"/>
      <w:sz w:val="20"/>
      <w:szCs w:val="20"/>
      <w:lang w:bidi="ar-SA"/>
    </w:rPr>
  </w:style>
  <w:style w:type="character" w:customStyle="1" w:styleId="EndnoteTextChar">
    <w:name w:val="Endnote Text Char"/>
    <w:basedOn w:val="DefaultParagraphFont"/>
    <w:link w:val="EndnoteText"/>
    <w:rsid w:val="009D3EA0"/>
    <w:rPr>
      <w:rFonts w:ascii="Courier New" w:eastAsia="Times New Roman" w:hAnsi="Courier New"/>
      <w:sz w:val="20"/>
      <w:szCs w:val="20"/>
      <w:lang w:bidi="ar-SA"/>
    </w:rPr>
  </w:style>
  <w:style w:type="character" w:styleId="EndnoteReference">
    <w:name w:val="endnote reference"/>
    <w:rsid w:val="009D3EA0"/>
    <w:rPr>
      <w:vertAlign w:val="superscript"/>
    </w:rPr>
  </w:style>
  <w:style w:type="character" w:styleId="CommentReference">
    <w:name w:val="annotation reference"/>
    <w:uiPriority w:val="99"/>
    <w:rsid w:val="009D3EA0"/>
    <w:rPr>
      <w:sz w:val="16"/>
      <w:szCs w:val="16"/>
    </w:rPr>
  </w:style>
  <w:style w:type="paragraph" w:styleId="CommentText">
    <w:name w:val="annotation text"/>
    <w:basedOn w:val="Normal"/>
    <w:link w:val="CommentTextChar"/>
    <w:uiPriority w:val="99"/>
    <w:rsid w:val="003D0B55"/>
    <w:rPr>
      <w:rFonts w:ascii="Palatino Linotype" w:eastAsia="Times New Roman" w:hAnsi="Palatino Linotype"/>
      <w:sz w:val="22"/>
      <w:szCs w:val="20"/>
      <w:lang w:bidi="ar-SA"/>
    </w:rPr>
  </w:style>
  <w:style w:type="character" w:customStyle="1" w:styleId="CommentTextChar">
    <w:name w:val="Comment Text Char"/>
    <w:basedOn w:val="DefaultParagraphFont"/>
    <w:link w:val="CommentText"/>
    <w:uiPriority w:val="99"/>
    <w:rsid w:val="003D0B55"/>
    <w:rPr>
      <w:rFonts w:ascii="Palatino Linotype" w:eastAsia="Times New Roman" w:hAnsi="Palatino Linotype"/>
      <w:szCs w:val="20"/>
      <w:lang w:bidi="ar-SA"/>
    </w:rPr>
  </w:style>
  <w:style w:type="paragraph" w:styleId="CommentSubject">
    <w:name w:val="annotation subject"/>
    <w:basedOn w:val="CommentText"/>
    <w:next w:val="CommentText"/>
    <w:link w:val="CommentSubjectChar"/>
    <w:rsid w:val="009D3EA0"/>
    <w:rPr>
      <w:b/>
      <w:bCs/>
    </w:rPr>
  </w:style>
  <w:style w:type="character" w:customStyle="1" w:styleId="CommentSubjectChar">
    <w:name w:val="Comment Subject Char"/>
    <w:basedOn w:val="CommentTextChar"/>
    <w:link w:val="CommentSubject"/>
    <w:rsid w:val="009D3EA0"/>
    <w:rPr>
      <w:rFonts w:ascii="Courier New" w:eastAsia="Times New Roman" w:hAnsi="Courier New"/>
      <w:b/>
      <w:bCs/>
      <w:sz w:val="20"/>
      <w:szCs w:val="20"/>
      <w:lang w:bidi="ar-SA"/>
    </w:rPr>
  </w:style>
  <w:style w:type="paragraph" w:styleId="PlainText">
    <w:name w:val="Plain Text"/>
    <w:basedOn w:val="Normal"/>
    <w:link w:val="PlainTextChar"/>
    <w:uiPriority w:val="99"/>
    <w:unhideWhenUsed/>
    <w:rsid w:val="009D3EA0"/>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9D3EA0"/>
    <w:rPr>
      <w:rFonts w:ascii="Consolas" w:eastAsia="Calibri" w:hAnsi="Consolas"/>
      <w:sz w:val="21"/>
      <w:szCs w:val="21"/>
      <w:lang w:bidi="ar-SA"/>
    </w:rPr>
  </w:style>
  <w:style w:type="table" w:styleId="TableGrid">
    <w:name w:val="Table Grid"/>
    <w:basedOn w:val="TableNormal"/>
    <w:uiPriority w:val="59"/>
    <w:rsid w:val="009D3EA0"/>
    <w:pPr>
      <w:spacing w:after="0"/>
    </w:pPr>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D3EA0"/>
    <w:rPr>
      <w:color w:val="800080"/>
      <w:u w:val="single"/>
    </w:rPr>
  </w:style>
  <w:style w:type="paragraph" w:styleId="Revision">
    <w:name w:val="Revision"/>
    <w:hidden/>
    <w:uiPriority w:val="99"/>
    <w:semiHidden/>
    <w:rsid w:val="009D3EA0"/>
    <w:pPr>
      <w:spacing w:after="0"/>
    </w:pPr>
    <w:rPr>
      <w:rFonts w:ascii="Times New Roman" w:eastAsia="Times New Roman" w:hAnsi="Times New Roman"/>
      <w:sz w:val="24"/>
      <w:szCs w:val="24"/>
      <w:lang w:bidi="ar-SA"/>
    </w:rPr>
  </w:style>
  <w:style w:type="paragraph" w:customStyle="1" w:styleId="StyleCentered">
    <w:name w:val="Style Centered"/>
    <w:basedOn w:val="Normal"/>
    <w:rsid w:val="00E91F49"/>
    <w:pPr>
      <w:overflowPunct w:val="0"/>
      <w:autoSpaceDE w:val="0"/>
      <w:autoSpaceDN w:val="0"/>
      <w:adjustRightInd w:val="0"/>
      <w:jc w:val="center"/>
      <w:textAlignment w:val="baseline"/>
    </w:pPr>
    <w:rPr>
      <w:rFonts w:ascii="Times New Roman" w:eastAsia="Times New Roman" w:hAnsi="Times New Roman"/>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B55"/>
    <w:pPr>
      <w:spacing w:after="0"/>
    </w:pPr>
    <w:rPr>
      <w:sz w:val="24"/>
      <w:szCs w:val="24"/>
    </w:rPr>
  </w:style>
  <w:style w:type="paragraph" w:styleId="Heading1">
    <w:name w:val="heading 1"/>
    <w:basedOn w:val="Normal"/>
    <w:next w:val="Normal"/>
    <w:link w:val="Heading1Char"/>
    <w:qFormat/>
    <w:rsid w:val="0023703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23703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23703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23703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3703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3703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37031"/>
    <w:pPr>
      <w:spacing w:before="240" w:after="60"/>
      <w:outlineLvl w:val="6"/>
    </w:pPr>
  </w:style>
  <w:style w:type="paragraph" w:styleId="Heading8">
    <w:name w:val="heading 8"/>
    <w:basedOn w:val="Normal"/>
    <w:next w:val="Normal"/>
    <w:link w:val="Heading8Char"/>
    <w:uiPriority w:val="9"/>
    <w:semiHidden/>
    <w:unhideWhenUsed/>
    <w:qFormat/>
    <w:rsid w:val="00237031"/>
    <w:pPr>
      <w:spacing w:before="240" w:after="60"/>
      <w:outlineLvl w:val="7"/>
    </w:pPr>
    <w:rPr>
      <w:i/>
      <w:iCs/>
    </w:rPr>
  </w:style>
  <w:style w:type="paragraph" w:styleId="Heading9">
    <w:name w:val="heading 9"/>
    <w:basedOn w:val="Normal"/>
    <w:next w:val="Normal"/>
    <w:link w:val="Heading9Char"/>
    <w:uiPriority w:val="9"/>
    <w:semiHidden/>
    <w:unhideWhenUsed/>
    <w:qFormat/>
    <w:rsid w:val="0023703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7031"/>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23703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237031"/>
    <w:rPr>
      <w:rFonts w:cstheme="majorBidi"/>
      <w:b/>
      <w:bCs/>
      <w:sz w:val="28"/>
      <w:szCs w:val="28"/>
    </w:rPr>
  </w:style>
  <w:style w:type="character" w:customStyle="1" w:styleId="Heading1Char">
    <w:name w:val="Heading 1 Char"/>
    <w:basedOn w:val="DefaultParagraphFont"/>
    <w:link w:val="Heading1"/>
    <w:rsid w:val="00237031"/>
    <w:rPr>
      <w:rFonts w:asciiTheme="majorHAnsi" w:eastAsiaTheme="majorEastAsia" w:hAnsiTheme="majorHAnsi"/>
      <w:b/>
      <w:bCs/>
      <w:kern w:val="32"/>
      <w:sz w:val="32"/>
      <w:szCs w:val="32"/>
    </w:rPr>
  </w:style>
  <w:style w:type="character" w:customStyle="1" w:styleId="Heading5Char">
    <w:name w:val="Heading 5 Char"/>
    <w:basedOn w:val="DefaultParagraphFont"/>
    <w:link w:val="Heading5"/>
    <w:uiPriority w:val="9"/>
    <w:semiHidden/>
    <w:rsid w:val="00237031"/>
    <w:rPr>
      <w:b/>
      <w:bCs/>
      <w:i/>
      <w:iCs/>
      <w:sz w:val="26"/>
      <w:szCs w:val="26"/>
    </w:rPr>
  </w:style>
  <w:style w:type="character" w:customStyle="1" w:styleId="Heading6Char">
    <w:name w:val="Heading 6 Char"/>
    <w:basedOn w:val="DefaultParagraphFont"/>
    <w:link w:val="Heading6"/>
    <w:uiPriority w:val="9"/>
    <w:semiHidden/>
    <w:rsid w:val="00237031"/>
    <w:rPr>
      <w:b/>
      <w:bCs/>
    </w:rPr>
  </w:style>
  <w:style w:type="character" w:customStyle="1" w:styleId="Heading7Char">
    <w:name w:val="Heading 7 Char"/>
    <w:basedOn w:val="DefaultParagraphFont"/>
    <w:link w:val="Heading7"/>
    <w:uiPriority w:val="9"/>
    <w:semiHidden/>
    <w:rsid w:val="00237031"/>
    <w:rPr>
      <w:sz w:val="24"/>
      <w:szCs w:val="24"/>
    </w:rPr>
  </w:style>
  <w:style w:type="character" w:customStyle="1" w:styleId="Heading8Char">
    <w:name w:val="Heading 8 Char"/>
    <w:basedOn w:val="DefaultParagraphFont"/>
    <w:link w:val="Heading8"/>
    <w:uiPriority w:val="9"/>
    <w:semiHidden/>
    <w:rsid w:val="00237031"/>
    <w:rPr>
      <w:i/>
      <w:iCs/>
      <w:sz w:val="24"/>
      <w:szCs w:val="24"/>
    </w:rPr>
  </w:style>
  <w:style w:type="character" w:customStyle="1" w:styleId="Heading9Char">
    <w:name w:val="Heading 9 Char"/>
    <w:basedOn w:val="DefaultParagraphFont"/>
    <w:link w:val="Heading9"/>
    <w:uiPriority w:val="9"/>
    <w:semiHidden/>
    <w:rsid w:val="00237031"/>
    <w:rPr>
      <w:rFonts w:asciiTheme="majorHAnsi" w:eastAsiaTheme="majorEastAsia" w:hAnsiTheme="majorHAnsi"/>
    </w:rPr>
  </w:style>
  <w:style w:type="paragraph" w:styleId="Title">
    <w:name w:val="Title"/>
    <w:basedOn w:val="Normal"/>
    <w:next w:val="Normal"/>
    <w:link w:val="TitleChar"/>
    <w:qFormat/>
    <w:rsid w:val="0023703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23703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3703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37031"/>
    <w:rPr>
      <w:rFonts w:asciiTheme="majorHAnsi" w:eastAsiaTheme="majorEastAsia" w:hAnsiTheme="majorHAnsi"/>
      <w:sz w:val="24"/>
      <w:szCs w:val="24"/>
    </w:rPr>
  </w:style>
  <w:style w:type="character" w:styleId="Strong">
    <w:name w:val="Strong"/>
    <w:basedOn w:val="DefaultParagraphFont"/>
    <w:uiPriority w:val="22"/>
    <w:qFormat/>
    <w:rsid w:val="00237031"/>
    <w:rPr>
      <w:b/>
      <w:bCs/>
    </w:rPr>
  </w:style>
  <w:style w:type="character" w:styleId="Emphasis">
    <w:name w:val="Emphasis"/>
    <w:basedOn w:val="DefaultParagraphFont"/>
    <w:uiPriority w:val="20"/>
    <w:qFormat/>
    <w:rsid w:val="00237031"/>
    <w:rPr>
      <w:rFonts w:asciiTheme="minorHAnsi" w:hAnsiTheme="minorHAnsi"/>
      <w:b/>
      <w:i/>
      <w:iCs/>
    </w:rPr>
  </w:style>
  <w:style w:type="paragraph" w:styleId="NoSpacing">
    <w:name w:val="No Spacing"/>
    <w:basedOn w:val="Normal"/>
    <w:uiPriority w:val="1"/>
    <w:qFormat/>
    <w:rsid w:val="00237031"/>
    <w:rPr>
      <w:szCs w:val="32"/>
    </w:rPr>
  </w:style>
  <w:style w:type="paragraph" w:styleId="ListParagraph">
    <w:name w:val="List Paragraph"/>
    <w:basedOn w:val="Normal"/>
    <w:uiPriority w:val="34"/>
    <w:qFormat/>
    <w:rsid w:val="00237031"/>
    <w:pPr>
      <w:ind w:left="720"/>
      <w:contextualSpacing/>
    </w:pPr>
  </w:style>
  <w:style w:type="paragraph" w:styleId="Quote">
    <w:name w:val="Quote"/>
    <w:basedOn w:val="Normal"/>
    <w:next w:val="Normal"/>
    <w:link w:val="QuoteChar"/>
    <w:uiPriority w:val="29"/>
    <w:qFormat/>
    <w:rsid w:val="00237031"/>
    <w:rPr>
      <w:i/>
    </w:rPr>
  </w:style>
  <w:style w:type="character" w:customStyle="1" w:styleId="QuoteChar">
    <w:name w:val="Quote Char"/>
    <w:basedOn w:val="DefaultParagraphFont"/>
    <w:link w:val="Quote"/>
    <w:uiPriority w:val="29"/>
    <w:rsid w:val="00237031"/>
    <w:rPr>
      <w:i/>
      <w:sz w:val="24"/>
      <w:szCs w:val="24"/>
    </w:rPr>
  </w:style>
  <w:style w:type="paragraph" w:styleId="IntenseQuote">
    <w:name w:val="Intense Quote"/>
    <w:basedOn w:val="Normal"/>
    <w:next w:val="Normal"/>
    <w:link w:val="IntenseQuoteChar"/>
    <w:uiPriority w:val="30"/>
    <w:qFormat/>
    <w:rsid w:val="00237031"/>
    <w:pPr>
      <w:ind w:left="720" w:right="720"/>
    </w:pPr>
    <w:rPr>
      <w:b/>
      <w:i/>
      <w:szCs w:val="22"/>
    </w:rPr>
  </w:style>
  <w:style w:type="character" w:customStyle="1" w:styleId="IntenseQuoteChar">
    <w:name w:val="Intense Quote Char"/>
    <w:basedOn w:val="DefaultParagraphFont"/>
    <w:link w:val="IntenseQuote"/>
    <w:uiPriority w:val="30"/>
    <w:rsid w:val="00237031"/>
    <w:rPr>
      <w:b/>
      <w:i/>
      <w:sz w:val="24"/>
    </w:rPr>
  </w:style>
  <w:style w:type="character" w:styleId="SubtleEmphasis">
    <w:name w:val="Subtle Emphasis"/>
    <w:uiPriority w:val="19"/>
    <w:qFormat/>
    <w:rsid w:val="00237031"/>
    <w:rPr>
      <w:i/>
      <w:color w:val="5A5A5A" w:themeColor="text1" w:themeTint="A5"/>
    </w:rPr>
  </w:style>
  <w:style w:type="character" w:styleId="IntenseEmphasis">
    <w:name w:val="Intense Emphasis"/>
    <w:basedOn w:val="DefaultParagraphFont"/>
    <w:uiPriority w:val="21"/>
    <w:qFormat/>
    <w:rsid w:val="00237031"/>
    <w:rPr>
      <w:b/>
      <w:i/>
      <w:sz w:val="24"/>
      <w:szCs w:val="24"/>
      <w:u w:val="single"/>
    </w:rPr>
  </w:style>
  <w:style w:type="character" w:styleId="SubtleReference">
    <w:name w:val="Subtle Reference"/>
    <w:basedOn w:val="DefaultParagraphFont"/>
    <w:uiPriority w:val="31"/>
    <w:qFormat/>
    <w:rsid w:val="00237031"/>
    <w:rPr>
      <w:sz w:val="24"/>
      <w:szCs w:val="24"/>
      <w:u w:val="single"/>
    </w:rPr>
  </w:style>
  <w:style w:type="character" w:styleId="IntenseReference">
    <w:name w:val="Intense Reference"/>
    <w:basedOn w:val="DefaultParagraphFont"/>
    <w:uiPriority w:val="32"/>
    <w:qFormat/>
    <w:rsid w:val="00237031"/>
    <w:rPr>
      <w:b/>
      <w:sz w:val="24"/>
      <w:u w:val="single"/>
    </w:rPr>
  </w:style>
  <w:style w:type="character" w:styleId="BookTitle">
    <w:name w:val="Book Title"/>
    <w:basedOn w:val="DefaultParagraphFont"/>
    <w:uiPriority w:val="33"/>
    <w:qFormat/>
    <w:rsid w:val="0023703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37031"/>
    <w:pPr>
      <w:outlineLvl w:val="9"/>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0A489A"/>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0A489A"/>
    <w:rPr>
      <w:sz w:val="20"/>
      <w:szCs w:val="20"/>
    </w:rPr>
  </w:style>
  <w:style w:type="character" w:styleId="FootnoteReference">
    <w:name w:val="footnote reference"/>
    <w:aliases w:val="o,fr"/>
    <w:basedOn w:val="DefaultParagraphFont"/>
    <w:uiPriority w:val="99"/>
    <w:unhideWhenUsed/>
    <w:rsid w:val="000A489A"/>
    <w:rPr>
      <w:vertAlign w:val="superscript"/>
    </w:rPr>
  </w:style>
  <w:style w:type="paragraph" w:styleId="BalloonText">
    <w:name w:val="Balloon Text"/>
    <w:basedOn w:val="Normal"/>
    <w:link w:val="BalloonTextChar"/>
    <w:unhideWhenUsed/>
    <w:rsid w:val="00C379B9"/>
    <w:rPr>
      <w:rFonts w:ascii="Tahoma" w:hAnsi="Tahoma" w:cs="Tahoma"/>
      <w:sz w:val="16"/>
      <w:szCs w:val="16"/>
    </w:rPr>
  </w:style>
  <w:style w:type="character" w:customStyle="1" w:styleId="BalloonTextChar">
    <w:name w:val="Balloon Text Char"/>
    <w:basedOn w:val="DefaultParagraphFont"/>
    <w:link w:val="BalloonText"/>
    <w:rsid w:val="00C379B9"/>
    <w:rPr>
      <w:rFonts w:ascii="Tahoma" w:hAnsi="Tahoma" w:cs="Tahoma"/>
      <w:sz w:val="16"/>
      <w:szCs w:val="16"/>
    </w:rPr>
  </w:style>
  <w:style w:type="paragraph" w:styleId="Header">
    <w:name w:val="header"/>
    <w:basedOn w:val="Normal"/>
    <w:link w:val="HeaderChar"/>
    <w:unhideWhenUsed/>
    <w:rsid w:val="000A5AF7"/>
    <w:pPr>
      <w:tabs>
        <w:tab w:val="center" w:pos="4680"/>
        <w:tab w:val="right" w:pos="9360"/>
      </w:tabs>
    </w:pPr>
  </w:style>
  <w:style w:type="character" w:customStyle="1" w:styleId="HeaderChar">
    <w:name w:val="Header Char"/>
    <w:basedOn w:val="DefaultParagraphFont"/>
    <w:link w:val="Header"/>
    <w:rsid w:val="000A5AF7"/>
    <w:rPr>
      <w:sz w:val="24"/>
      <w:szCs w:val="24"/>
    </w:rPr>
  </w:style>
  <w:style w:type="paragraph" w:styleId="Footer">
    <w:name w:val="footer"/>
    <w:basedOn w:val="Normal"/>
    <w:link w:val="FooterChar"/>
    <w:uiPriority w:val="99"/>
    <w:unhideWhenUsed/>
    <w:rsid w:val="000A5AF7"/>
    <w:pPr>
      <w:tabs>
        <w:tab w:val="center" w:pos="4680"/>
        <w:tab w:val="right" w:pos="9360"/>
      </w:tabs>
    </w:pPr>
  </w:style>
  <w:style w:type="character" w:customStyle="1" w:styleId="FooterChar">
    <w:name w:val="Footer Char"/>
    <w:basedOn w:val="DefaultParagraphFont"/>
    <w:link w:val="Footer"/>
    <w:uiPriority w:val="99"/>
    <w:rsid w:val="000A5AF7"/>
    <w:rPr>
      <w:sz w:val="24"/>
      <w:szCs w:val="24"/>
    </w:rPr>
  </w:style>
  <w:style w:type="paragraph" w:customStyle="1" w:styleId="p3">
    <w:name w:val="p3"/>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4">
    <w:name w:val="p14"/>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7">
    <w:name w:val="p17"/>
    <w:basedOn w:val="Normal"/>
    <w:rsid w:val="009D3EA0"/>
    <w:pPr>
      <w:widowControl w:val="0"/>
      <w:tabs>
        <w:tab w:val="left" w:pos="5057"/>
      </w:tabs>
      <w:autoSpaceDE w:val="0"/>
      <w:autoSpaceDN w:val="0"/>
      <w:adjustRightInd w:val="0"/>
      <w:ind w:left="3617"/>
    </w:pPr>
    <w:rPr>
      <w:rFonts w:ascii="Times New Roman" w:eastAsia="Times New Roman" w:hAnsi="Times New Roman"/>
      <w:lang w:bidi="ar-SA"/>
    </w:rPr>
  </w:style>
  <w:style w:type="paragraph" w:customStyle="1" w:styleId="p18">
    <w:name w:val="p18"/>
    <w:basedOn w:val="Normal"/>
    <w:rsid w:val="009D3EA0"/>
    <w:pPr>
      <w:widowControl w:val="0"/>
      <w:tabs>
        <w:tab w:val="left" w:pos="5062"/>
      </w:tabs>
      <w:autoSpaceDE w:val="0"/>
      <w:autoSpaceDN w:val="0"/>
      <w:adjustRightInd w:val="0"/>
      <w:ind w:left="3622"/>
    </w:pPr>
    <w:rPr>
      <w:rFonts w:ascii="Times New Roman" w:eastAsia="Times New Roman" w:hAnsi="Times New Roman"/>
      <w:lang w:bidi="ar-SA"/>
    </w:rPr>
  </w:style>
  <w:style w:type="character" w:styleId="Hyperlink">
    <w:name w:val="Hyperlink"/>
    <w:uiPriority w:val="99"/>
    <w:rsid w:val="009D3EA0"/>
    <w:rPr>
      <w:color w:val="0000FF"/>
      <w:u w:val="single"/>
    </w:rPr>
  </w:style>
  <w:style w:type="paragraph" w:styleId="BodyText">
    <w:name w:val="Body Text"/>
    <w:basedOn w:val="Normal"/>
    <w:link w:val="BodyTextChar"/>
    <w:rsid w:val="009D3EA0"/>
    <w:rPr>
      <w:rFonts w:ascii="Times New Roman" w:eastAsia="Times New Roman" w:hAnsi="Times New Roman"/>
      <w:sz w:val="26"/>
      <w:szCs w:val="20"/>
      <w:lang w:bidi="ar-SA"/>
    </w:rPr>
  </w:style>
  <w:style w:type="character" w:customStyle="1" w:styleId="BodyTextChar">
    <w:name w:val="Body Text Char"/>
    <w:basedOn w:val="DefaultParagraphFont"/>
    <w:link w:val="BodyText"/>
    <w:rsid w:val="009D3EA0"/>
    <w:rPr>
      <w:rFonts w:ascii="Times New Roman" w:eastAsia="Times New Roman" w:hAnsi="Times New Roman"/>
      <w:sz w:val="26"/>
      <w:szCs w:val="20"/>
      <w:lang w:bidi="ar-SA"/>
    </w:rPr>
  </w:style>
  <w:style w:type="paragraph" w:styleId="NormalWeb">
    <w:name w:val="Normal (Web)"/>
    <w:basedOn w:val="Normal"/>
    <w:uiPriority w:val="99"/>
    <w:unhideWhenUsed/>
    <w:rsid w:val="009D3EA0"/>
    <w:pPr>
      <w:spacing w:before="100" w:beforeAutospacing="1" w:after="100" w:afterAutospacing="1"/>
    </w:pPr>
    <w:rPr>
      <w:rFonts w:ascii="Times New Roman" w:eastAsia="Times New Roman" w:hAnsi="Times New Roman"/>
      <w:lang w:bidi="ar-SA"/>
    </w:rPr>
  </w:style>
  <w:style w:type="paragraph" w:styleId="EndnoteText">
    <w:name w:val="endnote text"/>
    <w:basedOn w:val="Normal"/>
    <w:link w:val="EndnoteTextChar"/>
    <w:rsid w:val="009D3EA0"/>
    <w:rPr>
      <w:rFonts w:ascii="Courier New" w:eastAsia="Times New Roman" w:hAnsi="Courier New"/>
      <w:sz w:val="20"/>
      <w:szCs w:val="20"/>
      <w:lang w:bidi="ar-SA"/>
    </w:rPr>
  </w:style>
  <w:style w:type="character" w:customStyle="1" w:styleId="EndnoteTextChar">
    <w:name w:val="Endnote Text Char"/>
    <w:basedOn w:val="DefaultParagraphFont"/>
    <w:link w:val="EndnoteText"/>
    <w:rsid w:val="009D3EA0"/>
    <w:rPr>
      <w:rFonts w:ascii="Courier New" w:eastAsia="Times New Roman" w:hAnsi="Courier New"/>
      <w:sz w:val="20"/>
      <w:szCs w:val="20"/>
      <w:lang w:bidi="ar-SA"/>
    </w:rPr>
  </w:style>
  <w:style w:type="character" w:styleId="EndnoteReference">
    <w:name w:val="endnote reference"/>
    <w:rsid w:val="009D3EA0"/>
    <w:rPr>
      <w:vertAlign w:val="superscript"/>
    </w:rPr>
  </w:style>
  <w:style w:type="character" w:styleId="CommentReference">
    <w:name w:val="annotation reference"/>
    <w:uiPriority w:val="99"/>
    <w:rsid w:val="009D3EA0"/>
    <w:rPr>
      <w:sz w:val="16"/>
      <w:szCs w:val="16"/>
    </w:rPr>
  </w:style>
  <w:style w:type="paragraph" w:styleId="CommentText">
    <w:name w:val="annotation text"/>
    <w:basedOn w:val="Normal"/>
    <w:link w:val="CommentTextChar"/>
    <w:uiPriority w:val="99"/>
    <w:rsid w:val="003D0B55"/>
    <w:rPr>
      <w:rFonts w:ascii="Palatino Linotype" w:eastAsia="Times New Roman" w:hAnsi="Palatino Linotype"/>
      <w:sz w:val="22"/>
      <w:szCs w:val="20"/>
      <w:lang w:bidi="ar-SA"/>
    </w:rPr>
  </w:style>
  <w:style w:type="character" w:customStyle="1" w:styleId="CommentTextChar">
    <w:name w:val="Comment Text Char"/>
    <w:basedOn w:val="DefaultParagraphFont"/>
    <w:link w:val="CommentText"/>
    <w:uiPriority w:val="99"/>
    <w:rsid w:val="003D0B55"/>
    <w:rPr>
      <w:rFonts w:ascii="Palatino Linotype" w:eastAsia="Times New Roman" w:hAnsi="Palatino Linotype"/>
      <w:szCs w:val="20"/>
      <w:lang w:bidi="ar-SA"/>
    </w:rPr>
  </w:style>
  <w:style w:type="paragraph" w:styleId="CommentSubject">
    <w:name w:val="annotation subject"/>
    <w:basedOn w:val="CommentText"/>
    <w:next w:val="CommentText"/>
    <w:link w:val="CommentSubjectChar"/>
    <w:rsid w:val="009D3EA0"/>
    <w:rPr>
      <w:b/>
      <w:bCs/>
    </w:rPr>
  </w:style>
  <w:style w:type="character" w:customStyle="1" w:styleId="CommentSubjectChar">
    <w:name w:val="Comment Subject Char"/>
    <w:basedOn w:val="CommentTextChar"/>
    <w:link w:val="CommentSubject"/>
    <w:rsid w:val="009D3EA0"/>
    <w:rPr>
      <w:rFonts w:ascii="Courier New" w:eastAsia="Times New Roman" w:hAnsi="Courier New"/>
      <w:b/>
      <w:bCs/>
      <w:sz w:val="20"/>
      <w:szCs w:val="20"/>
      <w:lang w:bidi="ar-SA"/>
    </w:rPr>
  </w:style>
  <w:style w:type="paragraph" w:styleId="PlainText">
    <w:name w:val="Plain Text"/>
    <w:basedOn w:val="Normal"/>
    <w:link w:val="PlainTextChar"/>
    <w:uiPriority w:val="99"/>
    <w:unhideWhenUsed/>
    <w:rsid w:val="009D3EA0"/>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9D3EA0"/>
    <w:rPr>
      <w:rFonts w:ascii="Consolas" w:eastAsia="Calibri" w:hAnsi="Consolas"/>
      <w:sz w:val="21"/>
      <w:szCs w:val="21"/>
      <w:lang w:bidi="ar-SA"/>
    </w:rPr>
  </w:style>
  <w:style w:type="table" w:styleId="TableGrid">
    <w:name w:val="Table Grid"/>
    <w:basedOn w:val="TableNormal"/>
    <w:uiPriority w:val="59"/>
    <w:rsid w:val="009D3EA0"/>
    <w:pPr>
      <w:spacing w:after="0"/>
    </w:pPr>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D3EA0"/>
    <w:rPr>
      <w:color w:val="800080"/>
      <w:u w:val="single"/>
    </w:rPr>
  </w:style>
  <w:style w:type="paragraph" w:styleId="Revision">
    <w:name w:val="Revision"/>
    <w:hidden/>
    <w:uiPriority w:val="99"/>
    <w:semiHidden/>
    <w:rsid w:val="009D3EA0"/>
    <w:pPr>
      <w:spacing w:after="0"/>
    </w:pPr>
    <w:rPr>
      <w:rFonts w:ascii="Times New Roman" w:eastAsia="Times New Roman" w:hAnsi="Times New Roman"/>
      <w:sz w:val="24"/>
      <w:szCs w:val="24"/>
      <w:lang w:bidi="ar-SA"/>
    </w:rPr>
  </w:style>
  <w:style w:type="paragraph" w:customStyle="1" w:styleId="StyleCentered">
    <w:name w:val="Style Centered"/>
    <w:basedOn w:val="Normal"/>
    <w:rsid w:val="00E91F49"/>
    <w:pPr>
      <w:overflowPunct w:val="0"/>
      <w:autoSpaceDE w:val="0"/>
      <w:autoSpaceDN w:val="0"/>
      <w:adjustRightInd w:val="0"/>
      <w:jc w:val="center"/>
      <w:textAlignment w:val="baseline"/>
    </w:pPr>
    <w:rPr>
      <w:rFonts w:ascii="Times New Roman" w:eastAsia="Times New Roman" w:hAnsi="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4585">
      <w:bodyDiv w:val="1"/>
      <w:marLeft w:val="0"/>
      <w:marRight w:val="0"/>
      <w:marTop w:val="0"/>
      <w:marBottom w:val="0"/>
      <w:divBdr>
        <w:top w:val="none" w:sz="0" w:space="0" w:color="auto"/>
        <w:left w:val="none" w:sz="0" w:space="0" w:color="auto"/>
        <w:bottom w:val="none" w:sz="0" w:space="0" w:color="auto"/>
        <w:right w:val="none" w:sz="0" w:space="0" w:color="auto"/>
      </w:divBdr>
      <w:divsChild>
        <w:div w:id="1428228117">
          <w:marLeft w:val="0"/>
          <w:marRight w:val="0"/>
          <w:marTop w:val="0"/>
          <w:marBottom w:val="0"/>
          <w:divBdr>
            <w:top w:val="none" w:sz="0" w:space="0" w:color="auto"/>
            <w:left w:val="none" w:sz="0" w:space="0" w:color="auto"/>
            <w:bottom w:val="none" w:sz="0" w:space="0" w:color="auto"/>
            <w:right w:val="none" w:sz="0" w:space="0" w:color="auto"/>
          </w:divBdr>
          <w:divsChild>
            <w:div w:id="2024085554">
              <w:marLeft w:val="0"/>
              <w:marRight w:val="0"/>
              <w:marTop w:val="0"/>
              <w:marBottom w:val="0"/>
              <w:divBdr>
                <w:top w:val="none" w:sz="0" w:space="0" w:color="auto"/>
                <w:left w:val="none" w:sz="0" w:space="0" w:color="auto"/>
                <w:bottom w:val="none" w:sz="0" w:space="0" w:color="auto"/>
                <w:right w:val="none" w:sz="0" w:space="0" w:color="auto"/>
              </w:divBdr>
              <w:divsChild>
                <w:div w:id="87194856">
                  <w:marLeft w:val="0"/>
                  <w:marRight w:val="0"/>
                  <w:marTop w:val="0"/>
                  <w:marBottom w:val="0"/>
                  <w:divBdr>
                    <w:top w:val="none" w:sz="0" w:space="0" w:color="auto"/>
                    <w:left w:val="none" w:sz="0" w:space="0" w:color="auto"/>
                    <w:bottom w:val="none" w:sz="0" w:space="0" w:color="auto"/>
                    <w:right w:val="none" w:sz="0" w:space="0" w:color="auto"/>
                  </w:divBdr>
                  <w:divsChild>
                    <w:div w:id="2724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91736">
      <w:bodyDiv w:val="1"/>
      <w:marLeft w:val="0"/>
      <w:marRight w:val="0"/>
      <w:marTop w:val="0"/>
      <w:marBottom w:val="0"/>
      <w:divBdr>
        <w:top w:val="none" w:sz="0" w:space="0" w:color="auto"/>
        <w:left w:val="none" w:sz="0" w:space="0" w:color="auto"/>
        <w:bottom w:val="none" w:sz="0" w:space="0" w:color="auto"/>
        <w:right w:val="none" w:sz="0" w:space="0" w:color="auto"/>
      </w:divBdr>
      <w:divsChild>
        <w:div w:id="1324580113">
          <w:marLeft w:val="0"/>
          <w:marRight w:val="0"/>
          <w:marTop w:val="0"/>
          <w:marBottom w:val="0"/>
          <w:divBdr>
            <w:top w:val="none" w:sz="0" w:space="0" w:color="auto"/>
            <w:left w:val="none" w:sz="0" w:space="0" w:color="auto"/>
            <w:bottom w:val="none" w:sz="0" w:space="0" w:color="auto"/>
            <w:right w:val="none" w:sz="0" w:space="0" w:color="auto"/>
          </w:divBdr>
          <w:divsChild>
            <w:div w:id="212498969">
              <w:marLeft w:val="0"/>
              <w:marRight w:val="0"/>
              <w:marTop w:val="0"/>
              <w:marBottom w:val="0"/>
              <w:divBdr>
                <w:top w:val="none" w:sz="0" w:space="0" w:color="auto"/>
                <w:left w:val="none" w:sz="0" w:space="0" w:color="auto"/>
                <w:bottom w:val="none" w:sz="0" w:space="0" w:color="auto"/>
                <w:right w:val="none" w:sz="0" w:space="0" w:color="auto"/>
              </w:divBdr>
              <w:divsChild>
                <w:div w:id="542714750">
                  <w:marLeft w:val="0"/>
                  <w:marRight w:val="0"/>
                  <w:marTop w:val="0"/>
                  <w:marBottom w:val="0"/>
                  <w:divBdr>
                    <w:top w:val="none" w:sz="0" w:space="0" w:color="auto"/>
                    <w:left w:val="none" w:sz="0" w:space="0" w:color="auto"/>
                    <w:bottom w:val="none" w:sz="0" w:space="0" w:color="auto"/>
                    <w:right w:val="none" w:sz="0" w:space="0" w:color="auto"/>
                  </w:divBdr>
                  <w:divsChild>
                    <w:div w:id="7304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83773">
      <w:bodyDiv w:val="1"/>
      <w:marLeft w:val="0"/>
      <w:marRight w:val="0"/>
      <w:marTop w:val="0"/>
      <w:marBottom w:val="0"/>
      <w:divBdr>
        <w:top w:val="none" w:sz="0" w:space="0" w:color="auto"/>
        <w:left w:val="none" w:sz="0" w:space="0" w:color="auto"/>
        <w:bottom w:val="none" w:sz="0" w:space="0" w:color="auto"/>
        <w:right w:val="none" w:sz="0" w:space="0" w:color="auto"/>
      </w:divBdr>
      <w:divsChild>
        <w:div w:id="287591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788205">
      <w:bodyDiv w:val="1"/>
      <w:marLeft w:val="0"/>
      <w:marRight w:val="0"/>
      <w:marTop w:val="0"/>
      <w:marBottom w:val="0"/>
      <w:divBdr>
        <w:top w:val="none" w:sz="0" w:space="0" w:color="auto"/>
        <w:left w:val="none" w:sz="0" w:space="0" w:color="auto"/>
        <w:bottom w:val="none" w:sz="0" w:space="0" w:color="auto"/>
        <w:right w:val="none" w:sz="0" w:space="0" w:color="auto"/>
      </w:divBdr>
      <w:divsChild>
        <w:div w:id="1881478963">
          <w:marLeft w:val="0"/>
          <w:marRight w:val="0"/>
          <w:marTop w:val="0"/>
          <w:marBottom w:val="0"/>
          <w:divBdr>
            <w:top w:val="none" w:sz="0" w:space="0" w:color="auto"/>
            <w:left w:val="none" w:sz="0" w:space="0" w:color="auto"/>
            <w:bottom w:val="none" w:sz="0" w:space="0" w:color="auto"/>
            <w:right w:val="none" w:sz="0" w:space="0" w:color="auto"/>
          </w:divBdr>
          <w:divsChild>
            <w:div w:id="1544950201">
              <w:marLeft w:val="0"/>
              <w:marRight w:val="0"/>
              <w:marTop w:val="0"/>
              <w:marBottom w:val="0"/>
              <w:divBdr>
                <w:top w:val="none" w:sz="0" w:space="0" w:color="auto"/>
                <w:left w:val="none" w:sz="0" w:space="0" w:color="auto"/>
                <w:bottom w:val="none" w:sz="0" w:space="0" w:color="auto"/>
                <w:right w:val="none" w:sz="0" w:space="0" w:color="auto"/>
              </w:divBdr>
              <w:divsChild>
                <w:div w:id="1072503155">
                  <w:marLeft w:val="0"/>
                  <w:marRight w:val="0"/>
                  <w:marTop w:val="0"/>
                  <w:marBottom w:val="0"/>
                  <w:divBdr>
                    <w:top w:val="none" w:sz="0" w:space="0" w:color="auto"/>
                    <w:left w:val="none" w:sz="0" w:space="0" w:color="auto"/>
                    <w:bottom w:val="none" w:sz="0" w:space="0" w:color="auto"/>
                    <w:right w:val="none" w:sz="0" w:space="0" w:color="auto"/>
                  </w:divBdr>
                  <w:divsChild>
                    <w:div w:id="13689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16170">
      <w:bodyDiv w:val="1"/>
      <w:marLeft w:val="0"/>
      <w:marRight w:val="0"/>
      <w:marTop w:val="0"/>
      <w:marBottom w:val="0"/>
      <w:divBdr>
        <w:top w:val="none" w:sz="0" w:space="0" w:color="auto"/>
        <w:left w:val="none" w:sz="0" w:space="0" w:color="auto"/>
        <w:bottom w:val="none" w:sz="0" w:space="0" w:color="auto"/>
        <w:right w:val="none" w:sz="0" w:space="0" w:color="auto"/>
      </w:divBdr>
      <w:divsChild>
        <w:div w:id="34421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69591">
      <w:bodyDiv w:val="1"/>
      <w:marLeft w:val="0"/>
      <w:marRight w:val="0"/>
      <w:marTop w:val="0"/>
      <w:marBottom w:val="0"/>
      <w:divBdr>
        <w:top w:val="none" w:sz="0" w:space="0" w:color="auto"/>
        <w:left w:val="none" w:sz="0" w:space="0" w:color="auto"/>
        <w:bottom w:val="none" w:sz="0" w:space="0" w:color="auto"/>
        <w:right w:val="none" w:sz="0" w:space="0" w:color="auto"/>
      </w:divBdr>
    </w:div>
    <w:div w:id="859513911">
      <w:bodyDiv w:val="1"/>
      <w:marLeft w:val="0"/>
      <w:marRight w:val="0"/>
      <w:marTop w:val="0"/>
      <w:marBottom w:val="0"/>
      <w:divBdr>
        <w:top w:val="none" w:sz="0" w:space="0" w:color="auto"/>
        <w:left w:val="none" w:sz="0" w:space="0" w:color="auto"/>
        <w:bottom w:val="none" w:sz="0" w:space="0" w:color="auto"/>
        <w:right w:val="none" w:sz="0" w:space="0" w:color="auto"/>
      </w:divBdr>
      <w:divsChild>
        <w:div w:id="169292615">
          <w:marLeft w:val="0"/>
          <w:marRight w:val="0"/>
          <w:marTop w:val="0"/>
          <w:marBottom w:val="0"/>
          <w:divBdr>
            <w:top w:val="none" w:sz="0" w:space="0" w:color="auto"/>
            <w:left w:val="none" w:sz="0" w:space="0" w:color="auto"/>
            <w:bottom w:val="none" w:sz="0" w:space="0" w:color="auto"/>
            <w:right w:val="none" w:sz="0" w:space="0" w:color="auto"/>
          </w:divBdr>
          <w:divsChild>
            <w:div w:id="1994018625">
              <w:marLeft w:val="0"/>
              <w:marRight w:val="0"/>
              <w:marTop w:val="0"/>
              <w:marBottom w:val="0"/>
              <w:divBdr>
                <w:top w:val="none" w:sz="0" w:space="0" w:color="auto"/>
                <w:left w:val="none" w:sz="0" w:space="0" w:color="auto"/>
                <w:bottom w:val="none" w:sz="0" w:space="0" w:color="auto"/>
                <w:right w:val="none" w:sz="0" w:space="0" w:color="auto"/>
              </w:divBdr>
              <w:divsChild>
                <w:div w:id="2130927102">
                  <w:marLeft w:val="0"/>
                  <w:marRight w:val="0"/>
                  <w:marTop w:val="0"/>
                  <w:marBottom w:val="0"/>
                  <w:divBdr>
                    <w:top w:val="none" w:sz="0" w:space="0" w:color="auto"/>
                    <w:left w:val="none" w:sz="0" w:space="0" w:color="auto"/>
                    <w:bottom w:val="none" w:sz="0" w:space="0" w:color="auto"/>
                    <w:right w:val="none" w:sz="0" w:space="0" w:color="auto"/>
                  </w:divBdr>
                  <w:divsChild>
                    <w:div w:id="15604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1033">
      <w:bodyDiv w:val="1"/>
      <w:marLeft w:val="0"/>
      <w:marRight w:val="0"/>
      <w:marTop w:val="0"/>
      <w:marBottom w:val="0"/>
      <w:divBdr>
        <w:top w:val="none" w:sz="0" w:space="0" w:color="auto"/>
        <w:left w:val="none" w:sz="0" w:space="0" w:color="auto"/>
        <w:bottom w:val="none" w:sz="0" w:space="0" w:color="auto"/>
        <w:right w:val="none" w:sz="0" w:space="0" w:color="auto"/>
      </w:divBdr>
    </w:div>
    <w:div w:id="1103037798">
      <w:bodyDiv w:val="1"/>
      <w:marLeft w:val="0"/>
      <w:marRight w:val="0"/>
      <w:marTop w:val="0"/>
      <w:marBottom w:val="0"/>
      <w:divBdr>
        <w:top w:val="none" w:sz="0" w:space="0" w:color="auto"/>
        <w:left w:val="none" w:sz="0" w:space="0" w:color="auto"/>
        <w:bottom w:val="none" w:sz="0" w:space="0" w:color="auto"/>
        <w:right w:val="none" w:sz="0" w:space="0" w:color="auto"/>
      </w:divBdr>
    </w:div>
    <w:div w:id="1164053205">
      <w:bodyDiv w:val="1"/>
      <w:marLeft w:val="0"/>
      <w:marRight w:val="0"/>
      <w:marTop w:val="0"/>
      <w:marBottom w:val="0"/>
      <w:divBdr>
        <w:top w:val="none" w:sz="0" w:space="0" w:color="auto"/>
        <w:left w:val="none" w:sz="0" w:space="0" w:color="auto"/>
        <w:bottom w:val="none" w:sz="0" w:space="0" w:color="auto"/>
        <w:right w:val="none" w:sz="0" w:space="0" w:color="auto"/>
      </w:divBdr>
      <w:divsChild>
        <w:div w:id="1426682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464891">
      <w:bodyDiv w:val="1"/>
      <w:marLeft w:val="0"/>
      <w:marRight w:val="0"/>
      <w:marTop w:val="0"/>
      <w:marBottom w:val="0"/>
      <w:divBdr>
        <w:top w:val="none" w:sz="0" w:space="0" w:color="auto"/>
        <w:left w:val="none" w:sz="0" w:space="0" w:color="auto"/>
        <w:bottom w:val="none" w:sz="0" w:space="0" w:color="auto"/>
        <w:right w:val="none" w:sz="0" w:space="0" w:color="auto"/>
      </w:divBdr>
    </w:div>
    <w:div w:id="1276057667">
      <w:bodyDiv w:val="1"/>
      <w:marLeft w:val="0"/>
      <w:marRight w:val="0"/>
      <w:marTop w:val="0"/>
      <w:marBottom w:val="0"/>
      <w:divBdr>
        <w:top w:val="none" w:sz="0" w:space="0" w:color="auto"/>
        <w:left w:val="none" w:sz="0" w:space="0" w:color="auto"/>
        <w:bottom w:val="none" w:sz="0" w:space="0" w:color="auto"/>
        <w:right w:val="none" w:sz="0" w:space="0" w:color="auto"/>
      </w:divBdr>
      <w:divsChild>
        <w:div w:id="1378512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935132">
      <w:bodyDiv w:val="1"/>
      <w:marLeft w:val="0"/>
      <w:marRight w:val="0"/>
      <w:marTop w:val="0"/>
      <w:marBottom w:val="0"/>
      <w:divBdr>
        <w:top w:val="none" w:sz="0" w:space="0" w:color="auto"/>
        <w:left w:val="none" w:sz="0" w:space="0" w:color="auto"/>
        <w:bottom w:val="none" w:sz="0" w:space="0" w:color="auto"/>
        <w:right w:val="none" w:sz="0" w:space="0" w:color="auto"/>
      </w:divBdr>
    </w:div>
    <w:div w:id="1368947029">
      <w:bodyDiv w:val="1"/>
      <w:marLeft w:val="0"/>
      <w:marRight w:val="0"/>
      <w:marTop w:val="0"/>
      <w:marBottom w:val="0"/>
      <w:divBdr>
        <w:top w:val="none" w:sz="0" w:space="0" w:color="auto"/>
        <w:left w:val="none" w:sz="0" w:space="0" w:color="auto"/>
        <w:bottom w:val="none" w:sz="0" w:space="0" w:color="auto"/>
        <w:right w:val="none" w:sz="0" w:space="0" w:color="auto"/>
      </w:divBdr>
    </w:div>
    <w:div w:id="1430269831">
      <w:bodyDiv w:val="1"/>
      <w:marLeft w:val="0"/>
      <w:marRight w:val="0"/>
      <w:marTop w:val="0"/>
      <w:marBottom w:val="0"/>
      <w:divBdr>
        <w:top w:val="none" w:sz="0" w:space="0" w:color="auto"/>
        <w:left w:val="none" w:sz="0" w:space="0" w:color="auto"/>
        <w:bottom w:val="none" w:sz="0" w:space="0" w:color="auto"/>
        <w:right w:val="none" w:sz="0" w:space="0" w:color="auto"/>
      </w:divBdr>
      <w:divsChild>
        <w:div w:id="939289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248667">
      <w:bodyDiv w:val="1"/>
      <w:marLeft w:val="0"/>
      <w:marRight w:val="0"/>
      <w:marTop w:val="0"/>
      <w:marBottom w:val="0"/>
      <w:divBdr>
        <w:top w:val="none" w:sz="0" w:space="0" w:color="auto"/>
        <w:left w:val="none" w:sz="0" w:space="0" w:color="auto"/>
        <w:bottom w:val="none" w:sz="0" w:space="0" w:color="auto"/>
        <w:right w:val="none" w:sz="0" w:space="0" w:color="auto"/>
      </w:divBdr>
    </w:div>
    <w:div w:id="1461335524">
      <w:bodyDiv w:val="1"/>
      <w:marLeft w:val="0"/>
      <w:marRight w:val="0"/>
      <w:marTop w:val="0"/>
      <w:marBottom w:val="0"/>
      <w:divBdr>
        <w:top w:val="none" w:sz="0" w:space="0" w:color="auto"/>
        <w:left w:val="none" w:sz="0" w:space="0" w:color="auto"/>
        <w:bottom w:val="none" w:sz="0" w:space="0" w:color="auto"/>
        <w:right w:val="none" w:sz="0" w:space="0" w:color="auto"/>
      </w:divBdr>
    </w:div>
    <w:div w:id="1613898880">
      <w:bodyDiv w:val="1"/>
      <w:marLeft w:val="0"/>
      <w:marRight w:val="0"/>
      <w:marTop w:val="0"/>
      <w:marBottom w:val="0"/>
      <w:divBdr>
        <w:top w:val="none" w:sz="0" w:space="0" w:color="auto"/>
        <w:left w:val="none" w:sz="0" w:space="0" w:color="auto"/>
        <w:bottom w:val="none" w:sz="0" w:space="0" w:color="auto"/>
        <w:right w:val="none" w:sz="0" w:space="0" w:color="auto"/>
      </w:divBdr>
      <w:divsChild>
        <w:div w:id="374892163">
          <w:marLeft w:val="0"/>
          <w:marRight w:val="0"/>
          <w:marTop w:val="0"/>
          <w:marBottom w:val="0"/>
          <w:divBdr>
            <w:top w:val="none" w:sz="0" w:space="0" w:color="auto"/>
            <w:left w:val="none" w:sz="0" w:space="0" w:color="auto"/>
            <w:bottom w:val="none" w:sz="0" w:space="0" w:color="auto"/>
            <w:right w:val="none" w:sz="0" w:space="0" w:color="auto"/>
          </w:divBdr>
          <w:divsChild>
            <w:div w:id="1434010949">
              <w:marLeft w:val="0"/>
              <w:marRight w:val="0"/>
              <w:marTop w:val="0"/>
              <w:marBottom w:val="0"/>
              <w:divBdr>
                <w:top w:val="none" w:sz="0" w:space="0" w:color="auto"/>
                <w:left w:val="none" w:sz="0" w:space="0" w:color="auto"/>
                <w:bottom w:val="none" w:sz="0" w:space="0" w:color="auto"/>
                <w:right w:val="none" w:sz="0" w:space="0" w:color="auto"/>
              </w:divBdr>
              <w:divsChild>
                <w:div w:id="1800567238">
                  <w:marLeft w:val="0"/>
                  <w:marRight w:val="0"/>
                  <w:marTop w:val="0"/>
                  <w:marBottom w:val="0"/>
                  <w:divBdr>
                    <w:top w:val="none" w:sz="0" w:space="0" w:color="auto"/>
                    <w:left w:val="none" w:sz="0" w:space="0" w:color="auto"/>
                    <w:bottom w:val="none" w:sz="0" w:space="0" w:color="auto"/>
                    <w:right w:val="none" w:sz="0" w:space="0" w:color="auto"/>
                  </w:divBdr>
                  <w:divsChild>
                    <w:div w:id="2963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426959">
      <w:bodyDiv w:val="1"/>
      <w:marLeft w:val="0"/>
      <w:marRight w:val="0"/>
      <w:marTop w:val="0"/>
      <w:marBottom w:val="0"/>
      <w:divBdr>
        <w:top w:val="none" w:sz="0" w:space="0" w:color="auto"/>
        <w:left w:val="none" w:sz="0" w:space="0" w:color="auto"/>
        <w:bottom w:val="none" w:sz="0" w:space="0" w:color="auto"/>
        <w:right w:val="none" w:sz="0" w:space="0" w:color="auto"/>
      </w:divBdr>
    </w:div>
    <w:div w:id="1674642081">
      <w:bodyDiv w:val="1"/>
      <w:marLeft w:val="0"/>
      <w:marRight w:val="0"/>
      <w:marTop w:val="0"/>
      <w:marBottom w:val="0"/>
      <w:divBdr>
        <w:top w:val="none" w:sz="0" w:space="0" w:color="auto"/>
        <w:left w:val="none" w:sz="0" w:space="0" w:color="auto"/>
        <w:bottom w:val="none" w:sz="0" w:space="0" w:color="auto"/>
        <w:right w:val="none" w:sz="0" w:space="0" w:color="auto"/>
      </w:divBdr>
    </w:div>
    <w:div w:id="1718360155">
      <w:bodyDiv w:val="1"/>
      <w:marLeft w:val="0"/>
      <w:marRight w:val="0"/>
      <w:marTop w:val="0"/>
      <w:marBottom w:val="0"/>
      <w:divBdr>
        <w:top w:val="none" w:sz="0" w:space="0" w:color="auto"/>
        <w:left w:val="none" w:sz="0" w:space="0" w:color="auto"/>
        <w:bottom w:val="none" w:sz="0" w:space="0" w:color="auto"/>
        <w:right w:val="none" w:sz="0" w:space="0" w:color="auto"/>
      </w:divBdr>
    </w:div>
    <w:div w:id="1743991304">
      <w:bodyDiv w:val="1"/>
      <w:marLeft w:val="0"/>
      <w:marRight w:val="0"/>
      <w:marTop w:val="0"/>
      <w:marBottom w:val="0"/>
      <w:divBdr>
        <w:top w:val="none" w:sz="0" w:space="0" w:color="auto"/>
        <w:left w:val="none" w:sz="0" w:space="0" w:color="auto"/>
        <w:bottom w:val="none" w:sz="0" w:space="0" w:color="auto"/>
        <w:right w:val="none" w:sz="0" w:space="0" w:color="auto"/>
      </w:divBdr>
      <w:divsChild>
        <w:div w:id="691302053">
          <w:marLeft w:val="0"/>
          <w:marRight w:val="0"/>
          <w:marTop w:val="0"/>
          <w:marBottom w:val="0"/>
          <w:divBdr>
            <w:top w:val="none" w:sz="0" w:space="0" w:color="auto"/>
            <w:left w:val="none" w:sz="0" w:space="0" w:color="auto"/>
            <w:bottom w:val="none" w:sz="0" w:space="0" w:color="auto"/>
            <w:right w:val="none" w:sz="0" w:space="0" w:color="auto"/>
          </w:divBdr>
          <w:divsChild>
            <w:div w:id="1583248393">
              <w:marLeft w:val="0"/>
              <w:marRight w:val="0"/>
              <w:marTop w:val="0"/>
              <w:marBottom w:val="0"/>
              <w:divBdr>
                <w:top w:val="none" w:sz="0" w:space="0" w:color="auto"/>
                <w:left w:val="none" w:sz="0" w:space="0" w:color="auto"/>
                <w:bottom w:val="none" w:sz="0" w:space="0" w:color="auto"/>
                <w:right w:val="none" w:sz="0" w:space="0" w:color="auto"/>
              </w:divBdr>
              <w:divsChild>
                <w:div w:id="1665161151">
                  <w:marLeft w:val="0"/>
                  <w:marRight w:val="0"/>
                  <w:marTop w:val="0"/>
                  <w:marBottom w:val="0"/>
                  <w:divBdr>
                    <w:top w:val="none" w:sz="0" w:space="0" w:color="auto"/>
                    <w:left w:val="none" w:sz="0" w:space="0" w:color="auto"/>
                    <w:bottom w:val="none" w:sz="0" w:space="0" w:color="auto"/>
                    <w:right w:val="none" w:sz="0" w:space="0" w:color="auto"/>
                  </w:divBdr>
                  <w:divsChild>
                    <w:div w:id="11398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14284">
      <w:bodyDiv w:val="1"/>
      <w:marLeft w:val="0"/>
      <w:marRight w:val="0"/>
      <w:marTop w:val="0"/>
      <w:marBottom w:val="0"/>
      <w:divBdr>
        <w:top w:val="none" w:sz="0" w:space="0" w:color="auto"/>
        <w:left w:val="none" w:sz="0" w:space="0" w:color="auto"/>
        <w:bottom w:val="none" w:sz="0" w:space="0" w:color="auto"/>
        <w:right w:val="none" w:sz="0" w:space="0" w:color="auto"/>
      </w:divBdr>
      <w:divsChild>
        <w:div w:id="1312322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313645">
      <w:bodyDiv w:val="1"/>
      <w:marLeft w:val="0"/>
      <w:marRight w:val="0"/>
      <w:marTop w:val="0"/>
      <w:marBottom w:val="0"/>
      <w:divBdr>
        <w:top w:val="none" w:sz="0" w:space="0" w:color="auto"/>
        <w:left w:val="none" w:sz="0" w:space="0" w:color="auto"/>
        <w:bottom w:val="none" w:sz="0" w:space="0" w:color="auto"/>
        <w:right w:val="none" w:sz="0" w:space="0" w:color="auto"/>
      </w:divBdr>
      <w:divsChild>
        <w:div w:id="585917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ca.state.pa.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aGasSwitch.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PaGasSwitch.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oca.state.pa.us/information_links/UniversalServNos.htm" TargetMode="External"/><Relationship Id="rId1" Type="http://schemas.openxmlformats.org/officeDocument/2006/relationships/hyperlink" Target="http://www.puc.state.pa.us/about_pu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8FFBB-C3FD-4CD9-9123-CC29AC43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59</Pages>
  <Words>17922</Words>
  <Characters>102158</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costarr</dc:creator>
  <cp:lastModifiedBy>Wagner, Nathan R</cp:lastModifiedBy>
  <cp:revision>11</cp:revision>
  <cp:lastPrinted>2016-04-13T19:55:00Z</cp:lastPrinted>
  <dcterms:created xsi:type="dcterms:W3CDTF">2016-04-13T19:28:00Z</dcterms:created>
  <dcterms:modified xsi:type="dcterms:W3CDTF">2016-04-21T13:35:00Z</dcterms:modified>
</cp:coreProperties>
</file>