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74A51" w:rsidRDefault="00C74A51">
            <w:pPr>
              <w:jc w:val="center"/>
              <w:rPr>
                <w:rFonts w:ascii="Arial" w:hAnsi="Arial"/>
                <w:sz w:val="12"/>
              </w:rPr>
            </w:pPr>
            <w:r>
              <w:rPr>
                <w:rFonts w:ascii="Arial" w:hAnsi="Arial"/>
                <w:color w:val="000080"/>
                <w:spacing w:val="-3"/>
                <w:sz w:val="26"/>
              </w:rPr>
              <w:t>P.O. BOX 3265, HARRISBURG, PA 17105-3265</w:t>
            </w:r>
          </w:p>
        </w:tc>
        <w:tc>
          <w:tcPr>
            <w:tcW w:w="1440" w:type="dxa"/>
          </w:tcPr>
          <w:p w:rsidR="00C74A51" w:rsidRDefault="00C74A51">
            <w:pPr>
              <w:rPr>
                <w:rFonts w:ascii="Arial" w:hAnsi="Arial"/>
                <w:sz w:val="12"/>
              </w:rPr>
            </w:pPr>
          </w:p>
          <w:p w:rsidR="00C74A51" w:rsidRDefault="00C74A51">
            <w:pPr>
              <w:rPr>
                <w:rFonts w:ascii="Arial" w:hAnsi="Arial"/>
                <w:sz w:val="12"/>
              </w:rPr>
            </w:pPr>
          </w:p>
          <w:p w:rsidR="003569E8" w:rsidRPr="00E23926" w:rsidRDefault="003569E8" w:rsidP="00FC7B5D">
            <w:pPr>
              <w:jc w:val="right"/>
              <w:rPr>
                <w:rFonts w:ascii="Arial" w:hAnsi="Arial"/>
                <w:sz w:val="16"/>
                <w:szCs w:val="16"/>
              </w:rPr>
            </w:pPr>
          </w:p>
        </w:tc>
      </w:tr>
    </w:tbl>
    <w:p w:rsidR="002720AD" w:rsidRDefault="002720AD" w:rsidP="002720AD">
      <w:pPr>
        <w:jc w:val="center"/>
        <w:rPr>
          <w:sz w:val="24"/>
          <w:szCs w:val="24"/>
        </w:rPr>
      </w:pPr>
      <w:r>
        <w:rPr>
          <w:sz w:val="24"/>
          <w:szCs w:val="24"/>
        </w:rPr>
        <w:t>April 8, 2016</w:t>
      </w:r>
    </w:p>
    <w:p w:rsidR="00C11919" w:rsidRDefault="00C11919" w:rsidP="00C11919">
      <w:pPr>
        <w:jc w:val="right"/>
        <w:rPr>
          <w:sz w:val="24"/>
          <w:szCs w:val="24"/>
        </w:rPr>
      </w:pPr>
      <w:r>
        <w:rPr>
          <w:sz w:val="24"/>
          <w:szCs w:val="24"/>
        </w:rPr>
        <w:t xml:space="preserve">Docket No. </w:t>
      </w:r>
      <w:r w:rsidR="004D4C97">
        <w:rPr>
          <w:sz w:val="24"/>
          <w:szCs w:val="24"/>
        </w:rPr>
        <w:t>M-2013-2393141</w:t>
      </w:r>
    </w:p>
    <w:p w:rsidR="00C26D92" w:rsidRDefault="00C26D92" w:rsidP="00710DBE">
      <w:pPr>
        <w:rPr>
          <w:sz w:val="24"/>
          <w:szCs w:val="24"/>
        </w:rPr>
      </w:pPr>
    </w:p>
    <w:p w:rsidR="00C766AA" w:rsidRDefault="00C766AA" w:rsidP="00710DBE">
      <w:pPr>
        <w:rPr>
          <w:sz w:val="24"/>
          <w:szCs w:val="24"/>
        </w:rPr>
      </w:pPr>
    </w:p>
    <w:p w:rsidR="004D4C97" w:rsidRDefault="004D4C97" w:rsidP="00710DBE">
      <w:pPr>
        <w:rPr>
          <w:sz w:val="24"/>
          <w:szCs w:val="24"/>
        </w:rPr>
      </w:pPr>
    </w:p>
    <w:p w:rsidR="00C766AA" w:rsidRDefault="00C766AA" w:rsidP="00710DBE">
      <w:pPr>
        <w:rPr>
          <w:sz w:val="24"/>
          <w:szCs w:val="24"/>
        </w:rPr>
      </w:pPr>
    </w:p>
    <w:p w:rsidR="00710DBE" w:rsidRPr="00C26D92" w:rsidRDefault="00710DBE" w:rsidP="00710DBE">
      <w:pPr>
        <w:rPr>
          <w:sz w:val="24"/>
          <w:szCs w:val="24"/>
        </w:rPr>
      </w:pPr>
      <w:r w:rsidRPr="00C26D92">
        <w:rPr>
          <w:sz w:val="24"/>
          <w:szCs w:val="24"/>
        </w:rPr>
        <w:t>TO ALL INTERESTED PARTIES:</w:t>
      </w:r>
    </w:p>
    <w:p w:rsidR="00710DBE" w:rsidRPr="00C26D92" w:rsidRDefault="00710DBE" w:rsidP="00710DBE">
      <w:pPr>
        <w:rPr>
          <w:sz w:val="24"/>
          <w:szCs w:val="24"/>
        </w:rPr>
      </w:pPr>
    </w:p>
    <w:p w:rsidR="00C26D92" w:rsidRPr="00C26D92" w:rsidRDefault="00307364" w:rsidP="00C26D92">
      <w:pPr>
        <w:ind w:left="1440" w:hanging="720"/>
        <w:rPr>
          <w:sz w:val="24"/>
          <w:szCs w:val="24"/>
        </w:rPr>
      </w:pPr>
      <w:r w:rsidRPr="00C26D92">
        <w:rPr>
          <w:sz w:val="24"/>
          <w:szCs w:val="24"/>
        </w:rPr>
        <w:t>Re:</w:t>
      </w:r>
      <w:r w:rsidRPr="00C26D92">
        <w:rPr>
          <w:sz w:val="24"/>
          <w:szCs w:val="24"/>
        </w:rPr>
        <w:tab/>
      </w:r>
      <w:r w:rsidR="00C26D92" w:rsidRPr="00C26D92">
        <w:rPr>
          <w:sz w:val="24"/>
          <w:szCs w:val="24"/>
        </w:rPr>
        <w:t>Guidance on Elect</w:t>
      </w:r>
      <w:r w:rsidR="009F4EDF">
        <w:rPr>
          <w:sz w:val="24"/>
          <w:szCs w:val="24"/>
        </w:rPr>
        <w:t xml:space="preserve">ric Generation Supplier Licensee Financial </w:t>
      </w:r>
      <w:r w:rsidR="002B6EE3">
        <w:rPr>
          <w:sz w:val="24"/>
          <w:szCs w:val="24"/>
        </w:rPr>
        <w:t>Security</w:t>
      </w:r>
      <w:r w:rsidR="009F4EDF">
        <w:rPr>
          <w:sz w:val="24"/>
          <w:szCs w:val="24"/>
        </w:rPr>
        <w:t xml:space="preserve"> </w:t>
      </w:r>
      <w:r w:rsidR="00C26D92" w:rsidRPr="00C26D92">
        <w:rPr>
          <w:sz w:val="24"/>
          <w:szCs w:val="24"/>
        </w:rPr>
        <w:t xml:space="preserve"> </w:t>
      </w:r>
    </w:p>
    <w:p w:rsidR="00710DBE" w:rsidRPr="00C26D92" w:rsidRDefault="00710DBE" w:rsidP="00710DBE">
      <w:pPr>
        <w:ind w:left="1440" w:hanging="720"/>
        <w:rPr>
          <w:sz w:val="24"/>
          <w:szCs w:val="24"/>
        </w:rPr>
      </w:pPr>
    </w:p>
    <w:p w:rsidR="00E43A98" w:rsidRPr="00C26D92" w:rsidRDefault="00E43A98" w:rsidP="00710DBE">
      <w:pPr>
        <w:rPr>
          <w:sz w:val="24"/>
          <w:szCs w:val="24"/>
        </w:rPr>
      </w:pPr>
    </w:p>
    <w:p w:rsidR="009C5767" w:rsidRDefault="00FC2644" w:rsidP="009F4EDF">
      <w:pPr>
        <w:rPr>
          <w:rFonts w:eastAsiaTheme="minorHAnsi"/>
          <w:sz w:val="24"/>
          <w:szCs w:val="24"/>
        </w:rPr>
      </w:pPr>
      <w:r w:rsidRPr="00C26D92">
        <w:rPr>
          <w:sz w:val="24"/>
          <w:szCs w:val="24"/>
        </w:rPr>
        <w:tab/>
      </w:r>
      <w:r w:rsidR="009F4EDF">
        <w:rPr>
          <w:sz w:val="24"/>
          <w:szCs w:val="24"/>
        </w:rPr>
        <w:t>In order to maintain an Electric Generation Supplier (EGS) license, t</w:t>
      </w:r>
      <w:r w:rsidR="00C26D92" w:rsidRPr="00C26D92">
        <w:rPr>
          <w:rFonts w:eastAsiaTheme="minorHAnsi"/>
          <w:sz w:val="24"/>
          <w:szCs w:val="24"/>
        </w:rPr>
        <w:t xml:space="preserve">he Commission requires an EGS to file an </w:t>
      </w:r>
      <w:r w:rsidR="00C26D92" w:rsidRPr="00C26D92">
        <w:rPr>
          <w:rFonts w:eastAsiaTheme="minorHAnsi"/>
          <w:b/>
          <w:sz w:val="24"/>
          <w:szCs w:val="24"/>
          <w:u w:val="single"/>
        </w:rPr>
        <w:t>original</w:t>
      </w:r>
      <w:r w:rsidR="00C26D92" w:rsidRPr="00C26D92">
        <w:rPr>
          <w:rFonts w:eastAsiaTheme="minorHAnsi"/>
          <w:sz w:val="24"/>
          <w:szCs w:val="24"/>
        </w:rPr>
        <w:t xml:space="preserve"> bond, or other security, approved by the Commission, to ensure the EGS’s financial responsibility under Section 2809(c) of the Public Utility Code.  </w:t>
      </w:r>
      <w:r w:rsidR="009C5767">
        <w:rPr>
          <w:rFonts w:eastAsiaTheme="minorHAnsi"/>
          <w:sz w:val="24"/>
          <w:szCs w:val="24"/>
        </w:rPr>
        <w:t>The term EGS can encompass a variety of electric generation related services such as:</w:t>
      </w:r>
    </w:p>
    <w:p w:rsidR="009C5767" w:rsidRDefault="009C5767" w:rsidP="009F4EDF">
      <w:pPr>
        <w:rPr>
          <w:rFonts w:eastAsiaTheme="minorHAnsi"/>
          <w:sz w:val="24"/>
          <w:szCs w:val="24"/>
        </w:rPr>
      </w:pPr>
    </w:p>
    <w:p w:rsidR="009C5767" w:rsidRDefault="009C5767" w:rsidP="009C5767">
      <w:pPr>
        <w:pStyle w:val="ListParagraph"/>
        <w:numPr>
          <w:ilvl w:val="0"/>
          <w:numId w:val="18"/>
        </w:numPr>
        <w:rPr>
          <w:rFonts w:eastAsiaTheme="minorHAnsi"/>
          <w:sz w:val="24"/>
          <w:szCs w:val="24"/>
        </w:rPr>
      </w:pPr>
      <w:r>
        <w:rPr>
          <w:rFonts w:eastAsiaTheme="minorHAnsi"/>
          <w:sz w:val="24"/>
          <w:szCs w:val="24"/>
        </w:rPr>
        <w:t>generator</w:t>
      </w:r>
    </w:p>
    <w:p w:rsidR="009C5767" w:rsidRDefault="009C5767" w:rsidP="009C5767">
      <w:pPr>
        <w:pStyle w:val="ListParagraph"/>
        <w:numPr>
          <w:ilvl w:val="0"/>
          <w:numId w:val="18"/>
        </w:numPr>
        <w:rPr>
          <w:rFonts w:eastAsiaTheme="minorHAnsi"/>
          <w:sz w:val="24"/>
          <w:szCs w:val="24"/>
        </w:rPr>
      </w:pPr>
      <w:r>
        <w:rPr>
          <w:rFonts w:eastAsiaTheme="minorHAnsi"/>
          <w:sz w:val="24"/>
          <w:szCs w:val="24"/>
        </w:rPr>
        <w:t xml:space="preserve">generation </w:t>
      </w:r>
      <w:r w:rsidRPr="009C5767">
        <w:rPr>
          <w:rFonts w:eastAsiaTheme="minorHAnsi"/>
          <w:sz w:val="24"/>
          <w:szCs w:val="24"/>
        </w:rPr>
        <w:t>supplier that takes title to energy,</w:t>
      </w:r>
    </w:p>
    <w:p w:rsidR="009C5767" w:rsidRDefault="009C5767" w:rsidP="009C5767">
      <w:pPr>
        <w:pStyle w:val="ListParagraph"/>
        <w:numPr>
          <w:ilvl w:val="0"/>
          <w:numId w:val="18"/>
        </w:numPr>
        <w:rPr>
          <w:rFonts w:eastAsiaTheme="minorHAnsi"/>
          <w:sz w:val="24"/>
          <w:szCs w:val="24"/>
        </w:rPr>
      </w:pPr>
      <w:r>
        <w:rPr>
          <w:rFonts w:eastAsiaTheme="minorHAnsi"/>
          <w:sz w:val="24"/>
          <w:szCs w:val="24"/>
        </w:rPr>
        <w:t>marketer</w:t>
      </w:r>
    </w:p>
    <w:p w:rsidR="009C5767" w:rsidRDefault="009C5767" w:rsidP="009C5767">
      <w:pPr>
        <w:pStyle w:val="ListParagraph"/>
        <w:numPr>
          <w:ilvl w:val="0"/>
          <w:numId w:val="18"/>
        </w:numPr>
        <w:rPr>
          <w:rFonts w:eastAsiaTheme="minorHAnsi"/>
          <w:sz w:val="24"/>
          <w:szCs w:val="24"/>
        </w:rPr>
      </w:pPr>
      <w:r>
        <w:rPr>
          <w:rFonts w:eastAsiaTheme="minorHAnsi"/>
          <w:sz w:val="24"/>
          <w:szCs w:val="24"/>
        </w:rPr>
        <w:t>broker</w:t>
      </w:r>
    </w:p>
    <w:p w:rsidR="009D6EC6" w:rsidRDefault="009C5767" w:rsidP="009C5767">
      <w:pPr>
        <w:pStyle w:val="ListParagraph"/>
        <w:numPr>
          <w:ilvl w:val="0"/>
          <w:numId w:val="18"/>
        </w:numPr>
        <w:rPr>
          <w:rFonts w:eastAsiaTheme="minorHAnsi"/>
          <w:sz w:val="24"/>
          <w:szCs w:val="24"/>
        </w:rPr>
      </w:pPr>
      <w:r>
        <w:rPr>
          <w:rFonts w:eastAsiaTheme="minorHAnsi"/>
          <w:sz w:val="24"/>
          <w:szCs w:val="24"/>
        </w:rPr>
        <w:t>aggregator</w:t>
      </w:r>
      <w:r w:rsidRPr="009C5767">
        <w:rPr>
          <w:rFonts w:eastAsiaTheme="minorHAnsi"/>
          <w:sz w:val="24"/>
          <w:szCs w:val="24"/>
        </w:rPr>
        <w:t xml:space="preserve"> </w:t>
      </w:r>
    </w:p>
    <w:p w:rsidR="009C5767" w:rsidRDefault="009C5767" w:rsidP="009C5767">
      <w:pPr>
        <w:ind w:left="720"/>
        <w:rPr>
          <w:rFonts w:eastAsiaTheme="minorHAnsi"/>
          <w:sz w:val="24"/>
          <w:szCs w:val="24"/>
        </w:rPr>
      </w:pPr>
    </w:p>
    <w:p w:rsidR="009C5767" w:rsidRPr="009C5767" w:rsidRDefault="009C5767" w:rsidP="009C5767">
      <w:pPr>
        <w:ind w:firstLine="720"/>
        <w:rPr>
          <w:rFonts w:eastAsiaTheme="minorHAnsi"/>
          <w:sz w:val="24"/>
          <w:szCs w:val="24"/>
        </w:rPr>
      </w:pPr>
      <w:r>
        <w:rPr>
          <w:rFonts w:eastAsiaTheme="minorHAnsi"/>
          <w:sz w:val="24"/>
          <w:szCs w:val="24"/>
        </w:rPr>
        <w:t>Each license certificate issued by the Commission contains a delineation of the approved service.</w:t>
      </w:r>
    </w:p>
    <w:p w:rsidR="00296A49" w:rsidRDefault="00296A49" w:rsidP="00296A49">
      <w:pPr>
        <w:ind w:firstLine="720"/>
        <w:rPr>
          <w:sz w:val="24"/>
          <w:szCs w:val="24"/>
        </w:rPr>
      </w:pPr>
    </w:p>
    <w:p w:rsidR="009C5767" w:rsidRPr="009C5767" w:rsidRDefault="009C5767" w:rsidP="009C5767">
      <w:pPr>
        <w:rPr>
          <w:sz w:val="24"/>
          <w:szCs w:val="24"/>
          <w:u w:val="single"/>
        </w:rPr>
      </w:pPr>
      <w:r>
        <w:rPr>
          <w:sz w:val="24"/>
          <w:szCs w:val="24"/>
          <w:u w:val="single"/>
        </w:rPr>
        <w:t xml:space="preserve">Renewal of </w:t>
      </w:r>
      <w:r w:rsidRPr="009C5767">
        <w:rPr>
          <w:sz w:val="24"/>
          <w:szCs w:val="24"/>
          <w:u w:val="single"/>
        </w:rPr>
        <w:t>Financial Security</w:t>
      </w:r>
    </w:p>
    <w:p w:rsidR="009C5767" w:rsidRDefault="009C5767" w:rsidP="00296A49">
      <w:pPr>
        <w:ind w:firstLine="720"/>
        <w:rPr>
          <w:sz w:val="24"/>
          <w:szCs w:val="24"/>
        </w:rPr>
      </w:pPr>
    </w:p>
    <w:p w:rsidR="00296A49" w:rsidRPr="00C26D92" w:rsidRDefault="00296A49" w:rsidP="00296A49">
      <w:pPr>
        <w:ind w:firstLine="720"/>
        <w:rPr>
          <w:sz w:val="24"/>
          <w:szCs w:val="24"/>
        </w:rPr>
      </w:pPr>
      <w:r w:rsidRPr="009D6EC6">
        <w:rPr>
          <w:sz w:val="24"/>
          <w:szCs w:val="24"/>
        </w:rPr>
        <w:t xml:space="preserve">The Commission's regulations at 52 Pa. Code §54.40(d) require the security level, or bond amount, for each licensee to be 10% of the licensee's </w:t>
      </w:r>
      <w:r w:rsidRPr="009D6EC6">
        <w:rPr>
          <w:b/>
          <w:sz w:val="24"/>
          <w:szCs w:val="24"/>
          <w:u w:val="single"/>
        </w:rPr>
        <w:t>most recent</w:t>
      </w:r>
      <w:r w:rsidRPr="009D6EC6">
        <w:rPr>
          <w:sz w:val="24"/>
          <w:szCs w:val="24"/>
        </w:rPr>
        <w:t xml:space="preserve"> 4 quarters of gross receipts.  </w:t>
      </w:r>
      <w:r>
        <w:rPr>
          <w:sz w:val="24"/>
          <w:szCs w:val="24"/>
        </w:rPr>
        <w:t xml:space="preserve">However, since </w:t>
      </w:r>
      <w:r w:rsidRPr="00C26D92">
        <w:rPr>
          <w:sz w:val="24"/>
          <w:szCs w:val="24"/>
        </w:rPr>
        <w:t xml:space="preserve">an EGS </w:t>
      </w:r>
      <w:r>
        <w:rPr>
          <w:sz w:val="24"/>
          <w:szCs w:val="24"/>
        </w:rPr>
        <w:t>Marketer/</w:t>
      </w:r>
      <w:r w:rsidRPr="00C26D92">
        <w:rPr>
          <w:sz w:val="24"/>
          <w:szCs w:val="24"/>
        </w:rPr>
        <w:t>Broker licensee</w:t>
      </w:r>
      <w:r>
        <w:rPr>
          <w:sz w:val="24"/>
          <w:szCs w:val="24"/>
        </w:rPr>
        <w:t xml:space="preserve"> does not </w:t>
      </w:r>
      <w:r w:rsidR="00A61170">
        <w:rPr>
          <w:sz w:val="24"/>
          <w:szCs w:val="24"/>
        </w:rPr>
        <w:t>normally</w:t>
      </w:r>
      <w:r>
        <w:rPr>
          <w:sz w:val="24"/>
          <w:szCs w:val="24"/>
        </w:rPr>
        <w:t xml:space="preserve"> have gross receipts, EGS Marketer/Brokers are</w:t>
      </w:r>
      <w:r w:rsidRPr="00C26D92">
        <w:rPr>
          <w:sz w:val="24"/>
          <w:szCs w:val="24"/>
        </w:rPr>
        <w:t xml:space="preserve"> </w:t>
      </w:r>
      <w:r>
        <w:rPr>
          <w:sz w:val="24"/>
          <w:szCs w:val="24"/>
        </w:rPr>
        <w:t xml:space="preserve">typically </w:t>
      </w:r>
      <w:r w:rsidRPr="00C26D92">
        <w:rPr>
          <w:sz w:val="24"/>
          <w:szCs w:val="24"/>
        </w:rPr>
        <w:t>required to maintain a security level of $10,000.</w:t>
      </w:r>
    </w:p>
    <w:p w:rsidR="009D6EC6" w:rsidRDefault="009D6EC6" w:rsidP="00C26D92">
      <w:pPr>
        <w:rPr>
          <w:rFonts w:eastAsiaTheme="minorHAnsi"/>
          <w:sz w:val="24"/>
          <w:szCs w:val="24"/>
        </w:rPr>
      </w:pPr>
    </w:p>
    <w:p w:rsidR="00CC0BE5" w:rsidRDefault="009F4EDF" w:rsidP="00C26D92">
      <w:pPr>
        <w:rPr>
          <w:sz w:val="24"/>
          <w:szCs w:val="24"/>
        </w:rPr>
      </w:pPr>
      <w:r>
        <w:rPr>
          <w:sz w:val="24"/>
          <w:szCs w:val="24"/>
        </w:rPr>
        <w:tab/>
      </w:r>
      <w:r w:rsidR="005E2C1F">
        <w:rPr>
          <w:sz w:val="24"/>
          <w:szCs w:val="24"/>
        </w:rPr>
        <w:t>When a bond</w:t>
      </w:r>
      <w:r w:rsidR="00CC0BE5">
        <w:rPr>
          <w:sz w:val="24"/>
          <w:szCs w:val="24"/>
        </w:rPr>
        <w:t>,</w:t>
      </w:r>
      <w:r w:rsidR="005E2C1F">
        <w:rPr>
          <w:sz w:val="24"/>
          <w:szCs w:val="24"/>
        </w:rPr>
        <w:t xml:space="preserve"> or other financial security</w:t>
      </w:r>
      <w:r w:rsidR="00CC0BE5">
        <w:rPr>
          <w:sz w:val="24"/>
          <w:szCs w:val="24"/>
        </w:rPr>
        <w:t>,</w:t>
      </w:r>
      <w:r w:rsidR="005E2C1F">
        <w:rPr>
          <w:sz w:val="24"/>
          <w:szCs w:val="24"/>
        </w:rPr>
        <w:t xml:space="preserve"> </w:t>
      </w:r>
      <w:r w:rsidR="00CC0BE5">
        <w:rPr>
          <w:sz w:val="24"/>
          <w:szCs w:val="24"/>
        </w:rPr>
        <w:t>is</w:t>
      </w:r>
      <w:r w:rsidR="005E2C1F">
        <w:rPr>
          <w:sz w:val="24"/>
          <w:szCs w:val="24"/>
        </w:rPr>
        <w:t xml:space="preserve"> filed, the Commission’s Secretary’s Bureau and the Bureau of Technical Utility Services (TUS) review and </w:t>
      </w:r>
      <w:proofErr w:type="gramStart"/>
      <w:r w:rsidR="005E2C1F">
        <w:rPr>
          <w:sz w:val="24"/>
          <w:szCs w:val="24"/>
        </w:rPr>
        <w:t>approve</w:t>
      </w:r>
      <w:proofErr w:type="gramEnd"/>
      <w:r w:rsidR="005E2C1F">
        <w:rPr>
          <w:sz w:val="24"/>
          <w:szCs w:val="24"/>
        </w:rPr>
        <w:t xml:space="preserve"> </w:t>
      </w:r>
      <w:r w:rsidR="00CC0BE5">
        <w:rPr>
          <w:sz w:val="24"/>
          <w:szCs w:val="24"/>
        </w:rPr>
        <w:t xml:space="preserve">the </w:t>
      </w:r>
      <w:r w:rsidR="005E2C1F">
        <w:rPr>
          <w:sz w:val="24"/>
          <w:szCs w:val="24"/>
        </w:rPr>
        <w:t xml:space="preserve">financial security.  As part of the review, </w:t>
      </w:r>
      <w:r>
        <w:rPr>
          <w:sz w:val="24"/>
          <w:szCs w:val="24"/>
        </w:rPr>
        <w:t xml:space="preserve">TUS </w:t>
      </w:r>
      <w:r w:rsidR="005E2C1F">
        <w:rPr>
          <w:sz w:val="24"/>
          <w:szCs w:val="24"/>
        </w:rPr>
        <w:t>verifies that the</w:t>
      </w:r>
      <w:r>
        <w:rPr>
          <w:sz w:val="24"/>
          <w:szCs w:val="24"/>
        </w:rPr>
        <w:t xml:space="preserve"> EGS’s financial security </w:t>
      </w:r>
      <w:r w:rsidR="00296A49">
        <w:rPr>
          <w:sz w:val="24"/>
          <w:szCs w:val="24"/>
        </w:rPr>
        <w:t xml:space="preserve">is set at the correct level.  </w:t>
      </w:r>
      <w:r w:rsidR="005E2C1F">
        <w:rPr>
          <w:sz w:val="24"/>
          <w:szCs w:val="24"/>
        </w:rPr>
        <w:t xml:space="preserve">Again, </w:t>
      </w:r>
      <w:r w:rsidR="00296A49">
        <w:rPr>
          <w:sz w:val="24"/>
          <w:szCs w:val="24"/>
        </w:rPr>
        <w:t>TUS uses the gross receipts for the most recent four quarters to perform the review.</w:t>
      </w:r>
      <w:r w:rsidR="00CC0BE5">
        <w:rPr>
          <w:sz w:val="24"/>
          <w:szCs w:val="24"/>
        </w:rPr>
        <w:t xml:space="preserve">  </w:t>
      </w:r>
    </w:p>
    <w:p w:rsidR="00CC0BE5" w:rsidRDefault="00CC0BE5" w:rsidP="00C26D92">
      <w:pPr>
        <w:rPr>
          <w:sz w:val="24"/>
          <w:szCs w:val="24"/>
        </w:rPr>
      </w:pPr>
    </w:p>
    <w:p w:rsidR="00C26D92" w:rsidRDefault="00CC0BE5" w:rsidP="00CC0BE5">
      <w:pPr>
        <w:ind w:firstLine="720"/>
        <w:rPr>
          <w:sz w:val="24"/>
          <w:szCs w:val="24"/>
        </w:rPr>
      </w:pPr>
      <w:r>
        <w:rPr>
          <w:sz w:val="24"/>
          <w:szCs w:val="24"/>
        </w:rPr>
        <w:t xml:space="preserve">In order to provide Commission staff adequate time to review and approve the financial security, </w:t>
      </w:r>
      <w:r w:rsidR="009D6EC6">
        <w:rPr>
          <w:sz w:val="24"/>
          <w:szCs w:val="24"/>
        </w:rPr>
        <w:t xml:space="preserve">EGSs </w:t>
      </w:r>
      <w:r w:rsidR="00C26D92" w:rsidRPr="00C26D92">
        <w:rPr>
          <w:sz w:val="24"/>
          <w:szCs w:val="24"/>
        </w:rPr>
        <w:t xml:space="preserve">are required to file the renewal of </w:t>
      </w:r>
      <w:r w:rsidR="009D6EC6">
        <w:rPr>
          <w:sz w:val="24"/>
          <w:szCs w:val="24"/>
        </w:rPr>
        <w:t>their</w:t>
      </w:r>
      <w:r w:rsidR="00C26D92" w:rsidRPr="00C26D92">
        <w:rPr>
          <w:sz w:val="24"/>
          <w:szCs w:val="24"/>
        </w:rPr>
        <w:t xml:space="preserve"> current</w:t>
      </w:r>
      <w:r>
        <w:rPr>
          <w:sz w:val="24"/>
          <w:szCs w:val="24"/>
        </w:rPr>
        <w:t>ly</w:t>
      </w:r>
      <w:r w:rsidR="00C26D92" w:rsidRPr="00C26D92">
        <w:rPr>
          <w:sz w:val="24"/>
          <w:szCs w:val="24"/>
        </w:rPr>
        <w:t xml:space="preserve"> approved security </w:t>
      </w:r>
      <w:r w:rsidR="00C26D92" w:rsidRPr="00CC0BE5">
        <w:rPr>
          <w:b/>
          <w:sz w:val="24"/>
          <w:szCs w:val="24"/>
          <w:u w:val="single"/>
        </w:rPr>
        <w:t>at least</w:t>
      </w:r>
      <w:r w:rsidR="00C26D92" w:rsidRPr="00C26D92">
        <w:rPr>
          <w:sz w:val="24"/>
          <w:szCs w:val="24"/>
        </w:rPr>
        <w:t xml:space="preserve"> thirty (30) days prior to </w:t>
      </w:r>
      <w:r w:rsidR="009D6EC6">
        <w:rPr>
          <w:sz w:val="24"/>
          <w:szCs w:val="24"/>
        </w:rPr>
        <w:t xml:space="preserve">current security’s </w:t>
      </w:r>
      <w:r w:rsidR="00C26D92" w:rsidRPr="00C26D92">
        <w:rPr>
          <w:sz w:val="24"/>
          <w:szCs w:val="24"/>
        </w:rPr>
        <w:t>expiration date</w:t>
      </w:r>
      <w:r w:rsidR="009D6EC6">
        <w:rPr>
          <w:sz w:val="24"/>
          <w:szCs w:val="24"/>
        </w:rPr>
        <w:t>.</w:t>
      </w:r>
      <w:r w:rsidR="00C26D92" w:rsidRPr="00C26D92">
        <w:rPr>
          <w:sz w:val="24"/>
          <w:szCs w:val="24"/>
        </w:rPr>
        <w:t xml:space="preserve"> </w:t>
      </w:r>
    </w:p>
    <w:p w:rsidR="009D6EC6" w:rsidRDefault="009D6EC6" w:rsidP="00C26D92">
      <w:pPr>
        <w:rPr>
          <w:sz w:val="24"/>
          <w:szCs w:val="24"/>
        </w:rPr>
      </w:pPr>
    </w:p>
    <w:p w:rsidR="00C26D92" w:rsidRDefault="009D6EC6" w:rsidP="009D6EC6">
      <w:pPr>
        <w:rPr>
          <w:sz w:val="24"/>
          <w:szCs w:val="24"/>
        </w:rPr>
      </w:pPr>
      <w:r>
        <w:rPr>
          <w:sz w:val="24"/>
          <w:szCs w:val="24"/>
        </w:rPr>
        <w:tab/>
        <w:t>When filing a</w:t>
      </w:r>
      <w:r w:rsidR="00C26D92" w:rsidRPr="00C26D92">
        <w:rPr>
          <w:sz w:val="24"/>
          <w:szCs w:val="24"/>
        </w:rPr>
        <w:t xml:space="preserve">n </w:t>
      </w:r>
      <w:r w:rsidR="00C26D92" w:rsidRPr="00CC0BE5">
        <w:rPr>
          <w:sz w:val="24"/>
          <w:szCs w:val="24"/>
        </w:rPr>
        <w:t>original</w:t>
      </w:r>
      <w:r w:rsidR="00C26D92" w:rsidRPr="00C26D92">
        <w:rPr>
          <w:sz w:val="24"/>
          <w:szCs w:val="24"/>
        </w:rPr>
        <w:t xml:space="preserve"> bond, </w:t>
      </w:r>
      <w:r w:rsidR="00C26D92" w:rsidRPr="00C26D92">
        <w:rPr>
          <w:rFonts w:eastAsiaTheme="minorHAnsi"/>
          <w:sz w:val="24"/>
          <w:szCs w:val="24"/>
        </w:rPr>
        <w:t>letter of credit, continuation certificate, amendment, or other financial instrument</w:t>
      </w:r>
      <w:r>
        <w:rPr>
          <w:rFonts w:eastAsiaTheme="minorHAnsi"/>
          <w:sz w:val="24"/>
          <w:szCs w:val="24"/>
        </w:rPr>
        <w:t xml:space="preserve">, </w:t>
      </w:r>
      <w:r w:rsidR="00CC0BE5">
        <w:rPr>
          <w:rFonts w:eastAsiaTheme="minorHAnsi"/>
          <w:sz w:val="24"/>
          <w:szCs w:val="24"/>
        </w:rPr>
        <w:t>EGSs must use</w:t>
      </w:r>
      <w:r>
        <w:rPr>
          <w:rFonts w:eastAsiaTheme="minorHAnsi"/>
          <w:sz w:val="24"/>
          <w:szCs w:val="24"/>
        </w:rPr>
        <w:t xml:space="preserve"> </w:t>
      </w:r>
      <w:r w:rsidR="00C26D92" w:rsidRPr="00C26D92">
        <w:rPr>
          <w:rFonts w:eastAsiaTheme="minorHAnsi"/>
          <w:sz w:val="24"/>
          <w:szCs w:val="24"/>
        </w:rPr>
        <w:t>the most recent template on the Commission’s website</w:t>
      </w:r>
      <w:r>
        <w:rPr>
          <w:rFonts w:eastAsiaTheme="minorHAnsi"/>
          <w:sz w:val="24"/>
          <w:szCs w:val="24"/>
        </w:rPr>
        <w:t xml:space="preserve"> at </w:t>
      </w:r>
      <w:hyperlink r:id="rId10" w:history="1">
        <w:r w:rsidR="00456EB0" w:rsidRPr="00991FD1">
          <w:rPr>
            <w:rStyle w:val="Hyperlink"/>
            <w:rFonts w:eastAsiaTheme="minorHAnsi"/>
            <w:sz w:val="24"/>
            <w:szCs w:val="24"/>
          </w:rPr>
          <w:t>http://www.puc.pa.gov/general/onlineforms/doc/EGS_Lic_App.doc</w:t>
        </w:r>
      </w:hyperlink>
      <w:r w:rsidR="00C26D92" w:rsidRPr="00456EB0">
        <w:rPr>
          <w:rFonts w:eastAsiaTheme="minorHAnsi"/>
          <w:sz w:val="24"/>
          <w:szCs w:val="24"/>
        </w:rPr>
        <w:t xml:space="preserve">.  </w:t>
      </w:r>
      <w:r w:rsidR="00C722B2">
        <w:rPr>
          <w:rFonts w:eastAsiaTheme="minorHAnsi"/>
          <w:sz w:val="24"/>
          <w:szCs w:val="24"/>
        </w:rPr>
        <w:t xml:space="preserve">The template was most recently revised and posted to the website on March 10, 2016.  </w:t>
      </w:r>
      <w:r w:rsidR="00C26D92" w:rsidRPr="00C26D92">
        <w:rPr>
          <w:rFonts w:eastAsiaTheme="minorHAnsi"/>
          <w:sz w:val="24"/>
          <w:szCs w:val="24"/>
        </w:rPr>
        <w:t xml:space="preserve">Original financial instruments must display “wet” signatures or digital signatures, preferably in blue ink, and display a “raised </w:t>
      </w:r>
      <w:r w:rsidR="00C26D92" w:rsidRPr="00C26D92">
        <w:rPr>
          <w:rFonts w:eastAsiaTheme="minorHAnsi"/>
          <w:sz w:val="24"/>
          <w:szCs w:val="24"/>
        </w:rPr>
        <w:lastRenderedPageBreak/>
        <w:t xml:space="preserve">seal” or original notary stamp.  </w:t>
      </w:r>
      <w:r w:rsidR="00C26D92" w:rsidRPr="00C26D92">
        <w:rPr>
          <w:sz w:val="24"/>
          <w:szCs w:val="24"/>
        </w:rPr>
        <w:t xml:space="preserve">If the documentation filed is not an original, it will be rejected </w:t>
      </w:r>
      <w:r w:rsidR="00CC0BE5">
        <w:rPr>
          <w:sz w:val="24"/>
          <w:szCs w:val="24"/>
        </w:rPr>
        <w:t xml:space="preserve">by the Secretary’s Bureau </w:t>
      </w:r>
      <w:r w:rsidR="00C26D92" w:rsidRPr="00C26D92">
        <w:rPr>
          <w:sz w:val="24"/>
          <w:szCs w:val="24"/>
        </w:rPr>
        <w:t>and returned.</w:t>
      </w:r>
    </w:p>
    <w:p w:rsidR="00970931" w:rsidRDefault="00970931" w:rsidP="009D6EC6">
      <w:pPr>
        <w:rPr>
          <w:sz w:val="24"/>
          <w:szCs w:val="24"/>
        </w:rPr>
      </w:pPr>
    </w:p>
    <w:p w:rsidR="00970931" w:rsidRDefault="00970931" w:rsidP="009D6EC6">
      <w:pPr>
        <w:rPr>
          <w:sz w:val="24"/>
          <w:szCs w:val="24"/>
        </w:rPr>
      </w:pPr>
    </w:p>
    <w:p w:rsidR="00970931" w:rsidRPr="00970931" w:rsidRDefault="00970931" w:rsidP="009D6EC6">
      <w:pPr>
        <w:rPr>
          <w:sz w:val="24"/>
          <w:szCs w:val="24"/>
          <w:u w:val="single"/>
        </w:rPr>
      </w:pPr>
      <w:r w:rsidRPr="00970931">
        <w:rPr>
          <w:sz w:val="24"/>
          <w:szCs w:val="24"/>
          <w:u w:val="single"/>
        </w:rPr>
        <w:t xml:space="preserve">Reduction of Financial Security </w:t>
      </w:r>
    </w:p>
    <w:p w:rsidR="009D6EC6" w:rsidRDefault="009D6EC6" w:rsidP="009D6EC6">
      <w:pPr>
        <w:rPr>
          <w:sz w:val="24"/>
          <w:szCs w:val="24"/>
        </w:rPr>
      </w:pPr>
    </w:p>
    <w:p w:rsidR="00970931" w:rsidRDefault="00C26D92" w:rsidP="00464B19">
      <w:pPr>
        <w:tabs>
          <w:tab w:val="left" w:pos="720"/>
        </w:tabs>
        <w:rPr>
          <w:sz w:val="24"/>
          <w:szCs w:val="24"/>
        </w:rPr>
      </w:pPr>
      <w:r w:rsidRPr="00C26D92">
        <w:rPr>
          <w:sz w:val="24"/>
          <w:szCs w:val="24"/>
        </w:rPr>
        <w:tab/>
      </w:r>
      <w:r w:rsidR="00CC0BE5">
        <w:rPr>
          <w:sz w:val="24"/>
          <w:szCs w:val="24"/>
        </w:rPr>
        <w:t>On July 24, 2014, the Commission entered an Order</w:t>
      </w:r>
      <w:r w:rsidR="00C23F77">
        <w:rPr>
          <w:sz w:val="24"/>
          <w:szCs w:val="24"/>
        </w:rPr>
        <w:t xml:space="preserve"> that allowed EGSs to request a reduction in their security level to 5% of the EGS’s most recent 12 months of gross receipts o</w:t>
      </w:r>
      <w:r w:rsidR="00A61170">
        <w:rPr>
          <w:sz w:val="24"/>
          <w:szCs w:val="24"/>
        </w:rPr>
        <w:t>r</w:t>
      </w:r>
      <w:r w:rsidR="00C23F77">
        <w:rPr>
          <w:sz w:val="24"/>
          <w:szCs w:val="24"/>
        </w:rPr>
        <w:t xml:space="preserve"> $250,000, whichever is higher.  </w:t>
      </w:r>
      <w:r w:rsidRPr="00C26D92">
        <w:rPr>
          <w:sz w:val="24"/>
          <w:szCs w:val="24"/>
        </w:rPr>
        <w:t xml:space="preserve">Please be advised that </w:t>
      </w:r>
      <w:r w:rsidR="00CC0BE5">
        <w:rPr>
          <w:sz w:val="24"/>
          <w:szCs w:val="24"/>
        </w:rPr>
        <w:t>EGSs that</w:t>
      </w:r>
      <w:r w:rsidRPr="00C26D92">
        <w:rPr>
          <w:sz w:val="24"/>
          <w:szCs w:val="24"/>
        </w:rPr>
        <w:t xml:space="preserve"> received approval for a bond/security reduction from 10% to 5%, the security reduction is only effective for one year.  It may be renewed annually by the Commission. </w:t>
      </w:r>
    </w:p>
    <w:p w:rsidR="00970931" w:rsidRDefault="00970931" w:rsidP="00464B19">
      <w:pPr>
        <w:tabs>
          <w:tab w:val="left" w:pos="720"/>
        </w:tabs>
        <w:rPr>
          <w:sz w:val="24"/>
          <w:szCs w:val="24"/>
        </w:rPr>
      </w:pPr>
    </w:p>
    <w:p w:rsidR="00970931" w:rsidRDefault="00970931" w:rsidP="00464B19">
      <w:pPr>
        <w:tabs>
          <w:tab w:val="left" w:pos="720"/>
        </w:tabs>
        <w:rPr>
          <w:sz w:val="24"/>
          <w:szCs w:val="24"/>
        </w:rPr>
      </w:pPr>
      <w:r>
        <w:rPr>
          <w:sz w:val="24"/>
          <w:szCs w:val="24"/>
        </w:rPr>
        <w:tab/>
      </w:r>
      <w:r w:rsidR="00C26D92" w:rsidRPr="00C26D92">
        <w:rPr>
          <w:sz w:val="24"/>
          <w:szCs w:val="24"/>
        </w:rPr>
        <w:t xml:space="preserve">To be eligible for the renewal, your company must provide annual documentation of its eligibility for a bond reduction at least (90) days prior to the </w:t>
      </w:r>
      <w:r w:rsidR="003330F1">
        <w:rPr>
          <w:sz w:val="24"/>
          <w:szCs w:val="24"/>
        </w:rPr>
        <w:t xml:space="preserve">current </w:t>
      </w:r>
      <w:r w:rsidR="00C26D92" w:rsidRPr="00C26D92">
        <w:rPr>
          <w:sz w:val="24"/>
          <w:szCs w:val="24"/>
        </w:rPr>
        <w:t>security’s expiration date.</w:t>
      </w:r>
      <w:r w:rsidR="00464B19">
        <w:rPr>
          <w:sz w:val="24"/>
          <w:szCs w:val="24"/>
        </w:rPr>
        <w:t xml:space="preserve">  Such documentation </w:t>
      </w:r>
      <w:r>
        <w:rPr>
          <w:sz w:val="24"/>
          <w:szCs w:val="24"/>
        </w:rPr>
        <w:t xml:space="preserve">should </w:t>
      </w:r>
      <w:r w:rsidR="00464B19">
        <w:rPr>
          <w:sz w:val="24"/>
          <w:szCs w:val="24"/>
        </w:rPr>
        <w:t xml:space="preserve">include but may not be limited to: </w:t>
      </w:r>
    </w:p>
    <w:p w:rsidR="00970931" w:rsidRDefault="00970931" w:rsidP="00464B19">
      <w:pPr>
        <w:tabs>
          <w:tab w:val="left" w:pos="720"/>
        </w:tabs>
        <w:rPr>
          <w:sz w:val="24"/>
          <w:szCs w:val="24"/>
        </w:rPr>
      </w:pPr>
    </w:p>
    <w:p w:rsidR="00970931" w:rsidRPr="00970931" w:rsidRDefault="00464B19" w:rsidP="00970931">
      <w:pPr>
        <w:pStyle w:val="ListParagraph"/>
        <w:numPr>
          <w:ilvl w:val="0"/>
          <w:numId w:val="19"/>
        </w:numPr>
        <w:tabs>
          <w:tab w:val="left" w:pos="720"/>
        </w:tabs>
        <w:rPr>
          <w:color w:val="FF0000"/>
          <w:sz w:val="24"/>
          <w:szCs w:val="24"/>
        </w:rPr>
      </w:pPr>
      <w:r w:rsidRPr="00970931">
        <w:rPr>
          <w:sz w:val="24"/>
          <w:szCs w:val="24"/>
        </w:rPr>
        <w:t xml:space="preserve">a petition for renewal, filed with the Commission’s Secretary’s Bureau, </w:t>
      </w:r>
    </w:p>
    <w:p w:rsidR="00970931" w:rsidRPr="00970931" w:rsidRDefault="00464B19" w:rsidP="00970931">
      <w:pPr>
        <w:pStyle w:val="ListParagraph"/>
        <w:numPr>
          <w:ilvl w:val="0"/>
          <w:numId w:val="19"/>
        </w:numPr>
        <w:tabs>
          <w:tab w:val="left" w:pos="720"/>
        </w:tabs>
        <w:rPr>
          <w:color w:val="FF0000"/>
          <w:sz w:val="24"/>
          <w:szCs w:val="24"/>
        </w:rPr>
      </w:pPr>
      <w:r w:rsidRPr="00970931">
        <w:rPr>
          <w:sz w:val="24"/>
          <w:szCs w:val="24"/>
        </w:rPr>
        <w:t>a $3</w:t>
      </w:r>
      <w:r w:rsidR="00970931">
        <w:rPr>
          <w:sz w:val="24"/>
          <w:szCs w:val="24"/>
        </w:rPr>
        <w:t>5</w:t>
      </w:r>
      <w:r w:rsidRPr="00970931">
        <w:rPr>
          <w:sz w:val="24"/>
          <w:szCs w:val="24"/>
        </w:rPr>
        <w:t xml:space="preserve">0 filing fee, </w:t>
      </w:r>
    </w:p>
    <w:p w:rsidR="00970931" w:rsidRPr="00970931" w:rsidRDefault="00464B19" w:rsidP="00970931">
      <w:pPr>
        <w:pStyle w:val="ListParagraph"/>
        <w:numPr>
          <w:ilvl w:val="0"/>
          <w:numId w:val="19"/>
        </w:numPr>
        <w:tabs>
          <w:tab w:val="left" w:pos="720"/>
        </w:tabs>
        <w:rPr>
          <w:color w:val="FF0000"/>
          <w:sz w:val="24"/>
          <w:szCs w:val="24"/>
        </w:rPr>
      </w:pPr>
      <w:r w:rsidRPr="00970931">
        <w:rPr>
          <w:sz w:val="24"/>
          <w:szCs w:val="24"/>
        </w:rPr>
        <w:t xml:space="preserve">proof of service of the petition on the statutory advocates and affected EDCs,  </w:t>
      </w:r>
    </w:p>
    <w:p w:rsidR="00C616DC" w:rsidRPr="00C616DC" w:rsidRDefault="00464B19" w:rsidP="00970931">
      <w:pPr>
        <w:pStyle w:val="ListParagraph"/>
        <w:numPr>
          <w:ilvl w:val="0"/>
          <w:numId w:val="19"/>
        </w:numPr>
        <w:tabs>
          <w:tab w:val="left" w:pos="720"/>
        </w:tabs>
        <w:rPr>
          <w:color w:val="FF0000"/>
          <w:sz w:val="24"/>
          <w:szCs w:val="24"/>
        </w:rPr>
      </w:pPr>
      <w:r w:rsidRPr="00970931">
        <w:rPr>
          <w:sz w:val="24"/>
          <w:szCs w:val="24"/>
        </w:rPr>
        <w:t>a Tax Letter of Good Standing from the Department of Revenue</w:t>
      </w:r>
      <w:r w:rsidR="00C616DC">
        <w:rPr>
          <w:sz w:val="24"/>
          <w:szCs w:val="24"/>
        </w:rPr>
        <w:t>, and</w:t>
      </w:r>
    </w:p>
    <w:p w:rsidR="00970931" w:rsidRPr="00970931" w:rsidRDefault="00C616DC" w:rsidP="00970931">
      <w:pPr>
        <w:pStyle w:val="ListParagraph"/>
        <w:numPr>
          <w:ilvl w:val="0"/>
          <w:numId w:val="19"/>
        </w:numPr>
        <w:tabs>
          <w:tab w:val="left" w:pos="720"/>
        </w:tabs>
        <w:rPr>
          <w:color w:val="FF0000"/>
          <w:sz w:val="24"/>
          <w:szCs w:val="24"/>
        </w:rPr>
      </w:pPr>
      <w:r>
        <w:rPr>
          <w:sz w:val="24"/>
          <w:szCs w:val="24"/>
        </w:rPr>
        <w:t>the company’s gross receipts for the most recent four quarters.</w:t>
      </w:r>
      <w:r w:rsidR="00464B19" w:rsidRPr="00970931">
        <w:rPr>
          <w:sz w:val="24"/>
          <w:szCs w:val="24"/>
        </w:rPr>
        <w:t xml:space="preserve">  </w:t>
      </w:r>
    </w:p>
    <w:p w:rsidR="00970931" w:rsidRPr="00970931" w:rsidRDefault="00970931" w:rsidP="00970931">
      <w:pPr>
        <w:tabs>
          <w:tab w:val="left" w:pos="720"/>
        </w:tabs>
        <w:rPr>
          <w:color w:val="FF0000"/>
          <w:sz w:val="24"/>
          <w:szCs w:val="24"/>
        </w:rPr>
      </w:pPr>
    </w:p>
    <w:p w:rsidR="00C26D92" w:rsidRPr="00970931" w:rsidRDefault="00970931" w:rsidP="00970931">
      <w:pPr>
        <w:tabs>
          <w:tab w:val="left" w:pos="720"/>
        </w:tabs>
        <w:rPr>
          <w:color w:val="FF0000"/>
          <w:sz w:val="24"/>
          <w:szCs w:val="24"/>
        </w:rPr>
      </w:pPr>
      <w:r>
        <w:rPr>
          <w:sz w:val="24"/>
          <w:szCs w:val="24"/>
        </w:rPr>
        <w:tab/>
      </w:r>
      <w:r w:rsidR="00C26D92" w:rsidRPr="00970931">
        <w:rPr>
          <w:sz w:val="24"/>
          <w:szCs w:val="24"/>
        </w:rPr>
        <w:t xml:space="preserve">In the event your company does not provide such documentation to the Commission, its bond reduction will cease and the bonding requirement will revert to 10% of gross receipts. This is pursuant to 52 </w:t>
      </w:r>
      <w:proofErr w:type="spellStart"/>
      <w:r w:rsidR="00C26D92" w:rsidRPr="00970931">
        <w:rPr>
          <w:sz w:val="24"/>
          <w:szCs w:val="24"/>
        </w:rPr>
        <w:t>Pa.Code</w:t>
      </w:r>
      <w:proofErr w:type="spellEnd"/>
      <w:r w:rsidR="00C26D92" w:rsidRPr="00970931">
        <w:rPr>
          <w:sz w:val="24"/>
          <w:szCs w:val="24"/>
        </w:rPr>
        <w:t xml:space="preserve"> Section 54.40(d).</w:t>
      </w:r>
      <w:r w:rsidR="00A61170" w:rsidRPr="00970931">
        <w:rPr>
          <w:sz w:val="24"/>
          <w:szCs w:val="24"/>
        </w:rPr>
        <w:t xml:space="preserve">  </w:t>
      </w:r>
    </w:p>
    <w:p w:rsidR="00C26D92" w:rsidRPr="00C26D92" w:rsidRDefault="00C26D92" w:rsidP="00C26D92">
      <w:pPr>
        <w:tabs>
          <w:tab w:val="left" w:pos="720"/>
        </w:tabs>
        <w:rPr>
          <w:sz w:val="24"/>
          <w:szCs w:val="24"/>
        </w:rPr>
      </w:pPr>
      <w:r w:rsidRPr="00C26D92">
        <w:rPr>
          <w:sz w:val="24"/>
          <w:szCs w:val="24"/>
        </w:rPr>
        <w:tab/>
      </w:r>
    </w:p>
    <w:p w:rsidR="003330F1" w:rsidRPr="002851BA" w:rsidRDefault="00C26D92" w:rsidP="00C26D92">
      <w:pPr>
        <w:tabs>
          <w:tab w:val="left" w:pos="720"/>
        </w:tabs>
        <w:rPr>
          <w:sz w:val="24"/>
          <w:szCs w:val="24"/>
        </w:rPr>
      </w:pPr>
      <w:r w:rsidRPr="00C26D92">
        <w:rPr>
          <w:sz w:val="24"/>
          <w:szCs w:val="24"/>
        </w:rPr>
        <w:tab/>
      </w:r>
      <w:r w:rsidRPr="002851BA">
        <w:rPr>
          <w:sz w:val="24"/>
          <w:szCs w:val="24"/>
        </w:rPr>
        <w:t xml:space="preserve">Failure to file </w:t>
      </w:r>
      <w:r w:rsidR="003330F1" w:rsidRPr="002851BA">
        <w:rPr>
          <w:sz w:val="24"/>
          <w:szCs w:val="24"/>
        </w:rPr>
        <w:t xml:space="preserve">a renewal of the financial security </w:t>
      </w:r>
      <w:r w:rsidRPr="002851BA">
        <w:rPr>
          <w:sz w:val="24"/>
          <w:szCs w:val="24"/>
        </w:rPr>
        <w:t xml:space="preserve">may cause Commission staff to initiate a formal proceeding that may lead to cancellation </w:t>
      </w:r>
      <w:r w:rsidR="003330F1" w:rsidRPr="002851BA">
        <w:rPr>
          <w:sz w:val="24"/>
          <w:szCs w:val="24"/>
        </w:rPr>
        <w:t>an EGS</w:t>
      </w:r>
      <w:r w:rsidRPr="002851BA">
        <w:rPr>
          <w:sz w:val="24"/>
          <w:szCs w:val="24"/>
        </w:rPr>
        <w:t xml:space="preserve"> license</w:t>
      </w:r>
      <w:r w:rsidR="003330F1" w:rsidRPr="002851BA">
        <w:rPr>
          <w:sz w:val="24"/>
          <w:szCs w:val="24"/>
        </w:rPr>
        <w:t>.</w:t>
      </w:r>
    </w:p>
    <w:p w:rsidR="002851BA" w:rsidRPr="002851BA" w:rsidRDefault="002851BA" w:rsidP="00C26D92">
      <w:pPr>
        <w:tabs>
          <w:tab w:val="left" w:pos="720"/>
        </w:tabs>
        <w:rPr>
          <w:sz w:val="24"/>
          <w:szCs w:val="24"/>
        </w:rPr>
      </w:pPr>
    </w:p>
    <w:p w:rsidR="002851BA" w:rsidRPr="002851BA" w:rsidRDefault="002851BA" w:rsidP="002851BA">
      <w:pPr>
        <w:ind w:firstLine="720"/>
        <w:rPr>
          <w:snapToGrid w:val="0"/>
          <w:sz w:val="24"/>
          <w:szCs w:val="24"/>
        </w:rPr>
      </w:pPr>
      <w:r>
        <w:rPr>
          <w:snapToGrid w:val="0"/>
          <w:sz w:val="24"/>
          <w:szCs w:val="24"/>
        </w:rPr>
        <w:t>Finally, i</w:t>
      </w:r>
      <w:r w:rsidRPr="002851BA">
        <w:rPr>
          <w:snapToGrid w:val="0"/>
          <w:sz w:val="24"/>
          <w:szCs w:val="24"/>
        </w:rPr>
        <w:t xml:space="preserve">t is </w:t>
      </w:r>
      <w:r>
        <w:rPr>
          <w:snapToGrid w:val="0"/>
          <w:sz w:val="24"/>
          <w:szCs w:val="24"/>
        </w:rPr>
        <w:t xml:space="preserve">an EGS’s </w:t>
      </w:r>
      <w:r w:rsidRPr="002851BA">
        <w:rPr>
          <w:snapToGrid w:val="0"/>
          <w:sz w:val="24"/>
          <w:szCs w:val="24"/>
        </w:rPr>
        <w:t>responsibility to</w:t>
      </w:r>
      <w:r>
        <w:rPr>
          <w:snapToGrid w:val="0"/>
          <w:sz w:val="24"/>
          <w:szCs w:val="24"/>
        </w:rPr>
        <w:t xml:space="preserve"> file </w:t>
      </w:r>
      <w:r w:rsidRPr="002851BA">
        <w:rPr>
          <w:snapToGrid w:val="0"/>
          <w:sz w:val="24"/>
          <w:szCs w:val="24"/>
        </w:rPr>
        <w:t xml:space="preserve">any </w:t>
      </w:r>
      <w:r>
        <w:rPr>
          <w:snapToGrid w:val="0"/>
          <w:sz w:val="24"/>
          <w:szCs w:val="24"/>
        </w:rPr>
        <w:t xml:space="preserve">name changes, </w:t>
      </w:r>
      <w:r w:rsidRPr="002851BA">
        <w:rPr>
          <w:snapToGrid w:val="0"/>
          <w:sz w:val="24"/>
          <w:szCs w:val="24"/>
        </w:rPr>
        <w:t xml:space="preserve">changes in </w:t>
      </w:r>
      <w:r>
        <w:rPr>
          <w:snapToGrid w:val="0"/>
          <w:sz w:val="24"/>
          <w:szCs w:val="24"/>
        </w:rPr>
        <w:t xml:space="preserve">its </w:t>
      </w:r>
      <w:r w:rsidRPr="002851BA">
        <w:rPr>
          <w:snapToGrid w:val="0"/>
          <w:sz w:val="24"/>
          <w:szCs w:val="24"/>
        </w:rPr>
        <w:t xml:space="preserve">current contact information or the structure of </w:t>
      </w:r>
      <w:r>
        <w:rPr>
          <w:snapToGrid w:val="0"/>
          <w:sz w:val="24"/>
          <w:szCs w:val="24"/>
        </w:rPr>
        <w:t>its</w:t>
      </w:r>
      <w:r w:rsidRPr="002851BA">
        <w:rPr>
          <w:snapToGrid w:val="0"/>
          <w:sz w:val="24"/>
          <w:szCs w:val="24"/>
        </w:rPr>
        <w:t xml:space="preserve"> company </w:t>
      </w:r>
      <w:r>
        <w:rPr>
          <w:snapToGrid w:val="0"/>
          <w:sz w:val="24"/>
          <w:szCs w:val="24"/>
        </w:rPr>
        <w:t xml:space="preserve">with the </w:t>
      </w:r>
      <w:r w:rsidRPr="002851BA">
        <w:rPr>
          <w:snapToGrid w:val="0"/>
          <w:sz w:val="24"/>
          <w:szCs w:val="24"/>
        </w:rPr>
        <w:t>Commission.</w:t>
      </w:r>
    </w:p>
    <w:p w:rsidR="003330F1" w:rsidRPr="002851BA" w:rsidRDefault="003330F1" w:rsidP="00C26D92">
      <w:pPr>
        <w:tabs>
          <w:tab w:val="left" w:pos="720"/>
        </w:tabs>
        <w:rPr>
          <w:sz w:val="24"/>
          <w:szCs w:val="24"/>
        </w:rPr>
      </w:pPr>
    </w:p>
    <w:p w:rsidR="00B23FFC" w:rsidRPr="002851BA" w:rsidRDefault="00710DBE" w:rsidP="00E43A98">
      <w:pPr>
        <w:rPr>
          <w:sz w:val="24"/>
          <w:szCs w:val="24"/>
        </w:rPr>
      </w:pPr>
      <w:r w:rsidRPr="002851BA">
        <w:rPr>
          <w:sz w:val="24"/>
          <w:szCs w:val="24"/>
        </w:rPr>
        <w:tab/>
      </w:r>
    </w:p>
    <w:p w:rsidR="003B4AA9" w:rsidRPr="002851BA" w:rsidRDefault="002720AD" w:rsidP="00BE4A72">
      <w:pPr>
        <w:rPr>
          <w:sz w:val="24"/>
          <w:szCs w:val="24"/>
        </w:rPr>
      </w:pPr>
      <w:bookmarkStart w:id="0" w:name="_GoBack"/>
      <w:r w:rsidRPr="00F45E06">
        <w:rPr>
          <w:b/>
          <w:noProof/>
        </w:rPr>
        <w:drawing>
          <wp:anchor distT="0" distB="0" distL="114300" distR="114300" simplePos="0" relativeHeight="251659264" behindDoc="1" locked="0" layoutInCell="1" allowOverlap="1" wp14:anchorId="04B6A9DE" wp14:editId="6E9F5F72">
            <wp:simplePos x="0" y="0"/>
            <wp:positionH relativeFrom="column">
              <wp:posOffset>2327275</wp:posOffset>
            </wp:positionH>
            <wp:positionV relativeFrom="paragraph">
              <wp:posOffset>24765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77F29" w:rsidRPr="002851BA">
        <w:rPr>
          <w:sz w:val="24"/>
          <w:szCs w:val="24"/>
        </w:rPr>
        <w:t xml:space="preserve"> </w:t>
      </w:r>
    </w:p>
    <w:p w:rsidR="00BE4A72" w:rsidRPr="00C26D92" w:rsidRDefault="00BE4A72" w:rsidP="00BE4A72">
      <w:pPr>
        <w:ind w:left="3600"/>
        <w:rPr>
          <w:sz w:val="24"/>
          <w:szCs w:val="24"/>
        </w:rPr>
      </w:pPr>
      <w:r w:rsidRPr="00C26D92">
        <w:rPr>
          <w:sz w:val="24"/>
          <w:szCs w:val="24"/>
        </w:rPr>
        <w:tab/>
        <w:t>Sincerely,</w:t>
      </w:r>
    </w:p>
    <w:p w:rsidR="00BE4A72" w:rsidRPr="004B781B" w:rsidRDefault="00BE4A72" w:rsidP="00BE4A72">
      <w:pPr>
        <w:ind w:left="3600"/>
      </w:pPr>
    </w:p>
    <w:p w:rsidR="00325403" w:rsidRPr="004B781B" w:rsidRDefault="00325403" w:rsidP="004B781B"/>
    <w:p w:rsidR="006B773E" w:rsidRPr="004B781B" w:rsidRDefault="006B773E" w:rsidP="00BE4A72">
      <w:pPr>
        <w:ind w:left="3600"/>
      </w:pPr>
    </w:p>
    <w:p w:rsidR="002B37D7" w:rsidRPr="007E6ACB" w:rsidRDefault="00C77F29" w:rsidP="002B37D7">
      <w:pPr>
        <w:jc w:val="both"/>
        <w:rPr>
          <w:color w:val="000000"/>
          <w:sz w:val="24"/>
          <w:szCs w:val="24"/>
        </w:rPr>
      </w:pPr>
      <w:r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sz w:val="24"/>
          <w:szCs w:val="24"/>
        </w:rPr>
        <w:tab/>
      </w:r>
      <w:r w:rsidR="002B37D7" w:rsidRPr="007E6ACB">
        <w:rPr>
          <w:color w:val="000000"/>
          <w:sz w:val="24"/>
          <w:szCs w:val="24"/>
        </w:rPr>
        <w:t>Rosemary Chiavetta</w:t>
      </w:r>
    </w:p>
    <w:p w:rsidR="002B37D7" w:rsidRDefault="002B37D7" w:rsidP="002B37D7">
      <w:pPr>
        <w:jc w:val="both"/>
        <w:rPr>
          <w:color w:val="000000"/>
          <w:sz w:val="24"/>
          <w:szCs w:val="24"/>
        </w:rPr>
      </w:pP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r>
      <w:r w:rsidRPr="007E6ACB">
        <w:rPr>
          <w:color w:val="000000"/>
          <w:sz w:val="24"/>
          <w:szCs w:val="24"/>
        </w:rPr>
        <w:tab/>
        <w:t>Secretary</w:t>
      </w:r>
    </w:p>
    <w:p w:rsidR="003330F1" w:rsidRDefault="003330F1" w:rsidP="002B37D7">
      <w:pPr>
        <w:jc w:val="both"/>
        <w:rPr>
          <w:color w:val="000000"/>
          <w:sz w:val="24"/>
          <w:szCs w:val="24"/>
        </w:rPr>
      </w:pPr>
    </w:p>
    <w:p w:rsidR="006E7EF7" w:rsidRPr="007E6ACB" w:rsidRDefault="006E7EF7" w:rsidP="002B37D7">
      <w:pPr>
        <w:jc w:val="both"/>
        <w:rPr>
          <w:color w:val="000000"/>
          <w:sz w:val="24"/>
          <w:szCs w:val="24"/>
        </w:rPr>
      </w:pPr>
    </w:p>
    <w:p w:rsidR="002B37D7" w:rsidRPr="007E6ACB" w:rsidRDefault="002B37D7" w:rsidP="002B37D7">
      <w:pPr>
        <w:jc w:val="both"/>
        <w:rPr>
          <w:sz w:val="24"/>
          <w:szCs w:val="24"/>
        </w:rPr>
      </w:pPr>
      <w:r w:rsidRPr="007E6ACB">
        <w:rPr>
          <w:sz w:val="24"/>
          <w:szCs w:val="24"/>
        </w:rPr>
        <w:t>cc:</w:t>
      </w:r>
      <w:r w:rsidRPr="007E6ACB">
        <w:rPr>
          <w:sz w:val="24"/>
          <w:szCs w:val="24"/>
        </w:rPr>
        <w:tab/>
      </w:r>
      <w:r w:rsidR="00C766AA">
        <w:rPr>
          <w:sz w:val="24"/>
          <w:szCs w:val="24"/>
        </w:rPr>
        <w:t>Dan Mumford</w:t>
      </w:r>
      <w:r w:rsidRPr="007E6ACB">
        <w:rPr>
          <w:sz w:val="24"/>
          <w:szCs w:val="24"/>
        </w:rPr>
        <w:t xml:space="preserve">, </w:t>
      </w:r>
      <w:r w:rsidR="00C766AA">
        <w:rPr>
          <w:sz w:val="24"/>
          <w:szCs w:val="24"/>
        </w:rPr>
        <w:t xml:space="preserve">Acting </w:t>
      </w:r>
      <w:r w:rsidR="003330F1">
        <w:rPr>
          <w:sz w:val="24"/>
          <w:szCs w:val="24"/>
        </w:rPr>
        <w:t>Director, OCMO</w:t>
      </w:r>
    </w:p>
    <w:p w:rsidR="002B37D7" w:rsidRDefault="002B37D7" w:rsidP="002B37D7">
      <w:pPr>
        <w:jc w:val="both"/>
        <w:rPr>
          <w:sz w:val="24"/>
          <w:szCs w:val="24"/>
        </w:rPr>
      </w:pPr>
      <w:r w:rsidRPr="007E6ACB">
        <w:rPr>
          <w:sz w:val="24"/>
          <w:szCs w:val="24"/>
        </w:rPr>
        <w:tab/>
        <w:t>Robert F. Young, Deputy Chief Counsel</w:t>
      </w:r>
      <w:r w:rsidR="003330F1">
        <w:rPr>
          <w:sz w:val="24"/>
          <w:szCs w:val="24"/>
        </w:rPr>
        <w:t>, Law Bureau</w:t>
      </w:r>
    </w:p>
    <w:p w:rsidR="00404133" w:rsidRDefault="00785B5A" w:rsidP="003330F1">
      <w:pPr>
        <w:jc w:val="both"/>
        <w:rPr>
          <w:sz w:val="24"/>
          <w:szCs w:val="24"/>
        </w:rPr>
      </w:pPr>
      <w:r>
        <w:rPr>
          <w:sz w:val="24"/>
          <w:szCs w:val="24"/>
        </w:rPr>
        <w:tab/>
      </w:r>
      <w:r w:rsidR="00DC06D2">
        <w:rPr>
          <w:sz w:val="24"/>
          <w:szCs w:val="24"/>
        </w:rPr>
        <w:t>Paul T. Diskin</w:t>
      </w:r>
      <w:r w:rsidR="002B37D7" w:rsidRPr="007E6ACB">
        <w:rPr>
          <w:sz w:val="24"/>
          <w:szCs w:val="24"/>
        </w:rPr>
        <w:t xml:space="preserve">, Director, </w:t>
      </w:r>
      <w:r w:rsidR="00DC06D2">
        <w:rPr>
          <w:sz w:val="24"/>
          <w:szCs w:val="24"/>
        </w:rPr>
        <w:t>T</w:t>
      </w:r>
      <w:r w:rsidR="003330F1">
        <w:rPr>
          <w:sz w:val="24"/>
          <w:szCs w:val="24"/>
        </w:rPr>
        <w:t>US</w:t>
      </w:r>
      <w:r w:rsidR="006F614A">
        <w:rPr>
          <w:sz w:val="24"/>
          <w:szCs w:val="24"/>
        </w:rPr>
        <w:tab/>
      </w:r>
    </w:p>
    <w:sectPr w:rsidR="00404133" w:rsidSect="004B781B">
      <w:footerReference w:type="even" r:id="rId12"/>
      <w:footerReference w:type="first" r:id="rId13"/>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8F6" w:rsidRDefault="00EE58F6">
      <w:r>
        <w:separator/>
      </w:r>
    </w:p>
  </w:endnote>
  <w:endnote w:type="continuationSeparator" w:id="0">
    <w:p w:rsidR="00EE58F6" w:rsidRDefault="00EE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54C" w:rsidRDefault="006075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0754C" w:rsidRDefault="006075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60754C" w:rsidRDefault="0060754C">
        <w:pPr>
          <w:pStyle w:val="Footer"/>
          <w:jc w:val="center"/>
        </w:pPr>
        <w:r>
          <w:fldChar w:fldCharType="begin"/>
        </w:r>
        <w:r>
          <w:instrText xml:space="preserve"> PAGE   \* MERGEFORMAT </w:instrText>
        </w:r>
        <w:r>
          <w:fldChar w:fldCharType="separate"/>
        </w:r>
        <w:r w:rsidR="002720AD">
          <w:rPr>
            <w:noProof/>
          </w:rPr>
          <w:t>1</w:t>
        </w:r>
        <w:r>
          <w:rPr>
            <w:noProof/>
          </w:rPr>
          <w:fldChar w:fldCharType="end"/>
        </w:r>
      </w:p>
    </w:sdtContent>
  </w:sdt>
  <w:p w:rsidR="0060754C" w:rsidRDefault="006075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8F6" w:rsidRDefault="00EE58F6">
      <w:r>
        <w:separator/>
      </w:r>
    </w:p>
  </w:footnote>
  <w:footnote w:type="continuationSeparator" w:id="0">
    <w:p w:rsidR="00EE58F6" w:rsidRDefault="00EE58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A2B32"/>
    <w:multiLevelType w:val="hybridMultilevel"/>
    <w:tmpl w:val="A4FE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B724E91"/>
    <w:multiLevelType w:val="hybridMultilevel"/>
    <w:tmpl w:val="BDD2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2"/>
  </w:num>
  <w:num w:numId="3">
    <w:abstractNumId w:val="3"/>
  </w:num>
  <w:num w:numId="4">
    <w:abstractNumId w:val="6"/>
  </w:num>
  <w:num w:numId="5">
    <w:abstractNumId w:val="16"/>
  </w:num>
  <w:num w:numId="6">
    <w:abstractNumId w:val="5"/>
  </w:num>
  <w:num w:numId="7">
    <w:abstractNumId w:val="17"/>
  </w:num>
  <w:num w:numId="8">
    <w:abstractNumId w:val="15"/>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8"/>
  </w:num>
  <w:num w:numId="15">
    <w:abstractNumId w:val="14"/>
  </w:num>
  <w:num w:numId="16">
    <w:abstractNumId w:val="9"/>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032F0"/>
    <w:rsid w:val="00016C43"/>
    <w:rsid w:val="00021147"/>
    <w:rsid w:val="0002313A"/>
    <w:rsid w:val="00025E21"/>
    <w:rsid w:val="00026B9B"/>
    <w:rsid w:val="000315CB"/>
    <w:rsid w:val="00031795"/>
    <w:rsid w:val="0004123B"/>
    <w:rsid w:val="00046AA8"/>
    <w:rsid w:val="000A3296"/>
    <w:rsid w:val="000A4073"/>
    <w:rsid w:val="000C0BE0"/>
    <w:rsid w:val="000C7752"/>
    <w:rsid w:val="000D54BC"/>
    <w:rsid w:val="000F4632"/>
    <w:rsid w:val="000F5F50"/>
    <w:rsid w:val="00101931"/>
    <w:rsid w:val="001023B1"/>
    <w:rsid w:val="001048C8"/>
    <w:rsid w:val="00111D7A"/>
    <w:rsid w:val="001209F1"/>
    <w:rsid w:val="00121CB7"/>
    <w:rsid w:val="00126434"/>
    <w:rsid w:val="00126702"/>
    <w:rsid w:val="00134A78"/>
    <w:rsid w:val="00142748"/>
    <w:rsid w:val="00146EB6"/>
    <w:rsid w:val="0015126D"/>
    <w:rsid w:val="00162D58"/>
    <w:rsid w:val="00163A25"/>
    <w:rsid w:val="00183A7E"/>
    <w:rsid w:val="0019426D"/>
    <w:rsid w:val="00195546"/>
    <w:rsid w:val="001A2DCD"/>
    <w:rsid w:val="001A4102"/>
    <w:rsid w:val="001B03CF"/>
    <w:rsid w:val="001B2C6D"/>
    <w:rsid w:val="001B4DA3"/>
    <w:rsid w:val="001E1183"/>
    <w:rsid w:val="001E1BF3"/>
    <w:rsid w:val="001E3A60"/>
    <w:rsid w:val="001F7863"/>
    <w:rsid w:val="002008CA"/>
    <w:rsid w:val="002027E7"/>
    <w:rsid w:val="00204EB9"/>
    <w:rsid w:val="00213CF6"/>
    <w:rsid w:val="002229C3"/>
    <w:rsid w:val="002326FD"/>
    <w:rsid w:val="0024302D"/>
    <w:rsid w:val="002720AD"/>
    <w:rsid w:val="002744D7"/>
    <w:rsid w:val="002851BA"/>
    <w:rsid w:val="002874B9"/>
    <w:rsid w:val="0029471C"/>
    <w:rsid w:val="00296A49"/>
    <w:rsid w:val="002A0616"/>
    <w:rsid w:val="002A2B4A"/>
    <w:rsid w:val="002A43DC"/>
    <w:rsid w:val="002B0543"/>
    <w:rsid w:val="002B37D7"/>
    <w:rsid w:val="002B618E"/>
    <w:rsid w:val="002B6EE3"/>
    <w:rsid w:val="002C4503"/>
    <w:rsid w:val="002C7D3E"/>
    <w:rsid w:val="002D1E8E"/>
    <w:rsid w:val="002F0138"/>
    <w:rsid w:val="003049AB"/>
    <w:rsid w:val="00307364"/>
    <w:rsid w:val="00310263"/>
    <w:rsid w:val="003106B5"/>
    <w:rsid w:val="003222E4"/>
    <w:rsid w:val="00325403"/>
    <w:rsid w:val="00332AEB"/>
    <w:rsid w:val="003330F1"/>
    <w:rsid w:val="003569E8"/>
    <w:rsid w:val="00361704"/>
    <w:rsid w:val="00366ACD"/>
    <w:rsid w:val="00374D2E"/>
    <w:rsid w:val="003878A0"/>
    <w:rsid w:val="003A6101"/>
    <w:rsid w:val="003B4AA9"/>
    <w:rsid w:val="003E7239"/>
    <w:rsid w:val="003F79A7"/>
    <w:rsid w:val="00404133"/>
    <w:rsid w:val="00413702"/>
    <w:rsid w:val="00423966"/>
    <w:rsid w:val="00427AD9"/>
    <w:rsid w:val="0044224A"/>
    <w:rsid w:val="00442D19"/>
    <w:rsid w:val="00447966"/>
    <w:rsid w:val="00450096"/>
    <w:rsid w:val="00456EB0"/>
    <w:rsid w:val="0046411C"/>
    <w:rsid w:val="00464B19"/>
    <w:rsid w:val="00467782"/>
    <w:rsid w:val="00472043"/>
    <w:rsid w:val="00495FC5"/>
    <w:rsid w:val="004A0C55"/>
    <w:rsid w:val="004A5F4E"/>
    <w:rsid w:val="004B07D2"/>
    <w:rsid w:val="004B4CF4"/>
    <w:rsid w:val="004B61C1"/>
    <w:rsid w:val="004B781B"/>
    <w:rsid w:val="004C17B7"/>
    <w:rsid w:val="004D2698"/>
    <w:rsid w:val="004D4C97"/>
    <w:rsid w:val="004F2077"/>
    <w:rsid w:val="0050362A"/>
    <w:rsid w:val="0050568E"/>
    <w:rsid w:val="005138E9"/>
    <w:rsid w:val="0051639C"/>
    <w:rsid w:val="0052665A"/>
    <w:rsid w:val="005300BB"/>
    <w:rsid w:val="0053714C"/>
    <w:rsid w:val="00541DB3"/>
    <w:rsid w:val="005424F7"/>
    <w:rsid w:val="00543A73"/>
    <w:rsid w:val="00553472"/>
    <w:rsid w:val="00557565"/>
    <w:rsid w:val="00567746"/>
    <w:rsid w:val="0057207C"/>
    <w:rsid w:val="0057487F"/>
    <w:rsid w:val="00575806"/>
    <w:rsid w:val="00590DCB"/>
    <w:rsid w:val="005B0327"/>
    <w:rsid w:val="005B7295"/>
    <w:rsid w:val="005C2839"/>
    <w:rsid w:val="005C5EF3"/>
    <w:rsid w:val="005D0ED6"/>
    <w:rsid w:val="005E25C5"/>
    <w:rsid w:val="005E2C1F"/>
    <w:rsid w:val="00602573"/>
    <w:rsid w:val="0060754C"/>
    <w:rsid w:val="00617CEC"/>
    <w:rsid w:val="006354F1"/>
    <w:rsid w:val="006538B5"/>
    <w:rsid w:val="006659D1"/>
    <w:rsid w:val="006678F2"/>
    <w:rsid w:val="006744F0"/>
    <w:rsid w:val="006755C0"/>
    <w:rsid w:val="00675A36"/>
    <w:rsid w:val="006843D3"/>
    <w:rsid w:val="00694301"/>
    <w:rsid w:val="00697209"/>
    <w:rsid w:val="006B307C"/>
    <w:rsid w:val="006B4889"/>
    <w:rsid w:val="006B773E"/>
    <w:rsid w:val="006E00A9"/>
    <w:rsid w:val="006E7EF7"/>
    <w:rsid w:val="006F4A92"/>
    <w:rsid w:val="006F614A"/>
    <w:rsid w:val="00702D23"/>
    <w:rsid w:val="00710DBE"/>
    <w:rsid w:val="0071761F"/>
    <w:rsid w:val="00723893"/>
    <w:rsid w:val="00733109"/>
    <w:rsid w:val="00746F33"/>
    <w:rsid w:val="00750EF6"/>
    <w:rsid w:val="0075602E"/>
    <w:rsid w:val="007617B1"/>
    <w:rsid w:val="00774136"/>
    <w:rsid w:val="007762F7"/>
    <w:rsid w:val="00785B5A"/>
    <w:rsid w:val="0078658C"/>
    <w:rsid w:val="007979FC"/>
    <w:rsid w:val="007D6818"/>
    <w:rsid w:val="007E132D"/>
    <w:rsid w:val="007E3F38"/>
    <w:rsid w:val="007E5AA6"/>
    <w:rsid w:val="007E6ACB"/>
    <w:rsid w:val="007E770A"/>
    <w:rsid w:val="007F0050"/>
    <w:rsid w:val="0080690D"/>
    <w:rsid w:val="00813B38"/>
    <w:rsid w:val="008241DB"/>
    <w:rsid w:val="00831D49"/>
    <w:rsid w:val="008427B0"/>
    <w:rsid w:val="00846A98"/>
    <w:rsid w:val="008554B6"/>
    <w:rsid w:val="00881B7D"/>
    <w:rsid w:val="008C246C"/>
    <w:rsid w:val="008D2D06"/>
    <w:rsid w:val="00902959"/>
    <w:rsid w:val="009070CE"/>
    <w:rsid w:val="00932A73"/>
    <w:rsid w:val="0093372C"/>
    <w:rsid w:val="00935E57"/>
    <w:rsid w:val="00942E5E"/>
    <w:rsid w:val="00944B47"/>
    <w:rsid w:val="00945DEF"/>
    <w:rsid w:val="00952DD5"/>
    <w:rsid w:val="0095434D"/>
    <w:rsid w:val="0096632A"/>
    <w:rsid w:val="00970931"/>
    <w:rsid w:val="00977B3F"/>
    <w:rsid w:val="009A5243"/>
    <w:rsid w:val="009B11FA"/>
    <w:rsid w:val="009B23D8"/>
    <w:rsid w:val="009B63E1"/>
    <w:rsid w:val="009C571F"/>
    <w:rsid w:val="009C5767"/>
    <w:rsid w:val="009D1A9E"/>
    <w:rsid w:val="009D1C20"/>
    <w:rsid w:val="009D6EC6"/>
    <w:rsid w:val="009E40EC"/>
    <w:rsid w:val="009F4EDF"/>
    <w:rsid w:val="009F5F66"/>
    <w:rsid w:val="00A0034F"/>
    <w:rsid w:val="00A009E9"/>
    <w:rsid w:val="00A01138"/>
    <w:rsid w:val="00A048AB"/>
    <w:rsid w:val="00A04C00"/>
    <w:rsid w:val="00A20C12"/>
    <w:rsid w:val="00A254D2"/>
    <w:rsid w:val="00A374EE"/>
    <w:rsid w:val="00A42B51"/>
    <w:rsid w:val="00A46963"/>
    <w:rsid w:val="00A5263D"/>
    <w:rsid w:val="00A61170"/>
    <w:rsid w:val="00A716E3"/>
    <w:rsid w:val="00A72D60"/>
    <w:rsid w:val="00A74877"/>
    <w:rsid w:val="00A777B5"/>
    <w:rsid w:val="00A8103B"/>
    <w:rsid w:val="00A87F18"/>
    <w:rsid w:val="00A94E60"/>
    <w:rsid w:val="00AA1AEC"/>
    <w:rsid w:val="00AA2E1B"/>
    <w:rsid w:val="00AA30E9"/>
    <w:rsid w:val="00AB490E"/>
    <w:rsid w:val="00AB497F"/>
    <w:rsid w:val="00AB53D2"/>
    <w:rsid w:val="00AB57E2"/>
    <w:rsid w:val="00AD0506"/>
    <w:rsid w:val="00AD0A9B"/>
    <w:rsid w:val="00AE3480"/>
    <w:rsid w:val="00B04B8D"/>
    <w:rsid w:val="00B11048"/>
    <w:rsid w:val="00B14362"/>
    <w:rsid w:val="00B23FFC"/>
    <w:rsid w:val="00B24CFA"/>
    <w:rsid w:val="00B61CDD"/>
    <w:rsid w:val="00B70C18"/>
    <w:rsid w:val="00B8374F"/>
    <w:rsid w:val="00BB79A9"/>
    <w:rsid w:val="00BC7E75"/>
    <w:rsid w:val="00BD08AE"/>
    <w:rsid w:val="00BD600D"/>
    <w:rsid w:val="00BE4A72"/>
    <w:rsid w:val="00BE5119"/>
    <w:rsid w:val="00C07570"/>
    <w:rsid w:val="00C07BA1"/>
    <w:rsid w:val="00C11919"/>
    <w:rsid w:val="00C12EFD"/>
    <w:rsid w:val="00C23F77"/>
    <w:rsid w:val="00C26D92"/>
    <w:rsid w:val="00C3034E"/>
    <w:rsid w:val="00C3654A"/>
    <w:rsid w:val="00C404A8"/>
    <w:rsid w:val="00C45DCB"/>
    <w:rsid w:val="00C46EDA"/>
    <w:rsid w:val="00C55BE6"/>
    <w:rsid w:val="00C616DC"/>
    <w:rsid w:val="00C722B2"/>
    <w:rsid w:val="00C74A51"/>
    <w:rsid w:val="00C766AA"/>
    <w:rsid w:val="00C77F29"/>
    <w:rsid w:val="00C81C8C"/>
    <w:rsid w:val="00C90506"/>
    <w:rsid w:val="00CA0D15"/>
    <w:rsid w:val="00CA2448"/>
    <w:rsid w:val="00CA358F"/>
    <w:rsid w:val="00CA73D1"/>
    <w:rsid w:val="00CB5738"/>
    <w:rsid w:val="00CC0368"/>
    <w:rsid w:val="00CC0BE5"/>
    <w:rsid w:val="00CD0FDC"/>
    <w:rsid w:val="00CE1EAB"/>
    <w:rsid w:val="00CF047C"/>
    <w:rsid w:val="00CF197F"/>
    <w:rsid w:val="00CF55DF"/>
    <w:rsid w:val="00D0471D"/>
    <w:rsid w:val="00D146D4"/>
    <w:rsid w:val="00D1794B"/>
    <w:rsid w:val="00D244B2"/>
    <w:rsid w:val="00D31A74"/>
    <w:rsid w:val="00D47C63"/>
    <w:rsid w:val="00D53F6A"/>
    <w:rsid w:val="00D5472C"/>
    <w:rsid w:val="00D55A7A"/>
    <w:rsid w:val="00D62E64"/>
    <w:rsid w:val="00D67450"/>
    <w:rsid w:val="00D77B80"/>
    <w:rsid w:val="00DA41A4"/>
    <w:rsid w:val="00DC06D2"/>
    <w:rsid w:val="00DC7B54"/>
    <w:rsid w:val="00DD49FB"/>
    <w:rsid w:val="00DD5A6B"/>
    <w:rsid w:val="00E23673"/>
    <w:rsid w:val="00E23926"/>
    <w:rsid w:val="00E349DA"/>
    <w:rsid w:val="00E42E96"/>
    <w:rsid w:val="00E43A98"/>
    <w:rsid w:val="00E465EC"/>
    <w:rsid w:val="00E62236"/>
    <w:rsid w:val="00E67B87"/>
    <w:rsid w:val="00E70A5C"/>
    <w:rsid w:val="00E73061"/>
    <w:rsid w:val="00E83E92"/>
    <w:rsid w:val="00EA4C08"/>
    <w:rsid w:val="00EB13A7"/>
    <w:rsid w:val="00EB2540"/>
    <w:rsid w:val="00EB25D8"/>
    <w:rsid w:val="00EC246D"/>
    <w:rsid w:val="00EC75EB"/>
    <w:rsid w:val="00EC7D0E"/>
    <w:rsid w:val="00ED73CC"/>
    <w:rsid w:val="00EE58F6"/>
    <w:rsid w:val="00F3099A"/>
    <w:rsid w:val="00F41A9B"/>
    <w:rsid w:val="00F51C5E"/>
    <w:rsid w:val="00F5640A"/>
    <w:rsid w:val="00F63D91"/>
    <w:rsid w:val="00F66053"/>
    <w:rsid w:val="00F7094C"/>
    <w:rsid w:val="00F75EE4"/>
    <w:rsid w:val="00FA0E37"/>
    <w:rsid w:val="00FB5B4F"/>
    <w:rsid w:val="00FC2644"/>
    <w:rsid w:val="00FC7B5D"/>
    <w:rsid w:val="00FD48E7"/>
    <w:rsid w:val="00FE0D00"/>
    <w:rsid w:val="00FE2144"/>
    <w:rsid w:val="00FE5D97"/>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5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uc.pa.gov/general/onlineforms/doc/EGS_Lic_App.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A2052-D8BD-49C4-8653-66A89D61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Farner, Joyce</cp:lastModifiedBy>
  <cp:revision>3</cp:revision>
  <cp:lastPrinted>2016-04-08T15:28:00Z</cp:lastPrinted>
  <dcterms:created xsi:type="dcterms:W3CDTF">2016-04-08T15:19:00Z</dcterms:created>
  <dcterms:modified xsi:type="dcterms:W3CDTF">2016-04-08T15:28:00Z</dcterms:modified>
</cp:coreProperties>
</file>