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C74A51">
        <w:trPr>
          <w:trHeight w:val="990"/>
        </w:trPr>
        <w:tc>
          <w:tcPr>
            <w:tcW w:w="1363" w:type="dxa"/>
          </w:tcPr>
          <w:p w:rsidR="00C74A51" w:rsidRDefault="00E23926">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3569E8" w:rsidRPr="00E23926" w:rsidRDefault="007979FC" w:rsidP="00FC7B5D">
            <w:pPr>
              <w:jc w:val="right"/>
              <w:rPr>
                <w:rFonts w:ascii="Arial" w:hAnsi="Arial"/>
                <w:sz w:val="16"/>
                <w:szCs w:val="16"/>
              </w:rPr>
            </w:pPr>
            <w:r>
              <w:rPr>
                <w:sz w:val="16"/>
                <w:szCs w:val="16"/>
              </w:rPr>
              <w:t>M-2014-2424864</w:t>
            </w:r>
          </w:p>
        </w:tc>
      </w:tr>
    </w:tbl>
    <w:p w:rsidR="006E7EF7" w:rsidRDefault="00332EE9" w:rsidP="00332EE9">
      <w:pPr>
        <w:jc w:val="center"/>
        <w:rPr>
          <w:sz w:val="24"/>
          <w:szCs w:val="24"/>
        </w:rPr>
      </w:pPr>
      <w:r>
        <w:rPr>
          <w:sz w:val="24"/>
          <w:szCs w:val="24"/>
        </w:rPr>
        <w:t>November 18, 2015</w:t>
      </w:r>
    </w:p>
    <w:p w:rsidR="001822EA" w:rsidRDefault="001822EA" w:rsidP="00710DBE">
      <w:pPr>
        <w:rPr>
          <w:sz w:val="24"/>
          <w:szCs w:val="24"/>
        </w:rPr>
      </w:pPr>
    </w:p>
    <w:p w:rsidR="009B4557" w:rsidRDefault="009B4557" w:rsidP="00710DBE">
      <w:pPr>
        <w:rPr>
          <w:sz w:val="24"/>
          <w:szCs w:val="24"/>
        </w:rPr>
      </w:pPr>
    </w:p>
    <w:p w:rsidR="009B4557" w:rsidRDefault="009B4557" w:rsidP="00710DBE">
      <w:pPr>
        <w:rPr>
          <w:sz w:val="24"/>
          <w:szCs w:val="24"/>
        </w:rPr>
      </w:pPr>
    </w:p>
    <w:p w:rsidR="001822EA" w:rsidRDefault="001822EA" w:rsidP="00710DBE">
      <w:pPr>
        <w:rPr>
          <w:sz w:val="24"/>
          <w:szCs w:val="24"/>
        </w:rPr>
      </w:pPr>
    </w:p>
    <w:p w:rsidR="009B4557" w:rsidRDefault="009B4557" w:rsidP="00710DBE">
      <w:pPr>
        <w:rPr>
          <w:sz w:val="24"/>
          <w:szCs w:val="24"/>
        </w:rPr>
      </w:pPr>
    </w:p>
    <w:p w:rsidR="00710DBE" w:rsidRPr="009B4557" w:rsidRDefault="00710DBE" w:rsidP="00710DBE">
      <w:pPr>
        <w:rPr>
          <w:sz w:val="24"/>
          <w:szCs w:val="24"/>
        </w:rPr>
      </w:pPr>
      <w:r w:rsidRPr="009B4557">
        <w:rPr>
          <w:sz w:val="24"/>
          <w:szCs w:val="24"/>
        </w:rPr>
        <w:t>TO ALL INTERESTED PARTIES:</w:t>
      </w:r>
    </w:p>
    <w:p w:rsidR="00710DBE" w:rsidRPr="009B4557" w:rsidRDefault="00710DBE" w:rsidP="00710DBE">
      <w:pPr>
        <w:rPr>
          <w:sz w:val="24"/>
          <w:szCs w:val="24"/>
        </w:rPr>
      </w:pPr>
    </w:p>
    <w:p w:rsidR="00710DBE" w:rsidRPr="009B4557" w:rsidRDefault="00307364" w:rsidP="00710DBE">
      <w:pPr>
        <w:ind w:left="1440" w:hanging="720"/>
        <w:rPr>
          <w:sz w:val="24"/>
          <w:szCs w:val="24"/>
        </w:rPr>
      </w:pPr>
      <w:r w:rsidRPr="009B4557">
        <w:rPr>
          <w:sz w:val="24"/>
          <w:szCs w:val="24"/>
        </w:rPr>
        <w:t>Re:</w:t>
      </w:r>
      <w:r w:rsidRPr="009B4557">
        <w:rPr>
          <w:sz w:val="24"/>
          <w:szCs w:val="24"/>
        </w:rPr>
        <w:tab/>
      </w:r>
      <w:r w:rsidR="00CE70DC" w:rsidRPr="009B4557">
        <w:rPr>
          <w:sz w:val="24"/>
          <w:szCs w:val="24"/>
        </w:rPr>
        <w:t>Multi-family Housing Stakeholder Meeting</w:t>
      </w:r>
    </w:p>
    <w:p w:rsidR="00710DBE" w:rsidRPr="009B4557" w:rsidRDefault="00710DBE" w:rsidP="00710DBE">
      <w:pPr>
        <w:ind w:left="1440" w:hanging="720"/>
        <w:rPr>
          <w:sz w:val="24"/>
          <w:szCs w:val="24"/>
        </w:rPr>
      </w:pPr>
      <w:r w:rsidRPr="009B4557">
        <w:rPr>
          <w:sz w:val="24"/>
          <w:szCs w:val="24"/>
        </w:rPr>
        <w:tab/>
        <w:t>Docket No.</w:t>
      </w:r>
      <w:r w:rsidR="007979FC" w:rsidRPr="009B4557">
        <w:rPr>
          <w:sz w:val="24"/>
          <w:szCs w:val="24"/>
        </w:rPr>
        <w:t xml:space="preserve"> M-2014-2424864</w:t>
      </w:r>
    </w:p>
    <w:p w:rsidR="00E43A98" w:rsidRPr="009B4557" w:rsidRDefault="00E43A98" w:rsidP="00710DBE">
      <w:pPr>
        <w:rPr>
          <w:sz w:val="24"/>
          <w:szCs w:val="24"/>
        </w:rPr>
      </w:pPr>
    </w:p>
    <w:p w:rsidR="0058420A" w:rsidRPr="009B4557" w:rsidRDefault="0058420A" w:rsidP="0058420A">
      <w:pPr>
        <w:ind w:firstLine="720"/>
        <w:rPr>
          <w:sz w:val="24"/>
          <w:szCs w:val="24"/>
        </w:rPr>
      </w:pPr>
      <w:r w:rsidRPr="009B4557">
        <w:rPr>
          <w:sz w:val="24"/>
          <w:szCs w:val="24"/>
        </w:rPr>
        <w:t>With this Secretarial Letter, the Commission is providing notice of an Act 129 Multi-</w:t>
      </w:r>
      <w:r w:rsidR="002C49E3" w:rsidRPr="009B4557">
        <w:rPr>
          <w:sz w:val="24"/>
          <w:szCs w:val="24"/>
        </w:rPr>
        <w:t>F</w:t>
      </w:r>
      <w:r w:rsidRPr="009B4557">
        <w:rPr>
          <w:sz w:val="24"/>
          <w:szCs w:val="24"/>
        </w:rPr>
        <w:t xml:space="preserve">amily Housing Working Group (MHWG) meeting to be held on Wednesday, December 16, 2015, from 1:30 P.M. to 3:00 P.M. in Hearing Room 1 of the Commonwealth Keystone Building, 400 North Street, Harrisburg, Pennsylvania, 17120.  </w:t>
      </w:r>
    </w:p>
    <w:p w:rsidR="0058420A" w:rsidRPr="009B4557" w:rsidRDefault="0058420A" w:rsidP="00E43A98">
      <w:pPr>
        <w:rPr>
          <w:sz w:val="24"/>
          <w:szCs w:val="24"/>
        </w:rPr>
      </w:pPr>
    </w:p>
    <w:p w:rsidR="00183A7E" w:rsidRPr="009B4557" w:rsidRDefault="00FC2644" w:rsidP="00E43A98">
      <w:pPr>
        <w:rPr>
          <w:sz w:val="24"/>
          <w:szCs w:val="24"/>
        </w:rPr>
      </w:pPr>
      <w:r w:rsidRPr="009B4557">
        <w:rPr>
          <w:sz w:val="24"/>
          <w:szCs w:val="24"/>
        </w:rPr>
        <w:tab/>
        <w:t xml:space="preserve">In its </w:t>
      </w:r>
      <w:r w:rsidR="00CE70DC" w:rsidRPr="009B4557">
        <w:rPr>
          <w:sz w:val="24"/>
          <w:szCs w:val="24"/>
        </w:rPr>
        <w:t xml:space="preserve">Implementation Order </w:t>
      </w:r>
      <w:r w:rsidR="00FA2FC1" w:rsidRPr="009B4557">
        <w:rPr>
          <w:sz w:val="24"/>
          <w:szCs w:val="24"/>
        </w:rPr>
        <w:t xml:space="preserve">(Order) </w:t>
      </w:r>
      <w:r w:rsidRPr="009B4557">
        <w:rPr>
          <w:sz w:val="24"/>
          <w:szCs w:val="24"/>
        </w:rPr>
        <w:t xml:space="preserve">for Phase III of the Act 129 Energy Efficiency and Conservation (EE&amp;C) Program, the Commission </w:t>
      </w:r>
      <w:r w:rsidR="00CE70DC" w:rsidRPr="009B4557">
        <w:rPr>
          <w:sz w:val="24"/>
          <w:szCs w:val="24"/>
        </w:rPr>
        <w:t xml:space="preserve">directed its Bureau of Consumer Services, with assistance as needed from its Bureau of Technical Utility Services, to convene </w:t>
      </w:r>
      <w:r w:rsidR="002C49E3" w:rsidRPr="009B4557">
        <w:rPr>
          <w:sz w:val="24"/>
          <w:szCs w:val="24"/>
        </w:rPr>
        <w:t>the</w:t>
      </w:r>
      <w:r w:rsidR="009B4557" w:rsidRPr="009B4557">
        <w:rPr>
          <w:sz w:val="24"/>
          <w:szCs w:val="24"/>
        </w:rPr>
        <w:t xml:space="preserve"> </w:t>
      </w:r>
      <w:r w:rsidR="002C49E3" w:rsidRPr="009B4557">
        <w:rPr>
          <w:sz w:val="24"/>
          <w:szCs w:val="24"/>
        </w:rPr>
        <w:t>MHWG.</w:t>
      </w:r>
      <w:r w:rsidR="00CE70DC" w:rsidRPr="009B4557">
        <w:rPr>
          <w:sz w:val="24"/>
          <w:szCs w:val="24"/>
        </w:rPr>
        <w:t xml:space="preserve"> </w:t>
      </w:r>
      <w:r w:rsidR="0058420A" w:rsidRPr="009B4557">
        <w:rPr>
          <w:sz w:val="24"/>
          <w:szCs w:val="24"/>
        </w:rPr>
        <w:t xml:space="preserve"> The purpose of this working group is</w:t>
      </w:r>
      <w:r w:rsidR="00CE70DC" w:rsidRPr="009B4557">
        <w:rPr>
          <w:sz w:val="24"/>
          <w:szCs w:val="24"/>
        </w:rPr>
        <w:t xml:space="preserve"> to gather stakeholder input</w:t>
      </w:r>
      <w:r w:rsidR="002C49E3" w:rsidRPr="009B4557">
        <w:rPr>
          <w:sz w:val="24"/>
          <w:szCs w:val="24"/>
        </w:rPr>
        <w:t xml:space="preserve"> in order to</w:t>
      </w:r>
      <w:r w:rsidR="00CE70DC" w:rsidRPr="009B4557">
        <w:rPr>
          <w:sz w:val="24"/>
          <w:szCs w:val="24"/>
        </w:rPr>
        <w:t xml:space="preserve"> explore possible program designs and cost-effective solutions to barriers </w:t>
      </w:r>
      <w:r w:rsidR="0058420A" w:rsidRPr="009B4557">
        <w:rPr>
          <w:sz w:val="24"/>
          <w:szCs w:val="24"/>
        </w:rPr>
        <w:t xml:space="preserve">to participation in the EE&amp;C Program </w:t>
      </w:r>
      <w:r w:rsidR="00CE70DC" w:rsidRPr="009B4557">
        <w:rPr>
          <w:sz w:val="24"/>
          <w:szCs w:val="24"/>
        </w:rPr>
        <w:t>that may exist for the multi</w:t>
      </w:r>
      <w:r w:rsidR="009B4557" w:rsidRPr="009B4557">
        <w:rPr>
          <w:sz w:val="24"/>
          <w:szCs w:val="24"/>
        </w:rPr>
        <w:t>-</w:t>
      </w:r>
      <w:r w:rsidR="00CE70DC" w:rsidRPr="009B4557">
        <w:rPr>
          <w:sz w:val="24"/>
          <w:szCs w:val="24"/>
        </w:rPr>
        <w:t>family sector.</w:t>
      </w:r>
      <w:r w:rsidR="0061154B" w:rsidRPr="009B4557">
        <w:rPr>
          <w:rStyle w:val="FootnoteReference"/>
          <w:sz w:val="24"/>
          <w:szCs w:val="24"/>
        </w:rPr>
        <w:footnoteReference w:id="1"/>
      </w:r>
      <w:r w:rsidR="00CE70DC" w:rsidRPr="009B4557">
        <w:rPr>
          <w:sz w:val="24"/>
          <w:szCs w:val="24"/>
        </w:rPr>
        <w:t xml:space="preserve">  </w:t>
      </w:r>
      <w:r w:rsidRPr="009B4557">
        <w:rPr>
          <w:sz w:val="24"/>
          <w:szCs w:val="24"/>
        </w:rPr>
        <w:t xml:space="preserve">  </w:t>
      </w:r>
    </w:p>
    <w:p w:rsidR="00183A7E" w:rsidRPr="009B4557" w:rsidRDefault="00183A7E" w:rsidP="00E43A98">
      <w:pPr>
        <w:rPr>
          <w:sz w:val="24"/>
          <w:szCs w:val="24"/>
        </w:rPr>
      </w:pPr>
    </w:p>
    <w:p w:rsidR="00FA2FC1" w:rsidRPr="009B4557" w:rsidRDefault="00FA2FC1" w:rsidP="00FA2FC1">
      <w:pPr>
        <w:ind w:firstLine="720"/>
        <w:rPr>
          <w:sz w:val="24"/>
          <w:szCs w:val="24"/>
        </w:rPr>
      </w:pPr>
      <w:r w:rsidRPr="009B4557">
        <w:rPr>
          <w:sz w:val="24"/>
          <w:szCs w:val="24"/>
        </w:rPr>
        <w:t xml:space="preserve">Attached is </w:t>
      </w:r>
      <w:r w:rsidR="00DA41A4" w:rsidRPr="009B4557">
        <w:rPr>
          <w:sz w:val="24"/>
          <w:szCs w:val="24"/>
        </w:rPr>
        <w:t>an agenda for the meeting</w:t>
      </w:r>
      <w:r w:rsidR="00B45149" w:rsidRPr="009B4557">
        <w:rPr>
          <w:sz w:val="24"/>
          <w:szCs w:val="24"/>
        </w:rPr>
        <w:t xml:space="preserve"> and a </w:t>
      </w:r>
      <w:r w:rsidR="002C49E3" w:rsidRPr="009B4557">
        <w:rPr>
          <w:sz w:val="24"/>
          <w:szCs w:val="24"/>
        </w:rPr>
        <w:t>MHWG</w:t>
      </w:r>
      <w:r w:rsidR="00B45149" w:rsidRPr="009B4557">
        <w:rPr>
          <w:sz w:val="24"/>
          <w:szCs w:val="24"/>
        </w:rPr>
        <w:t xml:space="preserve"> strawman proposal</w:t>
      </w:r>
      <w:r w:rsidR="00DA41A4" w:rsidRPr="009B4557">
        <w:rPr>
          <w:sz w:val="24"/>
          <w:szCs w:val="24"/>
        </w:rPr>
        <w:t xml:space="preserve">.  </w:t>
      </w:r>
      <w:r w:rsidRPr="009B4557">
        <w:rPr>
          <w:sz w:val="24"/>
          <w:szCs w:val="24"/>
        </w:rPr>
        <w:t xml:space="preserve">  </w:t>
      </w:r>
    </w:p>
    <w:p w:rsidR="00FA2FC1" w:rsidRPr="009B4557" w:rsidRDefault="00FA2FC1" w:rsidP="00FA2FC1">
      <w:pPr>
        <w:ind w:firstLine="720"/>
        <w:rPr>
          <w:sz w:val="24"/>
          <w:szCs w:val="24"/>
        </w:rPr>
      </w:pPr>
    </w:p>
    <w:p w:rsidR="006659D1" w:rsidRPr="009B4557" w:rsidRDefault="00046AA8" w:rsidP="006D73F3">
      <w:pPr>
        <w:ind w:firstLine="720"/>
        <w:rPr>
          <w:sz w:val="24"/>
          <w:szCs w:val="24"/>
        </w:rPr>
      </w:pPr>
      <w:r w:rsidRPr="009B4557">
        <w:rPr>
          <w:sz w:val="24"/>
          <w:szCs w:val="24"/>
        </w:rPr>
        <w:t>A</w:t>
      </w:r>
      <w:r w:rsidR="006659D1" w:rsidRPr="009B4557">
        <w:rPr>
          <w:sz w:val="24"/>
          <w:szCs w:val="24"/>
        </w:rPr>
        <w:t xml:space="preserve">ny questions regarding this stakeholder meeting should be directed to </w:t>
      </w:r>
      <w:r w:rsidR="006D73F3" w:rsidRPr="009B4557">
        <w:rPr>
          <w:sz w:val="24"/>
          <w:szCs w:val="24"/>
        </w:rPr>
        <w:t>Sarah Dewey</w:t>
      </w:r>
      <w:r w:rsidR="006659D1" w:rsidRPr="009B4557">
        <w:rPr>
          <w:sz w:val="24"/>
          <w:szCs w:val="24"/>
        </w:rPr>
        <w:t xml:space="preserve"> at 717-</w:t>
      </w:r>
      <w:r w:rsidR="006D73F3" w:rsidRPr="009B4557">
        <w:rPr>
          <w:sz w:val="24"/>
          <w:szCs w:val="24"/>
        </w:rPr>
        <w:t>705-4029</w:t>
      </w:r>
      <w:r w:rsidR="006659D1" w:rsidRPr="009B4557">
        <w:rPr>
          <w:sz w:val="24"/>
          <w:szCs w:val="24"/>
        </w:rPr>
        <w:t xml:space="preserve"> or </w:t>
      </w:r>
      <w:hyperlink r:id="rId10" w:history="1">
        <w:r w:rsidR="006D73F3" w:rsidRPr="009B4557">
          <w:rPr>
            <w:rStyle w:val="Hyperlink"/>
            <w:sz w:val="24"/>
            <w:szCs w:val="24"/>
          </w:rPr>
          <w:t>sdewey@pa.gov</w:t>
        </w:r>
      </w:hyperlink>
      <w:r w:rsidR="006D73F3" w:rsidRPr="009B4557">
        <w:rPr>
          <w:sz w:val="24"/>
          <w:szCs w:val="24"/>
        </w:rPr>
        <w:t>.</w:t>
      </w:r>
    </w:p>
    <w:p w:rsidR="006659D1" w:rsidRPr="009B4557" w:rsidRDefault="006659D1" w:rsidP="00710DBE">
      <w:pPr>
        <w:rPr>
          <w:sz w:val="24"/>
          <w:szCs w:val="24"/>
        </w:rPr>
      </w:pPr>
    </w:p>
    <w:p w:rsidR="00B23FFC" w:rsidRPr="009B4557" w:rsidRDefault="00710DBE" w:rsidP="00E43A98">
      <w:pPr>
        <w:rPr>
          <w:sz w:val="24"/>
          <w:szCs w:val="24"/>
        </w:rPr>
      </w:pPr>
      <w:r w:rsidRPr="009B4557">
        <w:rPr>
          <w:sz w:val="24"/>
          <w:szCs w:val="24"/>
        </w:rPr>
        <w:tab/>
      </w:r>
    </w:p>
    <w:p w:rsidR="003B4AA9" w:rsidRPr="009B4557" w:rsidRDefault="00C77F29" w:rsidP="00BE4A72">
      <w:pPr>
        <w:rPr>
          <w:sz w:val="24"/>
          <w:szCs w:val="24"/>
        </w:rPr>
      </w:pPr>
      <w:r w:rsidRPr="009B4557">
        <w:rPr>
          <w:sz w:val="24"/>
          <w:szCs w:val="24"/>
        </w:rPr>
        <w:t xml:space="preserve"> </w:t>
      </w:r>
    </w:p>
    <w:p w:rsidR="00BE4A72" w:rsidRPr="009B4557" w:rsidRDefault="00332EE9" w:rsidP="00BE4A72">
      <w:pPr>
        <w:ind w:left="3600"/>
        <w:rPr>
          <w:sz w:val="24"/>
          <w:szCs w:val="24"/>
        </w:rPr>
      </w:pPr>
      <w:r>
        <w:rPr>
          <w:noProof/>
        </w:rPr>
        <w:drawing>
          <wp:anchor distT="0" distB="0" distL="114300" distR="114300" simplePos="0" relativeHeight="251659264" behindDoc="1" locked="0" layoutInCell="1" allowOverlap="1" wp14:anchorId="776FF2D3" wp14:editId="1CC37E71">
            <wp:simplePos x="0" y="0"/>
            <wp:positionH relativeFrom="column">
              <wp:posOffset>2619375</wp:posOffset>
            </wp:positionH>
            <wp:positionV relativeFrom="paragraph">
              <wp:posOffset>21590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E4A72" w:rsidRPr="009B4557">
        <w:rPr>
          <w:sz w:val="24"/>
          <w:szCs w:val="24"/>
        </w:rPr>
        <w:tab/>
        <w:t>Sincerely,</w:t>
      </w:r>
    </w:p>
    <w:p w:rsidR="00BE4A72" w:rsidRDefault="00BE4A72" w:rsidP="00BE4A72">
      <w:pPr>
        <w:ind w:left="3600"/>
        <w:rPr>
          <w:sz w:val="24"/>
          <w:szCs w:val="24"/>
        </w:rPr>
      </w:pPr>
    </w:p>
    <w:p w:rsidR="009B4557" w:rsidRPr="009B4557" w:rsidRDefault="009B4557" w:rsidP="00BE4A72">
      <w:pPr>
        <w:ind w:left="3600"/>
        <w:rPr>
          <w:sz w:val="24"/>
          <w:szCs w:val="24"/>
        </w:rPr>
      </w:pPr>
      <w:bookmarkStart w:id="0" w:name="_GoBack"/>
      <w:bookmarkEnd w:id="0"/>
    </w:p>
    <w:p w:rsidR="006B773E" w:rsidRPr="009B4557" w:rsidRDefault="006B773E" w:rsidP="00BE4A72">
      <w:pPr>
        <w:ind w:left="3600"/>
        <w:rPr>
          <w:sz w:val="24"/>
          <w:szCs w:val="24"/>
        </w:rPr>
      </w:pPr>
    </w:p>
    <w:p w:rsidR="002B37D7" w:rsidRPr="009B4557" w:rsidRDefault="00C77F29" w:rsidP="002B37D7">
      <w:pPr>
        <w:jc w:val="both"/>
        <w:rPr>
          <w:color w:val="000000"/>
          <w:sz w:val="24"/>
          <w:szCs w:val="24"/>
        </w:rPr>
      </w:pPr>
      <w:r w:rsidRPr="009B4557">
        <w:rPr>
          <w:sz w:val="24"/>
          <w:szCs w:val="24"/>
        </w:rPr>
        <w:tab/>
      </w:r>
      <w:r w:rsidR="002B37D7" w:rsidRPr="009B4557">
        <w:rPr>
          <w:sz w:val="24"/>
          <w:szCs w:val="24"/>
        </w:rPr>
        <w:tab/>
      </w:r>
      <w:r w:rsidR="002B37D7" w:rsidRPr="009B4557">
        <w:rPr>
          <w:sz w:val="24"/>
          <w:szCs w:val="24"/>
        </w:rPr>
        <w:tab/>
      </w:r>
      <w:r w:rsidR="002B37D7" w:rsidRPr="009B4557">
        <w:rPr>
          <w:sz w:val="24"/>
          <w:szCs w:val="24"/>
        </w:rPr>
        <w:tab/>
      </w:r>
      <w:r w:rsidR="002B37D7" w:rsidRPr="009B4557">
        <w:rPr>
          <w:sz w:val="24"/>
          <w:szCs w:val="24"/>
        </w:rPr>
        <w:tab/>
      </w:r>
      <w:r w:rsidR="002B37D7" w:rsidRPr="009B4557">
        <w:rPr>
          <w:sz w:val="24"/>
          <w:szCs w:val="24"/>
        </w:rPr>
        <w:tab/>
      </w:r>
      <w:r w:rsidR="002B37D7" w:rsidRPr="009B4557">
        <w:rPr>
          <w:color w:val="000000"/>
          <w:sz w:val="24"/>
          <w:szCs w:val="24"/>
        </w:rPr>
        <w:t>Rosemary Chiavetta</w:t>
      </w:r>
    </w:p>
    <w:p w:rsidR="002B37D7" w:rsidRPr="009B4557" w:rsidRDefault="002B37D7" w:rsidP="002B37D7">
      <w:pPr>
        <w:jc w:val="both"/>
        <w:rPr>
          <w:color w:val="000000"/>
          <w:sz w:val="24"/>
          <w:szCs w:val="24"/>
        </w:rPr>
      </w:pPr>
      <w:r w:rsidRPr="009B4557">
        <w:rPr>
          <w:color w:val="000000"/>
          <w:sz w:val="24"/>
          <w:szCs w:val="24"/>
        </w:rPr>
        <w:tab/>
      </w:r>
      <w:r w:rsidRPr="009B4557">
        <w:rPr>
          <w:color w:val="000000"/>
          <w:sz w:val="24"/>
          <w:szCs w:val="24"/>
        </w:rPr>
        <w:tab/>
      </w:r>
      <w:r w:rsidRPr="009B4557">
        <w:rPr>
          <w:color w:val="000000"/>
          <w:sz w:val="24"/>
          <w:szCs w:val="24"/>
        </w:rPr>
        <w:tab/>
      </w:r>
      <w:r w:rsidRPr="009B4557">
        <w:rPr>
          <w:color w:val="000000"/>
          <w:sz w:val="24"/>
          <w:szCs w:val="24"/>
        </w:rPr>
        <w:tab/>
      </w:r>
      <w:r w:rsidRPr="009B4557">
        <w:rPr>
          <w:color w:val="000000"/>
          <w:sz w:val="24"/>
          <w:szCs w:val="24"/>
        </w:rPr>
        <w:tab/>
      </w:r>
      <w:r w:rsidRPr="009B4557">
        <w:rPr>
          <w:color w:val="000000"/>
          <w:sz w:val="24"/>
          <w:szCs w:val="24"/>
        </w:rPr>
        <w:tab/>
        <w:t>Secretary</w:t>
      </w:r>
    </w:p>
    <w:p w:rsidR="006E7EF7" w:rsidRPr="009B4557" w:rsidRDefault="006E7EF7" w:rsidP="002B37D7">
      <w:pPr>
        <w:jc w:val="both"/>
        <w:rPr>
          <w:color w:val="000000"/>
          <w:sz w:val="24"/>
          <w:szCs w:val="24"/>
        </w:rPr>
      </w:pPr>
    </w:p>
    <w:p w:rsidR="001822EA" w:rsidRDefault="001822EA" w:rsidP="002B37D7">
      <w:pPr>
        <w:jc w:val="both"/>
        <w:rPr>
          <w:sz w:val="24"/>
          <w:szCs w:val="24"/>
        </w:rPr>
      </w:pPr>
    </w:p>
    <w:p w:rsidR="002B37D7" w:rsidRPr="007E6ACB" w:rsidRDefault="002B37D7" w:rsidP="002B37D7">
      <w:pPr>
        <w:jc w:val="both"/>
        <w:rPr>
          <w:sz w:val="24"/>
          <w:szCs w:val="24"/>
        </w:rPr>
      </w:pPr>
      <w:r w:rsidRPr="007E6ACB">
        <w:rPr>
          <w:sz w:val="24"/>
          <w:szCs w:val="24"/>
        </w:rPr>
        <w:t>cc:</w:t>
      </w:r>
      <w:r w:rsidRPr="007E6ACB">
        <w:rPr>
          <w:sz w:val="24"/>
          <w:szCs w:val="24"/>
        </w:rPr>
        <w:tab/>
        <w:t>Chairman’s Office</w:t>
      </w:r>
    </w:p>
    <w:p w:rsidR="002B37D7" w:rsidRPr="007E6ACB" w:rsidRDefault="002B37D7" w:rsidP="002B37D7">
      <w:pPr>
        <w:jc w:val="both"/>
        <w:rPr>
          <w:sz w:val="24"/>
          <w:szCs w:val="24"/>
        </w:rPr>
      </w:pPr>
      <w:r w:rsidRPr="007E6ACB">
        <w:rPr>
          <w:sz w:val="24"/>
          <w:szCs w:val="24"/>
        </w:rPr>
        <w:tab/>
        <w:t>Vice Chairman’s Office</w:t>
      </w:r>
    </w:p>
    <w:p w:rsidR="002B37D7" w:rsidRDefault="002B37D7" w:rsidP="002B37D7">
      <w:pPr>
        <w:jc w:val="both"/>
        <w:rPr>
          <w:sz w:val="24"/>
          <w:szCs w:val="24"/>
        </w:rPr>
      </w:pPr>
      <w:r w:rsidRPr="007E6ACB">
        <w:rPr>
          <w:sz w:val="24"/>
          <w:szCs w:val="24"/>
        </w:rPr>
        <w:tab/>
        <w:t>Commissioners’ Office</w:t>
      </w:r>
      <w:r w:rsidR="00541DB3">
        <w:rPr>
          <w:sz w:val="24"/>
          <w:szCs w:val="24"/>
        </w:rPr>
        <w:t>s</w:t>
      </w:r>
    </w:p>
    <w:p w:rsidR="00C55BE6" w:rsidRPr="007E6ACB" w:rsidRDefault="00C55BE6" w:rsidP="002B37D7">
      <w:pPr>
        <w:jc w:val="both"/>
        <w:rPr>
          <w:sz w:val="24"/>
          <w:szCs w:val="24"/>
        </w:rPr>
      </w:pPr>
      <w:r>
        <w:rPr>
          <w:sz w:val="24"/>
          <w:szCs w:val="24"/>
        </w:rPr>
        <w:tab/>
        <w:t>Jan Freeman, Executive Director</w:t>
      </w:r>
    </w:p>
    <w:p w:rsidR="002B37D7" w:rsidRPr="007E6ACB" w:rsidRDefault="002B37D7" w:rsidP="002B37D7">
      <w:pPr>
        <w:jc w:val="both"/>
        <w:rPr>
          <w:sz w:val="24"/>
          <w:szCs w:val="24"/>
        </w:rPr>
      </w:pPr>
      <w:r w:rsidRPr="007E6ACB">
        <w:rPr>
          <w:sz w:val="24"/>
          <w:szCs w:val="24"/>
        </w:rPr>
        <w:tab/>
      </w:r>
      <w:r w:rsidR="006E7EF7">
        <w:rPr>
          <w:sz w:val="24"/>
          <w:szCs w:val="24"/>
        </w:rPr>
        <w:t>Mary Beth Osborne</w:t>
      </w:r>
      <w:r w:rsidRPr="007E6ACB">
        <w:rPr>
          <w:sz w:val="24"/>
          <w:szCs w:val="24"/>
        </w:rPr>
        <w:t xml:space="preserve">, Director of </w:t>
      </w:r>
      <w:r w:rsidR="00C55BE6">
        <w:rPr>
          <w:sz w:val="24"/>
          <w:szCs w:val="24"/>
        </w:rPr>
        <w:t xml:space="preserve">Regulatory </w:t>
      </w:r>
      <w:r w:rsidR="007979FC">
        <w:rPr>
          <w:sz w:val="24"/>
          <w:szCs w:val="24"/>
        </w:rPr>
        <w:t>Affairs</w:t>
      </w:r>
    </w:p>
    <w:p w:rsidR="00404133" w:rsidRDefault="002B37D7" w:rsidP="001822EA">
      <w:pPr>
        <w:jc w:val="both"/>
        <w:rPr>
          <w:sz w:val="24"/>
          <w:szCs w:val="24"/>
        </w:rPr>
      </w:pPr>
      <w:r w:rsidRPr="007E6ACB">
        <w:rPr>
          <w:sz w:val="24"/>
          <w:szCs w:val="24"/>
        </w:rPr>
        <w:tab/>
      </w:r>
    </w:p>
    <w:tbl>
      <w:tblPr>
        <w:tblW w:w="10890" w:type="dxa"/>
        <w:tblInd w:w="-702" w:type="dxa"/>
        <w:tblLayout w:type="fixed"/>
        <w:tblLook w:val="0000" w:firstRow="0" w:lastRow="0" w:firstColumn="0" w:lastColumn="0" w:noHBand="0" w:noVBand="0"/>
      </w:tblPr>
      <w:tblGrid>
        <w:gridCol w:w="1363"/>
        <w:gridCol w:w="8087"/>
        <w:gridCol w:w="1440"/>
      </w:tblGrid>
      <w:tr w:rsidR="00404133" w:rsidTr="00675A36">
        <w:trPr>
          <w:trHeight w:val="990"/>
        </w:trPr>
        <w:tc>
          <w:tcPr>
            <w:tcW w:w="1363" w:type="dxa"/>
          </w:tcPr>
          <w:p w:rsidR="00404133" w:rsidRDefault="00404133" w:rsidP="00675A36">
            <w:pPr>
              <w:rPr>
                <w:sz w:val="24"/>
              </w:rPr>
            </w:pPr>
            <w:r>
              <w:rPr>
                <w:sz w:val="24"/>
                <w:szCs w:val="24"/>
              </w:rPr>
              <w:lastRenderedPageBreak/>
              <w:br w:type="page"/>
            </w:r>
            <w:r>
              <w:rPr>
                <w:noProof/>
                <w:spacing w:val="-2"/>
              </w:rPr>
              <w:drawing>
                <wp:inline distT="0" distB="0" distL="0" distR="0" wp14:anchorId="5C565966" wp14:editId="77B082FB">
                  <wp:extent cx="723900" cy="723900"/>
                  <wp:effectExtent l="19050" t="0" r="0" b="0"/>
                  <wp:docPr id="7" name="Picture 7"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404133" w:rsidRDefault="00404133" w:rsidP="00675A36">
            <w:pPr>
              <w:suppressAutoHyphens/>
              <w:spacing w:line="204" w:lineRule="auto"/>
              <w:jc w:val="center"/>
              <w:rPr>
                <w:rFonts w:ascii="Arial" w:hAnsi="Arial"/>
                <w:color w:val="000080"/>
                <w:spacing w:val="-3"/>
                <w:sz w:val="26"/>
              </w:rPr>
            </w:pPr>
          </w:p>
          <w:p w:rsidR="00404133" w:rsidRDefault="00404133" w:rsidP="00675A3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04133" w:rsidRDefault="00404133" w:rsidP="00675A3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04133" w:rsidRDefault="00404133" w:rsidP="00675A3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404133" w:rsidRDefault="00404133" w:rsidP="00675A36">
            <w:pPr>
              <w:rPr>
                <w:rFonts w:ascii="Arial" w:hAnsi="Arial"/>
                <w:sz w:val="12"/>
              </w:rPr>
            </w:pPr>
          </w:p>
          <w:p w:rsidR="00404133" w:rsidRDefault="00404133" w:rsidP="00675A36">
            <w:pPr>
              <w:rPr>
                <w:rFonts w:ascii="Arial" w:hAnsi="Arial"/>
                <w:sz w:val="12"/>
              </w:rPr>
            </w:pPr>
          </w:p>
          <w:p w:rsidR="00404133" w:rsidRDefault="00404133" w:rsidP="00675A36">
            <w:pPr>
              <w:jc w:val="right"/>
              <w:rPr>
                <w:rFonts w:ascii="Arial" w:hAnsi="Arial"/>
                <w:b/>
                <w:spacing w:val="-1"/>
                <w:sz w:val="12"/>
              </w:rPr>
            </w:pPr>
            <w:r>
              <w:rPr>
                <w:rFonts w:ascii="Arial" w:hAnsi="Arial"/>
                <w:b/>
                <w:spacing w:val="-1"/>
                <w:sz w:val="12"/>
              </w:rPr>
              <w:t>IN REPLY PLEASE REFER TO OUR FILE</w:t>
            </w:r>
          </w:p>
          <w:p w:rsidR="00404133" w:rsidRDefault="005138E9" w:rsidP="00675A36">
            <w:pPr>
              <w:jc w:val="right"/>
              <w:rPr>
                <w:sz w:val="16"/>
                <w:szCs w:val="16"/>
              </w:rPr>
            </w:pPr>
            <w:r>
              <w:rPr>
                <w:sz w:val="16"/>
                <w:szCs w:val="16"/>
              </w:rPr>
              <w:t>M-2014-2424864</w:t>
            </w:r>
          </w:p>
          <w:p w:rsidR="00404133" w:rsidRPr="00E23926" w:rsidRDefault="00404133" w:rsidP="00675A36">
            <w:pPr>
              <w:jc w:val="right"/>
              <w:rPr>
                <w:rFonts w:ascii="Arial" w:hAnsi="Arial"/>
                <w:sz w:val="16"/>
                <w:szCs w:val="16"/>
              </w:rPr>
            </w:pPr>
          </w:p>
        </w:tc>
      </w:tr>
    </w:tbl>
    <w:p w:rsidR="006E7EF7" w:rsidRDefault="006E7EF7" w:rsidP="006E7EF7">
      <w:pPr>
        <w:jc w:val="both"/>
        <w:rPr>
          <w:sz w:val="26"/>
          <w:szCs w:val="26"/>
        </w:rPr>
      </w:pPr>
    </w:p>
    <w:p w:rsidR="00404133" w:rsidRDefault="00404133" w:rsidP="00404133">
      <w:pPr>
        <w:jc w:val="center"/>
        <w:rPr>
          <w:b/>
          <w:sz w:val="24"/>
          <w:szCs w:val="24"/>
        </w:rPr>
      </w:pPr>
      <w:r>
        <w:rPr>
          <w:b/>
          <w:sz w:val="24"/>
          <w:szCs w:val="24"/>
        </w:rPr>
        <w:t>ACT</w:t>
      </w:r>
      <w:r w:rsidRPr="00AC472A">
        <w:rPr>
          <w:b/>
          <w:sz w:val="24"/>
          <w:szCs w:val="24"/>
        </w:rPr>
        <w:t xml:space="preserve"> 129</w:t>
      </w:r>
      <w:r w:rsidR="00A0034F">
        <w:rPr>
          <w:b/>
          <w:sz w:val="24"/>
          <w:szCs w:val="24"/>
        </w:rPr>
        <w:t xml:space="preserve"> </w:t>
      </w:r>
      <w:r w:rsidR="001822EA">
        <w:rPr>
          <w:b/>
          <w:sz w:val="24"/>
          <w:szCs w:val="24"/>
        </w:rPr>
        <w:t>MULTI-FAMILY HOUSING WORKING GROUP</w:t>
      </w:r>
      <w:r w:rsidR="00A0034F">
        <w:rPr>
          <w:b/>
          <w:sz w:val="24"/>
          <w:szCs w:val="24"/>
        </w:rPr>
        <w:t xml:space="preserve"> MEETING</w:t>
      </w:r>
    </w:p>
    <w:p w:rsidR="00404133" w:rsidRPr="00AC472A" w:rsidRDefault="00404133" w:rsidP="00404133">
      <w:pPr>
        <w:jc w:val="both"/>
        <w:rPr>
          <w:sz w:val="24"/>
          <w:szCs w:val="24"/>
        </w:rPr>
      </w:pPr>
    </w:p>
    <w:p w:rsidR="00404133" w:rsidRPr="00450096" w:rsidRDefault="00404133" w:rsidP="00404133">
      <w:pPr>
        <w:jc w:val="center"/>
        <w:rPr>
          <w:b/>
          <w:sz w:val="24"/>
          <w:szCs w:val="24"/>
        </w:rPr>
      </w:pPr>
      <w:r w:rsidRPr="00450096">
        <w:rPr>
          <w:b/>
          <w:sz w:val="24"/>
          <w:szCs w:val="24"/>
        </w:rPr>
        <w:t>COMMONWEALTH KEYSTONE BUILDING</w:t>
      </w:r>
    </w:p>
    <w:p w:rsidR="00404133" w:rsidRPr="00450096" w:rsidRDefault="00404133" w:rsidP="00404133">
      <w:pPr>
        <w:jc w:val="center"/>
        <w:rPr>
          <w:b/>
          <w:sz w:val="24"/>
          <w:szCs w:val="24"/>
        </w:rPr>
      </w:pPr>
      <w:r w:rsidRPr="00450096">
        <w:rPr>
          <w:b/>
          <w:sz w:val="24"/>
          <w:szCs w:val="24"/>
        </w:rPr>
        <w:t>HEARING ROOM 1</w:t>
      </w:r>
    </w:p>
    <w:p w:rsidR="00404133" w:rsidRPr="00450096" w:rsidRDefault="00404133" w:rsidP="00404133">
      <w:pPr>
        <w:jc w:val="center"/>
        <w:rPr>
          <w:b/>
          <w:sz w:val="24"/>
          <w:szCs w:val="24"/>
        </w:rPr>
      </w:pPr>
      <w:r w:rsidRPr="00450096">
        <w:rPr>
          <w:b/>
          <w:sz w:val="24"/>
          <w:szCs w:val="24"/>
        </w:rPr>
        <w:t>400 NORTH STREET</w:t>
      </w:r>
    </w:p>
    <w:p w:rsidR="00404133" w:rsidRPr="00450096" w:rsidRDefault="00404133" w:rsidP="00404133">
      <w:pPr>
        <w:jc w:val="center"/>
        <w:rPr>
          <w:b/>
          <w:sz w:val="24"/>
          <w:szCs w:val="24"/>
        </w:rPr>
      </w:pPr>
      <w:r w:rsidRPr="00450096">
        <w:rPr>
          <w:b/>
          <w:sz w:val="24"/>
          <w:szCs w:val="24"/>
        </w:rPr>
        <w:t>HARRISBURG, PA 17120</w:t>
      </w:r>
    </w:p>
    <w:p w:rsidR="00404133" w:rsidRPr="00450096" w:rsidRDefault="001822EA" w:rsidP="00404133">
      <w:pPr>
        <w:jc w:val="center"/>
        <w:rPr>
          <w:b/>
          <w:sz w:val="24"/>
          <w:szCs w:val="24"/>
        </w:rPr>
      </w:pPr>
      <w:r>
        <w:rPr>
          <w:b/>
          <w:sz w:val="24"/>
          <w:szCs w:val="24"/>
        </w:rPr>
        <w:t>DECEMBER</w:t>
      </w:r>
      <w:r w:rsidR="00FC2644">
        <w:rPr>
          <w:b/>
          <w:sz w:val="24"/>
          <w:szCs w:val="24"/>
        </w:rPr>
        <w:t xml:space="preserve"> </w:t>
      </w:r>
      <w:r>
        <w:rPr>
          <w:b/>
          <w:sz w:val="24"/>
          <w:szCs w:val="24"/>
        </w:rPr>
        <w:t>16,</w:t>
      </w:r>
      <w:r w:rsidR="00FC2644">
        <w:rPr>
          <w:b/>
          <w:sz w:val="24"/>
          <w:szCs w:val="24"/>
        </w:rPr>
        <w:t xml:space="preserve"> 2015</w:t>
      </w:r>
    </w:p>
    <w:p w:rsidR="00404133" w:rsidRPr="00FC2644" w:rsidRDefault="001822EA" w:rsidP="00404133">
      <w:pPr>
        <w:jc w:val="center"/>
        <w:rPr>
          <w:b/>
          <w:sz w:val="24"/>
          <w:szCs w:val="24"/>
        </w:rPr>
      </w:pPr>
      <w:r>
        <w:rPr>
          <w:b/>
          <w:sz w:val="24"/>
          <w:szCs w:val="24"/>
        </w:rPr>
        <w:t>1:30</w:t>
      </w:r>
      <w:r w:rsidR="00FC2644">
        <w:rPr>
          <w:b/>
          <w:sz w:val="24"/>
          <w:szCs w:val="24"/>
        </w:rPr>
        <w:t xml:space="preserve"> </w:t>
      </w:r>
      <w:r>
        <w:rPr>
          <w:b/>
          <w:sz w:val="24"/>
          <w:szCs w:val="24"/>
        </w:rPr>
        <w:t>P</w:t>
      </w:r>
      <w:r w:rsidR="00FC2644">
        <w:rPr>
          <w:b/>
          <w:sz w:val="24"/>
          <w:szCs w:val="24"/>
        </w:rPr>
        <w:t>.M. – 3:00 P.M.</w:t>
      </w:r>
    </w:p>
    <w:p w:rsidR="00404133" w:rsidRDefault="00404133" w:rsidP="00404133">
      <w:pPr>
        <w:jc w:val="both"/>
        <w:rPr>
          <w:szCs w:val="24"/>
        </w:rPr>
      </w:pPr>
    </w:p>
    <w:p w:rsidR="00404133" w:rsidRDefault="00404133" w:rsidP="00404133">
      <w:pPr>
        <w:jc w:val="center"/>
        <w:rPr>
          <w:sz w:val="32"/>
          <w:szCs w:val="32"/>
        </w:rPr>
      </w:pPr>
      <w:r>
        <w:rPr>
          <w:b/>
          <w:sz w:val="32"/>
          <w:szCs w:val="32"/>
          <w:u w:val="single"/>
        </w:rPr>
        <w:t>AGENDA</w:t>
      </w:r>
    </w:p>
    <w:p w:rsidR="00404133" w:rsidRDefault="00404133" w:rsidP="00404133">
      <w:pPr>
        <w:rPr>
          <w:sz w:val="32"/>
          <w:szCs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gridCol w:w="366"/>
      </w:tblGrid>
      <w:tr w:rsidR="005C5EF3" w:rsidTr="00ED77B9">
        <w:trPr>
          <w:trHeight w:val="462"/>
          <w:jc w:val="center"/>
        </w:trPr>
        <w:tc>
          <w:tcPr>
            <w:tcW w:w="9210" w:type="dxa"/>
          </w:tcPr>
          <w:p w:rsidR="00FC304C" w:rsidRPr="009B4557" w:rsidRDefault="00FC304C" w:rsidP="00FC304C">
            <w:pPr>
              <w:rPr>
                <w:rFonts w:ascii="Times New Roman" w:hAnsi="Times New Roman" w:cs="Times New Roman"/>
                <w:sz w:val="24"/>
                <w:szCs w:val="24"/>
              </w:rPr>
            </w:pPr>
            <w:r w:rsidRPr="009B4557">
              <w:rPr>
                <w:rFonts w:ascii="Times New Roman" w:hAnsi="Times New Roman" w:cs="Times New Roman"/>
                <w:sz w:val="24"/>
                <w:szCs w:val="24"/>
              </w:rPr>
              <w:t>I.</w:t>
            </w:r>
            <w:r w:rsidRPr="009B4557">
              <w:rPr>
                <w:rFonts w:ascii="Times New Roman" w:hAnsi="Times New Roman" w:cs="Times New Roman"/>
                <w:sz w:val="24"/>
                <w:szCs w:val="24"/>
              </w:rPr>
              <w:tab/>
              <w:t xml:space="preserve">WELCOME – Paul Diskin, Director, TUS </w:t>
            </w:r>
          </w:p>
          <w:p w:rsidR="00FC304C" w:rsidRPr="009B4557" w:rsidRDefault="00FC304C" w:rsidP="00FC304C">
            <w:pPr>
              <w:rPr>
                <w:rFonts w:ascii="Times New Roman" w:hAnsi="Times New Roman" w:cs="Times New Roman"/>
                <w:sz w:val="24"/>
                <w:szCs w:val="24"/>
              </w:rPr>
            </w:pPr>
            <w:r w:rsidRPr="009B4557">
              <w:rPr>
                <w:rFonts w:ascii="Times New Roman" w:hAnsi="Times New Roman" w:cs="Times New Roman"/>
                <w:sz w:val="24"/>
                <w:szCs w:val="24"/>
              </w:rPr>
              <w:t>II.</w:t>
            </w:r>
            <w:r w:rsidRPr="009B4557">
              <w:rPr>
                <w:rFonts w:ascii="Times New Roman" w:hAnsi="Times New Roman" w:cs="Times New Roman"/>
                <w:sz w:val="24"/>
                <w:szCs w:val="24"/>
              </w:rPr>
              <w:tab/>
              <w:t>OPENING REMARKS – Darren Gill, Deputy Director, TUS</w:t>
            </w:r>
          </w:p>
          <w:p w:rsidR="00FC304C" w:rsidRPr="009B4557" w:rsidRDefault="00FC304C" w:rsidP="00FC304C">
            <w:pPr>
              <w:rPr>
                <w:rFonts w:ascii="Times New Roman" w:hAnsi="Times New Roman" w:cs="Times New Roman"/>
                <w:sz w:val="24"/>
                <w:szCs w:val="24"/>
              </w:rPr>
            </w:pPr>
            <w:r w:rsidRPr="009B4557">
              <w:rPr>
                <w:rFonts w:ascii="Times New Roman" w:hAnsi="Times New Roman" w:cs="Times New Roman"/>
                <w:sz w:val="24"/>
                <w:szCs w:val="24"/>
              </w:rPr>
              <w:t>III.</w:t>
            </w:r>
            <w:r w:rsidRPr="009B4557">
              <w:rPr>
                <w:rFonts w:ascii="Times New Roman" w:hAnsi="Times New Roman" w:cs="Times New Roman"/>
                <w:sz w:val="24"/>
                <w:szCs w:val="24"/>
              </w:rPr>
              <w:tab/>
              <w:t xml:space="preserve">DISCUSSION TOPICS – STRAWMAN, Attached </w:t>
            </w:r>
          </w:p>
          <w:p w:rsidR="00C359BE" w:rsidRPr="009B4557" w:rsidRDefault="00C359BE" w:rsidP="00FC304C">
            <w:pPr>
              <w:ind w:firstLine="720"/>
              <w:rPr>
                <w:rFonts w:ascii="Times New Roman" w:hAnsi="Times New Roman" w:cs="Times New Roman"/>
                <w:sz w:val="24"/>
                <w:szCs w:val="24"/>
              </w:rPr>
            </w:pPr>
          </w:p>
          <w:p w:rsidR="00FC304C" w:rsidRPr="009B4557" w:rsidRDefault="00FC304C" w:rsidP="00FC304C">
            <w:pPr>
              <w:ind w:firstLine="720"/>
              <w:rPr>
                <w:rFonts w:ascii="Times New Roman" w:hAnsi="Times New Roman" w:cs="Times New Roman"/>
                <w:sz w:val="24"/>
                <w:szCs w:val="24"/>
              </w:rPr>
            </w:pPr>
            <w:r w:rsidRPr="009B4557">
              <w:rPr>
                <w:rFonts w:ascii="Times New Roman" w:hAnsi="Times New Roman" w:cs="Times New Roman"/>
                <w:sz w:val="24"/>
                <w:szCs w:val="24"/>
              </w:rPr>
              <w:t>Barriers:  Building Owners</w:t>
            </w:r>
          </w:p>
          <w:p w:rsidR="00FC304C" w:rsidRPr="009B4557" w:rsidRDefault="00FC304C" w:rsidP="00FC304C">
            <w:pPr>
              <w:pStyle w:val="ListParagraph"/>
              <w:numPr>
                <w:ilvl w:val="0"/>
                <w:numId w:val="16"/>
              </w:numPr>
              <w:spacing w:after="200" w:line="276" w:lineRule="auto"/>
              <w:rPr>
                <w:rFonts w:ascii="Times New Roman" w:hAnsi="Times New Roman" w:cs="Times New Roman"/>
                <w:sz w:val="24"/>
                <w:szCs w:val="24"/>
              </w:rPr>
            </w:pPr>
            <w:r w:rsidRPr="009B4557">
              <w:rPr>
                <w:rFonts w:ascii="Times New Roman" w:hAnsi="Times New Roman" w:cs="Times New Roman"/>
                <w:sz w:val="24"/>
                <w:szCs w:val="24"/>
              </w:rPr>
              <w:t>Lack of Awareness/Expertise</w:t>
            </w:r>
          </w:p>
          <w:p w:rsidR="00FC304C" w:rsidRPr="009B4557" w:rsidRDefault="00FC304C" w:rsidP="00FC304C">
            <w:pPr>
              <w:pStyle w:val="ListParagraph"/>
              <w:numPr>
                <w:ilvl w:val="0"/>
                <w:numId w:val="16"/>
              </w:numPr>
              <w:spacing w:after="200" w:line="276" w:lineRule="auto"/>
              <w:rPr>
                <w:rFonts w:ascii="Times New Roman" w:hAnsi="Times New Roman" w:cs="Times New Roman"/>
                <w:sz w:val="24"/>
                <w:szCs w:val="24"/>
              </w:rPr>
            </w:pPr>
            <w:r w:rsidRPr="009B4557">
              <w:rPr>
                <w:rFonts w:ascii="Times New Roman" w:hAnsi="Times New Roman" w:cs="Times New Roman"/>
                <w:sz w:val="24"/>
                <w:szCs w:val="24"/>
              </w:rPr>
              <w:t>Multiple Programs/Processes</w:t>
            </w:r>
          </w:p>
          <w:p w:rsidR="00FC304C" w:rsidRPr="009B4557" w:rsidRDefault="00FC304C" w:rsidP="00FC304C">
            <w:pPr>
              <w:pStyle w:val="ListParagraph"/>
              <w:numPr>
                <w:ilvl w:val="0"/>
                <w:numId w:val="16"/>
              </w:numPr>
              <w:spacing w:after="200" w:line="276" w:lineRule="auto"/>
              <w:rPr>
                <w:rFonts w:ascii="Times New Roman" w:hAnsi="Times New Roman" w:cs="Times New Roman"/>
                <w:sz w:val="24"/>
                <w:szCs w:val="24"/>
              </w:rPr>
            </w:pPr>
            <w:r w:rsidRPr="009B4557">
              <w:rPr>
                <w:rFonts w:ascii="Times New Roman" w:hAnsi="Times New Roman" w:cs="Times New Roman"/>
                <w:sz w:val="24"/>
                <w:szCs w:val="24"/>
              </w:rPr>
              <w:t>Limited Budgets</w:t>
            </w:r>
          </w:p>
          <w:p w:rsidR="00FC304C" w:rsidRPr="009B4557" w:rsidRDefault="00FC304C" w:rsidP="00FC304C">
            <w:pPr>
              <w:pStyle w:val="ListParagraph"/>
              <w:numPr>
                <w:ilvl w:val="0"/>
                <w:numId w:val="16"/>
              </w:numPr>
              <w:spacing w:after="200" w:line="276" w:lineRule="auto"/>
              <w:rPr>
                <w:rFonts w:ascii="Times New Roman" w:hAnsi="Times New Roman" w:cs="Times New Roman"/>
                <w:sz w:val="24"/>
                <w:szCs w:val="24"/>
              </w:rPr>
            </w:pPr>
            <w:r w:rsidRPr="009B4557">
              <w:rPr>
                <w:rFonts w:ascii="Times New Roman" w:hAnsi="Times New Roman" w:cs="Times New Roman"/>
                <w:sz w:val="24"/>
                <w:szCs w:val="24"/>
              </w:rPr>
              <w:t>Tenant Behavior/Operational Practices</w:t>
            </w:r>
          </w:p>
          <w:p w:rsidR="00FC304C" w:rsidRPr="009B4557" w:rsidRDefault="00FC304C" w:rsidP="00FC304C">
            <w:pPr>
              <w:pStyle w:val="ListParagraph"/>
              <w:numPr>
                <w:ilvl w:val="0"/>
                <w:numId w:val="16"/>
              </w:numPr>
              <w:spacing w:after="200" w:line="276" w:lineRule="auto"/>
              <w:rPr>
                <w:rFonts w:ascii="Times New Roman" w:hAnsi="Times New Roman" w:cs="Times New Roman"/>
                <w:sz w:val="24"/>
                <w:szCs w:val="24"/>
              </w:rPr>
            </w:pPr>
            <w:r w:rsidRPr="009B4557">
              <w:rPr>
                <w:rFonts w:ascii="Times New Roman" w:hAnsi="Times New Roman" w:cs="Times New Roman"/>
                <w:sz w:val="24"/>
                <w:szCs w:val="24"/>
              </w:rPr>
              <w:t>Income Eligibility (Low-Income) Criteria</w:t>
            </w:r>
          </w:p>
          <w:p w:rsidR="00FC304C" w:rsidRPr="009B4557" w:rsidRDefault="00FC304C" w:rsidP="00FC304C">
            <w:pPr>
              <w:pStyle w:val="ListParagraph"/>
              <w:numPr>
                <w:ilvl w:val="0"/>
                <w:numId w:val="16"/>
              </w:numPr>
              <w:spacing w:after="200" w:line="276" w:lineRule="auto"/>
              <w:rPr>
                <w:rFonts w:ascii="Times New Roman" w:hAnsi="Times New Roman" w:cs="Times New Roman"/>
                <w:sz w:val="24"/>
                <w:szCs w:val="24"/>
              </w:rPr>
            </w:pPr>
            <w:r w:rsidRPr="009B4557">
              <w:rPr>
                <w:rFonts w:ascii="Times New Roman" w:hAnsi="Times New Roman" w:cs="Times New Roman"/>
                <w:sz w:val="24"/>
                <w:szCs w:val="24"/>
              </w:rPr>
              <w:t>Qualified Contractors</w:t>
            </w:r>
          </w:p>
          <w:p w:rsidR="00FC304C" w:rsidRPr="009B4557" w:rsidRDefault="00FC304C" w:rsidP="00FC304C">
            <w:pPr>
              <w:ind w:firstLine="720"/>
              <w:rPr>
                <w:rFonts w:ascii="Times New Roman" w:hAnsi="Times New Roman" w:cs="Times New Roman"/>
                <w:sz w:val="24"/>
                <w:szCs w:val="24"/>
              </w:rPr>
            </w:pPr>
            <w:r w:rsidRPr="009B4557">
              <w:rPr>
                <w:rFonts w:ascii="Times New Roman" w:hAnsi="Times New Roman" w:cs="Times New Roman"/>
                <w:sz w:val="24"/>
                <w:szCs w:val="24"/>
              </w:rPr>
              <w:t>Solutions:  Multifamily Program (Ideal)</w:t>
            </w:r>
          </w:p>
          <w:p w:rsidR="00FC304C" w:rsidRPr="009B4557" w:rsidRDefault="00FC304C" w:rsidP="00FC304C">
            <w:pPr>
              <w:pStyle w:val="ListParagraph"/>
              <w:numPr>
                <w:ilvl w:val="0"/>
                <w:numId w:val="17"/>
              </w:numPr>
              <w:spacing w:after="200" w:line="276" w:lineRule="auto"/>
              <w:rPr>
                <w:rFonts w:ascii="Times New Roman" w:hAnsi="Times New Roman" w:cs="Times New Roman"/>
                <w:sz w:val="24"/>
                <w:szCs w:val="24"/>
              </w:rPr>
            </w:pPr>
            <w:r w:rsidRPr="009B4557">
              <w:rPr>
                <w:rFonts w:ascii="Times New Roman" w:hAnsi="Times New Roman" w:cs="Times New Roman"/>
                <w:sz w:val="24"/>
                <w:szCs w:val="24"/>
              </w:rPr>
              <w:t>Outreach/EE Education</w:t>
            </w:r>
          </w:p>
          <w:p w:rsidR="00FC304C" w:rsidRPr="009B4557" w:rsidRDefault="00FC304C" w:rsidP="00FC304C">
            <w:pPr>
              <w:pStyle w:val="ListParagraph"/>
              <w:numPr>
                <w:ilvl w:val="0"/>
                <w:numId w:val="17"/>
              </w:numPr>
              <w:spacing w:after="200" w:line="276" w:lineRule="auto"/>
              <w:rPr>
                <w:rFonts w:ascii="Times New Roman" w:hAnsi="Times New Roman" w:cs="Times New Roman"/>
                <w:sz w:val="24"/>
                <w:szCs w:val="24"/>
              </w:rPr>
            </w:pPr>
            <w:r w:rsidRPr="009B4557">
              <w:rPr>
                <w:rFonts w:ascii="Times New Roman" w:hAnsi="Times New Roman" w:cs="Times New Roman"/>
                <w:sz w:val="24"/>
                <w:szCs w:val="24"/>
              </w:rPr>
              <w:t>Consistent Audits/Program Measures</w:t>
            </w:r>
          </w:p>
          <w:p w:rsidR="00FC304C" w:rsidRPr="009B4557" w:rsidRDefault="00FC304C" w:rsidP="00FC304C">
            <w:pPr>
              <w:pStyle w:val="ListParagraph"/>
              <w:numPr>
                <w:ilvl w:val="0"/>
                <w:numId w:val="17"/>
              </w:numPr>
              <w:spacing w:after="200" w:line="276" w:lineRule="auto"/>
              <w:rPr>
                <w:rFonts w:ascii="Times New Roman" w:hAnsi="Times New Roman" w:cs="Times New Roman"/>
                <w:sz w:val="24"/>
                <w:szCs w:val="24"/>
              </w:rPr>
            </w:pPr>
            <w:r w:rsidRPr="009B4557">
              <w:rPr>
                <w:rFonts w:ascii="Times New Roman" w:hAnsi="Times New Roman" w:cs="Times New Roman"/>
                <w:sz w:val="24"/>
                <w:szCs w:val="24"/>
              </w:rPr>
              <w:t>Simplicity/One-Stop Shop</w:t>
            </w:r>
          </w:p>
          <w:p w:rsidR="00FC304C" w:rsidRPr="009B4557" w:rsidRDefault="00FC304C" w:rsidP="00FC304C">
            <w:pPr>
              <w:pStyle w:val="ListParagraph"/>
              <w:numPr>
                <w:ilvl w:val="0"/>
                <w:numId w:val="17"/>
              </w:numPr>
              <w:spacing w:after="200" w:line="276" w:lineRule="auto"/>
              <w:rPr>
                <w:rFonts w:ascii="Times New Roman" w:hAnsi="Times New Roman" w:cs="Times New Roman"/>
                <w:sz w:val="24"/>
                <w:szCs w:val="24"/>
              </w:rPr>
            </w:pPr>
            <w:r w:rsidRPr="009B4557">
              <w:rPr>
                <w:rFonts w:ascii="Times New Roman" w:hAnsi="Times New Roman" w:cs="Times New Roman"/>
                <w:sz w:val="24"/>
                <w:szCs w:val="24"/>
              </w:rPr>
              <w:t>Incentive/Financing Options/Resources</w:t>
            </w:r>
          </w:p>
          <w:p w:rsidR="00FC304C" w:rsidRPr="009B4557" w:rsidRDefault="00FC304C" w:rsidP="00FC304C">
            <w:pPr>
              <w:pStyle w:val="ListParagraph"/>
              <w:numPr>
                <w:ilvl w:val="0"/>
                <w:numId w:val="17"/>
              </w:numPr>
              <w:spacing w:after="200" w:line="276" w:lineRule="auto"/>
              <w:rPr>
                <w:rFonts w:ascii="Times New Roman" w:hAnsi="Times New Roman" w:cs="Times New Roman"/>
                <w:sz w:val="24"/>
                <w:szCs w:val="24"/>
              </w:rPr>
            </w:pPr>
            <w:r w:rsidRPr="009B4557">
              <w:rPr>
                <w:rFonts w:ascii="Times New Roman" w:hAnsi="Times New Roman" w:cs="Times New Roman"/>
                <w:sz w:val="24"/>
                <w:szCs w:val="24"/>
              </w:rPr>
              <w:t>Tenant/Facility Education/Workshops</w:t>
            </w:r>
          </w:p>
          <w:p w:rsidR="00FC304C" w:rsidRPr="009B4557" w:rsidRDefault="00FC304C" w:rsidP="00FC304C">
            <w:pPr>
              <w:pStyle w:val="ListParagraph"/>
              <w:numPr>
                <w:ilvl w:val="0"/>
                <w:numId w:val="17"/>
              </w:numPr>
              <w:spacing w:after="200" w:line="276" w:lineRule="auto"/>
              <w:rPr>
                <w:rFonts w:ascii="Times New Roman" w:hAnsi="Times New Roman" w:cs="Times New Roman"/>
                <w:sz w:val="24"/>
                <w:szCs w:val="24"/>
              </w:rPr>
            </w:pPr>
            <w:r w:rsidRPr="009B4557">
              <w:rPr>
                <w:rFonts w:ascii="Times New Roman" w:hAnsi="Times New Roman" w:cs="Times New Roman"/>
                <w:sz w:val="24"/>
                <w:szCs w:val="24"/>
              </w:rPr>
              <w:t>Eligibility/Verification Protocols</w:t>
            </w:r>
          </w:p>
          <w:p w:rsidR="00FC304C" w:rsidRPr="009B4557" w:rsidRDefault="00FC304C" w:rsidP="00FC304C">
            <w:pPr>
              <w:pStyle w:val="ListParagraph"/>
              <w:numPr>
                <w:ilvl w:val="0"/>
                <w:numId w:val="17"/>
              </w:numPr>
              <w:spacing w:after="200" w:line="276" w:lineRule="auto"/>
              <w:rPr>
                <w:rFonts w:ascii="Times New Roman" w:hAnsi="Times New Roman" w:cs="Times New Roman"/>
                <w:sz w:val="24"/>
                <w:szCs w:val="24"/>
              </w:rPr>
            </w:pPr>
            <w:r w:rsidRPr="009B4557">
              <w:rPr>
                <w:rFonts w:ascii="Times New Roman" w:hAnsi="Times New Roman" w:cs="Times New Roman"/>
                <w:sz w:val="24"/>
                <w:szCs w:val="24"/>
              </w:rPr>
              <w:t>QC Guidelines/Contractor Requirements</w:t>
            </w:r>
          </w:p>
          <w:p w:rsidR="00FC304C" w:rsidRPr="009B4557" w:rsidRDefault="00FC304C" w:rsidP="00FC304C">
            <w:pPr>
              <w:rPr>
                <w:rFonts w:ascii="Times New Roman" w:hAnsi="Times New Roman" w:cs="Times New Roman"/>
                <w:sz w:val="24"/>
                <w:szCs w:val="24"/>
              </w:rPr>
            </w:pPr>
          </w:p>
          <w:p w:rsidR="00FC304C" w:rsidRPr="009B4557" w:rsidRDefault="00FC304C" w:rsidP="00FC304C">
            <w:pPr>
              <w:rPr>
                <w:rFonts w:ascii="Times New Roman" w:hAnsi="Times New Roman" w:cs="Times New Roman"/>
                <w:sz w:val="24"/>
                <w:szCs w:val="24"/>
              </w:rPr>
            </w:pPr>
            <w:r w:rsidRPr="009B4557">
              <w:rPr>
                <w:rFonts w:ascii="Times New Roman" w:hAnsi="Times New Roman" w:cs="Times New Roman"/>
                <w:sz w:val="24"/>
                <w:szCs w:val="24"/>
              </w:rPr>
              <w:t>IV.</w:t>
            </w:r>
            <w:r w:rsidRPr="009B4557">
              <w:rPr>
                <w:rFonts w:ascii="Times New Roman" w:hAnsi="Times New Roman" w:cs="Times New Roman"/>
                <w:sz w:val="24"/>
                <w:szCs w:val="24"/>
              </w:rPr>
              <w:tab/>
              <w:t xml:space="preserve">ADDITIONAL CONSIDERATIONS </w:t>
            </w:r>
          </w:p>
          <w:p w:rsidR="00FC304C" w:rsidRPr="009B4557" w:rsidRDefault="00FC304C" w:rsidP="00FC304C">
            <w:pPr>
              <w:rPr>
                <w:rFonts w:ascii="Times New Roman" w:hAnsi="Times New Roman" w:cs="Times New Roman"/>
                <w:sz w:val="24"/>
                <w:szCs w:val="24"/>
              </w:rPr>
            </w:pPr>
            <w:r w:rsidRPr="009B4557">
              <w:rPr>
                <w:rFonts w:ascii="Times New Roman" w:hAnsi="Times New Roman" w:cs="Times New Roman"/>
                <w:sz w:val="24"/>
                <w:szCs w:val="24"/>
              </w:rPr>
              <w:t>V.</w:t>
            </w:r>
            <w:r w:rsidRPr="009B4557">
              <w:rPr>
                <w:rFonts w:ascii="Times New Roman" w:hAnsi="Times New Roman" w:cs="Times New Roman"/>
                <w:sz w:val="24"/>
                <w:szCs w:val="24"/>
              </w:rPr>
              <w:tab/>
              <w:t xml:space="preserve">QUESTIONS </w:t>
            </w:r>
          </w:p>
          <w:p w:rsidR="00FC304C" w:rsidRPr="009B4557" w:rsidRDefault="00FC304C" w:rsidP="00FC304C">
            <w:pPr>
              <w:rPr>
                <w:rFonts w:ascii="Times New Roman" w:hAnsi="Times New Roman" w:cs="Times New Roman"/>
                <w:sz w:val="24"/>
                <w:szCs w:val="24"/>
              </w:rPr>
            </w:pPr>
            <w:r w:rsidRPr="009B4557">
              <w:rPr>
                <w:rFonts w:ascii="Times New Roman" w:hAnsi="Times New Roman" w:cs="Times New Roman"/>
                <w:sz w:val="24"/>
                <w:szCs w:val="24"/>
              </w:rPr>
              <w:t>VI.</w:t>
            </w:r>
            <w:r w:rsidRPr="009B4557">
              <w:rPr>
                <w:rFonts w:ascii="Times New Roman" w:hAnsi="Times New Roman" w:cs="Times New Roman"/>
                <w:sz w:val="24"/>
                <w:szCs w:val="24"/>
              </w:rPr>
              <w:tab/>
              <w:t xml:space="preserve">NEXT STEPS </w:t>
            </w:r>
          </w:p>
          <w:p w:rsidR="00FC304C" w:rsidRPr="009B4557" w:rsidRDefault="00FC304C" w:rsidP="00FC304C">
            <w:pPr>
              <w:rPr>
                <w:rFonts w:ascii="Times New Roman" w:hAnsi="Times New Roman" w:cs="Times New Roman"/>
                <w:sz w:val="24"/>
                <w:szCs w:val="24"/>
              </w:rPr>
            </w:pPr>
            <w:r w:rsidRPr="009B4557">
              <w:rPr>
                <w:rFonts w:ascii="Times New Roman" w:hAnsi="Times New Roman" w:cs="Times New Roman"/>
                <w:sz w:val="24"/>
                <w:szCs w:val="24"/>
              </w:rPr>
              <w:t>VII.</w:t>
            </w:r>
            <w:r w:rsidRPr="009B4557">
              <w:rPr>
                <w:rFonts w:ascii="Times New Roman" w:hAnsi="Times New Roman" w:cs="Times New Roman"/>
                <w:sz w:val="24"/>
                <w:szCs w:val="24"/>
              </w:rPr>
              <w:tab/>
              <w:t>CLOSING REMARKS – Darren Gill, Deputy Director, TUS</w:t>
            </w:r>
          </w:p>
          <w:p w:rsidR="005C5EF3" w:rsidRPr="005C5EF3" w:rsidRDefault="005C5EF3" w:rsidP="005C5EF3">
            <w:pPr>
              <w:spacing w:before="120"/>
              <w:ind w:left="346"/>
              <w:rPr>
                <w:rFonts w:ascii="Times New Roman" w:hAnsi="Times New Roman" w:cs="Times New Roman"/>
                <w:sz w:val="24"/>
                <w:szCs w:val="24"/>
              </w:rPr>
            </w:pPr>
          </w:p>
        </w:tc>
        <w:tc>
          <w:tcPr>
            <w:tcW w:w="366" w:type="dxa"/>
          </w:tcPr>
          <w:p w:rsidR="005C5EF3" w:rsidRPr="005C5EF3" w:rsidRDefault="005C5EF3" w:rsidP="005C5EF3">
            <w:pPr>
              <w:spacing w:before="120"/>
              <w:ind w:left="346"/>
              <w:rPr>
                <w:rFonts w:ascii="Times New Roman" w:hAnsi="Times New Roman" w:cs="Times New Roman"/>
                <w:sz w:val="24"/>
                <w:szCs w:val="24"/>
              </w:rPr>
            </w:pPr>
          </w:p>
        </w:tc>
      </w:tr>
      <w:tr w:rsidR="005C5EF3" w:rsidTr="00ED77B9">
        <w:trPr>
          <w:trHeight w:val="799"/>
          <w:jc w:val="center"/>
        </w:trPr>
        <w:tc>
          <w:tcPr>
            <w:tcW w:w="9210" w:type="dxa"/>
          </w:tcPr>
          <w:p w:rsidR="005C5EF3" w:rsidRPr="005C5EF3" w:rsidRDefault="005C5EF3" w:rsidP="005C5EF3">
            <w:pPr>
              <w:spacing w:before="120"/>
              <w:ind w:left="346"/>
              <w:rPr>
                <w:rFonts w:ascii="Times New Roman" w:hAnsi="Times New Roman" w:cs="Times New Roman"/>
                <w:sz w:val="24"/>
                <w:szCs w:val="24"/>
              </w:rPr>
            </w:pPr>
          </w:p>
        </w:tc>
        <w:tc>
          <w:tcPr>
            <w:tcW w:w="366" w:type="dxa"/>
          </w:tcPr>
          <w:p w:rsidR="005C5EF3" w:rsidRPr="005C5EF3" w:rsidRDefault="005C5EF3" w:rsidP="005C5EF3">
            <w:pPr>
              <w:spacing w:before="120"/>
              <w:ind w:left="346"/>
              <w:rPr>
                <w:rFonts w:ascii="Times New Roman" w:hAnsi="Times New Roman" w:cs="Times New Roman"/>
                <w:sz w:val="24"/>
                <w:szCs w:val="24"/>
              </w:rPr>
            </w:pPr>
          </w:p>
        </w:tc>
      </w:tr>
      <w:tr w:rsidR="005C5EF3" w:rsidTr="00ED77B9">
        <w:trPr>
          <w:trHeight w:val="799"/>
          <w:jc w:val="center"/>
        </w:trPr>
        <w:tc>
          <w:tcPr>
            <w:tcW w:w="9210" w:type="dxa"/>
          </w:tcPr>
          <w:p w:rsidR="005C5EF3" w:rsidRPr="005C5EF3" w:rsidRDefault="005C5EF3" w:rsidP="005C5EF3">
            <w:pPr>
              <w:spacing w:before="120"/>
              <w:ind w:left="346"/>
              <w:rPr>
                <w:rFonts w:ascii="Times New Roman" w:hAnsi="Times New Roman" w:cs="Times New Roman"/>
                <w:sz w:val="24"/>
                <w:szCs w:val="24"/>
              </w:rPr>
            </w:pPr>
          </w:p>
        </w:tc>
        <w:tc>
          <w:tcPr>
            <w:tcW w:w="366" w:type="dxa"/>
          </w:tcPr>
          <w:p w:rsidR="005C5EF3" w:rsidRPr="005C5EF3" w:rsidRDefault="005C5EF3" w:rsidP="005117A3">
            <w:pPr>
              <w:spacing w:before="120"/>
              <w:ind w:left="346"/>
              <w:rPr>
                <w:rFonts w:ascii="Times New Roman" w:hAnsi="Times New Roman" w:cs="Times New Roman"/>
                <w:sz w:val="24"/>
                <w:szCs w:val="24"/>
              </w:rPr>
            </w:pPr>
          </w:p>
        </w:tc>
      </w:tr>
      <w:tr w:rsidR="005C5EF3" w:rsidTr="00ED77B9">
        <w:trPr>
          <w:trHeight w:val="3771"/>
          <w:jc w:val="center"/>
        </w:trPr>
        <w:tc>
          <w:tcPr>
            <w:tcW w:w="9210" w:type="dxa"/>
          </w:tcPr>
          <w:p w:rsidR="00FC304C" w:rsidRPr="00ED77B9" w:rsidRDefault="00FC304C" w:rsidP="00C359BE">
            <w:pPr>
              <w:jc w:val="center"/>
              <w:rPr>
                <w:rFonts w:ascii="Times New Roman" w:hAnsi="Times New Roman" w:cs="Times New Roman"/>
                <w:sz w:val="24"/>
                <w:szCs w:val="24"/>
              </w:rPr>
            </w:pPr>
            <w:r w:rsidRPr="009B4557">
              <w:rPr>
                <w:sz w:val="24"/>
                <w:szCs w:val="24"/>
              </w:rPr>
              <w:t>Multifamily Housing Working Group Strawman</w:t>
            </w:r>
          </w:p>
          <w:p w:rsidR="00FC304C" w:rsidRPr="00ED77B9" w:rsidRDefault="00FC304C" w:rsidP="00FC304C">
            <w:pPr>
              <w:jc w:val="center"/>
              <w:rPr>
                <w:rFonts w:ascii="Times New Roman" w:hAnsi="Times New Roman" w:cs="Times New Roman"/>
                <w:sz w:val="24"/>
                <w:szCs w:val="24"/>
              </w:rPr>
            </w:pPr>
          </w:p>
          <w:p w:rsidR="00FC304C" w:rsidRPr="00ED77B9" w:rsidRDefault="00FC304C" w:rsidP="00FC304C">
            <w:pPr>
              <w:jc w:val="center"/>
              <w:rPr>
                <w:rFonts w:ascii="Times New Roman" w:hAnsi="Times New Roman" w:cs="Times New Roman"/>
                <w:sz w:val="24"/>
                <w:szCs w:val="24"/>
              </w:rPr>
            </w:pPr>
          </w:p>
          <w:tbl>
            <w:tblPr>
              <w:tblStyle w:val="TableGrid"/>
              <w:tblW w:w="8984" w:type="dxa"/>
              <w:jc w:val="center"/>
              <w:tblLook w:val="04A0" w:firstRow="1" w:lastRow="0" w:firstColumn="1" w:lastColumn="0" w:noHBand="0" w:noVBand="1"/>
            </w:tblPr>
            <w:tblGrid>
              <w:gridCol w:w="2962"/>
              <w:gridCol w:w="2970"/>
              <w:gridCol w:w="3052"/>
            </w:tblGrid>
            <w:tr w:rsidR="00FC304C" w:rsidRPr="009B4557" w:rsidTr="00595912">
              <w:trPr>
                <w:jc w:val="center"/>
              </w:trPr>
              <w:tc>
                <w:tcPr>
                  <w:tcW w:w="2962" w:type="dxa"/>
                </w:tcPr>
                <w:p w:rsidR="00FC304C" w:rsidRPr="00ED77B9" w:rsidRDefault="00FC304C" w:rsidP="00595912">
                  <w:pPr>
                    <w:spacing w:before="56"/>
                    <w:jc w:val="center"/>
                    <w:rPr>
                      <w:rFonts w:ascii="Times New Roman" w:hAnsi="Times New Roman" w:cs="Times New Roman"/>
                      <w:b/>
                      <w:spacing w:val="-1"/>
                      <w:sz w:val="24"/>
                      <w:szCs w:val="24"/>
                    </w:rPr>
                  </w:pPr>
                  <w:r w:rsidRPr="00ED77B9">
                    <w:rPr>
                      <w:rFonts w:ascii="Times New Roman"/>
                      <w:b/>
                      <w:spacing w:val="-1"/>
                      <w:sz w:val="24"/>
                      <w:szCs w:val="24"/>
                    </w:rPr>
                    <w:t>Barrier: Issue Summary</w:t>
                  </w:r>
                </w:p>
              </w:tc>
              <w:tc>
                <w:tcPr>
                  <w:tcW w:w="2970" w:type="dxa"/>
                </w:tcPr>
                <w:p w:rsidR="00FC304C" w:rsidRPr="00ED77B9" w:rsidRDefault="00FC304C" w:rsidP="00595912">
                  <w:pPr>
                    <w:spacing w:before="56"/>
                    <w:jc w:val="center"/>
                    <w:rPr>
                      <w:rFonts w:ascii="Times New Roman" w:hAnsi="Times New Roman" w:cs="Times New Roman"/>
                      <w:b/>
                      <w:spacing w:val="-1"/>
                      <w:sz w:val="24"/>
                      <w:szCs w:val="24"/>
                    </w:rPr>
                  </w:pPr>
                  <w:r w:rsidRPr="00ED77B9">
                    <w:rPr>
                      <w:rFonts w:ascii="Times New Roman"/>
                      <w:b/>
                      <w:spacing w:val="-1"/>
                      <w:sz w:val="24"/>
                      <w:szCs w:val="24"/>
                    </w:rPr>
                    <w:t>Market Need</w:t>
                  </w:r>
                </w:p>
              </w:tc>
              <w:tc>
                <w:tcPr>
                  <w:tcW w:w="3052" w:type="dxa"/>
                </w:tcPr>
                <w:p w:rsidR="00FC304C" w:rsidRPr="00ED77B9" w:rsidRDefault="00FC304C" w:rsidP="00595912">
                  <w:pPr>
                    <w:spacing w:before="56"/>
                    <w:jc w:val="center"/>
                    <w:rPr>
                      <w:rFonts w:ascii="Times New Roman" w:hAnsi="Times New Roman" w:cs="Times New Roman"/>
                      <w:b/>
                      <w:spacing w:val="-1"/>
                      <w:sz w:val="24"/>
                      <w:szCs w:val="24"/>
                    </w:rPr>
                  </w:pPr>
                  <w:r w:rsidRPr="00ED77B9">
                    <w:rPr>
                      <w:rFonts w:ascii="Times New Roman"/>
                      <w:b/>
                      <w:spacing w:val="-1"/>
                      <w:sz w:val="24"/>
                      <w:szCs w:val="24"/>
                    </w:rPr>
                    <w:t>Proposed Solution</w:t>
                  </w:r>
                </w:p>
              </w:tc>
            </w:tr>
            <w:tr w:rsidR="00FC304C" w:rsidRPr="009B4557" w:rsidTr="00595912">
              <w:trPr>
                <w:jc w:val="center"/>
              </w:trPr>
              <w:tc>
                <w:tcPr>
                  <w:tcW w:w="2962" w:type="dxa"/>
                </w:tcPr>
                <w:p w:rsidR="00FC304C" w:rsidRPr="00ED77B9" w:rsidRDefault="00FC304C" w:rsidP="002C49E3">
                  <w:pPr>
                    <w:spacing w:before="56"/>
                    <w:jc w:val="center"/>
                    <w:rPr>
                      <w:rFonts w:ascii="Times New Roman" w:hAnsi="Times New Roman" w:cs="Times New Roman"/>
                      <w:spacing w:val="-1"/>
                      <w:sz w:val="24"/>
                      <w:szCs w:val="24"/>
                    </w:rPr>
                  </w:pPr>
                  <w:r w:rsidRPr="00ED77B9">
                    <w:rPr>
                      <w:rFonts w:ascii="Times New Roman"/>
                      <w:spacing w:val="-1"/>
                      <w:sz w:val="24"/>
                      <w:szCs w:val="24"/>
                    </w:rPr>
                    <w:t>Building owners are often unaware of the opportunities that are available to reduce the energy use of their properties, and do</w:t>
                  </w:r>
                  <w:r w:rsidR="002C49E3" w:rsidRPr="00ED77B9">
                    <w:rPr>
                      <w:rFonts w:ascii="Times New Roman"/>
                      <w:spacing w:val="-1"/>
                      <w:sz w:val="24"/>
                      <w:szCs w:val="24"/>
                    </w:rPr>
                    <w:t xml:space="preserve"> </w:t>
                  </w:r>
                  <w:r w:rsidRPr="00ED77B9">
                    <w:rPr>
                      <w:rFonts w:ascii="Times New Roman"/>
                      <w:spacing w:val="-1"/>
                      <w:sz w:val="24"/>
                      <w:szCs w:val="24"/>
                    </w:rPr>
                    <w:t>n</w:t>
                  </w:r>
                  <w:r w:rsidR="002C49E3" w:rsidRPr="00ED77B9">
                    <w:rPr>
                      <w:rFonts w:ascii="Times New Roman"/>
                      <w:spacing w:val="-1"/>
                      <w:sz w:val="24"/>
                      <w:szCs w:val="24"/>
                    </w:rPr>
                    <w:t>o</w:t>
                  </w:r>
                  <w:r w:rsidRPr="00ED77B9">
                    <w:rPr>
                      <w:rFonts w:ascii="Times New Roman"/>
                      <w:spacing w:val="-1"/>
                      <w:sz w:val="24"/>
                      <w:szCs w:val="24"/>
                    </w:rPr>
                    <w:t>t know where to find information that can help.</w:t>
                  </w:r>
                </w:p>
              </w:tc>
              <w:tc>
                <w:tcPr>
                  <w:tcW w:w="2970" w:type="dxa"/>
                </w:tcPr>
                <w:p w:rsidR="00FC304C" w:rsidRPr="00ED77B9" w:rsidRDefault="00FC304C" w:rsidP="00595912">
                  <w:pPr>
                    <w:spacing w:before="56"/>
                    <w:jc w:val="center"/>
                    <w:rPr>
                      <w:rFonts w:ascii="Times New Roman" w:hAnsi="Times New Roman" w:cs="Times New Roman"/>
                      <w:spacing w:val="-1"/>
                      <w:sz w:val="24"/>
                      <w:szCs w:val="24"/>
                    </w:rPr>
                  </w:pPr>
                  <w:r w:rsidRPr="00ED77B9">
                    <w:rPr>
                      <w:rFonts w:ascii="Times New Roman"/>
                      <w:spacing w:val="-1"/>
                      <w:sz w:val="24"/>
                      <w:szCs w:val="24"/>
                    </w:rPr>
                    <w:t xml:space="preserve">Building owners and property managers need a reliable source of information to let them know, both in general terms and in detail, about the kinds of improvements that they can make to manage their energy costs. </w:t>
                  </w:r>
                </w:p>
              </w:tc>
              <w:tc>
                <w:tcPr>
                  <w:tcW w:w="3052" w:type="dxa"/>
                </w:tcPr>
                <w:p w:rsidR="00FC304C" w:rsidRPr="007652EF" w:rsidRDefault="00FC304C" w:rsidP="00595912">
                  <w:pPr>
                    <w:spacing w:before="56"/>
                    <w:jc w:val="center"/>
                    <w:rPr>
                      <w:rFonts w:ascii="Times New Roman" w:hAnsi="Times New Roman" w:cs="Times New Roman"/>
                      <w:spacing w:val="-1"/>
                      <w:sz w:val="24"/>
                      <w:szCs w:val="24"/>
                    </w:rPr>
                  </w:pPr>
                  <w:r w:rsidRPr="007652EF">
                    <w:rPr>
                      <w:rFonts w:ascii="Times New Roman"/>
                      <w:spacing w:val="-1"/>
                      <w:sz w:val="24"/>
                      <w:szCs w:val="24"/>
                    </w:rPr>
                    <w:t>The LIMHEEP program will provide general information about multifamily energy efficiency to building owners through a variety of outreach activities, including presentations at multifamily building owner association meetings, partnerships with PHFA and other housing organizations, and through direct outreach to large multifamily property owners.</w:t>
                  </w:r>
                </w:p>
              </w:tc>
            </w:tr>
            <w:tr w:rsidR="00FC304C" w:rsidRPr="009B4557" w:rsidTr="00595912">
              <w:trPr>
                <w:jc w:val="center"/>
              </w:trPr>
              <w:tc>
                <w:tcPr>
                  <w:tcW w:w="2962" w:type="dxa"/>
                </w:tcPr>
                <w:p w:rsidR="00FC304C" w:rsidRPr="00ED77B9" w:rsidRDefault="00FC304C" w:rsidP="002C49E3">
                  <w:pPr>
                    <w:spacing w:before="56"/>
                    <w:jc w:val="center"/>
                    <w:rPr>
                      <w:rFonts w:ascii="Times New Roman" w:hAnsi="Times New Roman" w:cs="Times New Roman"/>
                      <w:spacing w:val="-1"/>
                      <w:sz w:val="24"/>
                      <w:szCs w:val="24"/>
                    </w:rPr>
                  </w:pPr>
                  <w:r w:rsidRPr="00ED77B9">
                    <w:rPr>
                      <w:rFonts w:ascii="Times New Roman"/>
                      <w:spacing w:val="-1"/>
                      <w:sz w:val="24"/>
                      <w:szCs w:val="24"/>
                    </w:rPr>
                    <w:t>Building owners do</w:t>
                  </w:r>
                  <w:r w:rsidR="002C49E3" w:rsidRPr="00ED77B9">
                    <w:rPr>
                      <w:rFonts w:ascii="Times New Roman"/>
                      <w:spacing w:val="-1"/>
                      <w:sz w:val="24"/>
                      <w:szCs w:val="24"/>
                    </w:rPr>
                    <w:t xml:space="preserve"> </w:t>
                  </w:r>
                  <w:r w:rsidRPr="00ED77B9">
                    <w:rPr>
                      <w:rFonts w:ascii="Times New Roman"/>
                      <w:spacing w:val="-1"/>
                      <w:sz w:val="24"/>
                      <w:szCs w:val="24"/>
                    </w:rPr>
                    <w:t>n</w:t>
                  </w:r>
                  <w:r w:rsidR="002C49E3" w:rsidRPr="00ED77B9">
                    <w:rPr>
                      <w:rFonts w:ascii="Times New Roman"/>
                      <w:spacing w:val="-1"/>
                      <w:sz w:val="24"/>
                      <w:szCs w:val="24"/>
                    </w:rPr>
                    <w:t>o</w:t>
                  </w:r>
                  <w:r w:rsidRPr="00ED77B9">
                    <w:rPr>
                      <w:rFonts w:ascii="Times New Roman"/>
                      <w:spacing w:val="-1"/>
                      <w:sz w:val="24"/>
                      <w:szCs w:val="24"/>
                    </w:rPr>
                    <w:t xml:space="preserve">t have the time to sort out participation requirements for multiple program types that potentially provide efficiency services for multifamily housing. </w:t>
                  </w:r>
                </w:p>
              </w:tc>
              <w:tc>
                <w:tcPr>
                  <w:tcW w:w="2970" w:type="dxa"/>
                </w:tcPr>
                <w:p w:rsidR="00FC304C" w:rsidRPr="00ED77B9" w:rsidRDefault="00FC304C" w:rsidP="00595912">
                  <w:pPr>
                    <w:spacing w:before="56"/>
                    <w:jc w:val="center"/>
                    <w:rPr>
                      <w:rFonts w:ascii="Times New Roman" w:hAnsi="Times New Roman" w:cs="Times New Roman"/>
                      <w:spacing w:val="-1"/>
                      <w:sz w:val="24"/>
                      <w:szCs w:val="24"/>
                    </w:rPr>
                  </w:pPr>
                  <w:r w:rsidRPr="00ED77B9">
                    <w:rPr>
                      <w:rFonts w:ascii="Times New Roman"/>
                      <w:spacing w:val="-1"/>
                      <w:sz w:val="24"/>
                      <w:szCs w:val="24"/>
                    </w:rPr>
                    <w:t>Owners need a streamlined participation process that makes it easy for them to participate, rather than complex, confusing processes for multiple programs that depend on metering arrangements and rate structures.</w:t>
                  </w:r>
                </w:p>
              </w:tc>
              <w:tc>
                <w:tcPr>
                  <w:tcW w:w="3052" w:type="dxa"/>
                </w:tcPr>
                <w:p w:rsidR="00FC304C" w:rsidRPr="007652EF" w:rsidRDefault="00FC304C" w:rsidP="007652EF">
                  <w:pPr>
                    <w:spacing w:before="56"/>
                    <w:jc w:val="center"/>
                    <w:rPr>
                      <w:rFonts w:ascii="Times New Roman" w:hAnsi="Times New Roman" w:cs="Times New Roman"/>
                      <w:spacing w:val="-1"/>
                      <w:sz w:val="24"/>
                      <w:szCs w:val="24"/>
                    </w:rPr>
                  </w:pPr>
                  <w:r w:rsidRPr="007652EF">
                    <w:rPr>
                      <w:rFonts w:ascii="Times New Roman"/>
                      <w:spacing w:val="-1"/>
                      <w:sz w:val="24"/>
                      <w:szCs w:val="24"/>
                    </w:rPr>
                    <w:t xml:space="preserve">The program will provide </w:t>
                  </w:r>
                  <w:r w:rsidR="007652EF" w:rsidRPr="007652EF">
                    <w:rPr>
                      <w:rFonts w:ascii="Times New Roman"/>
                      <w:spacing w:val="-1"/>
                      <w:sz w:val="24"/>
                      <w:szCs w:val="24"/>
                    </w:rPr>
                    <w:t>“</w:t>
                  </w:r>
                  <w:r w:rsidR="007652EF" w:rsidRPr="007652EF">
                    <w:rPr>
                      <w:rFonts w:ascii="Times New Roman"/>
                      <w:spacing w:val="-1"/>
                      <w:sz w:val="24"/>
                      <w:szCs w:val="24"/>
                    </w:rPr>
                    <w:t>single points of contact</w:t>
                  </w:r>
                  <w:r w:rsidR="007652EF" w:rsidRPr="007652EF">
                    <w:rPr>
                      <w:rFonts w:ascii="Times New Roman"/>
                      <w:spacing w:val="-1"/>
                      <w:sz w:val="24"/>
                      <w:szCs w:val="24"/>
                    </w:rPr>
                    <w:t>”</w:t>
                  </w:r>
                  <w:r w:rsidR="007652EF" w:rsidRPr="007652EF">
                    <w:rPr>
                      <w:rFonts w:ascii="Times New Roman"/>
                      <w:spacing w:val="-1"/>
                      <w:sz w:val="24"/>
                      <w:szCs w:val="24"/>
                    </w:rPr>
                    <w:t xml:space="preserve"> to property owners and managers.  These individuals will be responsible for assisting customers with all aspects of program participation to make the process as simple as possible.</w:t>
                  </w:r>
                </w:p>
              </w:tc>
            </w:tr>
            <w:tr w:rsidR="00FC304C" w:rsidRPr="009B4557" w:rsidTr="00595912">
              <w:trPr>
                <w:jc w:val="center"/>
              </w:trPr>
              <w:tc>
                <w:tcPr>
                  <w:tcW w:w="2962" w:type="dxa"/>
                </w:tcPr>
                <w:p w:rsidR="00FC304C" w:rsidRPr="00ED77B9" w:rsidRDefault="00FC304C" w:rsidP="00ED77B9">
                  <w:pPr>
                    <w:spacing w:before="56"/>
                    <w:jc w:val="center"/>
                    <w:rPr>
                      <w:rFonts w:ascii="Times New Roman" w:hAnsi="Times New Roman" w:cs="Times New Roman"/>
                      <w:spacing w:val="-1"/>
                      <w:sz w:val="24"/>
                      <w:szCs w:val="24"/>
                    </w:rPr>
                  </w:pPr>
                  <w:r w:rsidRPr="00ED77B9">
                    <w:rPr>
                      <w:rFonts w:ascii="Times New Roman"/>
                      <w:spacing w:val="-1"/>
                      <w:sz w:val="24"/>
                      <w:szCs w:val="24"/>
                    </w:rPr>
                    <w:t>Multifamily properties</w:t>
                  </w:r>
                  <w:r w:rsidRPr="00ED77B9">
                    <w:rPr>
                      <w:rFonts w:ascii="Times New Roman"/>
                      <w:spacing w:val="-1"/>
                      <w:sz w:val="24"/>
                      <w:szCs w:val="24"/>
                    </w:rPr>
                    <w:t>—</w:t>
                  </w:r>
                  <w:r w:rsidRPr="00ED77B9">
                    <w:rPr>
                      <w:rFonts w:ascii="Times New Roman"/>
                      <w:spacing w:val="-1"/>
                      <w:sz w:val="24"/>
                      <w:szCs w:val="24"/>
                    </w:rPr>
                    <w:t>especially affordable housing</w:t>
                  </w:r>
                  <w:r w:rsidRPr="00ED77B9">
                    <w:rPr>
                      <w:rFonts w:ascii="Times New Roman"/>
                      <w:spacing w:val="-1"/>
                      <w:sz w:val="24"/>
                      <w:szCs w:val="24"/>
                    </w:rPr>
                    <w:t>—</w:t>
                  </w:r>
                  <w:r w:rsidRPr="00ED77B9">
                    <w:rPr>
                      <w:rFonts w:ascii="Times New Roman"/>
                      <w:spacing w:val="-1"/>
                      <w:sz w:val="24"/>
                      <w:szCs w:val="24"/>
                    </w:rPr>
                    <w:t xml:space="preserve"> operate on universally thin operating margins and can</w:t>
                  </w:r>
                  <w:r w:rsidR="00050485" w:rsidRPr="00ED77B9">
                    <w:rPr>
                      <w:rFonts w:ascii="Times New Roman"/>
                      <w:spacing w:val="-1"/>
                      <w:sz w:val="24"/>
                      <w:szCs w:val="24"/>
                    </w:rPr>
                    <w:t>no</w:t>
                  </w:r>
                  <w:r w:rsidRPr="00ED77B9">
                    <w:rPr>
                      <w:rFonts w:ascii="Times New Roman"/>
                      <w:spacing w:val="-1"/>
                      <w:sz w:val="24"/>
                      <w:szCs w:val="24"/>
                    </w:rPr>
                    <w:t>t access funding for significant capital improvements.</w:t>
                  </w:r>
                </w:p>
              </w:tc>
              <w:tc>
                <w:tcPr>
                  <w:tcW w:w="2970" w:type="dxa"/>
                </w:tcPr>
                <w:p w:rsidR="00FC304C" w:rsidRPr="00ED77B9" w:rsidRDefault="00FC304C" w:rsidP="00595912">
                  <w:pPr>
                    <w:spacing w:before="56"/>
                    <w:jc w:val="center"/>
                    <w:rPr>
                      <w:rFonts w:ascii="Times New Roman" w:hAnsi="Times New Roman" w:cs="Times New Roman"/>
                      <w:spacing w:val="-1"/>
                      <w:sz w:val="24"/>
                      <w:szCs w:val="24"/>
                    </w:rPr>
                  </w:pPr>
                  <w:r w:rsidRPr="00ED77B9">
                    <w:rPr>
                      <w:rFonts w:ascii="Times New Roman"/>
                      <w:spacing w:val="-1"/>
                      <w:sz w:val="24"/>
                      <w:szCs w:val="24"/>
                    </w:rPr>
                    <w:t>Owners need sufficient financial support to allow them to manage project costs without putting overall property financial security at risk.</w:t>
                  </w:r>
                </w:p>
              </w:tc>
              <w:tc>
                <w:tcPr>
                  <w:tcW w:w="3052" w:type="dxa"/>
                </w:tcPr>
                <w:p w:rsidR="00FC304C" w:rsidRPr="00ED77B9" w:rsidRDefault="00FC304C" w:rsidP="00595912">
                  <w:pPr>
                    <w:spacing w:before="56"/>
                    <w:jc w:val="center"/>
                    <w:rPr>
                      <w:rFonts w:ascii="Times New Roman" w:hAnsi="Times New Roman" w:cs="Times New Roman"/>
                      <w:spacing w:val="-1"/>
                      <w:sz w:val="24"/>
                      <w:szCs w:val="24"/>
                    </w:rPr>
                  </w:pPr>
                  <w:r w:rsidRPr="00ED77B9">
                    <w:rPr>
                      <w:rFonts w:ascii="Times New Roman"/>
                      <w:spacing w:val="-1"/>
                      <w:sz w:val="24"/>
                      <w:szCs w:val="24"/>
                    </w:rPr>
                    <w:t>The program will offer direct incentives to building owners that will offset the majority of project costs. In addition, the program will facilitate access to financing for building owners who require additional financial support for any cost sharing that is required of them.</w:t>
                  </w:r>
                </w:p>
              </w:tc>
            </w:tr>
          </w:tbl>
          <w:p w:rsidR="00FC304C" w:rsidRPr="00ED77B9" w:rsidRDefault="00FC304C" w:rsidP="00FC304C">
            <w:pPr>
              <w:rPr>
                <w:rFonts w:ascii="Times New Roman" w:hAnsi="Times New Roman" w:cs="Times New Roman"/>
                <w:sz w:val="24"/>
                <w:szCs w:val="24"/>
              </w:rPr>
            </w:pPr>
          </w:p>
          <w:p w:rsidR="00FC304C" w:rsidRPr="00ED77B9" w:rsidRDefault="00FC304C" w:rsidP="00FC304C">
            <w:pPr>
              <w:rPr>
                <w:rFonts w:ascii="Times New Roman" w:hAnsi="Times New Roman" w:cs="Times New Roman"/>
                <w:sz w:val="24"/>
                <w:szCs w:val="24"/>
              </w:rPr>
            </w:pPr>
          </w:p>
          <w:p w:rsidR="00FC304C" w:rsidRPr="00ED77B9" w:rsidRDefault="00FC304C" w:rsidP="00FC304C">
            <w:pPr>
              <w:rPr>
                <w:rFonts w:ascii="Times New Roman" w:hAnsi="Times New Roman" w:cs="Times New Roman"/>
                <w:sz w:val="24"/>
                <w:szCs w:val="24"/>
              </w:rPr>
            </w:pPr>
          </w:p>
          <w:p w:rsidR="009B4557" w:rsidRDefault="009B4557" w:rsidP="00FC304C">
            <w:pPr>
              <w:jc w:val="center"/>
              <w:rPr>
                <w:rFonts w:ascii="Times New Roman" w:hAnsi="Times New Roman" w:cs="Times New Roman"/>
                <w:sz w:val="24"/>
                <w:szCs w:val="24"/>
              </w:rPr>
            </w:pPr>
          </w:p>
          <w:p w:rsidR="009B4557" w:rsidRDefault="009B4557" w:rsidP="00FC304C">
            <w:pPr>
              <w:jc w:val="center"/>
              <w:rPr>
                <w:rFonts w:ascii="Times New Roman" w:hAnsi="Times New Roman" w:cs="Times New Roman"/>
                <w:sz w:val="24"/>
                <w:szCs w:val="24"/>
              </w:rPr>
            </w:pPr>
          </w:p>
          <w:p w:rsidR="009B4557" w:rsidRDefault="009B4557" w:rsidP="00FC304C">
            <w:pPr>
              <w:jc w:val="center"/>
              <w:rPr>
                <w:rFonts w:ascii="Times New Roman" w:hAnsi="Times New Roman" w:cs="Times New Roman"/>
                <w:sz w:val="24"/>
                <w:szCs w:val="24"/>
              </w:rPr>
            </w:pPr>
          </w:p>
          <w:p w:rsidR="009B4557" w:rsidRDefault="009B4557" w:rsidP="00FC304C">
            <w:pPr>
              <w:jc w:val="center"/>
              <w:rPr>
                <w:rFonts w:ascii="Times New Roman" w:hAnsi="Times New Roman" w:cs="Times New Roman"/>
                <w:sz w:val="24"/>
                <w:szCs w:val="24"/>
              </w:rPr>
            </w:pPr>
          </w:p>
          <w:p w:rsidR="009B4557" w:rsidRDefault="009B4557" w:rsidP="00FC304C">
            <w:pPr>
              <w:jc w:val="center"/>
              <w:rPr>
                <w:rFonts w:ascii="Times New Roman" w:hAnsi="Times New Roman" w:cs="Times New Roman"/>
                <w:sz w:val="24"/>
                <w:szCs w:val="24"/>
              </w:rPr>
            </w:pPr>
          </w:p>
          <w:p w:rsidR="009B4557" w:rsidRDefault="009B4557" w:rsidP="00FC304C">
            <w:pPr>
              <w:jc w:val="center"/>
              <w:rPr>
                <w:rFonts w:ascii="Times New Roman" w:hAnsi="Times New Roman" w:cs="Times New Roman"/>
                <w:sz w:val="24"/>
                <w:szCs w:val="24"/>
              </w:rPr>
            </w:pPr>
          </w:p>
          <w:p w:rsidR="009B4557" w:rsidRDefault="009B4557" w:rsidP="00FC304C">
            <w:pPr>
              <w:jc w:val="center"/>
              <w:rPr>
                <w:rFonts w:ascii="Times New Roman" w:hAnsi="Times New Roman" w:cs="Times New Roman"/>
                <w:sz w:val="24"/>
                <w:szCs w:val="24"/>
              </w:rPr>
            </w:pPr>
          </w:p>
          <w:p w:rsidR="009B4557" w:rsidRPr="00ED77B9" w:rsidRDefault="009B4557" w:rsidP="00FC304C">
            <w:pPr>
              <w:jc w:val="center"/>
              <w:rPr>
                <w:rFonts w:ascii="Times New Roman" w:hAnsi="Times New Roman" w:cs="Times New Roman"/>
                <w:sz w:val="24"/>
                <w:szCs w:val="24"/>
              </w:rPr>
            </w:pPr>
          </w:p>
          <w:p w:rsidR="009B4557" w:rsidRDefault="009B4557" w:rsidP="00FC304C">
            <w:pPr>
              <w:jc w:val="center"/>
              <w:rPr>
                <w:rFonts w:ascii="Times New Roman" w:hAnsi="Times New Roman" w:cs="Times New Roman"/>
                <w:sz w:val="24"/>
                <w:szCs w:val="24"/>
              </w:rPr>
            </w:pPr>
          </w:p>
          <w:p w:rsidR="009B4557" w:rsidRPr="00ED77B9" w:rsidRDefault="009B4557" w:rsidP="00FC304C">
            <w:pPr>
              <w:jc w:val="center"/>
              <w:rPr>
                <w:rFonts w:ascii="Times New Roman" w:hAnsi="Times New Roman" w:cs="Times New Roman"/>
                <w:sz w:val="24"/>
                <w:szCs w:val="24"/>
              </w:rPr>
            </w:pPr>
          </w:p>
          <w:p w:rsidR="00FC304C" w:rsidRPr="00ED77B9" w:rsidRDefault="00FC304C" w:rsidP="00FC304C">
            <w:pPr>
              <w:jc w:val="center"/>
              <w:rPr>
                <w:rFonts w:ascii="Times New Roman" w:hAnsi="Times New Roman" w:cs="Times New Roman"/>
                <w:sz w:val="24"/>
                <w:szCs w:val="24"/>
              </w:rPr>
            </w:pPr>
            <w:r w:rsidRPr="009B4557">
              <w:rPr>
                <w:sz w:val="24"/>
                <w:szCs w:val="24"/>
              </w:rPr>
              <w:t>Multifamily Housing Working Group Strawman</w:t>
            </w:r>
          </w:p>
          <w:p w:rsidR="00FC304C" w:rsidRPr="00ED77B9" w:rsidRDefault="00FC304C" w:rsidP="00FC304C">
            <w:pPr>
              <w:jc w:val="center"/>
              <w:rPr>
                <w:rFonts w:ascii="Times New Roman" w:hAnsi="Times New Roman" w:cs="Times New Roman"/>
                <w:sz w:val="24"/>
                <w:szCs w:val="24"/>
              </w:rPr>
            </w:pPr>
          </w:p>
          <w:p w:rsidR="00FC304C" w:rsidRPr="00ED77B9" w:rsidRDefault="00FC304C" w:rsidP="00FC304C">
            <w:pPr>
              <w:jc w:val="center"/>
              <w:rPr>
                <w:rFonts w:ascii="Times New Roman" w:hAnsi="Times New Roman" w:cs="Times New Roman"/>
                <w:sz w:val="24"/>
                <w:szCs w:val="24"/>
              </w:rPr>
            </w:pPr>
          </w:p>
          <w:tbl>
            <w:tblPr>
              <w:tblStyle w:val="TableGrid"/>
              <w:tblW w:w="8984" w:type="dxa"/>
              <w:jc w:val="center"/>
              <w:tblLook w:val="04A0" w:firstRow="1" w:lastRow="0" w:firstColumn="1" w:lastColumn="0" w:noHBand="0" w:noVBand="1"/>
            </w:tblPr>
            <w:tblGrid>
              <w:gridCol w:w="2962"/>
              <w:gridCol w:w="2970"/>
              <w:gridCol w:w="3052"/>
            </w:tblGrid>
            <w:tr w:rsidR="00FC304C" w:rsidRPr="009B4557" w:rsidTr="00595912">
              <w:trPr>
                <w:jc w:val="center"/>
              </w:trPr>
              <w:tc>
                <w:tcPr>
                  <w:tcW w:w="2962" w:type="dxa"/>
                </w:tcPr>
                <w:p w:rsidR="00FC304C" w:rsidRPr="00ED77B9" w:rsidRDefault="00FC304C" w:rsidP="007652EF">
                  <w:pPr>
                    <w:spacing w:before="56"/>
                    <w:jc w:val="center"/>
                    <w:rPr>
                      <w:rFonts w:ascii="Times New Roman" w:hAnsi="Times New Roman" w:cs="Times New Roman"/>
                      <w:spacing w:val="-1"/>
                      <w:sz w:val="24"/>
                      <w:szCs w:val="24"/>
                    </w:rPr>
                  </w:pPr>
                  <w:r w:rsidRPr="007652EF">
                    <w:rPr>
                      <w:rFonts w:ascii="Times New Roman"/>
                      <w:spacing w:val="-1"/>
                      <w:sz w:val="24"/>
                      <w:szCs w:val="24"/>
                    </w:rPr>
                    <w:t xml:space="preserve">Facilities managers and tenants </w:t>
                  </w:r>
                  <w:r w:rsidR="007652EF" w:rsidRPr="007652EF">
                    <w:rPr>
                      <w:rFonts w:ascii="Times New Roman"/>
                      <w:spacing w:val="-1"/>
                      <w:sz w:val="24"/>
                      <w:szCs w:val="24"/>
                    </w:rPr>
                    <w:t>don</w:t>
                  </w:r>
                  <w:r w:rsidR="007652EF" w:rsidRPr="007652EF">
                    <w:rPr>
                      <w:rFonts w:ascii="Times New Roman"/>
                      <w:spacing w:val="-1"/>
                      <w:sz w:val="24"/>
                      <w:szCs w:val="24"/>
                    </w:rPr>
                    <w:t>’</w:t>
                  </w:r>
                  <w:r w:rsidR="007652EF" w:rsidRPr="007652EF">
                    <w:rPr>
                      <w:rFonts w:ascii="Times New Roman"/>
                      <w:spacing w:val="-1"/>
                      <w:sz w:val="24"/>
                      <w:szCs w:val="24"/>
                    </w:rPr>
                    <w:t xml:space="preserve">t understand how their behaviors and operating practices impact the energy use of buildings, so savings from </w:t>
                  </w:r>
                  <w:r w:rsidRPr="007652EF">
                    <w:rPr>
                      <w:rFonts w:ascii="Times New Roman"/>
                      <w:spacing w:val="-1"/>
                      <w:sz w:val="24"/>
                      <w:szCs w:val="24"/>
                    </w:rPr>
                    <w:t>efficiency improvements may not be fully realized.</w:t>
                  </w:r>
                </w:p>
              </w:tc>
              <w:tc>
                <w:tcPr>
                  <w:tcW w:w="2970" w:type="dxa"/>
                </w:tcPr>
                <w:p w:rsidR="00FC304C" w:rsidRPr="00ED77B9" w:rsidRDefault="00FC304C" w:rsidP="00595912">
                  <w:pPr>
                    <w:spacing w:before="56"/>
                    <w:jc w:val="center"/>
                    <w:rPr>
                      <w:rFonts w:ascii="Times New Roman" w:hAnsi="Times New Roman" w:cs="Times New Roman"/>
                      <w:spacing w:val="-1"/>
                      <w:sz w:val="24"/>
                      <w:szCs w:val="24"/>
                    </w:rPr>
                  </w:pPr>
                  <w:r w:rsidRPr="00ED77B9">
                    <w:rPr>
                      <w:rFonts w:ascii="Times New Roman"/>
                      <w:spacing w:val="-1"/>
                      <w:sz w:val="24"/>
                      <w:szCs w:val="24"/>
                    </w:rPr>
                    <w:t>Managers and tenants need information about how to maximize the benefits of the efficiency measures that are installed.</w:t>
                  </w:r>
                </w:p>
              </w:tc>
              <w:tc>
                <w:tcPr>
                  <w:tcW w:w="3052" w:type="dxa"/>
                </w:tcPr>
                <w:p w:rsidR="00FC304C" w:rsidRPr="00ED77B9" w:rsidRDefault="00FC304C" w:rsidP="00595912">
                  <w:pPr>
                    <w:spacing w:before="56"/>
                    <w:jc w:val="center"/>
                    <w:rPr>
                      <w:rFonts w:ascii="Times New Roman" w:hAnsi="Times New Roman" w:cs="Times New Roman"/>
                      <w:spacing w:val="-1"/>
                      <w:sz w:val="24"/>
                      <w:szCs w:val="24"/>
                    </w:rPr>
                  </w:pPr>
                  <w:r w:rsidRPr="00ED77B9">
                    <w:rPr>
                      <w:rFonts w:ascii="Times New Roman"/>
                      <w:spacing w:val="-1"/>
                      <w:sz w:val="24"/>
                      <w:szCs w:val="24"/>
                    </w:rPr>
                    <w:t>The program will provide workshops for tenants and facilities managers to explain the measures that have been installed and to provide operating instructions and guidelines to maximize savings and customer satisfaction.</w:t>
                  </w:r>
                </w:p>
              </w:tc>
            </w:tr>
            <w:tr w:rsidR="00FC304C" w:rsidRPr="009B4557" w:rsidTr="00595912">
              <w:trPr>
                <w:jc w:val="center"/>
              </w:trPr>
              <w:tc>
                <w:tcPr>
                  <w:tcW w:w="2962" w:type="dxa"/>
                </w:tcPr>
                <w:p w:rsidR="00FC304C" w:rsidRPr="00ED77B9" w:rsidRDefault="00FC304C" w:rsidP="00595912">
                  <w:pPr>
                    <w:spacing w:before="56"/>
                    <w:jc w:val="center"/>
                    <w:rPr>
                      <w:rFonts w:ascii="Times New Roman" w:hAnsi="Times New Roman" w:cs="Times New Roman"/>
                      <w:spacing w:val="-1"/>
                      <w:sz w:val="24"/>
                      <w:szCs w:val="24"/>
                    </w:rPr>
                  </w:pPr>
                  <w:r w:rsidRPr="00ED77B9">
                    <w:rPr>
                      <w:rFonts w:ascii="Times New Roman"/>
                      <w:spacing w:val="-1"/>
                      <w:sz w:val="24"/>
                      <w:szCs w:val="24"/>
                    </w:rPr>
                    <w:t xml:space="preserve">Criteria for establishing income eligibility can be an administrative burden. </w:t>
                  </w:r>
                </w:p>
              </w:tc>
              <w:tc>
                <w:tcPr>
                  <w:tcW w:w="2970" w:type="dxa"/>
                </w:tcPr>
                <w:p w:rsidR="00FC304C" w:rsidRPr="00ED77B9" w:rsidRDefault="00FC304C" w:rsidP="00595912">
                  <w:pPr>
                    <w:spacing w:before="56"/>
                    <w:jc w:val="center"/>
                    <w:rPr>
                      <w:rFonts w:ascii="Times New Roman" w:hAnsi="Times New Roman" w:cs="Times New Roman"/>
                      <w:spacing w:val="-1"/>
                      <w:sz w:val="24"/>
                      <w:szCs w:val="24"/>
                    </w:rPr>
                  </w:pPr>
                  <w:r w:rsidRPr="00ED77B9">
                    <w:rPr>
                      <w:rFonts w:ascii="Times New Roman"/>
                      <w:spacing w:val="-1"/>
                      <w:sz w:val="24"/>
                      <w:szCs w:val="24"/>
                    </w:rPr>
                    <w:t xml:space="preserve">Properties that participate in state and federal affordable housing programs are required to meet certain income verification protocols in order to maintain access to federal funding. Program eligibility requirements should incorporate these existing protocols to minimize the administrative burden on building owners and managers. </w:t>
                  </w:r>
                </w:p>
              </w:tc>
              <w:tc>
                <w:tcPr>
                  <w:tcW w:w="3052" w:type="dxa"/>
                </w:tcPr>
                <w:p w:rsidR="00FC304C" w:rsidRPr="00ED77B9" w:rsidRDefault="00FC304C" w:rsidP="00ED77B9">
                  <w:pPr>
                    <w:spacing w:before="56"/>
                    <w:jc w:val="center"/>
                    <w:rPr>
                      <w:rFonts w:ascii="Times New Roman" w:hAnsi="Times New Roman" w:cs="Times New Roman"/>
                      <w:spacing w:val="-1"/>
                      <w:sz w:val="24"/>
                      <w:szCs w:val="24"/>
                    </w:rPr>
                  </w:pPr>
                  <w:r w:rsidRPr="00ED77B9">
                    <w:rPr>
                      <w:rFonts w:ascii="Times New Roman"/>
                      <w:spacing w:val="-1"/>
                      <w:sz w:val="24"/>
                      <w:szCs w:val="24"/>
                    </w:rPr>
                    <w:t>The program will develop income eligibility verification protocols that maximize the use of existing affordable housing verification requirements in order to streamline administrative burdens on ho</w:t>
                  </w:r>
                  <w:r w:rsidR="00ED77B9">
                    <w:rPr>
                      <w:rFonts w:ascii="Times New Roman"/>
                      <w:spacing w:val="-1"/>
                      <w:sz w:val="24"/>
                      <w:szCs w:val="24"/>
                    </w:rPr>
                    <w:t>us</w:t>
                  </w:r>
                  <w:r w:rsidRPr="00ED77B9">
                    <w:rPr>
                      <w:rFonts w:ascii="Times New Roman"/>
                      <w:spacing w:val="-1"/>
                      <w:sz w:val="24"/>
                      <w:szCs w:val="24"/>
                    </w:rPr>
                    <w:t>ing management staffs.</w:t>
                  </w:r>
                </w:p>
              </w:tc>
            </w:tr>
            <w:tr w:rsidR="00FC304C" w:rsidRPr="009B4557" w:rsidTr="00595912">
              <w:trPr>
                <w:jc w:val="center"/>
              </w:trPr>
              <w:tc>
                <w:tcPr>
                  <w:tcW w:w="2962" w:type="dxa"/>
                </w:tcPr>
                <w:p w:rsidR="00FC304C" w:rsidRPr="00ED77B9" w:rsidRDefault="00FC304C" w:rsidP="00595912">
                  <w:pPr>
                    <w:spacing w:before="56"/>
                    <w:jc w:val="center"/>
                    <w:rPr>
                      <w:rFonts w:ascii="Times New Roman" w:hAnsi="Times New Roman" w:cs="Times New Roman"/>
                      <w:spacing w:val="-1"/>
                      <w:sz w:val="24"/>
                      <w:szCs w:val="24"/>
                    </w:rPr>
                  </w:pPr>
                  <w:r w:rsidRPr="00ED77B9">
                    <w:rPr>
                      <w:rFonts w:ascii="Times New Roman"/>
                      <w:spacing w:val="-1"/>
                      <w:sz w:val="24"/>
                      <w:szCs w:val="24"/>
                    </w:rPr>
                    <w:t>Properly qualified contractors may be difficult or impossible to find by building owners and facilities managers, who may prefer to work with contractors with whom they have established relationships.</w:t>
                  </w:r>
                </w:p>
              </w:tc>
              <w:tc>
                <w:tcPr>
                  <w:tcW w:w="2970" w:type="dxa"/>
                </w:tcPr>
                <w:p w:rsidR="00FC304C" w:rsidRPr="00ED77B9" w:rsidRDefault="00FC304C" w:rsidP="00595912">
                  <w:pPr>
                    <w:spacing w:before="56"/>
                    <w:jc w:val="center"/>
                    <w:rPr>
                      <w:rFonts w:ascii="Times New Roman" w:hAnsi="Times New Roman" w:cs="Times New Roman"/>
                      <w:spacing w:val="-1"/>
                      <w:sz w:val="24"/>
                      <w:szCs w:val="24"/>
                    </w:rPr>
                  </w:pPr>
                  <w:r w:rsidRPr="00ED77B9">
                    <w:rPr>
                      <w:rFonts w:ascii="Times New Roman"/>
                      <w:spacing w:val="-1"/>
                      <w:sz w:val="24"/>
                      <w:szCs w:val="24"/>
                    </w:rPr>
                    <w:t>Owners need easy access to qualified contractors, and contractors need reasonable and clear qualification criteria.</w:t>
                  </w:r>
                </w:p>
              </w:tc>
              <w:tc>
                <w:tcPr>
                  <w:tcW w:w="3052" w:type="dxa"/>
                </w:tcPr>
                <w:p w:rsidR="00FC304C" w:rsidRPr="00ED77B9" w:rsidRDefault="00FC304C" w:rsidP="00595912">
                  <w:pPr>
                    <w:spacing w:before="56"/>
                    <w:jc w:val="center"/>
                    <w:rPr>
                      <w:rFonts w:ascii="Times New Roman" w:hAnsi="Times New Roman" w:cs="Times New Roman"/>
                      <w:spacing w:val="-1"/>
                      <w:sz w:val="24"/>
                      <w:szCs w:val="24"/>
                    </w:rPr>
                  </w:pPr>
                  <w:r w:rsidRPr="00ED77B9">
                    <w:rPr>
                      <w:rFonts w:ascii="Times New Roman"/>
                      <w:spacing w:val="-1"/>
                      <w:sz w:val="24"/>
                      <w:szCs w:val="24"/>
                    </w:rPr>
                    <w:t>The program will publish a clear set of qualification guidelines for contractors so that where a building owner prefers to hire a contracting firm with which it has an existing relationship, that contracting firm will be able to determine whether or not it meets the program requirements. The program will also maintain a list of contractors who meet all program requirements and will facilitate communication between contractors and building owners.</w:t>
                  </w:r>
                </w:p>
              </w:tc>
            </w:tr>
          </w:tbl>
          <w:p w:rsidR="005117A3" w:rsidRPr="009B4557" w:rsidRDefault="005117A3" w:rsidP="005C5EF3">
            <w:pPr>
              <w:spacing w:before="120"/>
              <w:ind w:left="346"/>
              <w:rPr>
                <w:rFonts w:ascii="Times New Roman" w:hAnsi="Times New Roman" w:cs="Times New Roman"/>
                <w:sz w:val="24"/>
                <w:szCs w:val="24"/>
              </w:rPr>
            </w:pPr>
          </w:p>
        </w:tc>
        <w:tc>
          <w:tcPr>
            <w:tcW w:w="366" w:type="dxa"/>
          </w:tcPr>
          <w:p w:rsidR="005117A3" w:rsidRPr="005C5EF3" w:rsidRDefault="005117A3" w:rsidP="005117A3">
            <w:pPr>
              <w:spacing w:before="120"/>
              <w:ind w:left="346"/>
              <w:rPr>
                <w:rFonts w:ascii="Times New Roman" w:hAnsi="Times New Roman" w:cs="Times New Roman"/>
                <w:sz w:val="24"/>
                <w:szCs w:val="24"/>
              </w:rPr>
            </w:pPr>
          </w:p>
        </w:tc>
      </w:tr>
      <w:tr w:rsidR="005C5EF3" w:rsidTr="00ED77B9">
        <w:trPr>
          <w:trHeight w:val="64"/>
          <w:jc w:val="center"/>
        </w:trPr>
        <w:tc>
          <w:tcPr>
            <w:tcW w:w="9210" w:type="dxa"/>
          </w:tcPr>
          <w:p w:rsidR="005C5EF3" w:rsidRPr="009B4557" w:rsidRDefault="005C5EF3" w:rsidP="005C5EF3">
            <w:pPr>
              <w:spacing w:before="120"/>
              <w:ind w:left="346"/>
              <w:rPr>
                <w:rFonts w:ascii="Times New Roman" w:hAnsi="Times New Roman" w:cs="Times New Roman"/>
                <w:sz w:val="24"/>
                <w:szCs w:val="24"/>
              </w:rPr>
            </w:pPr>
          </w:p>
        </w:tc>
        <w:tc>
          <w:tcPr>
            <w:tcW w:w="366" w:type="dxa"/>
          </w:tcPr>
          <w:p w:rsidR="005C5EF3" w:rsidRPr="005C5EF3" w:rsidRDefault="005C5EF3" w:rsidP="005C5EF3">
            <w:pPr>
              <w:spacing w:before="120"/>
              <w:ind w:left="346"/>
              <w:rPr>
                <w:rFonts w:ascii="Times New Roman" w:hAnsi="Times New Roman" w:cs="Times New Roman"/>
                <w:sz w:val="24"/>
                <w:szCs w:val="24"/>
              </w:rPr>
            </w:pPr>
          </w:p>
        </w:tc>
      </w:tr>
    </w:tbl>
    <w:p w:rsidR="00404133" w:rsidRDefault="00404133" w:rsidP="006E7EF7">
      <w:pPr>
        <w:jc w:val="both"/>
        <w:rPr>
          <w:sz w:val="26"/>
          <w:szCs w:val="26"/>
        </w:rPr>
      </w:pPr>
    </w:p>
    <w:sectPr w:rsidR="00404133" w:rsidSect="004B781B">
      <w:footerReference w:type="even" r:id="rId12"/>
      <w:footerReference w:type="default" r:id="rId13"/>
      <w:footerReference w:type="first" r:id="rId14"/>
      <w:pgSz w:w="12240" w:h="15840"/>
      <w:pgMar w:top="432" w:right="1440" w:bottom="144"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735" w:rsidRDefault="00916735">
      <w:r>
        <w:separator/>
      </w:r>
    </w:p>
  </w:endnote>
  <w:endnote w:type="continuationSeparator" w:id="0">
    <w:p w:rsidR="00916735" w:rsidRDefault="0091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FC1" w:rsidRDefault="00FA2F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A2FC1" w:rsidRDefault="00FA2F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12345"/>
      <w:docPartObj>
        <w:docPartGallery w:val="Page Numbers (Bottom of Page)"/>
        <w:docPartUnique/>
      </w:docPartObj>
    </w:sdtPr>
    <w:sdtEndPr/>
    <w:sdtContent>
      <w:p w:rsidR="00FA2FC1" w:rsidRDefault="00FA2FC1">
        <w:pPr>
          <w:pStyle w:val="Footer"/>
          <w:jc w:val="center"/>
        </w:pPr>
        <w:r w:rsidRPr="00AD0A9B">
          <w:rPr>
            <w:sz w:val="26"/>
            <w:szCs w:val="26"/>
          </w:rPr>
          <w:fldChar w:fldCharType="begin"/>
        </w:r>
        <w:r w:rsidRPr="00AD0A9B">
          <w:rPr>
            <w:sz w:val="26"/>
            <w:szCs w:val="26"/>
          </w:rPr>
          <w:instrText xml:space="preserve"> PAGE   \* MERGEFORMAT </w:instrText>
        </w:r>
        <w:r w:rsidRPr="00AD0A9B">
          <w:rPr>
            <w:sz w:val="26"/>
            <w:szCs w:val="26"/>
          </w:rPr>
          <w:fldChar w:fldCharType="separate"/>
        </w:r>
        <w:r w:rsidR="00332EE9">
          <w:rPr>
            <w:noProof/>
            <w:sz w:val="26"/>
            <w:szCs w:val="26"/>
          </w:rPr>
          <w:t>2</w:t>
        </w:r>
        <w:r w:rsidRPr="00AD0A9B">
          <w:rPr>
            <w:sz w:val="26"/>
            <w:szCs w:val="26"/>
          </w:rPr>
          <w:fldChar w:fldCharType="end"/>
        </w:r>
      </w:p>
    </w:sdtContent>
  </w:sdt>
  <w:p w:rsidR="00FA2FC1" w:rsidRDefault="00FA2F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542281"/>
      <w:docPartObj>
        <w:docPartGallery w:val="Page Numbers (Bottom of Page)"/>
        <w:docPartUnique/>
      </w:docPartObj>
    </w:sdtPr>
    <w:sdtEndPr>
      <w:rPr>
        <w:noProof/>
      </w:rPr>
    </w:sdtEndPr>
    <w:sdtContent>
      <w:p w:rsidR="00FA2FC1" w:rsidRDefault="00FA2FC1">
        <w:pPr>
          <w:pStyle w:val="Footer"/>
          <w:jc w:val="center"/>
        </w:pPr>
        <w:r>
          <w:fldChar w:fldCharType="begin"/>
        </w:r>
        <w:r>
          <w:instrText xml:space="preserve"> PAGE   \* MERGEFORMAT </w:instrText>
        </w:r>
        <w:r>
          <w:fldChar w:fldCharType="separate"/>
        </w:r>
        <w:r w:rsidR="00332EE9">
          <w:rPr>
            <w:noProof/>
          </w:rPr>
          <w:t>1</w:t>
        </w:r>
        <w:r>
          <w:rPr>
            <w:noProof/>
          </w:rPr>
          <w:fldChar w:fldCharType="end"/>
        </w:r>
      </w:p>
    </w:sdtContent>
  </w:sdt>
  <w:p w:rsidR="00FA2FC1" w:rsidRDefault="00FA2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735" w:rsidRDefault="00916735">
      <w:r>
        <w:separator/>
      </w:r>
    </w:p>
  </w:footnote>
  <w:footnote w:type="continuationSeparator" w:id="0">
    <w:p w:rsidR="00916735" w:rsidRDefault="00916735">
      <w:r>
        <w:continuationSeparator/>
      </w:r>
    </w:p>
  </w:footnote>
  <w:footnote w:id="1">
    <w:p w:rsidR="0061154B" w:rsidRPr="009070CE" w:rsidRDefault="0061154B" w:rsidP="0061154B">
      <w:pPr>
        <w:pStyle w:val="FootnoteText"/>
      </w:pPr>
      <w:r>
        <w:rPr>
          <w:rStyle w:val="FootnoteReference"/>
        </w:rPr>
        <w:footnoteRef/>
      </w:r>
      <w:r>
        <w:t xml:space="preserve"> </w:t>
      </w:r>
      <w:r w:rsidRPr="009070CE">
        <w:rPr>
          <w:i/>
        </w:rPr>
        <w:t>See, Energy Efficiency and Conservation Program</w:t>
      </w:r>
      <w:r w:rsidRPr="009070CE">
        <w:t xml:space="preserve"> </w:t>
      </w:r>
      <w:r>
        <w:t>Implementation</w:t>
      </w:r>
      <w:r w:rsidRPr="009070CE">
        <w:t xml:space="preserve"> Order, </w:t>
      </w:r>
      <w:r w:rsidR="00062A76">
        <w:t xml:space="preserve">pp. 76-80, </w:t>
      </w:r>
      <w:r w:rsidRPr="009070CE">
        <w:t xml:space="preserve">at Docket No. </w:t>
      </w:r>
      <w:r w:rsidRPr="0061154B">
        <w:t>M</w:t>
      </w:r>
      <w:r w:rsidRPr="0061154B">
        <w:noBreakHyphen/>
        <w:t>2014-2424864</w:t>
      </w:r>
      <w:r w:rsidRPr="009070CE">
        <w:t xml:space="preserve">, </w:t>
      </w:r>
      <w:r>
        <w:t>(June 11, 2015)</w:t>
      </w:r>
      <w:r w:rsidRPr="009070CE">
        <w:t>.</w:t>
      </w:r>
    </w:p>
    <w:p w:rsidR="0061154B" w:rsidRDefault="0061154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C84494"/>
    <w:multiLevelType w:val="hybridMultilevel"/>
    <w:tmpl w:val="DA34B596"/>
    <w:lvl w:ilvl="0" w:tplc="E88284D8">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5652B6"/>
    <w:multiLevelType w:val="hybridMultilevel"/>
    <w:tmpl w:val="D5EAF4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7AF7701"/>
    <w:multiLevelType w:val="hybridMultilevel"/>
    <w:tmpl w:val="9EF25A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36671FE"/>
    <w:multiLevelType w:val="hybridMultilevel"/>
    <w:tmpl w:val="9AF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441FD4"/>
    <w:multiLevelType w:val="hybridMultilevel"/>
    <w:tmpl w:val="E6FE291C"/>
    <w:lvl w:ilvl="0" w:tplc="7B667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296FBA"/>
    <w:multiLevelType w:val="hybridMultilevel"/>
    <w:tmpl w:val="D66ECE68"/>
    <w:lvl w:ilvl="0" w:tplc="F134E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06A7536"/>
    <w:multiLevelType w:val="hybridMultilevel"/>
    <w:tmpl w:val="A0E03122"/>
    <w:lvl w:ilvl="0" w:tplc="62FCDC20">
      <w:start w:val="1"/>
      <w:numFmt w:val="decimal"/>
      <w:lvlText w:val="%1."/>
      <w:lvlJc w:val="left"/>
      <w:pPr>
        <w:tabs>
          <w:tab w:val="num" w:pos="1080"/>
        </w:tabs>
        <w:ind w:left="1080" w:hanging="720"/>
      </w:pPr>
      <w:rPr>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3DC0078"/>
    <w:multiLevelType w:val="hybridMultilevel"/>
    <w:tmpl w:val="0594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3"/>
  </w:num>
  <w:num w:numId="4">
    <w:abstractNumId w:val="6"/>
  </w:num>
  <w:num w:numId="5">
    <w:abstractNumId w:val="15"/>
  </w:num>
  <w:num w:numId="6">
    <w:abstractNumId w:val="5"/>
  </w:num>
  <w:num w:numId="7">
    <w:abstractNumId w:val="16"/>
  </w:num>
  <w:num w:numId="8">
    <w:abstractNumId w:val="14"/>
  </w:num>
  <w:num w:numId="9">
    <w:abstractNumId w:val="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8"/>
  </w:num>
  <w:num w:numId="15">
    <w:abstractNumId w:val="13"/>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221E"/>
    <w:rsid w:val="000032F0"/>
    <w:rsid w:val="00016C43"/>
    <w:rsid w:val="00021147"/>
    <w:rsid w:val="0002313A"/>
    <w:rsid w:val="00025E21"/>
    <w:rsid w:val="00026B9B"/>
    <w:rsid w:val="000315CB"/>
    <w:rsid w:val="00031795"/>
    <w:rsid w:val="0004123B"/>
    <w:rsid w:val="00046AA8"/>
    <w:rsid w:val="00050485"/>
    <w:rsid w:val="00062A76"/>
    <w:rsid w:val="000A3296"/>
    <w:rsid w:val="000A4073"/>
    <w:rsid w:val="000C0BE0"/>
    <w:rsid w:val="000C7752"/>
    <w:rsid w:val="000D54BC"/>
    <w:rsid w:val="000F4632"/>
    <w:rsid w:val="000F5F50"/>
    <w:rsid w:val="001023B1"/>
    <w:rsid w:val="001048C8"/>
    <w:rsid w:val="00111D7A"/>
    <w:rsid w:val="001209F1"/>
    <w:rsid w:val="00121CB7"/>
    <w:rsid w:val="00126434"/>
    <w:rsid w:val="00126702"/>
    <w:rsid w:val="00134A78"/>
    <w:rsid w:val="00142748"/>
    <w:rsid w:val="00146EB6"/>
    <w:rsid w:val="0015126D"/>
    <w:rsid w:val="00162D58"/>
    <w:rsid w:val="00163A25"/>
    <w:rsid w:val="001822EA"/>
    <w:rsid w:val="00183A7E"/>
    <w:rsid w:val="0019426D"/>
    <w:rsid w:val="00195546"/>
    <w:rsid w:val="001A2DCD"/>
    <w:rsid w:val="001A4102"/>
    <w:rsid w:val="001B03CF"/>
    <w:rsid w:val="001B2C6D"/>
    <w:rsid w:val="001B4DA3"/>
    <w:rsid w:val="001E1183"/>
    <w:rsid w:val="001E1BF3"/>
    <w:rsid w:val="001E3A60"/>
    <w:rsid w:val="001F7863"/>
    <w:rsid w:val="002008CA"/>
    <w:rsid w:val="002027E7"/>
    <w:rsid w:val="00204EB9"/>
    <w:rsid w:val="00213CF6"/>
    <w:rsid w:val="002229C3"/>
    <w:rsid w:val="002326FD"/>
    <w:rsid w:val="0024302D"/>
    <w:rsid w:val="002744D7"/>
    <w:rsid w:val="002874B9"/>
    <w:rsid w:val="0029471C"/>
    <w:rsid w:val="002A0616"/>
    <w:rsid w:val="002A2528"/>
    <w:rsid w:val="002A2B4A"/>
    <w:rsid w:val="002A43DC"/>
    <w:rsid w:val="002B0543"/>
    <w:rsid w:val="002B37D7"/>
    <w:rsid w:val="002B618E"/>
    <w:rsid w:val="002C4503"/>
    <w:rsid w:val="002C49E3"/>
    <w:rsid w:val="002C7D3E"/>
    <w:rsid w:val="002D1E8E"/>
    <w:rsid w:val="002F0138"/>
    <w:rsid w:val="003049AB"/>
    <w:rsid w:val="00307364"/>
    <w:rsid w:val="00310263"/>
    <w:rsid w:val="003106B5"/>
    <w:rsid w:val="00311DBE"/>
    <w:rsid w:val="00325403"/>
    <w:rsid w:val="00332AEB"/>
    <w:rsid w:val="00332EE9"/>
    <w:rsid w:val="003569E8"/>
    <w:rsid w:val="00361704"/>
    <w:rsid w:val="00366ACD"/>
    <w:rsid w:val="00374D2E"/>
    <w:rsid w:val="003878A0"/>
    <w:rsid w:val="003A6101"/>
    <w:rsid w:val="003B4AA9"/>
    <w:rsid w:val="003E7239"/>
    <w:rsid w:val="003F79A7"/>
    <w:rsid w:val="00404133"/>
    <w:rsid w:val="00413702"/>
    <w:rsid w:val="00423966"/>
    <w:rsid w:val="00427AD9"/>
    <w:rsid w:val="0044224A"/>
    <w:rsid w:val="00442D19"/>
    <w:rsid w:val="00447966"/>
    <w:rsid w:val="00450096"/>
    <w:rsid w:val="0046411C"/>
    <w:rsid w:val="00467782"/>
    <w:rsid w:val="00472043"/>
    <w:rsid w:val="00495FC5"/>
    <w:rsid w:val="004A0C55"/>
    <w:rsid w:val="004A5F4E"/>
    <w:rsid w:val="004B07D2"/>
    <w:rsid w:val="004B61C1"/>
    <w:rsid w:val="004B781B"/>
    <w:rsid w:val="004D2698"/>
    <w:rsid w:val="004F2077"/>
    <w:rsid w:val="0050362A"/>
    <w:rsid w:val="0050568E"/>
    <w:rsid w:val="005117A3"/>
    <w:rsid w:val="005138E9"/>
    <w:rsid w:val="0051639C"/>
    <w:rsid w:val="0052665A"/>
    <w:rsid w:val="0053714C"/>
    <w:rsid w:val="00541DB3"/>
    <w:rsid w:val="005424F7"/>
    <w:rsid w:val="00553472"/>
    <w:rsid w:val="00557565"/>
    <w:rsid w:val="00567746"/>
    <w:rsid w:val="0057207C"/>
    <w:rsid w:val="0057487F"/>
    <w:rsid w:val="00575806"/>
    <w:rsid w:val="0058420A"/>
    <w:rsid w:val="00590DCB"/>
    <w:rsid w:val="005B0327"/>
    <w:rsid w:val="005B7295"/>
    <w:rsid w:val="005C2839"/>
    <w:rsid w:val="005C5EF3"/>
    <w:rsid w:val="005D0ED6"/>
    <w:rsid w:val="005E25C5"/>
    <w:rsid w:val="00602573"/>
    <w:rsid w:val="0061154B"/>
    <w:rsid w:val="00617CEC"/>
    <w:rsid w:val="006354F1"/>
    <w:rsid w:val="006538B5"/>
    <w:rsid w:val="0066142A"/>
    <w:rsid w:val="006659D1"/>
    <w:rsid w:val="006678F2"/>
    <w:rsid w:val="006744F0"/>
    <w:rsid w:val="006755C0"/>
    <w:rsid w:val="00675A36"/>
    <w:rsid w:val="006843D3"/>
    <w:rsid w:val="00694301"/>
    <w:rsid w:val="00697209"/>
    <w:rsid w:val="006B307C"/>
    <w:rsid w:val="006B4889"/>
    <w:rsid w:val="006B773E"/>
    <w:rsid w:val="006D73F3"/>
    <w:rsid w:val="006E00A9"/>
    <w:rsid w:val="006E7EF7"/>
    <w:rsid w:val="006F4A92"/>
    <w:rsid w:val="006F614A"/>
    <w:rsid w:val="00702D23"/>
    <w:rsid w:val="00710DBE"/>
    <w:rsid w:val="0071761F"/>
    <w:rsid w:val="00723893"/>
    <w:rsid w:val="00733109"/>
    <w:rsid w:val="00746F33"/>
    <w:rsid w:val="00750EF6"/>
    <w:rsid w:val="007617B1"/>
    <w:rsid w:val="007652EF"/>
    <w:rsid w:val="00774136"/>
    <w:rsid w:val="007762F7"/>
    <w:rsid w:val="00785B5A"/>
    <w:rsid w:val="0078658C"/>
    <w:rsid w:val="007914EF"/>
    <w:rsid w:val="007979FC"/>
    <w:rsid w:val="007C7339"/>
    <w:rsid w:val="007D6818"/>
    <w:rsid w:val="007E132D"/>
    <w:rsid w:val="007E3F38"/>
    <w:rsid w:val="007E5AA6"/>
    <w:rsid w:val="007E6ACB"/>
    <w:rsid w:val="007E770A"/>
    <w:rsid w:val="007F0050"/>
    <w:rsid w:val="0080690D"/>
    <w:rsid w:val="00813B38"/>
    <w:rsid w:val="00820782"/>
    <w:rsid w:val="008241DB"/>
    <w:rsid w:val="00831D49"/>
    <w:rsid w:val="008427B0"/>
    <w:rsid w:val="00846A98"/>
    <w:rsid w:val="008554B6"/>
    <w:rsid w:val="00861DE7"/>
    <w:rsid w:val="00881B7D"/>
    <w:rsid w:val="008C246C"/>
    <w:rsid w:val="008D2D06"/>
    <w:rsid w:val="00902959"/>
    <w:rsid w:val="009070CE"/>
    <w:rsid w:val="00916735"/>
    <w:rsid w:val="00932A73"/>
    <w:rsid w:val="0093372C"/>
    <w:rsid w:val="00935E57"/>
    <w:rsid w:val="00942E5E"/>
    <w:rsid w:val="00944B47"/>
    <w:rsid w:val="00945DEF"/>
    <w:rsid w:val="00952DD5"/>
    <w:rsid w:val="0095434D"/>
    <w:rsid w:val="0096632A"/>
    <w:rsid w:val="00977B3F"/>
    <w:rsid w:val="009869CD"/>
    <w:rsid w:val="009A5243"/>
    <w:rsid w:val="009B11FA"/>
    <w:rsid w:val="009B23D8"/>
    <w:rsid w:val="009B4557"/>
    <w:rsid w:val="009B63E1"/>
    <w:rsid w:val="009C571F"/>
    <w:rsid w:val="009D1A9E"/>
    <w:rsid w:val="009D1C20"/>
    <w:rsid w:val="009E40EC"/>
    <w:rsid w:val="009F5F66"/>
    <w:rsid w:val="00A0034F"/>
    <w:rsid w:val="00A01138"/>
    <w:rsid w:val="00A048AB"/>
    <w:rsid w:val="00A04C00"/>
    <w:rsid w:val="00A1264C"/>
    <w:rsid w:val="00A20C12"/>
    <w:rsid w:val="00A254D2"/>
    <w:rsid w:val="00A374EE"/>
    <w:rsid w:val="00A42B51"/>
    <w:rsid w:val="00A46963"/>
    <w:rsid w:val="00A5263D"/>
    <w:rsid w:val="00A72D60"/>
    <w:rsid w:val="00A74877"/>
    <w:rsid w:val="00A777B5"/>
    <w:rsid w:val="00A8103B"/>
    <w:rsid w:val="00A87F18"/>
    <w:rsid w:val="00A94E60"/>
    <w:rsid w:val="00AA1AEC"/>
    <w:rsid w:val="00AA2E1B"/>
    <w:rsid w:val="00AA30E9"/>
    <w:rsid w:val="00AB490E"/>
    <w:rsid w:val="00AB497F"/>
    <w:rsid w:val="00AB53D2"/>
    <w:rsid w:val="00AB57E2"/>
    <w:rsid w:val="00AB7834"/>
    <w:rsid w:val="00AD0506"/>
    <w:rsid w:val="00AD0A9B"/>
    <w:rsid w:val="00AE3480"/>
    <w:rsid w:val="00B04B8D"/>
    <w:rsid w:val="00B11048"/>
    <w:rsid w:val="00B14362"/>
    <w:rsid w:val="00B23FFC"/>
    <w:rsid w:val="00B45149"/>
    <w:rsid w:val="00B61CDD"/>
    <w:rsid w:val="00B70C18"/>
    <w:rsid w:val="00B75824"/>
    <w:rsid w:val="00B8374F"/>
    <w:rsid w:val="00BB79A9"/>
    <w:rsid w:val="00BC7E75"/>
    <w:rsid w:val="00BD08AE"/>
    <w:rsid w:val="00BD600D"/>
    <w:rsid w:val="00BE4A72"/>
    <w:rsid w:val="00BE5119"/>
    <w:rsid w:val="00C07570"/>
    <w:rsid w:val="00C07BA1"/>
    <w:rsid w:val="00C12EFD"/>
    <w:rsid w:val="00C3034E"/>
    <w:rsid w:val="00C359BE"/>
    <w:rsid w:val="00C3654A"/>
    <w:rsid w:val="00C404A8"/>
    <w:rsid w:val="00C45DCB"/>
    <w:rsid w:val="00C46EDA"/>
    <w:rsid w:val="00C55BE6"/>
    <w:rsid w:val="00C74A51"/>
    <w:rsid w:val="00C76DC9"/>
    <w:rsid w:val="00C77F29"/>
    <w:rsid w:val="00C81C8C"/>
    <w:rsid w:val="00C90506"/>
    <w:rsid w:val="00CA0D15"/>
    <w:rsid w:val="00CA2448"/>
    <w:rsid w:val="00CA358F"/>
    <w:rsid w:val="00CA73D1"/>
    <w:rsid w:val="00CB5738"/>
    <w:rsid w:val="00CC0368"/>
    <w:rsid w:val="00CD0FDC"/>
    <w:rsid w:val="00CE1EAB"/>
    <w:rsid w:val="00CE70DC"/>
    <w:rsid w:val="00CF047C"/>
    <w:rsid w:val="00CF197F"/>
    <w:rsid w:val="00CF55DF"/>
    <w:rsid w:val="00D0471D"/>
    <w:rsid w:val="00D064EE"/>
    <w:rsid w:val="00D146D4"/>
    <w:rsid w:val="00D244B2"/>
    <w:rsid w:val="00D31A74"/>
    <w:rsid w:val="00D47C63"/>
    <w:rsid w:val="00D53F6A"/>
    <w:rsid w:val="00D5472C"/>
    <w:rsid w:val="00D55A7A"/>
    <w:rsid w:val="00D62E64"/>
    <w:rsid w:val="00D67450"/>
    <w:rsid w:val="00D77B80"/>
    <w:rsid w:val="00DA41A4"/>
    <w:rsid w:val="00DC06D2"/>
    <w:rsid w:val="00DC7B54"/>
    <w:rsid w:val="00DD5A6B"/>
    <w:rsid w:val="00E01C4C"/>
    <w:rsid w:val="00E23673"/>
    <w:rsid w:val="00E23926"/>
    <w:rsid w:val="00E349DA"/>
    <w:rsid w:val="00E42E96"/>
    <w:rsid w:val="00E43A98"/>
    <w:rsid w:val="00E465EC"/>
    <w:rsid w:val="00E62236"/>
    <w:rsid w:val="00E67B87"/>
    <w:rsid w:val="00E70A5C"/>
    <w:rsid w:val="00E73061"/>
    <w:rsid w:val="00E83E92"/>
    <w:rsid w:val="00EA4C08"/>
    <w:rsid w:val="00EB13A7"/>
    <w:rsid w:val="00EB2540"/>
    <w:rsid w:val="00EB25D8"/>
    <w:rsid w:val="00EC246D"/>
    <w:rsid w:val="00EC75EB"/>
    <w:rsid w:val="00EC7D0E"/>
    <w:rsid w:val="00ED73CC"/>
    <w:rsid w:val="00ED77B9"/>
    <w:rsid w:val="00EE3CF3"/>
    <w:rsid w:val="00F3099A"/>
    <w:rsid w:val="00F41A9B"/>
    <w:rsid w:val="00F51C5E"/>
    <w:rsid w:val="00F5640A"/>
    <w:rsid w:val="00F63D91"/>
    <w:rsid w:val="00F66053"/>
    <w:rsid w:val="00F7094C"/>
    <w:rsid w:val="00F75EE4"/>
    <w:rsid w:val="00FA0E37"/>
    <w:rsid w:val="00FA2FC1"/>
    <w:rsid w:val="00FB5B4F"/>
    <w:rsid w:val="00FC2644"/>
    <w:rsid w:val="00FC304C"/>
    <w:rsid w:val="00FC66EE"/>
    <w:rsid w:val="00FC7B5D"/>
    <w:rsid w:val="00FD48E7"/>
    <w:rsid w:val="00FE0D00"/>
    <w:rsid w:val="00FE2144"/>
    <w:rsid w:val="00FE5D97"/>
    <w:rsid w:val="00FF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aliases w:val="Footnote Text1 Char,Footnote Text Char Ch Char Char Char,Footnote Text Char Ch Char Char,Footnote Text1 Char Char Char,Footnote Text Char Ch Char,Footnote Text Char Ch"/>
    <w:basedOn w:val="Normal"/>
    <w:link w:val="FootnoteTextChar"/>
    <w:rsid w:val="00026B9B"/>
  </w:style>
  <w:style w:type="character" w:customStyle="1" w:styleId="FootnoteTextChar">
    <w:name w:val="Footnote Text Char"/>
    <w:aliases w:val="Footnote Text1 Char Char,Footnote Text Char Ch Char Char Char Char,Footnote Text Char Ch Char Char Char1,Footnote Text1 Char Char Char Char,Footnote Text Char Ch Char Char1,Footnote Text Char Ch Char1"/>
    <w:basedOn w:val="DefaultParagraphFont"/>
    <w:link w:val="FootnoteText"/>
    <w:rsid w:val="00026B9B"/>
  </w:style>
  <w:style w:type="character" w:styleId="FootnoteReference">
    <w:name w:val="footnote reference"/>
    <w:aliases w:val="o,fr"/>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39"/>
    <w:rsid w:val="00BB79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aliases w:val="Footnote Text1 Char,Footnote Text Char Ch Char Char Char,Footnote Text Char Ch Char Char,Footnote Text1 Char Char Char,Footnote Text Char Ch Char,Footnote Text Char Ch"/>
    <w:basedOn w:val="Normal"/>
    <w:link w:val="FootnoteTextChar"/>
    <w:rsid w:val="00026B9B"/>
  </w:style>
  <w:style w:type="character" w:customStyle="1" w:styleId="FootnoteTextChar">
    <w:name w:val="Footnote Text Char"/>
    <w:aliases w:val="Footnote Text1 Char Char,Footnote Text Char Ch Char Char Char Char,Footnote Text Char Ch Char Char Char1,Footnote Text1 Char Char Char Char,Footnote Text Char Ch Char Char1,Footnote Text Char Ch Char1"/>
    <w:basedOn w:val="DefaultParagraphFont"/>
    <w:link w:val="FootnoteText"/>
    <w:rsid w:val="00026B9B"/>
  </w:style>
  <w:style w:type="character" w:styleId="FootnoteReference">
    <w:name w:val="footnote reference"/>
    <w:aliases w:val="o,fr"/>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39"/>
    <w:rsid w:val="00BB79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dewey@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65284-B6E4-4092-B741-192A9ADD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Wagner, Nathan R</cp:lastModifiedBy>
  <cp:revision>3</cp:revision>
  <cp:lastPrinted>2012-05-08T13:33:00Z</cp:lastPrinted>
  <dcterms:created xsi:type="dcterms:W3CDTF">2015-11-17T19:53:00Z</dcterms:created>
  <dcterms:modified xsi:type="dcterms:W3CDTF">2015-11-18T13:42:00Z</dcterms:modified>
</cp:coreProperties>
</file>