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578" w:rsidRPr="00387868" w:rsidRDefault="00D33578" w:rsidP="00D33578">
      <w:pPr>
        <w:tabs>
          <w:tab w:val="center" w:pos="4680"/>
        </w:tabs>
        <w:suppressAutoHyphens/>
        <w:contextualSpacing/>
        <w:jc w:val="center"/>
        <w:rPr>
          <w:b/>
          <w:bCs/>
          <w:spacing w:val="-3"/>
          <w:sz w:val="26"/>
          <w:szCs w:val="26"/>
        </w:rPr>
      </w:pPr>
      <w:r w:rsidRPr="00387868">
        <w:rPr>
          <w:b/>
          <w:bCs/>
          <w:spacing w:val="-3"/>
          <w:sz w:val="26"/>
          <w:szCs w:val="26"/>
        </w:rPr>
        <w:t>PENNSYLVANIA</w:t>
      </w:r>
    </w:p>
    <w:p w:rsidR="00D33578" w:rsidRPr="00387868" w:rsidRDefault="00D33578" w:rsidP="00D33578">
      <w:pPr>
        <w:tabs>
          <w:tab w:val="center" w:pos="4680"/>
        </w:tabs>
        <w:suppressAutoHyphens/>
        <w:contextualSpacing/>
        <w:jc w:val="center"/>
        <w:rPr>
          <w:b/>
          <w:bCs/>
          <w:spacing w:val="-3"/>
          <w:sz w:val="26"/>
          <w:szCs w:val="26"/>
        </w:rPr>
      </w:pPr>
      <w:r w:rsidRPr="00387868">
        <w:rPr>
          <w:b/>
          <w:bCs/>
          <w:spacing w:val="-3"/>
          <w:sz w:val="26"/>
          <w:szCs w:val="26"/>
        </w:rPr>
        <w:t>PUBLIC UTILITY COMMISSION</w:t>
      </w:r>
    </w:p>
    <w:p w:rsidR="00D33578" w:rsidRPr="00387868" w:rsidRDefault="00D33578" w:rsidP="00D33578">
      <w:pPr>
        <w:tabs>
          <w:tab w:val="center" w:pos="4680"/>
        </w:tabs>
        <w:suppressAutoHyphens/>
        <w:contextualSpacing/>
        <w:jc w:val="center"/>
        <w:rPr>
          <w:b/>
          <w:bCs/>
          <w:spacing w:val="-3"/>
          <w:sz w:val="26"/>
          <w:szCs w:val="26"/>
        </w:rPr>
      </w:pPr>
      <w:r w:rsidRPr="00387868">
        <w:rPr>
          <w:b/>
          <w:bCs/>
          <w:spacing w:val="-3"/>
          <w:sz w:val="26"/>
          <w:szCs w:val="26"/>
        </w:rPr>
        <w:t>Harrisburg, PA  17105-3265</w:t>
      </w:r>
    </w:p>
    <w:p w:rsidR="00D33578" w:rsidRPr="00387868" w:rsidRDefault="00D33578" w:rsidP="00D33578">
      <w:pPr>
        <w:tabs>
          <w:tab w:val="center" w:pos="4680"/>
        </w:tabs>
        <w:suppressAutoHyphens/>
        <w:spacing w:line="360" w:lineRule="auto"/>
        <w:jc w:val="center"/>
        <w:rPr>
          <w:b/>
          <w:bCs/>
          <w:spacing w:val="-3"/>
          <w:sz w:val="26"/>
          <w:szCs w:val="26"/>
        </w:rPr>
      </w:pPr>
    </w:p>
    <w:p w:rsidR="00D33578" w:rsidRPr="00387868" w:rsidRDefault="00D33578" w:rsidP="00D33578">
      <w:pPr>
        <w:tabs>
          <w:tab w:val="right" w:pos="9360"/>
        </w:tabs>
        <w:suppressAutoHyphens/>
        <w:spacing w:line="360" w:lineRule="auto"/>
        <w:rPr>
          <w:sz w:val="26"/>
          <w:szCs w:val="26"/>
        </w:rPr>
      </w:pPr>
      <w:r w:rsidRPr="00387868">
        <w:rPr>
          <w:sz w:val="26"/>
          <w:szCs w:val="26"/>
        </w:rPr>
        <w:tab/>
        <w:t xml:space="preserve">Public Meeting held </w:t>
      </w:r>
      <w:r w:rsidR="00712261">
        <w:rPr>
          <w:sz w:val="26"/>
          <w:szCs w:val="26"/>
        </w:rPr>
        <w:t>October</w:t>
      </w:r>
      <w:r>
        <w:rPr>
          <w:sz w:val="26"/>
          <w:szCs w:val="26"/>
        </w:rPr>
        <w:t xml:space="preserve"> </w:t>
      </w:r>
      <w:r w:rsidR="00712261">
        <w:rPr>
          <w:sz w:val="26"/>
          <w:szCs w:val="26"/>
        </w:rPr>
        <w:t>1</w:t>
      </w:r>
      <w:r w:rsidRPr="00387868">
        <w:rPr>
          <w:sz w:val="26"/>
          <w:szCs w:val="26"/>
        </w:rPr>
        <w:t>, 201</w:t>
      </w:r>
      <w:r>
        <w:rPr>
          <w:sz w:val="26"/>
          <w:szCs w:val="26"/>
        </w:rPr>
        <w:t>5</w:t>
      </w:r>
    </w:p>
    <w:p w:rsidR="00D33578" w:rsidRPr="00387868" w:rsidRDefault="00D33578" w:rsidP="00D33578">
      <w:pPr>
        <w:tabs>
          <w:tab w:val="right" w:pos="9360"/>
        </w:tabs>
        <w:suppressAutoHyphens/>
        <w:spacing w:line="360" w:lineRule="auto"/>
        <w:rPr>
          <w:sz w:val="26"/>
          <w:szCs w:val="26"/>
        </w:rPr>
      </w:pPr>
    </w:p>
    <w:p w:rsidR="00D33578" w:rsidRPr="00387868" w:rsidRDefault="00D33578" w:rsidP="00D33578">
      <w:pPr>
        <w:tabs>
          <w:tab w:val="left" w:pos="-720"/>
        </w:tabs>
        <w:suppressAutoHyphens/>
        <w:spacing w:line="360" w:lineRule="auto"/>
        <w:rPr>
          <w:sz w:val="26"/>
          <w:szCs w:val="26"/>
        </w:rPr>
      </w:pPr>
    </w:p>
    <w:p w:rsidR="00D33578" w:rsidRPr="00387868" w:rsidRDefault="00D33578" w:rsidP="00D33578">
      <w:pPr>
        <w:tabs>
          <w:tab w:val="left" w:pos="-720"/>
        </w:tabs>
        <w:suppressAutoHyphens/>
        <w:rPr>
          <w:sz w:val="26"/>
          <w:szCs w:val="26"/>
        </w:rPr>
      </w:pPr>
      <w:r w:rsidRPr="00387868">
        <w:rPr>
          <w:sz w:val="26"/>
          <w:szCs w:val="26"/>
        </w:rPr>
        <w:t>Commissioners Present:</w:t>
      </w:r>
    </w:p>
    <w:p w:rsidR="00D33578" w:rsidRPr="00387868" w:rsidRDefault="00D33578" w:rsidP="00D33578">
      <w:pPr>
        <w:tabs>
          <w:tab w:val="left" w:pos="-720"/>
        </w:tabs>
        <w:suppressAutoHyphens/>
        <w:rPr>
          <w:sz w:val="26"/>
          <w:szCs w:val="26"/>
        </w:rPr>
      </w:pPr>
    </w:p>
    <w:p w:rsidR="00EC34CC" w:rsidRPr="009253EE" w:rsidRDefault="00EC34CC" w:rsidP="00D54FAE">
      <w:pPr>
        <w:pStyle w:val="p5"/>
        <w:ind w:left="720"/>
        <w:rPr>
          <w:sz w:val="26"/>
          <w:szCs w:val="26"/>
        </w:rPr>
      </w:pPr>
      <w:r w:rsidRPr="009253EE">
        <w:rPr>
          <w:sz w:val="26"/>
          <w:szCs w:val="26"/>
        </w:rPr>
        <w:t xml:space="preserve">Gladys M. Brown, Chairman       </w:t>
      </w:r>
    </w:p>
    <w:p w:rsidR="00EC34CC" w:rsidRPr="009253EE" w:rsidRDefault="00EC34CC" w:rsidP="00D54FAE">
      <w:pPr>
        <w:pStyle w:val="p5"/>
        <w:ind w:left="720"/>
        <w:rPr>
          <w:sz w:val="26"/>
          <w:szCs w:val="26"/>
        </w:rPr>
      </w:pPr>
      <w:r w:rsidRPr="009253EE">
        <w:rPr>
          <w:sz w:val="26"/>
          <w:szCs w:val="26"/>
        </w:rPr>
        <w:t>John F. Coleman, Jr., Vice Chairman</w:t>
      </w:r>
    </w:p>
    <w:p w:rsidR="00EC34CC" w:rsidRPr="009253EE" w:rsidRDefault="00EC34CC" w:rsidP="00D54FAE">
      <w:pPr>
        <w:pStyle w:val="p5"/>
        <w:ind w:left="720"/>
        <w:rPr>
          <w:sz w:val="26"/>
          <w:szCs w:val="26"/>
        </w:rPr>
      </w:pPr>
      <w:r w:rsidRPr="009253EE">
        <w:rPr>
          <w:sz w:val="26"/>
          <w:szCs w:val="26"/>
        </w:rPr>
        <w:t>Pamela A. Witmer</w:t>
      </w:r>
    </w:p>
    <w:p w:rsidR="00D33578" w:rsidRPr="00387868" w:rsidRDefault="00EC34CC" w:rsidP="00D54FAE">
      <w:pPr>
        <w:tabs>
          <w:tab w:val="left" w:pos="-720"/>
        </w:tabs>
        <w:suppressAutoHyphens/>
        <w:rPr>
          <w:sz w:val="26"/>
          <w:szCs w:val="26"/>
        </w:rPr>
      </w:pPr>
      <w:r>
        <w:rPr>
          <w:sz w:val="26"/>
          <w:szCs w:val="26"/>
        </w:rPr>
        <w:tab/>
      </w:r>
      <w:r w:rsidRPr="009253EE">
        <w:rPr>
          <w:sz w:val="26"/>
          <w:szCs w:val="26"/>
        </w:rPr>
        <w:t>Robert F. Powelson</w:t>
      </w:r>
    </w:p>
    <w:p w:rsidR="00D33578" w:rsidRDefault="00D33578" w:rsidP="00D33578">
      <w:pPr>
        <w:tabs>
          <w:tab w:val="left" w:pos="-720"/>
        </w:tabs>
        <w:suppressAutoHyphens/>
        <w:jc w:val="both"/>
        <w:rPr>
          <w:spacing w:val="-3"/>
          <w:sz w:val="26"/>
          <w:szCs w:val="26"/>
        </w:rPr>
      </w:pPr>
    </w:p>
    <w:p w:rsidR="00EC34CC" w:rsidRPr="00387868" w:rsidRDefault="00EC34CC" w:rsidP="00D33578">
      <w:pPr>
        <w:tabs>
          <w:tab w:val="left" w:pos="-720"/>
        </w:tabs>
        <w:suppressAutoHyphens/>
        <w:jc w:val="both"/>
        <w:rPr>
          <w:spacing w:val="-3"/>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608"/>
      </w:tblGrid>
      <w:tr w:rsidR="00712261" w:rsidRPr="005063A3" w:rsidTr="00712261">
        <w:tc>
          <w:tcPr>
            <w:tcW w:w="4968" w:type="dxa"/>
          </w:tcPr>
          <w:p w:rsidR="004A2676" w:rsidRDefault="00935EC0" w:rsidP="004A2676">
            <w:pPr>
              <w:rPr>
                <w:sz w:val="26"/>
                <w:szCs w:val="26"/>
              </w:rPr>
            </w:pPr>
            <w:r>
              <w:rPr>
                <w:sz w:val="26"/>
                <w:szCs w:val="26"/>
              </w:rPr>
              <w:t>PPL Electric Utilities Corporation</w:t>
            </w:r>
            <w:r w:rsidR="004A2676">
              <w:rPr>
                <w:sz w:val="26"/>
                <w:szCs w:val="26"/>
              </w:rPr>
              <w:t xml:space="preserve"> Plan</w:t>
            </w:r>
            <w:r w:rsidR="005063A3">
              <w:rPr>
                <w:sz w:val="26"/>
                <w:szCs w:val="26"/>
              </w:rPr>
              <w:t xml:space="preserve"> </w:t>
            </w:r>
            <w:r w:rsidR="00712261">
              <w:rPr>
                <w:sz w:val="26"/>
                <w:szCs w:val="26"/>
              </w:rPr>
              <w:t xml:space="preserve">for </w:t>
            </w:r>
          </w:p>
          <w:p w:rsidR="00712261" w:rsidRDefault="00712261" w:rsidP="004A2676">
            <w:pPr>
              <w:rPr>
                <w:sz w:val="26"/>
                <w:szCs w:val="26"/>
              </w:rPr>
            </w:pPr>
            <w:r>
              <w:rPr>
                <w:sz w:val="26"/>
                <w:szCs w:val="26"/>
              </w:rPr>
              <w:t>Seamless Moves and Instant Connects</w:t>
            </w:r>
          </w:p>
        </w:tc>
        <w:tc>
          <w:tcPr>
            <w:tcW w:w="4608" w:type="dxa"/>
          </w:tcPr>
          <w:p w:rsidR="00712261" w:rsidRPr="00935EC0" w:rsidRDefault="00935EC0" w:rsidP="00712261">
            <w:pPr>
              <w:jc w:val="right"/>
              <w:rPr>
                <w:sz w:val="26"/>
                <w:szCs w:val="26"/>
              </w:rPr>
            </w:pPr>
            <w:r w:rsidRPr="00935EC0">
              <w:rPr>
                <w:color w:val="333333"/>
                <w:sz w:val="26"/>
                <w:szCs w:val="26"/>
              </w:rPr>
              <w:t>M-2014-2401103</w:t>
            </w:r>
          </w:p>
        </w:tc>
      </w:tr>
    </w:tbl>
    <w:p w:rsidR="00712261" w:rsidRDefault="00712261" w:rsidP="00D33578">
      <w:pPr>
        <w:rPr>
          <w:sz w:val="26"/>
          <w:szCs w:val="26"/>
        </w:rPr>
      </w:pPr>
    </w:p>
    <w:p w:rsidR="00712261" w:rsidRDefault="00712261" w:rsidP="00D33578">
      <w:pPr>
        <w:rPr>
          <w:sz w:val="26"/>
          <w:szCs w:val="26"/>
        </w:rPr>
      </w:pPr>
    </w:p>
    <w:p w:rsidR="00D33578" w:rsidRPr="00387868" w:rsidRDefault="00D33578" w:rsidP="00D33578">
      <w:pPr>
        <w:tabs>
          <w:tab w:val="left" w:pos="-720"/>
        </w:tabs>
        <w:suppressAutoHyphens/>
        <w:jc w:val="both"/>
        <w:rPr>
          <w:spacing w:val="-3"/>
          <w:sz w:val="26"/>
          <w:szCs w:val="26"/>
        </w:rPr>
      </w:pPr>
    </w:p>
    <w:p w:rsidR="00D33578" w:rsidRPr="00387868" w:rsidRDefault="00D33578" w:rsidP="00D33578">
      <w:pPr>
        <w:tabs>
          <w:tab w:val="left" w:pos="-720"/>
        </w:tabs>
        <w:suppressAutoHyphens/>
        <w:spacing w:line="360" w:lineRule="auto"/>
        <w:jc w:val="both"/>
        <w:rPr>
          <w:spacing w:val="-3"/>
          <w:sz w:val="26"/>
          <w:szCs w:val="26"/>
        </w:rPr>
      </w:pPr>
    </w:p>
    <w:p w:rsidR="00D33578" w:rsidRPr="00387868" w:rsidRDefault="00D33578" w:rsidP="00D33578">
      <w:pPr>
        <w:tabs>
          <w:tab w:val="center" w:pos="4680"/>
        </w:tabs>
        <w:suppressAutoHyphens/>
        <w:spacing w:line="360" w:lineRule="auto"/>
        <w:jc w:val="center"/>
        <w:rPr>
          <w:b/>
          <w:bCs/>
          <w:spacing w:val="-3"/>
          <w:sz w:val="26"/>
          <w:szCs w:val="26"/>
        </w:rPr>
      </w:pPr>
      <w:r w:rsidRPr="00387868">
        <w:rPr>
          <w:b/>
          <w:bCs/>
          <w:spacing w:val="-3"/>
          <w:sz w:val="26"/>
          <w:szCs w:val="26"/>
        </w:rPr>
        <w:t>FINAL ORDER</w:t>
      </w:r>
    </w:p>
    <w:p w:rsidR="00DD6774" w:rsidRDefault="00DD6774"/>
    <w:p w:rsidR="00D33578" w:rsidRDefault="00D33578"/>
    <w:p w:rsidR="00E41EB8" w:rsidRDefault="00575D25" w:rsidP="00E41EB8">
      <w:pPr>
        <w:spacing w:line="360" w:lineRule="auto"/>
        <w:ind w:firstLine="720"/>
        <w:rPr>
          <w:bCs/>
          <w:spacing w:val="-3"/>
          <w:sz w:val="26"/>
          <w:szCs w:val="26"/>
        </w:rPr>
      </w:pPr>
      <w:r w:rsidRPr="007620D2">
        <w:rPr>
          <w:bCs/>
          <w:spacing w:val="-3"/>
          <w:sz w:val="26"/>
          <w:szCs w:val="26"/>
        </w:rPr>
        <w:t>Before the</w:t>
      </w:r>
      <w:r>
        <w:rPr>
          <w:bCs/>
          <w:spacing w:val="-3"/>
          <w:sz w:val="26"/>
          <w:szCs w:val="26"/>
        </w:rPr>
        <w:t xml:space="preserve"> Pennsylvania Public Utility</w:t>
      </w:r>
      <w:r w:rsidRPr="007620D2">
        <w:rPr>
          <w:bCs/>
          <w:spacing w:val="-3"/>
          <w:sz w:val="26"/>
          <w:szCs w:val="26"/>
        </w:rPr>
        <w:t xml:space="preserve"> Commission</w:t>
      </w:r>
      <w:r>
        <w:rPr>
          <w:bCs/>
          <w:spacing w:val="-3"/>
          <w:sz w:val="26"/>
          <w:szCs w:val="26"/>
        </w:rPr>
        <w:t xml:space="preserve"> (Commission) </w:t>
      </w:r>
      <w:r w:rsidR="00E41EB8">
        <w:rPr>
          <w:bCs/>
          <w:spacing w:val="-3"/>
          <w:sz w:val="26"/>
          <w:szCs w:val="26"/>
        </w:rPr>
        <w:t>is a</w:t>
      </w:r>
      <w:r w:rsidRPr="007620D2">
        <w:rPr>
          <w:bCs/>
          <w:spacing w:val="-3"/>
          <w:sz w:val="26"/>
          <w:szCs w:val="26"/>
        </w:rPr>
        <w:t xml:space="preserve"> recommendation from the Commission’s Office of Competitive Market Oversight</w:t>
      </w:r>
      <w:r>
        <w:rPr>
          <w:bCs/>
          <w:spacing w:val="-3"/>
          <w:sz w:val="26"/>
          <w:szCs w:val="26"/>
        </w:rPr>
        <w:t xml:space="preserve"> (OCMO) </w:t>
      </w:r>
      <w:r w:rsidR="00E41EB8">
        <w:rPr>
          <w:bCs/>
          <w:spacing w:val="-3"/>
          <w:sz w:val="26"/>
          <w:szCs w:val="26"/>
        </w:rPr>
        <w:t>approving</w:t>
      </w:r>
      <w:r w:rsidR="004A2676">
        <w:rPr>
          <w:bCs/>
          <w:spacing w:val="-3"/>
          <w:sz w:val="26"/>
          <w:szCs w:val="26"/>
        </w:rPr>
        <w:t xml:space="preserve">, with </w:t>
      </w:r>
      <w:r w:rsidR="00935EC0">
        <w:rPr>
          <w:bCs/>
          <w:spacing w:val="-3"/>
          <w:sz w:val="26"/>
          <w:szCs w:val="26"/>
        </w:rPr>
        <w:t>modifications</w:t>
      </w:r>
      <w:r w:rsidR="004A2676">
        <w:rPr>
          <w:bCs/>
          <w:spacing w:val="-3"/>
          <w:sz w:val="26"/>
          <w:szCs w:val="26"/>
        </w:rPr>
        <w:t>,</w:t>
      </w:r>
      <w:r w:rsidR="00650476">
        <w:rPr>
          <w:bCs/>
          <w:spacing w:val="-3"/>
          <w:sz w:val="26"/>
          <w:szCs w:val="26"/>
        </w:rPr>
        <w:t xml:space="preserve"> the</w:t>
      </w:r>
      <w:r w:rsidR="00E41EB8">
        <w:rPr>
          <w:bCs/>
          <w:spacing w:val="-3"/>
          <w:sz w:val="26"/>
          <w:szCs w:val="26"/>
        </w:rPr>
        <w:t xml:space="preserve"> </w:t>
      </w:r>
      <w:r w:rsidR="00650476">
        <w:rPr>
          <w:bCs/>
          <w:spacing w:val="-3"/>
          <w:sz w:val="26"/>
          <w:szCs w:val="26"/>
        </w:rPr>
        <w:t>p</w:t>
      </w:r>
      <w:r w:rsidR="00650476" w:rsidRPr="00650476">
        <w:rPr>
          <w:bCs/>
          <w:spacing w:val="-3"/>
          <w:sz w:val="26"/>
          <w:szCs w:val="26"/>
        </w:rPr>
        <w:t xml:space="preserve">lan </w:t>
      </w:r>
      <w:r w:rsidR="005063A3" w:rsidRPr="00650476">
        <w:rPr>
          <w:bCs/>
          <w:spacing w:val="-3"/>
          <w:sz w:val="26"/>
          <w:szCs w:val="26"/>
        </w:rPr>
        <w:t>of</w:t>
      </w:r>
      <w:r w:rsidR="005063A3">
        <w:rPr>
          <w:bCs/>
          <w:spacing w:val="-3"/>
          <w:sz w:val="26"/>
          <w:szCs w:val="26"/>
        </w:rPr>
        <w:t xml:space="preserve"> </w:t>
      </w:r>
      <w:r w:rsidR="00935EC0" w:rsidRPr="00935EC0">
        <w:rPr>
          <w:bCs/>
          <w:spacing w:val="-3"/>
          <w:sz w:val="26"/>
          <w:szCs w:val="26"/>
        </w:rPr>
        <w:t xml:space="preserve">PPL Electric Utilities Corporation </w:t>
      </w:r>
      <w:r w:rsidR="005063A3">
        <w:rPr>
          <w:bCs/>
          <w:spacing w:val="-3"/>
          <w:sz w:val="26"/>
          <w:szCs w:val="26"/>
        </w:rPr>
        <w:t>(</w:t>
      </w:r>
      <w:r w:rsidR="00935EC0">
        <w:rPr>
          <w:bCs/>
          <w:spacing w:val="-3"/>
          <w:sz w:val="26"/>
          <w:szCs w:val="26"/>
        </w:rPr>
        <w:t>PPL</w:t>
      </w:r>
      <w:r w:rsidR="005063A3">
        <w:rPr>
          <w:bCs/>
          <w:spacing w:val="-3"/>
          <w:sz w:val="26"/>
          <w:szCs w:val="26"/>
        </w:rPr>
        <w:t>)</w:t>
      </w:r>
      <w:r w:rsidR="00650476" w:rsidRPr="00650476">
        <w:rPr>
          <w:bCs/>
          <w:spacing w:val="-3"/>
          <w:sz w:val="26"/>
          <w:szCs w:val="26"/>
        </w:rPr>
        <w:t xml:space="preserve"> for </w:t>
      </w:r>
      <w:r w:rsidR="00E41EB8">
        <w:rPr>
          <w:bCs/>
          <w:spacing w:val="-3"/>
          <w:sz w:val="26"/>
          <w:szCs w:val="26"/>
        </w:rPr>
        <w:t xml:space="preserve">implementing </w:t>
      </w:r>
      <w:r w:rsidR="00E41EB8" w:rsidRPr="00E41EB8">
        <w:rPr>
          <w:bCs/>
          <w:i/>
          <w:spacing w:val="-3"/>
          <w:sz w:val="26"/>
          <w:szCs w:val="26"/>
        </w:rPr>
        <w:t>seamless moves</w:t>
      </w:r>
      <w:r w:rsidR="00E41EB8">
        <w:rPr>
          <w:bCs/>
          <w:spacing w:val="-3"/>
          <w:sz w:val="26"/>
          <w:szCs w:val="26"/>
        </w:rPr>
        <w:t xml:space="preserve"> and </w:t>
      </w:r>
      <w:r w:rsidR="00E41EB8" w:rsidRPr="00E41EB8">
        <w:rPr>
          <w:bCs/>
          <w:i/>
          <w:spacing w:val="-3"/>
          <w:sz w:val="26"/>
          <w:szCs w:val="26"/>
        </w:rPr>
        <w:t>instant connects</w:t>
      </w:r>
      <w:r w:rsidR="00E41EB8">
        <w:rPr>
          <w:bCs/>
          <w:spacing w:val="-3"/>
          <w:sz w:val="26"/>
          <w:szCs w:val="26"/>
        </w:rPr>
        <w:t xml:space="preserve"> in </w:t>
      </w:r>
      <w:r w:rsidR="00EB22DD">
        <w:rPr>
          <w:bCs/>
          <w:spacing w:val="-3"/>
          <w:sz w:val="26"/>
          <w:szCs w:val="26"/>
        </w:rPr>
        <w:t>its</w:t>
      </w:r>
      <w:r w:rsidR="008A039C">
        <w:rPr>
          <w:bCs/>
          <w:spacing w:val="-3"/>
          <w:sz w:val="26"/>
          <w:szCs w:val="26"/>
        </w:rPr>
        <w:t xml:space="preserve"> </w:t>
      </w:r>
      <w:r w:rsidR="00E41EB8">
        <w:rPr>
          <w:bCs/>
          <w:spacing w:val="-3"/>
          <w:sz w:val="26"/>
          <w:szCs w:val="26"/>
        </w:rPr>
        <w:t xml:space="preserve">service territory.  </w:t>
      </w:r>
      <w:r w:rsidR="00E41EB8" w:rsidRPr="00E41EB8">
        <w:rPr>
          <w:bCs/>
          <w:spacing w:val="-3"/>
          <w:sz w:val="26"/>
          <w:szCs w:val="26"/>
        </w:rPr>
        <w:t xml:space="preserve">A </w:t>
      </w:r>
      <w:r w:rsidR="00E41EB8" w:rsidRPr="00E41EB8">
        <w:rPr>
          <w:bCs/>
          <w:i/>
          <w:spacing w:val="-3"/>
          <w:sz w:val="26"/>
          <w:szCs w:val="26"/>
        </w:rPr>
        <w:t>seamless move</w:t>
      </w:r>
      <w:r w:rsidR="00E41EB8" w:rsidRPr="00E41EB8">
        <w:rPr>
          <w:bCs/>
          <w:spacing w:val="-3"/>
          <w:sz w:val="26"/>
          <w:szCs w:val="26"/>
        </w:rPr>
        <w:t xml:space="preserve"> is the ability of a customer</w:t>
      </w:r>
      <w:r w:rsidR="00606FDC">
        <w:rPr>
          <w:bCs/>
          <w:spacing w:val="-3"/>
          <w:sz w:val="26"/>
          <w:szCs w:val="26"/>
        </w:rPr>
        <w:t>’s</w:t>
      </w:r>
      <w:r w:rsidR="00E41EB8" w:rsidRPr="00E41EB8">
        <w:rPr>
          <w:bCs/>
          <w:spacing w:val="-3"/>
          <w:sz w:val="26"/>
          <w:szCs w:val="26"/>
        </w:rPr>
        <w:t xml:space="preserve"> choice of supplier to move with the customer to a new address </w:t>
      </w:r>
      <w:r w:rsidR="00F433C1">
        <w:rPr>
          <w:bCs/>
          <w:spacing w:val="-3"/>
          <w:sz w:val="26"/>
          <w:szCs w:val="26"/>
        </w:rPr>
        <w:t xml:space="preserve">within a single service territory </w:t>
      </w:r>
      <w:r w:rsidR="00E41EB8" w:rsidRPr="00E41EB8">
        <w:rPr>
          <w:bCs/>
          <w:spacing w:val="-3"/>
          <w:sz w:val="26"/>
          <w:szCs w:val="26"/>
        </w:rPr>
        <w:t xml:space="preserve">without interruption.  </w:t>
      </w:r>
      <w:r w:rsidR="00E41EB8" w:rsidRPr="00E41EB8">
        <w:rPr>
          <w:bCs/>
          <w:i/>
          <w:spacing w:val="-3"/>
          <w:sz w:val="26"/>
          <w:szCs w:val="26"/>
        </w:rPr>
        <w:t>Instant connect</w:t>
      </w:r>
      <w:r w:rsidR="00E41EB8" w:rsidRPr="00E41EB8">
        <w:rPr>
          <w:bCs/>
          <w:spacing w:val="-3"/>
          <w:sz w:val="26"/>
          <w:szCs w:val="26"/>
        </w:rPr>
        <w:t xml:space="preserve"> is the ability of supply service to start on “day one” of new utility service – without the customer first having to go on default service.  </w:t>
      </w:r>
    </w:p>
    <w:p w:rsidR="00D67328" w:rsidRPr="00E41EB8" w:rsidRDefault="00D67328" w:rsidP="00E41EB8">
      <w:pPr>
        <w:spacing w:line="360" w:lineRule="auto"/>
        <w:ind w:firstLine="720"/>
        <w:rPr>
          <w:bCs/>
          <w:spacing w:val="-3"/>
          <w:sz w:val="26"/>
          <w:szCs w:val="26"/>
        </w:rPr>
      </w:pPr>
    </w:p>
    <w:p w:rsidR="00575D25" w:rsidRPr="00387868" w:rsidRDefault="00575D25" w:rsidP="00E41EB8">
      <w:pPr>
        <w:spacing w:line="360" w:lineRule="auto"/>
        <w:ind w:firstLine="720"/>
        <w:rPr>
          <w:bCs/>
          <w:spacing w:val="-3"/>
          <w:sz w:val="26"/>
          <w:szCs w:val="26"/>
        </w:rPr>
      </w:pPr>
    </w:p>
    <w:p w:rsidR="00575D25" w:rsidRPr="00387868" w:rsidRDefault="00575D25" w:rsidP="00575D25">
      <w:pPr>
        <w:pStyle w:val="Heading1"/>
        <w:spacing w:before="0" w:after="0" w:line="360" w:lineRule="auto"/>
        <w:jc w:val="center"/>
        <w:rPr>
          <w:rFonts w:ascii="Times New Roman" w:hAnsi="Times New Roman" w:cs="Times New Roman"/>
          <w:bCs w:val="0"/>
          <w:spacing w:val="-3"/>
          <w:sz w:val="26"/>
          <w:szCs w:val="26"/>
        </w:rPr>
      </w:pPr>
      <w:bookmarkStart w:id="0" w:name="_Toc348359067"/>
      <w:r w:rsidRPr="00387868">
        <w:rPr>
          <w:rFonts w:ascii="Times New Roman" w:hAnsi="Times New Roman" w:cs="Times New Roman"/>
          <w:bCs w:val="0"/>
          <w:spacing w:val="-3"/>
          <w:sz w:val="26"/>
          <w:szCs w:val="26"/>
        </w:rPr>
        <w:lastRenderedPageBreak/>
        <w:t xml:space="preserve">BACKGROUND </w:t>
      </w:r>
      <w:bookmarkEnd w:id="0"/>
    </w:p>
    <w:p w:rsidR="00575D25" w:rsidRPr="00387868" w:rsidRDefault="00575D25" w:rsidP="00575D25">
      <w:pPr>
        <w:spacing w:line="360" w:lineRule="auto"/>
        <w:jc w:val="center"/>
        <w:rPr>
          <w:b/>
          <w:bCs/>
          <w:spacing w:val="-3"/>
          <w:sz w:val="26"/>
          <w:szCs w:val="26"/>
        </w:rPr>
      </w:pPr>
    </w:p>
    <w:p w:rsidR="00575D25" w:rsidRDefault="008560A4" w:rsidP="00575D25">
      <w:pPr>
        <w:spacing w:line="360" w:lineRule="auto"/>
        <w:ind w:firstLine="720"/>
        <w:rPr>
          <w:sz w:val="26"/>
          <w:szCs w:val="26"/>
        </w:rPr>
      </w:pPr>
      <w:r w:rsidRPr="008560A4">
        <w:rPr>
          <w:sz w:val="26"/>
          <w:szCs w:val="26"/>
        </w:rPr>
        <w:t>By order entered on April 29, 2011</w:t>
      </w:r>
      <w:r w:rsidR="00830380">
        <w:rPr>
          <w:sz w:val="26"/>
          <w:szCs w:val="26"/>
        </w:rPr>
        <w:t>,</w:t>
      </w:r>
      <w:r>
        <w:rPr>
          <w:rStyle w:val="FootnoteReference"/>
          <w:sz w:val="26"/>
          <w:szCs w:val="26"/>
        </w:rPr>
        <w:footnoteReference w:id="1"/>
      </w:r>
      <w:r w:rsidRPr="008560A4">
        <w:rPr>
          <w:sz w:val="26"/>
          <w:szCs w:val="26"/>
        </w:rPr>
        <w:t xml:space="preserve"> the Commission launched </w:t>
      </w:r>
      <w:r w:rsidR="00575D25" w:rsidRPr="009A4CF6">
        <w:rPr>
          <w:sz w:val="26"/>
          <w:szCs w:val="26"/>
        </w:rPr>
        <w:t xml:space="preserve">its </w:t>
      </w:r>
      <w:r w:rsidR="00575D25" w:rsidRPr="008560A4">
        <w:rPr>
          <w:i/>
          <w:sz w:val="26"/>
          <w:szCs w:val="26"/>
        </w:rPr>
        <w:t>Investigation of Pennsylvania’s Retail Electricity Market</w:t>
      </w:r>
      <w:r w:rsidR="00575D25">
        <w:rPr>
          <w:sz w:val="26"/>
          <w:szCs w:val="26"/>
        </w:rPr>
        <w:t xml:space="preserve"> (Electric RMI)</w:t>
      </w:r>
      <w:r w:rsidR="00575D25" w:rsidRPr="009A4CF6">
        <w:rPr>
          <w:sz w:val="26"/>
          <w:szCs w:val="26"/>
        </w:rPr>
        <w:t xml:space="preserve">, </w:t>
      </w:r>
      <w:r>
        <w:rPr>
          <w:sz w:val="26"/>
          <w:szCs w:val="26"/>
        </w:rPr>
        <w:t>directing OCMO to develop</w:t>
      </w:r>
      <w:r w:rsidRPr="008560A4">
        <w:rPr>
          <w:sz w:val="26"/>
          <w:szCs w:val="26"/>
        </w:rPr>
        <w:t xml:space="preserve"> recommendations for improvements to ensure that a properly functioning and workable competitive retail electricity market exists in Pennsylvania.</w:t>
      </w:r>
      <w:r>
        <w:rPr>
          <w:sz w:val="26"/>
          <w:szCs w:val="26"/>
        </w:rPr>
        <w:t xml:space="preserve">  </w:t>
      </w:r>
      <w:r w:rsidR="00E41EB8" w:rsidRPr="00E41EB8">
        <w:rPr>
          <w:sz w:val="26"/>
          <w:szCs w:val="26"/>
        </w:rPr>
        <w:t xml:space="preserve">On February 15, 2013, the Commission entered its </w:t>
      </w:r>
      <w:r w:rsidR="00E41EB8">
        <w:rPr>
          <w:sz w:val="26"/>
          <w:szCs w:val="26"/>
        </w:rPr>
        <w:t xml:space="preserve">Electric RMI </w:t>
      </w:r>
      <w:r w:rsidR="00E41EB8" w:rsidRPr="00333E97">
        <w:rPr>
          <w:sz w:val="26"/>
          <w:szCs w:val="26"/>
        </w:rPr>
        <w:t>Final Order</w:t>
      </w:r>
      <w:r w:rsidR="00E41EB8" w:rsidRPr="00261313">
        <w:rPr>
          <w:rStyle w:val="FootnoteReference"/>
          <w:sz w:val="26"/>
          <w:szCs w:val="26"/>
        </w:rPr>
        <w:footnoteReference w:id="2"/>
      </w:r>
      <w:r w:rsidR="00F433C1" w:rsidRPr="00D54FAE">
        <w:rPr>
          <w:sz w:val="26"/>
          <w:szCs w:val="26"/>
        </w:rPr>
        <w:t xml:space="preserve"> (</w:t>
      </w:r>
      <w:r w:rsidR="00F433C1" w:rsidRPr="00D54FAE">
        <w:rPr>
          <w:i/>
          <w:sz w:val="26"/>
          <w:szCs w:val="26"/>
        </w:rPr>
        <w:t>RMI Final Order</w:t>
      </w:r>
      <w:r w:rsidR="00F433C1" w:rsidRPr="00D54FAE">
        <w:rPr>
          <w:sz w:val="26"/>
          <w:szCs w:val="26"/>
        </w:rPr>
        <w:t>)</w:t>
      </w:r>
      <w:r w:rsidR="00E41EB8" w:rsidRPr="00830380">
        <w:rPr>
          <w:sz w:val="26"/>
          <w:szCs w:val="26"/>
        </w:rPr>
        <w:t xml:space="preserve">.  </w:t>
      </w:r>
      <w:r w:rsidR="00E41EB8" w:rsidRPr="00E41EB8">
        <w:rPr>
          <w:sz w:val="26"/>
          <w:szCs w:val="26"/>
        </w:rPr>
        <w:t xml:space="preserve">As part of the </w:t>
      </w:r>
      <w:r w:rsidR="00E41EB8" w:rsidRPr="00E41EB8">
        <w:rPr>
          <w:i/>
          <w:sz w:val="26"/>
          <w:szCs w:val="26"/>
        </w:rPr>
        <w:t xml:space="preserve">RMI Final Order, </w:t>
      </w:r>
      <w:r w:rsidR="00E41EB8" w:rsidRPr="00E41EB8">
        <w:rPr>
          <w:sz w:val="26"/>
          <w:szCs w:val="26"/>
        </w:rPr>
        <w:t>the Commission instructed electric distribution companies (EDCs) to submit plans by the end of 2013</w:t>
      </w:r>
      <w:r w:rsidR="00E41EB8">
        <w:rPr>
          <w:sz w:val="26"/>
          <w:szCs w:val="26"/>
        </w:rPr>
        <w:t xml:space="preserve"> for </w:t>
      </w:r>
      <w:r w:rsidR="00E41EB8" w:rsidRPr="00E41EB8">
        <w:rPr>
          <w:sz w:val="26"/>
          <w:szCs w:val="26"/>
        </w:rPr>
        <w:t>the implementation of seamless moves and instant connects in their service territories by June 1, 2015.</w:t>
      </w:r>
      <w:r w:rsidR="00E41EB8">
        <w:rPr>
          <w:sz w:val="26"/>
          <w:szCs w:val="26"/>
        </w:rPr>
        <w:t xml:space="preserve">  </w:t>
      </w:r>
      <w:r w:rsidR="00E41EB8" w:rsidRPr="00E41EB8">
        <w:rPr>
          <w:sz w:val="26"/>
          <w:szCs w:val="26"/>
        </w:rPr>
        <w:t xml:space="preserve"> </w:t>
      </w:r>
    </w:p>
    <w:p w:rsidR="00E41EB8" w:rsidRDefault="00E41EB8" w:rsidP="00575D25">
      <w:pPr>
        <w:spacing w:line="360" w:lineRule="auto"/>
        <w:ind w:firstLine="720"/>
        <w:rPr>
          <w:sz w:val="26"/>
          <w:szCs w:val="26"/>
        </w:rPr>
      </w:pPr>
    </w:p>
    <w:p w:rsidR="00615F30" w:rsidRDefault="00E41EB8" w:rsidP="00E41EB8">
      <w:pPr>
        <w:spacing w:line="360" w:lineRule="auto"/>
        <w:ind w:firstLine="720"/>
        <w:rPr>
          <w:sz w:val="26"/>
          <w:szCs w:val="26"/>
        </w:rPr>
      </w:pPr>
      <w:r w:rsidRPr="00E41EB8">
        <w:rPr>
          <w:sz w:val="26"/>
          <w:szCs w:val="26"/>
        </w:rPr>
        <w:t xml:space="preserve">Pursuant to the Commission's </w:t>
      </w:r>
      <w:r w:rsidRPr="00E41EB8">
        <w:rPr>
          <w:i/>
          <w:sz w:val="26"/>
          <w:szCs w:val="26"/>
        </w:rPr>
        <w:t xml:space="preserve">RMI Final Order, </w:t>
      </w:r>
      <w:r w:rsidR="00935EC0">
        <w:rPr>
          <w:sz w:val="26"/>
          <w:szCs w:val="26"/>
        </w:rPr>
        <w:t>PPL</w:t>
      </w:r>
      <w:r w:rsidRPr="00E41EB8">
        <w:rPr>
          <w:sz w:val="26"/>
          <w:szCs w:val="26"/>
        </w:rPr>
        <w:t xml:space="preserve"> submitted a compliance filing on December </w:t>
      </w:r>
      <w:r w:rsidR="00935EC0">
        <w:rPr>
          <w:sz w:val="26"/>
          <w:szCs w:val="26"/>
        </w:rPr>
        <w:t>31</w:t>
      </w:r>
      <w:r w:rsidRPr="00E41EB8">
        <w:rPr>
          <w:sz w:val="26"/>
          <w:szCs w:val="26"/>
        </w:rPr>
        <w:t>, 2013</w:t>
      </w:r>
      <w:r w:rsidR="00F433C1">
        <w:rPr>
          <w:sz w:val="26"/>
          <w:szCs w:val="26"/>
        </w:rPr>
        <w:t>,</w:t>
      </w:r>
      <w:r w:rsidRPr="00E41EB8">
        <w:rPr>
          <w:sz w:val="26"/>
          <w:szCs w:val="26"/>
        </w:rPr>
        <w:t xml:space="preserve"> which detailed the Company's plan to implement seamless moves and instant connects in its service territory by June 1, 2015. </w:t>
      </w:r>
      <w:r w:rsidR="00615F30" w:rsidRPr="00615F30">
        <w:rPr>
          <w:sz w:val="26"/>
          <w:szCs w:val="26"/>
        </w:rPr>
        <w:t xml:space="preserve">Subsequent events caused the Commission to modify the implementation timelines for these new market enhancements.  Specifically, on April 3, 2014, the Commission promulgated new regulations directing the EDCs to develop </w:t>
      </w:r>
      <w:r w:rsidR="00830380">
        <w:rPr>
          <w:sz w:val="26"/>
          <w:szCs w:val="26"/>
        </w:rPr>
        <w:t>three</w:t>
      </w:r>
      <w:r w:rsidR="00615F30" w:rsidRPr="00615F30">
        <w:rPr>
          <w:sz w:val="26"/>
          <w:szCs w:val="26"/>
        </w:rPr>
        <w:t>-business day supplier switching timeframes.</w:t>
      </w:r>
      <w:r w:rsidR="00615F30" w:rsidRPr="00615F30">
        <w:rPr>
          <w:sz w:val="26"/>
          <w:szCs w:val="26"/>
          <w:vertAlign w:val="superscript"/>
        </w:rPr>
        <w:footnoteReference w:id="3"/>
      </w:r>
      <w:r w:rsidR="00615F30" w:rsidRPr="00615F30">
        <w:rPr>
          <w:sz w:val="26"/>
          <w:szCs w:val="26"/>
        </w:rPr>
        <w:t xml:space="preserve">  Implementation of the </w:t>
      </w:r>
      <w:r w:rsidR="00830380">
        <w:rPr>
          <w:sz w:val="26"/>
          <w:szCs w:val="26"/>
        </w:rPr>
        <w:t>three</w:t>
      </w:r>
      <w:r w:rsidR="00615F30" w:rsidRPr="00615F30">
        <w:rPr>
          <w:sz w:val="26"/>
          <w:szCs w:val="26"/>
        </w:rPr>
        <w:t xml:space="preserve">-business day switch went into effect on December 14, 2014. </w:t>
      </w:r>
      <w:r w:rsidR="00EB22DD">
        <w:rPr>
          <w:sz w:val="26"/>
          <w:szCs w:val="26"/>
        </w:rPr>
        <w:t xml:space="preserve"> </w:t>
      </w:r>
      <w:r w:rsidR="00615F30" w:rsidRPr="00615F30">
        <w:rPr>
          <w:sz w:val="26"/>
          <w:szCs w:val="26"/>
        </w:rPr>
        <w:t xml:space="preserve">The Commission acknowledged that the implementation of </w:t>
      </w:r>
      <w:r w:rsidR="00830380">
        <w:rPr>
          <w:sz w:val="26"/>
          <w:szCs w:val="26"/>
        </w:rPr>
        <w:t>three</w:t>
      </w:r>
      <w:r w:rsidR="00615F30" w:rsidRPr="00615F30">
        <w:rPr>
          <w:sz w:val="26"/>
          <w:szCs w:val="26"/>
        </w:rPr>
        <w:t>-</w:t>
      </w:r>
      <w:r w:rsidR="00EB22DD">
        <w:rPr>
          <w:sz w:val="26"/>
          <w:szCs w:val="26"/>
        </w:rPr>
        <w:t xml:space="preserve">business </w:t>
      </w:r>
      <w:r w:rsidR="00615F30" w:rsidRPr="00615F30">
        <w:rPr>
          <w:sz w:val="26"/>
          <w:szCs w:val="26"/>
        </w:rPr>
        <w:t xml:space="preserve">day supplier switching required significant effort by the EDCs and that the timely development of </w:t>
      </w:r>
      <w:r w:rsidR="00830380">
        <w:rPr>
          <w:sz w:val="26"/>
          <w:szCs w:val="26"/>
        </w:rPr>
        <w:t>three</w:t>
      </w:r>
      <w:r w:rsidR="00615F30" w:rsidRPr="00615F30">
        <w:rPr>
          <w:sz w:val="26"/>
          <w:szCs w:val="26"/>
        </w:rPr>
        <w:t xml:space="preserve">-business day switching was a priority </w:t>
      </w:r>
      <w:r w:rsidR="00615F30" w:rsidRPr="001D0D4D">
        <w:rPr>
          <w:sz w:val="26"/>
          <w:szCs w:val="26"/>
        </w:rPr>
        <w:t>over instant connects</w:t>
      </w:r>
      <w:r w:rsidR="00615F30" w:rsidRPr="00615F30">
        <w:rPr>
          <w:sz w:val="26"/>
          <w:szCs w:val="26"/>
        </w:rPr>
        <w:t xml:space="preserve"> </w:t>
      </w:r>
      <w:r w:rsidR="00615F30" w:rsidRPr="00615F30">
        <w:rPr>
          <w:sz w:val="26"/>
          <w:szCs w:val="26"/>
        </w:rPr>
        <w:lastRenderedPageBreak/>
        <w:t xml:space="preserve">and </w:t>
      </w:r>
      <w:r w:rsidR="00615F30" w:rsidRPr="001D0D4D">
        <w:rPr>
          <w:sz w:val="26"/>
          <w:szCs w:val="26"/>
        </w:rPr>
        <w:t>seamless moves.  As such,</w:t>
      </w:r>
      <w:r w:rsidR="00615F30" w:rsidRPr="00615F30">
        <w:rPr>
          <w:sz w:val="26"/>
          <w:szCs w:val="26"/>
        </w:rPr>
        <w:t xml:space="preserve"> by means of an August 13, 2014 Secretarial Letter</w:t>
      </w:r>
      <w:r w:rsidR="00EB22DD">
        <w:rPr>
          <w:sz w:val="26"/>
          <w:szCs w:val="26"/>
        </w:rPr>
        <w:t>,</w:t>
      </w:r>
      <w:r w:rsidR="00615F30">
        <w:rPr>
          <w:rStyle w:val="FootnoteReference"/>
          <w:sz w:val="26"/>
          <w:szCs w:val="26"/>
        </w:rPr>
        <w:footnoteReference w:id="4"/>
      </w:r>
      <w:r w:rsidR="00615F30" w:rsidRPr="00615F30">
        <w:rPr>
          <w:sz w:val="26"/>
          <w:szCs w:val="26"/>
        </w:rPr>
        <w:t xml:space="preserve"> we permitted the EDCs to delay the </w:t>
      </w:r>
      <w:r w:rsidR="00615F30" w:rsidRPr="001D0D4D">
        <w:rPr>
          <w:sz w:val="26"/>
          <w:szCs w:val="26"/>
        </w:rPr>
        <w:t>development of instant connects and seamless moves</w:t>
      </w:r>
      <w:r w:rsidR="00615F30" w:rsidRPr="00615F30">
        <w:rPr>
          <w:sz w:val="26"/>
          <w:szCs w:val="26"/>
        </w:rPr>
        <w:t xml:space="preserve"> if an EDC determined that developing these processes could hinder or delay the development of </w:t>
      </w:r>
      <w:r w:rsidR="00165569">
        <w:rPr>
          <w:sz w:val="26"/>
          <w:szCs w:val="26"/>
        </w:rPr>
        <w:t>three</w:t>
      </w:r>
      <w:r w:rsidR="00615F30" w:rsidRPr="00615F30">
        <w:rPr>
          <w:sz w:val="26"/>
          <w:szCs w:val="26"/>
        </w:rPr>
        <w:t xml:space="preserve">-business day supplier switching.  </w:t>
      </w:r>
      <w:r w:rsidR="00615F30">
        <w:rPr>
          <w:sz w:val="26"/>
          <w:szCs w:val="26"/>
        </w:rPr>
        <w:t>In response</w:t>
      </w:r>
      <w:r w:rsidR="00165569">
        <w:rPr>
          <w:sz w:val="26"/>
          <w:szCs w:val="26"/>
        </w:rPr>
        <w:t>,</w:t>
      </w:r>
      <w:r w:rsidR="00615F30">
        <w:rPr>
          <w:sz w:val="26"/>
          <w:szCs w:val="26"/>
        </w:rPr>
        <w:t xml:space="preserve"> </w:t>
      </w:r>
      <w:r w:rsidR="00935EC0">
        <w:rPr>
          <w:sz w:val="26"/>
          <w:szCs w:val="26"/>
        </w:rPr>
        <w:t>PPL</w:t>
      </w:r>
      <w:r w:rsidR="008A039C">
        <w:rPr>
          <w:sz w:val="26"/>
          <w:szCs w:val="26"/>
        </w:rPr>
        <w:t xml:space="preserve">, consistent with the directive in the Secretarial Letter, informally </w:t>
      </w:r>
      <w:r w:rsidRPr="00E41EB8">
        <w:rPr>
          <w:sz w:val="26"/>
          <w:szCs w:val="26"/>
        </w:rPr>
        <w:t>notified OCMO</w:t>
      </w:r>
      <w:r w:rsidR="00615F30">
        <w:rPr>
          <w:sz w:val="26"/>
          <w:szCs w:val="26"/>
        </w:rPr>
        <w:t xml:space="preserve"> </w:t>
      </w:r>
      <w:r w:rsidR="008A039C">
        <w:rPr>
          <w:sz w:val="26"/>
          <w:szCs w:val="26"/>
        </w:rPr>
        <w:t xml:space="preserve">by email </w:t>
      </w:r>
      <w:r w:rsidRPr="00E41EB8">
        <w:rPr>
          <w:sz w:val="26"/>
          <w:szCs w:val="26"/>
        </w:rPr>
        <w:t xml:space="preserve">that it was postponing the implementation of seamless moves and instant connects. </w:t>
      </w:r>
      <w:r w:rsidR="00615F30">
        <w:rPr>
          <w:sz w:val="26"/>
          <w:szCs w:val="26"/>
        </w:rPr>
        <w:t xml:space="preserve"> </w:t>
      </w:r>
    </w:p>
    <w:p w:rsidR="00615F30" w:rsidRDefault="00615F30" w:rsidP="00E41EB8">
      <w:pPr>
        <w:spacing w:line="360" w:lineRule="auto"/>
        <w:ind w:firstLine="720"/>
        <w:rPr>
          <w:sz w:val="26"/>
          <w:szCs w:val="26"/>
        </w:rPr>
      </w:pPr>
    </w:p>
    <w:p w:rsidR="00692030" w:rsidRDefault="00E41EB8" w:rsidP="00692030">
      <w:pPr>
        <w:spacing w:line="360" w:lineRule="auto"/>
        <w:ind w:firstLine="720"/>
        <w:rPr>
          <w:sz w:val="26"/>
          <w:szCs w:val="26"/>
        </w:rPr>
      </w:pPr>
      <w:r w:rsidRPr="00E41EB8">
        <w:rPr>
          <w:sz w:val="26"/>
          <w:szCs w:val="26"/>
        </w:rPr>
        <w:t>On March 20, 2015, the Commission issued a Secretarial</w:t>
      </w:r>
      <w:r w:rsidR="00692030">
        <w:rPr>
          <w:sz w:val="26"/>
          <w:szCs w:val="26"/>
        </w:rPr>
        <w:t xml:space="preserve"> </w:t>
      </w:r>
      <w:r w:rsidRPr="00E41EB8">
        <w:rPr>
          <w:sz w:val="26"/>
          <w:szCs w:val="26"/>
        </w:rPr>
        <w:t>Letter</w:t>
      </w:r>
      <w:r w:rsidR="00692030">
        <w:rPr>
          <w:rStyle w:val="FootnoteReference"/>
          <w:sz w:val="26"/>
          <w:szCs w:val="26"/>
        </w:rPr>
        <w:footnoteReference w:id="5"/>
      </w:r>
      <w:r w:rsidRPr="00E41EB8">
        <w:rPr>
          <w:sz w:val="26"/>
          <w:szCs w:val="26"/>
        </w:rPr>
        <w:t xml:space="preserve"> directing EDCs</w:t>
      </w:r>
      <w:r w:rsidR="00692030">
        <w:rPr>
          <w:sz w:val="26"/>
          <w:szCs w:val="26"/>
        </w:rPr>
        <w:t xml:space="preserve">, including </w:t>
      </w:r>
      <w:r w:rsidR="00935EC0">
        <w:rPr>
          <w:sz w:val="26"/>
          <w:szCs w:val="26"/>
        </w:rPr>
        <w:t>PPL</w:t>
      </w:r>
      <w:r w:rsidR="00692030">
        <w:rPr>
          <w:sz w:val="26"/>
          <w:szCs w:val="26"/>
        </w:rPr>
        <w:t>,</w:t>
      </w:r>
      <w:r w:rsidRPr="00E41EB8">
        <w:rPr>
          <w:sz w:val="26"/>
          <w:szCs w:val="26"/>
        </w:rPr>
        <w:t xml:space="preserve"> to file revised plan</w:t>
      </w:r>
      <w:r w:rsidR="00692030">
        <w:rPr>
          <w:sz w:val="26"/>
          <w:szCs w:val="26"/>
        </w:rPr>
        <w:t>s</w:t>
      </w:r>
      <w:r w:rsidRPr="00E41EB8">
        <w:rPr>
          <w:sz w:val="26"/>
          <w:szCs w:val="26"/>
        </w:rPr>
        <w:t xml:space="preserve"> to implement seamless moves and instant connects by July 1, 2016.</w:t>
      </w:r>
      <w:r w:rsidR="00692030">
        <w:rPr>
          <w:sz w:val="26"/>
          <w:szCs w:val="26"/>
        </w:rPr>
        <w:t xml:space="preserve">  EDCs, in their plans, were directed to</w:t>
      </w:r>
      <w:r w:rsidR="00692030" w:rsidRPr="00692030">
        <w:rPr>
          <w:sz w:val="26"/>
          <w:szCs w:val="26"/>
        </w:rPr>
        <w:t xml:space="preserve"> demonstrate how the</w:t>
      </w:r>
      <w:r w:rsidR="00A15E48">
        <w:rPr>
          <w:sz w:val="26"/>
          <w:szCs w:val="26"/>
        </w:rPr>
        <w:t>y</w:t>
      </w:r>
      <w:r w:rsidR="00692030" w:rsidRPr="00692030">
        <w:rPr>
          <w:sz w:val="26"/>
          <w:szCs w:val="26"/>
        </w:rPr>
        <w:t xml:space="preserve"> will achieve seamless moves and instant connects and the</w:t>
      </w:r>
      <w:r w:rsidR="00A15E48">
        <w:rPr>
          <w:sz w:val="26"/>
          <w:szCs w:val="26"/>
        </w:rPr>
        <w:t>ir</w:t>
      </w:r>
      <w:r w:rsidR="00692030" w:rsidRPr="00692030">
        <w:rPr>
          <w:sz w:val="26"/>
          <w:szCs w:val="26"/>
        </w:rPr>
        <w:t xml:space="preserve"> timeframes for implementation to meet </w:t>
      </w:r>
      <w:r w:rsidR="00692030">
        <w:rPr>
          <w:sz w:val="26"/>
          <w:szCs w:val="26"/>
        </w:rPr>
        <w:t>a</w:t>
      </w:r>
      <w:r w:rsidR="00692030" w:rsidRPr="00692030">
        <w:rPr>
          <w:sz w:val="26"/>
          <w:szCs w:val="26"/>
        </w:rPr>
        <w:t xml:space="preserve"> July 1, 2016 implementation deadline.  Each plan </w:t>
      </w:r>
      <w:r w:rsidR="00692030">
        <w:rPr>
          <w:sz w:val="26"/>
          <w:szCs w:val="26"/>
        </w:rPr>
        <w:t>was also expected to include a</w:t>
      </w:r>
      <w:r w:rsidR="00692030" w:rsidRPr="00692030">
        <w:rPr>
          <w:sz w:val="26"/>
          <w:szCs w:val="26"/>
        </w:rPr>
        <w:t>n estimate of the costs to design, test, implement and maintain seamless moves and instant connects, and proposals for the recovery of those costs.</w:t>
      </w:r>
      <w:r w:rsidR="00692030">
        <w:rPr>
          <w:sz w:val="26"/>
          <w:szCs w:val="26"/>
        </w:rPr>
        <w:t xml:space="preserve">  This Secretarial Letter also </w:t>
      </w:r>
      <w:r w:rsidR="00692030" w:rsidRPr="00692030">
        <w:rPr>
          <w:sz w:val="26"/>
          <w:szCs w:val="26"/>
        </w:rPr>
        <w:t>provid</w:t>
      </w:r>
      <w:r w:rsidR="00692030">
        <w:rPr>
          <w:sz w:val="26"/>
          <w:szCs w:val="26"/>
        </w:rPr>
        <w:t>ed</w:t>
      </w:r>
      <w:r w:rsidR="00692030" w:rsidRPr="00692030">
        <w:rPr>
          <w:sz w:val="26"/>
          <w:szCs w:val="26"/>
        </w:rPr>
        <w:t xml:space="preserve"> a 30-day comment period </w:t>
      </w:r>
      <w:r w:rsidR="00F433C1">
        <w:rPr>
          <w:sz w:val="26"/>
          <w:szCs w:val="26"/>
        </w:rPr>
        <w:t>for responses to</w:t>
      </w:r>
      <w:r w:rsidR="00692030" w:rsidRPr="00692030">
        <w:rPr>
          <w:sz w:val="26"/>
          <w:szCs w:val="26"/>
        </w:rPr>
        <w:t xml:space="preserve"> the </w:t>
      </w:r>
      <w:r w:rsidR="00F721F3">
        <w:rPr>
          <w:sz w:val="26"/>
          <w:szCs w:val="26"/>
        </w:rPr>
        <w:t xml:space="preserve">filed </w:t>
      </w:r>
      <w:r w:rsidR="00692030" w:rsidRPr="00692030">
        <w:rPr>
          <w:sz w:val="26"/>
          <w:szCs w:val="26"/>
        </w:rPr>
        <w:t>plans.  The Commission then</w:t>
      </w:r>
      <w:r w:rsidR="00692030">
        <w:rPr>
          <w:sz w:val="26"/>
          <w:szCs w:val="26"/>
        </w:rPr>
        <w:t xml:space="preserve"> committed to</w:t>
      </w:r>
      <w:r w:rsidR="00692030" w:rsidRPr="00692030">
        <w:rPr>
          <w:sz w:val="26"/>
          <w:szCs w:val="26"/>
        </w:rPr>
        <w:t xml:space="preserve"> review the</w:t>
      </w:r>
      <w:r w:rsidR="00692030">
        <w:rPr>
          <w:sz w:val="26"/>
          <w:szCs w:val="26"/>
        </w:rPr>
        <w:t xml:space="preserve"> plans and</w:t>
      </w:r>
      <w:r w:rsidR="00692030" w:rsidRPr="00692030">
        <w:rPr>
          <w:sz w:val="26"/>
          <w:szCs w:val="26"/>
        </w:rPr>
        <w:t xml:space="preserve"> comments and determine appropriate further actions with regard to the filed plans. </w:t>
      </w:r>
    </w:p>
    <w:p w:rsidR="00692030" w:rsidRDefault="00692030" w:rsidP="00692030">
      <w:pPr>
        <w:spacing w:line="360" w:lineRule="auto"/>
        <w:ind w:firstLine="720"/>
        <w:rPr>
          <w:sz w:val="26"/>
          <w:szCs w:val="26"/>
        </w:rPr>
      </w:pPr>
    </w:p>
    <w:p w:rsidR="00692030" w:rsidRDefault="00692030" w:rsidP="00E41EB8">
      <w:pPr>
        <w:spacing w:line="360" w:lineRule="auto"/>
        <w:ind w:firstLine="720"/>
        <w:rPr>
          <w:sz w:val="26"/>
          <w:szCs w:val="26"/>
        </w:rPr>
      </w:pPr>
      <w:r>
        <w:rPr>
          <w:sz w:val="26"/>
          <w:szCs w:val="26"/>
        </w:rPr>
        <w:t xml:space="preserve">On April 20, 2015, </w:t>
      </w:r>
      <w:r w:rsidR="00935EC0">
        <w:rPr>
          <w:sz w:val="26"/>
          <w:szCs w:val="26"/>
        </w:rPr>
        <w:t>PPL</w:t>
      </w:r>
      <w:r w:rsidR="00E41EB8" w:rsidRPr="00E41EB8">
        <w:rPr>
          <w:sz w:val="26"/>
          <w:szCs w:val="26"/>
        </w:rPr>
        <w:t xml:space="preserve"> </w:t>
      </w:r>
      <w:r>
        <w:rPr>
          <w:sz w:val="26"/>
          <w:szCs w:val="26"/>
        </w:rPr>
        <w:t>filed</w:t>
      </w:r>
      <w:r w:rsidR="00A15E48">
        <w:rPr>
          <w:sz w:val="26"/>
          <w:szCs w:val="26"/>
        </w:rPr>
        <w:t>, at th</w:t>
      </w:r>
      <w:r w:rsidR="00650476">
        <w:rPr>
          <w:sz w:val="26"/>
          <w:szCs w:val="26"/>
        </w:rPr>
        <w:t xml:space="preserve">e above </w:t>
      </w:r>
      <w:r w:rsidR="005063A3">
        <w:rPr>
          <w:sz w:val="26"/>
          <w:szCs w:val="26"/>
        </w:rPr>
        <w:t>noted</w:t>
      </w:r>
      <w:r w:rsidR="00650476">
        <w:rPr>
          <w:sz w:val="26"/>
          <w:szCs w:val="26"/>
        </w:rPr>
        <w:t xml:space="preserve"> </w:t>
      </w:r>
      <w:r w:rsidR="00A15E48">
        <w:rPr>
          <w:sz w:val="26"/>
          <w:szCs w:val="26"/>
        </w:rPr>
        <w:t>docket,</w:t>
      </w:r>
      <w:r>
        <w:rPr>
          <w:sz w:val="26"/>
          <w:szCs w:val="26"/>
        </w:rPr>
        <w:t xml:space="preserve"> a </w:t>
      </w:r>
      <w:r w:rsidR="00E41EB8" w:rsidRPr="00E41EB8">
        <w:rPr>
          <w:sz w:val="26"/>
          <w:szCs w:val="26"/>
        </w:rPr>
        <w:t>revised plan to implement seamless moves and</w:t>
      </w:r>
      <w:r>
        <w:rPr>
          <w:sz w:val="26"/>
          <w:szCs w:val="26"/>
        </w:rPr>
        <w:t xml:space="preserve"> </w:t>
      </w:r>
      <w:r w:rsidR="00E41EB8" w:rsidRPr="00E41EB8">
        <w:rPr>
          <w:sz w:val="26"/>
          <w:szCs w:val="26"/>
        </w:rPr>
        <w:t xml:space="preserve">instant connects by July 1, 2016. </w:t>
      </w:r>
    </w:p>
    <w:p w:rsidR="00692030" w:rsidRDefault="00692030" w:rsidP="00E41EB8">
      <w:pPr>
        <w:spacing w:line="360" w:lineRule="auto"/>
        <w:ind w:firstLine="720"/>
        <w:rPr>
          <w:sz w:val="26"/>
          <w:szCs w:val="26"/>
        </w:rPr>
      </w:pPr>
    </w:p>
    <w:p w:rsidR="00692030" w:rsidRPr="00692030" w:rsidRDefault="00935EC0" w:rsidP="004551AD">
      <w:pPr>
        <w:spacing w:line="360" w:lineRule="auto"/>
        <w:jc w:val="center"/>
        <w:rPr>
          <w:b/>
          <w:sz w:val="26"/>
          <w:szCs w:val="26"/>
        </w:rPr>
      </w:pPr>
      <w:r>
        <w:rPr>
          <w:b/>
          <w:sz w:val="26"/>
          <w:szCs w:val="26"/>
        </w:rPr>
        <w:t>PPL’</w:t>
      </w:r>
      <w:r w:rsidR="00650476">
        <w:rPr>
          <w:b/>
          <w:sz w:val="26"/>
          <w:szCs w:val="26"/>
        </w:rPr>
        <w:t xml:space="preserve">S </w:t>
      </w:r>
      <w:r w:rsidR="004551AD">
        <w:rPr>
          <w:b/>
          <w:sz w:val="26"/>
          <w:szCs w:val="26"/>
        </w:rPr>
        <w:t>PLAN</w:t>
      </w:r>
    </w:p>
    <w:p w:rsidR="00692030" w:rsidRDefault="00692030" w:rsidP="00E41EB8">
      <w:pPr>
        <w:spacing w:line="360" w:lineRule="auto"/>
        <w:ind w:firstLine="720"/>
        <w:rPr>
          <w:sz w:val="26"/>
          <w:szCs w:val="26"/>
        </w:rPr>
      </w:pPr>
    </w:p>
    <w:p w:rsidR="00852E36" w:rsidRDefault="00935EC0" w:rsidP="004A39E1">
      <w:pPr>
        <w:spacing w:line="360" w:lineRule="auto"/>
        <w:ind w:firstLine="720"/>
        <w:rPr>
          <w:sz w:val="26"/>
          <w:szCs w:val="26"/>
        </w:rPr>
      </w:pPr>
      <w:r>
        <w:rPr>
          <w:sz w:val="26"/>
          <w:szCs w:val="26"/>
        </w:rPr>
        <w:t>PPL’s</w:t>
      </w:r>
      <w:r w:rsidR="0035775C">
        <w:rPr>
          <w:sz w:val="26"/>
          <w:szCs w:val="26"/>
        </w:rPr>
        <w:t xml:space="preserve"> plan </w:t>
      </w:r>
      <w:r w:rsidR="00E41EB8" w:rsidRPr="00E41EB8">
        <w:rPr>
          <w:sz w:val="26"/>
          <w:szCs w:val="26"/>
        </w:rPr>
        <w:t xml:space="preserve">includes </w:t>
      </w:r>
      <w:r w:rsidR="005A7392">
        <w:rPr>
          <w:sz w:val="26"/>
          <w:szCs w:val="26"/>
        </w:rPr>
        <w:t xml:space="preserve">eligibility requirements, procedures, </w:t>
      </w:r>
      <w:r w:rsidR="0035775C">
        <w:rPr>
          <w:sz w:val="26"/>
          <w:szCs w:val="26"/>
        </w:rPr>
        <w:t>t</w:t>
      </w:r>
      <w:r w:rsidR="00E41EB8" w:rsidRPr="00E41EB8">
        <w:rPr>
          <w:sz w:val="26"/>
          <w:szCs w:val="26"/>
        </w:rPr>
        <w:t>imeline</w:t>
      </w:r>
      <w:r w:rsidR="005A7392">
        <w:rPr>
          <w:sz w:val="26"/>
          <w:szCs w:val="26"/>
        </w:rPr>
        <w:t>s</w:t>
      </w:r>
      <w:r>
        <w:rPr>
          <w:sz w:val="26"/>
          <w:szCs w:val="26"/>
        </w:rPr>
        <w:t>,</w:t>
      </w:r>
      <w:r w:rsidR="005A7392">
        <w:rPr>
          <w:sz w:val="26"/>
          <w:szCs w:val="26"/>
        </w:rPr>
        <w:t xml:space="preserve"> cost estimates and cost recovery proposals.  </w:t>
      </w:r>
      <w:r w:rsidR="00E41EB8" w:rsidRPr="00E41EB8">
        <w:rPr>
          <w:sz w:val="26"/>
          <w:szCs w:val="26"/>
        </w:rPr>
        <w:t xml:space="preserve"> </w:t>
      </w:r>
      <w:r w:rsidR="005A7392">
        <w:rPr>
          <w:sz w:val="26"/>
          <w:szCs w:val="26"/>
        </w:rPr>
        <w:t xml:space="preserve">   </w:t>
      </w:r>
    </w:p>
    <w:p w:rsidR="00852E36" w:rsidRPr="00852E36" w:rsidRDefault="00852E36" w:rsidP="00852E36">
      <w:pPr>
        <w:spacing w:line="360" w:lineRule="auto"/>
        <w:rPr>
          <w:b/>
          <w:sz w:val="26"/>
          <w:szCs w:val="26"/>
        </w:rPr>
      </w:pPr>
      <w:r w:rsidRPr="00852E36">
        <w:rPr>
          <w:b/>
          <w:sz w:val="26"/>
          <w:szCs w:val="26"/>
        </w:rPr>
        <w:lastRenderedPageBreak/>
        <w:t>Seamless Moves</w:t>
      </w:r>
    </w:p>
    <w:p w:rsidR="00E41EB8" w:rsidRDefault="00E41EB8" w:rsidP="00575D25">
      <w:pPr>
        <w:spacing w:line="360" w:lineRule="auto"/>
        <w:ind w:firstLine="720"/>
        <w:rPr>
          <w:sz w:val="26"/>
          <w:szCs w:val="26"/>
        </w:rPr>
      </w:pPr>
    </w:p>
    <w:p w:rsidR="00552B58" w:rsidRDefault="00A15E48" w:rsidP="00552B58">
      <w:pPr>
        <w:spacing w:line="360" w:lineRule="auto"/>
        <w:ind w:firstLine="720"/>
        <w:rPr>
          <w:sz w:val="26"/>
          <w:szCs w:val="26"/>
        </w:rPr>
      </w:pPr>
      <w:r>
        <w:rPr>
          <w:sz w:val="26"/>
          <w:szCs w:val="26"/>
        </w:rPr>
        <w:t>F</w:t>
      </w:r>
      <w:r w:rsidR="002A0C3B">
        <w:rPr>
          <w:sz w:val="26"/>
          <w:szCs w:val="26"/>
        </w:rPr>
        <w:t>or</w:t>
      </w:r>
      <w:r w:rsidR="002A0C3B" w:rsidRPr="002A0C3B">
        <w:rPr>
          <w:sz w:val="26"/>
          <w:szCs w:val="26"/>
        </w:rPr>
        <w:t xml:space="preserve"> seamless move</w:t>
      </w:r>
      <w:r w:rsidR="002A0C3B">
        <w:rPr>
          <w:sz w:val="26"/>
          <w:szCs w:val="26"/>
        </w:rPr>
        <w:t xml:space="preserve">s, </w:t>
      </w:r>
      <w:r w:rsidR="00935EC0">
        <w:rPr>
          <w:sz w:val="26"/>
          <w:szCs w:val="26"/>
        </w:rPr>
        <w:t>PPL</w:t>
      </w:r>
      <w:r w:rsidR="002A0C3B" w:rsidRPr="002A0C3B">
        <w:rPr>
          <w:sz w:val="26"/>
          <w:szCs w:val="26"/>
        </w:rPr>
        <w:t xml:space="preserve"> proposes to allow eligible</w:t>
      </w:r>
      <w:r w:rsidR="005A7392">
        <w:rPr>
          <w:sz w:val="26"/>
          <w:szCs w:val="26"/>
        </w:rPr>
        <w:t xml:space="preserve"> </w:t>
      </w:r>
      <w:r w:rsidR="002A0C3B" w:rsidRPr="002A0C3B">
        <w:rPr>
          <w:sz w:val="26"/>
          <w:szCs w:val="26"/>
        </w:rPr>
        <w:t xml:space="preserve">shopping customers to retain their current </w:t>
      </w:r>
      <w:r w:rsidR="003E537F">
        <w:rPr>
          <w:sz w:val="26"/>
          <w:szCs w:val="26"/>
        </w:rPr>
        <w:t>electric generation supplier (</w:t>
      </w:r>
      <w:r w:rsidR="002A0C3B" w:rsidRPr="002A0C3B">
        <w:rPr>
          <w:sz w:val="26"/>
          <w:szCs w:val="26"/>
        </w:rPr>
        <w:t>EGS</w:t>
      </w:r>
      <w:r w:rsidR="003E537F">
        <w:rPr>
          <w:sz w:val="26"/>
          <w:szCs w:val="26"/>
        </w:rPr>
        <w:t>)</w:t>
      </w:r>
      <w:r w:rsidR="002A0C3B" w:rsidRPr="002A0C3B">
        <w:rPr>
          <w:sz w:val="26"/>
          <w:szCs w:val="26"/>
        </w:rPr>
        <w:t xml:space="preserve"> when moving within </w:t>
      </w:r>
      <w:r w:rsidR="00335758">
        <w:rPr>
          <w:sz w:val="26"/>
          <w:szCs w:val="26"/>
        </w:rPr>
        <w:t>PPL’s</w:t>
      </w:r>
      <w:r w:rsidR="005A7392">
        <w:rPr>
          <w:sz w:val="26"/>
          <w:szCs w:val="26"/>
        </w:rPr>
        <w:t xml:space="preserve"> service </w:t>
      </w:r>
      <w:r w:rsidR="002A0C3B" w:rsidRPr="002A0C3B">
        <w:rPr>
          <w:sz w:val="26"/>
          <w:szCs w:val="26"/>
        </w:rPr>
        <w:t>territory</w:t>
      </w:r>
      <w:r w:rsidR="00552B58">
        <w:rPr>
          <w:sz w:val="26"/>
          <w:szCs w:val="26"/>
        </w:rPr>
        <w:t xml:space="preserve"> provided that the customer meets each of the following criteria:</w:t>
      </w:r>
      <w:r w:rsidR="002A0C3B" w:rsidRPr="002A0C3B">
        <w:rPr>
          <w:sz w:val="26"/>
          <w:szCs w:val="26"/>
        </w:rPr>
        <w:t xml:space="preserve"> </w:t>
      </w:r>
      <w:r w:rsidR="001D0D4D">
        <w:rPr>
          <w:sz w:val="26"/>
          <w:szCs w:val="26"/>
        </w:rPr>
        <w:t xml:space="preserve"> </w:t>
      </w:r>
    </w:p>
    <w:p w:rsidR="00552B58" w:rsidRDefault="00552B58" w:rsidP="00552B58">
      <w:pPr>
        <w:spacing w:line="360" w:lineRule="auto"/>
        <w:ind w:firstLine="720"/>
        <w:rPr>
          <w:sz w:val="26"/>
          <w:szCs w:val="26"/>
        </w:rPr>
      </w:pPr>
    </w:p>
    <w:p w:rsidR="00935EC0" w:rsidRPr="00935EC0" w:rsidRDefault="00935EC0" w:rsidP="00935EC0">
      <w:pPr>
        <w:pStyle w:val="ListParagraph"/>
        <w:numPr>
          <w:ilvl w:val="0"/>
          <w:numId w:val="29"/>
        </w:numPr>
        <w:spacing w:line="360" w:lineRule="auto"/>
        <w:rPr>
          <w:sz w:val="26"/>
          <w:szCs w:val="26"/>
        </w:rPr>
      </w:pPr>
      <w:r w:rsidRPr="00935EC0">
        <w:rPr>
          <w:sz w:val="26"/>
          <w:szCs w:val="26"/>
        </w:rPr>
        <w:t>Customer</w:t>
      </w:r>
      <w:r w:rsidR="00346818">
        <w:rPr>
          <w:sz w:val="26"/>
          <w:szCs w:val="26"/>
        </w:rPr>
        <w:t xml:space="preserve"> is</w:t>
      </w:r>
      <w:r w:rsidRPr="00935EC0">
        <w:rPr>
          <w:sz w:val="26"/>
          <w:szCs w:val="26"/>
        </w:rPr>
        <w:t xml:space="preserve"> shopping with an EGS and moving within the PPL service territory, including </w:t>
      </w:r>
      <w:r w:rsidR="00F84436">
        <w:rPr>
          <w:sz w:val="26"/>
          <w:szCs w:val="26"/>
        </w:rPr>
        <w:t>Customer Assistance Program (</w:t>
      </w:r>
      <w:r w:rsidRPr="00935EC0">
        <w:rPr>
          <w:sz w:val="26"/>
          <w:szCs w:val="26"/>
        </w:rPr>
        <w:t>CAP</w:t>
      </w:r>
      <w:r w:rsidR="00F84436">
        <w:rPr>
          <w:sz w:val="26"/>
          <w:szCs w:val="26"/>
        </w:rPr>
        <w:t>)</w:t>
      </w:r>
      <w:r w:rsidRPr="00935EC0">
        <w:rPr>
          <w:sz w:val="26"/>
          <w:szCs w:val="26"/>
        </w:rPr>
        <w:t xml:space="preserve"> customers.</w:t>
      </w:r>
    </w:p>
    <w:p w:rsidR="00935EC0" w:rsidRPr="00935EC0" w:rsidRDefault="00935EC0" w:rsidP="00935EC0">
      <w:pPr>
        <w:pStyle w:val="ListParagraph"/>
        <w:numPr>
          <w:ilvl w:val="0"/>
          <w:numId w:val="29"/>
        </w:numPr>
        <w:spacing w:line="360" w:lineRule="auto"/>
        <w:rPr>
          <w:sz w:val="26"/>
          <w:szCs w:val="26"/>
        </w:rPr>
      </w:pPr>
      <w:r w:rsidRPr="00935EC0">
        <w:rPr>
          <w:sz w:val="26"/>
          <w:szCs w:val="26"/>
        </w:rPr>
        <w:t>Customers that request, in the same telephone call, to disconnect at one premise and to connect at a different premises.</w:t>
      </w:r>
    </w:p>
    <w:p w:rsidR="00935EC0" w:rsidRPr="00935EC0" w:rsidRDefault="00935EC0" w:rsidP="00935EC0">
      <w:pPr>
        <w:pStyle w:val="ListParagraph"/>
        <w:numPr>
          <w:ilvl w:val="0"/>
          <w:numId w:val="29"/>
        </w:numPr>
        <w:spacing w:line="360" w:lineRule="auto"/>
        <w:rPr>
          <w:sz w:val="26"/>
          <w:szCs w:val="26"/>
        </w:rPr>
      </w:pPr>
      <w:r w:rsidRPr="00935EC0">
        <w:rPr>
          <w:sz w:val="26"/>
          <w:szCs w:val="26"/>
        </w:rPr>
        <w:t>Customers with a move date that has not already occurred.</w:t>
      </w:r>
    </w:p>
    <w:p w:rsidR="00371326" w:rsidRDefault="00935EC0" w:rsidP="00935EC0">
      <w:pPr>
        <w:pStyle w:val="ListParagraph"/>
        <w:numPr>
          <w:ilvl w:val="0"/>
          <w:numId w:val="29"/>
        </w:numPr>
        <w:spacing w:line="360" w:lineRule="auto"/>
        <w:rPr>
          <w:sz w:val="26"/>
          <w:szCs w:val="26"/>
        </w:rPr>
      </w:pPr>
      <w:r w:rsidRPr="00935EC0">
        <w:rPr>
          <w:sz w:val="26"/>
          <w:szCs w:val="26"/>
        </w:rPr>
        <w:t xml:space="preserve">Landlord </w:t>
      </w:r>
      <w:r w:rsidR="00346818">
        <w:rPr>
          <w:sz w:val="26"/>
          <w:szCs w:val="26"/>
        </w:rPr>
        <w:t>a</w:t>
      </w:r>
      <w:r w:rsidRPr="00935EC0">
        <w:rPr>
          <w:sz w:val="26"/>
          <w:szCs w:val="26"/>
        </w:rPr>
        <w:t xml:space="preserve">ccounts are not eligible if they are not the party contracted with the </w:t>
      </w:r>
      <w:r>
        <w:rPr>
          <w:sz w:val="26"/>
          <w:szCs w:val="26"/>
        </w:rPr>
        <w:t>EGS</w:t>
      </w:r>
      <w:r w:rsidRPr="00935EC0">
        <w:rPr>
          <w:sz w:val="26"/>
          <w:szCs w:val="26"/>
        </w:rPr>
        <w:t xml:space="preserve">. When a shopping tenant moves from a premise, his or her </w:t>
      </w:r>
      <w:r>
        <w:rPr>
          <w:sz w:val="26"/>
          <w:szCs w:val="26"/>
        </w:rPr>
        <w:t>EGS</w:t>
      </w:r>
      <w:r w:rsidRPr="00935EC0">
        <w:rPr>
          <w:sz w:val="26"/>
          <w:szCs w:val="26"/>
        </w:rPr>
        <w:t xml:space="preserve"> selection would not be assigned to the landlord.</w:t>
      </w:r>
    </w:p>
    <w:p w:rsidR="00935EC0" w:rsidRPr="00935EC0" w:rsidRDefault="00935EC0" w:rsidP="00935EC0">
      <w:pPr>
        <w:pStyle w:val="ListParagraph"/>
        <w:numPr>
          <w:ilvl w:val="0"/>
          <w:numId w:val="29"/>
        </w:numPr>
        <w:spacing w:line="360" w:lineRule="auto"/>
        <w:rPr>
          <w:sz w:val="26"/>
          <w:szCs w:val="26"/>
        </w:rPr>
      </w:pPr>
      <w:r w:rsidRPr="00935EC0">
        <w:rPr>
          <w:sz w:val="26"/>
          <w:szCs w:val="26"/>
        </w:rPr>
        <w:t>Customers establishing a new account/location must be the same rate class (Residential/Small C&amp;I) as the previous account/location.  Seamless moves will be offered only to metered Residential and Small C&amp;I customers (less than 25 kW). The following chart lists eligible customer rate schedules</w:t>
      </w:r>
      <w:r>
        <w:rPr>
          <w:sz w:val="26"/>
          <w:szCs w:val="26"/>
        </w:rPr>
        <w:t>:</w:t>
      </w:r>
    </w:p>
    <w:p w:rsidR="00935EC0" w:rsidRDefault="00935EC0" w:rsidP="00935EC0">
      <w:pPr>
        <w:spacing w:line="360" w:lineRule="auto"/>
        <w:rPr>
          <w:sz w:val="26"/>
          <w:szCs w:val="26"/>
        </w:rPr>
      </w:pPr>
    </w:p>
    <w:tbl>
      <w:tblPr>
        <w:tblW w:w="9586" w:type="dxa"/>
        <w:tblInd w:w="19" w:type="dxa"/>
        <w:tblLayout w:type="fixed"/>
        <w:tblCellMar>
          <w:left w:w="0" w:type="dxa"/>
          <w:right w:w="0" w:type="dxa"/>
        </w:tblCellMar>
        <w:tblLook w:val="04A0" w:firstRow="1" w:lastRow="0" w:firstColumn="1" w:lastColumn="0" w:noHBand="0" w:noVBand="1"/>
      </w:tblPr>
      <w:tblGrid>
        <w:gridCol w:w="2155"/>
        <w:gridCol w:w="1282"/>
        <w:gridCol w:w="6149"/>
      </w:tblGrid>
      <w:tr w:rsidR="00935EC0" w:rsidTr="00DD065C">
        <w:trPr>
          <w:trHeight w:hRule="exact" w:val="840"/>
        </w:trPr>
        <w:tc>
          <w:tcPr>
            <w:tcW w:w="2155" w:type="dxa"/>
            <w:tcBorders>
              <w:top w:val="single" w:sz="7" w:space="0" w:color="000000"/>
              <w:left w:val="single" w:sz="7" w:space="0" w:color="000000"/>
              <w:bottom w:val="double" w:sz="9" w:space="0" w:color="000000"/>
              <w:right w:val="single" w:sz="7" w:space="0" w:color="000000"/>
            </w:tcBorders>
          </w:tcPr>
          <w:p w:rsidR="00935EC0" w:rsidRDefault="00935EC0" w:rsidP="005F3E53">
            <w:pPr>
              <w:spacing w:before="154" w:after="137" w:line="272" w:lineRule="exact"/>
              <w:jc w:val="center"/>
              <w:textAlignment w:val="baseline"/>
              <w:rPr>
                <w:rFonts w:ascii="Arial" w:eastAsia="Arial" w:hAnsi="Arial"/>
                <w:b/>
                <w:color w:val="000000"/>
              </w:rPr>
            </w:pPr>
            <w:r>
              <w:rPr>
                <w:rFonts w:ascii="Arial" w:eastAsia="Arial" w:hAnsi="Arial"/>
                <w:b/>
                <w:color w:val="000000"/>
              </w:rPr>
              <w:t xml:space="preserve">Customer </w:t>
            </w:r>
            <w:r>
              <w:rPr>
                <w:rFonts w:ascii="Arial" w:eastAsia="Arial" w:hAnsi="Arial"/>
                <w:b/>
                <w:color w:val="000000"/>
              </w:rPr>
              <w:br/>
              <w:t>Group</w:t>
            </w:r>
          </w:p>
        </w:tc>
        <w:tc>
          <w:tcPr>
            <w:tcW w:w="1282" w:type="dxa"/>
            <w:tcBorders>
              <w:top w:val="single" w:sz="7" w:space="0" w:color="000000"/>
              <w:left w:val="single" w:sz="7" w:space="0" w:color="000000"/>
              <w:bottom w:val="double" w:sz="9" w:space="0" w:color="000000"/>
              <w:right w:val="single" w:sz="7" w:space="0" w:color="000000"/>
            </w:tcBorders>
            <w:vAlign w:val="center"/>
          </w:tcPr>
          <w:p w:rsidR="00935EC0" w:rsidRDefault="00935EC0" w:rsidP="005F3E53">
            <w:pPr>
              <w:spacing w:before="157" w:after="134" w:line="272" w:lineRule="exact"/>
              <w:jc w:val="center"/>
              <w:textAlignment w:val="baseline"/>
              <w:rPr>
                <w:rFonts w:ascii="Arial" w:eastAsia="Arial" w:hAnsi="Arial"/>
                <w:b/>
                <w:color w:val="000000"/>
              </w:rPr>
            </w:pPr>
            <w:r>
              <w:rPr>
                <w:rFonts w:ascii="Arial" w:eastAsia="Arial" w:hAnsi="Arial"/>
                <w:b/>
                <w:color w:val="000000"/>
              </w:rPr>
              <w:t xml:space="preserve">Rate </w:t>
            </w:r>
            <w:r>
              <w:rPr>
                <w:rFonts w:ascii="Arial" w:eastAsia="Arial" w:hAnsi="Arial"/>
                <w:b/>
                <w:color w:val="000000"/>
              </w:rPr>
              <w:br/>
              <w:t>Schedule</w:t>
            </w:r>
          </w:p>
        </w:tc>
        <w:tc>
          <w:tcPr>
            <w:tcW w:w="6149" w:type="dxa"/>
            <w:tcBorders>
              <w:top w:val="single" w:sz="7" w:space="0" w:color="000000"/>
              <w:left w:val="single" w:sz="7" w:space="0" w:color="000000"/>
              <w:bottom w:val="double" w:sz="9" w:space="0" w:color="000000"/>
              <w:right w:val="single" w:sz="7" w:space="0" w:color="000000"/>
            </w:tcBorders>
            <w:vAlign w:val="center"/>
          </w:tcPr>
          <w:p w:rsidR="00935EC0" w:rsidRDefault="00935EC0" w:rsidP="005F3E53">
            <w:pPr>
              <w:spacing w:before="296" w:after="267" w:line="272" w:lineRule="exact"/>
              <w:ind w:right="2393"/>
              <w:jc w:val="right"/>
              <w:textAlignment w:val="baseline"/>
              <w:rPr>
                <w:rFonts w:ascii="Arial" w:eastAsia="Arial" w:hAnsi="Arial"/>
                <w:b/>
                <w:color w:val="000000"/>
              </w:rPr>
            </w:pPr>
            <w:r>
              <w:rPr>
                <w:rFonts w:ascii="Arial" w:eastAsia="Arial" w:hAnsi="Arial"/>
                <w:b/>
                <w:color w:val="000000"/>
              </w:rPr>
              <w:t>Description</w:t>
            </w:r>
          </w:p>
        </w:tc>
      </w:tr>
      <w:tr w:rsidR="00935EC0" w:rsidTr="00DD065C">
        <w:trPr>
          <w:trHeight w:hRule="exact" w:val="547"/>
        </w:trPr>
        <w:tc>
          <w:tcPr>
            <w:tcW w:w="2155" w:type="dxa"/>
            <w:vMerge w:val="restart"/>
            <w:tcBorders>
              <w:top w:val="double" w:sz="9" w:space="0" w:color="000000"/>
              <w:left w:val="single" w:sz="7" w:space="0" w:color="000000"/>
              <w:bottom w:val="single" w:sz="0" w:space="0" w:color="000000"/>
              <w:right w:val="single" w:sz="7" w:space="0" w:color="000000"/>
            </w:tcBorders>
          </w:tcPr>
          <w:p w:rsidR="00935EC0" w:rsidRDefault="00935EC0" w:rsidP="005F3E53">
            <w:pPr>
              <w:spacing w:before="145" w:after="657" w:line="273" w:lineRule="exact"/>
              <w:ind w:left="149"/>
              <w:textAlignment w:val="baseline"/>
              <w:rPr>
                <w:rFonts w:ascii="Arial" w:eastAsia="Arial" w:hAnsi="Arial"/>
                <w:color w:val="000000"/>
              </w:rPr>
            </w:pPr>
            <w:r>
              <w:rPr>
                <w:rFonts w:ascii="Arial" w:eastAsia="Arial" w:hAnsi="Arial"/>
                <w:color w:val="000000"/>
              </w:rPr>
              <w:t>Residential</w:t>
            </w:r>
          </w:p>
        </w:tc>
        <w:tc>
          <w:tcPr>
            <w:tcW w:w="1282" w:type="dxa"/>
            <w:tcBorders>
              <w:top w:val="double" w:sz="9" w:space="0" w:color="000000"/>
              <w:left w:val="single" w:sz="7" w:space="0" w:color="000000"/>
              <w:bottom w:val="single" w:sz="7" w:space="0" w:color="000000"/>
              <w:right w:val="single" w:sz="7" w:space="0" w:color="000000"/>
            </w:tcBorders>
            <w:vAlign w:val="center"/>
          </w:tcPr>
          <w:p w:rsidR="00935EC0" w:rsidRDefault="00935EC0" w:rsidP="005F3E53">
            <w:pPr>
              <w:spacing w:before="150" w:after="119" w:line="273" w:lineRule="exact"/>
              <w:ind w:left="106"/>
              <w:textAlignment w:val="baseline"/>
              <w:rPr>
                <w:rFonts w:ascii="Arial" w:eastAsia="Arial" w:hAnsi="Arial"/>
                <w:color w:val="000000"/>
              </w:rPr>
            </w:pPr>
            <w:r>
              <w:rPr>
                <w:rFonts w:ascii="Arial" w:eastAsia="Arial" w:hAnsi="Arial"/>
                <w:color w:val="000000"/>
              </w:rPr>
              <w:t>RS</w:t>
            </w:r>
          </w:p>
        </w:tc>
        <w:tc>
          <w:tcPr>
            <w:tcW w:w="6149" w:type="dxa"/>
            <w:tcBorders>
              <w:top w:val="double" w:sz="9" w:space="0" w:color="000000"/>
              <w:left w:val="single" w:sz="7" w:space="0" w:color="000000"/>
              <w:bottom w:val="single" w:sz="7" w:space="0" w:color="000000"/>
              <w:right w:val="single" w:sz="7" w:space="0" w:color="000000"/>
            </w:tcBorders>
            <w:vAlign w:val="center"/>
          </w:tcPr>
          <w:p w:rsidR="00935EC0" w:rsidRDefault="00935EC0" w:rsidP="005F3E53">
            <w:pPr>
              <w:spacing w:before="149" w:after="120" w:line="273" w:lineRule="exact"/>
              <w:ind w:left="106"/>
              <w:textAlignment w:val="baseline"/>
              <w:rPr>
                <w:rFonts w:ascii="Arial" w:eastAsia="Arial" w:hAnsi="Arial"/>
                <w:color w:val="000000"/>
              </w:rPr>
            </w:pPr>
            <w:r>
              <w:rPr>
                <w:rFonts w:ascii="Arial" w:eastAsia="Arial" w:hAnsi="Arial"/>
                <w:color w:val="000000"/>
              </w:rPr>
              <w:t>RS — Residential Service</w:t>
            </w:r>
          </w:p>
        </w:tc>
      </w:tr>
      <w:tr w:rsidR="00935EC0" w:rsidTr="00DD065C">
        <w:trPr>
          <w:trHeight w:hRule="exact" w:val="533"/>
        </w:trPr>
        <w:tc>
          <w:tcPr>
            <w:tcW w:w="2155" w:type="dxa"/>
            <w:vMerge/>
            <w:tcBorders>
              <w:top w:val="single" w:sz="0" w:space="0" w:color="000000"/>
              <w:left w:val="single" w:sz="7" w:space="0" w:color="000000"/>
              <w:bottom w:val="single" w:sz="7" w:space="0" w:color="000000"/>
              <w:right w:val="single" w:sz="7" w:space="0" w:color="000000"/>
            </w:tcBorders>
          </w:tcPr>
          <w:p w:rsidR="00935EC0" w:rsidRDefault="00935EC0" w:rsidP="005F3E53"/>
        </w:tc>
        <w:tc>
          <w:tcPr>
            <w:tcW w:w="1282" w:type="dxa"/>
            <w:tcBorders>
              <w:top w:val="single" w:sz="7" w:space="0" w:color="000000"/>
              <w:left w:val="single" w:sz="7" w:space="0" w:color="000000"/>
              <w:bottom w:val="single" w:sz="7" w:space="0" w:color="000000"/>
              <w:right w:val="single" w:sz="7" w:space="0" w:color="000000"/>
            </w:tcBorders>
            <w:vAlign w:val="center"/>
          </w:tcPr>
          <w:p w:rsidR="00935EC0" w:rsidRDefault="00935EC0" w:rsidP="005F3E53">
            <w:pPr>
              <w:spacing w:before="145" w:after="110" w:line="273" w:lineRule="exact"/>
              <w:ind w:left="106"/>
              <w:textAlignment w:val="baseline"/>
              <w:rPr>
                <w:rFonts w:ascii="Arial" w:eastAsia="Arial" w:hAnsi="Arial"/>
                <w:color w:val="000000"/>
              </w:rPr>
            </w:pPr>
            <w:r>
              <w:rPr>
                <w:rFonts w:ascii="Arial" w:eastAsia="Arial" w:hAnsi="Arial"/>
                <w:color w:val="000000"/>
              </w:rPr>
              <w:t>RTS</w:t>
            </w:r>
          </w:p>
        </w:tc>
        <w:tc>
          <w:tcPr>
            <w:tcW w:w="6149" w:type="dxa"/>
            <w:tcBorders>
              <w:top w:val="single" w:sz="7" w:space="0" w:color="000000"/>
              <w:left w:val="single" w:sz="7" w:space="0" w:color="000000"/>
              <w:bottom w:val="single" w:sz="7" w:space="0" w:color="000000"/>
              <w:right w:val="single" w:sz="7" w:space="0" w:color="000000"/>
            </w:tcBorders>
            <w:vAlign w:val="center"/>
          </w:tcPr>
          <w:p w:rsidR="00935EC0" w:rsidRDefault="00935EC0" w:rsidP="005F3E53">
            <w:pPr>
              <w:spacing w:before="144" w:after="111" w:line="273" w:lineRule="exact"/>
              <w:ind w:left="106"/>
              <w:textAlignment w:val="baseline"/>
              <w:rPr>
                <w:rFonts w:ascii="Arial" w:eastAsia="Arial" w:hAnsi="Arial"/>
                <w:color w:val="000000"/>
              </w:rPr>
            </w:pPr>
            <w:r>
              <w:rPr>
                <w:rFonts w:ascii="Arial" w:eastAsia="Arial" w:hAnsi="Arial"/>
                <w:color w:val="000000"/>
              </w:rPr>
              <w:t>RTS(R) — Residential Service — Thermal Storage</w:t>
            </w:r>
          </w:p>
        </w:tc>
      </w:tr>
      <w:tr w:rsidR="00935EC0" w:rsidTr="00DD065C">
        <w:trPr>
          <w:trHeight w:hRule="exact" w:val="538"/>
        </w:trPr>
        <w:tc>
          <w:tcPr>
            <w:tcW w:w="2155" w:type="dxa"/>
            <w:vMerge w:val="restart"/>
            <w:tcBorders>
              <w:top w:val="single" w:sz="7" w:space="0" w:color="000000"/>
              <w:left w:val="single" w:sz="7" w:space="0" w:color="000000"/>
              <w:bottom w:val="single" w:sz="0" w:space="0" w:color="000000"/>
              <w:right w:val="single" w:sz="7" w:space="0" w:color="000000"/>
            </w:tcBorders>
          </w:tcPr>
          <w:p w:rsidR="00935EC0" w:rsidRDefault="00935EC0" w:rsidP="005F3E53">
            <w:pPr>
              <w:spacing w:before="135" w:after="1761" w:line="273" w:lineRule="exact"/>
              <w:ind w:left="149"/>
              <w:textAlignment w:val="baseline"/>
              <w:rPr>
                <w:rFonts w:ascii="Arial" w:eastAsia="Arial" w:hAnsi="Arial"/>
                <w:color w:val="000000"/>
              </w:rPr>
            </w:pPr>
            <w:r>
              <w:rPr>
                <w:rFonts w:ascii="Arial" w:eastAsia="Arial" w:hAnsi="Arial"/>
                <w:color w:val="000000"/>
              </w:rPr>
              <w:t>Small C&amp;I</w:t>
            </w:r>
          </w:p>
        </w:tc>
        <w:tc>
          <w:tcPr>
            <w:tcW w:w="1282" w:type="dxa"/>
            <w:tcBorders>
              <w:top w:val="single" w:sz="7" w:space="0" w:color="000000"/>
              <w:left w:val="single" w:sz="7" w:space="0" w:color="000000"/>
              <w:bottom w:val="single" w:sz="7" w:space="0" w:color="000000"/>
              <w:right w:val="single" w:sz="7" w:space="0" w:color="000000"/>
            </w:tcBorders>
            <w:vAlign w:val="center"/>
          </w:tcPr>
          <w:p w:rsidR="00935EC0" w:rsidRDefault="00935EC0" w:rsidP="005F3E53">
            <w:pPr>
              <w:spacing w:before="140" w:after="115" w:line="273" w:lineRule="exact"/>
              <w:ind w:left="106"/>
              <w:textAlignment w:val="baseline"/>
              <w:rPr>
                <w:rFonts w:ascii="Arial" w:eastAsia="Arial" w:hAnsi="Arial"/>
                <w:color w:val="000000"/>
              </w:rPr>
            </w:pPr>
            <w:r>
              <w:rPr>
                <w:rFonts w:ascii="Arial" w:eastAsia="Arial" w:hAnsi="Arial"/>
                <w:color w:val="000000"/>
              </w:rPr>
              <w:t>GS-1</w:t>
            </w:r>
          </w:p>
        </w:tc>
        <w:tc>
          <w:tcPr>
            <w:tcW w:w="6149" w:type="dxa"/>
            <w:tcBorders>
              <w:top w:val="single" w:sz="7" w:space="0" w:color="000000"/>
              <w:left w:val="single" w:sz="7" w:space="0" w:color="000000"/>
              <w:bottom w:val="single" w:sz="7" w:space="0" w:color="000000"/>
              <w:right w:val="single" w:sz="7" w:space="0" w:color="000000"/>
            </w:tcBorders>
            <w:vAlign w:val="center"/>
          </w:tcPr>
          <w:p w:rsidR="00935EC0" w:rsidRDefault="00935EC0" w:rsidP="005F3E53">
            <w:pPr>
              <w:spacing w:before="138" w:after="117" w:line="273" w:lineRule="exact"/>
              <w:ind w:left="106"/>
              <w:textAlignment w:val="baseline"/>
              <w:rPr>
                <w:rFonts w:ascii="Arial" w:eastAsia="Arial" w:hAnsi="Arial"/>
                <w:color w:val="000000"/>
              </w:rPr>
            </w:pPr>
            <w:r>
              <w:rPr>
                <w:rFonts w:ascii="Arial" w:eastAsia="Arial" w:hAnsi="Arial"/>
                <w:color w:val="000000"/>
              </w:rPr>
              <w:t>GS-1 — Small General Service</w:t>
            </w:r>
          </w:p>
        </w:tc>
      </w:tr>
      <w:tr w:rsidR="00935EC0" w:rsidTr="00DD065C">
        <w:trPr>
          <w:trHeight w:hRule="exact" w:val="806"/>
        </w:trPr>
        <w:tc>
          <w:tcPr>
            <w:tcW w:w="2155" w:type="dxa"/>
            <w:vMerge/>
            <w:tcBorders>
              <w:top w:val="single" w:sz="0" w:space="0" w:color="000000"/>
              <w:left w:val="single" w:sz="7" w:space="0" w:color="000000"/>
              <w:bottom w:val="single" w:sz="0" w:space="0" w:color="000000"/>
              <w:right w:val="single" w:sz="7" w:space="0" w:color="000000"/>
            </w:tcBorders>
          </w:tcPr>
          <w:p w:rsidR="00935EC0" w:rsidRDefault="00935EC0" w:rsidP="005F3E53"/>
        </w:tc>
        <w:tc>
          <w:tcPr>
            <w:tcW w:w="1282" w:type="dxa"/>
            <w:tcBorders>
              <w:top w:val="single" w:sz="7" w:space="0" w:color="000000"/>
              <w:left w:val="single" w:sz="7" w:space="0" w:color="000000"/>
              <w:bottom w:val="single" w:sz="7" w:space="0" w:color="000000"/>
              <w:right w:val="single" w:sz="7" w:space="0" w:color="000000"/>
            </w:tcBorders>
            <w:vAlign w:val="center"/>
          </w:tcPr>
          <w:p w:rsidR="00935EC0" w:rsidRDefault="00935EC0" w:rsidP="005F3E53">
            <w:pPr>
              <w:spacing w:before="274" w:after="249" w:line="273" w:lineRule="exact"/>
              <w:ind w:left="106"/>
              <w:textAlignment w:val="baseline"/>
              <w:rPr>
                <w:rFonts w:ascii="Arial" w:eastAsia="Arial" w:hAnsi="Arial"/>
                <w:color w:val="000000"/>
              </w:rPr>
            </w:pPr>
            <w:r>
              <w:rPr>
                <w:rFonts w:ascii="Arial" w:eastAsia="Arial" w:hAnsi="Arial"/>
                <w:color w:val="000000"/>
              </w:rPr>
              <w:t>GS-3</w:t>
            </w:r>
            <w:r w:rsidR="00DD065C">
              <w:rPr>
                <w:rFonts w:ascii="Arial" w:eastAsia="Arial" w:hAnsi="Arial"/>
                <w:color w:val="000000"/>
              </w:rPr>
              <w:t>*</w:t>
            </w:r>
          </w:p>
        </w:tc>
        <w:tc>
          <w:tcPr>
            <w:tcW w:w="6149" w:type="dxa"/>
            <w:tcBorders>
              <w:top w:val="single" w:sz="7" w:space="0" w:color="000000"/>
              <w:left w:val="single" w:sz="7" w:space="0" w:color="000000"/>
              <w:bottom w:val="single" w:sz="7" w:space="0" w:color="000000"/>
              <w:right w:val="single" w:sz="7" w:space="0" w:color="000000"/>
            </w:tcBorders>
            <w:vAlign w:val="center"/>
          </w:tcPr>
          <w:p w:rsidR="00935EC0" w:rsidRDefault="00935EC0" w:rsidP="005F3E53">
            <w:pPr>
              <w:spacing w:before="142" w:after="110" w:line="272" w:lineRule="exact"/>
              <w:ind w:left="108" w:right="396"/>
              <w:textAlignment w:val="baseline"/>
              <w:rPr>
                <w:rFonts w:ascii="Arial" w:eastAsia="Arial" w:hAnsi="Arial"/>
                <w:color w:val="000000"/>
              </w:rPr>
            </w:pPr>
            <w:r>
              <w:rPr>
                <w:rFonts w:ascii="Arial" w:eastAsia="Arial" w:hAnsi="Arial"/>
                <w:color w:val="000000"/>
              </w:rPr>
              <w:t>GS-3 — Large General Service — Customers with less than 100 kW peak demand</w:t>
            </w:r>
          </w:p>
        </w:tc>
      </w:tr>
      <w:tr w:rsidR="00935EC0" w:rsidTr="00DD065C">
        <w:trPr>
          <w:trHeight w:hRule="exact" w:val="830"/>
        </w:trPr>
        <w:tc>
          <w:tcPr>
            <w:tcW w:w="2155" w:type="dxa"/>
            <w:vMerge/>
            <w:tcBorders>
              <w:top w:val="single" w:sz="0" w:space="0" w:color="000000"/>
              <w:left w:val="single" w:sz="7" w:space="0" w:color="000000"/>
              <w:bottom w:val="single" w:sz="7" w:space="0" w:color="000000"/>
              <w:right w:val="single" w:sz="7" w:space="0" w:color="000000"/>
            </w:tcBorders>
          </w:tcPr>
          <w:p w:rsidR="00935EC0" w:rsidRDefault="00935EC0" w:rsidP="005F3E53"/>
        </w:tc>
        <w:tc>
          <w:tcPr>
            <w:tcW w:w="1282" w:type="dxa"/>
            <w:tcBorders>
              <w:top w:val="single" w:sz="7" w:space="0" w:color="000000"/>
              <w:left w:val="single" w:sz="7" w:space="0" w:color="000000"/>
              <w:bottom w:val="single" w:sz="7" w:space="0" w:color="000000"/>
              <w:right w:val="single" w:sz="7" w:space="0" w:color="000000"/>
            </w:tcBorders>
            <w:vAlign w:val="center"/>
          </w:tcPr>
          <w:p w:rsidR="00935EC0" w:rsidRDefault="00935EC0" w:rsidP="005F3E53">
            <w:pPr>
              <w:spacing w:before="279" w:after="273" w:line="273" w:lineRule="exact"/>
              <w:ind w:left="106"/>
              <w:textAlignment w:val="baseline"/>
              <w:rPr>
                <w:rFonts w:ascii="Arial" w:eastAsia="Arial" w:hAnsi="Arial"/>
                <w:color w:val="000000"/>
              </w:rPr>
            </w:pPr>
            <w:r>
              <w:rPr>
                <w:rFonts w:ascii="Arial" w:eastAsia="Arial" w:hAnsi="Arial"/>
                <w:color w:val="000000"/>
              </w:rPr>
              <w:t>GH-2</w:t>
            </w:r>
          </w:p>
        </w:tc>
        <w:tc>
          <w:tcPr>
            <w:tcW w:w="6149" w:type="dxa"/>
            <w:tcBorders>
              <w:top w:val="single" w:sz="7" w:space="0" w:color="000000"/>
              <w:left w:val="single" w:sz="7" w:space="0" w:color="000000"/>
              <w:bottom w:val="single" w:sz="7" w:space="0" w:color="000000"/>
              <w:right w:val="single" w:sz="7" w:space="0" w:color="000000"/>
            </w:tcBorders>
          </w:tcPr>
          <w:p w:rsidR="00935EC0" w:rsidRDefault="00935EC0" w:rsidP="005F3E53">
            <w:pPr>
              <w:spacing w:before="141" w:after="134" w:line="275" w:lineRule="exact"/>
              <w:ind w:left="108" w:right="684"/>
              <w:textAlignment w:val="baseline"/>
              <w:rPr>
                <w:rFonts w:ascii="Arial" w:eastAsia="Arial" w:hAnsi="Arial"/>
                <w:color w:val="000000"/>
              </w:rPr>
            </w:pPr>
            <w:r>
              <w:rPr>
                <w:rFonts w:ascii="Arial" w:eastAsia="Arial" w:hAnsi="Arial"/>
                <w:color w:val="000000"/>
              </w:rPr>
              <w:t>GH-2(R) — Separate Meter General Space Heating Service</w:t>
            </w:r>
          </w:p>
        </w:tc>
      </w:tr>
      <w:tr w:rsidR="00DD065C" w:rsidTr="00DD065C">
        <w:trPr>
          <w:trHeight w:hRule="exact" w:val="830"/>
        </w:trPr>
        <w:tc>
          <w:tcPr>
            <w:tcW w:w="9586" w:type="dxa"/>
            <w:gridSpan w:val="3"/>
            <w:tcBorders>
              <w:top w:val="single" w:sz="0" w:space="0" w:color="000000"/>
              <w:left w:val="single" w:sz="7" w:space="0" w:color="000000"/>
              <w:bottom w:val="single" w:sz="7" w:space="0" w:color="000000"/>
              <w:right w:val="single" w:sz="7" w:space="0" w:color="000000"/>
            </w:tcBorders>
          </w:tcPr>
          <w:p w:rsidR="00DD065C" w:rsidRDefault="00DD065C" w:rsidP="005F3E53">
            <w:pPr>
              <w:spacing w:before="141" w:after="134" w:line="275" w:lineRule="exact"/>
              <w:ind w:left="108" w:right="684"/>
              <w:textAlignment w:val="baseline"/>
              <w:rPr>
                <w:rFonts w:ascii="Arial" w:eastAsia="Arial" w:hAnsi="Arial"/>
                <w:color w:val="000000"/>
              </w:rPr>
            </w:pPr>
            <w:proofErr w:type="gramStart"/>
            <w:r w:rsidRPr="00DD065C">
              <w:rPr>
                <w:rFonts w:ascii="Arial" w:eastAsia="Arial" w:hAnsi="Arial"/>
                <w:color w:val="000000"/>
              </w:rPr>
              <w:lastRenderedPageBreak/>
              <w:t xml:space="preserve">*  </w:t>
            </w:r>
            <w:r w:rsidRPr="00DD065C">
              <w:rPr>
                <w:sz w:val="26"/>
                <w:szCs w:val="26"/>
              </w:rPr>
              <w:t>Note</w:t>
            </w:r>
            <w:proofErr w:type="gramEnd"/>
            <w:r w:rsidRPr="00DD065C">
              <w:rPr>
                <w:sz w:val="26"/>
                <w:szCs w:val="26"/>
              </w:rPr>
              <w:t xml:space="preserve"> that eligibility for the GS-3 rate schedule is limited to those customers below 25kW peak demand.</w:t>
            </w:r>
            <w:r w:rsidRPr="00DD065C">
              <w:rPr>
                <w:rFonts w:ascii="Arial" w:eastAsia="Arial" w:hAnsi="Arial"/>
                <w:color w:val="000000"/>
              </w:rPr>
              <w:t xml:space="preserve">  </w:t>
            </w:r>
          </w:p>
        </w:tc>
      </w:tr>
    </w:tbl>
    <w:p w:rsidR="00DD065C" w:rsidRDefault="00DD065C" w:rsidP="00371326">
      <w:pPr>
        <w:spacing w:line="360" w:lineRule="auto"/>
        <w:rPr>
          <w:sz w:val="26"/>
          <w:szCs w:val="26"/>
        </w:rPr>
      </w:pPr>
    </w:p>
    <w:p w:rsidR="00371326" w:rsidRDefault="008E378B" w:rsidP="00371326">
      <w:pPr>
        <w:spacing w:line="360" w:lineRule="auto"/>
        <w:rPr>
          <w:sz w:val="26"/>
          <w:szCs w:val="26"/>
        </w:rPr>
      </w:pPr>
      <w:r>
        <w:rPr>
          <w:sz w:val="26"/>
          <w:szCs w:val="26"/>
        </w:rPr>
        <w:t>PPL</w:t>
      </w:r>
      <w:r w:rsidR="00371326">
        <w:rPr>
          <w:sz w:val="26"/>
          <w:szCs w:val="26"/>
        </w:rPr>
        <w:t xml:space="preserve"> elaborates further on the process they propose </w:t>
      </w:r>
      <w:r w:rsidR="00335758">
        <w:rPr>
          <w:sz w:val="26"/>
          <w:szCs w:val="26"/>
        </w:rPr>
        <w:t>for</w:t>
      </w:r>
      <w:r w:rsidR="00371326">
        <w:rPr>
          <w:sz w:val="26"/>
          <w:szCs w:val="26"/>
        </w:rPr>
        <w:t xml:space="preserve"> seamless moves:</w:t>
      </w:r>
    </w:p>
    <w:p w:rsidR="00371326" w:rsidRDefault="00371326" w:rsidP="00371326">
      <w:pPr>
        <w:spacing w:line="360" w:lineRule="auto"/>
        <w:rPr>
          <w:sz w:val="26"/>
          <w:szCs w:val="26"/>
        </w:rPr>
      </w:pPr>
    </w:p>
    <w:p w:rsidR="008E378B" w:rsidRPr="008E378B" w:rsidRDefault="008E378B" w:rsidP="008E378B">
      <w:pPr>
        <w:pStyle w:val="ListParagraph"/>
        <w:numPr>
          <w:ilvl w:val="0"/>
          <w:numId w:val="31"/>
        </w:numPr>
        <w:spacing w:line="360" w:lineRule="auto"/>
        <w:rPr>
          <w:sz w:val="26"/>
          <w:szCs w:val="26"/>
        </w:rPr>
      </w:pPr>
      <w:r w:rsidRPr="008E378B">
        <w:rPr>
          <w:sz w:val="26"/>
          <w:szCs w:val="26"/>
        </w:rPr>
        <w:t xml:space="preserve">PPL will not ask if the customer wants to keep his or her EGS; </w:t>
      </w:r>
      <w:r w:rsidR="00346818">
        <w:rPr>
          <w:sz w:val="26"/>
          <w:szCs w:val="26"/>
        </w:rPr>
        <w:t>PPL</w:t>
      </w:r>
      <w:r w:rsidRPr="008E378B">
        <w:rPr>
          <w:sz w:val="26"/>
          <w:szCs w:val="26"/>
        </w:rPr>
        <w:t xml:space="preserve"> will automatically process the </w:t>
      </w:r>
      <w:r>
        <w:rPr>
          <w:sz w:val="26"/>
          <w:szCs w:val="26"/>
        </w:rPr>
        <w:t>s</w:t>
      </w:r>
      <w:r w:rsidRPr="008E378B">
        <w:rPr>
          <w:sz w:val="26"/>
          <w:szCs w:val="26"/>
        </w:rPr>
        <w:t xml:space="preserve">eamless </w:t>
      </w:r>
      <w:r>
        <w:rPr>
          <w:sz w:val="26"/>
          <w:szCs w:val="26"/>
        </w:rPr>
        <w:t>m</w:t>
      </w:r>
      <w:r w:rsidRPr="008E378B">
        <w:rPr>
          <w:sz w:val="26"/>
          <w:szCs w:val="26"/>
        </w:rPr>
        <w:t>ove transaction for shopping customers.</w:t>
      </w:r>
    </w:p>
    <w:p w:rsidR="008E378B" w:rsidRPr="008E378B" w:rsidRDefault="008E378B" w:rsidP="008E378B">
      <w:pPr>
        <w:pStyle w:val="ListParagraph"/>
        <w:numPr>
          <w:ilvl w:val="0"/>
          <w:numId w:val="31"/>
        </w:numPr>
        <w:spacing w:line="360" w:lineRule="auto"/>
        <w:rPr>
          <w:sz w:val="26"/>
          <w:szCs w:val="26"/>
        </w:rPr>
      </w:pPr>
      <w:r w:rsidRPr="008E378B">
        <w:rPr>
          <w:sz w:val="26"/>
          <w:szCs w:val="26"/>
        </w:rPr>
        <w:t>PPL will transfer summary data or interval data indicator on a customer's old account to a new account</w:t>
      </w:r>
      <w:r w:rsidR="00AD68FB">
        <w:rPr>
          <w:sz w:val="26"/>
          <w:szCs w:val="26"/>
        </w:rPr>
        <w:t>.</w:t>
      </w:r>
    </w:p>
    <w:p w:rsidR="008E378B" w:rsidRPr="008E378B" w:rsidRDefault="008E378B" w:rsidP="008E378B">
      <w:pPr>
        <w:pStyle w:val="ListParagraph"/>
        <w:numPr>
          <w:ilvl w:val="0"/>
          <w:numId w:val="31"/>
        </w:numPr>
        <w:spacing w:line="360" w:lineRule="auto"/>
        <w:rPr>
          <w:sz w:val="26"/>
          <w:szCs w:val="26"/>
        </w:rPr>
      </w:pPr>
      <w:r w:rsidRPr="008E378B">
        <w:rPr>
          <w:sz w:val="26"/>
          <w:szCs w:val="26"/>
        </w:rPr>
        <w:t>Account retains same bill option, which includes:</w:t>
      </w:r>
      <w:r>
        <w:rPr>
          <w:sz w:val="26"/>
          <w:szCs w:val="26"/>
        </w:rPr>
        <w:t xml:space="preserve"> </w:t>
      </w:r>
      <w:r w:rsidRPr="008E378B">
        <w:rPr>
          <w:sz w:val="26"/>
          <w:szCs w:val="26"/>
        </w:rPr>
        <w:t>(1) utility consolidated billing (bill ready or rate ready); or (2) dual bill, where the EDC and the EGS issue separate bills to the customer.</w:t>
      </w:r>
    </w:p>
    <w:p w:rsidR="008E378B" w:rsidRPr="008E378B" w:rsidRDefault="008E378B" w:rsidP="008E378B">
      <w:pPr>
        <w:pStyle w:val="ListParagraph"/>
        <w:numPr>
          <w:ilvl w:val="0"/>
          <w:numId w:val="31"/>
        </w:numPr>
        <w:spacing w:line="360" w:lineRule="auto"/>
        <w:rPr>
          <w:sz w:val="26"/>
          <w:szCs w:val="26"/>
        </w:rPr>
      </w:pPr>
      <w:r w:rsidRPr="008E378B">
        <w:rPr>
          <w:sz w:val="26"/>
          <w:szCs w:val="26"/>
        </w:rPr>
        <w:t>Account retains same EGS rate code, which reflects the customer contractual pricing when the rate ready utility consolidated billing option is in use.</w:t>
      </w:r>
    </w:p>
    <w:p w:rsidR="008E378B" w:rsidRPr="008E378B" w:rsidRDefault="008E378B" w:rsidP="008E378B">
      <w:pPr>
        <w:pStyle w:val="ListParagraph"/>
        <w:numPr>
          <w:ilvl w:val="0"/>
          <w:numId w:val="31"/>
        </w:numPr>
        <w:spacing w:line="360" w:lineRule="auto"/>
        <w:rPr>
          <w:sz w:val="26"/>
          <w:szCs w:val="26"/>
        </w:rPr>
      </w:pPr>
      <w:r w:rsidRPr="008E378B">
        <w:rPr>
          <w:sz w:val="26"/>
          <w:szCs w:val="26"/>
        </w:rPr>
        <w:t>Account retains same tax exemption percentage.</w:t>
      </w:r>
    </w:p>
    <w:p w:rsidR="008E378B" w:rsidRPr="008E378B" w:rsidRDefault="008E378B" w:rsidP="008E378B">
      <w:pPr>
        <w:pStyle w:val="ListParagraph"/>
        <w:numPr>
          <w:ilvl w:val="0"/>
          <w:numId w:val="31"/>
        </w:numPr>
        <w:spacing w:line="360" w:lineRule="auto"/>
        <w:rPr>
          <w:sz w:val="26"/>
          <w:szCs w:val="26"/>
        </w:rPr>
      </w:pPr>
      <w:r w:rsidRPr="008E378B">
        <w:rPr>
          <w:sz w:val="26"/>
          <w:szCs w:val="26"/>
        </w:rPr>
        <w:t>No customer rescission is applicable to a move.</w:t>
      </w:r>
    </w:p>
    <w:p w:rsidR="008E378B" w:rsidRPr="008E378B" w:rsidRDefault="008E378B" w:rsidP="008E378B">
      <w:pPr>
        <w:pStyle w:val="ListParagraph"/>
        <w:numPr>
          <w:ilvl w:val="0"/>
          <w:numId w:val="31"/>
        </w:numPr>
        <w:spacing w:line="360" w:lineRule="auto"/>
        <w:rPr>
          <w:sz w:val="26"/>
          <w:szCs w:val="26"/>
        </w:rPr>
      </w:pPr>
      <w:r w:rsidRPr="008E378B">
        <w:rPr>
          <w:sz w:val="26"/>
          <w:szCs w:val="26"/>
        </w:rPr>
        <w:t>Because the EGS for the new location is not changing, PPL will not send a notification letter for seamless move transactions.</w:t>
      </w:r>
    </w:p>
    <w:p w:rsidR="008E378B" w:rsidRPr="008E378B" w:rsidRDefault="008E378B" w:rsidP="008E378B">
      <w:pPr>
        <w:pStyle w:val="ListParagraph"/>
        <w:numPr>
          <w:ilvl w:val="0"/>
          <w:numId w:val="31"/>
        </w:numPr>
        <w:spacing w:line="360" w:lineRule="auto"/>
        <w:rPr>
          <w:sz w:val="26"/>
          <w:szCs w:val="26"/>
        </w:rPr>
      </w:pPr>
      <w:r w:rsidRPr="008E378B">
        <w:rPr>
          <w:sz w:val="26"/>
          <w:szCs w:val="26"/>
        </w:rPr>
        <w:t>A new, utility-initiated EDI</w:t>
      </w:r>
      <w:r w:rsidR="00F84436">
        <w:rPr>
          <w:sz w:val="26"/>
          <w:szCs w:val="26"/>
        </w:rPr>
        <w:t xml:space="preserve"> (Electronic Date Interchange)</w:t>
      </w:r>
      <w:r w:rsidRPr="008E378B">
        <w:rPr>
          <w:sz w:val="26"/>
          <w:szCs w:val="26"/>
        </w:rPr>
        <w:t xml:space="preserve"> 814 Move </w:t>
      </w:r>
      <w:proofErr w:type="gramStart"/>
      <w:r w:rsidRPr="008E378B">
        <w:rPr>
          <w:sz w:val="26"/>
          <w:szCs w:val="26"/>
        </w:rPr>
        <w:t>transaction</w:t>
      </w:r>
      <w:proofErr w:type="gramEnd"/>
      <w:r w:rsidRPr="008E378B">
        <w:rPr>
          <w:sz w:val="26"/>
          <w:szCs w:val="26"/>
        </w:rPr>
        <w:t xml:space="preserve"> will be implemented in accordance with EDEWG approved 814 Move Implementation Guidelines. This will include an anticipated start date and new premise demographics, such as address, bill cycle, meter information, </w:t>
      </w:r>
      <w:r w:rsidR="00F84436">
        <w:rPr>
          <w:sz w:val="26"/>
          <w:szCs w:val="26"/>
        </w:rPr>
        <w:t xml:space="preserve">Peak Load Contribution (PLC) tags, </w:t>
      </w:r>
      <w:r w:rsidRPr="008E378B">
        <w:rPr>
          <w:sz w:val="26"/>
          <w:szCs w:val="26"/>
        </w:rPr>
        <w:t>etc.</w:t>
      </w:r>
    </w:p>
    <w:p w:rsidR="008E378B" w:rsidRPr="008E378B" w:rsidRDefault="008E378B" w:rsidP="008E378B">
      <w:pPr>
        <w:pStyle w:val="ListParagraph"/>
        <w:numPr>
          <w:ilvl w:val="0"/>
          <w:numId w:val="31"/>
        </w:numPr>
        <w:spacing w:line="360" w:lineRule="auto"/>
        <w:rPr>
          <w:sz w:val="26"/>
          <w:szCs w:val="26"/>
        </w:rPr>
      </w:pPr>
      <w:r w:rsidRPr="008E378B">
        <w:rPr>
          <w:sz w:val="26"/>
          <w:szCs w:val="26"/>
        </w:rPr>
        <w:t xml:space="preserve">If an account does not become active at the new location due to obligations not being met, such as security deposits or proof of identification - PPL will void the new account and send an EDI 814 Drop transaction to the </w:t>
      </w:r>
      <w:r w:rsidR="00346818">
        <w:rPr>
          <w:sz w:val="26"/>
          <w:szCs w:val="26"/>
        </w:rPr>
        <w:t>EGS</w:t>
      </w:r>
      <w:r w:rsidRPr="008E378B">
        <w:rPr>
          <w:sz w:val="26"/>
          <w:szCs w:val="26"/>
        </w:rPr>
        <w:t>.</w:t>
      </w:r>
    </w:p>
    <w:p w:rsidR="008E378B" w:rsidRPr="008E378B" w:rsidRDefault="008E378B" w:rsidP="008E378B">
      <w:pPr>
        <w:pStyle w:val="ListParagraph"/>
        <w:numPr>
          <w:ilvl w:val="0"/>
          <w:numId w:val="31"/>
        </w:numPr>
        <w:spacing w:line="360" w:lineRule="auto"/>
        <w:rPr>
          <w:sz w:val="26"/>
          <w:szCs w:val="26"/>
        </w:rPr>
      </w:pPr>
      <w:r w:rsidRPr="008E378B">
        <w:rPr>
          <w:sz w:val="26"/>
          <w:szCs w:val="26"/>
        </w:rPr>
        <w:lastRenderedPageBreak/>
        <w:t xml:space="preserve">PPL will send an EDI 814 Change transaction with the updated start date if the anticipated connect date previously communicated on the EDI 814 Move transaction has changed. </w:t>
      </w:r>
    </w:p>
    <w:p w:rsidR="008E378B" w:rsidRPr="008E378B" w:rsidRDefault="008E378B" w:rsidP="008E378B">
      <w:pPr>
        <w:pStyle w:val="ListParagraph"/>
        <w:numPr>
          <w:ilvl w:val="0"/>
          <w:numId w:val="31"/>
        </w:numPr>
        <w:spacing w:line="360" w:lineRule="auto"/>
        <w:rPr>
          <w:sz w:val="26"/>
          <w:szCs w:val="26"/>
        </w:rPr>
      </w:pPr>
      <w:r w:rsidRPr="008E378B">
        <w:rPr>
          <w:sz w:val="26"/>
          <w:szCs w:val="26"/>
        </w:rPr>
        <w:t>Once an EGS relationship is established with a pending active account, all</w:t>
      </w:r>
    </w:p>
    <w:p w:rsidR="008E378B" w:rsidRPr="008E378B" w:rsidRDefault="008E378B" w:rsidP="008E378B">
      <w:pPr>
        <w:spacing w:line="360" w:lineRule="auto"/>
        <w:ind w:left="720"/>
        <w:rPr>
          <w:sz w:val="26"/>
          <w:szCs w:val="26"/>
        </w:rPr>
      </w:pPr>
      <w:r w:rsidRPr="008E378B">
        <w:rPr>
          <w:sz w:val="26"/>
          <w:szCs w:val="26"/>
        </w:rPr>
        <w:t xml:space="preserve">EDI 814 Change transactions that </w:t>
      </w:r>
      <w:proofErr w:type="gramStart"/>
      <w:r w:rsidRPr="008E378B">
        <w:rPr>
          <w:sz w:val="26"/>
          <w:szCs w:val="26"/>
        </w:rPr>
        <w:t>a</w:t>
      </w:r>
      <w:proofErr w:type="gramEnd"/>
      <w:r w:rsidRPr="008E378B">
        <w:rPr>
          <w:sz w:val="26"/>
          <w:szCs w:val="26"/>
        </w:rPr>
        <w:t xml:space="preserve"> </w:t>
      </w:r>
      <w:r w:rsidR="00346818">
        <w:rPr>
          <w:sz w:val="26"/>
          <w:szCs w:val="26"/>
        </w:rPr>
        <w:t>EGS</w:t>
      </w:r>
      <w:r w:rsidRPr="008E378B">
        <w:rPr>
          <w:sz w:val="26"/>
          <w:szCs w:val="26"/>
        </w:rPr>
        <w:t xml:space="preserve"> would typically receive for an active account will be sent by PPL.</w:t>
      </w:r>
    </w:p>
    <w:p w:rsidR="008E378B" w:rsidRDefault="008E378B" w:rsidP="008E378B">
      <w:pPr>
        <w:spacing w:line="360" w:lineRule="auto"/>
        <w:ind w:firstLine="720"/>
        <w:rPr>
          <w:sz w:val="26"/>
          <w:szCs w:val="26"/>
        </w:rPr>
      </w:pPr>
    </w:p>
    <w:p w:rsidR="008E378B" w:rsidRPr="008E378B" w:rsidRDefault="008E378B" w:rsidP="008E378B">
      <w:pPr>
        <w:spacing w:line="360" w:lineRule="auto"/>
        <w:rPr>
          <w:sz w:val="26"/>
          <w:szCs w:val="26"/>
        </w:rPr>
      </w:pPr>
      <w:r>
        <w:rPr>
          <w:sz w:val="26"/>
          <w:szCs w:val="26"/>
        </w:rPr>
        <w:t xml:space="preserve">PPL offers the following as </w:t>
      </w:r>
      <w:r w:rsidRPr="008E378B">
        <w:rPr>
          <w:sz w:val="26"/>
          <w:szCs w:val="26"/>
        </w:rPr>
        <w:t xml:space="preserve">EGS </w:t>
      </w:r>
      <w:r>
        <w:rPr>
          <w:sz w:val="26"/>
          <w:szCs w:val="26"/>
        </w:rPr>
        <w:t>r</w:t>
      </w:r>
      <w:r w:rsidRPr="008E378B">
        <w:rPr>
          <w:sz w:val="26"/>
          <w:szCs w:val="26"/>
        </w:rPr>
        <w:t>esponsibilities</w:t>
      </w:r>
      <w:r>
        <w:rPr>
          <w:sz w:val="26"/>
          <w:szCs w:val="26"/>
        </w:rPr>
        <w:t>:</w:t>
      </w:r>
      <w:r>
        <w:rPr>
          <w:sz w:val="26"/>
          <w:szCs w:val="26"/>
        </w:rPr>
        <w:br/>
      </w:r>
    </w:p>
    <w:p w:rsidR="008E378B" w:rsidRDefault="008E378B" w:rsidP="008E378B">
      <w:pPr>
        <w:pStyle w:val="ListParagraph"/>
        <w:numPr>
          <w:ilvl w:val="0"/>
          <w:numId w:val="33"/>
        </w:numPr>
        <w:spacing w:line="360" w:lineRule="auto"/>
        <w:rPr>
          <w:sz w:val="26"/>
          <w:szCs w:val="26"/>
        </w:rPr>
      </w:pPr>
      <w:r w:rsidRPr="008E378B">
        <w:rPr>
          <w:sz w:val="26"/>
          <w:szCs w:val="26"/>
        </w:rPr>
        <w:t>Contract portability is assumed. The business model requires that the contract remains with the customer despite the move.</w:t>
      </w:r>
    </w:p>
    <w:p w:rsidR="008E378B" w:rsidRPr="008E378B" w:rsidRDefault="008E378B" w:rsidP="008E378B">
      <w:pPr>
        <w:pStyle w:val="ListParagraph"/>
        <w:numPr>
          <w:ilvl w:val="0"/>
          <w:numId w:val="33"/>
        </w:numPr>
        <w:spacing w:line="360" w:lineRule="auto"/>
        <w:rPr>
          <w:sz w:val="26"/>
          <w:szCs w:val="26"/>
        </w:rPr>
      </w:pPr>
      <w:r w:rsidRPr="008E378B">
        <w:rPr>
          <w:sz w:val="26"/>
          <w:szCs w:val="26"/>
        </w:rPr>
        <w:t>EGSs will draft new contract language for a move transaction that includes the contract portability clause.</w:t>
      </w:r>
    </w:p>
    <w:p w:rsidR="008E378B" w:rsidRDefault="008E378B" w:rsidP="008E378B">
      <w:pPr>
        <w:pStyle w:val="ListParagraph"/>
        <w:numPr>
          <w:ilvl w:val="0"/>
          <w:numId w:val="33"/>
        </w:numPr>
        <w:spacing w:line="360" w:lineRule="auto"/>
        <w:rPr>
          <w:sz w:val="26"/>
          <w:szCs w:val="26"/>
        </w:rPr>
      </w:pPr>
      <w:r w:rsidRPr="008E378B">
        <w:rPr>
          <w:sz w:val="26"/>
          <w:szCs w:val="26"/>
        </w:rPr>
        <w:t xml:space="preserve">EGSs cannot reject a seamless move transaction. </w:t>
      </w:r>
    </w:p>
    <w:p w:rsidR="008E378B" w:rsidRPr="008E378B" w:rsidRDefault="008E378B" w:rsidP="008E378B">
      <w:pPr>
        <w:pStyle w:val="ListParagraph"/>
        <w:numPr>
          <w:ilvl w:val="0"/>
          <w:numId w:val="33"/>
        </w:numPr>
        <w:spacing w:line="360" w:lineRule="auto"/>
        <w:rPr>
          <w:sz w:val="26"/>
          <w:szCs w:val="26"/>
        </w:rPr>
      </w:pPr>
      <w:r>
        <w:rPr>
          <w:sz w:val="26"/>
          <w:szCs w:val="26"/>
        </w:rPr>
        <w:t>I</w:t>
      </w:r>
      <w:r w:rsidRPr="008E378B">
        <w:rPr>
          <w:sz w:val="26"/>
          <w:szCs w:val="26"/>
        </w:rPr>
        <w:t>f an EGS does not want to maintain the contract with the moving customer, it will need to submit an 814 EDI Drop transaction. The effective/drop dates will be based on the existing switching/enrollment rules. All existing consumer</w:t>
      </w:r>
    </w:p>
    <w:p w:rsidR="00552B58" w:rsidRDefault="008E378B" w:rsidP="008E378B">
      <w:pPr>
        <w:spacing w:line="360" w:lineRule="auto"/>
        <w:ind w:firstLine="720"/>
        <w:rPr>
          <w:sz w:val="26"/>
          <w:szCs w:val="26"/>
        </w:rPr>
      </w:pPr>
      <w:proofErr w:type="gramStart"/>
      <w:r w:rsidRPr="008E378B">
        <w:rPr>
          <w:sz w:val="26"/>
          <w:szCs w:val="26"/>
        </w:rPr>
        <w:t>notification</w:t>
      </w:r>
      <w:proofErr w:type="gramEnd"/>
      <w:r w:rsidRPr="008E378B">
        <w:rPr>
          <w:sz w:val="26"/>
          <w:szCs w:val="26"/>
        </w:rPr>
        <w:t xml:space="preserve"> regulations are applicable.</w:t>
      </w:r>
    </w:p>
    <w:p w:rsidR="00B245C3" w:rsidRDefault="00B245C3" w:rsidP="00552B58">
      <w:pPr>
        <w:spacing w:line="360" w:lineRule="auto"/>
        <w:ind w:firstLine="720"/>
        <w:rPr>
          <w:sz w:val="26"/>
          <w:szCs w:val="26"/>
        </w:rPr>
      </w:pPr>
    </w:p>
    <w:p w:rsidR="00852E36" w:rsidRPr="00852E36" w:rsidRDefault="00852E36" w:rsidP="002A0C3B">
      <w:pPr>
        <w:rPr>
          <w:b/>
          <w:sz w:val="26"/>
          <w:szCs w:val="26"/>
        </w:rPr>
      </w:pPr>
      <w:r w:rsidRPr="00852E36">
        <w:rPr>
          <w:b/>
          <w:sz w:val="26"/>
          <w:szCs w:val="26"/>
        </w:rPr>
        <w:t>Instant Connects</w:t>
      </w:r>
    </w:p>
    <w:p w:rsidR="00852E36" w:rsidRDefault="00852E36" w:rsidP="002A0C3B">
      <w:pPr>
        <w:rPr>
          <w:sz w:val="26"/>
          <w:szCs w:val="26"/>
        </w:rPr>
      </w:pPr>
    </w:p>
    <w:p w:rsidR="001021AC" w:rsidRDefault="004C5648" w:rsidP="001021AC">
      <w:pPr>
        <w:spacing w:line="360" w:lineRule="auto"/>
        <w:ind w:firstLine="720"/>
        <w:rPr>
          <w:sz w:val="26"/>
          <w:szCs w:val="26"/>
        </w:rPr>
      </w:pPr>
      <w:r>
        <w:rPr>
          <w:sz w:val="26"/>
          <w:szCs w:val="26"/>
        </w:rPr>
        <w:t xml:space="preserve">PPL </w:t>
      </w:r>
      <w:r w:rsidR="001021AC">
        <w:rPr>
          <w:sz w:val="26"/>
          <w:szCs w:val="26"/>
        </w:rPr>
        <w:t xml:space="preserve">notes </w:t>
      </w:r>
      <w:r>
        <w:rPr>
          <w:sz w:val="26"/>
          <w:szCs w:val="26"/>
        </w:rPr>
        <w:t>that c</w:t>
      </w:r>
      <w:r w:rsidRPr="004C5648">
        <w:rPr>
          <w:sz w:val="26"/>
          <w:szCs w:val="26"/>
        </w:rPr>
        <w:t>urrently a new connect customer is automatically placed on default service until the customer would choose to shop with an EGS</w:t>
      </w:r>
      <w:r>
        <w:rPr>
          <w:sz w:val="26"/>
          <w:szCs w:val="26"/>
        </w:rPr>
        <w:t xml:space="preserve">.  </w:t>
      </w:r>
      <w:r w:rsidRPr="004C5648">
        <w:rPr>
          <w:sz w:val="26"/>
          <w:szCs w:val="26"/>
        </w:rPr>
        <w:t>Under the</w:t>
      </w:r>
      <w:r>
        <w:rPr>
          <w:sz w:val="26"/>
          <w:szCs w:val="26"/>
        </w:rPr>
        <w:t>ir proposed i</w:t>
      </w:r>
      <w:r w:rsidRPr="004C5648">
        <w:rPr>
          <w:sz w:val="26"/>
          <w:szCs w:val="26"/>
        </w:rPr>
        <w:t xml:space="preserve">nstant </w:t>
      </w:r>
      <w:r>
        <w:rPr>
          <w:sz w:val="26"/>
          <w:szCs w:val="26"/>
        </w:rPr>
        <w:t>c</w:t>
      </w:r>
      <w:r w:rsidRPr="004C5648">
        <w:rPr>
          <w:sz w:val="26"/>
          <w:szCs w:val="26"/>
        </w:rPr>
        <w:t>onnect process, customers will benefit from having to take no further action in selecting an EGS, and EGSs will benefit from having the customer enrolled on the earliest possible start date of a new connect.</w:t>
      </w:r>
      <w:r>
        <w:rPr>
          <w:sz w:val="26"/>
          <w:szCs w:val="26"/>
        </w:rPr>
        <w:t xml:space="preserve">  PPL</w:t>
      </w:r>
      <w:r w:rsidR="001021AC">
        <w:rPr>
          <w:sz w:val="26"/>
          <w:szCs w:val="26"/>
        </w:rPr>
        <w:t xml:space="preserve">’s planned </w:t>
      </w:r>
      <w:r>
        <w:rPr>
          <w:sz w:val="26"/>
          <w:szCs w:val="26"/>
        </w:rPr>
        <w:t xml:space="preserve">eligibility criteria for </w:t>
      </w:r>
      <w:r w:rsidR="001021AC">
        <w:rPr>
          <w:sz w:val="26"/>
          <w:szCs w:val="26"/>
        </w:rPr>
        <w:t>instant connect</w:t>
      </w:r>
      <w:r>
        <w:rPr>
          <w:sz w:val="26"/>
          <w:szCs w:val="26"/>
        </w:rPr>
        <w:t>s include</w:t>
      </w:r>
      <w:r w:rsidR="001021AC">
        <w:rPr>
          <w:sz w:val="26"/>
          <w:szCs w:val="26"/>
        </w:rPr>
        <w:t>:</w:t>
      </w:r>
    </w:p>
    <w:p w:rsidR="001021AC" w:rsidRDefault="001021AC" w:rsidP="001021AC">
      <w:pPr>
        <w:spacing w:line="360" w:lineRule="auto"/>
        <w:ind w:firstLine="720"/>
        <w:rPr>
          <w:sz w:val="26"/>
          <w:szCs w:val="26"/>
        </w:rPr>
      </w:pPr>
    </w:p>
    <w:p w:rsidR="00B4652D" w:rsidRPr="00B4652D" w:rsidRDefault="00B4652D" w:rsidP="00B4652D">
      <w:pPr>
        <w:pStyle w:val="ListParagraph"/>
        <w:numPr>
          <w:ilvl w:val="0"/>
          <w:numId w:val="34"/>
        </w:numPr>
        <w:spacing w:line="360" w:lineRule="auto"/>
        <w:rPr>
          <w:sz w:val="26"/>
          <w:szCs w:val="26"/>
        </w:rPr>
      </w:pPr>
      <w:r w:rsidRPr="00B4652D">
        <w:rPr>
          <w:sz w:val="26"/>
          <w:szCs w:val="26"/>
        </w:rPr>
        <w:lastRenderedPageBreak/>
        <w:t>New, non-shopping customers moving into PPL</w:t>
      </w:r>
      <w:r>
        <w:rPr>
          <w:sz w:val="26"/>
          <w:szCs w:val="26"/>
        </w:rPr>
        <w:t>’s</w:t>
      </w:r>
      <w:r w:rsidRPr="00B4652D">
        <w:rPr>
          <w:sz w:val="26"/>
          <w:szCs w:val="26"/>
        </w:rPr>
        <w:t xml:space="preserve"> service territory, with a desire to shop on </w:t>
      </w:r>
      <w:r>
        <w:rPr>
          <w:sz w:val="26"/>
          <w:szCs w:val="26"/>
        </w:rPr>
        <w:t>d</w:t>
      </w:r>
      <w:r w:rsidRPr="00B4652D">
        <w:rPr>
          <w:sz w:val="26"/>
          <w:szCs w:val="26"/>
        </w:rPr>
        <w:t xml:space="preserve">ay </w:t>
      </w:r>
      <w:r>
        <w:rPr>
          <w:sz w:val="26"/>
          <w:szCs w:val="26"/>
        </w:rPr>
        <w:t>one</w:t>
      </w:r>
      <w:r w:rsidRPr="00B4652D">
        <w:rPr>
          <w:sz w:val="26"/>
          <w:szCs w:val="26"/>
        </w:rPr>
        <w:t xml:space="preserve"> of service will be eligible for </w:t>
      </w:r>
      <w:r>
        <w:rPr>
          <w:sz w:val="26"/>
          <w:szCs w:val="26"/>
        </w:rPr>
        <w:t>i</w:t>
      </w:r>
      <w:r w:rsidRPr="00B4652D">
        <w:rPr>
          <w:sz w:val="26"/>
          <w:szCs w:val="26"/>
        </w:rPr>
        <w:t xml:space="preserve">nstant </w:t>
      </w:r>
      <w:r>
        <w:rPr>
          <w:sz w:val="26"/>
          <w:szCs w:val="26"/>
        </w:rPr>
        <w:t>c</w:t>
      </w:r>
      <w:r w:rsidRPr="00B4652D">
        <w:rPr>
          <w:sz w:val="26"/>
          <w:szCs w:val="26"/>
        </w:rPr>
        <w:t>onnect.</w:t>
      </w:r>
    </w:p>
    <w:p w:rsidR="00B4652D" w:rsidRPr="00B4652D" w:rsidRDefault="00B4652D" w:rsidP="00B4652D">
      <w:pPr>
        <w:pStyle w:val="ListParagraph"/>
        <w:numPr>
          <w:ilvl w:val="0"/>
          <w:numId w:val="34"/>
        </w:numPr>
        <w:spacing w:line="360" w:lineRule="auto"/>
        <w:rPr>
          <w:sz w:val="26"/>
          <w:szCs w:val="26"/>
        </w:rPr>
      </w:pPr>
      <w:r w:rsidRPr="00B4652D">
        <w:rPr>
          <w:sz w:val="26"/>
          <w:szCs w:val="26"/>
        </w:rPr>
        <w:t xml:space="preserve">The customer must have a valid account number to provide to his or her intended </w:t>
      </w:r>
      <w:r w:rsidR="00346818">
        <w:rPr>
          <w:sz w:val="26"/>
          <w:szCs w:val="26"/>
        </w:rPr>
        <w:t>EGS</w:t>
      </w:r>
      <w:r w:rsidRPr="00B4652D">
        <w:rPr>
          <w:sz w:val="26"/>
          <w:szCs w:val="26"/>
        </w:rPr>
        <w:t xml:space="preserve"> in order for the </w:t>
      </w:r>
      <w:r w:rsidR="00346818">
        <w:rPr>
          <w:sz w:val="26"/>
          <w:szCs w:val="26"/>
        </w:rPr>
        <w:t>EGS</w:t>
      </w:r>
      <w:r w:rsidRPr="00B4652D">
        <w:rPr>
          <w:sz w:val="26"/>
          <w:szCs w:val="26"/>
        </w:rPr>
        <w:t xml:space="preserve"> to send in an EDI 814 Enrollment transaction.</w:t>
      </w:r>
    </w:p>
    <w:p w:rsidR="00B4652D" w:rsidRPr="00B4652D" w:rsidRDefault="00B4652D" w:rsidP="00B4652D">
      <w:pPr>
        <w:pStyle w:val="ListParagraph"/>
        <w:numPr>
          <w:ilvl w:val="0"/>
          <w:numId w:val="34"/>
        </w:numPr>
        <w:spacing w:line="360" w:lineRule="auto"/>
        <w:rPr>
          <w:sz w:val="26"/>
          <w:szCs w:val="26"/>
        </w:rPr>
      </w:pPr>
      <w:r w:rsidRPr="00B4652D">
        <w:rPr>
          <w:sz w:val="26"/>
          <w:szCs w:val="26"/>
        </w:rPr>
        <w:t xml:space="preserve">No </w:t>
      </w:r>
      <w:r>
        <w:rPr>
          <w:sz w:val="26"/>
          <w:szCs w:val="26"/>
        </w:rPr>
        <w:t>i</w:t>
      </w:r>
      <w:r w:rsidRPr="00B4652D">
        <w:rPr>
          <w:sz w:val="26"/>
          <w:szCs w:val="26"/>
        </w:rPr>
        <w:t xml:space="preserve">nstant </w:t>
      </w:r>
      <w:r>
        <w:rPr>
          <w:sz w:val="26"/>
          <w:szCs w:val="26"/>
        </w:rPr>
        <w:t>c</w:t>
      </w:r>
      <w:r w:rsidRPr="00B4652D">
        <w:rPr>
          <w:sz w:val="26"/>
          <w:szCs w:val="26"/>
        </w:rPr>
        <w:t>onnect is available when the connect date has already occurred.</w:t>
      </w:r>
    </w:p>
    <w:p w:rsidR="00B4652D" w:rsidRDefault="00B4652D" w:rsidP="00B4652D">
      <w:pPr>
        <w:pStyle w:val="ListParagraph"/>
        <w:numPr>
          <w:ilvl w:val="0"/>
          <w:numId w:val="34"/>
        </w:numPr>
        <w:spacing w:line="360" w:lineRule="auto"/>
        <w:rPr>
          <w:sz w:val="26"/>
          <w:szCs w:val="26"/>
        </w:rPr>
      </w:pPr>
      <w:r w:rsidRPr="00B4652D">
        <w:rPr>
          <w:sz w:val="26"/>
          <w:szCs w:val="26"/>
        </w:rPr>
        <w:t xml:space="preserve">Landlord accounts are not applicable. The tenant would be eligible to shop on </w:t>
      </w:r>
      <w:r>
        <w:rPr>
          <w:sz w:val="26"/>
          <w:szCs w:val="26"/>
        </w:rPr>
        <w:t>d</w:t>
      </w:r>
      <w:r w:rsidRPr="00B4652D">
        <w:rPr>
          <w:sz w:val="26"/>
          <w:szCs w:val="26"/>
        </w:rPr>
        <w:t xml:space="preserve">ay </w:t>
      </w:r>
      <w:r>
        <w:rPr>
          <w:sz w:val="26"/>
          <w:szCs w:val="26"/>
        </w:rPr>
        <w:t>one</w:t>
      </w:r>
      <w:r w:rsidRPr="00B4652D">
        <w:rPr>
          <w:sz w:val="26"/>
          <w:szCs w:val="26"/>
        </w:rPr>
        <w:t>.</w:t>
      </w:r>
    </w:p>
    <w:p w:rsidR="00B4652D" w:rsidRPr="00B4652D" w:rsidRDefault="00B4652D" w:rsidP="00B4652D">
      <w:pPr>
        <w:pStyle w:val="ListParagraph"/>
        <w:numPr>
          <w:ilvl w:val="0"/>
          <w:numId w:val="34"/>
        </w:numPr>
        <w:spacing w:line="360" w:lineRule="auto"/>
        <w:rPr>
          <w:sz w:val="26"/>
          <w:szCs w:val="26"/>
        </w:rPr>
      </w:pPr>
      <w:r w:rsidRPr="00B4652D">
        <w:rPr>
          <w:sz w:val="26"/>
          <w:szCs w:val="26"/>
        </w:rPr>
        <w:t xml:space="preserve">Instant </w:t>
      </w:r>
      <w:r>
        <w:rPr>
          <w:sz w:val="26"/>
          <w:szCs w:val="26"/>
        </w:rPr>
        <w:t>c</w:t>
      </w:r>
      <w:r w:rsidRPr="00B4652D">
        <w:rPr>
          <w:sz w:val="26"/>
          <w:szCs w:val="26"/>
        </w:rPr>
        <w:t xml:space="preserve">onnect will be offered only to metered Residential and Small C&amp;I customers (less than 25 kW). The following chart lists eligible instant </w:t>
      </w:r>
      <w:r>
        <w:rPr>
          <w:sz w:val="26"/>
          <w:szCs w:val="26"/>
        </w:rPr>
        <w:t>c</w:t>
      </w:r>
      <w:r w:rsidRPr="00B4652D">
        <w:rPr>
          <w:sz w:val="26"/>
          <w:szCs w:val="26"/>
        </w:rPr>
        <w:t>onnect customer rate schedules:</w:t>
      </w:r>
      <w:r>
        <w:rPr>
          <w:sz w:val="26"/>
          <w:szCs w:val="26"/>
        </w:rPr>
        <w:br/>
      </w:r>
    </w:p>
    <w:tbl>
      <w:tblPr>
        <w:tblW w:w="0" w:type="auto"/>
        <w:tblInd w:w="134" w:type="dxa"/>
        <w:tblLayout w:type="fixed"/>
        <w:tblCellMar>
          <w:left w:w="0" w:type="dxa"/>
          <w:right w:w="0" w:type="dxa"/>
        </w:tblCellMar>
        <w:tblLook w:val="04A0" w:firstRow="1" w:lastRow="0" w:firstColumn="1" w:lastColumn="0" w:noHBand="0" w:noVBand="1"/>
      </w:tblPr>
      <w:tblGrid>
        <w:gridCol w:w="1622"/>
        <w:gridCol w:w="1925"/>
        <w:gridCol w:w="5511"/>
      </w:tblGrid>
      <w:tr w:rsidR="00B4652D" w:rsidTr="005F3E53">
        <w:trPr>
          <w:trHeight w:hRule="exact" w:val="600"/>
        </w:trPr>
        <w:tc>
          <w:tcPr>
            <w:tcW w:w="1622" w:type="dxa"/>
            <w:tcBorders>
              <w:top w:val="single" w:sz="7" w:space="0" w:color="000000"/>
              <w:left w:val="single" w:sz="7" w:space="0" w:color="000000"/>
              <w:bottom w:val="double" w:sz="10" w:space="0" w:color="000000"/>
              <w:right w:val="single" w:sz="7" w:space="0" w:color="000000"/>
            </w:tcBorders>
          </w:tcPr>
          <w:p w:rsidR="00B4652D" w:rsidRDefault="00B4652D" w:rsidP="005F3E53">
            <w:pPr>
              <w:spacing w:after="12" w:line="283" w:lineRule="exact"/>
              <w:jc w:val="center"/>
              <w:textAlignment w:val="baseline"/>
              <w:rPr>
                <w:rFonts w:ascii="Arial" w:eastAsia="Arial" w:hAnsi="Arial"/>
                <w:b/>
                <w:color w:val="000000"/>
              </w:rPr>
            </w:pPr>
            <w:r>
              <w:rPr>
                <w:rFonts w:ascii="Arial" w:eastAsia="Arial" w:hAnsi="Arial"/>
                <w:b/>
                <w:color w:val="000000"/>
              </w:rPr>
              <w:t xml:space="preserve">Customer </w:t>
            </w:r>
            <w:r>
              <w:rPr>
                <w:rFonts w:ascii="Arial" w:eastAsia="Arial" w:hAnsi="Arial"/>
                <w:b/>
                <w:color w:val="000000"/>
              </w:rPr>
              <w:br/>
              <w:t>Group</w:t>
            </w:r>
          </w:p>
        </w:tc>
        <w:tc>
          <w:tcPr>
            <w:tcW w:w="1925" w:type="dxa"/>
            <w:tcBorders>
              <w:top w:val="single" w:sz="7" w:space="0" w:color="000000"/>
              <w:left w:val="single" w:sz="7" w:space="0" w:color="000000"/>
              <w:bottom w:val="double" w:sz="10" w:space="0" w:color="000000"/>
              <w:right w:val="single" w:sz="7" w:space="0" w:color="000000"/>
            </w:tcBorders>
            <w:vAlign w:val="center"/>
          </w:tcPr>
          <w:p w:rsidR="00B4652D" w:rsidRDefault="00B4652D" w:rsidP="005F3E53">
            <w:pPr>
              <w:spacing w:before="173" w:after="151" w:line="271" w:lineRule="exact"/>
              <w:ind w:left="106"/>
              <w:textAlignment w:val="baseline"/>
              <w:rPr>
                <w:rFonts w:ascii="Arial" w:eastAsia="Arial" w:hAnsi="Arial"/>
                <w:b/>
                <w:color w:val="000000"/>
              </w:rPr>
            </w:pPr>
            <w:r>
              <w:rPr>
                <w:rFonts w:ascii="Arial" w:eastAsia="Arial" w:hAnsi="Arial"/>
                <w:b/>
                <w:color w:val="000000"/>
              </w:rPr>
              <w:t>Rate Schedule</w:t>
            </w:r>
          </w:p>
        </w:tc>
        <w:tc>
          <w:tcPr>
            <w:tcW w:w="5511" w:type="dxa"/>
            <w:tcBorders>
              <w:top w:val="single" w:sz="7" w:space="0" w:color="000000"/>
              <w:left w:val="single" w:sz="7" w:space="0" w:color="000000"/>
              <w:bottom w:val="double" w:sz="10" w:space="0" w:color="000000"/>
              <w:right w:val="single" w:sz="7" w:space="0" w:color="000000"/>
            </w:tcBorders>
            <w:vAlign w:val="center"/>
          </w:tcPr>
          <w:p w:rsidR="00B4652D" w:rsidRDefault="00B4652D" w:rsidP="005F3E53">
            <w:pPr>
              <w:spacing w:before="172" w:after="152" w:line="271" w:lineRule="exact"/>
              <w:ind w:right="2106"/>
              <w:jc w:val="right"/>
              <w:textAlignment w:val="baseline"/>
              <w:rPr>
                <w:rFonts w:ascii="Arial" w:eastAsia="Arial" w:hAnsi="Arial"/>
                <w:b/>
                <w:color w:val="000000"/>
              </w:rPr>
            </w:pPr>
            <w:r>
              <w:rPr>
                <w:rFonts w:ascii="Arial" w:eastAsia="Arial" w:hAnsi="Arial"/>
                <w:b/>
                <w:color w:val="000000"/>
              </w:rPr>
              <w:t>Description</w:t>
            </w:r>
          </w:p>
        </w:tc>
      </w:tr>
      <w:tr w:rsidR="00B4652D" w:rsidTr="005F3E53">
        <w:trPr>
          <w:trHeight w:hRule="exact" w:val="552"/>
        </w:trPr>
        <w:tc>
          <w:tcPr>
            <w:tcW w:w="1622" w:type="dxa"/>
            <w:vMerge w:val="restart"/>
            <w:tcBorders>
              <w:top w:val="double" w:sz="10" w:space="0" w:color="000000"/>
              <w:left w:val="single" w:sz="7" w:space="0" w:color="000000"/>
              <w:bottom w:val="single" w:sz="0" w:space="0" w:color="000000"/>
              <w:right w:val="single" w:sz="7" w:space="0" w:color="000000"/>
            </w:tcBorders>
          </w:tcPr>
          <w:p w:rsidR="00B4652D" w:rsidRDefault="00B4652D" w:rsidP="005F3E53">
            <w:pPr>
              <w:spacing w:before="351" w:after="453" w:line="271" w:lineRule="exact"/>
              <w:ind w:right="153"/>
              <w:jc w:val="right"/>
              <w:textAlignment w:val="baseline"/>
              <w:rPr>
                <w:rFonts w:ascii="Arial" w:eastAsia="Arial" w:hAnsi="Arial"/>
                <w:b/>
                <w:color w:val="000000"/>
              </w:rPr>
            </w:pPr>
            <w:r>
              <w:rPr>
                <w:rFonts w:ascii="Arial" w:eastAsia="Arial" w:hAnsi="Arial"/>
                <w:b/>
                <w:color w:val="000000"/>
              </w:rPr>
              <w:t>Residential</w:t>
            </w:r>
          </w:p>
        </w:tc>
        <w:tc>
          <w:tcPr>
            <w:tcW w:w="1925" w:type="dxa"/>
            <w:tcBorders>
              <w:top w:val="double" w:sz="10" w:space="0" w:color="000000"/>
              <w:left w:val="single" w:sz="7" w:space="0" w:color="000000"/>
              <w:bottom w:val="single" w:sz="7" w:space="0" w:color="000000"/>
              <w:right w:val="single" w:sz="7" w:space="0" w:color="000000"/>
            </w:tcBorders>
            <w:vAlign w:val="center"/>
          </w:tcPr>
          <w:p w:rsidR="00B4652D" w:rsidRDefault="00B4652D" w:rsidP="005F3E53">
            <w:pPr>
              <w:spacing w:before="154" w:after="114" w:line="274" w:lineRule="exact"/>
              <w:ind w:left="106"/>
              <w:textAlignment w:val="baseline"/>
              <w:rPr>
                <w:rFonts w:ascii="Arial" w:eastAsia="Arial" w:hAnsi="Arial"/>
                <w:color w:val="000000"/>
              </w:rPr>
            </w:pPr>
            <w:r>
              <w:rPr>
                <w:rFonts w:ascii="Arial" w:eastAsia="Arial" w:hAnsi="Arial"/>
                <w:color w:val="000000"/>
              </w:rPr>
              <w:t>RS</w:t>
            </w:r>
          </w:p>
        </w:tc>
        <w:tc>
          <w:tcPr>
            <w:tcW w:w="5511" w:type="dxa"/>
            <w:tcBorders>
              <w:top w:val="double" w:sz="10" w:space="0" w:color="000000"/>
              <w:left w:val="single" w:sz="7" w:space="0" w:color="000000"/>
              <w:bottom w:val="single" w:sz="7" w:space="0" w:color="000000"/>
              <w:right w:val="single" w:sz="7" w:space="0" w:color="000000"/>
            </w:tcBorders>
            <w:vAlign w:val="center"/>
          </w:tcPr>
          <w:p w:rsidR="00B4652D" w:rsidRDefault="00B4652D" w:rsidP="005F3E53">
            <w:pPr>
              <w:spacing w:before="154" w:after="114" w:line="274" w:lineRule="exact"/>
              <w:ind w:left="111"/>
              <w:textAlignment w:val="baseline"/>
              <w:rPr>
                <w:rFonts w:ascii="Arial" w:eastAsia="Arial" w:hAnsi="Arial"/>
                <w:color w:val="000000"/>
              </w:rPr>
            </w:pPr>
            <w:r>
              <w:rPr>
                <w:rFonts w:ascii="Arial" w:eastAsia="Arial" w:hAnsi="Arial"/>
                <w:color w:val="000000"/>
              </w:rPr>
              <w:t>RS — Residential Service</w:t>
            </w:r>
          </w:p>
        </w:tc>
      </w:tr>
      <w:tr w:rsidR="00B4652D" w:rsidTr="00B4652D">
        <w:trPr>
          <w:trHeight w:hRule="exact" w:val="899"/>
        </w:trPr>
        <w:tc>
          <w:tcPr>
            <w:tcW w:w="1622" w:type="dxa"/>
            <w:vMerge/>
            <w:tcBorders>
              <w:top w:val="single" w:sz="0" w:space="0" w:color="000000"/>
              <w:left w:val="single" w:sz="7" w:space="0" w:color="000000"/>
              <w:bottom w:val="single" w:sz="7" w:space="0" w:color="000000"/>
              <w:right w:val="single" w:sz="7" w:space="0" w:color="000000"/>
            </w:tcBorders>
          </w:tcPr>
          <w:p w:rsidR="00B4652D" w:rsidRDefault="00B4652D" w:rsidP="005F3E53"/>
        </w:tc>
        <w:tc>
          <w:tcPr>
            <w:tcW w:w="1925" w:type="dxa"/>
            <w:tcBorders>
              <w:top w:val="single" w:sz="7" w:space="0" w:color="000000"/>
              <w:left w:val="single" w:sz="7" w:space="0" w:color="000000"/>
              <w:bottom w:val="single" w:sz="7" w:space="0" w:color="000000"/>
              <w:right w:val="single" w:sz="7" w:space="0" w:color="000000"/>
            </w:tcBorders>
            <w:vAlign w:val="center"/>
          </w:tcPr>
          <w:p w:rsidR="00B4652D" w:rsidRDefault="00B4652D" w:rsidP="005F3E53">
            <w:pPr>
              <w:spacing w:before="130" w:after="119" w:line="274" w:lineRule="exact"/>
              <w:ind w:left="106"/>
              <w:textAlignment w:val="baseline"/>
              <w:rPr>
                <w:rFonts w:ascii="Arial" w:eastAsia="Arial" w:hAnsi="Arial"/>
                <w:color w:val="000000"/>
              </w:rPr>
            </w:pPr>
            <w:r>
              <w:rPr>
                <w:rFonts w:ascii="Arial" w:eastAsia="Arial" w:hAnsi="Arial"/>
                <w:color w:val="000000"/>
              </w:rPr>
              <w:t>RTS</w:t>
            </w:r>
          </w:p>
        </w:tc>
        <w:tc>
          <w:tcPr>
            <w:tcW w:w="5511" w:type="dxa"/>
            <w:tcBorders>
              <w:top w:val="single" w:sz="7" w:space="0" w:color="000000"/>
              <w:left w:val="single" w:sz="7" w:space="0" w:color="000000"/>
              <w:bottom w:val="single" w:sz="7" w:space="0" w:color="000000"/>
              <w:right w:val="single" w:sz="7" w:space="0" w:color="000000"/>
            </w:tcBorders>
            <w:vAlign w:val="center"/>
          </w:tcPr>
          <w:p w:rsidR="00B4652D" w:rsidRDefault="00B4652D" w:rsidP="005F3E53">
            <w:pPr>
              <w:spacing w:before="131" w:after="115" w:line="277" w:lineRule="exact"/>
              <w:ind w:left="111"/>
              <w:textAlignment w:val="baseline"/>
              <w:rPr>
                <w:rFonts w:ascii="Arial" w:eastAsia="Arial" w:hAnsi="Arial"/>
                <w:color w:val="000000"/>
              </w:rPr>
            </w:pPr>
            <w:r>
              <w:rPr>
                <w:rFonts w:ascii="Arial" w:eastAsia="Arial" w:hAnsi="Arial"/>
                <w:color w:val="000000"/>
              </w:rPr>
              <w:t>RTS(R) — Residential Service — Thermal Storage</w:t>
            </w:r>
          </w:p>
        </w:tc>
      </w:tr>
      <w:tr w:rsidR="00B4652D" w:rsidTr="005F3E53">
        <w:trPr>
          <w:trHeight w:hRule="exact" w:val="528"/>
        </w:trPr>
        <w:tc>
          <w:tcPr>
            <w:tcW w:w="1622" w:type="dxa"/>
            <w:vMerge w:val="restart"/>
            <w:tcBorders>
              <w:top w:val="single" w:sz="7" w:space="0" w:color="000000"/>
              <w:left w:val="single" w:sz="7" w:space="0" w:color="000000"/>
              <w:bottom w:val="single" w:sz="0" w:space="0" w:color="000000"/>
              <w:right w:val="single" w:sz="7" w:space="0" w:color="000000"/>
            </w:tcBorders>
          </w:tcPr>
          <w:p w:rsidR="00B4652D" w:rsidRDefault="00B4652D" w:rsidP="005F3E53">
            <w:pPr>
              <w:spacing w:before="884" w:after="1000" w:line="271" w:lineRule="exact"/>
              <w:ind w:right="243"/>
              <w:jc w:val="right"/>
              <w:textAlignment w:val="baseline"/>
              <w:rPr>
                <w:rFonts w:ascii="Arial" w:eastAsia="Arial" w:hAnsi="Arial"/>
                <w:b/>
                <w:color w:val="000000"/>
              </w:rPr>
            </w:pPr>
            <w:r>
              <w:rPr>
                <w:rFonts w:ascii="Arial" w:eastAsia="Arial" w:hAnsi="Arial"/>
                <w:b/>
                <w:color w:val="000000"/>
              </w:rPr>
              <w:t>Small C&amp;I</w:t>
            </w:r>
          </w:p>
        </w:tc>
        <w:tc>
          <w:tcPr>
            <w:tcW w:w="1925" w:type="dxa"/>
            <w:tcBorders>
              <w:top w:val="single" w:sz="7" w:space="0" w:color="000000"/>
              <w:left w:val="single" w:sz="7" w:space="0" w:color="000000"/>
              <w:bottom w:val="single" w:sz="7" w:space="0" w:color="000000"/>
              <w:right w:val="single" w:sz="7" w:space="0" w:color="000000"/>
            </w:tcBorders>
            <w:vAlign w:val="center"/>
          </w:tcPr>
          <w:p w:rsidR="00B4652D" w:rsidRDefault="00B4652D" w:rsidP="005F3E53">
            <w:pPr>
              <w:spacing w:before="135" w:after="118" w:line="274" w:lineRule="exact"/>
              <w:ind w:left="106"/>
              <w:textAlignment w:val="baseline"/>
              <w:rPr>
                <w:rFonts w:ascii="Arial" w:eastAsia="Arial" w:hAnsi="Arial"/>
                <w:color w:val="000000"/>
              </w:rPr>
            </w:pPr>
            <w:r>
              <w:rPr>
                <w:rFonts w:ascii="Arial" w:eastAsia="Arial" w:hAnsi="Arial"/>
                <w:color w:val="000000"/>
              </w:rPr>
              <w:t>GS-1</w:t>
            </w:r>
          </w:p>
        </w:tc>
        <w:tc>
          <w:tcPr>
            <w:tcW w:w="5511" w:type="dxa"/>
            <w:tcBorders>
              <w:top w:val="single" w:sz="7" w:space="0" w:color="000000"/>
              <w:left w:val="single" w:sz="7" w:space="0" w:color="000000"/>
              <w:bottom w:val="single" w:sz="7" w:space="0" w:color="000000"/>
              <w:right w:val="single" w:sz="7" w:space="0" w:color="000000"/>
            </w:tcBorders>
            <w:vAlign w:val="center"/>
          </w:tcPr>
          <w:p w:rsidR="00B4652D" w:rsidRDefault="00B4652D" w:rsidP="005F3E53">
            <w:pPr>
              <w:spacing w:before="132" w:after="121" w:line="274" w:lineRule="exact"/>
              <w:ind w:left="111"/>
              <w:textAlignment w:val="baseline"/>
              <w:rPr>
                <w:rFonts w:ascii="Arial" w:eastAsia="Arial" w:hAnsi="Arial"/>
                <w:color w:val="000000"/>
              </w:rPr>
            </w:pPr>
            <w:r>
              <w:rPr>
                <w:rFonts w:ascii="Arial" w:eastAsia="Arial" w:hAnsi="Arial"/>
                <w:color w:val="000000"/>
              </w:rPr>
              <w:t>GS-1 — Small General Service</w:t>
            </w:r>
          </w:p>
        </w:tc>
      </w:tr>
      <w:tr w:rsidR="00B4652D" w:rsidTr="005F3E53">
        <w:trPr>
          <w:trHeight w:hRule="exact" w:val="811"/>
        </w:trPr>
        <w:tc>
          <w:tcPr>
            <w:tcW w:w="1622" w:type="dxa"/>
            <w:vMerge/>
            <w:tcBorders>
              <w:top w:val="single" w:sz="0" w:space="0" w:color="000000"/>
              <w:left w:val="single" w:sz="7" w:space="0" w:color="000000"/>
              <w:bottom w:val="single" w:sz="0" w:space="0" w:color="000000"/>
              <w:right w:val="single" w:sz="7" w:space="0" w:color="000000"/>
            </w:tcBorders>
          </w:tcPr>
          <w:p w:rsidR="00B4652D" w:rsidRDefault="00B4652D" w:rsidP="005F3E53"/>
        </w:tc>
        <w:tc>
          <w:tcPr>
            <w:tcW w:w="1925" w:type="dxa"/>
            <w:tcBorders>
              <w:top w:val="single" w:sz="7" w:space="0" w:color="000000"/>
              <w:left w:val="single" w:sz="7" w:space="0" w:color="000000"/>
              <w:bottom w:val="single" w:sz="7" w:space="0" w:color="000000"/>
              <w:right w:val="single" w:sz="7" w:space="0" w:color="000000"/>
            </w:tcBorders>
            <w:vAlign w:val="center"/>
          </w:tcPr>
          <w:p w:rsidR="00B4652D" w:rsidRDefault="00B4652D" w:rsidP="005F3E53">
            <w:pPr>
              <w:spacing w:before="284" w:after="248" w:line="274" w:lineRule="exact"/>
              <w:ind w:left="106"/>
              <w:textAlignment w:val="baseline"/>
              <w:rPr>
                <w:rFonts w:ascii="Arial" w:eastAsia="Arial" w:hAnsi="Arial"/>
                <w:color w:val="000000"/>
              </w:rPr>
            </w:pPr>
            <w:r>
              <w:rPr>
                <w:rFonts w:ascii="Arial" w:eastAsia="Arial" w:hAnsi="Arial"/>
                <w:color w:val="000000"/>
              </w:rPr>
              <w:t>GS-3</w:t>
            </w:r>
            <w:r w:rsidR="00DD065C">
              <w:rPr>
                <w:rFonts w:ascii="Arial" w:eastAsia="Arial" w:hAnsi="Arial"/>
                <w:color w:val="000000"/>
              </w:rPr>
              <w:t>*</w:t>
            </w:r>
          </w:p>
        </w:tc>
        <w:tc>
          <w:tcPr>
            <w:tcW w:w="5511" w:type="dxa"/>
            <w:tcBorders>
              <w:top w:val="single" w:sz="7" w:space="0" w:color="000000"/>
              <w:left w:val="single" w:sz="7" w:space="0" w:color="000000"/>
              <w:bottom w:val="single" w:sz="7" w:space="0" w:color="000000"/>
              <w:right w:val="single" w:sz="7" w:space="0" w:color="000000"/>
            </w:tcBorders>
            <w:vAlign w:val="center"/>
          </w:tcPr>
          <w:p w:rsidR="00B4652D" w:rsidRDefault="00B4652D" w:rsidP="005F3E53">
            <w:pPr>
              <w:spacing w:before="139" w:after="113" w:line="277" w:lineRule="exact"/>
              <w:ind w:left="108" w:right="288"/>
              <w:textAlignment w:val="baseline"/>
              <w:rPr>
                <w:rFonts w:ascii="Arial" w:eastAsia="Arial" w:hAnsi="Arial"/>
                <w:color w:val="000000"/>
              </w:rPr>
            </w:pPr>
            <w:r>
              <w:rPr>
                <w:rFonts w:ascii="Arial" w:eastAsia="Arial" w:hAnsi="Arial"/>
                <w:color w:val="000000"/>
              </w:rPr>
              <w:t>GS-3 — Large General Service — Customers with less than 100 kW peak demand</w:t>
            </w:r>
          </w:p>
        </w:tc>
      </w:tr>
      <w:tr w:rsidR="00B4652D" w:rsidTr="005F3E53">
        <w:trPr>
          <w:trHeight w:hRule="exact" w:val="826"/>
        </w:trPr>
        <w:tc>
          <w:tcPr>
            <w:tcW w:w="1622" w:type="dxa"/>
            <w:vMerge/>
            <w:tcBorders>
              <w:top w:val="single" w:sz="0" w:space="0" w:color="000000"/>
              <w:left w:val="single" w:sz="7" w:space="0" w:color="000000"/>
              <w:bottom w:val="single" w:sz="7" w:space="0" w:color="000000"/>
              <w:right w:val="single" w:sz="7" w:space="0" w:color="000000"/>
            </w:tcBorders>
          </w:tcPr>
          <w:p w:rsidR="00B4652D" w:rsidRDefault="00B4652D" w:rsidP="005F3E53"/>
        </w:tc>
        <w:tc>
          <w:tcPr>
            <w:tcW w:w="1925" w:type="dxa"/>
            <w:tcBorders>
              <w:top w:val="single" w:sz="7" w:space="0" w:color="000000"/>
              <w:left w:val="single" w:sz="7" w:space="0" w:color="000000"/>
              <w:bottom w:val="single" w:sz="7" w:space="0" w:color="000000"/>
              <w:right w:val="single" w:sz="7" w:space="0" w:color="000000"/>
            </w:tcBorders>
            <w:vAlign w:val="center"/>
          </w:tcPr>
          <w:p w:rsidR="00B4652D" w:rsidRDefault="00B4652D" w:rsidP="005F3E53">
            <w:pPr>
              <w:spacing w:before="279" w:after="263" w:line="274" w:lineRule="exact"/>
              <w:ind w:left="106"/>
              <w:textAlignment w:val="baseline"/>
              <w:rPr>
                <w:rFonts w:ascii="Arial" w:eastAsia="Arial" w:hAnsi="Arial"/>
                <w:color w:val="000000"/>
              </w:rPr>
            </w:pPr>
            <w:r>
              <w:rPr>
                <w:rFonts w:ascii="Arial" w:eastAsia="Arial" w:hAnsi="Arial"/>
                <w:color w:val="000000"/>
              </w:rPr>
              <w:t>GH-2</w:t>
            </w:r>
          </w:p>
        </w:tc>
        <w:tc>
          <w:tcPr>
            <w:tcW w:w="5511" w:type="dxa"/>
            <w:tcBorders>
              <w:top w:val="single" w:sz="7" w:space="0" w:color="000000"/>
              <w:left w:val="single" w:sz="7" w:space="0" w:color="000000"/>
              <w:bottom w:val="single" w:sz="7" w:space="0" w:color="000000"/>
              <w:right w:val="single" w:sz="7" w:space="0" w:color="000000"/>
            </w:tcBorders>
          </w:tcPr>
          <w:p w:rsidR="00B4652D" w:rsidRDefault="00B4652D" w:rsidP="005F3E53">
            <w:pPr>
              <w:spacing w:before="124" w:after="122" w:line="285" w:lineRule="exact"/>
              <w:ind w:left="108" w:right="936"/>
              <w:textAlignment w:val="baseline"/>
              <w:rPr>
                <w:rFonts w:ascii="Arial" w:eastAsia="Arial" w:hAnsi="Arial"/>
                <w:color w:val="000000"/>
              </w:rPr>
            </w:pPr>
            <w:r>
              <w:rPr>
                <w:rFonts w:ascii="Arial" w:eastAsia="Arial" w:hAnsi="Arial"/>
                <w:color w:val="000000"/>
              </w:rPr>
              <w:t>GH-2(R) — Separate Meter General Space Heating Service</w:t>
            </w:r>
          </w:p>
        </w:tc>
      </w:tr>
      <w:tr w:rsidR="00DD065C" w:rsidTr="0079275A">
        <w:trPr>
          <w:trHeight w:hRule="exact" w:val="826"/>
        </w:trPr>
        <w:tc>
          <w:tcPr>
            <w:tcW w:w="9058" w:type="dxa"/>
            <w:gridSpan w:val="3"/>
            <w:tcBorders>
              <w:top w:val="single" w:sz="0" w:space="0" w:color="000000"/>
              <w:left w:val="single" w:sz="7" w:space="0" w:color="000000"/>
              <w:bottom w:val="single" w:sz="7" w:space="0" w:color="000000"/>
              <w:right w:val="single" w:sz="7" w:space="0" w:color="000000"/>
            </w:tcBorders>
          </w:tcPr>
          <w:p w:rsidR="00DD065C" w:rsidRDefault="00DD065C" w:rsidP="005F3E53">
            <w:pPr>
              <w:spacing w:before="124" w:after="122" w:line="285" w:lineRule="exact"/>
              <w:ind w:left="108" w:right="936"/>
              <w:textAlignment w:val="baseline"/>
              <w:rPr>
                <w:rFonts w:ascii="Arial" w:eastAsia="Arial" w:hAnsi="Arial"/>
                <w:color w:val="000000"/>
              </w:rPr>
            </w:pPr>
            <w:r>
              <w:rPr>
                <w:rFonts w:ascii="Arial" w:eastAsia="Arial" w:hAnsi="Arial"/>
                <w:color w:val="000000"/>
              </w:rPr>
              <w:t xml:space="preserve">* </w:t>
            </w:r>
            <w:r w:rsidRPr="00DD065C">
              <w:rPr>
                <w:rFonts w:eastAsia="Arial"/>
                <w:color w:val="000000"/>
              </w:rPr>
              <w:t>Note that eligibility for the GS-3 rate schedule is limited to those customers below 25kW peak demand.</w:t>
            </w:r>
            <w:r w:rsidRPr="00DD065C">
              <w:rPr>
                <w:rFonts w:ascii="Arial" w:eastAsia="Arial" w:hAnsi="Arial"/>
                <w:color w:val="000000"/>
              </w:rPr>
              <w:t xml:space="preserve">  </w:t>
            </w:r>
          </w:p>
        </w:tc>
      </w:tr>
    </w:tbl>
    <w:p w:rsidR="00B4652D" w:rsidRDefault="00B4652D" w:rsidP="00B4652D">
      <w:pPr>
        <w:spacing w:line="360" w:lineRule="auto"/>
        <w:ind w:left="360"/>
        <w:rPr>
          <w:sz w:val="26"/>
          <w:szCs w:val="26"/>
        </w:rPr>
      </w:pPr>
    </w:p>
    <w:p w:rsidR="00D9775B" w:rsidRDefault="00B4652D" w:rsidP="00B932D7">
      <w:pPr>
        <w:spacing w:line="360" w:lineRule="auto"/>
        <w:rPr>
          <w:sz w:val="26"/>
          <w:szCs w:val="26"/>
        </w:rPr>
      </w:pPr>
      <w:r w:rsidRPr="00B4652D">
        <w:rPr>
          <w:sz w:val="26"/>
          <w:szCs w:val="26"/>
        </w:rPr>
        <w:t xml:space="preserve">PPL elaborates further on the </w:t>
      </w:r>
      <w:r w:rsidR="00B932D7">
        <w:rPr>
          <w:sz w:val="26"/>
          <w:szCs w:val="26"/>
        </w:rPr>
        <w:t xml:space="preserve">proposed </w:t>
      </w:r>
      <w:r w:rsidRPr="00B4652D">
        <w:rPr>
          <w:sz w:val="26"/>
          <w:szCs w:val="26"/>
        </w:rPr>
        <w:t xml:space="preserve">process to perform </w:t>
      </w:r>
      <w:r w:rsidR="00B932D7">
        <w:rPr>
          <w:sz w:val="26"/>
          <w:szCs w:val="26"/>
        </w:rPr>
        <w:t xml:space="preserve">instant connects:  </w:t>
      </w:r>
      <w:r w:rsidR="00B932D7">
        <w:rPr>
          <w:sz w:val="26"/>
          <w:szCs w:val="26"/>
        </w:rPr>
        <w:br/>
      </w:r>
    </w:p>
    <w:p w:rsidR="00B932D7" w:rsidRPr="00B932D7" w:rsidRDefault="00B932D7" w:rsidP="00B932D7">
      <w:pPr>
        <w:pStyle w:val="ListParagraph"/>
        <w:numPr>
          <w:ilvl w:val="0"/>
          <w:numId w:val="35"/>
        </w:numPr>
        <w:spacing w:line="360" w:lineRule="auto"/>
        <w:rPr>
          <w:sz w:val="26"/>
          <w:szCs w:val="26"/>
        </w:rPr>
      </w:pPr>
      <w:r w:rsidRPr="00B932D7">
        <w:rPr>
          <w:sz w:val="26"/>
          <w:szCs w:val="26"/>
        </w:rPr>
        <w:t>There will be a confirmation letter sent by PPL for the Instant Connect EDI 814 Enrollment transaction consistent with existing shopping procedures.</w:t>
      </w:r>
    </w:p>
    <w:p w:rsidR="00B932D7" w:rsidRPr="00B932D7" w:rsidRDefault="00B932D7" w:rsidP="00B932D7">
      <w:pPr>
        <w:pStyle w:val="ListParagraph"/>
        <w:numPr>
          <w:ilvl w:val="0"/>
          <w:numId w:val="35"/>
        </w:numPr>
        <w:spacing w:line="360" w:lineRule="auto"/>
        <w:rPr>
          <w:sz w:val="26"/>
          <w:szCs w:val="26"/>
        </w:rPr>
      </w:pPr>
      <w:r w:rsidRPr="00B932D7">
        <w:rPr>
          <w:sz w:val="26"/>
          <w:szCs w:val="26"/>
        </w:rPr>
        <w:lastRenderedPageBreak/>
        <w:t>PPL will send out an EDI 814 Enrollment response the next business day after the EDI 814 Enrollment transaction is received from the EGS.</w:t>
      </w:r>
    </w:p>
    <w:p w:rsidR="00B932D7" w:rsidRPr="00B932D7" w:rsidRDefault="00B932D7" w:rsidP="00B932D7">
      <w:pPr>
        <w:pStyle w:val="ListParagraph"/>
        <w:numPr>
          <w:ilvl w:val="0"/>
          <w:numId w:val="35"/>
        </w:numPr>
        <w:spacing w:line="360" w:lineRule="auto"/>
        <w:rPr>
          <w:sz w:val="26"/>
          <w:szCs w:val="26"/>
        </w:rPr>
      </w:pPr>
      <w:r w:rsidRPr="00B932D7">
        <w:rPr>
          <w:sz w:val="26"/>
          <w:szCs w:val="26"/>
        </w:rPr>
        <w:t>If the account is not active when the EDI 814 Enrollment transaction is processed, the transaction will not be rejected by PPL. Instead, PPL will send an EDI 814 Enrollment response transaction to the EGS with the anticipated connect date.</w:t>
      </w:r>
    </w:p>
    <w:p w:rsidR="00B932D7" w:rsidRPr="00B23E5E" w:rsidRDefault="00B932D7" w:rsidP="00B23E5E">
      <w:pPr>
        <w:pStyle w:val="ListParagraph"/>
        <w:numPr>
          <w:ilvl w:val="0"/>
          <w:numId w:val="35"/>
        </w:numPr>
        <w:spacing w:line="360" w:lineRule="auto"/>
        <w:rPr>
          <w:sz w:val="26"/>
          <w:szCs w:val="26"/>
        </w:rPr>
      </w:pPr>
      <w:r w:rsidRPr="00B23E5E">
        <w:rPr>
          <w:sz w:val="26"/>
          <w:szCs w:val="26"/>
        </w:rPr>
        <w:t>If an account does not become active at the new location due to obligations not being met, such as security deposits or proof of identification, PPL will void the new account, and an EDI 814 Drop transaction will be sent to the EGS.  PPL will send an EDI 814 Change transaction with the updated start date if the anticipated connect date previously communicated on the EDI 814 Enrollment response transaction has changed.</w:t>
      </w:r>
    </w:p>
    <w:p w:rsidR="00B932D7" w:rsidRPr="00B932D7" w:rsidRDefault="00B932D7" w:rsidP="00B932D7">
      <w:pPr>
        <w:pStyle w:val="ListParagraph"/>
        <w:numPr>
          <w:ilvl w:val="0"/>
          <w:numId w:val="35"/>
        </w:numPr>
        <w:spacing w:line="360" w:lineRule="auto"/>
        <w:rPr>
          <w:sz w:val="26"/>
          <w:szCs w:val="26"/>
        </w:rPr>
      </w:pPr>
      <w:r w:rsidRPr="00B932D7">
        <w:rPr>
          <w:sz w:val="26"/>
          <w:szCs w:val="26"/>
        </w:rPr>
        <w:t>Once an EGS relationship is established with a pending active account, all</w:t>
      </w:r>
    </w:p>
    <w:p w:rsidR="00B932D7" w:rsidRDefault="00B932D7" w:rsidP="00B932D7">
      <w:pPr>
        <w:spacing w:line="360" w:lineRule="auto"/>
        <w:ind w:left="720"/>
        <w:rPr>
          <w:sz w:val="26"/>
          <w:szCs w:val="26"/>
        </w:rPr>
      </w:pPr>
      <w:r w:rsidRPr="00B932D7">
        <w:rPr>
          <w:sz w:val="26"/>
          <w:szCs w:val="26"/>
        </w:rPr>
        <w:t>EDI 814 Change transactions that an EGS would typically receive for an active account will be sent by PPL.</w:t>
      </w:r>
    </w:p>
    <w:p w:rsidR="00B932D7" w:rsidRDefault="00B932D7" w:rsidP="00B932D7">
      <w:pPr>
        <w:pStyle w:val="ListParagraph"/>
        <w:numPr>
          <w:ilvl w:val="0"/>
          <w:numId w:val="35"/>
        </w:numPr>
        <w:spacing w:line="360" w:lineRule="auto"/>
        <w:rPr>
          <w:sz w:val="26"/>
          <w:szCs w:val="26"/>
        </w:rPr>
      </w:pPr>
      <w:r w:rsidRPr="00B932D7">
        <w:rPr>
          <w:sz w:val="26"/>
          <w:szCs w:val="26"/>
        </w:rPr>
        <w:t>PPL will begin scheduling for the load, based upon the anticipated connect date.</w:t>
      </w:r>
      <w:r w:rsidRPr="00B932D7">
        <w:rPr>
          <w:sz w:val="26"/>
          <w:szCs w:val="26"/>
        </w:rPr>
        <w:br/>
      </w:r>
    </w:p>
    <w:p w:rsidR="00B932D7" w:rsidRDefault="00B932D7" w:rsidP="00B932D7">
      <w:pPr>
        <w:spacing w:line="360" w:lineRule="auto"/>
        <w:rPr>
          <w:sz w:val="26"/>
          <w:szCs w:val="26"/>
        </w:rPr>
      </w:pPr>
      <w:r w:rsidRPr="00B932D7">
        <w:rPr>
          <w:sz w:val="26"/>
          <w:szCs w:val="26"/>
        </w:rPr>
        <w:t>PPL offers the following as EGS responsibilities</w:t>
      </w:r>
      <w:r>
        <w:rPr>
          <w:sz w:val="26"/>
          <w:szCs w:val="26"/>
        </w:rPr>
        <w:t xml:space="preserve"> concerning instant connects</w:t>
      </w:r>
      <w:r w:rsidRPr="00B932D7">
        <w:rPr>
          <w:sz w:val="26"/>
          <w:szCs w:val="26"/>
        </w:rPr>
        <w:t>:</w:t>
      </w:r>
      <w:r>
        <w:rPr>
          <w:sz w:val="26"/>
          <w:szCs w:val="26"/>
        </w:rPr>
        <w:br/>
      </w:r>
    </w:p>
    <w:p w:rsidR="00B932D7" w:rsidRPr="00B932D7" w:rsidRDefault="00B932D7" w:rsidP="00B932D7">
      <w:pPr>
        <w:pStyle w:val="ListParagraph"/>
        <w:numPr>
          <w:ilvl w:val="0"/>
          <w:numId w:val="35"/>
        </w:numPr>
        <w:spacing w:line="360" w:lineRule="auto"/>
        <w:rPr>
          <w:sz w:val="26"/>
          <w:szCs w:val="26"/>
        </w:rPr>
      </w:pPr>
      <w:r w:rsidRPr="00B932D7">
        <w:rPr>
          <w:sz w:val="26"/>
          <w:szCs w:val="26"/>
        </w:rPr>
        <w:t>EGS must send an EDI 814 Enrollment transaction to PPL consistent with current enrollment practice.</w:t>
      </w:r>
    </w:p>
    <w:p w:rsidR="00B932D7" w:rsidRPr="00B932D7" w:rsidRDefault="00B932D7" w:rsidP="00B932D7">
      <w:pPr>
        <w:pStyle w:val="ListParagraph"/>
        <w:numPr>
          <w:ilvl w:val="0"/>
          <w:numId w:val="35"/>
        </w:numPr>
        <w:spacing w:line="360" w:lineRule="auto"/>
        <w:rPr>
          <w:sz w:val="26"/>
          <w:szCs w:val="26"/>
        </w:rPr>
      </w:pPr>
      <w:r w:rsidRPr="00B932D7">
        <w:rPr>
          <w:sz w:val="26"/>
          <w:szCs w:val="26"/>
        </w:rPr>
        <w:t>EGS must solicit the customer for demographic information for new customers moving into PPL</w:t>
      </w:r>
      <w:r>
        <w:rPr>
          <w:sz w:val="26"/>
          <w:szCs w:val="26"/>
        </w:rPr>
        <w:t>’s</w:t>
      </w:r>
      <w:r w:rsidRPr="00B932D7">
        <w:rPr>
          <w:sz w:val="26"/>
          <w:szCs w:val="26"/>
        </w:rPr>
        <w:t xml:space="preserve"> service territory.</w:t>
      </w:r>
    </w:p>
    <w:p w:rsidR="00B932D7" w:rsidRPr="00B932D7" w:rsidRDefault="00B932D7" w:rsidP="00B932D7">
      <w:pPr>
        <w:pStyle w:val="ListParagraph"/>
        <w:numPr>
          <w:ilvl w:val="0"/>
          <w:numId w:val="35"/>
        </w:numPr>
        <w:spacing w:line="360" w:lineRule="auto"/>
        <w:rPr>
          <w:sz w:val="26"/>
          <w:szCs w:val="26"/>
        </w:rPr>
      </w:pPr>
      <w:r w:rsidRPr="00B932D7">
        <w:rPr>
          <w:sz w:val="26"/>
          <w:szCs w:val="26"/>
        </w:rPr>
        <w:t>EGS must send the customer a letter within three business days after receipt of the EDI 814 Enrollment response detailing the terms and conditions of its program. Additionally, the EGS is obligated to comply with all rules and regulations set forth in 52 Pa. Code Chapter 54.</w:t>
      </w:r>
      <w:r w:rsidRPr="00B932D7">
        <w:rPr>
          <w:sz w:val="26"/>
          <w:szCs w:val="26"/>
        </w:rPr>
        <w:br/>
      </w:r>
    </w:p>
    <w:p w:rsidR="00AD68FB" w:rsidRDefault="00AD68FB" w:rsidP="00903E8B">
      <w:pPr>
        <w:spacing w:line="360" w:lineRule="auto"/>
        <w:rPr>
          <w:b/>
          <w:sz w:val="26"/>
          <w:szCs w:val="26"/>
        </w:rPr>
      </w:pPr>
    </w:p>
    <w:p w:rsidR="00903E8B" w:rsidRDefault="00903E8B" w:rsidP="00903E8B">
      <w:pPr>
        <w:spacing w:line="360" w:lineRule="auto"/>
        <w:rPr>
          <w:b/>
          <w:sz w:val="26"/>
          <w:szCs w:val="26"/>
        </w:rPr>
      </w:pPr>
      <w:r w:rsidRPr="004B293E">
        <w:rPr>
          <w:b/>
          <w:sz w:val="26"/>
          <w:szCs w:val="26"/>
        </w:rPr>
        <w:lastRenderedPageBreak/>
        <w:t>Cost and Cost Recovery</w:t>
      </w:r>
    </w:p>
    <w:p w:rsidR="001021AC" w:rsidRPr="004B293E" w:rsidRDefault="001021AC" w:rsidP="00903E8B">
      <w:pPr>
        <w:spacing w:line="360" w:lineRule="auto"/>
        <w:rPr>
          <w:b/>
          <w:sz w:val="26"/>
          <w:szCs w:val="26"/>
        </w:rPr>
      </w:pPr>
    </w:p>
    <w:p w:rsidR="00B932D7" w:rsidRPr="00B932D7" w:rsidRDefault="00B932D7" w:rsidP="00B932D7">
      <w:pPr>
        <w:spacing w:line="360" w:lineRule="auto"/>
        <w:ind w:firstLine="720"/>
        <w:rPr>
          <w:sz w:val="26"/>
          <w:szCs w:val="26"/>
        </w:rPr>
      </w:pPr>
      <w:r w:rsidRPr="00B932D7">
        <w:rPr>
          <w:sz w:val="26"/>
          <w:szCs w:val="26"/>
        </w:rPr>
        <w:t xml:space="preserve">PPL estimates the capital costs associated with implementing </w:t>
      </w:r>
      <w:r>
        <w:rPr>
          <w:sz w:val="26"/>
          <w:szCs w:val="26"/>
        </w:rPr>
        <w:t>s</w:t>
      </w:r>
      <w:r w:rsidRPr="00B932D7">
        <w:rPr>
          <w:sz w:val="26"/>
          <w:szCs w:val="26"/>
        </w:rPr>
        <w:t xml:space="preserve">eamless </w:t>
      </w:r>
      <w:r>
        <w:rPr>
          <w:sz w:val="26"/>
          <w:szCs w:val="26"/>
        </w:rPr>
        <w:t>m</w:t>
      </w:r>
      <w:r w:rsidRPr="00B932D7">
        <w:rPr>
          <w:sz w:val="26"/>
          <w:szCs w:val="26"/>
        </w:rPr>
        <w:t xml:space="preserve">oves and </w:t>
      </w:r>
      <w:r>
        <w:rPr>
          <w:sz w:val="26"/>
          <w:szCs w:val="26"/>
        </w:rPr>
        <w:t>i</w:t>
      </w:r>
      <w:r w:rsidRPr="00B932D7">
        <w:rPr>
          <w:sz w:val="26"/>
          <w:szCs w:val="26"/>
        </w:rPr>
        <w:t xml:space="preserve">nstant </w:t>
      </w:r>
      <w:r>
        <w:rPr>
          <w:sz w:val="26"/>
          <w:szCs w:val="26"/>
        </w:rPr>
        <w:t>c</w:t>
      </w:r>
      <w:r w:rsidRPr="00B932D7">
        <w:rPr>
          <w:sz w:val="26"/>
          <w:szCs w:val="26"/>
        </w:rPr>
        <w:t xml:space="preserve">onnects will be approximately $700,000, which includes modifications to </w:t>
      </w:r>
      <w:r>
        <w:rPr>
          <w:sz w:val="26"/>
          <w:szCs w:val="26"/>
        </w:rPr>
        <w:t>PPL’s</w:t>
      </w:r>
      <w:r w:rsidRPr="00B932D7">
        <w:rPr>
          <w:sz w:val="26"/>
          <w:szCs w:val="26"/>
        </w:rPr>
        <w:t xml:space="preserve"> billing and EDI systems. </w:t>
      </w:r>
      <w:r>
        <w:rPr>
          <w:sz w:val="26"/>
          <w:szCs w:val="26"/>
        </w:rPr>
        <w:t xml:space="preserve"> </w:t>
      </w:r>
      <w:r w:rsidRPr="00B932D7">
        <w:rPr>
          <w:sz w:val="26"/>
          <w:szCs w:val="26"/>
        </w:rPr>
        <w:t>PPL proposes to seek recovery of these costs in future base rate filings.</w:t>
      </w:r>
      <w:r>
        <w:rPr>
          <w:sz w:val="26"/>
          <w:szCs w:val="26"/>
        </w:rPr>
        <w:t xml:space="preserve">  </w:t>
      </w:r>
      <w:r w:rsidRPr="00B932D7">
        <w:rPr>
          <w:sz w:val="26"/>
          <w:szCs w:val="26"/>
        </w:rPr>
        <w:t xml:space="preserve">Additionally, PPL estimates the ongoing expenses associated with the need for additional Customer Service Representative </w:t>
      </w:r>
      <w:r>
        <w:rPr>
          <w:sz w:val="26"/>
          <w:szCs w:val="26"/>
        </w:rPr>
        <w:t xml:space="preserve">(CSR) </w:t>
      </w:r>
      <w:r w:rsidRPr="00B932D7">
        <w:rPr>
          <w:sz w:val="26"/>
          <w:szCs w:val="26"/>
        </w:rPr>
        <w:t xml:space="preserve">time to administer the </w:t>
      </w:r>
      <w:r>
        <w:rPr>
          <w:sz w:val="26"/>
          <w:szCs w:val="26"/>
        </w:rPr>
        <w:t>s</w:t>
      </w:r>
      <w:r w:rsidRPr="00B932D7">
        <w:rPr>
          <w:sz w:val="26"/>
          <w:szCs w:val="26"/>
        </w:rPr>
        <w:t xml:space="preserve">eamless </w:t>
      </w:r>
      <w:r>
        <w:rPr>
          <w:sz w:val="26"/>
          <w:szCs w:val="26"/>
        </w:rPr>
        <w:t>m</w:t>
      </w:r>
      <w:r w:rsidRPr="00B932D7">
        <w:rPr>
          <w:sz w:val="26"/>
          <w:szCs w:val="26"/>
        </w:rPr>
        <w:t xml:space="preserve">oves and </w:t>
      </w:r>
      <w:r>
        <w:rPr>
          <w:sz w:val="26"/>
          <w:szCs w:val="26"/>
        </w:rPr>
        <w:t>i</w:t>
      </w:r>
      <w:r w:rsidRPr="00B932D7">
        <w:rPr>
          <w:sz w:val="26"/>
          <w:szCs w:val="26"/>
        </w:rPr>
        <w:t xml:space="preserve">nstant </w:t>
      </w:r>
      <w:r>
        <w:rPr>
          <w:sz w:val="26"/>
          <w:szCs w:val="26"/>
        </w:rPr>
        <w:t>c</w:t>
      </w:r>
      <w:r w:rsidRPr="00B932D7">
        <w:rPr>
          <w:sz w:val="26"/>
          <w:szCs w:val="26"/>
        </w:rPr>
        <w:t>onnect transactions will not exceed $10,000 annually. PPL also proposes to seek recovery of these costs in future base rate filings.</w:t>
      </w:r>
    </w:p>
    <w:p w:rsidR="00903E8B" w:rsidRPr="00903E8B" w:rsidRDefault="00903E8B" w:rsidP="00903E8B">
      <w:pPr>
        <w:spacing w:line="360" w:lineRule="auto"/>
        <w:rPr>
          <w:sz w:val="26"/>
          <w:szCs w:val="26"/>
        </w:rPr>
      </w:pPr>
    </w:p>
    <w:p w:rsidR="005C53D1" w:rsidRPr="004B293E" w:rsidRDefault="004B293E" w:rsidP="005C53D1">
      <w:pPr>
        <w:spacing w:line="360" w:lineRule="auto"/>
        <w:rPr>
          <w:b/>
          <w:sz w:val="26"/>
          <w:szCs w:val="26"/>
        </w:rPr>
      </w:pPr>
      <w:r w:rsidRPr="004B293E">
        <w:rPr>
          <w:b/>
          <w:sz w:val="26"/>
          <w:szCs w:val="26"/>
        </w:rPr>
        <w:t>Timeline</w:t>
      </w:r>
    </w:p>
    <w:p w:rsidR="00F0470C" w:rsidRDefault="00F0470C" w:rsidP="002A0C3B">
      <w:pPr>
        <w:rPr>
          <w:sz w:val="26"/>
          <w:szCs w:val="26"/>
        </w:rPr>
      </w:pPr>
    </w:p>
    <w:p w:rsidR="00F2675E" w:rsidRPr="00F2675E" w:rsidRDefault="00F2675E" w:rsidP="00F2675E">
      <w:pPr>
        <w:spacing w:line="360" w:lineRule="auto"/>
        <w:ind w:firstLine="720"/>
        <w:rPr>
          <w:sz w:val="26"/>
          <w:szCs w:val="26"/>
        </w:rPr>
      </w:pPr>
      <w:r>
        <w:rPr>
          <w:sz w:val="26"/>
          <w:szCs w:val="26"/>
        </w:rPr>
        <w:t>T</w:t>
      </w:r>
      <w:r w:rsidRPr="00F2675E">
        <w:rPr>
          <w:sz w:val="26"/>
          <w:szCs w:val="26"/>
        </w:rPr>
        <w:t xml:space="preserve">o meet the July 1, 2016 timeline PPL must modify both its billing and EDI systems. </w:t>
      </w:r>
      <w:r>
        <w:rPr>
          <w:sz w:val="26"/>
          <w:szCs w:val="26"/>
        </w:rPr>
        <w:t xml:space="preserve"> A</w:t>
      </w:r>
      <w:r w:rsidRPr="00F2675E">
        <w:rPr>
          <w:sz w:val="26"/>
          <w:szCs w:val="26"/>
        </w:rPr>
        <w:t>ddition</w:t>
      </w:r>
      <w:r>
        <w:rPr>
          <w:sz w:val="26"/>
          <w:szCs w:val="26"/>
        </w:rPr>
        <w:t>ally</w:t>
      </w:r>
      <w:r w:rsidRPr="00F2675E">
        <w:rPr>
          <w:sz w:val="26"/>
          <w:szCs w:val="26"/>
        </w:rPr>
        <w:t xml:space="preserve">, </w:t>
      </w:r>
      <w:r>
        <w:rPr>
          <w:sz w:val="26"/>
          <w:szCs w:val="26"/>
        </w:rPr>
        <w:t>PPL</w:t>
      </w:r>
      <w:r w:rsidRPr="00F2675E">
        <w:rPr>
          <w:sz w:val="26"/>
          <w:szCs w:val="26"/>
        </w:rPr>
        <w:t xml:space="preserve"> must educate its employees, particularly its CSRs, on the details of both new programs.</w:t>
      </w:r>
      <w:r>
        <w:rPr>
          <w:sz w:val="26"/>
          <w:szCs w:val="26"/>
        </w:rPr>
        <w:t xml:space="preserve"> </w:t>
      </w:r>
      <w:r w:rsidRPr="00F2675E">
        <w:rPr>
          <w:sz w:val="26"/>
          <w:szCs w:val="26"/>
        </w:rPr>
        <w:t xml:space="preserve"> Accordingly, in order to have</w:t>
      </w:r>
      <w:r>
        <w:rPr>
          <w:sz w:val="26"/>
          <w:szCs w:val="26"/>
        </w:rPr>
        <w:t xml:space="preserve"> </w:t>
      </w:r>
      <w:r w:rsidRPr="00F2675E">
        <w:rPr>
          <w:sz w:val="26"/>
          <w:szCs w:val="26"/>
        </w:rPr>
        <w:t>sufficient time to undertake these initiatives and meet the July 1, 2016 timeline, PPL requests Commission approval of the</w:t>
      </w:r>
      <w:r>
        <w:rPr>
          <w:sz w:val="26"/>
          <w:szCs w:val="26"/>
        </w:rPr>
        <w:t>ir plan</w:t>
      </w:r>
      <w:r w:rsidRPr="00F2675E">
        <w:rPr>
          <w:sz w:val="26"/>
          <w:szCs w:val="26"/>
        </w:rPr>
        <w:t xml:space="preserve"> on an expedited basis.</w:t>
      </w:r>
    </w:p>
    <w:p w:rsidR="0020341B" w:rsidRDefault="0020341B" w:rsidP="00F0470C">
      <w:pPr>
        <w:spacing w:line="360" w:lineRule="auto"/>
        <w:ind w:firstLine="720"/>
        <w:rPr>
          <w:sz w:val="26"/>
          <w:szCs w:val="26"/>
        </w:rPr>
      </w:pPr>
    </w:p>
    <w:p w:rsidR="004551AD" w:rsidRPr="004551AD" w:rsidRDefault="004551AD" w:rsidP="004551AD">
      <w:pPr>
        <w:spacing w:line="360" w:lineRule="auto"/>
        <w:jc w:val="center"/>
        <w:rPr>
          <w:b/>
          <w:sz w:val="26"/>
          <w:szCs w:val="26"/>
        </w:rPr>
      </w:pPr>
      <w:r w:rsidRPr="004551AD">
        <w:rPr>
          <w:b/>
          <w:sz w:val="26"/>
          <w:szCs w:val="26"/>
        </w:rPr>
        <w:t>COMMENTS</w:t>
      </w:r>
    </w:p>
    <w:p w:rsidR="004551AD" w:rsidRDefault="004551AD" w:rsidP="00F0470C">
      <w:pPr>
        <w:spacing w:line="360" w:lineRule="auto"/>
        <w:ind w:firstLine="720"/>
        <w:rPr>
          <w:sz w:val="26"/>
          <w:szCs w:val="26"/>
        </w:rPr>
      </w:pPr>
    </w:p>
    <w:p w:rsidR="0020341B" w:rsidRDefault="005063A3" w:rsidP="004551AD">
      <w:pPr>
        <w:spacing w:line="360" w:lineRule="auto"/>
        <w:ind w:firstLine="720"/>
        <w:rPr>
          <w:sz w:val="26"/>
          <w:szCs w:val="26"/>
        </w:rPr>
      </w:pPr>
      <w:r>
        <w:rPr>
          <w:sz w:val="26"/>
          <w:szCs w:val="26"/>
        </w:rPr>
        <w:t>Two</w:t>
      </w:r>
      <w:r w:rsidR="004551AD">
        <w:rPr>
          <w:sz w:val="26"/>
          <w:szCs w:val="26"/>
        </w:rPr>
        <w:t xml:space="preserve"> parties, FirstEnergy Solutions (FES)</w:t>
      </w:r>
      <w:r>
        <w:rPr>
          <w:sz w:val="26"/>
          <w:szCs w:val="26"/>
        </w:rPr>
        <w:t xml:space="preserve"> and the</w:t>
      </w:r>
      <w:r w:rsidR="004551AD">
        <w:rPr>
          <w:sz w:val="26"/>
          <w:szCs w:val="26"/>
        </w:rPr>
        <w:t xml:space="preserve"> Office of Consumer Advocate (OCA)</w:t>
      </w:r>
      <w:r w:rsidR="0020341B">
        <w:rPr>
          <w:sz w:val="26"/>
          <w:szCs w:val="26"/>
        </w:rPr>
        <w:t xml:space="preserve"> </w:t>
      </w:r>
      <w:r w:rsidR="004551AD">
        <w:rPr>
          <w:sz w:val="26"/>
          <w:szCs w:val="26"/>
        </w:rPr>
        <w:t xml:space="preserve">filed comments in response to </w:t>
      </w:r>
      <w:r w:rsidR="00F2675E">
        <w:rPr>
          <w:sz w:val="26"/>
          <w:szCs w:val="26"/>
        </w:rPr>
        <w:t>PPL’s</w:t>
      </w:r>
      <w:r w:rsidR="004551AD">
        <w:rPr>
          <w:sz w:val="26"/>
          <w:szCs w:val="26"/>
        </w:rPr>
        <w:t xml:space="preserve"> April 20, 2015 plan filing. </w:t>
      </w:r>
    </w:p>
    <w:p w:rsidR="0020341B" w:rsidRDefault="0020341B" w:rsidP="004551AD">
      <w:pPr>
        <w:spacing w:line="360" w:lineRule="auto"/>
        <w:ind w:firstLine="720"/>
        <w:rPr>
          <w:sz w:val="26"/>
          <w:szCs w:val="26"/>
        </w:rPr>
      </w:pPr>
    </w:p>
    <w:p w:rsidR="00EC3A07" w:rsidRDefault="004551AD" w:rsidP="004551AD">
      <w:pPr>
        <w:spacing w:line="360" w:lineRule="auto"/>
        <w:ind w:firstLine="720"/>
        <w:rPr>
          <w:sz w:val="26"/>
          <w:szCs w:val="26"/>
        </w:rPr>
      </w:pPr>
      <w:r w:rsidRPr="004551AD">
        <w:rPr>
          <w:sz w:val="26"/>
          <w:szCs w:val="26"/>
        </w:rPr>
        <w:t xml:space="preserve">FES insists that the EDC's plan should recognize an EGS's right to reject a seamless move request. </w:t>
      </w:r>
      <w:r w:rsidR="00EC2040">
        <w:rPr>
          <w:sz w:val="26"/>
          <w:szCs w:val="26"/>
        </w:rPr>
        <w:t xml:space="preserve"> </w:t>
      </w:r>
      <w:r w:rsidRPr="004551AD">
        <w:rPr>
          <w:sz w:val="26"/>
          <w:szCs w:val="26"/>
        </w:rPr>
        <w:t xml:space="preserve">FES notes that contract portability implicates the legal terms and conditions of an EGS's contract with its customer, as well as business and logistical issues.  Accordingly, the EDC plans should recognize that both the customer and EGS must agree to a seamless move. </w:t>
      </w:r>
      <w:r w:rsidR="00EC2040">
        <w:rPr>
          <w:sz w:val="26"/>
          <w:szCs w:val="26"/>
        </w:rPr>
        <w:t xml:space="preserve"> </w:t>
      </w:r>
      <w:r w:rsidRPr="004551AD">
        <w:rPr>
          <w:sz w:val="26"/>
          <w:szCs w:val="26"/>
        </w:rPr>
        <w:t xml:space="preserve">FES recommends that if an EGS does not respond to an </w:t>
      </w:r>
      <w:r w:rsidRPr="004551AD">
        <w:rPr>
          <w:sz w:val="26"/>
          <w:szCs w:val="26"/>
        </w:rPr>
        <w:lastRenderedPageBreak/>
        <w:t xml:space="preserve">EDI request within three days, the seamless move is </w:t>
      </w:r>
      <w:r w:rsidR="00EC3A07">
        <w:rPr>
          <w:sz w:val="26"/>
          <w:szCs w:val="26"/>
        </w:rPr>
        <w:t xml:space="preserve">to be </w:t>
      </w:r>
      <w:r w:rsidRPr="004551AD">
        <w:rPr>
          <w:sz w:val="26"/>
          <w:szCs w:val="26"/>
        </w:rPr>
        <w:t>deemed rejected and the EGS's service will not follow the customer</w:t>
      </w:r>
      <w:r w:rsidR="00EC3A07">
        <w:rPr>
          <w:sz w:val="26"/>
          <w:szCs w:val="26"/>
        </w:rPr>
        <w:t xml:space="preserve">. </w:t>
      </w:r>
      <w:r w:rsidRPr="004551AD">
        <w:rPr>
          <w:sz w:val="26"/>
          <w:szCs w:val="26"/>
        </w:rPr>
        <w:t xml:space="preserve"> </w:t>
      </w:r>
      <w:proofErr w:type="gramStart"/>
      <w:r w:rsidR="00EC3A07" w:rsidRPr="004551AD">
        <w:rPr>
          <w:sz w:val="26"/>
          <w:szCs w:val="26"/>
        </w:rPr>
        <w:t>FES at 3.</w:t>
      </w:r>
      <w:proofErr w:type="gramEnd"/>
      <w:r w:rsidR="00EC3A07">
        <w:rPr>
          <w:sz w:val="26"/>
          <w:szCs w:val="26"/>
        </w:rPr>
        <w:t xml:space="preserve">  </w:t>
      </w:r>
    </w:p>
    <w:p w:rsidR="00EC3A07" w:rsidRDefault="00EC3A07" w:rsidP="004551AD">
      <w:pPr>
        <w:spacing w:line="360" w:lineRule="auto"/>
        <w:ind w:firstLine="720"/>
        <w:rPr>
          <w:sz w:val="26"/>
          <w:szCs w:val="26"/>
        </w:rPr>
      </w:pPr>
    </w:p>
    <w:p w:rsidR="004551AD" w:rsidRDefault="00EC3A07" w:rsidP="004551AD">
      <w:pPr>
        <w:spacing w:line="360" w:lineRule="auto"/>
        <w:ind w:firstLine="720"/>
        <w:rPr>
          <w:sz w:val="26"/>
          <w:szCs w:val="26"/>
        </w:rPr>
      </w:pPr>
      <w:r>
        <w:rPr>
          <w:sz w:val="26"/>
          <w:szCs w:val="26"/>
        </w:rPr>
        <w:t>FES states that</w:t>
      </w:r>
      <w:r w:rsidR="004551AD" w:rsidRPr="004551AD">
        <w:rPr>
          <w:sz w:val="26"/>
          <w:szCs w:val="26"/>
        </w:rPr>
        <w:t xml:space="preserve"> EGS</w:t>
      </w:r>
      <w:r>
        <w:rPr>
          <w:sz w:val="26"/>
          <w:szCs w:val="26"/>
        </w:rPr>
        <w:t>s</w:t>
      </w:r>
      <w:r w:rsidR="004551AD" w:rsidRPr="004551AD">
        <w:rPr>
          <w:sz w:val="26"/>
          <w:szCs w:val="26"/>
        </w:rPr>
        <w:t xml:space="preserve"> should not be required to serve </w:t>
      </w:r>
      <w:r>
        <w:rPr>
          <w:sz w:val="26"/>
          <w:szCs w:val="26"/>
        </w:rPr>
        <w:t>a</w:t>
      </w:r>
      <w:r w:rsidRPr="004551AD">
        <w:rPr>
          <w:sz w:val="26"/>
          <w:szCs w:val="26"/>
        </w:rPr>
        <w:t xml:space="preserve"> </w:t>
      </w:r>
      <w:r w:rsidR="004551AD" w:rsidRPr="004551AD">
        <w:rPr>
          <w:sz w:val="26"/>
          <w:szCs w:val="26"/>
        </w:rPr>
        <w:t xml:space="preserve">customer for any period of time </w:t>
      </w:r>
      <w:r w:rsidR="00482911" w:rsidRPr="004551AD">
        <w:rPr>
          <w:sz w:val="26"/>
          <w:szCs w:val="26"/>
        </w:rPr>
        <w:t xml:space="preserve">at </w:t>
      </w:r>
      <w:r w:rsidR="00482911">
        <w:rPr>
          <w:sz w:val="26"/>
          <w:szCs w:val="26"/>
        </w:rPr>
        <w:t>a</w:t>
      </w:r>
      <w:r w:rsidR="00482911" w:rsidRPr="004551AD">
        <w:rPr>
          <w:sz w:val="26"/>
          <w:szCs w:val="26"/>
        </w:rPr>
        <w:t xml:space="preserve"> new premise</w:t>
      </w:r>
      <w:r w:rsidR="004551AD" w:rsidRPr="004551AD">
        <w:rPr>
          <w:sz w:val="26"/>
          <w:szCs w:val="26"/>
        </w:rPr>
        <w:t xml:space="preserve">. </w:t>
      </w:r>
      <w:r w:rsidR="00354D80">
        <w:rPr>
          <w:sz w:val="26"/>
          <w:szCs w:val="26"/>
        </w:rPr>
        <w:t xml:space="preserve"> </w:t>
      </w:r>
      <w:r w:rsidR="004551AD" w:rsidRPr="004551AD">
        <w:rPr>
          <w:sz w:val="26"/>
          <w:szCs w:val="26"/>
        </w:rPr>
        <w:t>To require otherwise might require the EGS to deal with complications like gaps or overlaps in EGS service caused by a customer move where service is not smoothly transferred from one location to another.  FES at</w:t>
      </w:r>
      <w:r>
        <w:rPr>
          <w:sz w:val="26"/>
          <w:szCs w:val="26"/>
        </w:rPr>
        <w:t xml:space="preserve"> 3-</w:t>
      </w:r>
      <w:r w:rsidR="004551AD" w:rsidRPr="004551AD">
        <w:rPr>
          <w:sz w:val="26"/>
          <w:szCs w:val="26"/>
        </w:rPr>
        <w:t xml:space="preserve">4.  FES further notes that changes in a customer's load profile </w:t>
      </w:r>
      <w:r>
        <w:rPr>
          <w:sz w:val="26"/>
          <w:szCs w:val="26"/>
        </w:rPr>
        <w:t>at the new location</w:t>
      </w:r>
      <w:r w:rsidR="004551AD" w:rsidRPr="004551AD">
        <w:rPr>
          <w:sz w:val="26"/>
          <w:szCs w:val="26"/>
        </w:rPr>
        <w:t xml:space="preserve"> may make an EGS contract uneconomic.  </w:t>
      </w:r>
      <w:proofErr w:type="gramStart"/>
      <w:r w:rsidR="004551AD" w:rsidRPr="004551AD">
        <w:rPr>
          <w:sz w:val="26"/>
          <w:szCs w:val="26"/>
        </w:rPr>
        <w:t>FES at 5.</w:t>
      </w:r>
      <w:proofErr w:type="gramEnd"/>
      <w:r w:rsidR="004551AD" w:rsidRPr="004551AD">
        <w:rPr>
          <w:sz w:val="26"/>
          <w:szCs w:val="26"/>
        </w:rPr>
        <w:t xml:space="preserve">  Accordingly, FES believes that only an EGS contract that provides for portability should be eligible for seamless moves and further, </w:t>
      </w:r>
      <w:r>
        <w:rPr>
          <w:sz w:val="26"/>
          <w:szCs w:val="26"/>
        </w:rPr>
        <w:t xml:space="preserve">that </w:t>
      </w:r>
      <w:r w:rsidR="004551AD" w:rsidRPr="004551AD">
        <w:rPr>
          <w:sz w:val="26"/>
          <w:szCs w:val="26"/>
        </w:rPr>
        <w:t>each EDC plan should apply only to EGS contracts that become effective on or after the EDC's plan implementation</w:t>
      </w:r>
      <w:r>
        <w:rPr>
          <w:sz w:val="26"/>
          <w:szCs w:val="26"/>
        </w:rPr>
        <w:t xml:space="preserve"> date</w:t>
      </w:r>
      <w:r w:rsidR="004551AD" w:rsidRPr="004551AD">
        <w:rPr>
          <w:sz w:val="26"/>
          <w:szCs w:val="26"/>
        </w:rPr>
        <w:t xml:space="preserve">.  </w:t>
      </w:r>
      <w:proofErr w:type="gramStart"/>
      <w:r w:rsidR="004551AD" w:rsidRPr="004551AD">
        <w:rPr>
          <w:sz w:val="26"/>
          <w:szCs w:val="26"/>
        </w:rPr>
        <w:t>FES at 4.</w:t>
      </w:r>
      <w:proofErr w:type="gramEnd"/>
      <w:r w:rsidR="004551AD" w:rsidRPr="004551AD">
        <w:rPr>
          <w:sz w:val="26"/>
          <w:szCs w:val="26"/>
        </w:rPr>
        <w:t xml:space="preserve"> </w:t>
      </w:r>
    </w:p>
    <w:p w:rsidR="00735BA8" w:rsidRDefault="00735BA8" w:rsidP="004551AD">
      <w:pPr>
        <w:spacing w:line="360" w:lineRule="auto"/>
        <w:ind w:firstLine="720"/>
        <w:rPr>
          <w:sz w:val="26"/>
          <w:szCs w:val="26"/>
        </w:rPr>
      </w:pPr>
    </w:p>
    <w:p w:rsidR="00343BC4" w:rsidRDefault="00B22D96" w:rsidP="004551AD">
      <w:pPr>
        <w:spacing w:line="360" w:lineRule="auto"/>
        <w:ind w:firstLine="720"/>
        <w:rPr>
          <w:sz w:val="26"/>
          <w:szCs w:val="26"/>
        </w:rPr>
      </w:pPr>
      <w:r>
        <w:rPr>
          <w:sz w:val="26"/>
          <w:szCs w:val="26"/>
        </w:rPr>
        <w:t xml:space="preserve">The </w:t>
      </w:r>
      <w:r w:rsidR="004551AD" w:rsidRPr="004551AD">
        <w:rPr>
          <w:sz w:val="26"/>
          <w:szCs w:val="26"/>
        </w:rPr>
        <w:t xml:space="preserve">OCA is in general agreement with the Commission's proposals related to </w:t>
      </w:r>
      <w:r w:rsidR="001D0D4D">
        <w:rPr>
          <w:sz w:val="26"/>
          <w:szCs w:val="26"/>
        </w:rPr>
        <w:t>i</w:t>
      </w:r>
      <w:r w:rsidR="004551AD" w:rsidRPr="004551AD">
        <w:rPr>
          <w:sz w:val="26"/>
          <w:szCs w:val="26"/>
        </w:rPr>
        <w:t xml:space="preserve">nstant </w:t>
      </w:r>
      <w:r w:rsidR="001D0D4D">
        <w:rPr>
          <w:sz w:val="26"/>
          <w:szCs w:val="26"/>
        </w:rPr>
        <w:t>c</w:t>
      </w:r>
      <w:r w:rsidR="004551AD" w:rsidRPr="004551AD">
        <w:rPr>
          <w:sz w:val="26"/>
          <w:szCs w:val="26"/>
        </w:rPr>
        <w:t xml:space="preserve">onnects and </w:t>
      </w:r>
      <w:r w:rsidR="001D0D4D">
        <w:rPr>
          <w:sz w:val="26"/>
          <w:szCs w:val="26"/>
        </w:rPr>
        <w:t>s</w:t>
      </w:r>
      <w:r w:rsidR="004551AD" w:rsidRPr="004551AD">
        <w:rPr>
          <w:sz w:val="26"/>
          <w:szCs w:val="26"/>
        </w:rPr>
        <w:t xml:space="preserve">eamless </w:t>
      </w:r>
      <w:r w:rsidR="001D0D4D">
        <w:rPr>
          <w:sz w:val="26"/>
          <w:szCs w:val="26"/>
        </w:rPr>
        <w:t>m</w:t>
      </w:r>
      <w:r w:rsidR="004551AD" w:rsidRPr="004551AD">
        <w:rPr>
          <w:sz w:val="26"/>
          <w:szCs w:val="26"/>
        </w:rPr>
        <w:t xml:space="preserve">oves and that, while it finds these processes to be reasonable, </w:t>
      </w:r>
      <w:r>
        <w:rPr>
          <w:sz w:val="26"/>
          <w:szCs w:val="26"/>
        </w:rPr>
        <w:t xml:space="preserve">it asserts that </w:t>
      </w:r>
      <w:r w:rsidR="004551AD" w:rsidRPr="004551AD">
        <w:rPr>
          <w:sz w:val="26"/>
          <w:szCs w:val="26"/>
        </w:rPr>
        <w:t xml:space="preserve">certain issues should be addressed.  OCA at 2-3.  The OCA submits that every EGS customer who contacts the EDC to arrange a move should be informed of the </w:t>
      </w:r>
      <w:r w:rsidR="002A5970">
        <w:rPr>
          <w:sz w:val="26"/>
          <w:szCs w:val="26"/>
        </w:rPr>
        <w:t>s</w:t>
      </w:r>
      <w:r w:rsidR="004551AD" w:rsidRPr="004551AD">
        <w:rPr>
          <w:sz w:val="26"/>
          <w:szCs w:val="26"/>
        </w:rPr>
        <w:t xml:space="preserve">eamless </w:t>
      </w:r>
      <w:r w:rsidR="002A5970">
        <w:rPr>
          <w:sz w:val="26"/>
          <w:szCs w:val="26"/>
        </w:rPr>
        <w:t>m</w:t>
      </w:r>
      <w:r w:rsidR="004551AD" w:rsidRPr="004551AD">
        <w:rPr>
          <w:sz w:val="26"/>
          <w:szCs w:val="26"/>
        </w:rPr>
        <w:t xml:space="preserve">ove process so that the customer is aware that they will retain the EGS at their new location unless the EGS determines that it will not continue to provide service </w:t>
      </w:r>
      <w:r w:rsidR="0002639B">
        <w:rPr>
          <w:sz w:val="26"/>
          <w:szCs w:val="26"/>
        </w:rPr>
        <w:t>at the new location</w:t>
      </w:r>
      <w:r w:rsidR="004551AD" w:rsidRPr="004551AD">
        <w:rPr>
          <w:sz w:val="26"/>
          <w:szCs w:val="26"/>
        </w:rPr>
        <w:t xml:space="preserve">.  The OCA further </w:t>
      </w:r>
      <w:r w:rsidR="002A5970">
        <w:rPr>
          <w:sz w:val="26"/>
          <w:szCs w:val="26"/>
        </w:rPr>
        <w:t>s</w:t>
      </w:r>
      <w:r w:rsidR="004551AD" w:rsidRPr="004551AD">
        <w:rPr>
          <w:sz w:val="26"/>
          <w:szCs w:val="26"/>
        </w:rPr>
        <w:t>ubmits that EGSs should be required to send a confirmation letter to a customer informing the customer that the EGS will</w:t>
      </w:r>
      <w:r w:rsidR="0002639B">
        <w:rPr>
          <w:sz w:val="26"/>
          <w:szCs w:val="26"/>
        </w:rPr>
        <w:t xml:space="preserve"> or </w:t>
      </w:r>
      <w:r w:rsidR="004551AD" w:rsidRPr="004551AD">
        <w:rPr>
          <w:sz w:val="26"/>
          <w:szCs w:val="26"/>
        </w:rPr>
        <w:t xml:space="preserve">will not continue service at the new location. </w:t>
      </w:r>
      <w:r w:rsidR="007631B2">
        <w:rPr>
          <w:sz w:val="26"/>
          <w:szCs w:val="26"/>
        </w:rPr>
        <w:t xml:space="preserve"> </w:t>
      </w:r>
      <w:r w:rsidR="004551AD" w:rsidRPr="004551AD">
        <w:rPr>
          <w:sz w:val="26"/>
          <w:szCs w:val="26"/>
        </w:rPr>
        <w:t>The OCA acknowledges that this may increase costs for EGSs but believes that customers should be aware of how their service will be provided as their circumstances</w:t>
      </w:r>
      <w:r w:rsidR="00482911">
        <w:rPr>
          <w:sz w:val="26"/>
          <w:szCs w:val="26"/>
        </w:rPr>
        <w:t xml:space="preserve"> </w:t>
      </w:r>
      <w:r w:rsidR="004551AD" w:rsidRPr="004551AD">
        <w:rPr>
          <w:sz w:val="26"/>
          <w:szCs w:val="26"/>
        </w:rPr>
        <w:t xml:space="preserve">change.  OCA at 3-4.  </w:t>
      </w:r>
    </w:p>
    <w:p w:rsidR="00343BC4" w:rsidRDefault="00343BC4" w:rsidP="004551AD">
      <w:pPr>
        <w:spacing w:line="360" w:lineRule="auto"/>
        <w:ind w:firstLine="720"/>
        <w:rPr>
          <w:sz w:val="26"/>
          <w:szCs w:val="26"/>
        </w:rPr>
      </w:pPr>
    </w:p>
    <w:p w:rsidR="008B6330" w:rsidRDefault="007718FA" w:rsidP="008B6330">
      <w:pPr>
        <w:spacing w:line="360" w:lineRule="auto"/>
        <w:ind w:firstLine="720"/>
        <w:rPr>
          <w:b/>
          <w:sz w:val="26"/>
          <w:szCs w:val="26"/>
        </w:rPr>
      </w:pPr>
      <w:r>
        <w:rPr>
          <w:sz w:val="26"/>
          <w:szCs w:val="26"/>
        </w:rPr>
        <w:t>Regarding</w:t>
      </w:r>
      <w:r w:rsidR="004551AD" w:rsidRPr="004551AD">
        <w:rPr>
          <w:sz w:val="26"/>
          <w:szCs w:val="26"/>
        </w:rPr>
        <w:t xml:space="preserve"> EDC cost recovery, </w:t>
      </w:r>
      <w:r w:rsidR="00911381" w:rsidRPr="00911381">
        <w:rPr>
          <w:sz w:val="26"/>
          <w:szCs w:val="26"/>
        </w:rPr>
        <w:t xml:space="preserve">OCA submits that these costs should be recovered from the EGSs that benefit through maintaining the customer relationship and by establishing a contractual relationship at the time service is established. To the extent these costs are recovered from ratepayers, however, the OCA submits that the costs </w:t>
      </w:r>
      <w:r w:rsidR="00911381" w:rsidRPr="00911381">
        <w:rPr>
          <w:sz w:val="26"/>
          <w:szCs w:val="26"/>
        </w:rPr>
        <w:lastRenderedPageBreak/>
        <w:t>should be recovered in a base rate case and that the Commission must carefully review these costs in the base rate case to ensure that they are just and reasonable.</w:t>
      </w:r>
      <w:r w:rsidR="00911381">
        <w:rPr>
          <w:sz w:val="26"/>
          <w:szCs w:val="26"/>
        </w:rPr>
        <w:t xml:space="preserve">  </w:t>
      </w:r>
      <w:r w:rsidR="004551AD" w:rsidRPr="004551AD">
        <w:rPr>
          <w:sz w:val="26"/>
          <w:szCs w:val="26"/>
        </w:rPr>
        <w:t xml:space="preserve">OCA at </w:t>
      </w:r>
      <w:r w:rsidR="00911381">
        <w:rPr>
          <w:sz w:val="26"/>
          <w:szCs w:val="26"/>
        </w:rPr>
        <w:t>5-6</w:t>
      </w:r>
      <w:r w:rsidR="004551AD" w:rsidRPr="004551AD">
        <w:rPr>
          <w:sz w:val="26"/>
          <w:szCs w:val="26"/>
        </w:rPr>
        <w:t>.</w:t>
      </w:r>
      <w:r w:rsidR="008B6330">
        <w:rPr>
          <w:sz w:val="26"/>
          <w:szCs w:val="26"/>
        </w:rPr>
        <w:br/>
      </w:r>
    </w:p>
    <w:p w:rsidR="008B6330" w:rsidRDefault="007F6425" w:rsidP="008B6330">
      <w:pPr>
        <w:spacing w:line="360" w:lineRule="auto"/>
        <w:jc w:val="center"/>
        <w:rPr>
          <w:b/>
          <w:sz w:val="26"/>
          <w:szCs w:val="26"/>
        </w:rPr>
      </w:pPr>
      <w:r w:rsidRPr="007F6425">
        <w:rPr>
          <w:b/>
          <w:sz w:val="26"/>
          <w:szCs w:val="26"/>
        </w:rPr>
        <w:t>RESOLUTION</w:t>
      </w:r>
      <w:r w:rsidR="008B6330">
        <w:rPr>
          <w:b/>
          <w:sz w:val="26"/>
          <w:szCs w:val="26"/>
        </w:rPr>
        <w:br/>
      </w:r>
    </w:p>
    <w:p w:rsidR="00624306" w:rsidRDefault="00942229" w:rsidP="008B6330">
      <w:pPr>
        <w:spacing w:line="360" w:lineRule="auto"/>
        <w:ind w:firstLine="720"/>
        <w:rPr>
          <w:sz w:val="26"/>
          <w:szCs w:val="26"/>
        </w:rPr>
      </w:pPr>
      <w:r>
        <w:rPr>
          <w:sz w:val="26"/>
          <w:szCs w:val="26"/>
        </w:rPr>
        <w:t xml:space="preserve">Upon review of </w:t>
      </w:r>
      <w:r w:rsidR="00F2675E">
        <w:rPr>
          <w:sz w:val="26"/>
          <w:szCs w:val="26"/>
        </w:rPr>
        <w:t>PPL’s</w:t>
      </w:r>
      <w:r>
        <w:rPr>
          <w:sz w:val="26"/>
          <w:szCs w:val="26"/>
        </w:rPr>
        <w:t xml:space="preserve"> plan and the comments, we remain convinced that seamless moves and instant connects </w:t>
      </w:r>
      <w:r w:rsidR="00C96752">
        <w:rPr>
          <w:sz w:val="26"/>
          <w:szCs w:val="26"/>
        </w:rPr>
        <w:t>are</w:t>
      </w:r>
      <w:r>
        <w:rPr>
          <w:sz w:val="26"/>
          <w:szCs w:val="26"/>
        </w:rPr>
        <w:t xml:space="preserve"> important enhancement</w:t>
      </w:r>
      <w:r w:rsidR="00B22D96">
        <w:rPr>
          <w:sz w:val="26"/>
          <w:szCs w:val="26"/>
        </w:rPr>
        <w:t>s</w:t>
      </w:r>
      <w:r>
        <w:rPr>
          <w:sz w:val="26"/>
          <w:szCs w:val="26"/>
        </w:rPr>
        <w:t xml:space="preserve"> to the competitive </w:t>
      </w:r>
      <w:r w:rsidR="00C96752">
        <w:rPr>
          <w:sz w:val="26"/>
          <w:szCs w:val="26"/>
        </w:rPr>
        <w:t xml:space="preserve">electric market </w:t>
      </w:r>
      <w:r>
        <w:rPr>
          <w:sz w:val="26"/>
          <w:szCs w:val="26"/>
        </w:rPr>
        <w:t xml:space="preserve">landscape.  </w:t>
      </w:r>
      <w:r w:rsidR="00B22D96">
        <w:rPr>
          <w:sz w:val="26"/>
          <w:szCs w:val="26"/>
        </w:rPr>
        <w:t>T</w:t>
      </w:r>
      <w:r>
        <w:rPr>
          <w:sz w:val="26"/>
          <w:szCs w:val="26"/>
        </w:rPr>
        <w:t>hese</w:t>
      </w:r>
      <w:r w:rsidR="00B22D96">
        <w:rPr>
          <w:sz w:val="26"/>
          <w:szCs w:val="26"/>
        </w:rPr>
        <w:t xml:space="preserve"> two items</w:t>
      </w:r>
      <w:r>
        <w:rPr>
          <w:sz w:val="26"/>
          <w:szCs w:val="26"/>
        </w:rPr>
        <w:t xml:space="preserve"> are, from a customer’s perspective, </w:t>
      </w:r>
      <w:r w:rsidR="00C96752">
        <w:rPr>
          <w:sz w:val="26"/>
          <w:szCs w:val="26"/>
        </w:rPr>
        <w:t>ordinary</w:t>
      </w:r>
      <w:r w:rsidR="00C96752" w:rsidDel="00C96752">
        <w:rPr>
          <w:sz w:val="26"/>
          <w:szCs w:val="26"/>
        </w:rPr>
        <w:t xml:space="preserve"> </w:t>
      </w:r>
      <w:r>
        <w:rPr>
          <w:sz w:val="26"/>
          <w:szCs w:val="26"/>
        </w:rPr>
        <w:t xml:space="preserve">and expected capabilities </w:t>
      </w:r>
      <w:r w:rsidR="00D33578" w:rsidRPr="00387868">
        <w:rPr>
          <w:sz w:val="26"/>
          <w:szCs w:val="26"/>
        </w:rPr>
        <w:t xml:space="preserve">that have been hindered by current EDC account </w:t>
      </w:r>
      <w:r w:rsidR="00C96752">
        <w:rPr>
          <w:sz w:val="26"/>
          <w:szCs w:val="26"/>
        </w:rPr>
        <w:t xml:space="preserve">handling processes and </w:t>
      </w:r>
      <w:r w:rsidR="00D33578" w:rsidRPr="00387868">
        <w:rPr>
          <w:sz w:val="26"/>
          <w:szCs w:val="26"/>
        </w:rPr>
        <w:t xml:space="preserve">information systems.  </w:t>
      </w:r>
      <w:r>
        <w:rPr>
          <w:sz w:val="26"/>
          <w:szCs w:val="26"/>
        </w:rPr>
        <w:t>A</w:t>
      </w:r>
      <w:r w:rsidRPr="00942229">
        <w:rPr>
          <w:sz w:val="26"/>
          <w:szCs w:val="26"/>
        </w:rPr>
        <w:t xml:space="preserve"> customer should not have to obtain new supplier service simply because they moved locations within </w:t>
      </w:r>
      <w:r w:rsidR="00C96752">
        <w:rPr>
          <w:sz w:val="26"/>
          <w:szCs w:val="26"/>
        </w:rPr>
        <w:t>an</w:t>
      </w:r>
      <w:r w:rsidR="00C96752" w:rsidRPr="00942229">
        <w:rPr>
          <w:sz w:val="26"/>
          <w:szCs w:val="26"/>
        </w:rPr>
        <w:t xml:space="preserve"> </w:t>
      </w:r>
      <w:r w:rsidRPr="00942229">
        <w:rPr>
          <w:sz w:val="26"/>
          <w:szCs w:val="26"/>
        </w:rPr>
        <w:t>EDC’s service territory</w:t>
      </w:r>
      <w:r w:rsidR="00B22D96">
        <w:rPr>
          <w:sz w:val="26"/>
          <w:szCs w:val="26"/>
        </w:rPr>
        <w:t xml:space="preserve">.  </w:t>
      </w:r>
      <w:r w:rsidRPr="00942229">
        <w:rPr>
          <w:sz w:val="26"/>
          <w:szCs w:val="26"/>
        </w:rPr>
        <w:t xml:space="preserve">It is reasonable for customers to expect that their supplier choice and contract be simply “ported” to their new location.  </w:t>
      </w:r>
      <w:r>
        <w:rPr>
          <w:sz w:val="26"/>
          <w:szCs w:val="26"/>
        </w:rPr>
        <w:t xml:space="preserve">Likewise, customers should be able to start new service with a supplier without first going onto default service.  The current system </w:t>
      </w:r>
      <w:r w:rsidRPr="00942229">
        <w:rPr>
          <w:sz w:val="26"/>
          <w:szCs w:val="26"/>
        </w:rPr>
        <w:t>inappropriately elevates default service to a favored, primary service role.</w:t>
      </w:r>
      <w:r>
        <w:rPr>
          <w:sz w:val="26"/>
          <w:szCs w:val="26"/>
        </w:rPr>
        <w:t xml:space="preserve">  </w:t>
      </w:r>
      <w:r w:rsidR="00624306">
        <w:rPr>
          <w:sz w:val="26"/>
          <w:szCs w:val="26"/>
        </w:rPr>
        <w:t xml:space="preserve">Instant connects will help end this </w:t>
      </w:r>
      <w:r w:rsidR="00C96752">
        <w:rPr>
          <w:sz w:val="26"/>
          <w:szCs w:val="26"/>
        </w:rPr>
        <w:t>undesirable</w:t>
      </w:r>
      <w:r w:rsidR="00C96752" w:rsidDel="00C96752">
        <w:rPr>
          <w:sz w:val="26"/>
          <w:szCs w:val="26"/>
        </w:rPr>
        <w:t xml:space="preserve"> </w:t>
      </w:r>
      <w:r w:rsidR="00C96752">
        <w:rPr>
          <w:sz w:val="26"/>
          <w:szCs w:val="26"/>
        </w:rPr>
        <w:t>practice</w:t>
      </w:r>
      <w:r w:rsidR="00624306">
        <w:rPr>
          <w:sz w:val="26"/>
          <w:szCs w:val="26"/>
        </w:rPr>
        <w:t>.</w:t>
      </w:r>
    </w:p>
    <w:p w:rsidR="00624306" w:rsidRDefault="00624306" w:rsidP="00942229">
      <w:pPr>
        <w:spacing w:line="360" w:lineRule="auto"/>
        <w:ind w:firstLine="720"/>
        <w:rPr>
          <w:sz w:val="26"/>
          <w:szCs w:val="26"/>
        </w:rPr>
      </w:pPr>
    </w:p>
    <w:p w:rsidR="00504B9B" w:rsidRDefault="00ED7A78" w:rsidP="00ED7A78">
      <w:pPr>
        <w:spacing w:line="360" w:lineRule="auto"/>
        <w:ind w:firstLine="720"/>
        <w:rPr>
          <w:sz w:val="26"/>
          <w:szCs w:val="26"/>
        </w:rPr>
      </w:pPr>
      <w:r>
        <w:rPr>
          <w:sz w:val="26"/>
          <w:szCs w:val="26"/>
        </w:rPr>
        <w:t>W</w:t>
      </w:r>
      <w:r w:rsidR="00706C52">
        <w:rPr>
          <w:sz w:val="26"/>
          <w:szCs w:val="26"/>
        </w:rPr>
        <w:t>e</w:t>
      </w:r>
      <w:r w:rsidR="00624306">
        <w:rPr>
          <w:sz w:val="26"/>
          <w:szCs w:val="26"/>
        </w:rPr>
        <w:t xml:space="preserve"> find </w:t>
      </w:r>
      <w:r>
        <w:rPr>
          <w:sz w:val="26"/>
          <w:szCs w:val="26"/>
        </w:rPr>
        <w:t>most of the</w:t>
      </w:r>
      <w:r w:rsidR="00706C52">
        <w:rPr>
          <w:sz w:val="26"/>
          <w:szCs w:val="26"/>
        </w:rPr>
        <w:t xml:space="preserve"> elements of </w:t>
      </w:r>
      <w:r w:rsidR="00F2675E">
        <w:rPr>
          <w:sz w:val="26"/>
          <w:szCs w:val="26"/>
        </w:rPr>
        <w:t>PPL’s</w:t>
      </w:r>
      <w:r w:rsidR="00624306">
        <w:rPr>
          <w:sz w:val="26"/>
          <w:szCs w:val="26"/>
        </w:rPr>
        <w:t xml:space="preserve"> plans for implementing seamless moves and instant connects reasonable and in </w:t>
      </w:r>
      <w:r w:rsidR="007623D9">
        <w:rPr>
          <w:sz w:val="26"/>
          <w:szCs w:val="26"/>
        </w:rPr>
        <w:t>conformity</w:t>
      </w:r>
      <w:r w:rsidR="007623D9" w:rsidDel="007623D9">
        <w:rPr>
          <w:sz w:val="26"/>
          <w:szCs w:val="26"/>
        </w:rPr>
        <w:t xml:space="preserve"> </w:t>
      </w:r>
      <w:r w:rsidR="00624306">
        <w:rPr>
          <w:sz w:val="26"/>
          <w:szCs w:val="26"/>
        </w:rPr>
        <w:t>with our expectations</w:t>
      </w:r>
      <w:r>
        <w:rPr>
          <w:sz w:val="26"/>
          <w:szCs w:val="26"/>
        </w:rPr>
        <w:t xml:space="preserve">.  </w:t>
      </w:r>
    </w:p>
    <w:p w:rsidR="00ED7A78" w:rsidRDefault="00ED7A78" w:rsidP="00ED7A78">
      <w:pPr>
        <w:spacing w:line="360" w:lineRule="auto"/>
        <w:ind w:firstLine="720"/>
        <w:rPr>
          <w:sz w:val="26"/>
          <w:szCs w:val="26"/>
        </w:rPr>
      </w:pPr>
    </w:p>
    <w:p w:rsidR="00F90331" w:rsidRDefault="00343BC4" w:rsidP="00942229">
      <w:pPr>
        <w:spacing w:line="360" w:lineRule="auto"/>
        <w:ind w:firstLine="720"/>
        <w:rPr>
          <w:sz w:val="26"/>
          <w:szCs w:val="26"/>
        </w:rPr>
      </w:pPr>
      <w:r>
        <w:rPr>
          <w:sz w:val="26"/>
          <w:szCs w:val="26"/>
        </w:rPr>
        <w:t xml:space="preserve">We </w:t>
      </w:r>
      <w:r w:rsidR="009072E6">
        <w:rPr>
          <w:sz w:val="26"/>
          <w:szCs w:val="26"/>
        </w:rPr>
        <w:t xml:space="preserve">acknowledge that FES raises legitimate concerns about how </w:t>
      </w:r>
      <w:proofErr w:type="gramStart"/>
      <w:r w:rsidR="009072E6">
        <w:rPr>
          <w:sz w:val="26"/>
          <w:szCs w:val="26"/>
        </w:rPr>
        <w:t>a customer</w:t>
      </w:r>
      <w:proofErr w:type="gramEnd"/>
      <w:r w:rsidR="009072E6">
        <w:rPr>
          <w:sz w:val="26"/>
          <w:szCs w:val="26"/>
        </w:rPr>
        <w:t xml:space="preserve"> relocation can result in significant changes to the character of the service being used and thus possibly impacting existing contracts.  However, we do not think the way to address this concern is </w:t>
      </w:r>
      <w:r w:rsidR="00B23E5E">
        <w:rPr>
          <w:sz w:val="26"/>
          <w:szCs w:val="26"/>
        </w:rPr>
        <w:t>to allow</w:t>
      </w:r>
      <w:r w:rsidR="009072E6">
        <w:rPr>
          <w:sz w:val="26"/>
          <w:szCs w:val="26"/>
        </w:rPr>
        <w:t xml:space="preserve"> EGSs to unilaterally terminate contracts simply because a customer relocates.  The preferable course is to instead do as we did in </w:t>
      </w:r>
      <w:r w:rsidR="00ED7A78">
        <w:rPr>
          <w:sz w:val="26"/>
          <w:szCs w:val="26"/>
        </w:rPr>
        <w:t xml:space="preserve">our previous order concerning seamless moves and instant connects in the </w:t>
      </w:r>
      <w:r w:rsidR="009072E6">
        <w:rPr>
          <w:sz w:val="26"/>
          <w:szCs w:val="26"/>
        </w:rPr>
        <w:t xml:space="preserve">Duquesne Light </w:t>
      </w:r>
      <w:r w:rsidR="00B23E5E">
        <w:rPr>
          <w:sz w:val="26"/>
          <w:szCs w:val="26"/>
        </w:rPr>
        <w:t xml:space="preserve">Company’s service </w:t>
      </w:r>
      <w:r w:rsidR="00ED7A78">
        <w:rPr>
          <w:sz w:val="26"/>
          <w:szCs w:val="26"/>
        </w:rPr>
        <w:t>territory</w:t>
      </w:r>
      <w:r w:rsidR="009072E6">
        <w:rPr>
          <w:rStyle w:val="FootnoteReference"/>
          <w:sz w:val="26"/>
          <w:szCs w:val="26"/>
        </w:rPr>
        <w:footnoteReference w:id="6"/>
      </w:r>
      <w:r w:rsidR="00B23E5E">
        <w:rPr>
          <w:sz w:val="26"/>
          <w:szCs w:val="26"/>
        </w:rPr>
        <w:t>:</w:t>
      </w:r>
      <w:r w:rsidR="009072E6">
        <w:rPr>
          <w:sz w:val="26"/>
          <w:szCs w:val="26"/>
        </w:rPr>
        <w:t xml:space="preserve"> carefully restrict the customer eligibility requirements for seamless </w:t>
      </w:r>
      <w:r w:rsidR="009072E6">
        <w:rPr>
          <w:sz w:val="26"/>
          <w:szCs w:val="26"/>
        </w:rPr>
        <w:lastRenderedPageBreak/>
        <w:t xml:space="preserve">moves.   </w:t>
      </w:r>
      <w:r w:rsidR="00701EDB">
        <w:rPr>
          <w:sz w:val="26"/>
          <w:szCs w:val="26"/>
        </w:rPr>
        <w:t>W</w:t>
      </w:r>
      <w:r w:rsidR="009072E6">
        <w:rPr>
          <w:sz w:val="26"/>
          <w:szCs w:val="26"/>
        </w:rPr>
        <w:t xml:space="preserve">e find </w:t>
      </w:r>
      <w:r w:rsidR="00F2675E">
        <w:rPr>
          <w:sz w:val="26"/>
          <w:szCs w:val="26"/>
        </w:rPr>
        <w:t>PPL’s</w:t>
      </w:r>
      <w:r w:rsidR="009072E6">
        <w:rPr>
          <w:sz w:val="26"/>
          <w:szCs w:val="26"/>
        </w:rPr>
        <w:t xml:space="preserve"> proposed eligibility requirements in this regard </w:t>
      </w:r>
      <w:r w:rsidR="00701EDB">
        <w:rPr>
          <w:sz w:val="26"/>
          <w:szCs w:val="26"/>
        </w:rPr>
        <w:t>appropriate</w:t>
      </w:r>
      <w:r w:rsidR="009072E6">
        <w:rPr>
          <w:sz w:val="26"/>
          <w:szCs w:val="26"/>
        </w:rPr>
        <w:t xml:space="preserve">.  </w:t>
      </w:r>
      <w:r w:rsidR="008C00B6">
        <w:rPr>
          <w:sz w:val="26"/>
          <w:szCs w:val="26"/>
        </w:rPr>
        <w:t>S</w:t>
      </w:r>
      <w:r w:rsidR="009072E6">
        <w:rPr>
          <w:sz w:val="26"/>
          <w:szCs w:val="26"/>
        </w:rPr>
        <w:t xml:space="preserve">eamless moves </w:t>
      </w:r>
      <w:r w:rsidR="00701EDB">
        <w:rPr>
          <w:sz w:val="26"/>
          <w:szCs w:val="26"/>
        </w:rPr>
        <w:t xml:space="preserve">will </w:t>
      </w:r>
      <w:r w:rsidR="008C00B6">
        <w:rPr>
          <w:sz w:val="26"/>
          <w:szCs w:val="26"/>
        </w:rPr>
        <w:t xml:space="preserve">be restricted to residential and </w:t>
      </w:r>
      <w:r w:rsidR="00F2675E">
        <w:rPr>
          <w:sz w:val="26"/>
          <w:szCs w:val="26"/>
        </w:rPr>
        <w:t>small commercial/industrial c</w:t>
      </w:r>
      <w:r w:rsidR="008C00B6">
        <w:rPr>
          <w:sz w:val="26"/>
          <w:szCs w:val="26"/>
        </w:rPr>
        <w:t>ustomers</w:t>
      </w:r>
      <w:r w:rsidR="00F2675E">
        <w:rPr>
          <w:sz w:val="26"/>
          <w:szCs w:val="26"/>
        </w:rPr>
        <w:t xml:space="preserve"> </w:t>
      </w:r>
      <w:r w:rsidR="00E67974">
        <w:rPr>
          <w:sz w:val="26"/>
          <w:szCs w:val="26"/>
        </w:rPr>
        <w:t>that maintain</w:t>
      </w:r>
      <w:r w:rsidR="00EF6E52">
        <w:rPr>
          <w:sz w:val="26"/>
          <w:szCs w:val="26"/>
        </w:rPr>
        <w:t xml:space="preserve"> </w:t>
      </w:r>
      <w:r w:rsidR="00E67974">
        <w:rPr>
          <w:sz w:val="26"/>
          <w:szCs w:val="26"/>
        </w:rPr>
        <w:t>the same</w:t>
      </w:r>
      <w:r w:rsidR="00504B9B">
        <w:rPr>
          <w:sz w:val="26"/>
          <w:szCs w:val="26"/>
        </w:rPr>
        <w:t xml:space="preserve"> rate class </w:t>
      </w:r>
      <w:r w:rsidR="00E67974">
        <w:rPr>
          <w:sz w:val="26"/>
          <w:szCs w:val="26"/>
        </w:rPr>
        <w:t>at the new service location</w:t>
      </w:r>
      <w:r w:rsidR="008C00B6">
        <w:rPr>
          <w:sz w:val="26"/>
          <w:szCs w:val="26"/>
        </w:rPr>
        <w:t xml:space="preserve">.  </w:t>
      </w:r>
      <w:r w:rsidR="00F90331">
        <w:rPr>
          <w:sz w:val="26"/>
          <w:szCs w:val="26"/>
        </w:rPr>
        <w:t xml:space="preserve">Further, </w:t>
      </w:r>
      <w:r w:rsidR="00203E4F">
        <w:rPr>
          <w:sz w:val="26"/>
          <w:szCs w:val="26"/>
        </w:rPr>
        <w:t>a</w:t>
      </w:r>
      <w:r w:rsidR="00EC74E9">
        <w:rPr>
          <w:sz w:val="26"/>
          <w:szCs w:val="26"/>
        </w:rPr>
        <w:t>s we approved in the Duquesne Light Order,</w:t>
      </w:r>
      <w:r w:rsidR="00EC74E9">
        <w:rPr>
          <w:rStyle w:val="FootnoteReference"/>
          <w:sz w:val="26"/>
          <w:szCs w:val="26"/>
        </w:rPr>
        <w:footnoteReference w:id="7"/>
      </w:r>
      <w:r w:rsidR="00EC74E9">
        <w:rPr>
          <w:sz w:val="26"/>
          <w:szCs w:val="26"/>
        </w:rPr>
        <w:t xml:space="preserve"> we think limiting any gap or overlap in service to three days is appropriate – noting again that this timeframe can be revisited if experience proves it to be problematic.  </w:t>
      </w:r>
      <w:r w:rsidR="00701EDB">
        <w:rPr>
          <w:sz w:val="26"/>
          <w:szCs w:val="26"/>
        </w:rPr>
        <w:t xml:space="preserve">Accordingly, we direct </w:t>
      </w:r>
      <w:r w:rsidR="00F2675E">
        <w:rPr>
          <w:sz w:val="26"/>
          <w:szCs w:val="26"/>
        </w:rPr>
        <w:t>PPL</w:t>
      </w:r>
      <w:r w:rsidR="00701EDB">
        <w:rPr>
          <w:sz w:val="26"/>
          <w:szCs w:val="26"/>
        </w:rPr>
        <w:t xml:space="preserve"> to include a three-day gap/overlap limit in their eligibility requirements.</w:t>
      </w:r>
    </w:p>
    <w:p w:rsidR="00F90331" w:rsidRDefault="00F90331" w:rsidP="00942229">
      <w:pPr>
        <w:spacing w:line="360" w:lineRule="auto"/>
        <w:ind w:firstLine="720"/>
        <w:rPr>
          <w:sz w:val="26"/>
          <w:szCs w:val="26"/>
        </w:rPr>
      </w:pPr>
    </w:p>
    <w:p w:rsidR="008C00B6" w:rsidRDefault="008C00B6" w:rsidP="00942229">
      <w:pPr>
        <w:spacing w:line="360" w:lineRule="auto"/>
        <w:ind w:firstLine="720"/>
        <w:rPr>
          <w:sz w:val="26"/>
          <w:szCs w:val="26"/>
        </w:rPr>
      </w:pPr>
      <w:r>
        <w:rPr>
          <w:sz w:val="26"/>
          <w:szCs w:val="26"/>
        </w:rPr>
        <w:t>With t</w:t>
      </w:r>
      <w:r w:rsidR="00130F93">
        <w:rPr>
          <w:sz w:val="26"/>
          <w:szCs w:val="26"/>
        </w:rPr>
        <w:t>hese</w:t>
      </w:r>
      <w:r w:rsidR="008D19E7">
        <w:rPr>
          <w:sz w:val="26"/>
          <w:szCs w:val="26"/>
        </w:rPr>
        <w:t xml:space="preserve"> safeguards</w:t>
      </w:r>
      <w:r>
        <w:rPr>
          <w:sz w:val="26"/>
          <w:szCs w:val="26"/>
        </w:rPr>
        <w:t xml:space="preserve">, </w:t>
      </w:r>
      <w:r w:rsidR="00F2675E">
        <w:rPr>
          <w:sz w:val="26"/>
          <w:szCs w:val="26"/>
        </w:rPr>
        <w:t>PPL’s</w:t>
      </w:r>
      <w:r>
        <w:rPr>
          <w:sz w:val="26"/>
          <w:szCs w:val="26"/>
        </w:rPr>
        <w:t xml:space="preserve"> eligibility requirements</w:t>
      </w:r>
      <w:r w:rsidR="008D19E7">
        <w:rPr>
          <w:sz w:val="26"/>
          <w:szCs w:val="26"/>
        </w:rPr>
        <w:t xml:space="preserve"> </w:t>
      </w:r>
      <w:r w:rsidR="00130F93">
        <w:rPr>
          <w:sz w:val="26"/>
          <w:szCs w:val="26"/>
        </w:rPr>
        <w:t xml:space="preserve">are sufficient </w:t>
      </w:r>
      <w:r w:rsidR="008D19E7">
        <w:rPr>
          <w:sz w:val="26"/>
          <w:szCs w:val="26"/>
        </w:rPr>
        <w:t xml:space="preserve">to prevent customers from materially changing their contracts with EGSs </w:t>
      </w:r>
      <w:r w:rsidR="00130F93">
        <w:rPr>
          <w:sz w:val="26"/>
          <w:szCs w:val="26"/>
        </w:rPr>
        <w:t xml:space="preserve">simply </w:t>
      </w:r>
      <w:r w:rsidR="008D19E7">
        <w:rPr>
          <w:sz w:val="26"/>
          <w:szCs w:val="26"/>
        </w:rPr>
        <w:t xml:space="preserve">by moving to a new location. </w:t>
      </w:r>
      <w:r w:rsidR="00130F93">
        <w:rPr>
          <w:sz w:val="26"/>
          <w:szCs w:val="26"/>
        </w:rPr>
        <w:t>We reiterate that t</w:t>
      </w:r>
      <w:r w:rsidR="008D19E7">
        <w:rPr>
          <w:sz w:val="26"/>
          <w:szCs w:val="26"/>
        </w:rPr>
        <w:t xml:space="preserve">hese safeguards include limiting seamless moves to </w:t>
      </w:r>
      <w:r w:rsidR="00701EDB">
        <w:rPr>
          <w:sz w:val="26"/>
          <w:szCs w:val="26"/>
        </w:rPr>
        <w:t xml:space="preserve">residential and small business </w:t>
      </w:r>
      <w:r w:rsidR="008D19E7">
        <w:rPr>
          <w:sz w:val="26"/>
          <w:szCs w:val="26"/>
        </w:rPr>
        <w:t>accounts; requiring that the rate class remains unchanged; that the customer maintains the same supplier billing rate, billing option and tax exemption percentage</w:t>
      </w:r>
      <w:r w:rsidR="00EC74E9">
        <w:rPr>
          <w:sz w:val="26"/>
          <w:szCs w:val="26"/>
        </w:rPr>
        <w:t xml:space="preserve">; and that any gaps or overlap of service will be limited to </w:t>
      </w:r>
      <w:r w:rsidR="00346818">
        <w:rPr>
          <w:sz w:val="26"/>
          <w:szCs w:val="26"/>
        </w:rPr>
        <w:t>three</w:t>
      </w:r>
      <w:r w:rsidR="00EC74E9">
        <w:rPr>
          <w:sz w:val="26"/>
          <w:szCs w:val="26"/>
        </w:rPr>
        <w:t xml:space="preserve"> days</w:t>
      </w:r>
      <w:r w:rsidR="008D19E7">
        <w:rPr>
          <w:sz w:val="26"/>
          <w:szCs w:val="26"/>
        </w:rPr>
        <w:t xml:space="preserve">.  We are convinced that these robust safeguards will prevent a customer from significantly changing the characteristics of their service with an EGS as a result of a move to a new location.  </w:t>
      </w:r>
    </w:p>
    <w:p w:rsidR="008C00B6" w:rsidRDefault="008C00B6" w:rsidP="00942229">
      <w:pPr>
        <w:spacing w:line="360" w:lineRule="auto"/>
        <w:ind w:firstLine="720"/>
        <w:rPr>
          <w:sz w:val="26"/>
          <w:szCs w:val="26"/>
        </w:rPr>
      </w:pPr>
    </w:p>
    <w:p w:rsidR="002A5970" w:rsidRDefault="00504B9B" w:rsidP="00942229">
      <w:pPr>
        <w:spacing w:line="360" w:lineRule="auto"/>
        <w:ind w:firstLine="720"/>
        <w:rPr>
          <w:sz w:val="26"/>
          <w:szCs w:val="26"/>
        </w:rPr>
      </w:pPr>
      <w:r>
        <w:rPr>
          <w:sz w:val="26"/>
          <w:szCs w:val="26"/>
        </w:rPr>
        <w:t>In addition</w:t>
      </w:r>
      <w:r w:rsidR="008C00B6">
        <w:rPr>
          <w:sz w:val="26"/>
          <w:szCs w:val="26"/>
        </w:rPr>
        <w:t xml:space="preserve"> to the above safeguards, </w:t>
      </w:r>
      <w:r w:rsidR="00343BC4">
        <w:rPr>
          <w:sz w:val="26"/>
          <w:szCs w:val="26"/>
        </w:rPr>
        <w:t>a supplier is always able to submit a drop if they do not wish to serve the customer at a new location</w:t>
      </w:r>
      <w:r w:rsidR="008C00B6">
        <w:rPr>
          <w:sz w:val="26"/>
          <w:szCs w:val="26"/>
        </w:rPr>
        <w:t xml:space="preserve">.  </w:t>
      </w:r>
      <w:r w:rsidR="00624306">
        <w:rPr>
          <w:sz w:val="26"/>
          <w:szCs w:val="26"/>
        </w:rPr>
        <w:t xml:space="preserve">We </w:t>
      </w:r>
      <w:r>
        <w:rPr>
          <w:sz w:val="26"/>
          <w:szCs w:val="26"/>
        </w:rPr>
        <w:t>emphasize</w:t>
      </w:r>
      <w:r w:rsidR="00624306">
        <w:rPr>
          <w:sz w:val="26"/>
          <w:szCs w:val="26"/>
        </w:rPr>
        <w:t xml:space="preserve"> that </w:t>
      </w:r>
      <w:r>
        <w:rPr>
          <w:sz w:val="26"/>
          <w:szCs w:val="26"/>
        </w:rPr>
        <w:t>any</w:t>
      </w:r>
      <w:r w:rsidR="00624306">
        <w:rPr>
          <w:sz w:val="26"/>
          <w:szCs w:val="26"/>
        </w:rPr>
        <w:t xml:space="preserve"> EGS</w:t>
      </w:r>
      <w:r w:rsidR="00EB7B3D">
        <w:rPr>
          <w:sz w:val="26"/>
          <w:szCs w:val="26"/>
        </w:rPr>
        <w:t xml:space="preserve"> </w:t>
      </w:r>
      <w:r>
        <w:rPr>
          <w:sz w:val="26"/>
          <w:szCs w:val="26"/>
        </w:rPr>
        <w:t>which processes a customer drop in a seamless move environment</w:t>
      </w:r>
      <w:r w:rsidR="00624306">
        <w:rPr>
          <w:sz w:val="26"/>
          <w:szCs w:val="26"/>
        </w:rPr>
        <w:t xml:space="preserve"> should be doing so per the terms and conditions of their </w:t>
      </w:r>
      <w:r w:rsidR="00170ED2">
        <w:rPr>
          <w:sz w:val="26"/>
          <w:szCs w:val="26"/>
        </w:rPr>
        <w:t xml:space="preserve">existing </w:t>
      </w:r>
      <w:r w:rsidR="00624306">
        <w:rPr>
          <w:sz w:val="26"/>
          <w:szCs w:val="26"/>
        </w:rPr>
        <w:t xml:space="preserve">agreement with the customer.  Ideally, this should be addressed under the </w:t>
      </w:r>
      <w:r w:rsidR="00624306" w:rsidRPr="00624306">
        <w:rPr>
          <w:i/>
          <w:sz w:val="26"/>
          <w:szCs w:val="26"/>
        </w:rPr>
        <w:t>cancellation</w:t>
      </w:r>
      <w:r w:rsidR="00624306">
        <w:rPr>
          <w:sz w:val="26"/>
          <w:szCs w:val="26"/>
        </w:rPr>
        <w:t xml:space="preserve"> provisions of the disclosure or contract the EGS has with the customer.  </w:t>
      </w:r>
      <w:r w:rsidR="00130F93">
        <w:rPr>
          <w:sz w:val="26"/>
          <w:szCs w:val="26"/>
        </w:rPr>
        <w:t>E</w:t>
      </w:r>
      <w:r>
        <w:rPr>
          <w:sz w:val="26"/>
          <w:szCs w:val="26"/>
        </w:rPr>
        <w:t>xisting supply agreements should not be adversely impacted by implementation of seamless moves</w:t>
      </w:r>
      <w:r w:rsidR="00130F93">
        <w:rPr>
          <w:sz w:val="26"/>
          <w:szCs w:val="26"/>
        </w:rPr>
        <w:t xml:space="preserve"> with all of the foregoing protections in place</w:t>
      </w:r>
      <w:r>
        <w:rPr>
          <w:sz w:val="26"/>
          <w:szCs w:val="26"/>
        </w:rPr>
        <w:t>.</w:t>
      </w:r>
      <w:r w:rsidR="002A5970">
        <w:rPr>
          <w:sz w:val="26"/>
          <w:szCs w:val="26"/>
        </w:rPr>
        <w:t xml:space="preserve">  </w:t>
      </w:r>
    </w:p>
    <w:p w:rsidR="002A5970" w:rsidRDefault="002A5970" w:rsidP="00942229">
      <w:pPr>
        <w:spacing w:line="360" w:lineRule="auto"/>
        <w:ind w:firstLine="720"/>
        <w:rPr>
          <w:sz w:val="26"/>
          <w:szCs w:val="26"/>
        </w:rPr>
      </w:pPr>
    </w:p>
    <w:p w:rsidR="003A207A" w:rsidRDefault="00504B9B" w:rsidP="00942229">
      <w:pPr>
        <w:spacing w:line="360" w:lineRule="auto"/>
        <w:ind w:firstLine="720"/>
        <w:rPr>
          <w:sz w:val="26"/>
          <w:szCs w:val="26"/>
        </w:rPr>
      </w:pPr>
      <w:r>
        <w:rPr>
          <w:sz w:val="26"/>
          <w:szCs w:val="26"/>
        </w:rPr>
        <w:lastRenderedPageBreak/>
        <w:t>W</w:t>
      </w:r>
      <w:r w:rsidR="003A207A">
        <w:rPr>
          <w:sz w:val="26"/>
          <w:szCs w:val="26"/>
        </w:rPr>
        <w:t xml:space="preserve">e </w:t>
      </w:r>
      <w:r>
        <w:rPr>
          <w:sz w:val="26"/>
          <w:szCs w:val="26"/>
        </w:rPr>
        <w:t xml:space="preserve">also </w:t>
      </w:r>
      <w:r w:rsidR="003A207A">
        <w:rPr>
          <w:sz w:val="26"/>
          <w:szCs w:val="26"/>
        </w:rPr>
        <w:t xml:space="preserve">note that seamless moves will </w:t>
      </w:r>
      <w:r w:rsidR="002A5970">
        <w:rPr>
          <w:sz w:val="26"/>
          <w:szCs w:val="26"/>
        </w:rPr>
        <w:t xml:space="preserve">not be available until </w:t>
      </w:r>
      <w:r w:rsidR="00F90331">
        <w:rPr>
          <w:sz w:val="26"/>
          <w:szCs w:val="26"/>
        </w:rPr>
        <w:t>the second half of</w:t>
      </w:r>
      <w:r w:rsidR="002A5970">
        <w:rPr>
          <w:sz w:val="26"/>
          <w:szCs w:val="26"/>
        </w:rPr>
        <w:t xml:space="preserve"> 2</w:t>
      </w:r>
      <w:r w:rsidR="003A207A">
        <w:rPr>
          <w:sz w:val="26"/>
          <w:szCs w:val="26"/>
        </w:rPr>
        <w:t xml:space="preserve">016.  This should provide EGSs with time to consider </w:t>
      </w:r>
      <w:r w:rsidR="002A5970">
        <w:rPr>
          <w:sz w:val="26"/>
          <w:szCs w:val="26"/>
        </w:rPr>
        <w:t>these matters</w:t>
      </w:r>
      <w:r w:rsidR="003A207A">
        <w:rPr>
          <w:sz w:val="26"/>
          <w:szCs w:val="26"/>
        </w:rPr>
        <w:t xml:space="preserve"> when entering into new contracts with new customers.  </w:t>
      </w:r>
      <w:r>
        <w:rPr>
          <w:sz w:val="26"/>
          <w:szCs w:val="26"/>
        </w:rPr>
        <w:t xml:space="preserve">To the extent that an EGS desires to expressly recognize the possibility of seamless moves in future contracts, they are free to do so.  </w:t>
      </w:r>
      <w:r w:rsidR="00414B8F">
        <w:rPr>
          <w:sz w:val="26"/>
          <w:szCs w:val="26"/>
        </w:rPr>
        <w:t xml:space="preserve">In addition, EGSs may pursue modification of existing contracts, with customer agreement.  Regardless of the foregoing, it is the </w:t>
      </w:r>
      <w:r w:rsidR="00170ED2">
        <w:rPr>
          <w:sz w:val="26"/>
          <w:szCs w:val="26"/>
        </w:rPr>
        <w:t xml:space="preserve">desire </w:t>
      </w:r>
      <w:r w:rsidR="00414B8F">
        <w:rPr>
          <w:sz w:val="26"/>
          <w:szCs w:val="26"/>
        </w:rPr>
        <w:t xml:space="preserve">of the customer </w:t>
      </w:r>
      <w:r w:rsidR="00170ED2">
        <w:rPr>
          <w:sz w:val="26"/>
          <w:szCs w:val="26"/>
        </w:rPr>
        <w:t>to retain the current supply terms and conditions</w:t>
      </w:r>
      <w:r w:rsidR="00414B8F">
        <w:rPr>
          <w:sz w:val="26"/>
          <w:szCs w:val="26"/>
        </w:rPr>
        <w:t xml:space="preserve"> that should control, subject to the EGS’s ability to drop that customer consistent with the terms of the existing contract</w:t>
      </w:r>
      <w:r w:rsidR="00D868CC">
        <w:rPr>
          <w:sz w:val="26"/>
          <w:szCs w:val="26"/>
        </w:rPr>
        <w:t xml:space="preserve"> </w:t>
      </w:r>
      <w:r w:rsidR="00AA0AAC">
        <w:rPr>
          <w:sz w:val="26"/>
          <w:szCs w:val="26"/>
        </w:rPr>
        <w:t>as</w:t>
      </w:r>
      <w:r w:rsidR="00D868CC">
        <w:rPr>
          <w:sz w:val="26"/>
          <w:szCs w:val="26"/>
        </w:rPr>
        <w:t xml:space="preserve"> mutually agreed to by both parties</w:t>
      </w:r>
      <w:r w:rsidR="00414B8F">
        <w:rPr>
          <w:sz w:val="26"/>
          <w:szCs w:val="26"/>
        </w:rPr>
        <w:t>.</w:t>
      </w:r>
    </w:p>
    <w:p w:rsidR="00FA6811" w:rsidRDefault="00FA6811" w:rsidP="00942229">
      <w:pPr>
        <w:spacing w:line="360" w:lineRule="auto"/>
        <w:ind w:firstLine="720"/>
        <w:rPr>
          <w:sz w:val="26"/>
          <w:szCs w:val="26"/>
        </w:rPr>
      </w:pPr>
    </w:p>
    <w:p w:rsidR="00AC30CA" w:rsidRPr="00AC30CA" w:rsidRDefault="003058F7" w:rsidP="00AC30CA">
      <w:pPr>
        <w:spacing w:line="360" w:lineRule="auto"/>
        <w:ind w:firstLine="720"/>
        <w:rPr>
          <w:sz w:val="26"/>
          <w:szCs w:val="26"/>
        </w:rPr>
      </w:pPr>
      <w:r>
        <w:rPr>
          <w:sz w:val="26"/>
          <w:szCs w:val="26"/>
        </w:rPr>
        <w:t>In response to customer notice issues raised by OCA</w:t>
      </w:r>
      <w:r w:rsidR="00203E4F">
        <w:rPr>
          <w:sz w:val="26"/>
          <w:szCs w:val="26"/>
        </w:rPr>
        <w:t>, we</w:t>
      </w:r>
      <w:r>
        <w:rPr>
          <w:sz w:val="26"/>
          <w:szCs w:val="26"/>
        </w:rPr>
        <w:t xml:space="preserve"> will adopt the same </w:t>
      </w:r>
      <w:r w:rsidR="006D675D">
        <w:rPr>
          <w:sz w:val="26"/>
          <w:szCs w:val="26"/>
        </w:rPr>
        <w:t xml:space="preserve">measures </w:t>
      </w:r>
      <w:r>
        <w:rPr>
          <w:sz w:val="26"/>
          <w:szCs w:val="26"/>
        </w:rPr>
        <w:t xml:space="preserve">as we did in the </w:t>
      </w:r>
      <w:r w:rsidR="00572652">
        <w:rPr>
          <w:sz w:val="26"/>
          <w:szCs w:val="26"/>
        </w:rPr>
        <w:t>Duquesne</w:t>
      </w:r>
      <w:r>
        <w:rPr>
          <w:sz w:val="26"/>
          <w:szCs w:val="26"/>
        </w:rPr>
        <w:t xml:space="preserve"> Light Order and not require EGSs to send a confirmation letter to the customer stating that it will/will not continue to serve the customer at the new address.  EGSs are of course free to send such a notice to their customers, but requiring such a notice is unnecessary.  </w:t>
      </w:r>
      <w:r w:rsidR="00411C0C">
        <w:rPr>
          <w:sz w:val="26"/>
          <w:szCs w:val="26"/>
        </w:rPr>
        <w:t>We prefer the approach adopted in the Duquesne Light Order</w:t>
      </w:r>
      <w:r w:rsidR="00411C0C">
        <w:rPr>
          <w:rStyle w:val="FootnoteReference"/>
          <w:sz w:val="26"/>
          <w:szCs w:val="26"/>
        </w:rPr>
        <w:footnoteReference w:id="8"/>
      </w:r>
      <w:r w:rsidR="00203E4F">
        <w:rPr>
          <w:sz w:val="26"/>
          <w:szCs w:val="26"/>
        </w:rPr>
        <w:t xml:space="preserve">, </w:t>
      </w:r>
      <w:r w:rsidR="00411C0C">
        <w:rPr>
          <w:sz w:val="26"/>
          <w:szCs w:val="26"/>
        </w:rPr>
        <w:t xml:space="preserve">where the EDC will inform the customer that their EGS supply service will seamlessly move to their new location (assuming eligibility requirements are met).  The customer does not have to authorize or take any additional actions for this to happen.  </w:t>
      </w:r>
      <w:r w:rsidR="00AC30CA" w:rsidRPr="00AC30CA">
        <w:rPr>
          <w:sz w:val="26"/>
          <w:szCs w:val="26"/>
        </w:rPr>
        <w:t>We direct PPL to include this in their plan.</w:t>
      </w:r>
    </w:p>
    <w:p w:rsidR="00346818" w:rsidRDefault="00346818" w:rsidP="00942229">
      <w:pPr>
        <w:spacing w:line="360" w:lineRule="auto"/>
        <w:ind w:firstLine="720"/>
        <w:rPr>
          <w:sz w:val="26"/>
          <w:szCs w:val="26"/>
        </w:rPr>
      </w:pPr>
    </w:p>
    <w:p w:rsidR="00346818" w:rsidRDefault="00346818" w:rsidP="00942229">
      <w:pPr>
        <w:spacing w:line="360" w:lineRule="auto"/>
        <w:ind w:firstLine="720"/>
        <w:rPr>
          <w:sz w:val="26"/>
          <w:szCs w:val="26"/>
        </w:rPr>
      </w:pPr>
      <w:r>
        <w:rPr>
          <w:sz w:val="26"/>
          <w:szCs w:val="26"/>
        </w:rPr>
        <w:t>There is</w:t>
      </w:r>
      <w:r w:rsidR="007705E9">
        <w:rPr>
          <w:sz w:val="26"/>
          <w:szCs w:val="26"/>
        </w:rPr>
        <w:t>, however,</w:t>
      </w:r>
      <w:r>
        <w:rPr>
          <w:sz w:val="26"/>
          <w:szCs w:val="26"/>
        </w:rPr>
        <w:t xml:space="preserve"> one aspect of PPL’s plan for instant connects that we think </w:t>
      </w:r>
      <w:r w:rsidR="007705E9">
        <w:rPr>
          <w:sz w:val="26"/>
          <w:szCs w:val="26"/>
        </w:rPr>
        <w:t>needs clarification</w:t>
      </w:r>
      <w:r>
        <w:rPr>
          <w:sz w:val="26"/>
          <w:szCs w:val="26"/>
        </w:rPr>
        <w:t xml:space="preserve">.  PPL notes that the customer must have a valid account number to provide to his or her intended EGS in order for the EGS to send in an EDI 814 Enrollment transaction.  </w:t>
      </w:r>
      <w:r w:rsidR="007705E9">
        <w:rPr>
          <w:sz w:val="26"/>
          <w:szCs w:val="26"/>
        </w:rPr>
        <w:t>PP</w:t>
      </w:r>
      <w:r w:rsidR="00716193">
        <w:rPr>
          <w:sz w:val="26"/>
          <w:szCs w:val="26"/>
        </w:rPr>
        <w:t>L</w:t>
      </w:r>
      <w:r w:rsidR="007705E9">
        <w:rPr>
          <w:sz w:val="26"/>
          <w:szCs w:val="26"/>
        </w:rPr>
        <w:t>, h</w:t>
      </w:r>
      <w:r>
        <w:rPr>
          <w:sz w:val="26"/>
          <w:szCs w:val="26"/>
        </w:rPr>
        <w:t xml:space="preserve">owever, </w:t>
      </w:r>
      <w:r w:rsidR="007705E9">
        <w:rPr>
          <w:sz w:val="26"/>
          <w:szCs w:val="26"/>
        </w:rPr>
        <w:t>has</w:t>
      </w:r>
      <w:r>
        <w:rPr>
          <w:sz w:val="26"/>
          <w:szCs w:val="26"/>
        </w:rPr>
        <w:t xml:space="preserve"> not </w:t>
      </w:r>
      <w:r w:rsidR="007705E9">
        <w:rPr>
          <w:sz w:val="26"/>
          <w:szCs w:val="26"/>
        </w:rPr>
        <w:t>explained how or when</w:t>
      </w:r>
      <w:r>
        <w:rPr>
          <w:sz w:val="26"/>
          <w:szCs w:val="26"/>
        </w:rPr>
        <w:t xml:space="preserve"> the customer will obtain </w:t>
      </w:r>
      <w:r w:rsidR="00B168BE">
        <w:rPr>
          <w:sz w:val="26"/>
          <w:szCs w:val="26"/>
        </w:rPr>
        <w:t xml:space="preserve">their </w:t>
      </w:r>
      <w:r w:rsidR="007705E9">
        <w:rPr>
          <w:sz w:val="26"/>
          <w:szCs w:val="26"/>
        </w:rPr>
        <w:t xml:space="preserve">new service location </w:t>
      </w:r>
      <w:r w:rsidR="00B168BE">
        <w:rPr>
          <w:sz w:val="26"/>
          <w:szCs w:val="26"/>
        </w:rPr>
        <w:t xml:space="preserve">account number from PPL to facilitate this process.  We advise PPL to clarify this in their procedures as they implement instant connects.  </w:t>
      </w:r>
      <w:r>
        <w:rPr>
          <w:sz w:val="26"/>
          <w:szCs w:val="26"/>
        </w:rPr>
        <w:t xml:space="preserve">   </w:t>
      </w:r>
    </w:p>
    <w:p w:rsidR="00411C0C" w:rsidRDefault="00411C0C" w:rsidP="00942229">
      <w:pPr>
        <w:spacing w:line="360" w:lineRule="auto"/>
        <w:ind w:firstLine="720"/>
        <w:rPr>
          <w:sz w:val="26"/>
          <w:szCs w:val="26"/>
        </w:rPr>
      </w:pPr>
    </w:p>
    <w:p w:rsidR="00D977C4" w:rsidRDefault="00D37B67">
      <w:pPr>
        <w:spacing w:line="360" w:lineRule="auto"/>
        <w:ind w:firstLine="720"/>
        <w:rPr>
          <w:sz w:val="26"/>
          <w:szCs w:val="26"/>
        </w:rPr>
      </w:pPr>
      <w:r>
        <w:rPr>
          <w:sz w:val="26"/>
          <w:szCs w:val="26"/>
        </w:rPr>
        <w:lastRenderedPageBreak/>
        <w:t xml:space="preserve">As for cost recovery, we disagree with </w:t>
      </w:r>
      <w:r w:rsidR="006522D3">
        <w:rPr>
          <w:sz w:val="26"/>
          <w:szCs w:val="26"/>
        </w:rPr>
        <w:t xml:space="preserve">the </w:t>
      </w:r>
      <w:r w:rsidRPr="004551AD">
        <w:rPr>
          <w:sz w:val="26"/>
          <w:szCs w:val="26"/>
        </w:rPr>
        <w:t>OCA</w:t>
      </w:r>
      <w:r>
        <w:rPr>
          <w:sz w:val="26"/>
          <w:szCs w:val="26"/>
        </w:rPr>
        <w:t xml:space="preserve">’s primary position that </w:t>
      </w:r>
      <w:r w:rsidRPr="004551AD">
        <w:rPr>
          <w:sz w:val="26"/>
          <w:szCs w:val="26"/>
        </w:rPr>
        <w:t>costs should be borne by the EGSs</w:t>
      </w:r>
      <w:r>
        <w:rPr>
          <w:sz w:val="26"/>
          <w:szCs w:val="26"/>
        </w:rPr>
        <w:t>.  While EGSs will obtain some benefit from these processes</w:t>
      </w:r>
      <w:r w:rsidR="00374A97">
        <w:rPr>
          <w:sz w:val="26"/>
          <w:szCs w:val="26"/>
        </w:rPr>
        <w:t>,</w:t>
      </w:r>
      <w:r>
        <w:rPr>
          <w:sz w:val="26"/>
          <w:szCs w:val="26"/>
        </w:rPr>
        <w:t xml:space="preserve"> customers will also benefit.  </w:t>
      </w:r>
      <w:r w:rsidR="00374A97">
        <w:rPr>
          <w:sz w:val="26"/>
          <w:szCs w:val="26"/>
        </w:rPr>
        <w:t>The s</w:t>
      </w:r>
      <w:r>
        <w:rPr>
          <w:sz w:val="26"/>
          <w:szCs w:val="26"/>
        </w:rPr>
        <w:t>eamless move and instant connect functionality will not only benefit current shopping customers</w:t>
      </w:r>
      <w:r w:rsidR="00374A97">
        <w:rPr>
          <w:sz w:val="26"/>
          <w:szCs w:val="26"/>
        </w:rPr>
        <w:t>,</w:t>
      </w:r>
      <w:r>
        <w:rPr>
          <w:sz w:val="26"/>
          <w:szCs w:val="26"/>
        </w:rPr>
        <w:t xml:space="preserve"> </w:t>
      </w:r>
      <w:r w:rsidR="00374A97">
        <w:rPr>
          <w:sz w:val="26"/>
          <w:szCs w:val="26"/>
        </w:rPr>
        <w:t xml:space="preserve">it </w:t>
      </w:r>
      <w:r>
        <w:rPr>
          <w:sz w:val="26"/>
          <w:szCs w:val="26"/>
        </w:rPr>
        <w:t xml:space="preserve">will be available for all </w:t>
      </w:r>
      <w:r w:rsidR="00D54FAE">
        <w:rPr>
          <w:sz w:val="26"/>
          <w:szCs w:val="26"/>
        </w:rPr>
        <w:t xml:space="preserve">eligible </w:t>
      </w:r>
      <w:r>
        <w:rPr>
          <w:sz w:val="26"/>
          <w:szCs w:val="26"/>
        </w:rPr>
        <w:t>customers.  These enhancements are permanent improvements that</w:t>
      </w:r>
      <w:r w:rsidR="00F201B3">
        <w:rPr>
          <w:sz w:val="26"/>
          <w:szCs w:val="26"/>
        </w:rPr>
        <w:t>,</w:t>
      </w:r>
      <w:r>
        <w:rPr>
          <w:sz w:val="26"/>
          <w:szCs w:val="26"/>
        </w:rPr>
        <w:t xml:space="preserve"> to a large extent</w:t>
      </w:r>
      <w:r w:rsidR="00F201B3">
        <w:rPr>
          <w:sz w:val="26"/>
          <w:szCs w:val="26"/>
        </w:rPr>
        <w:t>,</w:t>
      </w:r>
      <w:r>
        <w:rPr>
          <w:sz w:val="26"/>
          <w:szCs w:val="26"/>
        </w:rPr>
        <w:t xml:space="preserve"> are </w:t>
      </w:r>
      <w:r w:rsidR="00265294">
        <w:rPr>
          <w:sz w:val="26"/>
          <w:szCs w:val="26"/>
        </w:rPr>
        <w:t xml:space="preserve">simply </w:t>
      </w:r>
      <w:r>
        <w:rPr>
          <w:sz w:val="26"/>
          <w:szCs w:val="26"/>
        </w:rPr>
        <w:t xml:space="preserve">correcting an unacceptable status quo due to </w:t>
      </w:r>
      <w:r w:rsidR="0046067E">
        <w:rPr>
          <w:sz w:val="26"/>
          <w:szCs w:val="26"/>
        </w:rPr>
        <w:t xml:space="preserve">existing </w:t>
      </w:r>
      <w:r>
        <w:rPr>
          <w:sz w:val="26"/>
          <w:szCs w:val="26"/>
        </w:rPr>
        <w:t xml:space="preserve">limitations in utility customer information systems.  For these reasons, </w:t>
      </w:r>
      <w:r w:rsidR="00572652">
        <w:rPr>
          <w:sz w:val="26"/>
          <w:szCs w:val="26"/>
        </w:rPr>
        <w:t xml:space="preserve">we </w:t>
      </w:r>
      <w:r>
        <w:rPr>
          <w:sz w:val="26"/>
          <w:szCs w:val="26"/>
        </w:rPr>
        <w:t xml:space="preserve">agree with </w:t>
      </w:r>
      <w:r w:rsidR="00265294">
        <w:rPr>
          <w:sz w:val="26"/>
          <w:szCs w:val="26"/>
        </w:rPr>
        <w:t xml:space="preserve">the </w:t>
      </w:r>
      <w:r>
        <w:rPr>
          <w:sz w:val="26"/>
          <w:szCs w:val="26"/>
        </w:rPr>
        <w:t>OCA’s secondary position</w:t>
      </w:r>
      <w:r w:rsidR="00F2675E">
        <w:rPr>
          <w:sz w:val="26"/>
          <w:szCs w:val="26"/>
        </w:rPr>
        <w:t>, and PPL’s proposal,</w:t>
      </w:r>
      <w:r>
        <w:rPr>
          <w:sz w:val="26"/>
          <w:szCs w:val="26"/>
        </w:rPr>
        <w:t xml:space="preserve"> </w:t>
      </w:r>
      <w:r w:rsidRPr="004551AD">
        <w:rPr>
          <w:sz w:val="26"/>
          <w:szCs w:val="26"/>
        </w:rPr>
        <w:t>that the</w:t>
      </w:r>
      <w:r>
        <w:rPr>
          <w:sz w:val="26"/>
          <w:szCs w:val="26"/>
        </w:rPr>
        <w:t>se</w:t>
      </w:r>
      <w:r w:rsidRPr="004551AD">
        <w:rPr>
          <w:sz w:val="26"/>
          <w:szCs w:val="26"/>
        </w:rPr>
        <w:t xml:space="preserve"> cost</w:t>
      </w:r>
      <w:r w:rsidR="00D977C4">
        <w:rPr>
          <w:sz w:val="26"/>
          <w:szCs w:val="26"/>
        </w:rPr>
        <w:t>s</w:t>
      </w:r>
      <w:r w:rsidRPr="004551AD">
        <w:rPr>
          <w:sz w:val="26"/>
          <w:szCs w:val="26"/>
        </w:rPr>
        <w:t xml:space="preserve"> be included in base rates.</w:t>
      </w:r>
      <w:r w:rsidR="00D977C4">
        <w:rPr>
          <w:sz w:val="26"/>
          <w:szCs w:val="26"/>
        </w:rPr>
        <w:t xml:space="preserve">  The scrutiny of a base rate proceeding is</w:t>
      </w:r>
      <w:r w:rsidR="00D11382">
        <w:rPr>
          <w:sz w:val="26"/>
          <w:szCs w:val="26"/>
        </w:rPr>
        <w:t xml:space="preserve"> the</w:t>
      </w:r>
      <w:r w:rsidR="00D977C4">
        <w:rPr>
          <w:sz w:val="26"/>
          <w:szCs w:val="26"/>
        </w:rPr>
        <w:t xml:space="preserve"> appropriate mechanism to ensure that utilities will recover </w:t>
      </w:r>
      <w:r w:rsidR="007705E9">
        <w:rPr>
          <w:sz w:val="26"/>
          <w:szCs w:val="26"/>
        </w:rPr>
        <w:t xml:space="preserve">only </w:t>
      </w:r>
      <w:r w:rsidR="00D11382">
        <w:rPr>
          <w:sz w:val="26"/>
          <w:szCs w:val="26"/>
        </w:rPr>
        <w:t xml:space="preserve">prudent and </w:t>
      </w:r>
      <w:r w:rsidR="00D977C4">
        <w:rPr>
          <w:sz w:val="26"/>
          <w:szCs w:val="26"/>
        </w:rPr>
        <w:t xml:space="preserve">reasonably-incurred costs.  </w:t>
      </w:r>
      <w:r w:rsidR="00265294">
        <w:rPr>
          <w:sz w:val="26"/>
          <w:szCs w:val="26"/>
        </w:rPr>
        <w:t>A</w:t>
      </w:r>
      <w:r w:rsidR="00D977C4">
        <w:rPr>
          <w:sz w:val="26"/>
          <w:szCs w:val="26"/>
        </w:rPr>
        <w:t xml:space="preserve">s </w:t>
      </w:r>
      <w:r w:rsidR="00265294">
        <w:rPr>
          <w:sz w:val="26"/>
          <w:szCs w:val="26"/>
        </w:rPr>
        <w:t xml:space="preserve">the </w:t>
      </w:r>
      <w:r w:rsidR="00D977C4">
        <w:rPr>
          <w:sz w:val="26"/>
          <w:szCs w:val="26"/>
        </w:rPr>
        <w:t xml:space="preserve">OCA points out, this is consistent with </w:t>
      </w:r>
      <w:r w:rsidRPr="004551AD">
        <w:rPr>
          <w:sz w:val="26"/>
          <w:szCs w:val="26"/>
        </w:rPr>
        <w:t xml:space="preserve">recent </w:t>
      </w:r>
      <w:r w:rsidR="00D977C4">
        <w:rPr>
          <w:sz w:val="26"/>
          <w:szCs w:val="26"/>
        </w:rPr>
        <w:t xml:space="preserve">Commission </w:t>
      </w:r>
      <w:r w:rsidRPr="004551AD">
        <w:rPr>
          <w:sz w:val="26"/>
          <w:szCs w:val="26"/>
        </w:rPr>
        <w:t xml:space="preserve">decisions on the costs associated with accelerated switching. </w:t>
      </w:r>
      <w:r w:rsidR="00D11382">
        <w:rPr>
          <w:sz w:val="26"/>
          <w:szCs w:val="26"/>
        </w:rPr>
        <w:t xml:space="preserve"> </w:t>
      </w:r>
      <w:r w:rsidR="00572652">
        <w:rPr>
          <w:sz w:val="26"/>
          <w:szCs w:val="26"/>
        </w:rPr>
        <w:t xml:space="preserve">It is also consistent with our decision in the Duquesne Light </w:t>
      </w:r>
      <w:r w:rsidR="006D675D">
        <w:rPr>
          <w:sz w:val="26"/>
          <w:szCs w:val="26"/>
        </w:rPr>
        <w:t xml:space="preserve">Company’s </w:t>
      </w:r>
      <w:r w:rsidR="00572652">
        <w:rPr>
          <w:sz w:val="26"/>
          <w:szCs w:val="26"/>
        </w:rPr>
        <w:t>seamless move proceeding.</w:t>
      </w:r>
      <w:r w:rsidR="00411C0C">
        <w:rPr>
          <w:rStyle w:val="FootnoteReference"/>
          <w:sz w:val="26"/>
          <w:szCs w:val="26"/>
        </w:rPr>
        <w:footnoteReference w:id="9"/>
      </w:r>
      <w:r w:rsidR="00572652">
        <w:rPr>
          <w:sz w:val="26"/>
          <w:szCs w:val="26"/>
        </w:rPr>
        <w:t xml:space="preserve">  </w:t>
      </w:r>
    </w:p>
    <w:p w:rsidR="00D11382" w:rsidRDefault="00D11382" w:rsidP="00942229">
      <w:pPr>
        <w:spacing w:line="360" w:lineRule="auto"/>
        <w:ind w:firstLine="720"/>
        <w:rPr>
          <w:sz w:val="26"/>
          <w:szCs w:val="26"/>
        </w:rPr>
      </w:pPr>
    </w:p>
    <w:p w:rsidR="00D977C4" w:rsidRPr="00566308" w:rsidRDefault="00D977C4" w:rsidP="00D977C4">
      <w:pPr>
        <w:pStyle w:val="Heading1"/>
        <w:spacing w:before="0" w:after="0" w:line="360" w:lineRule="auto"/>
        <w:jc w:val="center"/>
        <w:rPr>
          <w:rFonts w:ascii="Times New Roman" w:hAnsi="Times New Roman" w:cs="Times New Roman"/>
          <w:spacing w:val="-3"/>
          <w:sz w:val="26"/>
          <w:szCs w:val="26"/>
        </w:rPr>
      </w:pPr>
      <w:r w:rsidRPr="00566308">
        <w:rPr>
          <w:rFonts w:ascii="Times New Roman" w:hAnsi="Times New Roman" w:cs="Times New Roman"/>
          <w:spacing w:val="-3"/>
          <w:sz w:val="26"/>
          <w:szCs w:val="26"/>
        </w:rPr>
        <w:t>CONCLUSION</w:t>
      </w:r>
    </w:p>
    <w:p w:rsidR="00D977C4" w:rsidRPr="00566308" w:rsidRDefault="00D977C4" w:rsidP="00D977C4">
      <w:pPr>
        <w:spacing w:line="360" w:lineRule="auto"/>
        <w:jc w:val="center"/>
        <w:rPr>
          <w:b/>
          <w:spacing w:val="-3"/>
          <w:sz w:val="26"/>
          <w:szCs w:val="26"/>
        </w:rPr>
      </w:pPr>
    </w:p>
    <w:p w:rsidR="00D977C4" w:rsidRDefault="00D977C4" w:rsidP="00D977C4">
      <w:pPr>
        <w:spacing w:line="360" w:lineRule="auto"/>
        <w:rPr>
          <w:sz w:val="26"/>
          <w:szCs w:val="26"/>
        </w:rPr>
      </w:pPr>
      <w:r w:rsidRPr="00566308">
        <w:rPr>
          <w:spacing w:val="-3"/>
          <w:sz w:val="26"/>
          <w:szCs w:val="26"/>
        </w:rPr>
        <w:tab/>
      </w:r>
      <w:r w:rsidR="00211EF8">
        <w:rPr>
          <w:sz w:val="26"/>
          <w:szCs w:val="26"/>
        </w:rPr>
        <w:t>T</w:t>
      </w:r>
      <w:r w:rsidRPr="00522FC0">
        <w:rPr>
          <w:sz w:val="26"/>
          <w:szCs w:val="26"/>
        </w:rPr>
        <w:t xml:space="preserve">he Commission </w:t>
      </w:r>
      <w:r>
        <w:rPr>
          <w:sz w:val="26"/>
          <w:szCs w:val="26"/>
        </w:rPr>
        <w:t xml:space="preserve">approves </w:t>
      </w:r>
      <w:r w:rsidR="00F2675E">
        <w:rPr>
          <w:sz w:val="26"/>
          <w:szCs w:val="26"/>
        </w:rPr>
        <w:t>PPL’s</w:t>
      </w:r>
      <w:r>
        <w:rPr>
          <w:sz w:val="26"/>
          <w:szCs w:val="26"/>
        </w:rPr>
        <w:t xml:space="preserve"> plan</w:t>
      </w:r>
      <w:r w:rsidR="00235C92">
        <w:rPr>
          <w:sz w:val="26"/>
          <w:szCs w:val="26"/>
        </w:rPr>
        <w:t xml:space="preserve"> </w:t>
      </w:r>
      <w:r w:rsidR="00211EF8">
        <w:rPr>
          <w:sz w:val="26"/>
          <w:szCs w:val="26"/>
        </w:rPr>
        <w:t>filed on April 20, 2015,</w:t>
      </w:r>
      <w:r>
        <w:rPr>
          <w:sz w:val="26"/>
          <w:szCs w:val="26"/>
        </w:rPr>
        <w:t xml:space="preserve"> </w:t>
      </w:r>
      <w:r w:rsidR="00235C92">
        <w:rPr>
          <w:sz w:val="26"/>
          <w:szCs w:val="26"/>
        </w:rPr>
        <w:t xml:space="preserve">as modified by this Order, </w:t>
      </w:r>
      <w:r>
        <w:rPr>
          <w:sz w:val="26"/>
          <w:szCs w:val="26"/>
        </w:rPr>
        <w:t xml:space="preserve">for implementing seamless moves and instant connects in </w:t>
      </w:r>
      <w:r w:rsidR="00265294">
        <w:rPr>
          <w:sz w:val="26"/>
          <w:szCs w:val="26"/>
        </w:rPr>
        <w:t xml:space="preserve">its </w:t>
      </w:r>
      <w:r>
        <w:rPr>
          <w:sz w:val="26"/>
          <w:szCs w:val="26"/>
        </w:rPr>
        <w:t>service territory</w:t>
      </w:r>
      <w:r w:rsidR="00235C92">
        <w:rPr>
          <w:sz w:val="26"/>
          <w:szCs w:val="26"/>
        </w:rPr>
        <w:t xml:space="preserve"> by </w:t>
      </w:r>
      <w:bookmarkStart w:id="1" w:name="_GoBack"/>
      <w:bookmarkEnd w:id="1"/>
      <w:r w:rsidR="00235C92">
        <w:rPr>
          <w:sz w:val="26"/>
          <w:szCs w:val="26"/>
        </w:rPr>
        <w:t>September 30</w:t>
      </w:r>
      <w:r>
        <w:rPr>
          <w:sz w:val="26"/>
          <w:szCs w:val="26"/>
        </w:rPr>
        <w:t xml:space="preserve">, 2016.  </w:t>
      </w:r>
      <w:r w:rsidRPr="00522FC0">
        <w:rPr>
          <w:sz w:val="26"/>
          <w:szCs w:val="26"/>
        </w:rPr>
        <w:t xml:space="preserve"> </w:t>
      </w:r>
    </w:p>
    <w:p w:rsidR="000569A8" w:rsidRDefault="000569A8" w:rsidP="00D977C4">
      <w:pPr>
        <w:spacing w:line="360" w:lineRule="auto"/>
        <w:rPr>
          <w:sz w:val="26"/>
          <w:szCs w:val="26"/>
        </w:rPr>
      </w:pPr>
    </w:p>
    <w:p w:rsidR="00D977C4" w:rsidRPr="008F5246" w:rsidRDefault="00D977C4" w:rsidP="00D977C4">
      <w:pPr>
        <w:spacing w:line="360" w:lineRule="auto"/>
        <w:rPr>
          <w:b/>
          <w:sz w:val="26"/>
          <w:szCs w:val="26"/>
        </w:rPr>
      </w:pPr>
      <w:r w:rsidRPr="008F5246">
        <w:rPr>
          <w:b/>
          <w:sz w:val="26"/>
          <w:szCs w:val="26"/>
        </w:rPr>
        <w:t>THEREFORE,</w:t>
      </w:r>
    </w:p>
    <w:p w:rsidR="00D977C4" w:rsidRPr="008F5246" w:rsidRDefault="00D977C4" w:rsidP="00D977C4">
      <w:pPr>
        <w:spacing w:line="360" w:lineRule="auto"/>
        <w:rPr>
          <w:spacing w:val="-3"/>
          <w:sz w:val="26"/>
          <w:szCs w:val="26"/>
        </w:rPr>
      </w:pPr>
    </w:p>
    <w:p w:rsidR="00D977C4" w:rsidRPr="000303AC" w:rsidRDefault="00D977C4" w:rsidP="00D977C4">
      <w:pPr>
        <w:tabs>
          <w:tab w:val="left" w:pos="0"/>
        </w:tabs>
        <w:spacing w:line="360" w:lineRule="auto"/>
        <w:rPr>
          <w:b/>
          <w:sz w:val="26"/>
          <w:szCs w:val="26"/>
        </w:rPr>
      </w:pPr>
      <w:r w:rsidRPr="008F5246">
        <w:rPr>
          <w:b/>
          <w:sz w:val="26"/>
          <w:szCs w:val="26"/>
        </w:rPr>
        <w:tab/>
        <w:t>IT IS ORDERED:</w:t>
      </w:r>
      <w:r w:rsidRPr="000303AC">
        <w:rPr>
          <w:b/>
          <w:sz w:val="26"/>
          <w:szCs w:val="26"/>
        </w:rPr>
        <w:t xml:space="preserve">  </w:t>
      </w:r>
    </w:p>
    <w:p w:rsidR="00D977C4" w:rsidRPr="000303AC" w:rsidRDefault="00D977C4" w:rsidP="00D977C4">
      <w:pPr>
        <w:tabs>
          <w:tab w:val="left" w:pos="0"/>
        </w:tabs>
        <w:spacing w:line="360" w:lineRule="auto"/>
        <w:rPr>
          <w:sz w:val="26"/>
          <w:szCs w:val="26"/>
        </w:rPr>
      </w:pPr>
    </w:p>
    <w:p w:rsidR="00EF6E52" w:rsidRDefault="00D977C4" w:rsidP="00D977C4">
      <w:pPr>
        <w:spacing w:line="360" w:lineRule="auto"/>
        <w:rPr>
          <w:sz w:val="26"/>
        </w:rPr>
      </w:pPr>
      <w:r w:rsidRPr="000303AC">
        <w:rPr>
          <w:sz w:val="26"/>
        </w:rPr>
        <w:t xml:space="preserve">           </w:t>
      </w:r>
      <w:r w:rsidRPr="000303AC">
        <w:rPr>
          <w:sz w:val="26"/>
        </w:rPr>
        <w:tab/>
        <w:t xml:space="preserve">1.  </w:t>
      </w:r>
      <w:r w:rsidR="00235C92">
        <w:rPr>
          <w:sz w:val="26"/>
        </w:rPr>
        <w:t xml:space="preserve">That </w:t>
      </w:r>
      <w:r w:rsidR="00F2675E">
        <w:rPr>
          <w:sz w:val="26"/>
          <w:szCs w:val="26"/>
        </w:rPr>
        <w:t xml:space="preserve">PPL Electric Utilities Corporation’s </w:t>
      </w:r>
      <w:r w:rsidR="00235C92">
        <w:rPr>
          <w:sz w:val="26"/>
        </w:rPr>
        <w:t xml:space="preserve">plan </w:t>
      </w:r>
      <w:r w:rsidR="000569A8">
        <w:rPr>
          <w:sz w:val="26"/>
        </w:rPr>
        <w:t xml:space="preserve">filed with the Commission on April 20, 2015 </w:t>
      </w:r>
      <w:r w:rsidR="00235C92">
        <w:rPr>
          <w:sz w:val="26"/>
        </w:rPr>
        <w:t>to</w:t>
      </w:r>
      <w:r>
        <w:rPr>
          <w:sz w:val="26"/>
        </w:rPr>
        <w:t xml:space="preserve"> implement seamless moves and instant connects in </w:t>
      </w:r>
      <w:r w:rsidR="00473817">
        <w:rPr>
          <w:sz w:val="26"/>
        </w:rPr>
        <w:t xml:space="preserve">its </w:t>
      </w:r>
      <w:r>
        <w:rPr>
          <w:sz w:val="26"/>
        </w:rPr>
        <w:t xml:space="preserve">service territory by </w:t>
      </w:r>
      <w:r w:rsidR="00235C92">
        <w:rPr>
          <w:sz w:val="26"/>
        </w:rPr>
        <w:t>September 30</w:t>
      </w:r>
      <w:r>
        <w:rPr>
          <w:sz w:val="26"/>
        </w:rPr>
        <w:t>, 2016</w:t>
      </w:r>
      <w:r w:rsidR="000569A8">
        <w:rPr>
          <w:sz w:val="26"/>
        </w:rPr>
        <w:t xml:space="preserve"> is approved as </w:t>
      </w:r>
      <w:r w:rsidR="00235C92">
        <w:rPr>
          <w:sz w:val="26"/>
        </w:rPr>
        <w:t>modifi</w:t>
      </w:r>
      <w:r w:rsidR="000569A8">
        <w:rPr>
          <w:sz w:val="26"/>
        </w:rPr>
        <w:t xml:space="preserve">ed by </w:t>
      </w:r>
      <w:r w:rsidR="00235C92">
        <w:rPr>
          <w:sz w:val="26"/>
        </w:rPr>
        <w:t xml:space="preserve">this Order.  </w:t>
      </w:r>
      <w:r>
        <w:rPr>
          <w:sz w:val="26"/>
        </w:rPr>
        <w:t xml:space="preserve">  </w:t>
      </w:r>
    </w:p>
    <w:p w:rsidR="00EF6E52" w:rsidRDefault="00EF6E52" w:rsidP="00D977C4">
      <w:pPr>
        <w:spacing w:line="360" w:lineRule="auto"/>
        <w:rPr>
          <w:sz w:val="26"/>
        </w:rPr>
      </w:pPr>
    </w:p>
    <w:p w:rsidR="00D977C4" w:rsidRDefault="00EF6E52" w:rsidP="00EF6E52">
      <w:pPr>
        <w:spacing w:line="360" w:lineRule="auto"/>
        <w:ind w:firstLine="720"/>
        <w:rPr>
          <w:sz w:val="26"/>
        </w:rPr>
      </w:pPr>
      <w:r>
        <w:rPr>
          <w:sz w:val="26"/>
        </w:rPr>
        <w:t xml:space="preserve">2.  That </w:t>
      </w:r>
      <w:r>
        <w:rPr>
          <w:sz w:val="26"/>
          <w:szCs w:val="26"/>
        </w:rPr>
        <w:t xml:space="preserve">PPL Electric Utilities Corporation shall file within 10 days a compliance </w:t>
      </w:r>
      <w:r>
        <w:rPr>
          <w:sz w:val="26"/>
        </w:rPr>
        <w:t>plan with the Commission that incorporates the modifications directed</w:t>
      </w:r>
      <w:r w:rsidR="00F84436">
        <w:rPr>
          <w:sz w:val="26"/>
        </w:rPr>
        <w:t xml:space="preserve"> by this Order and also any clarifications requested in this Order.  </w:t>
      </w:r>
      <w:r>
        <w:rPr>
          <w:sz w:val="26"/>
        </w:rPr>
        <w:t xml:space="preserve">  </w:t>
      </w:r>
    </w:p>
    <w:p w:rsidR="002C16FD" w:rsidRPr="000303AC" w:rsidRDefault="002C16FD" w:rsidP="00EF6E52">
      <w:pPr>
        <w:spacing w:line="360" w:lineRule="auto"/>
        <w:ind w:firstLine="720"/>
        <w:rPr>
          <w:sz w:val="26"/>
        </w:rPr>
      </w:pPr>
    </w:p>
    <w:p w:rsidR="003B1CB6" w:rsidRPr="003B1CB6" w:rsidRDefault="00D977C4" w:rsidP="003B1CB6">
      <w:pPr>
        <w:spacing w:line="360" w:lineRule="auto"/>
        <w:rPr>
          <w:sz w:val="26"/>
        </w:rPr>
      </w:pPr>
      <w:r w:rsidRPr="000303AC">
        <w:rPr>
          <w:sz w:val="26"/>
        </w:rPr>
        <w:tab/>
      </w:r>
      <w:r w:rsidR="00EF6E52">
        <w:rPr>
          <w:sz w:val="26"/>
        </w:rPr>
        <w:t>3</w:t>
      </w:r>
      <w:r w:rsidRPr="000303AC">
        <w:rPr>
          <w:sz w:val="26"/>
        </w:rPr>
        <w:t xml:space="preserve">.  </w:t>
      </w:r>
      <w:r w:rsidR="003B1CB6" w:rsidRPr="003B1CB6">
        <w:rPr>
          <w:sz w:val="26"/>
        </w:rPr>
        <w:t xml:space="preserve">That </w:t>
      </w:r>
      <w:r w:rsidR="00F2675E">
        <w:rPr>
          <w:sz w:val="26"/>
          <w:szCs w:val="26"/>
        </w:rPr>
        <w:t>PPL Electric Utilities Corporation</w:t>
      </w:r>
      <w:r w:rsidR="00235C92">
        <w:rPr>
          <w:sz w:val="26"/>
        </w:rPr>
        <w:t xml:space="preserve"> </w:t>
      </w:r>
      <w:r w:rsidR="003B1CB6" w:rsidRPr="003B1CB6">
        <w:rPr>
          <w:sz w:val="26"/>
        </w:rPr>
        <w:t xml:space="preserve">shall file with the Commission for its review and </w:t>
      </w:r>
      <w:proofErr w:type="gramStart"/>
      <w:r w:rsidR="003B1CB6" w:rsidRPr="003B1CB6">
        <w:rPr>
          <w:sz w:val="26"/>
        </w:rPr>
        <w:t>approval revised tariff supplements consistent with the terms of this Order at least 30 days prior to the availability of seamless move and instant connect</w:t>
      </w:r>
      <w:proofErr w:type="gramEnd"/>
      <w:r w:rsidR="003B1CB6" w:rsidRPr="003B1CB6">
        <w:rPr>
          <w:sz w:val="26"/>
        </w:rPr>
        <w:t xml:space="preserve"> functions within its service territory.</w:t>
      </w:r>
    </w:p>
    <w:p w:rsidR="00D977C4" w:rsidRDefault="00D977C4" w:rsidP="00D977C4">
      <w:pPr>
        <w:spacing w:line="360" w:lineRule="auto"/>
        <w:rPr>
          <w:sz w:val="26"/>
          <w:szCs w:val="26"/>
        </w:rPr>
      </w:pPr>
      <w:r>
        <w:rPr>
          <w:sz w:val="26"/>
          <w:szCs w:val="26"/>
        </w:rPr>
        <w:tab/>
      </w:r>
    </w:p>
    <w:p w:rsidR="00B95FCC" w:rsidRDefault="00D977C4" w:rsidP="00235C92">
      <w:pPr>
        <w:spacing w:line="360" w:lineRule="auto"/>
        <w:rPr>
          <w:sz w:val="26"/>
          <w:szCs w:val="26"/>
        </w:rPr>
      </w:pPr>
      <w:r>
        <w:rPr>
          <w:sz w:val="26"/>
          <w:szCs w:val="26"/>
        </w:rPr>
        <w:tab/>
      </w:r>
      <w:r w:rsidR="00EF6E52">
        <w:rPr>
          <w:sz w:val="26"/>
          <w:szCs w:val="26"/>
        </w:rPr>
        <w:t>4</w:t>
      </w:r>
      <w:r>
        <w:rPr>
          <w:sz w:val="26"/>
          <w:szCs w:val="26"/>
        </w:rPr>
        <w:t xml:space="preserve">.  </w:t>
      </w:r>
      <w:r w:rsidRPr="00F03CBD">
        <w:rPr>
          <w:sz w:val="26"/>
          <w:szCs w:val="26"/>
        </w:rPr>
        <w:t xml:space="preserve">That this </w:t>
      </w:r>
      <w:r>
        <w:rPr>
          <w:sz w:val="26"/>
          <w:szCs w:val="26"/>
        </w:rPr>
        <w:t>Final</w:t>
      </w:r>
      <w:r w:rsidRPr="00F03CBD">
        <w:rPr>
          <w:sz w:val="26"/>
          <w:szCs w:val="26"/>
        </w:rPr>
        <w:t xml:space="preserve"> Order be served on all</w:t>
      </w:r>
      <w:r>
        <w:rPr>
          <w:sz w:val="26"/>
          <w:szCs w:val="26"/>
        </w:rPr>
        <w:t xml:space="preserve"> jurisdictional</w:t>
      </w:r>
      <w:r w:rsidRPr="00F03CBD">
        <w:rPr>
          <w:sz w:val="26"/>
          <w:szCs w:val="26"/>
        </w:rPr>
        <w:t xml:space="preserve"> </w:t>
      </w:r>
      <w:r w:rsidR="00D96C7A">
        <w:rPr>
          <w:sz w:val="26"/>
          <w:szCs w:val="26"/>
        </w:rPr>
        <w:t>Electric</w:t>
      </w:r>
      <w:r w:rsidRPr="00F03CBD">
        <w:rPr>
          <w:sz w:val="26"/>
          <w:szCs w:val="26"/>
        </w:rPr>
        <w:t xml:space="preserve"> Distribution Companies, the Bureau of Investigation and Enforcement, the Office of Consumer Advocate, the Office of Small Business Advocate</w:t>
      </w:r>
      <w:r>
        <w:rPr>
          <w:sz w:val="26"/>
          <w:szCs w:val="26"/>
        </w:rPr>
        <w:t xml:space="preserve"> and the parties who filed comments at Docket No. </w:t>
      </w:r>
      <w:proofErr w:type="gramStart"/>
      <w:r w:rsidR="00F2675E" w:rsidRPr="00F2675E">
        <w:rPr>
          <w:color w:val="333333"/>
          <w:sz w:val="26"/>
          <w:szCs w:val="26"/>
        </w:rPr>
        <w:t>M-2014-2401103</w:t>
      </w:r>
      <w:r>
        <w:rPr>
          <w:sz w:val="26"/>
          <w:szCs w:val="26"/>
        </w:rPr>
        <w:t>.</w:t>
      </w:r>
      <w:proofErr w:type="gramEnd"/>
      <w:r w:rsidR="00D96C7A">
        <w:rPr>
          <w:sz w:val="26"/>
          <w:szCs w:val="26"/>
        </w:rPr>
        <w:t xml:space="preserve">    </w:t>
      </w:r>
    </w:p>
    <w:p w:rsidR="00B95FCC" w:rsidRDefault="00B95FCC" w:rsidP="00D977C4">
      <w:pPr>
        <w:spacing w:line="360" w:lineRule="auto"/>
        <w:rPr>
          <w:sz w:val="26"/>
          <w:szCs w:val="26"/>
        </w:rPr>
      </w:pPr>
    </w:p>
    <w:p w:rsidR="00D977C4" w:rsidRDefault="00EF6E52" w:rsidP="00B95FCC">
      <w:pPr>
        <w:spacing w:line="360" w:lineRule="auto"/>
        <w:ind w:firstLine="720"/>
        <w:rPr>
          <w:sz w:val="26"/>
          <w:szCs w:val="26"/>
        </w:rPr>
      </w:pPr>
      <w:r>
        <w:rPr>
          <w:sz w:val="26"/>
          <w:szCs w:val="26"/>
        </w:rPr>
        <w:t>5</w:t>
      </w:r>
      <w:r w:rsidR="00B95FCC">
        <w:rPr>
          <w:sz w:val="26"/>
          <w:szCs w:val="26"/>
        </w:rPr>
        <w:t xml:space="preserve">.  </w:t>
      </w:r>
      <w:r w:rsidR="00B95FCC" w:rsidRPr="009A4CF6">
        <w:rPr>
          <w:sz w:val="26"/>
          <w:szCs w:val="26"/>
        </w:rPr>
        <w:t xml:space="preserve">That the Secretary shall deposit a </w:t>
      </w:r>
      <w:r w:rsidR="00B95FCC">
        <w:rPr>
          <w:sz w:val="26"/>
          <w:szCs w:val="26"/>
        </w:rPr>
        <w:t>notice</w:t>
      </w:r>
      <w:r w:rsidR="00B95FCC" w:rsidRPr="009A4CF6">
        <w:rPr>
          <w:sz w:val="26"/>
          <w:szCs w:val="26"/>
        </w:rPr>
        <w:t xml:space="preserve"> of this Final Order with the Legislative Reference Bureau for publication in the </w:t>
      </w:r>
      <w:r w:rsidR="00B95FCC" w:rsidRPr="009A4CF6">
        <w:rPr>
          <w:i/>
          <w:sz w:val="26"/>
          <w:szCs w:val="26"/>
        </w:rPr>
        <w:t>Pennsylvania Bulletin</w:t>
      </w:r>
      <w:r w:rsidR="00B95FCC" w:rsidRPr="009A4CF6">
        <w:rPr>
          <w:sz w:val="26"/>
          <w:szCs w:val="26"/>
        </w:rPr>
        <w:t xml:space="preserve">.    </w:t>
      </w:r>
      <w:r w:rsidR="00EB7B3D">
        <w:rPr>
          <w:sz w:val="26"/>
          <w:szCs w:val="26"/>
        </w:rPr>
        <w:br/>
      </w:r>
    </w:p>
    <w:p w:rsidR="00F84436" w:rsidRDefault="00D977C4" w:rsidP="00F84436">
      <w:pPr>
        <w:spacing w:line="360" w:lineRule="auto"/>
        <w:rPr>
          <w:rStyle w:val="Hyperlink"/>
        </w:rPr>
      </w:pPr>
      <w:r>
        <w:rPr>
          <w:sz w:val="26"/>
          <w:szCs w:val="26"/>
        </w:rPr>
        <w:tab/>
      </w:r>
      <w:r w:rsidR="00EF6E52">
        <w:rPr>
          <w:sz w:val="26"/>
          <w:szCs w:val="26"/>
        </w:rPr>
        <w:t>6</w:t>
      </w:r>
      <w:r>
        <w:rPr>
          <w:sz w:val="26"/>
          <w:szCs w:val="26"/>
        </w:rPr>
        <w:t xml:space="preserve">.  </w:t>
      </w:r>
      <w:r>
        <w:rPr>
          <w:sz w:val="26"/>
        </w:rPr>
        <w:t xml:space="preserve">That a copy of this Order be posted on the Commission’s website at the Office of Competitive Market Oversight’s web page - </w:t>
      </w:r>
      <w:hyperlink r:id="rId9" w:history="1">
        <w:r w:rsidR="00D96C7A" w:rsidRPr="00327B36">
          <w:rPr>
            <w:rStyle w:val="Hyperlink"/>
          </w:rPr>
          <w:t>http://www.puc.pa.gov/utility_industry/electricity/electric_competitive_market_oversight.aspx</w:t>
        </w:r>
      </w:hyperlink>
    </w:p>
    <w:p w:rsidR="00F84436" w:rsidRDefault="00F84436" w:rsidP="00F84436">
      <w:pPr>
        <w:spacing w:line="360" w:lineRule="auto"/>
        <w:rPr>
          <w:rStyle w:val="Hyperlink"/>
        </w:rPr>
      </w:pPr>
    </w:p>
    <w:p w:rsidR="00D96C7A" w:rsidRPr="00D96C7A" w:rsidRDefault="00F84436" w:rsidP="00F84436">
      <w:pPr>
        <w:spacing w:line="360" w:lineRule="auto"/>
        <w:ind w:firstLine="720"/>
        <w:rPr>
          <w:sz w:val="26"/>
        </w:rPr>
      </w:pPr>
      <w:r>
        <w:rPr>
          <w:sz w:val="26"/>
        </w:rPr>
        <w:t xml:space="preserve">7.  </w:t>
      </w:r>
      <w:r w:rsidR="00D96C7A" w:rsidRPr="00D96C7A">
        <w:rPr>
          <w:sz w:val="26"/>
        </w:rPr>
        <w:t>That the Office of Competitive Market Oversight shall electronically serve a copy of this Final Order on all persons on the contact list for the Committee Handling Activities for Retail Growth in Electricity.</w:t>
      </w:r>
    </w:p>
    <w:p w:rsidR="00D96C7A" w:rsidRPr="00D96C7A" w:rsidRDefault="00D96C7A" w:rsidP="00C103BC">
      <w:pPr>
        <w:keepNext/>
        <w:keepLines/>
        <w:spacing w:line="360" w:lineRule="auto"/>
        <w:ind w:firstLine="720"/>
        <w:rPr>
          <w:sz w:val="26"/>
        </w:rPr>
      </w:pPr>
    </w:p>
    <w:p w:rsidR="00D977C4" w:rsidRDefault="00D977C4" w:rsidP="00C103BC">
      <w:pPr>
        <w:keepNext/>
        <w:keepLines/>
        <w:spacing w:line="360" w:lineRule="auto"/>
        <w:ind w:firstLine="720"/>
        <w:rPr>
          <w:b/>
          <w:sz w:val="26"/>
          <w:szCs w:val="26"/>
        </w:rPr>
      </w:pPr>
    </w:p>
    <w:p w:rsidR="00D977C4" w:rsidRDefault="00D977C4" w:rsidP="00C103BC">
      <w:pPr>
        <w:keepNext/>
        <w:keepLines/>
        <w:spacing w:line="360" w:lineRule="auto"/>
        <w:ind w:firstLine="720"/>
        <w:rPr>
          <w:b/>
          <w:sz w:val="26"/>
          <w:szCs w:val="26"/>
        </w:rPr>
      </w:pPr>
      <w:r w:rsidRPr="007620D2">
        <w:rPr>
          <w:b/>
          <w:sz w:val="26"/>
          <w:szCs w:val="26"/>
        </w:rPr>
        <w:t>BY THE COMMISSION,</w:t>
      </w:r>
    </w:p>
    <w:p w:rsidR="00D977C4" w:rsidRDefault="00830FEA" w:rsidP="00C103BC">
      <w:pPr>
        <w:keepNext/>
        <w:keepLines/>
        <w:spacing w:line="360" w:lineRule="auto"/>
        <w:ind w:firstLine="720"/>
        <w:rPr>
          <w:b/>
          <w:sz w:val="26"/>
          <w:szCs w:val="26"/>
        </w:rPr>
      </w:pPr>
      <w:r>
        <w:rPr>
          <w:noProof/>
        </w:rPr>
        <w:drawing>
          <wp:anchor distT="0" distB="0" distL="114300" distR="114300" simplePos="0" relativeHeight="251659264" behindDoc="1" locked="0" layoutInCell="1" allowOverlap="1" wp14:anchorId="374558A1" wp14:editId="7A65F95E">
            <wp:simplePos x="0" y="0"/>
            <wp:positionH relativeFrom="column">
              <wp:posOffset>2818130</wp:posOffset>
            </wp:positionH>
            <wp:positionV relativeFrom="paragraph">
              <wp:posOffset>239395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D977C4" w:rsidRDefault="00D977C4" w:rsidP="00C103BC">
      <w:pPr>
        <w:keepNext/>
        <w:keepLines/>
        <w:spacing w:line="360" w:lineRule="auto"/>
        <w:ind w:firstLine="72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7620D2">
        <w:rPr>
          <w:sz w:val="26"/>
          <w:szCs w:val="26"/>
        </w:rPr>
        <w:t>Rosemary Chiavetta</w:t>
      </w:r>
    </w:p>
    <w:p w:rsidR="00D977C4" w:rsidRDefault="00D977C4" w:rsidP="00C103BC">
      <w:pPr>
        <w:keepNext/>
        <w:keepLines/>
        <w:spacing w:line="360" w:lineRule="auto"/>
        <w:ind w:firstLine="720"/>
        <w:rPr>
          <w:sz w:val="26"/>
          <w:szCs w:val="26"/>
        </w:rPr>
      </w:pPr>
    </w:p>
    <w:p w:rsidR="00D977C4" w:rsidRDefault="00D977C4" w:rsidP="00C103BC">
      <w:pPr>
        <w:keepNext/>
        <w:keepLines/>
        <w:spacing w:line="360" w:lineRule="auto"/>
        <w:ind w:firstLine="720"/>
        <w:rPr>
          <w:sz w:val="26"/>
          <w:szCs w:val="26"/>
        </w:rPr>
      </w:pPr>
    </w:p>
    <w:p w:rsidR="00D977C4" w:rsidRPr="007620D2" w:rsidRDefault="00D977C4" w:rsidP="00C103BC">
      <w:pPr>
        <w:keepNext/>
        <w:keepLines/>
        <w:spacing w:line="360" w:lineRule="auto"/>
        <w:ind w:firstLine="720"/>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D977C4" w:rsidRPr="007620D2" w:rsidRDefault="00D977C4" w:rsidP="00C103BC">
      <w:pPr>
        <w:keepNext/>
        <w:keepLines/>
        <w:rPr>
          <w:sz w:val="26"/>
          <w:szCs w:val="26"/>
        </w:rPr>
      </w:pPr>
    </w:p>
    <w:p w:rsidR="00D977C4" w:rsidRDefault="00D977C4" w:rsidP="00C103BC">
      <w:pPr>
        <w:keepNext/>
        <w:keepLines/>
        <w:rPr>
          <w:sz w:val="26"/>
          <w:szCs w:val="26"/>
        </w:rPr>
      </w:pPr>
    </w:p>
    <w:p w:rsidR="00D977C4" w:rsidRDefault="00D977C4" w:rsidP="00C103BC">
      <w:pPr>
        <w:keepNext/>
        <w:keepLines/>
        <w:rPr>
          <w:sz w:val="26"/>
          <w:szCs w:val="26"/>
        </w:rPr>
      </w:pPr>
    </w:p>
    <w:p w:rsidR="00D977C4" w:rsidRPr="007620D2" w:rsidRDefault="00D977C4" w:rsidP="00C103BC">
      <w:pPr>
        <w:keepNext/>
        <w:keepLines/>
        <w:rPr>
          <w:sz w:val="26"/>
          <w:szCs w:val="26"/>
        </w:rPr>
      </w:pPr>
      <w:r w:rsidRPr="007620D2">
        <w:rPr>
          <w:sz w:val="26"/>
          <w:szCs w:val="26"/>
        </w:rPr>
        <w:t>(SEAL)</w:t>
      </w:r>
    </w:p>
    <w:p w:rsidR="00D977C4" w:rsidRPr="007620D2" w:rsidRDefault="00D977C4" w:rsidP="00C103BC">
      <w:pPr>
        <w:keepNext/>
        <w:keepLines/>
        <w:rPr>
          <w:sz w:val="26"/>
          <w:szCs w:val="26"/>
        </w:rPr>
      </w:pPr>
    </w:p>
    <w:p w:rsidR="00D977C4" w:rsidRPr="007620D2" w:rsidRDefault="00D977C4" w:rsidP="00C103BC">
      <w:pPr>
        <w:keepNext/>
        <w:keepLines/>
        <w:rPr>
          <w:sz w:val="26"/>
          <w:szCs w:val="26"/>
        </w:rPr>
      </w:pPr>
      <w:r w:rsidRPr="007620D2">
        <w:rPr>
          <w:sz w:val="26"/>
          <w:szCs w:val="26"/>
        </w:rPr>
        <w:t xml:space="preserve">ORDER ADOPTED:  </w:t>
      </w:r>
      <w:r w:rsidR="00235C92">
        <w:rPr>
          <w:sz w:val="26"/>
          <w:szCs w:val="26"/>
        </w:rPr>
        <w:t>October</w:t>
      </w:r>
      <w:r>
        <w:rPr>
          <w:sz w:val="26"/>
          <w:szCs w:val="26"/>
        </w:rPr>
        <w:t xml:space="preserve"> </w:t>
      </w:r>
      <w:r w:rsidR="00235C92">
        <w:rPr>
          <w:sz w:val="26"/>
          <w:szCs w:val="26"/>
        </w:rPr>
        <w:t>1</w:t>
      </w:r>
      <w:r>
        <w:rPr>
          <w:sz w:val="26"/>
          <w:szCs w:val="26"/>
        </w:rPr>
        <w:t>, 2015</w:t>
      </w:r>
    </w:p>
    <w:p w:rsidR="00D977C4" w:rsidRPr="007620D2" w:rsidRDefault="00D977C4" w:rsidP="00C103BC">
      <w:pPr>
        <w:keepNext/>
        <w:keepLines/>
        <w:rPr>
          <w:sz w:val="26"/>
          <w:szCs w:val="26"/>
        </w:rPr>
      </w:pPr>
    </w:p>
    <w:p w:rsidR="00D977C4" w:rsidRDefault="00D977C4" w:rsidP="00C103BC">
      <w:pPr>
        <w:keepNext/>
        <w:keepLines/>
        <w:rPr>
          <w:sz w:val="26"/>
          <w:szCs w:val="26"/>
        </w:rPr>
      </w:pPr>
      <w:r w:rsidRPr="007620D2">
        <w:rPr>
          <w:sz w:val="26"/>
          <w:szCs w:val="26"/>
        </w:rPr>
        <w:t xml:space="preserve">ORDER ENTERED:  </w:t>
      </w:r>
      <w:r w:rsidR="00235C92">
        <w:rPr>
          <w:sz w:val="26"/>
          <w:szCs w:val="26"/>
        </w:rPr>
        <w:t>October</w:t>
      </w:r>
      <w:r w:rsidR="00C117C7">
        <w:rPr>
          <w:sz w:val="26"/>
          <w:szCs w:val="26"/>
        </w:rPr>
        <w:t xml:space="preserve"> </w:t>
      </w:r>
      <w:r w:rsidR="00830FEA">
        <w:rPr>
          <w:sz w:val="26"/>
          <w:szCs w:val="26"/>
        </w:rPr>
        <w:t>1</w:t>
      </w:r>
      <w:r w:rsidR="00C117C7">
        <w:rPr>
          <w:sz w:val="26"/>
          <w:szCs w:val="26"/>
        </w:rPr>
        <w:t>, 2015</w:t>
      </w:r>
    </w:p>
    <w:p w:rsidR="00D37B67" w:rsidRDefault="00D37B67" w:rsidP="00C103BC">
      <w:pPr>
        <w:keepNext/>
        <w:keepLines/>
        <w:spacing w:line="360" w:lineRule="auto"/>
        <w:ind w:firstLine="720"/>
        <w:rPr>
          <w:sz w:val="26"/>
          <w:szCs w:val="26"/>
        </w:rPr>
      </w:pPr>
      <w:r>
        <w:rPr>
          <w:sz w:val="26"/>
          <w:szCs w:val="26"/>
        </w:rPr>
        <w:t xml:space="preserve"> </w:t>
      </w:r>
    </w:p>
    <w:sectPr w:rsidR="00D37B67" w:rsidSect="0035775C">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E9F" w:rsidRDefault="00680E9F" w:rsidP="00575D25">
      <w:r>
        <w:separator/>
      </w:r>
    </w:p>
  </w:endnote>
  <w:endnote w:type="continuationSeparator" w:id="0">
    <w:p w:rsidR="00680E9F" w:rsidRDefault="00680E9F" w:rsidP="0057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099732"/>
      <w:docPartObj>
        <w:docPartGallery w:val="Page Numbers (Bottom of Page)"/>
        <w:docPartUnique/>
      </w:docPartObj>
    </w:sdtPr>
    <w:sdtEndPr>
      <w:rPr>
        <w:noProof/>
      </w:rPr>
    </w:sdtEndPr>
    <w:sdtContent>
      <w:p w:rsidR="00572652" w:rsidRDefault="00572652">
        <w:pPr>
          <w:pStyle w:val="Footer"/>
          <w:jc w:val="center"/>
        </w:pPr>
        <w:r>
          <w:fldChar w:fldCharType="begin"/>
        </w:r>
        <w:r>
          <w:instrText xml:space="preserve"> PAGE   \* MERGEFORMAT </w:instrText>
        </w:r>
        <w:r>
          <w:fldChar w:fldCharType="separate"/>
        </w:r>
        <w:r w:rsidR="001E04C0">
          <w:rPr>
            <w:noProof/>
          </w:rPr>
          <w:t>14</w:t>
        </w:r>
        <w:r>
          <w:rPr>
            <w:noProof/>
          </w:rPr>
          <w:fldChar w:fldCharType="end"/>
        </w:r>
      </w:p>
    </w:sdtContent>
  </w:sdt>
  <w:p w:rsidR="00572652" w:rsidRDefault="00572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E9F" w:rsidRDefault="00680E9F" w:rsidP="00575D25">
      <w:r>
        <w:separator/>
      </w:r>
    </w:p>
  </w:footnote>
  <w:footnote w:type="continuationSeparator" w:id="0">
    <w:p w:rsidR="00680E9F" w:rsidRDefault="00680E9F" w:rsidP="00575D25">
      <w:r>
        <w:continuationSeparator/>
      </w:r>
    </w:p>
  </w:footnote>
  <w:footnote w:id="1">
    <w:p w:rsidR="00572652" w:rsidRDefault="00572652">
      <w:pPr>
        <w:pStyle w:val="FootnoteText"/>
        <w:rPr>
          <w:sz w:val="22"/>
          <w:szCs w:val="22"/>
        </w:rPr>
      </w:pPr>
      <w:r w:rsidRPr="00830380">
        <w:rPr>
          <w:rStyle w:val="FootnoteReference"/>
        </w:rPr>
        <w:footnoteRef/>
      </w:r>
      <w:r>
        <w:t xml:space="preserve"> </w:t>
      </w:r>
      <w:proofErr w:type="gramStart"/>
      <w:r w:rsidRPr="008F5246">
        <w:rPr>
          <w:i/>
          <w:sz w:val="22"/>
          <w:szCs w:val="22"/>
        </w:rPr>
        <w:t>Investigation of Pennsylvania’s Retail Electricity Market</w:t>
      </w:r>
      <w:r>
        <w:rPr>
          <w:i/>
          <w:sz w:val="22"/>
          <w:szCs w:val="22"/>
        </w:rPr>
        <w:t xml:space="preserve"> </w:t>
      </w:r>
      <w:r w:rsidRPr="008560A4">
        <w:rPr>
          <w:sz w:val="22"/>
          <w:szCs w:val="22"/>
        </w:rPr>
        <w:t>Order</w:t>
      </w:r>
      <w:r>
        <w:rPr>
          <w:sz w:val="22"/>
          <w:szCs w:val="22"/>
        </w:rPr>
        <w:t>, Docket No.</w:t>
      </w:r>
      <w:proofErr w:type="gramEnd"/>
      <w:r>
        <w:rPr>
          <w:sz w:val="22"/>
          <w:szCs w:val="22"/>
        </w:rPr>
        <w:t xml:space="preserve"> </w:t>
      </w:r>
      <w:r w:rsidRPr="008F5246">
        <w:rPr>
          <w:sz w:val="22"/>
          <w:szCs w:val="22"/>
        </w:rPr>
        <w:t xml:space="preserve">I-2011-2237952 </w:t>
      </w:r>
      <w:r>
        <w:rPr>
          <w:sz w:val="22"/>
          <w:szCs w:val="22"/>
        </w:rPr>
        <w:t>(Order entered April 29, 2011).</w:t>
      </w:r>
    </w:p>
    <w:p w:rsidR="00572652" w:rsidRDefault="00572652">
      <w:pPr>
        <w:pStyle w:val="FootnoteText"/>
      </w:pPr>
      <w:r>
        <w:rPr>
          <w:sz w:val="22"/>
          <w:szCs w:val="22"/>
        </w:rPr>
        <w:t xml:space="preserve"> </w:t>
      </w:r>
    </w:p>
  </w:footnote>
  <w:footnote w:id="2">
    <w:p w:rsidR="00572652" w:rsidRDefault="00572652" w:rsidP="00E41EB8">
      <w:pPr>
        <w:pStyle w:val="FootnoteText"/>
        <w:rPr>
          <w:sz w:val="22"/>
          <w:szCs w:val="22"/>
        </w:rPr>
      </w:pPr>
      <w:r w:rsidRPr="00830380">
        <w:rPr>
          <w:rStyle w:val="FootnoteReference"/>
          <w:sz w:val="22"/>
          <w:szCs w:val="22"/>
        </w:rPr>
        <w:footnoteRef/>
      </w:r>
      <w:r w:rsidRPr="008F5246">
        <w:rPr>
          <w:sz w:val="22"/>
          <w:szCs w:val="22"/>
        </w:rPr>
        <w:t xml:space="preserve"> </w:t>
      </w:r>
      <w:r w:rsidRPr="008F5246">
        <w:rPr>
          <w:i/>
          <w:sz w:val="22"/>
          <w:szCs w:val="22"/>
        </w:rPr>
        <w:t xml:space="preserve">Investigation of Pennsylvania’s Retail Electricity Market: End State of Default Service </w:t>
      </w:r>
      <w:r w:rsidRPr="008F5246">
        <w:rPr>
          <w:sz w:val="22"/>
          <w:szCs w:val="22"/>
        </w:rPr>
        <w:t>Final Order</w:t>
      </w:r>
      <w:proofErr w:type="gramStart"/>
      <w:r w:rsidRPr="008F5246">
        <w:rPr>
          <w:sz w:val="22"/>
          <w:szCs w:val="22"/>
        </w:rPr>
        <w:t>,  Docket</w:t>
      </w:r>
      <w:proofErr w:type="gramEnd"/>
      <w:r w:rsidRPr="008F5246">
        <w:rPr>
          <w:sz w:val="22"/>
          <w:szCs w:val="22"/>
        </w:rPr>
        <w:t xml:space="preserve"> No. I-2011-2237952 (Order entered Feb. 15, 2013). </w:t>
      </w:r>
    </w:p>
    <w:p w:rsidR="00572652" w:rsidRPr="008F5246" w:rsidRDefault="00572652" w:rsidP="00E41EB8">
      <w:pPr>
        <w:pStyle w:val="FootnoteText"/>
        <w:rPr>
          <w:sz w:val="22"/>
          <w:szCs w:val="22"/>
        </w:rPr>
      </w:pPr>
    </w:p>
  </w:footnote>
  <w:footnote w:id="3">
    <w:p w:rsidR="00572652" w:rsidRPr="00615F30" w:rsidRDefault="00572652" w:rsidP="00615F30">
      <w:pPr>
        <w:pStyle w:val="FootnoteText"/>
        <w:rPr>
          <w:sz w:val="22"/>
          <w:szCs w:val="22"/>
        </w:rPr>
      </w:pPr>
      <w:r w:rsidRPr="00D54FAE">
        <w:rPr>
          <w:sz w:val="22"/>
          <w:szCs w:val="22"/>
          <w:vertAlign w:val="superscript"/>
        </w:rPr>
        <w:footnoteRef/>
      </w:r>
      <w:r w:rsidRPr="00D868CC">
        <w:rPr>
          <w:sz w:val="22"/>
          <w:szCs w:val="22"/>
        </w:rPr>
        <w:t xml:space="preserve"> </w:t>
      </w:r>
      <w:r w:rsidRPr="00615F30">
        <w:rPr>
          <w:i/>
          <w:sz w:val="22"/>
          <w:szCs w:val="22"/>
        </w:rPr>
        <w:t xml:space="preserve">Rulemaking to Amend the Provisions of 52 Pa. Code, Chapter 57 Regulations Regarding Standards for Changing a Customer’s Electricity Generation Supplier, </w:t>
      </w:r>
      <w:r w:rsidRPr="00615F30">
        <w:rPr>
          <w:sz w:val="22"/>
          <w:szCs w:val="22"/>
        </w:rPr>
        <w:t>Docket L-2014-2409383</w:t>
      </w:r>
      <w:r w:rsidRPr="00615F30">
        <w:rPr>
          <w:i/>
          <w:sz w:val="22"/>
          <w:szCs w:val="22"/>
        </w:rPr>
        <w:t xml:space="preserve"> (</w:t>
      </w:r>
      <w:r w:rsidRPr="00615F30">
        <w:rPr>
          <w:sz w:val="22"/>
          <w:szCs w:val="22"/>
        </w:rPr>
        <w:t>Order Entered April 3, 2014).</w:t>
      </w:r>
      <w:r>
        <w:rPr>
          <w:sz w:val="22"/>
          <w:szCs w:val="22"/>
        </w:rPr>
        <w:br/>
      </w:r>
    </w:p>
  </w:footnote>
  <w:footnote w:id="4">
    <w:p w:rsidR="00572652" w:rsidRPr="00615F30" w:rsidRDefault="00572652">
      <w:pPr>
        <w:pStyle w:val="FootnoteText"/>
        <w:rPr>
          <w:sz w:val="22"/>
          <w:szCs w:val="22"/>
        </w:rPr>
      </w:pPr>
      <w:r>
        <w:rPr>
          <w:rStyle w:val="FootnoteReference"/>
        </w:rPr>
        <w:footnoteRef/>
      </w:r>
      <w:r>
        <w:t xml:space="preserve">  </w:t>
      </w:r>
      <w:r w:rsidRPr="00615F30">
        <w:rPr>
          <w:sz w:val="22"/>
          <w:szCs w:val="22"/>
        </w:rPr>
        <w:t xml:space="preserve">Secretarial Letter re: </w:t>
      </w:r>
      <w:r w:rsidRPr="00692030">
        <w:rPr>
          <w:i/>
          <w:sz w:val="22"/>
          <w:szCs w:val="22"/>
        </w:rPr>
        <w:t>EDC plan filings for Seamless Moves and Instant Connects</w:t>
      </w:r>
      <w:r w:rsidRPr="00615F30">
        <w:rPr>
          <w:sz w:val="22"/>
          <w:szCs w:val="22"/>
        </w:rPr>
        <w:t>.  Docket No. M-2014-2401127 (</w:t>
      </w:r>
      <w:r>
        <w:rPr>
          <w:sz w:val="22"/>
          <w:szCs w:val="22"/>
        </w:rPr>
        <w:t>August 13</w:t>
      </w:r>
      <w:r w:rsidRPr="00615F30">
        <w:rPr>
          <w:sz w:val="22"/>
          <w:szCs w:val="22"/>
        </w:rPr>
        <w:t>, 201</w:t>
      </w:r>
      <w:r>
        <w:rPr>
          <w:sz w:val="22"/>
          <w:szCs w:val="22"/>
        </w:rPr>
        <w:t>4</w:t>
      </w:r>
      <w:r w:rsidRPr="00615F30">
        <w:rPr>
          <w:sz w:val="22"/>
          <w:szCs w:val="22"/>
        </w:rPr>
        <w:t xml:space="preserve">).    </w:t>
      </w:r>
      <w:r>
        <w:rPr>
          <w:sz w:val="22"/>
          <w:szCs w:val="22"/>
        </w:rPr>
        <w:br/>
      </w:r>
    </w:p>
  </w:footnote>
  <w:footnote w:id="5">
    <w:p w:rsidR="00572652" w:rsidRDefault="00572652">
      <w:pPr>
        <w:pStyle w:val="FootnoteText"/>
      </w:pPr>
      <w:r>
        <w:rPr>
          <w:rStyle w:val="FootnoteReference"/>
        </w:rPr>
        <w:footnoteRef/>
      </w:r>
      <w:r>
        <w:t xml:space="preserve"> </w:t>
      </w:r>
      <w:r w:rsidRPr="00615F30">
        <w:rPr>
          <w:sz w:val="22"/>
          <w:szCs w:val="22"/>
        </w:rPr>
        <w:t xml:space="preserve">Secretarial Letter re: </w:t>
      </w:r>
      <w:r w:rsidRPr="00692030">
        <w:rPr>
          <w:i/>
          <w:sz w:val="22"/>
          <w:szCs w:val="22"/>
        </w:rPr>
        <w:t>EDC plan filings for Seamless Moves and Instant Connects</w:t>
      </w:r>
      <w:r w:rsidRPr="00615F30">
        <w:rPr>
          <w:sz w:val="22"/>
          <w:szCs w:val="22"/>
        </w:rPr>
        <w:t>.  Docket No. M-2014-2401127 (</w:t>
      </w:r>
      <w:r>
        <w:rPr>
          <w:sz w:val="22"/>
          <w:szCs w:val="22"/>
        </w:rPr>
        <w:t>March 20</w:t>
      </w:r>
      <w:r w:rsidRPr="00615F30">
        <w:rPr>
          <w:sz w:val="22"/>
          <w:szCs w:val="22"/>
        </w:rPr>
        <w:t>, 201</w:t>
      </w:r>
      <w:r>
        <w:rPr>
          <w:sz w:val="22"/>
          <w:szCs w:val="22"/>
        </w:rPr>
        <w:t>5</w:t>
      </w:r>
      <w:r w:rsidRPr="00615F30">
        <w:rPr>
          <w:sz w:val="22"/>
          <w:szCs w:val="22"/>
        </w:rPr>
        <w:t xml:space="preserve">).    </w:t>
      </w:r>
    </w:p>
  </w:footnote>
  <w:footnote w:id="6">
    <w:p w:rsidR="00ED7A78" w:rsidRPr="00ED7A78" w:rsidRDefault="00572652" w:rsidP="00ED7A78">
      <w:pPr>
        <w:pStyle w:val="FootnoteText"/>
        <w:rPr>
          <w:i/>
        </w:rPr>
      </w:pPr>
      <w:r>
        <w:rPr>
          <w:rStyle w:val="FootnoteReference"/>
        </w:rPr>
        <w:footnoteRef/>
      </w:r>
      <w:r>
        <w:t xml:space="preserve"> </w:t>
      </w:r>
      <w:r w:rsidR="00ED7A78" w:rsidRPr="00ED7A78">
        <w:rPr>
          <w:i/>
        </w:rPr>
        <w:t xml:space="preserve">Final Order Duquesne Light Company Plan for Seamless Moves and Instant Connects. Docket No. M-2014-2401127 (Order Entered September 3, 2015). </w:t>
      </w:r>
    </w:p>
    <w:p w:rsidR="00572652" w:rsidRDefault="00572652">
      <w:pPr>
        <w:pStyle w:val="FootnoteText"/>
      </w:pPr>
    </w:p>
  </w:footnote>
  <w:footnote w:id="7">
    <w:p w:rsidR="00EC74E9" w:rsidRDefault="00EC74E9">
      <w:pPr>
        <w:pStyle w:val="FootnoteText"/>
      </w:pPr>
      <w:r>
        <w:rPr>
          <w:rStyle w:val="FootnoteReference"/>
        </w:rPr>
        <w:footnoteRef/>
      </w:r>
      <w:r>
        <w:t xml:space="preserve"> </w:t>
      </w:r>
      <w:r w:rsidRPr="00EC74E9">
        <w:rPr>
          <w:i/>
        </w:rPr>
        <w:t>Id</w:t>
      </w:r>
      <w:r>
        <w:t>. page 12.</w:t>
      </w:r>
    </w:p>
  </w:footnote>
  <w:footnote w:id="8">
    <w:p w:rsidR="00411C0C" w:rsidRDefault="00411C0C" w:rsidP="00411C0C">
      <w:pPr>
        <w:pStyle w:val="FootnoteText"/>
      </w:pPr>
      <w:r>
        <w:rPr>
          <w:rStyle w:val="FootnoteReference"/>
        </w:rPr>
        <w:footnoteRef/>
      </w:r>
      <w:r>
        <w:t xml:space="preserve"> </w:t>
      </w:r>
      <w:proofErr w:type="gramStart"/>
      <w:r w:rsidRPr="00341FDA">
        <w:rPr>
          <w:i/>
        </w:rPr>
        <w:t>Ibid</w:t>
      </w:r>
      <w:r>
        <w:t>.</w:t>
      </w:r>
      <w:proofErr w:type="gramEnd"/>
      <w:r>
        <w:t xml:space="preserve">  </w:t>
      </w:r>
      <w:proofErr w:type="gramStart"/>
      <w:r>
        <w:t>Page 5.</w:t>
      </w:r>
      <w:proofErr w:type="gramEnd"/>
    </w:p>
    <w:p w:rsidR="000569A8" w:rsidRDefault="000569A8" w:rsidP="00411C0C">
      <w:pPr>
        <w:pStyle w:val="FootnoteText"/>
      </w:pPr>
    </w:p>
  </w:footnote>
  <w:footnote w:id="9">
    <w:p w:rsidR="00411C0C" w:rsidRDefault="00411C0C">
      <w:pPr>
        <w:pStyle w:val="FootnoteText"/>
      </w:pPr>
      <w:r>
        <w:rPr>
          <w:rStyle w:val="FootnoteReference"/>
        </w:rPr>
        <w:footnoteRef/>
      </w:r>
      <w:r>
        <w:t xml:space="preserve"> </w:t>
      </w:r>
      <w:proofErr w:type="gramStart"/>
      <w:r>
        <w:t>Ibid.</w:t>
      </w:r>
      <w:proofErr w:type="gramEnd"/>
      <w:r>
        <w:t xml:space="preserve">  </w:t>
      </w:r>
      <w:proofErr w:type="gramStart"/>
      <w:r>
        <w:t>Page 12.</w:t>
      </w:r>
      <w:proofErr w:type="gramEnd"/>
      <w:r w:rsidR="00FA6811">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222"/>
    <w:multiLevelType w:val="multilevel"/>
    <w:tmpl w:val="AE322378"/>
    <w:lvl w:ilvl="0">
      <w:start w:val="23"/>
      <w:numFmt w:val="decimal"/>
      <w:lvlText w:val="%1."/>
      <w:lvlJc w:val="left"/>
      <w:pPr>
        <w:tabs>
          <w:tab w:val="left" w:pos="720"/>
        </w:tabs>
        <w:ind w:left="720"/>
      </w:pPr>
      <w:rPr>
        <w:rFonts w:ascii="Times New Roman" w:eastAsia="Times New Roman" w:hAnsi="Times New Roman"/>
        <w:strike w:val="0"/>
        <w:color w:val="000000"/>
        <w:spacing w:val="1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25C40"/>
    <w:multiLevelType w:val="hybridMultilevel"/>
    <w:tmpl w:val="A1C20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854EE5"/>
    <w:multiLevelType w:val="multilevel"/>
    <w:tmpl w:val="DB980720"/>
    <w:lvl w:ilvl="0">
      <w:start w:val="7"/>
      <w:numFmt w:val="decimal"/>
      <w:lvlText w:val="%1."/>
      <w:lvlJc w:val="left"/>
      <w:pPr>
        <w:tabs>
          <w:tab w:val="left" w:pos="792"/>
        </w:tabs>
        <w:ind w:left="720"/>
      </w:pPr>
      <w:rPr>
        <w:rFonts w:ascii="Times New Roman" w:eastAsia="Times New Roman" w:hAnsi="Times New Roman"/>
        <w:strike w:val="0"/>
        <w:color w:val="000000"/>
        <w:spacing w:val="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77425F"/>
    <w:multiLevelType w:val="hybridMultilevel"/>
    <w:tmpl w:val="58B6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771AD"/>
    <w:multiLevelType w:val="multilevel"/>
    <w:tmpl w:val="73E6CBE0"/>
    <w:lvl w:ilvl="0">
      <w:start w:val="20"/>
      <w:numFmt w:val="decimal"/>
      <w:lvlText w:val="%1."/>
      <w:lvlJc w:val="left"/>
      <w:pPr>
        <w:tabs>
          <w:tab w:val="left" w:pos="720"/>
        </w:tabs>
        <w:ind w:left="720"/>
      </w:pPr>
      <w:rPr>
        <w:rFonts w:ascii="Times New Roman" w:eastAsia="Times New Roman" w:hAnsi="Times New Roman"/>
        <w:strike w:val="0"/>
        <w:color w:val="000000"/>
        <w:spacing w:val="1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C05022"/>
    <w:multiLevelType w:val="hybridMultilevel"/>
    <w:tmpl w:val="2BD4D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F32AF3"/>
    <w:multiLevelType w:val="multilevel"/>
    <w:tmpl w:val="F314DBC6"/>
    <w:lvl w:ilvl="0">
      <w:start w:val="27"/>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EA341C"/>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FF3D4E"/>
    <w:multiLevelType w:val="hybridMultilevel"/>
    <w:tmpl w:val="509A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7314EE"/>
    <w:multiLevelType w:val="hybridMultilevel"/>
    <w:tmpl w:val="420E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9B1837"/>
    <w:multiLevelType w:val="hybridMultilevel"/>
    <w:tmpl w:val="33FA4A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30C22FB1"/>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F11609"/>
    <w:multiLevelType w:val="hybridMultilevel"/>
    <w:tmpl w:val="138C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84E2F"/>
    <w:multiLevelType w:val="hybridMultilevel"/>
    <w:tmpl w:val="FC7A6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4B3787E"/>
    <w:multiLevelType w:val="multilevel"/>
    <w:tmpl w:val="1CDA2B7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EF4EC9"/>
    <w:multiLevelType w:val="multilevel"/>
    <w:tmpl w:val="40766F1E"/>
    <w:lvl w:ilvl="0">
      <w:start w:val="1"/>
      <w:numFmt w:val="bullet"/>
      <w:lvlText w:val="·"/>
      <w:lvlJc w:val="left"/>
      <w:pPr>
        <w:tabs>
          <w:tab w:val="left" w:pos="0"/>
        </w:tabs>
        <w:ind w:left="360"/>
      </w:pPr>
      <w:rPr>
        <w:rFonts w:ascii="Symbol" w:eastAsia="Symbol" w:hAnsi="Symbol"/>
        <w:strike w:val="0"/>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D603CD"/>
    <w:multiLevelType w:val="multilevel"/>
    <w:tmpl w:val="0E761B74"/>
    <w:lvl w:ilvl="0">
      <w:start w:val="1"/>
      <w:numFmt w:val="bullet"/>
      <w:lvlText w:val="·"/>
      <w:lvlJc w:val="left"/>
      <w:pPr>
        <w:tabs>
          <w:tab w:val="left" w:pos="288"/>
        </w:tabs>
        <w:ind w:left="720"/>
      </w:pPr>
      <w:rPr>
        <w:rFonts w:ascii="Symbol" w:eastAsia="Symbol" w:hAnsi="Symbol"/>
        <w:strike w:val="0"/>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3278B1"/>
    <w:multiLevelType w:val="hybridMultilevel"/>
    <w:tmpl w:val="0582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23E9C"/>
    <w:multiLevelType w:val="multilevel"/>
    <w:tmpl w:val="1CDA2B7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BF1DE4"/>
    <w:multiLevelType w:val="hybridMultilevel"/>
    <w:tmpl w:val="E708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6E5687"/>
    <w:multiLevelType w:val="multilevel"/>
    <w:tmpl w:val="6F5C972E"/>
    <w:lvl w:ilvl="0">
      <w:start w:val="17"/>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CC4AAA"/>
    <w:multiLevelType w:val="hybridMultilevel"/>
    <w:tmpl w:val="DFFC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4F04D2"/>
    <w:multiLevelType w:val="hybridMultilevel"/>
    <w:tmpl w:val="30184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FC70D8D"/>
    <w:multiLevelType w:val="hybridMultilevel"/>
    <w:tmpl w:val="95D2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1960C1"/>
    <w:multiLevelType w:val="multilevel"/>
    <w:tmpl w:val="40766F1E"/>
    <w:lvl w:ilvl="0">
      <w:start w:val="1"/>
      <w:numFmt w:val="bullet"/>
      <w:lvlText w:val="·"/>
      <w:lvlJc w:val="left"/>
      <w:pPr>
        <w:tabs>
          <w:tab w:val="left" w:pos="0"/>
        </w:tabs>
        <w:ind w:left="360"/>
      </w:pPr>
      <w:rPr>
        <w:rFonts w:ascii="Symbol" w:eastAsia="Symbol" w:hAnsi="Symbol"/>
        <w:strike w:val="0"/>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E60FFD"/>
    <w:multiLevelType w:val="multilevel"/>
    <w:tmpl w:val="304C2F3A"/>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C93EB7"/>
    <w:multiLevelType w:val="hybridMultilevel"/>
    <w:tmpl w:val="D8E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194128"/>
    <w:multiLevelType w:val="hybridMultilevel"/>
    <w:tmpl w:val="97F4D1D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6CAC5166"/>
    <w:multiLevelType w:val="hybridMultilevel"/>
    <w:tmpl w:val="525264A8"/>
    <w:lvl w:ilvl="0" w:tplc="04090001">
      <w:start w:val="1"/>
      <w:numFmt w:val="bullet"/>
      <w:lvlText w:val=""/>
      <w:lvlJc w:val="left"/>
      <w:pPr>
        <w:ind w:left="720" w:hanging="360"/>
      </w:pPr>
      <w:rPr>
        <w:rFonts w:ascii="Symbol" w:hAnsi="Symbol" w:hint="default"/>
      </w:rPr>
    </w:lvl>
    <w:lvl w:ilvl="1" w:tplc="04EAFC8E">
      <w:numFmt w:val="bullet"/>
      <w:lvlText w:val="·"/>
      <w:lvlJc w:val="left"/>
      <w:pPr>
        <w:ind w:left="2520" w:hanging="14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D03F82"/>
    <w:multiLevelType w:val="multilevel"/>
    <w:tmpl w:val="24842AD4"/>
    <w:lvl w:ilvl="0">
      <w:start w:val="10"/>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FC57F9"/>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43366E"/>
    <w:multiLevelType w:val="hybridMultilevel"/>
    <w:tmpl w:val="334A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7E3B01"/>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A209E3"/>
    <w:multiLevelType w:val="multilevel"/>
    <w:tmpl w:val="AB848EA6"/>
    <w:lvl w:ilvl="0">
      <w:start w:val="1"/>
      <w:numFmt w:val="decimal"/>
      <w:lvlText w:val="%1."/>
      <w:lvlJc w:val="left"/>
      <w:pPr>
        <w:tabs>
          <w:tab w:val="left" w:pos="720"/>
        </w:tabs>
        <w:ind w:left="720"/>
      </w:pPr>
      <w:rPr>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B34080"/>
    <w:multiLevelType w:val="hybridMultilevel"/>
    <w:tmpl w:val="76A2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29"/>
  </w:num>
  <w:num w:numId="4">
    <w:abstractNumId w:val="16"/>
  </w:num>
  <w:num w:numId="5">
    <w:abstractNumId w:val="20"/>
  </w:num>
  <w:num w:numId="6">
    <w:abstractNumId w:val="4"/>
  </w:num>
  <w:num w:numId="7">
    <w:abstractNumId w:val="0"/>
  </w:num>
  <w:num w:numId="8">
    <w:abstractNumId w:val="6"/>
  </w:num>
  <w:num w:numId="9">
    <w:abstractNumId w:val="17"/>
  </w:num>
  <w:num w:numId="10">
    <w:abstractNumId w:val="7"/>
  </w:num>
  <w:num w:numId="11">
    <w:abstractNumId w:val="11"/>
  </w:num>
  <w:num w:numId="12">
    <w:abstractNumId w:val="32"/>
  </w:num>
  <w:num w:numId="13">
    <w:abstractNumId w:val="33"/>
  </w:num>
  <w:num w:numId="14">
    <w:abstractNumId w:val="27"/>
  </w:num>
  <w:num w:numId="15">
    <w:abstractNumId w:val="26"/>
  </w:num>
  <w:num w:numId="16">
    <w:abstractNumId w:val="34"/>
  </w:num>
  <w:num w:numId="17">
    <w:abstractNumId w:val="18"/>
  </w:num>
  <w:num w:numId="18">
    <w:abstractNumId w:val="1"/>
  </w:num>
  <w:num w:numId="19">
    <w:abstractNumId w:val="14"/>
  </w:num>
  <w:num w:numId="20">
    <w:abstractNumId w:val="3"/>
  </w:num>
  <w:num w:numId="21">
    <w:abstractNumId w:val="22"/>
  </w:num>
  <w:num w:numId="22">
    <w:abstractNumId w:val="5"/>
  </w:num>
  <w:num w:numId="23">
    <w:abstractNumId w:val="24"/>
  </w:num>
  <w:num w:numId="24">
    <w:abstractNumId w:val="31"/>
  </w:num>
  <w:num w:numId="25">
    <w:abstractNumId w:val="15"/>
  </w:num>
  <w:num w:numId="26">
    <w:abstractNumId w:val="12"/>
  </w:num>
  <w:num w:numId="27">
    <w:abstractNumId w:val="9"/>
  </w:num>
  <w:num w:numId="28">
    <w:abstractNumId w:val="8"/>
  </w:num>
  <w:num w:numId="29">
    <w:abstractNumId w:val="23"/>
  </w:num>
  <w:num w:numId="30">
    <w:abstractNumId w:val="25"/>
  </w:num>
  <w:num w:numId="31">
    <w:abstractNumId w:val="21"/>
  </w:num>
  <w:num w:numId="32">
    <w:abstractNumId w:val="10"/>
  </w:num>
  <w:num w:numId="33">
    <w:abstractNumId w:val="28"/>
  </w:num>
  <w:num w:numId="34">
    <w:abstractNumId w:val="1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578"/>
    <w:rsid w:val="00000CF2"/>
    <w:rsid w:val="000068E2"/>
    <w:rsid w:val="0002107C"/>
    <w:rsid w:val="0002639B"/>
    <w:rsid w:val="000263C8"/>
    <w:rsid w:val="000476F3"/>
    <w:rsid w:val="000569A8"/>
    <w:rsid w:val="00061837"/>
    <w:rsid w:val="000A7FD7"/>
    <w:rsid w:val="001021AC"/>
    <w:rsid w:val="00105EA4"/>
    <w:rsid w:val="00130F93"/>
    <w:rsid w:val="00165569"/>
    <w:rsid w:val="00170ED2"/>
    <w:rsid w:val="00171DC7"/>
    <w:rsid w:val="001A00BC"/>
    <w:rsid w:val="001C20BB"/>
    <w:rsid w:val="001D0D4D"/>
    <w:rsid w:val="001D26F7"/>
    <w:rsid w:val="001E04C0"/>
    <w:rsid w:val="0020341B"/>
    <w:rsid w:val="00203E4F"/>
    <w:rsid w:val="0020619C"/>
    <w:rsid w:val="00211EF8"/>
    <w:rsid w:val="002215DD"/>
    <w:rsid w:val="00225E12"/>
    <w:rsid w:val="002273AB"/>
    <w:rsid w:val="00231AFB"/>
    <w:rsid w:val="00235C92"/>
    <w:rsid w:val="00265294"/>
    <w:rsid w:val="0029687F"/>
    <w:rsid w:val="002A0C3B"/>
    <w:rsid w:val="002A5970"/>
    <w:rsid w:val="002C16FD"/>
    <w:rsid w:val="002C4C29"/>
    <w:rsid w:val="002D3C71"/>
    <w:rsid w:val="003058F7"/>
    <w:rsid w:val="003066EF"/>
    <w:rsid w:val="00322A22"/>
    <w:rsid w:val="00322B20"/>
    <w:rsid w:val="00333E97"/>
    <w:rsid w:val="00334DF1"/>
    <w:rsid w:val="00335758"/>
    <w:rsid w:val="00341FDA"/>
    <w:rsid w:val="00343BC4"/>
    <w:rsid w:val="00346818"/>
    <w:rsid w:val="00354D80"/>
    <w:rsid w:val="00355D32"/>
    <w:rsid w:val="0035775C"/>
    <w:rsid w:val="00364E5E"/>
    <w:rsid w:val="00371326"/>
    <w:rsid w:val="00374A97"/>
    <w:rsid w:val="00387BA1"/>
    <w:rsid w:val="00390C73"/>
    <w:rsid w:val="003938A2"/>
    <w:rsid w:val="003A207A"/>
    <w:rsid w:val="003A47D1"/>
    <w:rsid w:val="003B0484"/>
    <w:rsid w:val="003B1CB6"/>
    <w:rsid w:val="003E537F"/>
    <w:rsid w:val="00411C0C"/>
    <w:rsid w:val="00414B8F"/>
    <w:rsid w:val="004551AD"/>
    <w:rsid w:val="0046067E"/>
    <w:rsid w:val="00467287"/>
    <w:rsid w:val="00473817"/>
    <w:rsid w:val="00482911"/>
    <w:rsid w:val="00490D65"/>
    <w:rsid w:val="004913CE"/>
    <w:rsid w:val="004A2676"/>
    <w:rsid w:val="004A39E1"/>
    <w:rsid w:val="004B0477"/>
    <w:rsid w:val="004B26C8"/>
    <w:rsid w:val="004B293E"/>
    <w:rsid w:val="004B55F7"/>
    <w:rsid w:val="004C5648"/>
    <w:rsid w:val="00504B9B"/>
    <w:rsid w:val="005063A3"/>
    <w:rsid w:val="005103F9"/>
    <w:rsid w:val="00511830"/>
    <w:rsid w:val="0052058A"/>
    <w:rsid w:val="00522E9C"/>
    <w:rsid w:val="005354EA"/>
    <w:rsid w:val="00552B58"/>
    <w:rsid w:val="005533D2"/>
    <w:rsid w:val="00572652"/>
    <w:rsid w:val="00575D25"/>
    <w:rsid w:val="00580775"/>
    <w:rsid w:val="00592D3F"/>
    <w:rsid w:val="005A7392"/>
    <w:rsid w:val="005C1752"/>
    <w:rsid w:val="005C53D1"/>
    <w:rsid w:val="005E4C67"/>
    <w:rsid w:val="00606FDC"/>
    <w:rsid w:val="00615F30"/>
    <w:rsid w:val="00616016"/>
    <w:rsid w:val="00620800"/>
    <w:rsid w:val="00624306"/>
    <w:rsid w:val="0063673B"/>
    <w:rsid w:val="00650476"/>
    <w:rsid w:val="006522D3"/>
    <w:rsid w:val="006528C1"/>
    <w:rsid w:val="00680E9F"/>
    <w:rsid w:val="00692030"/>
    <w:rsid w:val="006B303A"/>
    <w:rsid w:val="006C5B7D"/>
    <w:rsid w:val="006D5D42"/>
    <w:rsid w:val="006D675D"/>
    <w:rsid w:val="006F6EE1"/>
    <w:rsid w:val="00701EDB"/>
    <w:rsid w:val="00706C52"/>
    <w:rsid w:val="00712261"/>
    <w:rsid w:val="00716193"/>
    <w:rsid w:val="00735BA8"/>
    <w:rsid w:val="00751555"/>
    <w:rsid w:val="007623D9"/>
    <w:rsid w:val="007631B2"/>
    <w:rsid w:val="007705E9"/>
    <w:rsid w:val="0077135B"/>
    <w:rsid w:val="007718FA"/>
    <w:rsid w:val="00784E03"/>
    <w:rsid w:val="00793995"/>
    <w:rsid w:val="007A15B4"/>
    <w:rsid w:val="007A1B18"/>
    <w:rsid w:val="007D7E16"/>
    <w:rsid w:val="007F6425"/>
    <w:rsid w:val="00807C11"/>
    <w:rsid w:val="00810039"/>
    <w:rsid w:val="00830380"/>
    <w:rsid w:val="00830FEA"/>
    <w:rsid w:val="00837CEF"/>
    <w:rsid w:val="00841215"/>
    <w:rsid w:val="00845F09"/>
    <w:rsid w:val="00852E36"/>
    <w:rsid w:val="008560A4"/>
    <w:rsid w:val="008872CE"/>
    <w:rsid w:val="008962F8"/>
    <w:rsid w:val="008A039C"/>
    <w:rsid w:val="008B21E4"/>
    <w:rsid w:val="008B6330"/>
    <w:rsid w:val="008C00B6"/>
    <w:rsid w:val="008C45CE"/>
    <w:rsid w:val="008D19E7"/>
    <w:rsid w:val="008D6CC4"/>
    <w:rsid w:val="008E378B"/>
    <w:rsid w:val="00903E8B"/>
    <w:rsid w:val="009053AE"/>
    <w:rsid w:val="009072E6"/>
    <w:rsid w:val="00911381"/>
    <w:rsid w:val="00920134"/>
    <w:rsid w:val="009303D9"/>
    <w:rsid w:val="00935EC0"/>
    <w:rsid w:val="0094118A"/>
    <w:rsid w:val="00942229"/>
    <w:rsid w:val="00955C08"/>
    <w:rsid w:val="009662C5"/>
    <w:rsid w:val="00966FC8"/>
    <w:rsid w:val="00994EFC"/>
    <w:rsid w:val="009C2123"/>
    <w:rsid w:val="009D6EF4"/>
    <w:rsid w:val="009D7643"/>
    <w:rsid w:val="009E180B"/>
    <w:rsid w:val="00A00E5C"/>
    <w:rsid w:val="00A01A99"/>
    <w:rsid w:val="00A15E48"/>
    <w:rsid w:val="00A3414E"/>
    <w:rsid w:val="00A51C2F"/>
    <w:rsid w:val="00A5485C"/>
    <w:rsid w:val="00A612FC"/>
    <w:rsid w:val="00A6236C"/>
    <w:rsid w:val="00A62872"/>
    <w:rsid w:val="00A85142"/>
    <w:rsid w:val="00A852A9"/>
    <w:rsid w:val="00AA0AAC"/>
    <w:rsid w:val="00AA3553"/>
    <w:rsid w:val="00AC30CA"/>
    <w:rsid w:val="00AD434B"/>
    <w:rsid w:val="00AD5D31"/>
    <w:rsid w:val="00AD68FB"/>
    <w:rsid w:val="00B168BE"/>
    <w:rsid w:val="00B22D96"/>
    <w:rsid w:val="00B23E5E"/>
    <w:rsid w:val="00B245C3"/>
    <w:rsid w:val="00B409FF"/>
    <w:rsid w:val="00B4652D"/>
    <w:rsid w:val="00B932D7"/>
    <w:rsid w:val="00B95FCC"/>
    <w:rsid w:val="00BB6653"/>
    <w:rsid w:val="00C103BC"/>
    <w:rsid w:val="00C117C7"/>
    <w:rsid w:val="00C424F9"/>
    <w:rsid w:val="00C500D7"/>
    <w:rsid w:val="00C71761"/>
    <w:rsid w:val="00C900E2"/>
    <w:rsid w:val="00C96752"/>
    <w:rsid w:val="00CD2C1C"/>
    <w:rsid w:val="00D11382"/>
    <w:rsid w:val="00D33578"/>
    <w:rsid w:val="00D37B67"/>
    <w:rsid w:val="00D434AC"/>
    <w:rsid w:val="00D54FAE"/>
    <w:rsid w:val="00D67328"/>
    <w:rsid w:val="00D75AFC"/>
    <w:rsid w:val="00D868CC"/>
    <w:rsid w:val="00D96C7A"/>
    <w:rsid w:val="00D9775B"/>
    <w:rsid w:val="00D977C4"/>
    <w:rsid w:val="00DA5BD5"/>
    <w:rsid w:val="00DB5329"/>
    <w:rsid w:val="00DD065C"/>
    <w:rsid w:val="00DD3016"/>
    <w:rsid w:val="00DD6774"/>
    <w:rsid w:val="00DE3530"/>
    <w:rsid w:val="00E0050E"/>
    <w:rsid w:val="00E1692C"/>
    <w:rsid w:val="00E27995"/>
    <w:rsid w:val="00E41EB8"/>
    <w:rsid w:val="00E67974"/>
    <w:rsid w:val="00E9586C"/>
    <w:rsid w:val="00EB0977"/>
    <w:rsid w:val="00EB22DD"/>
    <w:rsid w:val="00EB7B3D"/>
    <w:rsid w:val="00EC2040"/>
    <w:rsid w:val="00EC34CC"/>
    <w:rsid w:val="00EC3A07"/>
    <w:rsid w:val="00EC74E9"/>
    <w:rsid w:val="00ED7A78"/>
    <w:rsid w:val="00EE5378"/>
    <w:rsid w:val="00EF6E52"/>
    <w:rsid w:val="00F0076E"/>
    <w:rsid w:val="00F0470C"/>
    <w:rsid w:val="00F201B3"/>
    <w:rsid w:val="00F20858"/>
    <w:rsid w:val="00F2675E"/>
    <w:rsid w:val="00F433C1"/>
    <w:rsid w:val="00F651AC"/>
    <w:rsid w:val="00F66EE5"/>
    <w:rsid w:val="00F70D08"/>
    <w:rsid w:val="00F721F3"/>
    <w:rsid w:val="00F76B74"/>
    <w:rsid w:val="00F84436"/>
    <w:rsid w:val="00F85C6A"/>
    <w:rsid w:val="00F85F49"/>
    <w:rsid w:val="00F90331"/>
    <w:rsid w:val="00F96EAA"/>
    <w:rsid w:val="00FA6811"/>
    <w:rsid w:val="00FB7B5B"/>
    <w:rsid w:val="00FC116A"/>
    <w:rsid w:val="00FC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5D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EC34CC"/>
    <w:pPr>
      <w:widowControl w:val="0"/>
      <w:tabs>
        <w:tab w:val="left" w:pos="391"/>
      </w:tabs>
      <w:autoSpaceDE w:val="0"/>
      <w:autoSpaceDN w:val="0"/>
      <w:adjustRightInd w:val="0"/>
      <w:ind w:left="1049"/>
    </w:pPr>
  </w:style>
  <w:style w:type="character" w:customStyle="1" w:styleId="Heading1Char">
    <w:name w:val="Heading 1 Char"/>
    <w:basedOn w:val="DefaultParagraphFont"/>
    <w:link w:val="Heading1"/>
    <w:rsid w:val="00575D25"/>
    <w:rPr>
      <w:rFonts w:ascii="Arial" w:eastAsia="Times New Roman" w:hAnsi="Arial" w:cs="Arial"/>
      <w:b/>
      <w:bCs/>
      <w:kern w:val="32"/>
      <w:sz w:val="32"/>
      <w:szCs w:val="32"/>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575D25"/>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575D25"/>
    <w:rPr>
      <w:rFonts w:ascii="Times New Roman" w:eastAsia="Times New Roman" w:hAnsi="Times New Roman" w:cs="Times New Roman"/>
      <w:sz w:val="20"/>
      <w:szCs w:val="20"/>
    </w:rPr>
  </w:style>
  <w:style w:type="character" w:styleId="FootnoteReference">
    <w:name w:val="footnote reference"/>
    <w:aliases w:val="o,fr"/>
    <w:uiPriority w:val="99"/>
    <w:rsid w:val="00575D25"/>
    <w:rPr>
      <w:vertAlign w:val="superscript"/>
    </w:rPr>
  </w:style>
  <w:style w:type="paragraph" w:styleId="Header">
    <w:name w:val="header"/>
    <w:basedOn w:val="Normal"/>
    <w:link w:val="HeaderChar"/>
    <w:uiPriority w:val="99"/>
    <w:unhideWhenUsed/>
    <w:rsid w:val="00692030"/>
    <w:pPr>
      <w:tabs>
        <w:tab w:val="center" w:pos="4680"/>
        <w:tab w:val="right" w:pos="9360"/>
      </w:tabs>
    </w:pPr>
  </w:style>
  <w:style w:type="character" w:customStyle="1" w:styleId="HeaderChar">
    <w:name w:val="Header Char"/>
    <w:basedOn w:val="DefaultParagraphFont"/>
    <w:link w:val="Header"/>
    <w:uiPriority w:val="99"/>
    <w:rsid w:val="006920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030"/>
    <w:pPr>
      <w:tabs>
        <w:tab w:val="center" w:pos="4680"/>
        <w:tab w:val="right" w:pos="9360"/>
      </w:tabs>
    </w:pPr>
  </w:style>
  <w:style w:type="character" w:customStyle="1" w:styleId="FooterChar">
    <w:name w:val="Footer Char"/>
    <w:basedOn w:val="DefaultParagraphFont"/>
    <w:link w:val="Footer"/>
    <w:uiPriority w:val="99"/>
    <w:rsid w:val="00692030"/>
    <w:rPr>
      <w:rFonts w:ascii="Times New Roman" w:eastAsia="Times New Roman" w:hAnsi="Times New Roman" w:cs="Times New Roman"/>
      <w:sz w:val="24"/>
      <w:szCs w:val="24"/>
    </w:rPr>
  </w:style>
  <w:style w:type="paragraph" w:styleId="ListParagraph">
    <w:name w:val="List Paragraph"/>
    <w:basedOn w:val="Normal"/>
    <w:uiPriority w:val="34"/>
    <w:qFormat/>
    <w:rsid w:val="002A0C3B"/>
    <w:pPr>
      <w:ind w:left="720"/>
      <w:contextualSpacing/>
    </w:pPr>
  </w:style>
  <w:style w:type="character" w:styleId="Hyperlink">
    <w:name w:val="Hyperlink"/>
    <w:rsid w:val="00D977C4"/>
    <w:rPr>
      <w:color w:val="0000FF"/>
      <w:u w:val="single"/>
    </w:rPr>
  </w:style>
  <w:style w:type="character" w:styleId="CommentReference">
    <w:name w:val="annotation reference"/>
    <w:basedOn w:val="DefaultParagraphFont"/>
    <w:uiPriority w:val="99"/>
    <w:semiHidden/>
    <w:unhideWhenUsed/>
    <w:rsid w:val="00D11382"/>
    <w:rPr>
      <w:sz w:val="16"/>
      <w:szCs w:val="16"/>
    </w:rPr>
  </w:style>
  <w:style w:type="paragraph" w:styleId="CommentText">
    <w:name w:val="annotation text"/>
    <w:basedOn w:val="Normal"/>
    <w:link w:val="CommentTextChar"/>
    <w:uiPriority w:val="99"/>
    <w:semiHidden/>
    <w:unhideWhenUsed/>
    <w:rsid w:val="00D11382"/>
    <w:rPr>
      <w:sz w:val="20"/>
      <w:szCs w:val="20"/>
    </w:rPr>
  </w:style>
  <w:style w:type="character" w:customStyle="1" w:styleId="CommentTextChar">
    <w:name w:val="Comment Text Char"/>
    <w:basedOn w:val="DefaultParagraphFont"/>
    <w:link w:val="CommentText"/>
    <w:uiPriority w:val="99"/>
    <w:semiHidden/>
    <w:rsid w:val="00D113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382"/>
    <w:rPr>
      <w:b/>
      <w:bCs/>
    </w:rPr>
  </w:style>
  <w:style w:type="character" w:customStyle="1" w:styleId="CommentSubjectChar">
    <w:name w:val="Comment Subject Char"/>
    <w:basedOn w:val="CommentTextChar"/>
    <w:link w:val="CommentSubject"/>
    <w:uiPriority w:val="99"/>
    <w:semiHidden/>
    <w:rsid w:val="00D113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382"/>
    <w:rPr>
      <w:rFonts w:ascii="Tahoma" w:hAnsi="Tahoma" w:cs="Tahoma"/>
      <w:sz w:val="16"/>
      <w:szCs w:val="16"/>
    </w:rPr>
  </w:style>
  <w:style w:type="character" w:customStyle="1" w:styleId="BalloonTextChar">
    <w:name w:val="Balloon Text Char"/>
    <w:basedOn w:val="DefaultParagraphFont"/>
    <w:link w:val="BalloonText"/>
    <w:uiPriority w:val="99"/>
    <w:semiHidden/>
    <w:rsid w:val="00D11382"/>
    <w:rPr>
      <w:rFonts w:ascii="Tahoma" w:eastAsia="Times New Roman" w:hAnsi="Tahoma" w:cs="Tahoma"/>
      <w:sz w:val="16"/>
      <w:szCs w:val="16"/>
    </w:rPr>
  </w:style>
  <w:style w:type="table" w:styleId="TableGrid">
    <w:name w:val="Table Grid"/>
    <w:basedOn w:val="TableNormal"/>
    <w:uiPriority w:val="59"/>
    <w:rsid w:val="0071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5D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EC34CC"/>
    <w:pPr>
      <w:widowControl w:val="0"/>
      <w:tabs>
        <w:tab w:val="left" w:pos="391"/>
      </w:tabs>
      <w:autoSpaceDE w:val="0"/>
      <w:autoSpaceDN w:val="0"/>
      <w:adjustRightInd w:val="0"/>
      <w:ind w:left="1049"/>
    </w:pPr>
  </w:style>
  <w:style w:type="character" w:customStyle="1" w:styleId="Heading1Char">
    <w:name w:val="Heading 1 Char"/>
    <w:basedOn w:val="DefaultParagraphFont"/>
    <w:link w:val="Heading1"/>
    <w:rsid w:val="00575D25"/>
    <w:rPr>
      <w:rFonts w:ascii="Arial" w:eastAsia="Times New Roman" w:hAnsi="Arial" w:cs="Arial"/>
      <w:b/>
      <w:bCs/>
      <w:kern w:val="32"/>
      <w:sz w:val="32"/>
      <w:szCs w:val="32"/>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575D25"/>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575D25"/>
    <w:rPr>
      <w:rFonts w:ascii="Times New Roman" w:eastAsia="Times New Roman" w:hAnsi="Times New Roman" w:cs="Times New Roman"/>
      <w:sz w:val="20"/>
      <w:szCs w:val="20"/>
    </w:rPr>
  </w:style>
  <w:style w:type="character" w:styleId="FootnoteReference">
    <w:name w:val="footnote reference"/>
    <w:aliases w:val="o,fr"/>
    <w:uiPriority w:val="99"/>
    <w:rsid w:val="00575D25"/>
    <w:rPr>
      <w:vertAlign w:val="superscript"/>
    </w:rPr>
  </w:style>
  <w:style w:type="paragraph" w:styleId="Header">
    <w:name w:val="header"/>
    <w:basedOn w:val="Normal"/>
    <w:link w:val="HeaderChar"/>
    <w:uiPriority w:val="99"/>
    <w:unhideWhenUsed/>
    <w:rsid w:val="00692030"/>
    <w:pPr>
      <w:tabs>
        <w:tab w:val="center" w:pos="4680"/>
        <w:tab w:val="right" w:pos="9360"/>
      </w:tabs>
    </w:pPr>
  </w:style>
  <w:style w:type="character" w:customStyle="1" w:styleId="HeaderChar">
    <w:name w:val="Header Char"/>
    <w:basedOn w:val="DefaultParagraphFont"/>
    <w:link w:val="Header"/>
    <w:uiPriority w:val="99"/>
    <w:rsid w:val="006920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030"/>
    <w:pPr>
      <w:tabs>
        <w:tab w:val="center" w:pos="4680"/>
        <w:tab w:val="right" w:pos="9360"/>
      </w:tabs>
    </w:pPr>
  </w:style>
  <w:style w:type="character" w:customStyle="1" w:styleId="FooterChar">
    <w:name w:val="Footer Char"/>
    <w:basedOn w:val="DefaultParagraphFont"/>
    <w:link w:val="Footer"/>
    <w:uiPriority w:val="99"/>
    <w:rsid w:val="00692030"/>
    <w:rPr>
      <w:rFonts w:ascii="Times New Roman" w:eastAsia="Times New Roman" w:hAnsi="Times New Roman" w:cs="Times New Roman"/>
      <w:sz w:val="24"/>
      <w:szCs w:val="24"/>
    </w:rPr>
  </w:style>
  <w:style w:type="paragraph" w:styleId="ListParagraph">
    <w:name w:val="List Paragraph"/>
    <w:basedOn w:val="Normal"/>
    <w:uiPriority w:val="34"/>
    <w:qFormat/>
    <w:rsid w:val="002A0C3B"/>
    <w:pPr>
      <w:ind w:left="720"/>
      <w:contextualSpacing/>
    </w:pPr>
  </w:style>
  <w:style w:type="character" w:styleId="Hyperlink">
    <w:name w:val="Hyperlink"/>
    <w:rsid w:val="00D977C4"/>
    <w:rPr>
      <w:color w:val="0000FF"/>
      <w:u w:val="single"/>
    </w:rPr>
  </w:style>
  <w:style w:type="character" w:styleId="CommentReference">
    <w:name w:val="annotation reference"/>
    <w:basedOn w:val="DefaultParagraphFont"/>
    <w:uiPriority w:val="99"/>
    <w:semiHidden/>
    <w:unhideWhenUsed/>
    <w:rsid w:val="00D11382"/>
    <w:rPr>
      <w:sz w:val="16"/>
      <w:szCs w:val="16"/>
    </w:rPr>
  </w:style>
  <w:style w:type="paragraph" w:styleId="CommentText">
    <w:name w:val="annotation text"/>
    <w:basedOn w:val="Normal"/>
    <w:link w:val="CommentTextChar"/>
    <w:uiPriority w:val="99"/>
    <w:semiHidden/>
    <w:unhideWhenUsed/>
    <w:rsid w:val="00D11382"/>
    <w:rPr>
      <w:sz w:val="20"/>
      <w:szCs w:val="20"/>
    </w:rPr>
  </w:style>
  <w:style w:type="character" w:customStyle="1" w:styleId="CommentTextChar">
    <w:name w:val="Comment Text Char"/>
    <w:basedOn w:val="DefaultParagraphFont"/>
    <w:link w:val="CommentText"/>
    <w:uiPriority w:val="99"/>
    <w:semiHidden/>
    <w:rsid w:val="00D113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382"/>
    <w:rPr>
      <w:b/>
      <w:bCs/>
    </w:rPr>
  </w:style>
  <w:style w:type="character" w:customStyle="1" w:styleId="CommentSubjectChar">
    <w:name w:val="Comment Subject Char"/>
    <w:basedOn w:val="CommentTextChar"/>
    <w:link w:val="CommentSubject"/>
    <w:uiPriority w:val="99"/>
    <w:semiHidden/>
    <w:rsid w:val="00D113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382"/>
    <w:rPr>
      <w:rFonts w:ascii="Tahoma" w:hAnsi="Tahoma" w:cs="Tahoma"/>
      <w:sz w:val="16"/>
      <w:szCs w:val="16"/>
    </w:rPr>
  </w:style>
  <w:style w:type="character" w:customStyle="1" w:styleId="BalloonTextChar">
    <w:name w:val="Balloon Text Char"/>
    <w:basedOn w:val="DefaultParagraphFont"/>
    <w:link w:val="BalloonText"/>
    <w:uiPriority w:val="99"/>
    <w:semiHidden/>
    <w:rsid w:val="00D11382"/>
    <w:rPr>
      <w:rFonts w:ascii="Tahoma" w:eastAsia="Times New Roman" w:hAnsi="Tahoma" w:cs="Tahoma"/>
      <w:sz w:val="16"/>
      <w:szCs w:val="16"/>
    </w:rPr>
  </w:style>
  <w:style w:type="table" w:styleId="TableGrid">
    <w:name w:val="Table Grid"/>
    <w:basedOn w:val="TableNormal"/>
    <w:uiPriority w:val="59"/>
    <w:rsid w:val="0071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6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utility_industry/electricity/electric_competitive_market_overs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B96A4-F025-4DF4-AA70-A6C00667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3562</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dmumford</dc:creator>
  <cp:lastModifiedBy>Farner, Joyce</cp:lastModifiedBy>
  <cp:revision>4</cp:revision>
  <cp:lastPrinted>2015-10-01T11:49:00Z</cp:lastPrinted>
  <dcterms:created xsi:type="dcterms:W3CDTF">2015-09-30T16:00:00Z</dcterms:created>
  <dcterms:modified xsi:type="dcterms:W3CDTF">2015-10-01T12:09:00Z</dcterms:modified>
</cp:coreProperties>
</file>