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13A" w:rsidRDefault="00B43061" w:rsidP="00B23C26">
      <w:pPr>
        <w:sectPr w:rsidR="006D713A" w:rsidSect="00076C98">
          <w:headerReference w:type="default" r:id="rId12"/>
          <w:pgSz w:w="12240" w:h="15840"/>
          <w:pgMar w:top="1440" w:right="1440" w:bottom="1440" w:left="1440" w:header="432" w:footer="432" w:gutter="0"/>
          <w:cols w:space="720"/>
          <w:docGrid w:linePitch="360"/>
        </w:sectPr>
      </w:pPr>
      <w:r>
        <w:rPr>
          <w:noProof/>
        </w:rPr>
        <mc:AlternateContent>
          <mc:Choice Requires="wps">
            <w:drawing>
              <wp:anchor distT="0" distB="0" distL="114300" distR="114300" simplePos="0" relativeHeight="251665408" behindDoc="0" locked="0" layoutInCell="1" allowOverlap="1" wp14:anchorId="7FEB46E8" wp14:editId="000C230D">
                <wp:simplePos x="0" y="0"/>
                <wp:positionH relativeFrom="column">
                  <wp:posOffset>-732790</wp:posOffset>
                </wp:positionH>
                <wp:positionV relativeFrom="paragraph">
                  <wp:posOffset>3143250</wp:posOffset>
                </wp:positionV>
                <wp:extent cx="5353050" cy="2552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2552700"/>
                        </a:xfrm>
                        <a:prstGeom prst="rect">
                          <a:avLst/>
                        </a:prstGeom>
                        <a:noFill/>
                        <a:ln w="9525">
                          <a:noFill/>
                          <a:miter lim="800000"/>
                          <a:headEnd/>
                          <a:tailEnd/>
                        </a:ln>
                      </wps:spPr>
                      <wps:txbx>
                        <w:txbxContent>
                          <w:p w:rsidR="006B442A" w:rsidRPr="00FC7186" w:rsidRDefault="006B442A" w:rsidP="006D2744">
                            <w:pPr>
                              <w:spacing w:after="120"/>
                              <w:jc w:val="right"/>
                              <w:rPr>
                                <w:rFonts w:ascii="Century Gothic" w:hAnsi="Century Gothic"/>
                                <w:color w:val="FFFFFF" w:themeColor="background1"/>
                                <w:sz w:val="24"/>
                                <w:szCs w:val="64"/>
                              </w:rPr>
                            </w:pPr>
                            <w:r w:rsidRPr="00FC7186">
                              <w:rPr>
                                <w:rFonts w:ascii="Century Gothic" w:hAnsi="Century Gothic"/>
                                <w:color w:val="FFFFFF" w:themeColor="background1"/>
                                <w:sz w:val="24"/>
                                <w:szCs w:val="64"/>
                              </w:rPr>
                              <w:t xml:space="preserve">Prepared for: </w:t>
                            </w:r>
                          </w:p>
                          <w:p w:rsidR="006B442A" w:rsidRPr="00252FD4" w:rsidRDefault="006B442A" w:rsidP="006D2744">
                            <w:pPr>
                              <w:spacing w:after="120"/>
                              <w:jc w:val="right"/>
                              <w:rPr>
                                <w:rFonts w:ascii="Century Gothic" w:hAnsi="Century Gothic"/>
                                <w:b/>
                                <w:smallCaps/>
                                <w:color w:val="FFFFFF" w:themeColor="background1"/>
                                <w:sz w:val="32"/>
                                <w:szCs w:val="64"/>
                                <w14:shadow w14:blurRad="50800" w14:dist="38100" w14:dir="13500000" w14:sx="100000" w14:sy="100000" w14:kx="0" w14:ky="0" w14:algn="br">
                                  <w14:srgbClr w14:val="000000">
                                    <w14:alpha w14:val="60000"/>
                                  </w14:srgbClr>
                                </w14:shadow>
                              </w:rPr>
                            </w:pPr>
                            <w:r w:rsidRPr="00252FD4">
                              <w:rPr>
                                <w:rFonts w:ascii="Century Gothic" w:hAnsi="Century Gothic"/>
                                <w:b/>
                                <w:smallCaps/>
                                <w:color w:val="FFFFFF" w:themeColor="background1"/>
                                <w:sz w:val="32"/>
                                <w:szCs w:val="64"/>
                                <w14:shadow w14:blurRad="50800" w14:dist="38100" w14:dir="13500000" w14:sx="100000" w14:sy="100000" w14:kx="0" w14:ky="0" w14:algn="br">
                                  <w14:srgbClr w14:val="000000">
                                    <w14:alpha w14:val="60000"/>
                                  </w14:srgbClr>
                                </w14:shadow>
                              </w:rPr>
                              <w:t>Pennsylvania Public Utilities Commission</w:t>
                            </w:r>
                          </w:p>
                          <w:p w:rsidR="006B442A" w:rsidRDefault="006B442A" w:rsidP="006D2744">
                            <w:pPr>
                              <w:spacing w:after="120"/>
                              <w:jc w:val="right"/>
                              <w:rPr>
                                <w:rFonts w:ascii="Century Gothic" w:hAnsi="Century Gothic"/>
                                <w:color w:val="FFFFFF" w:themeColor="background1"/>
                                <w:sz w:val="32"/>
                                <w:szCs w:val="64"/>
                              </w:rPr>
                            </w:pPr>
                          </w:p>
                          <w:p w:rsidR="006B442A" w:rsidRPr="00682654" w:rsidRDefault="00FD5700" w:rsidP="006D2744">
                            <w:pPr>
                              <w:spacing w:after="120"/>
                              <w:jc w:val="right"/>
                              <w:rPr>
                                <w:rFonts w:ascii="Century Gothic" w:hAnsi="Century Gothic"/>
                                <w:color w:val="FFFFFF" w:themeColor="background1"/>
                                <w:sz w:val="28"/>
                                <w:szCs w:val="64"/>
                              </w:rPr>
                            </w:pPr>
                            <w:r>
                              <w:rPr>
                                <w:rFonts w:ascii="Century Gothic" w:hAnsi="Century Gothic"/>
                                <w:color w:val="FFFFFF" w:themeColor="background1"/>
                                <w:sz w:val="28"/>
                                <w:szCs w:val="64"/>
                              </w:rPr>
                              <w:t>2</w:t>
                            </w:r>
                            <w:r w:rsidRPr="00FD5700">
                              <w:rPr>
                                <w:rFonts w:ascii="Century Gothic" w:hAnsi="Century Gothic"/>
                                <w:color w:val="FFFFFF" w:themeColor="background1"/>
                                <w:sz w:val="28"/>
                                <w:szCs w:val="64"/>
                                <w:vertAlign w:val="superscript"/>
                              </w:rPr>
                              <w:t>nd</w:t>
                            </w:r>
                            <w:r>
                              <w:rPr>
                                <w:rFonts w:ascii="Century Gothic" w:hAnsi="Century Gothic"/>
                                <w:color w:val="FFFFFF" w:themeColor="background1"/>
                                <w:sz w:val="28"/>
                                <w:szCs w:val="64"/>
                              </w:rPr>
                              <w:t xml:space="preserve"> </w:t>
                            </w:r>
                            <w:r w:rsidR="006B442A">
                              <w:rPr>
                                <w:rFonts w:ascii="Century Gothic" w:hAnsi="Century Gothic"/>
                                <w:color w:val="FFFFFF" w:themeColor="background1"/>
                                <w:sz w:val="28"/>
                                <w:szCs w:val="64"/>
                              </w:rPr>
                              <w:t>Addendum to 2015 SWE Market Potential Studies</w:t>
                            </w:r>
                          </w:p>
                          <w:p w:rsidR="006B442A" w:rsidRPr="00682654" w:rsidRDefault="006B442A" w:rsidP="006D2744">
                            <w:pPr>
                              <w:spacing w:after="120"/>
                              <w:jc w:val="right"/>
                              <w:rPr>
                                <w:rFonts w:ascii="Century Gothic" w:hAnsi="Century Gothic"/>
                                <w:color w:val="FFFFFF" w:themeColor="background1"/>
                                <w:sz w:val="28"/>
                                <w:szCs w:val="64"/>
                              </w:rPr>
                            </w:pPr>
                          </w:p>
                          <w:p w:rsidR="006B442A" w:rsidRPr="00252FD4" w:rsidRDefault="006B442A" w:rsidP="006D2744">
                            <w:pPr>
                              <w:spacing w:after="120"/>
                              <w:jc w:val="right"/>
                              <w:rPr>
                                <w:rFonts w:ascii="Century Gothic" w:hAnsi="Century Gothic"/>
                                <w:b/>
                                <w:color w:val="FFFFFF" w:themeColor="background1"/>
                                <w:sz w:val="28"/>
                                <w:szCs w:val="64"/>
                                <w14:shadow w14:blurRad="50800" w14:dist="38100" w14:dir="13500000" w14:sx="100000" w14:sy="100000" w14:kx="0" w14:ky="0" w14:algn="br">
                                  <w14:srgbClr w14:val="000000">
                                    <w14:alpha w14:val="60000"/>
                                  </w14:srgbClr>
                                </w14:shadow>
                              </w:rPr>
                            </w:pPr>
                            <w:r>
                              <w:rPr>
                                <w:rFonts w:ascii="Century Gothic" w:hAnsi="Century Gothic"/>
                                <w:b/>
                                <w:color w:val="FFFFFF" w:themeColor="background1"/>
                                <w:sz w:val="28"/>
                                <w:szCs w:val="64"/>
                                <w14:shadow w14:blurRad="50800" w14:dist="38100" w14:dir="13500000" w14:sx="100000" w14:sy="100000" w14:kx="0" w14:ky="0" w14:algn="br">
                                  <w14:srgbClr w14:val="000000">
                                    <w14:alpha w14:val="60000"/>
                                  </w14:srgbClr>
                                </w14:shadow>
                              </w:rPr>
                              <w:t>May 29, 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7.7pt;margin-top:247.5pt;width:421.5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" filled="f" stroked="f">
                <v:textbox>
                  <w:txbxContent>
                    <w:p w:rsidR="006B442A" w:rsidRPr="00FC7186" w:rsidRDefault="006B442A" w:rsidP="006D2744">
                      <w:pPr>
                        <w:spacing w:after="120"/>
                        <w:jc w:val="right"/>
                        <w:rPr>
                          <w:rFonts w:ascii="Century Gothic" w:hAnsi="Century Gothic"/>
                          <w:color w:val="FFFFFF" w:themeColor="background1"/>
                          <w:sz w:val="24"/>
                          <w:szCs w:val="64"/>
                        </w:rPr>
                      </w:pPr>
                      <w:r w:rsidRPr="00FC7186">
                        <w:rPr>
                          <w:rFonts w:ascii="Century Gothic" w:hAnsi="Century Gothic"/>
                          <w:color w:val="FFFFFF" w:themeColor="background1"/>
                          <w:sz w:val="24"/>
                          <w:szCs w:val="64"/>
                        </w:rPr>
                        <w:t xml:space="preserve">Prepared for: </w:t>
                      </w:r>
                    </w:p>
                    <w:p w:rsidR="006B442A" w:rsidRPr="00252FD4" w:rsidRDefault="006B442A" w:rsidP="006D2744">
                      <w:pPr>
                        <w:spacing w:after="120"/>
                        <w:jc w:val="right"/>
                        <w:rPr>
                          <w:rFonts w:ascii="Century Gothic" w:hAnsi="Century Gothic"/>
                          <w:b/>
                          <w:smallCaps/>
                          <w:color w:val="FFFFFF" w:themeColor="background1"/>
                          <w:sz w:val="32"/>
                          <w:szCs w:val="64"/>
                          <w14:shadow w14:blurRad="50800" w14:dist="38100" w14:dir="13500000" w14:sx="100000" w14:sy="100000" w14:kx="0" w14:ky="0" w14:algn="br">
                            <w14:srgbClr w14:val="000000">
                              <w14:alpha w14:val="60000"/>
                            </w14:srgbClr>
                          </w14:shadow>
                        </w:rPr>
                      </w:pPr>
                      <w:r w:rsidRPr="00252FD4">
                        <w:rPr>
                          <w:rFonts w:ascii="Century Gothic" w:hAnsi="Century Gothic"/>
                          <w:b/>
                          <w:smallCaps/>
                          <w:color w:val="FFFFFF" w:themeColor="background1"/>
                          <w:sz w:val="32"/>
                          <w:szCs w:val="64"/>
                          <w14:shadow w14:blurRad="50800" w14:dist="38100" w14:dir="13500000" w14:sx="100000" w14:sy="100000" w14:kx="0" w14:ky="0" w14:algn="br">
                            <w14:srgbClr w14:val="000000">
                              <w14:alpha w14:val="60000"/>
                            </w14:srgbClr>
                          </w14:shadow>
                        </w:rPr>
                        <w:t>Pennsylvania Public Utilities Commission</w:t>
                      </w:r>
                    </w:p>
                    <w:p w:rsidR="006B442A" w:rsidRDefault="006B442A" w:rsidP="006D2744">
                      <w:pPr>
                        <w:spacing w:after="120"/>
                        <w:jc w:val="right"/>
                        <w:rPr>
                          <w:rFonts w:ascii="Century Gothic" w:hAnsi="Century Gothic"/>
                          <w:color w:val="FFFFFF" w:themeColor="background1"/>
                          <w:sz w:val="32"/>
                          <w:szCs w:val="64"/>
                        </w:rPr>
                      </w:pPr>
                    </w:p>
                    <w:p w:rsidR="006B442A" w:rsidRPr="00682654" w:rsidRDefault="00FD5700" w:rsidP="006D2744">
                      <w:pPr>
                        <w:spacing w:after="120"/>
                        <w:jc w:val="right"/>
                        <w:rPr>
                          <w:rFonts w:ascii="Century Gothic" w:hAnsi="Century Gothic"/>
                          <w:color w:val="FFFFFF" w:themeColor="background1"/>
                          <w:sz w:val="28"/>
                          <w:szCs w:val="64"/>
                        </w:rPr>
                      </w:pPr>
                      <w:r>
                        <w:rPr>
                          <w:rFonts w:ascii="Century Gothic" w:hAnsi="Century Gothic"/>
                          <w:color w:val="FFFFFF" w:themeColor="background1"/>
                          <w:sz w:val="28"/>
                          <w:szCs w:val="64"/>
                        </w:rPr>
                        <w:t>2</w:t>
                      </w:r>
                      <w:r w:rsidRPr="00FD5700">
                        <w:rPr>
                          <w:rFonts w:ascii="Century Gothic" w:hAnsi="Century Gothic"/>
                          <w:color w:val="FFFFFF" w:themeColor="background1"/>
                          <w:sz w:val="28"/>
                          <w:szCs w:val="64"/>
                          <w:vertAlign w:val="superscript"/>
                        </w:rPr>
                        <w:t>nd</w:t>
                      </w:r>
                      <w:r>
                        <w:rPr>
                          <w:rFonts w:ascii="Century Gothic" w:hAnsi="Century Gothic"/>
                          <w:color w:val="FFFFFF" w:themeColor="background1"/>
                          <w:sz w:val="28"/>
                          <w:szCs w:val="64"/>
                        </w:rPr>
                        <w:t xml:space="preserve"> </w:t>
                      </w:r>
                      <w:r w:rsidR="006B442A">
                        <w:rPr>
                          <w:rFonts w:ascii="Century Gothic" w:hAnsi="Century Gothic"/>
                          <w:color w:val="FFFFFF" w:themeColor="background1"/>
                          <w:sz w:val="28"/>
                          <w:szCs w:val="64"/>
                        </w:rPr>
                        <w:t>Addendum to 2015 SWE Market Potential Studies</w:t>
                      </w:r>
                    </w:p>
                    <w:p w:rsidR="006B442A" w:rsidRPr="00682654" w:rsidRDefault="006B442A" w:rsidP="006D2744">
                      <w:pPr>
                        <w:spacing w:after="120"/>
                        <w:jc w:val="right"/>
                        <w:rPr>
                          <w:rFonts w:ascii="Century Gothic" w:hAnsi="Century Gothic"/>
                          <w:color w:val="FFFFFF" w:themeColor="background1"/>
                          <w:sz w:val="28"/>
                          <w:szCs w:val="64"/>
                        </w:rPr>
                      </w:pPr>
                    </w:p>
                    <w:p w:rsidR="006B442A" w:rsidRPr="00252FD4" w:rsidRDefault="006B442A" w:rsidP="006D2744">
                      <w:pPr>
                        <w:spacing w:after="120"/>
                        <w:jc w:val="right"/>
                        <w:rPr>
                          <w:rFonts w:ascii="Century Gothic" w:hAnsi="Century Gothic"/>
                          <w:b/>
                          <w:color w:val="FFFFFF" w:themeColor="background1"/>
                          <w:sz w:val="28"/>
                          <w:szCs w:val="64"/>
                          <w14:shadow w14:blurRad="50800" w14:dist="38100" w14:dir="13500000" w14:sx="100000" w14:sy="100000" w14:kx="0" w14:ky="0" w14:algn="br">
                            <w14:srgbClr w14:val="000000">
                              <w14:alpha w14:val="60000"/>
                            </w14:srgbClr>
                          </w14:shadow>
                        </w:rPr>
                      </w:pPr>
                      <w:r>
                        <w:rPr>
                          <w:rFonts w:ascii="Century Gothic" w:hAnsi="Century Gothic"/>
                          <w:b/>
                          <w:color w:val="FFFFFF" w:themeColor="background1"/>
                          <w:sz w:val="28"/>
                          <w:szCs w:val="64"/>
                          <w14:shadow w14:blurRad="50800" w14:dist="38100" w14:dir="13500000" w14:sx="100000" w14:sy="100000" w14:kx="0" w14:ky="0" w14:algn="br">
                            <w14:srgbClr w14:val="000000">
                              <w14:alpha w14:val="60000"/>
                            </w14:srgbClr>
                          </w14:shadow>
                        </w:rPr>
                        <w:t>May 29, 2015</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CA96B6F" wp14:editId="3A8B66A1">
                <wp:simplePos x="0" y="0"/>
                <wp:positionH relativeFrom="column">
                  <wp:posOffset>-733425</wp:posOffset>
                </wp:positionH>
                <wp:positionV relativeFrom="paragraph">
                  <wp:posOffset>1571625</wp:posOffset>
                </wp:positionV>
                <wp:extent cx="5353050" cy="17240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724025"/>
                        </a:xfrm>
                        <a:prstGeom prst="rect">
                          <a:avLst/>
                        </a:prstGeom>
                        <a:noFill/>
                        <a:ln w="9525">
                          <a:noFill/>
                          <a:miter lim="800000"/>
                          <a:headEnd/>
                          <a:tailEnd/>
                        </a:ln>
                      </wps:spPr>
                      <wps:txbx>
                        <w:txbxContent>
                          <w:p w:rsidR="006B442A" w:rsidRPr="00252FD4" w:rsidRDefault="006B442A" w:rsidP="006D2744">
                            <w:pPr>
                              <w:jc w:val="right"/>
                              <w:rPr>
                                <w:rFonts w:ascii="Century Gothic" w:hAnsi="Century Gothic"/>
                                <w:b/>
                                <w:smallCaps/>
                                <w:color w:val="FFFFFF" w:themeColor="background1"/>
                                <w:sz w:val="58"/>
                                <w:szCs w:val="58"/>
                                <w14:shadow w14:blurRad="50800" w14:dist="38100" w14:dir="13500000" w14:sx="100000" w14:sy="100000" w14:kx="0" w14:ky="0" w14:algn="br">
                                  <w14:srgbClr w14:val="000000">
                                    <w14:alpha w14:val="60000"/>
                                  </w14:srgbClr>
                                </w14:shadow>
                              </w:rPr>
                            </w:pPr>
                            <w:r>
                              <w:rPr>
                                <w:rFonts w:ascii="Century Gothic" w:hAnsi="Century Gothic"/>
                                <w:b/>
                                <w:smallCaps/>
                                <w:color w:val="FFFFFF" w:themeColor="background1"/>
                                <w:sz w:val="56"/>
                                <w:szCs w:val="56"/>
                                <w14:shadow w14:blurRad="50800" w14:dist="38100" w14:dir="13500000" w14:sx="100000" w14:sy="100000" w14:kx="0" w14:ky="0" w14:algn="br">
                                  <w14:srgbClr w14:val="000000">
                                    <w14:alpha w14:val="60000"/>
                                  </w14:srgbClr>
                                </w14:shadow>
                              </w:rPr>
                              <w:t>Application of Market Potential Study Results to Phase III Goals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7.75pt;margin-top:123.75pt;width:421.5pt;height:1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" filled="f" stroked="f">
                <v:textbox>
                  <w:txbxContent>
                    <w:p w:rsidR="006B442A" w:rsidRPr="00252FD4" w:rsidRDefault="006B442A" w:rsidP="006D2744">
                      <w:pPr>
                        <w:jc w:val="right"/>
                        <w:rPr>
                          <w:rFonts w:ascii="Century Gothic" w:hAnsi="Century Gothic"/>
                          <w:b/>
                          <w:smallCaps/>
                          <w:color w:val="FFFFFF" w:themeColor="background1"/>
                          <w:sz w:val="58"/>
                          <w:szCs w:val="58"/>
                          <w14:shadow w14:blurRad="50800" w14:dist="38100" w14:dir="13500000" w14:sx="100000" w14:sy="100000" w14:kx="0" w14:ky="0" w14:algn="br">
                            <w14:srgbClr w14:val="000000">
                              <w14:alpha w14:val="60000"/>
                            </w14:srgbClr>
                          </w14:shadow>
                        </w:rPr>
                      </w:pPr>
                      <w:r>
                        <w:rPr>
                          <w:rFonts w:ascii="Century Gothic" w:hAnsi="Century Gothic"/>
                          <w:b/>
                          <w:smallCaps/>
                          <w:color w:val="FFFFFF" w:themeColor="background1"/>
                          <w:sz w:val="56"/>
                          <w:szCs w:val="56"/>
                          <w14:shadow w14:blurRad="50800" w14:dist="38100" w14:dir="13500000" w14:sx="100000" w14:sy="100000" w14:kx="0" w14:ky="0" w14:algn="br">
                            <w14:srgbClr w14:val="000000">
                              <w14:alpha w14:val="60000"/>
                            </w14:srgbClr>
                          </w14:shadow>
                        </w:rPr>
                        <w:t>Application of Market Potential Study Results to Phase III Goals</w:t>
                      </w:r>
                    </w:p>
                  </w:txbxContent>
                </v:textbox>
              </v:shape>
            </w:pict>
          </mc:Fallback>
        </mc:AlternateContent>
      </w:r>
      <w:r w:rsidRPr="006D2744">
        <w:rPr>
          <w:noProof/>
        </w:rPr>
        <w:drawing>
          <wp:anchor distT="0" distB="0" distL="114300" distR="114300" simplePos="0" relativeHeight="251672576" behindDoc="0" locked="0" layoutInCell="1" allowOverlap="1" wp14:anchorId="10ED05C8" wp14:editId="70039495">
            <wp:simplePos x="0" y="0"/>
            <wp:positionH relativeFrom="column">
              <wp:posOffset>5492750</wp:posOffset>
            </wp:positionH>
            <wp:positionV relativeFrom="paragraph">
              <wp:posOffset>8189595</wp:posOffset>
            </wp:positionV>
            <wp:extent cx="518795" cy="504825"/>
            <wp:effectExtent l="0" t="0" r="0" b="9525"/>
            <wp:wrapNone/>
            <wp:docPr id="35" name="Picture 34"/>
            <wp:cNvGraphicFramePr/>
            <a:graphic xmlns:a="http://schemas.openxmlformats.org/drawingml/2006/main">
              <a:graphicData uri="http://schemas.openxmlformats.org/drawingml/2006/picture">
                <pic:pic xmlns:pic="http://schemas.openxmlformats.org/drawingml/2006/picture">
                  <pic:nvPicPr>
                    <pic:cNvPr id="35" name="Picture 3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795" cy="504825"/>
                    </a:xfrm>
                    <a:prstGeom prst="rect">
                      <a:avLst/>
                    </a:prstGeom>
                    <a:noFill/>
                  </pic:spPr>
                </pic:pic>
              </a:graphicData>
            </a:graphic>
            <wp14:sizeRelH relativeFrom="page">
              <wp14:pctWidth>0</wp14:pctWidth>
            </wp14:sizeRelH>
            <wp14:sizeRelV relativeFrom="page">
              <wp14:pctHeight>0</wp14:pctHeight>
            </wp14:sizeRelV>
          </wp:anchor>
        </w:drawing>
      </w:r>
      <w:r w:rsidRPr="006D2744">
        <w:rPr>
          <w:noProof/>
        </w:rPr>
        <w:drawing>
          <wp:anchor distT="0" distB="0" distL="114300" distR="114300" simplePos="0" relativeHeight="251670528" behindDoc="0" locked="0" layoutInCell="1" allowOverlap="1" wp14:anchorId="54680A8B" wp14:editId="36695E6C">
            <wp:simplePos x="0" y="0"/>
            <wp:positionH relativeFrom="column">
              <wp:posOffset>5056505</wp:posOffset>
            </wp:positionH>
            <wp:positionV relativeFrom="paragraph">
              <wp:posOffset>7753350</wp:posOffset>
            </wp:positionV>
            <wp:extent cx="1390650" cy="219710"/>
            <wp:effectExtent l="0" t="0" r="0" b="8890"/>
            <wp:wrapNone/>
            <wp:docPr id="8" name="Picture 8" descr="C:\Users\kaytie.ruditys\AppData\Local\Microsoft\Windows\Temporary Internet Files\Content.Outlook\ISX68XGE\ria_logomark hig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ytie.ruditys\AppData\Local\Microsoft\Windows\Temporary Internet Files\Content.Outlook\ISX68XGE\ria_logomark high.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0650" cy="219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2744">
        <w:rPr>
          <w:noProof/>
        </w:rPr>
        <w:drawing>
          <wp:anchor distT="0" distB="0" distL="114300" distR="114300" simplePos="0" relativeHeight="251671552" behindDoc="0" locked="0" layoutInCell="1" allowOverlap="1" wp14:anchorId="03582C9B" wp14:editId="68B3E1D7">
            <wp:simplePos x="0" y="0"/>
            <wp:positionH relativeFrom="column">
              <wp:posOffset>5059045</wp:posOffset>
            </wp:positionH>
            <wp:positionV relativeFrom="paragraph">
              <wp:posOffset>7214870</wp:posOffset>
            </wp:positionV>
            <wp:extent cx="1385570" cy="321945"/>
            <wp:effectExtent l="0" t="0" r="5080" b="1905"/>
            <wp:wrapNone/>
            <wp:docPr id="2" name="Picture 2" descr="http://alamoridge.com/wp-content/uploads/2012/06/nex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amoridge.com/wp-content/uploads/2012/06/nexant.jpg"/>
                    <pic:cNvPicPr>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backgroundRemoval t="9957" b="89827" l="140" r="100000">
                                  <a14:foregroundMark x1="15255" y1="41558" x2="15255" y2="41558"/>
                                  <a14:foregroundMark x1="3779" y1="47835" x2="3779" y2="47835"/>
                                  <a14:foregroundMark x1="26032" y1="46320" x2="26032" y2="46320"/>
                                  <a14:foregroundMark x1="64031" y1="47835" x2="64031" y2="47835"/>
                                  <a14:foregroundMark x1="76137" y1="47294" x2="76137" y2="47294"/>
                                  <a14:foregroundMark x1="93212" y1="45779" x2="93212" y2="45779"/>
                                </a14:backgroundRemoval>
                              </a14:imgEffect>
                            </a14:imgLayer>
                          </a14:imgProps>
                        </a:ext>
                        <a:ext uri="{28A0092B-C50C-407E-A947-70E740481C1C}">
                          <a14:useLocalDpi xmlns:a14="http://schemas.microsoft.com/office/drawing/2010/main" val="0"/>
                        </a:ext>
                      </a:extLst>
                    </a:blip>
                    <a:srcRect t="29616" b="34367"/>
                    <a:stretch/>
                  </pic:blipFill>
                  <pic:spPr bwMode="auto">
                    <a:xfrm>
                      <a:off x="0" y="0"/>
                      <a:ext cx="1385570" cy="321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D2744">
        <w:rPr>
          <w:noProof/>
        </w:rPr>
        <w:drawing>
          <wp:anchor distT="0" distB="0" distL="114300" distR="114300" simplePos="0" relativeHeight="251669504" behindDoc="0" locked="0" layoutInCell="1" allowOverlap="1" wp14:anchorId="57EBE366" wp14:editId="0F7FA849">
            <wp:simplePos x="0" y="0"/>
            <wp:positionH relativeFrom="column">
              <wp:posOffset>4973955</wp:posOffset>
            </wp:positionH>
            <wp:positionV relativeFrom="paragraph">
              <wp:posOffset>6472555</wp:posOffset>
            </wp:positionV>
            <wp:extent cx="1556385" cy="525780"/>
            <wp:effectExtent l="0" t="0" r="571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56385"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6D2744">
        <w:rPr>
          <w:noProof/>
        </w:rPr>
        <mc:AlternateContent>
          <mc:Choice Requires="wps">
            <w:drawing>
              <wp:anchor distT="0" distB="0" distL="114300" distR="114300" simplePos="0" relativeHeight="251660288" behindDoc="0" locked="0" layoutInCell="1" allowOverlap="1" wp14:anchorId="2F679F09" wp14:editId="354CDDAF">
                <wp:simplePos x="0" y="0"/>
                <wp:positionH relativeFrom="column">
                  <wp:posOffset>-733425</wp:posOffset>
                </wp:positionH>
                <wp:positionV relativeFrom="paragraph">
                  <wp:posOffset>-714375</wp:posOffset>
                </wp:positionV>
                <wp:extent cx="5353050" cy="965835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050" cy="9658350"/>
                        </a:xfrm>
                        <a:prstGeom prst="rect">
                          <a:avLst/>
                        </a:prstGeom>
                        <a:solidFill>
                          <a:srgbClr val="448A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B442A" w:rsidRDefault="006B442A" w:rsidP="006D2744">
                            <w:pPr>
                              <w:pStyle w:val="Title"/>
                              <w:pBdr>
                                <w:bottom w:val="none" w:sz="0" w:space="0" w:color="auto"/>
                              </w:pBdr>
                              <w:jc w:val="right"/>
                              <w:rPr>
                                <w:caps/>
                                <w:color w:val="FFFFFF" w:themeColor="background1"/>
                                <w:sz w:val="72"/>
                                <w:szCs w:val="72"/>
                              </w:rPr>
                            </w:pPr>
                          </w:p>
                          <w:p w:rsidR="006B442A" w:rsidRDefault="006B442A" w:rsidP="006D2744">
                            <w:pPr>
                              <w:spacing w:before="240"/>
                              <w:ind w:left="720"/>
                              <w:jc w:val="right"/>
                              <w:rPr>
                                <w:color w:val="FFFFFF" w:themeColor="background1"/>
                              </w:rPr>
                            </w:pPr>
                          </w:p>
                          <w:p w:rsidR="006B442A" w:rsidRDefault="006B442A" w:rsidP="006D2744">
                            <w:pPr>
                              <w:spacing w:before="240"/>
                              <w:ind w:left="1008"/>
                              <w:jc w:val="right"/>
                              <w:rPr>
                                <w:color w:val="FFFFFF" w:themeColor="background1"/>
                              </w:rPr>
                            </w:pP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anchor>
            </w:drawing>
          </mc:Choice>
          <mc:Fallback>
            <w:pict>
              <v:rect id="Rectangle 47" o:spid="_x0000_s1028" style="position:absolute;margin-left:-57.75pt;margin-top:-56.25pt;width:421.5pt;height:76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" fillcolor="#448a99" stroked="f" strokeweight="2pt">
                <v:path arrowok="t"/>
                <v:textbox inset="21.6pt,1in,21.6pt">
                  <w:txbxContent>
                    <w:p w:rsidR="006B442A" w:rsidRDefault="006B442A" w:rsidP="006D2744">
                      <w:pPr>
                        <w:pStyle w:val="Title"/>
                        <w:pBdr>
                          <w:bottom w:val="none" w:sz="0" w:space="0" w:color="auto"/>
                        </w:pBdr>
                        <w:jc w:val="right"/>
                        <w:rPr>
                          <w:caps/>
                          <w:color w:val="FFFFFF" w:themeColor="background1"/>
                          <w:sz w:val="72"/>
                          <w:szCs w:val="72"/>
                        </w:rPr>
                      </w:pPr>
                    </w:p>
                    <w:p w:rsidR="006B442A" w:rsidRDefault="006B442A" w:rsidP="006D2744">
                      <w:pPr>
                        <w:spacing w:before="240"/>
                        <w:ind w:left="720"/>
                        <w:jc w:val="right"/>
                        <w:rPr>
                          <w:color w:val="FFFFFF" w:themeColor="background1"/>
                        </w:rPr>
                      </w:pPr>
                    </w:p>
                    <w:p w:rsidR="006B442A" w:rsidRDefault="006B442A" w:rsidP="006D2744">
                      <w:pPr>
                        <w:spacing w:before="240"/>
                        <w:ind w:left="1008"/>
                        <w:jc w:val="right"/>
                        <w:rPr>
                          <w:color w:val="FFFFFF" w:themeColor="background1"/>
                        </w:rPr>
                      </w:pPr>
                      <w:bookmarkStart w:id="1" w:name="_GoBack"/>
                      <w:bookmarkEnd w:id="1"/>
                    </w:p>
                  </w:txbxContent>
                </v:textbox>
              </v:rect>
            </w:pict>
          </mc:Fallback>
        </mc:AlternateContent>
      </w:r>
      <w:r w:rsidR="006D2744">
        <w:rPr>
          <w:noProof/>
        </w:rPr>
        <mc:AlternateContent>
          <mc:Choice Requires="wps">
            <w:drawing>
              <wp:anchor distT="0" distB="0" distL="114300" distR="114300" simplePos="0" relativeHeight="251661312" behindDoc="0" locked="0" layoutInCell="1" allowOverlap="1" wp14:anchorId="60E14C01" wp14:editId="3E2D9C81">
                <wp:simplePos x="0" y="0"/>
                <wp:positionH relativeFrom="column">
                  <wp:posOffset>4818380</wp:posOffset>
                </wp:positionH>
                <wp:positionV relativeFrom="paragraph">
                  <wp:posOffset>-704850</wp:posOffset>
                </wp:positionV>
                <wp:extent cx="1866900" cy="647700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6900" cy="6477000"/>
                        </a:xfrm>
                        <a:prstGeom prst="rect">
                          <a:avLst/>
                        </a:prstGeom>
                        <a:gradFill>
                          <a:gsLst>
                            <a:gs pos="18000">
                              <a:srgbClr val="448A99"/>
                            </a:gs>
                            <a:gs pos="51000">
                              <a:srgbClr val="8AB0B4"/>
                            </a:gs>
                            <a:gs pos="100000">
                              <a:schemeClr val="bg1"/>
                            </a:gs>
                            <a:gs pos="83000">
                              <a:srgbClr val="AFCACD"/>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B442A" w:rsidRDefault="006B442A" w:rsidP="006D2744">
                            <w:pPr>
                              <w:pStyle w:val="Subtitle"/>
                              <w:rPr>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anchor>
            </w:drawing>
          </mc:Choice>
          <mc:Fallback>
            <w:pict>
              <v:rect id="Rectangle 48" o:spid="_x0000_s1029" style="position:absolute;margin-left:379.4pt;margin-top:-55.5pt;width:147pt;height:51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" fillcolor="#448a99" stroked="f" strokeweight="2pt">
                <v:fill color2="white [3212]" colors="0 #448a99;11796f #448a99;33423f #8ab0b4;54395f #afcacd" focus="100%" type="gradient">
                  <o:fill v:ext="view" type="gradientUnscaled"/>
                </v:fill>
                <v:path arrowok="t"/>
                <v:textbox inset="14.4pt,,14.4pt">
                  <w:txbxContent>
                    <w:p w:rsidR="006B442A" w:rsidRDefault="006B442A" w:rsidP="006D2744">
                      <w:pPr>
                        <w:pStyle w:val="Subtitle"/>
                        <w:rPr>
                          <w:color w:val="FFFFFF" w:themeColor="background1"/>
                        </w:rPr>
                      </w:pPr>
                    </w:p>
                  </w:txbxContent>
                </v:textbox>
              </v:rect>
            </w:pict>
          </mc:Fallback>
        </mc:AlternateContent>
      </w:r>
      <w:r w:rsidR="006D2744">
        <w:rPr>
          <w:noProof/>
        </w:rPr>
        <mc:AlternateContent>
          <mc:Choice Requires="wps">
            <w:drawing>
              <wp:anchor distT="0" distB="0" distL="114300" distR="114300" simplePos="0" relativeHeight="251667456" behindDoc="0" locked="0" layoutInCell="1" allowOverlap="1" wp14:anchorId="76D9C80B" wp14:editId="1BDC3D44">
                <wp:simplePos x="0" y="0"/>
                <wp:positionH relativeFrom="column">
                  <wp:posOffset>4813935</wp:posOffset>
                </wp:positionH>
                <wp:positionV relativeFrom="paragraph">
                  <wp:posOffset>5770245</wp:posOffset>
                </wp:positionV>
                <wp:extent cx="1875790" cy="4857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485775"/>
                        </a:xfrm>
                        <a:prstGeom prst="rect">
                          <a:avLst/>
                        </a:prstGeom>
                        <a:noFill/>
                        <a:ln w="9525">
                          <a:noFill/>
                          <a:miter lim="800000"/>
                          <a:headEnd/>
                          <a:tailEnd/>
                        </a:ln>
                      </wps:spPr>
                      <wps:txbx>
                        <w:txbxContent>
                          <w:p w:rsidR="006B442A" w:rsidRPr="00677F73" w:rsidRDefault="006B442A" w:rsidP="006D2744">
                            <w:pPr>
                              <w:spacing w:after="120"/>
                              <w:jc w:val="center"/>
                              <w:rPr>
                                <w:rFonts w:ascii="Century Gothic" w:hAnsi="Century Gothic"/>
                                <w:sz w:val="18"/>
                                <w:szCs w:val="64"/>
                              </w:rPr>
                            </w:pPr>
                            <w:r w:rsidRPr="00677F73">
                              <w:rPr>
                                <w:rFonts w:ascii="Century Gothic" w:hAnsi="Century Gothic"/>
                                <w:sz w:val="18"/>
                                <w:szCs w:val="64"/>
                              </w:rPr>
                              <w:t>Prepared by:</w:t>
                            </w:r>
                          </w:p>
                          <w:p w:rsidR="006B442A" w:rsidRPr="00677F73" w:rsidRDefault="006B442A" w:rsidP="006D2744">
                            <w:pPr>
                              <w:spacing w:after="120"/>
                              <w:jc w:val="center"/>
                              <w:rPr>
                                <w:rFonts w:ascii="Century Gothic" w:hAnsi="Century Gothic"/>
                                <w:b/>
                                <w:sz w:val="20"/>
                                <w:szCs w:val="64"/>
                              </w:rPr>
                            </w:pPr>
                            <w:r w:rsidRPr="00677F73">
                              <w:rPr>
                                <w:rFonts w:ascii="Century Gothic" w:hAnsi="Century Gothic"/>
                                <w:b/>
                                <w:sz w:val="20"/>
                                <w:szCs w:val="64"/>
                              </w:rPr>
                              <w:t>Statewide Evaluation Team</w:t>
                            </w:r>
                          </w:p>
                          <w:p w:rsidR="006B442A" w:rsidRPr="00677F73" w:rsidRDefault="006B442A" w:rsidP="006D2744">
                            <w:pPr>
                              <w:spacing w:after="120"/>
                              <w:jc w:val="center"/>
                              <w:rPr>
                                <w:rFonts w:ascii="Century Gothic" w:hAnsi="Century Gothic"/>
                                <w:szCs w:val="64"/>
                              </w:rPr>
                            </w:pPr>
                          </w:p>
                          <w:p w:rsidR="006B442A" w:rsidRPr="00677F73" w:rsidRDefault="006B442A" w:rsidP="006D2744">
                            <w:pPr>
                              <w:spacing w:after="120"/>
                              <w:jc w:val="center"/>
                              <w:rPr>
                                <w:rFonts w:ascii="Century Gothic" w:hAnsi="Century Gothic"/>
                                <w:b/>
                                <w:sz w:val="20"/>
                                <w:szCs w:val="6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79.05pt;margin-top:454.35pt;width:147.7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" filled="f" stroked="f">
                <v:textbox>
                  <w:txbxContent>
                    <w:p w:rsidR="006B442A" w:rsidRPr="00677F73" w:rsidRDefault="006B442A" w:rsidP="006D2744">
                      <w:pPr>
                        <w:spacing w:after="120"/>
                        <w:jc w:val="center"/>
                        <w:rPr>
                          <w:rFonts w:ascii="Century Gothic" w:hAnsi="Century Gothic"/>
                          <w:sz w:val="18"/>
                          <w:szCs w:val="64"/>
                        </w:rPr>
                      </w:pPr>
                      <w:r w:rsidRPr="00677F73">
                        <w:rPr>
                          <w:rFonts w:ascii="Century Gothic" w:hAnsi="Century Gothic"/>
                          <w:sz w:val="18"/>
                          <w:szCs w:val="64"/>
                        </w:rPr>
                        <w:t>Prepared by:</w:t>
                      </w:r>
                    </w:p>
                    <w:p w:rsidR="006B442A" w:rsidRPr="00677F73" w:rsidRDefault="006B442A" w:rsidP="006D2744">
                      <w:pPr>
                        <w:spacing w:after="120"/>
                        <w:jc w:val="center"/>
                        <w:rPr>
                          <w:rFonts w:ascii="Century Gothic" w:hAnsi="Century Gothic"/>
                          <w:b/>
                          <w:sz w:val="20"/>
                          <w:szCs w:val="64"/>
                        </w:rPr>
                      </w:pPr>
                      <w:r w:rsidRPr="00677F73">
                        <w:rPr>
                          <w:rFonts w:ascii="Century Gothic" w:hAnsi="Century Gothic"/>
                          <w:b/>
                          <w:sz w:val="20"/>
                          <w:szCs w:val="64"/>
                        </w:rPr>
                        <w:t>Statewide Evaluation Team</w:t>
                      </w:r>
                    </w:p>
                    <w:p w:rsidR="006B442A" w:rsidRPr="00677F73" w:rsidRDefault="006B442A" w:rsidP="006D2744">
                      <w:pPr>
                        <w:spacing w:after="120"/>
                        <w:jc w:val="center"/>
                        <w:rPr>
                          <w:rFonts w:ascii="Century Gothic" w:hAnsi="Century Gothic"/>
                          <w:szCs w:val="64"/>
                        </w:rPr>
                      </w:pPr>
                    </w:p>
                    <w:p w:rsidR="006B442A" w:rsidRPr="00677F73" w:rsidRDefault="006B442A" w:rsidP="006D2744">
                      <w:pPr>
                        <w:spacing w:after="120"/>
                        <w:jc w:val="center"/>
                        <w:rPr>
                          <w:rFonts w:ascii="Century Gothic" w:hAnsi="Century Gothic"/>
                          <w:b/>
                          <w:sz w:val="20"/>
                          <w:szCs w:val="64"/>
                        </w:rPr>
                      </w:pPr>
                    </w:p>
                  </w:txbxContent>
                </v:textbox>
              </v:shape>
            </w:pict>
          </mc:Fallback>
        </mc:AlternateContent>
      </w:r>
    </w:p>
    <w:p w:rsidR="0028303B" w:rsidRPr="007152DD" w:rsidRDefault="004A5877" w:rsidP="007152DD">
      <w:pPr>
        <w:pStyle w:val="Heading1"/>
      </w:pPr>
      <w:r>
        <w:lastRenderedPageBreak/>
        <w:t>Introduction</w:t>
      </w:r>
    </w:p>
    <w:p w:rsidR="004A5877" w:rsidRDefault="00673140" w:rsidP="00B43061">
      <w:pPr>
        <w:jc w:val="both"/>
        <w:rPr>
          <w:rFonts w:cs="Arial"/>
        </w:rPr>
      </w:pPr>
      <w:r w:rsidRPr="00776CAA">
        <w:rPr>
          <w:rFonts w:cs="Arial"/>
        </w:rPr>
        <w:t xml:space="preserve">The Statewide Evaluation (SWE) team completed </w:t>
      </w:r>
      <w:r>
        <w:rPr>
          <w:rFonts w:cs="Arial"/>
        </w:rPr>
        <w:t>two</w:t>
      </w:r>
      <w:r w:rsidRPr="00776CAA">
        <w:rPr>
          <w:rFonts w:cs="Arial"/>
        </w:rPr>
        <w:t xml:space="preserve"> market potential studies (MPS) to assess demand-side management potential in Pennsylvania; energy efficiency (EE MPS)</w:t>
      </w:r>
      <w:r>
        <w:rPr>
          <w:rFonts w:cs="Arial"/>
        </w:rPr>
        <w:t xml:space="preserve"> and</w:t>
      </w:r>
      <w:r w:rsidRPr="00776CAA">
        <w:rPr>
          <w:rFonts w:cs="Arial"/>
        </w:rPr>
        <w:t xml:space="preserve"> demand response (DR MPS). </w:t>
      </w:r>
      <w:r>
        <w:rPr>
          <w:rFonts w:cs="Arial"/>
        </w:rPr>
        <w:t>A key</w:t>
      </w:r>
      <w:r w:rsidRPr="00776CAA">
        <w:rPr>
          <w:rFonts w:cs="Arial"/>
        </w:rPr>
        <w:t xml:space="preserve"> purpose of these studies was </w:t>
      </w:r>
      <w:r>
        <w:rPr>
          <w:rFonts w:cs="Arial"/>
        </w:rPr>
        <w:t>to provide information to assist the Commission to</w:t>
      </w:r>
      <w:r w:rsidRPr="00776CAA">
        <w:rPr>
          <w:rFonts w:cs="Arial"/>
        </w:rPr>
        <w:t xml:space="preserve"> </w:t>
      </w:r>
      <w:r>
        <w:rPr>
          <w:rFonts w:cs="Arial"/>
        </w:rPr>
        <w:t xml:space="preserve">establish </w:t>
      </w:r>
      <w:r w:rsidRPr="00776CAA">
        <w:rPr>
          <w:rFonts w:cs="Arial"/>
        </w:rPr>
        <w:t>the reduction targets</w:t>
      </w:r>
      <w:r>
        <w:rPr>
          <w:rFonts w:cs="Arial"/>
        </w:rPr>
        <w:t xml:space="preserve"> for Phase III</w:t>
      </w:r>
      <w:r w:rsidRPr="00776CAA">
        <w:rPr>
          <w:rFonts w:cs="Arial"/>
        </w:rPr>
        <w:t xml:space="preserve"> </w:t>
      </w:r>
      <w:r>
        <w:rPr>
          <w:rFonts w:cs="Arial"/>
        </w:rPr>
        <w:t>for</w:t>
      </w:r>
      <w:r w:rsidRPr="00776CAA">
        <w:rPr>
          <w:rFonts w:cs="Arial"/>
        </w:rPr>
        <w:t xml:space="preserve"> the electric distribution comp</w:t>
      </w:r>
      <w:r>
        <w:rPr>
          <w:rFonts w:cs="Arial"/>
        </w:rPr>
        <w:t>anies (EDCs) subject to Act 129</w:t>
      </w:r>
      <w:r w:rsidR="002249C7">
        <w:rPr>
          <w:rFonts w:cs="Arial"/>
        </w:rPr>
        <w:t xml:space="preserve">. </w:t>
      </w:r>
      <w:r w:rsidR="004A5877">
        <w:rPr>
          <w:rFonts w:cs="Arial"/>
        </w:rPr>
        <w:t>The Commission issued a Tentative Implementation Order with consumption (MWh) and peak demand (MW) reduction targets for Phase III of Act 129 on March 11, 2015.</w:t>
      </w:r>
    </w:p>
    <w:p w:rsidR="004A5877" w:rsidRDefault="004A5877" w:rsidP="00B43061">
      <w:pPr>
        <w:jc w:val="both"/>
        <w:rPr>
          <w:rFonts w:cs="Arial"/>
        </w:rPr>
      </w:pPr>
    </w:p>
    <w:p w:rsidR="004A5877" w:rsidRDefault="004A5877" w:rsidP="00B43061">
      <w:pPr>
        <w:jc w:val="both"/>
        <w:rPr>
          <w:rFonts w:cs="Arial"/>
        </w:rPr>
      </w:pPr>
      <w:r>
        <w:rPr>
          <w:rFonts w:cs="Arial"/>
        </w:rPr>
        <w:t>The Commission received a number of comments and reply comments from Act 129 stakeholders regarding the targets set forth in the Tentative Implementation Order</w:t>
      </w:r>
      <w:r w:rsidR="001B6ABD">
        <w:rPr>
          <w:rFonts w:cs="Arial"/>
        </w:rPr>
        <w:t>. Several of the comments and proposed modifications persuaded the Commission to request the SWE to analyze program</w:t>
      </w:r>
      <w:r w:rsidR="004B2560">
        <w:rPr>
          <w:rFonts w:cs="Arial"/>
        </w:rPr>
        <w:t xml:space="preserve"> potential using revised assumptions and inputs. This memorandum focuses on the calculation mechanics and resulting modifications to Phase III targets. The policy rationale for considering and adopting these alternate Phase III targets is discussed in the Commission’s Final</w:t>
      </w:r>
      <w:bookmarkStart w:id="0" w:name="_GoBack"/>
      <w:bookmarkEnd w:id="0"/>
      <w:r w:rsidR="004B2560">
        <w:rPr>
          <w:rFonts w:cs="Arial"/>
        </w:rPr>
        <w:t xml:space="preserve"> Phase III Implementation Order. </w:t>
      </w:r>
    </w:p>
    <w:p w:rsidR="006D2EE3" w:rsidRDefault="006D2EE3" w:rsidP="00B43061">
      <w:pPr>
        <w:jc w:val="both"/>
        <w:rPr>
          <w:rFonts w:cs="Arial"/>
        </w:rPr>
      </w:pPr>
      <w:r>
        <w:rPr>
          <w:rFonts w:cs="Arial"/>
        </w:rPr>
        <w:br w:type="page"/>
      </w:r>
    </w:p>
    <w:p w:rsidR="004B2560" w:rsidRDefault="004B2560" w:rsidP="004F403A">
      <w:pPr>
        <w:pStyle w:val="Heading1"/>
      </w:pPr>
      <w:r>
        <w:lastRenderedPageBreak/>
        <w:t>Revised Demand Re</w:t>
      </w:r>
      <w:r w:rsidR="004F403A">
        <w:t>sponse Target for PECO</w:t>
      </w:r>
    </w:p>
    <w:p w:rsidR="00B43061" w:rsidRDefault="007F0CF7" w:rsidP="00B43061">
      <w:pPr>
        <w:jc w:val="both"/>
        <w:rPr>
          <w:rFonts w:cs="Arial"/>
        </w:rPr>
      </w:pPr>
      <w:r>
        <w:rPr>
          <w:rFonts w:cs="Arial"/>
        </w:rPr>
        <w:t xml:space="preserve">The </w:t>
      </w:r>
      <w:r w:rsidR="004F403A">
        <w:rPr>
          <w:rFonts w:cs="Arial"/>
        </w:rPr>
        <w:t>SWE’s DR MPS found cost-effective demand response potential in each of the three program types considered</w:t>
      </w:r>
      <w:r w:rsidR="00BC7C87">
        <w:rPr>
          <w:rFonts w:cs="Arial"/>
        </w:rPr>
        <w:t>:</w:t>
      </w:r>
      <w:r w:rsidR="004F403A">
        <w:rPr>
          <w:rFonts w:cs="Arial"/>
        </w:rPr>
        <w:t xml:space="preserve"> residential direct load control, small commercial direct load control, and C&amp;I load curtailment. </w:t>
      </w:r>
      <w:r w:rsidR="002D02EE">
        <w:rPr>
          <w:rFonts w:cs="Arial"/>
        </w:rPr>
        <w:t xml:space="preserve">The acquisition cost ($/MW-year) for each DR program type is shown in </w:t>
      </w:r>
      <w:r w:rsidR="00610F62">
        <w:rPr>
          <w:rFonts w:cs="Arial"/>
        </w:rPr>
        <w:fldChar w:fldCharType="begin"/>
      </w:r>
      <w:r w:rsidR="00610F62">
        <w:rPr>
          <w:rFonts w:cs="Arial"/>
        </w:rPr>
        <w:instrText xml:space="preserve"> REF _Ref420510238 \h </w:instrText>
      </w:r>
      <w:r w:rsidR="00610F62">
        <w:rPr>
          <w:rFonts w:cs="Arial"/>
        </w:rPr>
      </w:r>
      <w:r w:rsidR="00610F62">
        <w:rPr>
          <w:rFonts w:cs="Arial"/>
        </w:rPr>
        <w:fldChar w:fldCharType="separate"/>
      </w:r>
      <w:r w:rsidR="00D07273">
        <w:t xml:space="preserve">Table </w:t>
      </w:r>
      <w:r w:rsidR="00D07273">
        <w:rPr>
          <w:noProof/>
        </w:rPr>
        <w:t>2</w:t>
      </w:r>
      <w:r w:rsidR="00D07273">
        <w:noBreakHyphen/>
      </w:r>
      <w:r w:rsidR="00D07273">
        <w:rPr>
          <w:noProof/>
        </w:rPr>
        <w:t>1</w:t>
      </w:r>
      <w:r w:rsidR="00610F62">
        <w:rPr>
          <w:rFonts w:cs="Arial"/>
        </w:rPr>
        <w:fldChar w:fldCharType="end"/>
      </w:r>
      <w:r w:rsidR="002D02EE">
        <w:rPr>
          <w:rFonts w:cs="Arial"/>
        </w:rPr>
        <w:t>.</w:t>
      </w:r>
    </w:p>
    <w:p w:rsidR="002D02EE" w:rsidRDefault="002D02EE" w:rsidP="00B43061">
      <w:pPr>
        <w:jc w:val="both"/>
        <w:rPr>
          <w:rFonts w:cs="Arial"/>
        </w:rPr>
      </w:pPr>
    </w:p>
    <w:p w:rsidR="002D02EE" w:rsidRDefault="00610F62" w:rsidP="00610F62">
      <w:pPr>
        <w:pStyle w:val="Caption"/>
      </w:pPr>
      <w:bookmarkStart w:id="1" w:name="_Ref420510238"/>
      <w:r>
        <w:t xml:space="preserve">Table </w:t>
      </w:r>
      <w:r w:rsidR="002F7913">
        <w:fldChar w:fldCharType="begin"/>
      </w:r>
      <w:r w:rsidR="002F7913">
        <w:instrText xml:space="preserve"> STYLEREF 1 \s </w:instrText>
      </w:r>
      <w:r w:rsidR="002F7913">
        <w:fldChar w:fldCharType="separate"/>
      </w:r>
      <w:r w:rsidR="00BE0BFC">
        <w:rPr>
          <w:noProof/>
        </w:rPr>
        <w:t>2</w:t>
      </w:r>
      <w:r w:rsidR="002F7913">
        <w:rPr>
          <w:noProof/>
        </w:rPr>
        <w:fldChar w:fldCharType="end"/>
      </w:r>
      <w:r w:rsidR="00BE0BFC">
        <w:noBreakHyphen/>
      </w:r>
      <w:r w:rsidR="002F7913">
        <w:fldChar w:fldCharType="begin"/>
      </w:r>
      <w:r w:rsidR="002F7913">
        <w:instrText xml:space="preserve"> SEQ Table \* ARABIC \s 1 </w:instrText>
      </w:r>
      <w:r w:rsidR="002F7913">
        <w:fldChar w:fldCharType="separate"/>
      </w:r>
      <w:r w:rsidR="00BE0BFC">
        <w:rPr>
          <w:noProof/>
        </w:rPr>
        <w:t>1</w:t>
      </w:r>
      <w:r w:rsidR="002F7913">
        <w:rPr>
          <w:noProof/>
        </w:rPr>
        <w:fldChar w:fldCharType="end"/>
      </w:r>
      <w:bookmarkEnd w:id="1"/>
      <w:r w:rsidR="002D02EE">
        <w:t>: PECO DR Acquisition Cost by Program Type</w:t>
      </w:r>
    </w:p>
    <w:tbl>
      <w:tblPr>
        <w:tblStyle w:val="MediumShading1-Accent5"/>
        <w:tblW w:w="9360" w:type="dxa"/>
        <w:tblInd w:w="108" w:type="dxa"/>
        <w:tblBorders>
          <w:top w:val="single" w:sz="8" w:space="0" w:color="448A99"/>
          <w:left w:val="single" w:sz="8" w:space="0" w:color="448A99"/>
          <w:bottom w:val="single" w:sz="8" w:space="0" w:color="448A99"/>
          <w:right w:val="single" w:sz="8" w:space="0" w:color="448A99"/>
          <w:insideH w:val="single" w:sz="8" w:space="0" w:color="448A99"/>
          <w:insideV w:val="single" w:sz="8" w:space="0" w:color="448A99"/>
        </w:tblBorders>
        <w:tblLook w:val="04A0" w:firstRow="1" w:lastRow="0" w:firstColumn="1" w:lastColumn="0" w:noHBand="0" w:noVBand="1"/>
      </w:tblPr>
      <w:tblGrid>
        <w:gridCol w:w="2352"/>
        <w:gridCol w:w="2384"/>
        <w:gridCol w:w="2104"/>
        <w:gridCol w:w="2520"/>
      </w:tblGrid>
      <w:tr w:rsidR="002D02EE" w:rsidRPr="00AA641A" w:rsidTr="00D609B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2" w:type="dxa"/>
            <w:tcBorders>
              <w:top w:val="none" w:sz="0" w:space="0" w:color="auto"/>
              <w:left w:val="none" w:sz="0" w:space="0" w:color="auto"/>
              <w:bottom w:val="none" w:sz="0" w:space="0" w:color="auto"/>
              <w:right w:val="none" w:sz="0" w:space="0" w:color="auto"/>
            </w:tcBorders>
            <w:shd w:val="clear" w:color="auto" w:fill="448A99"/>
            <w:noWrap/>
            <w:hideMark/>
          </w:tcPr>
          <w:p w:rsidR="002D02EE" w:rsidRPr="00AA641A" w:rsidRDefault="002D02EE" w:rsidP="00AA641A">
            <w:pPr>
              <w:rPr>
                <w:rFonts w:ascii="Calibri" w:eastAsia="Times New Roman" w:hAnsi="Calibri" w:cs="Times New Roman"/>
                <w:b w:val="0"/>
                <w:bCs w:val="0"/>
                <w:color w:val="FFFFFF"/>
                <w:sz w:val="20"/>
              </w:rPr>
            </w:pPr>
            <w:r w:rsidRPr="00AA641A">
              <w:rPr>
                <w:rFonts w:ascii="Calibri" w:eastAsia="Times New Roman" w:hAnsi="Calibri" w:cs="Times New Roman"/>
                <w:color w:val="FFFFFF"/>
                <w:sz w:val="20"/>
              </w:rPr>
              <w:t>Program</w:t>
            </w:r>
          </w:p>
        </w:tc>
        <w:tc>
          <w:tcPr>
            <w:tcW w:w="2384" w:type="dxa"/>
            <w:tcBorders>
              <w:top w:val="none" w:sz="0" w:space="0" w:color="auto"/>
              <w:left w:val="none" w:sz="0" w:space="0" w:color="auto"/>
              <w:bottom w:val="none" w:sz="0" w:space="0" w:color="auto"/>
              <w:right w:val="none" w:sz="0" w:space="0" w:color="auto"/>
            </w:tcBorders>
            <w:shd w:val="clear" w:color="auto" w:fill="448A99"/>
            <w:noWrap/>
            <w:hideMark/>
          </w:tcPr>
          <w:p w:rsidR="002D02EE" w:rsidRPr="00AA641A" w:rsidRDefault="002D02EE" w:rsidP="00AA641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sz w:val="20"/>
              </w:rPr>
            </w:pPr>
            <w:r w:rsidRPr="00AA641A">
              <w:rPr>
                <w:rFonts w:ascii="Calibri" w:eastAsia="Times New Roman" w:hAnsi="Calibri" w:cs="Times New Roman"/>
                <w:color w:val="FFFFFF"/>
                <w:sz w:val="20"/>
              </w:rPr>
              <w:t>5-year MW</w:t>
            </w:r>
          </w:p>
        </w:tc>
        <w:tc>
          <w:tcPr>
            <w:tcW w:w="2104" w:type="dxa"/>
            <w:tcBorders>
              <w:top w:val="none" w:sz="0" w:space="0" w:color="auto"/>
              <w:left w:val="none" w:sz="0" w:space="0" w:color="auto"/>
              <w:bottom w:val="none" w:sz="0" w:space="0" w:color="auto"/>
              <w:right w:val="none" w:sz="0" w:space="0" w:color="auto"/>
            </w:tcBorders>
            <w:shd w:val="clear" w:color="auto" w:fill="448A99"/>
            <w:noWrap/>
            <w:hideMark/>
          </w:tcPr>
          <w:p w:rsidR="002D02EE" w:rsidRPr="00AA641A" w:rsidRDefault="002D02EE" w:rsidP="00AA641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sz w:val="20"/>
              </w:rPr>
            </w:pPr>
            <w:r w:rsidRPr="00AA641A">
              <w:rPr>
                <w:rFonts w:ascii="Calibri" w:eastAsia="Times New Roman" w:hAnsi="Calibri" w:cs="Times New Roman"/>
                <w:color w:val="FFFFFF"/>
                <w:sz w:val="20"/>
              </w:rPr>
              <w:t>5-year Cost</w:t>
            </w:r>
          </w:p>
        </w:tc>
        <w:tc>
          <w:tcPr>
            <w:tcW w:w="2520" w:type="dxa"/>
            <w:tcBorders>
              <w:top w:val="none" w:sz="0" w:space="0" w:color="auto"/>
              <w:left w:val="none" w:sz="0" w:space="0" w:color="auto"/>
              <w:bottom w:val="none" w:sz="0" w:space="0" w:color="auto"/>
              <w:right w:val="none" w:sz="0" w:space="0" w:color="auto"/>
            </w:tcBorders>
            <w:shd w:val="clear" w:color="auto" w:fill="448A99"/>
            <w:noWrap/>
            <w:hideMark/>
          </w:tcPr>
          <w:p w:rsidR="002D02EE" w:rsidRPr="00AA641A" w:rsidRDefault="002D02EE" w:rsidP="00AA641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sz w:val="20"/>
              </w:rPr>
            </w:pPr>
            <w:r w:rsidRPr="00AA641A">
              <w:rPr>
                <w:rFonts w:ascii="Calibri" w:eastAsia="Times New Roman" w:hAnsi="Calibri" w:cs="Times New Roman"/>
                <w:color w:val="FFFFFF"/>
                <w:sz w:val="20"/>
              </w:rPr>
              <w:t>Acquisition Cost</w:t>
            </w:r>
          </w:p>
        </w:tc>
      </w:tr>
      <w:tr w:rsidR="002D02EE" w:rsidRPr="00AA641A" w:rsidTr="007454CD">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352" w:type="dxa"/>
            <w:tcBorders>
              <w:right w:val="none" w:sz="0" w:space="0" w:color="auto"/>
            </w:tcBorders>
            <w:noWrap/>
            <w:hideMark/>
          </w:tcPr>
          <w:p w:rsidR="002D02EE" w:rsidRPr="00AA641A" w:rsidRDefault="002D02EE" w:rsidP="00AA641A">
            <w:pPr>
              <w:rPr>
                <w:rFonts w:ascii="Calibri" w:eastAsia="Times New Roman" w:hAnsi="Calibri" w:cs="Times New Roman"/>
                <w:color w:val="000000"/>
                <w:sz w:val="20"/>
              </w:rPr>
            </w:pPr>
            <w:r w:rsidRPr="00AA641A">
              <w:rPr>
                <w:rFonts w:ascii="Calibri" w:eastAsia="Times New Roman" w:hAnsi="Calibri" w:cs="Times New Roman"/>
                <w:color w:val="000000"/>
                <w:sz w:val="20"/>
              </w:rPr>
              <w:t>Load Curtailment</w:t>
            </w:r>
          </w:p>
        </w:tc>
        <w:tc>
          <w:tcPr>
            <w:tcW w:w="2384" w:type="dxa"/>
            <w:tcBorders>
              <w:left w:val="none" w:sz="0" w:space="0" w:color="auto"/>
              <w:right w:val="none" w:sz="0" w:space="0" w:color="auto"/>
            </w:tcBorders>
            <w:noWrap/>
            <w:hideMark/>
          </w:tcPr>
          <w:p w:rsidR="002D02EE" w:rsidRPr="00AA641A" w:rsidRDefault="002D02EE" w:rsidP="00AA641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2,414</w:t>
            </w:r>
          </w:p>
        </w:tc>
        <w:tc>
          <w:tcPr>
            <w:tcW w:w="2104" w:type="dxa"/>
            <w:tcBorders>
              <w:left w:val="none" w:sz="0" w:space="0" w:color="auto"/>
              <w:right w:val="none" w:sz="0" w:space="0" w:color="auto"/>
            </w:tcBorders>
            <w:noWrap/>
            <w:hideMark/>
          </w:tcPr>
          <w:p w:rsidR="002D02EE" w:rsidRPr="00AA641A" w:rsidRDefault="002D02EE" w:rsidP="00AA641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$142,167,801</w:t>
            </w:r>
          </w:p>
        </w:tc>
        <w:tc>
          <w:tcPr>
            <w:tcW w:w="2520" w:type="dxa"/>
            <w:tcBorders>
              <w:left w:val="none" w:sz="0" w:space="0" w:color="auto"/>
            </w:tcBorders>
            <w:noWrap/>
            <w:hideMark/>
          </w:tcPr>
          <w:p w:rsidR="002D02EE" w:rsidRPr="00AA641A" w:rsidRDefault="002D02EE" w:rsidP="00AA641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$58,893</w:t>
            </w:r>
          </w:p>
        </w:tc>
      </w:tr>
      <w:tr w:rsidR="002D02EE" w:rsidRPr="00AA641A" w:rsidTr="007454CD">
        <w:trPr>
          <w:cnfStyle w:val="000000010000" w:firstRow="0" w:lastRow="0" w:firstColumn="0" w:lastColumn="0" w:oddVBand="0" w:evenVBand="0" w:oddHBand="0" w:evenHBand="1"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352" w:type="dxa"/>
            <w:tcBorders>
              <w:right w:val="none" w:sz="0" w:space="0" w:color="auto"/>
            </w:tcBorders>
            <w:noWrap/>
            <w:hideMark/>
          </w:tcPr>
          <w:p w:rsidR="002D02EE" w:rsidRPr="00AA641A" w:rsidRDefault="002D02EE" w:rsidP="00AA641A">
            <w:pPr>
              <w:rPr>
                <w:rFonts w:ascii="Calibri" w:eastAsia="Times New Roman" w:hAnsi="Calibri" w:cs="Times New Roman"/>
                <w:color w:val="000000"/>
                <w:sz w:val="20"/>
              </w:rPr>
            </w:pPr>
            <w:r w:rsidRPr="00AA641A">
              <w:rPr>
                <w:rFonts w:ascii="Calibri" w:eastAsia="Times New Roman" w:hAnsi="Calibri" w:cs="Times New Roman"/>
                <w:color w:val="000000"/>
                <w:sz w:val="20"/>
              </w:rPr>
              <w:t>Small Business DLC</w:t>
            </w:r>
          </w:p>
        </w:tc>
        <w:tc>
          <w:tcPr>
            <w:tcW w:w="2384" w:type="dxa"/>
            <w:tcBorders>
              <w:left w:val="none" w:sz="0" w:space="0" w:color="auto"/>
              <w:right w:val="none" w:sz="0" w:space="0" w:color="auto"/>
            </w:tcBorders>
            <w:noWrap/>
            <w:hideMark/>
          </w:tcPr>
          <w:p w:rsidR="002D02EE" w:rsidRPr="00AA641A" w:rsidRDefault="002D02EE" w:rsidP="00AA641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29</w:t>
            </w:r>
          </w:p>
        </w:tc>
        <w:tc>
          <w:tcPr>
            <w:tcW w:w="2104" w:type="dxa"/>
            <w:tcBorders>
              <w:left w:val="none" w:sz="0" w:space="0" w:color="auto"/>
              <w:right w:val="none" w:sz="0" w:space="0" w:color="auto"/>
            </w:tcBorders>
            <w:noWrap/>
            <w:hideMark/>
          </w:tcPr>
          <w:p w:rsidR="002D02EE" w:rsidRPr="00AA641A" w:rsidRDefault="002D02EE" w:rsidP="00AA641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$3,013,153</w:t>
            </w:r>
          </w:p>
        </w:tc>
        <w:tc>
          <w:tcPr>
            <w:tcW w:w="2520" w:type="dxa"/>
            <w:tcBorders>
              <w:left w:val="none" w:sz="0" w:space="0" w:color="auto"/>
            </w:tcBorders>
            <w:noWrap/>
            <w:hideMark/>
          </w:tcPr>
          <w:p w:rsidR="002D02EE" w:rsidRPr="00AA641A" w:rsidRDefault="002D02EE" w:rsidP="00AA641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$105,222</w:t>
            </w:r>
          </w:p>
        </w:tc>
      </w:tr>
      <w:tr w:rsidR="002D02EE" w:rsidRPr="00AA641A" w:rsidTr="007454CD">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352" w:type="dxa"/>
            <w:tcBorders>
              <w:right w:val="none" w:sz="0" w:space="0" w:color="auto"/>
            </w:tcBorders>
            <w:noWrap/>
            <w:hideMark/>
          </w:tcPr>
          <w:p w:rsidR="002D02EE" w:rsidRPr="00AA641A" w:rsidRDefault="002D02EE" w:rsidP="00AA641A">
            <w:pPr>
              <w:rPr>
                <w:rFonts w:ascii="Calibri" w:eastAsia="Times New Roman" w:hAnsi="Calibri" w:cs="Times New Roman"/>
                <w:color w:val="000000"/>
                <w:sz w:val="20"/>
              </w:rPr>
            </w:pPr>
            <w:r w:rsidRPr="00AA641A">
              <w:rPr>
                <w:rFonts w:ascii="Calibri" w:eastAsia="Times New Roman" w:hAnsi="Calibri" w:cs="Times New Roman"/>
                <w:color w:val="000000"/>
                <w:sz w:val="20"/>
              </w:rPr>
              <w:t>Residential DLC</w:t>
            </w:r>
          </w:p>
        </w:tc>
        <w:tc>
          <w:tcPr>
            <w:tcW w:w="2384" w:type="dxa"/>
            <w:tcBorders>
              <w:left w:val="none" w:sz="0" w:space="0" w:color="auto"/>
              <w:right w:val="none" w:sz="0" w:space="0" w:color="auto"/>
            </w:tcBorders>
            <w:noWrap/>
            <w:hideMark/>
          </w:tcPr>
          <w:p w:rsidR="002D02EE" w:rsidRPr="00AA641A" w:rsidRDefault="002D02EE" w:rsidP="00AA641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392</w:t>
            </w:r>
          </w:p>
        </w:tc>
        <w:tc>
          <w:tcPr>
            <w:tcW w:w="2104" w:type="dxa"/>
            <w:tcBorders>
              <w:left w:val="none" w:sz="0" w:space="0" w:color="auto"/>
              <w:right w:val="none" w:sz="0" w:space="0" w:color="auto"/>
            </w:tcBorders>
            <w:noWrap/>
            <w:hideMark/>
          </w:tcPr>
          <w:p w:rsidR="002D02EE" w:rsidRPr="00AA641A" w:rsidRDefault="002D02EE" w:rsidP="00AA641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$36,960,776</w:t>
            </w:r>
          </w:p>
        </w:tc>
        <w:tc>
          <w:tcPr>
            <w:tcW w:w="2520" w:type="dxa"/>
            <w:tcBorders>
              <w:left w:val="none" w:sz="0" w:space="0" w:color="auto"/>
            </w:tcBorders>
            <w:noWrap/>
            <w:hideMark/>
          </w:tcPr>
          <w:p w:rsidR="002D02EE" w:rsidRPr="00AA641A" w:rsidRDefault="002D02EE" w:rsidP="00AA641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$94,300</w:t>
            </w:r>
          </w:p>
        </w:tc>
      </w:tr>
      <w:tr w:rsidR="002D02EE" w:rsidRPr="00AA641A" w:rsidTr="007454CD">
        <w:trPr>
          <w:cnfStyle w:val="000000010000" w:firstRow="0" w:lastRow="0" w:firstColumn="0" w:lastColumn="0" w:oddVBand="0" w:evenVBand="0" w:oddHBand="0" w:evenHBand="1"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352" w:type="dxa"/>
            <w:tcBorders>
              <w:right w:val="none" w:sz="0" w:space="0" w:color="auto"/>
            </w:tcBorders>
            <w:noWrap/>
            <w:hideMark/>
          </w:tcPr>
          <w:p w:rsidR="002D02EE" w:rsidRPr="00AA641A" w:rsidRDefault="002D02EE" w:rsidP="00AA641A">
            <w:pPr>
              <w:rPr>
                <w:rFonts w:ascii="Calibri" w:eastAsia="Times New Roman" w:hAnsi="Calibri" w:cs="Times New Roman"/>
                <w:b w:val="0"/>
                <w:bCs w:val="0"/>
                <w:color w:val="000000"/>
                <w:sz w:val="20"/>
              </w:rPr>
            </w:pPr>
            <w:r w:rsidRPr="00AA641A">
              <w:rPr>
                <w:rFonts w:ascii="Calibri" w:eastAsia="Times New Roman" w:hAnsi="Calibri" w:cs="Times New Roman"/>
                <w:color w:val="000000"/>
                <w:sz w:val="20"/>
              </w:rPr>
              <w:t>Total</w:t>
            </w:r>
          </w:p>
        </w:tc>
        <w:tc>
          <w:tcPr>
            <w:tcW w:w="2384" w:type="dxa"/>
            <w:tcBorders>
              <w:left w:val="none" w:sz="0" w:space="0" w:color="auto"/>
              <w:right w:val="none" w:sz="0" w:space="0" w:color="auto"/>
            </w:tcBorders>
            <w:noWrap/>
            <w:hideMark/>
          </w:tcPr>
          <w:p w:rsidR="002D02EE" w:rsidRPr="00AA641A" w:rsidRDefault="002D02EE" w:rsidP="00AA641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sz w:val="20"/>
              </w:rPr>
            </w:pPr>
            <w:r w:rsidRPr="00AA641A">
              <w:rPr>
                <w:rFonts w:ascii="Calibri" w:eastAsia="Times New Roman" w:hAnsi="Calibri" w:cs="Times New Roman"/>
                <w:b/>
                <w:bCs/>
                <w:color w:val="000000"/>
                <w:sz w:val="20"/>
              </w:rPr>
              <w:t>2,835</w:t>
            </w:r>
          </w:p>
        </w:tc>
        <w:tc>
          <w:tcPr>
            <w:tcW w:w="2104" w:type="dxa"/>
            <w:tcBorders>
              <w:left w:val="none" w:sz="0" w:space="0" w:color="auto"/>
              <w:right w:val="none" w:sz="0" w:space="0" w:color="auto"/>
            </w:tcBorders>
            <w:noWrap/>
            <w:hideMark/>
          </w:tcPr>
          <w:p w:rsidR="002D02EE" w:rsidRPr="00AA641A" w:rsidRDefault="002D02EE" w:rsidP="00AA641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sz w:val="20"/>
              </w:rPr>
            </w:pPr>
            <w:r w:rsidRPr="00AA641A">
              <w:rPr>
                <w:rFonts w:ascii="Calibri" w:eastAsia="Times New Roman" w:hAnsi="Calibri" w:cs="Times New Roman"/>
                <w:b/>
                <w:bCs/>
                <w:color w:val="000000"/>
                <w:sz w:val="20"/>
              </w:rPr>
              <w:t>$182,141,730</w:t>
            </w:r>
          </w:p>
        </w:tc>
        <w:tc>
          <w:tcPr>
            <w:tcW w:w="2520" w:type="dxa"/>
            <w:tcBorders>
              <w:left w:val="none" w:sz="0" w:space="0" w:color="auto"/>
            </w:tcBorders>
            <w:noWrap/>
            <w:hideMark/>
          </w:tcPr>
          <w:p w:rsidR="002D02EE" w:rsidRPr="00AA641A" w:rsidRDefault="002D02EE" w:rsidP="00AA641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sz w:val="20"/>
              </w:rPr>
            </w:pPr>
            <w:r w:rsidRPr="00AA641A">
              <w:rPr>
                <w:rFonts w:ascii="Calibri" w:eastAsia="Times New Roman" w:hAnsi="Calibri" w:cs="Times New Roman"/>
                <w:b/>
                <w:bCs/>
                <w:color w:val="000000"/>
                <w:sz w:val="20"/>
              </w:rPr>
              <w:t>$64,257</w:t>
            </w:r>
          </w:p>
        </w:tc>
      </w:tr>
    </w:tbl>
    <w:p w:rsidR="002D02EE" w:rsidRDefault="002D02EE" w:rsidP="00B43061">
      <w:pPr>
        <w:jc w:val="both"/>
        <w:rPr>
          <w:rFonts w:cs="Arial"/>
        </w:rPr>
      </w:pPr>
    </w:p>
    <w:p w:rsidR="004F403A" w:rsidRDefault="002D02EE" w:rsidP="00B43061">
      <w:pPr>
        <w:jc w:val="both"/>
        <w:rPr>
          <w:rFonts w:cs="Arial"/>
        </w:rPr>
      </w:pPr>
      <w:r>
        <w:rPr>
          <w:rFonts w:cs="Arial"/>
        </w:rPr>
        <w:t xml:space="preserve">To arrive at the blended DR acquisition cost of $64,257/MW-year the SWE weighted the DR program acquisition costs by the amount of Phase III potential identified in the DR MPS. This approach was somewhat agnostic to program design and assumed PECO would design an EE&amp;C plan to harvest potential at an equal rate from the three program types. In its comments on the Tentative Implementation Order PECO requested that the Commission reconsider this weighting methodology to allow sufficient allocation of funds to the DLC </w:t>
      </w:r>
      <w:r w:rsidR="00583B5B">
        <w:rPr>
          <w:rFonts w:cs="Arial"/>
        </w:rPr>
        <w:t xml:space="preserve">program types to enable PECO to continue operating </w:t>
      </w:r>
      <w:r w:rsidR="00794E4A">
        <w:rPr>
          <w:rFonts w:cs="Arial"/>
        </w:rPr>
        <w:t>its existing DLC infrastructure rather than abandoning it in favor of new Load Curtailment potential.</w:t>
      </w:r>
    </w:p>
    <w:p w:rsidR="00583B5B" w:rsidRDefault="00583B5B" w:rsidP="00B43061">
      <w:pPr>
        <w:jc w:val="both"/>
        <w:rPr>
          <w:rFonts w:cs="Arial"/>
        </w:rPr>
      </w:pPr>
    </w:p>
    <w:p w:rsidR="00794E4A" w:rsidRDefault="00794E4A" w:rsidP="00B43061">
      <w:pPr>
        <w:jc w:val="both"/>
        <w:rPr>
          <w:rFonts w:cs="Arial"/>
        </w:rPr>
      </w:pPr>
      <w:r>
        <w:rPr>
          <w:rFonts w:cs="Arial"/>
        </w:rPr>
        <w:t xml:space="preserve">The Commission found PECO’s request reasonable and asked the SWE to recalculate PECO’s DR acquisition cost assuming no new DLC equipment would be installed, but that sufficient funding would be allocated to DLC to allow PECO to leverage the existing infrastructure. This required the SWE to revisit the acquisition costs from the DR MPS because the </w:t>
      </w:r>
      <w:r w:rsidR="0032346F">
        <w:rPr>
          <w:rFonts w:cs="Arial"/>
        </w:rPr>
        <w:t>values shown in</w:t>
      </w:r>
      <w:r w:rsidR="00610F62">
        <w:rPr>
          <w:rFonts w:cs="Arial"/>
        </w:rPr>
        <w:t xml:space="preserve"> </w:t>
      </w:r>
      <w:r w:rsidR="00610F62">
        <w:rPr>
          <w:rFonts w:cs="Arial"/>
        </w:rPr>
        <w:fldChar w:fldCharType="begin"/>
      </w:r>
      <w:r w:rsidR="00610F62">
        <w:rPr>
          <w:rFonts w:cs="Arial"/>
        </w:rPr>
        <w:instrText xml:space="preserve"> REF _Ref420426330 \h </w:instrText>
      </w:r>
      <w:r w:rsidR="00610F62">
        <w:rPr>
          <w:rFonts w:cs="Arial"/>
        </w:rPr>
      </w:r>
      <w:r w:rsidR="00610F62">
        <w:rPr>
          <w:rFonts w:cs="Arial"/>
        </w:rPr>
        <w:fldChar w:fldCharType="separate"/>
      </w:r>
      <w:r w:rsidR="00D07273">
        <w:t xml:space="preserve">Table </w:t>
      </w:r>
      <w:r w:rsidR="00D07273">
        <w:rPr>
          <w:noProof/>
        </w:rPr>
        <w:t>2</w:t>
      </w:r>
      <w:r w:rsidR="00D07273">
        <w:noBreakHyphen/>
      </w:r>
      <w:r w:rsidR="00D07273">
        <w:rPr>
          <w:noProof/>
        </w:rPr>
        <w:t>2</w:t>
      </w:r>
      <w:r w:rsidR="00610F62">
        <w:rPr>
          <w:rFonts w:cs="Arial"/>
        </w:rPr>
        <w:fldChar w:fldCharType="end"/>
      </w:r>
      <w:r w:rsidR="0032346F">
        <w:rPr>
          <w:rFonts w:cs="Arial"/>
        </w:rPr>
        <w:t xml:space="preserve"> include operation of existing infrastructure and expansion of the program to new homes and businesses.</w:t>
      </w:r>
    </w:p>
    <w:p w:rsidR="0032346F" w:rsidRDefault="0032346F" w:rsidP="00B43061">
      <w:pPr>
        <w:jc w:val="both"/>
        <w:rPr>
          <w:rFonts w:cs="Arial"/>
        </w:rPr>
      </w:pPr>
    </w:p>
    <w:p w:rsidR="0032346F" w:rsidRDefault="00610F62" w:rsidP="00B43061">
      <w:pPr>
        <w:jc w:val="both"/>
        <w:rPr>
          <w:rFonts w:cs="Arial"/>
        </w:rPr>
      </w:pPr>
      <w:r>
        <w:rPr>
          <w:rFonts w:cs="Arial"/>
        </w:rPr>
        <w:fldChar w:fldCharType="begin"/>
      </w:r>
      <w:r>
        <w:rPr>
          <w:rFonts w:cs="Arial"/>
        </w:rPr>
        <w:instrText xml:space="preserve"> REF _Ref420426330 \h </w:instrText>
      </w:r>
      <w:r>
        <w:rPr>
          <w:rFonts w:cs="Arial"/>
        </w:rPr>
      </w:r>
      <w:r>
        <w:rPr>
          <w:rFonts w:cs="Arial"/>
        </w:rPr>
        <w:fldChar w:fldCharType="separate"/>
      </w:r>
      <w:r w:rsidR="00D07273">
        <w:t xml:space="preserve">Table </w:t>
      </w:r>
      <w:r w:rsidR="00D07273">
        <w:rPr>
          <w:noProof/>
        </w:rPr>
        <w:t>2</w:t>
      </w:r>
      <w:r w:rsidR="00D07273">
        <w:noBreakHyphen/>
      </w:r>
      <w:r w:rsidR="00D07273">
        <w:rPr>
          <w:noProof/>
        </w:rPr>
        <w:t>2</w:t>
      </w:r>
      <w:r>
        <w:rPr>
          <w:rFonts w:cs="Arial"/>
        </w:rPr>
        <w:fldChar w:fldCharType="end"/>
      </w:r>
      <w:r>
        <w:rPr>
          <w:rFonts w:cs="Arial"/>
        </w:rPr>
        <w:t xml:space="preserve"> </w:t>
      </w:r>
      <w:r w:rsidR="0032346F">
        <w:rPr>
          <w:rFonts w:cs="Arial"/>
        </w:rPr>
        <w:t xml:space="preserve">shows the SWE’s revised calculation of residential DLC acquisition cost for Phase III. Like the original DR MPS models, these costs are based on a $40/year incentive per condensing unit rather than the $80/year incentive proposed  by PECO’s in its comments. </w:t>
      </w:r>
    </w:p>
    <w:p w:rsidR="0032346F" w:rsidRDefault="0032346F" w:rsidP="00B43061">
      <w:pPr>
        <w:jc w:val="both"/>
        <w:rPr>
          <w:rFonts w:cs="Arial"/>
        </w:rPr>
      </w:pPr>
    </w:p>
    <w:p w:rsidR="0032346F" w:rsidRDefault="0032346F" w:rsidP="0032346F">
      <w:pPr>
        <w:pStyle w:val="Caption"/>
        <w:keepNext/>
      </w:pPr>
      <w:bookmarkStart w:id="2" w:name="_Ref420426330"/>
      <w:r>
        <w:t xml:space="preserve">Table </w:t>
      </w:r>
      <w:r w:rsidR="002F7913">
        <w:fldChar w:fldCharType="begin"/>
      </w:r>
      <w:r w:rsidR="002F7913">
        <w:instrText xml:space="preserve"> STYLEREF 1 \s </w:instrText>
      </w:r>
      <w:r w:rsidR="002F7913">
        <w:fldChar w:fldCharType="separate"/>
      </w:r>
      <w:r w:rsidR="00BE0BFC">
        <w:rPr>
          <w:noProof/>
        </w:rPr>
        <w:t>2</w:t>
      </w:r>
      <w:r w:rsidR="002F7913">
        <w:rPr>
          <w:noProof/>
        </w:rPr>
        <w:fldChar w:fldCharType="end"/>
      </w:r>
      <w:r w:rsidR="00BE0BFC">
        <w:noBreakHyphen/>
      </w:r>
      <w:r w:rsidR="002F7913">
        <w:fldChar w:fldCharType="begin"/>
      </w:r>
      <w:r w:rsidR="002F7913">
        <w:instrText xml:space="preserve"> SEQ Table \* ARABIC \s 1 </w:instrText>
      </w:r>
      <w:r w:rsidR="002F7913">
        <w:fldChar w:fldCharType="separate"/>
      </w:r>
      <w:r w:rsidR="00BE0BFC">
        <w:rPr>
          <w:noProof/>
        </w:rPr>
        <w:t>2</w:t>
      </w:r>
      <w:r w:rsidR="002F7913">
        <w:rPr>
          <w:noProof/>
        </w:rPr>
        <w:fldChar w:fldCharType="end"/>
      </w:r>
      <w:bookmarkEnd w:id="2"/>
      <w:r>
        <w:t>: Residential DLC Acquisition Cost – No New Installations</w:t>
      </w:r>
    </w:p>
    <w:tbl>
      <w:tblPr>
        <w:tblStyle w:val="MediumShading1-Accent5"/>
        <w:tblW w:w="0" w:type="auto"/>
        <w:tblInd w:w="108" w:type="dxa"/>
        <w:tblBorders>
          <w:top w:val="single" w:sz="8" w:space="0" w:color="448A99"/>
          <w:left w:val="single" w:sz="8" w:space="0" w:color="448A99"/>
          <w:bottom w:val="single" w:sz="8" w:space="0" w:color="448A99"/>
          <w:right w:val="single" w:sz="8" w:space="0" w:color="448A99"/>
          <w:insideH w:val="single" w:sz="8" w:space="0" w:color="448A99"/>
          <w:insideV w:val="single" w:sz="8" w:space="0" w:color="448A99"/>
        </w:tblBorders>
        <w:tblLayout w:type="fixed"/>
        <w:tblLook w:val="04A0" w:firstRow="1" w:lastRow="0" w:firstColumn="1" w:lastColumn="0" w:noHBand="0" w:noVBand="1"/>
      </w:tblPr>
      <w:tblGrid>
        <w:gridCol w:w="1260"/>
        <w:gridCol w:w="1368"/>
        <w:gridCol w:w="1368"/>
        <w:gridCol w:w="684"/>
        <w:gridCol w:w="684"/>
        <w:gridCol w:w="1368"/>
        <w:gridCol w:w="1368"/>
        <w:gridCol w:w="1260"/>
      </w:tblGrid>
      <w:tr w:rsidR="0032346F" w:rsidRPr="00AA641A" w:rsidTr="00D609B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shd w:val="clear" w:color="auto" w:fill="448A99"/>
            <w:noWrap/>
            <w:hideMark/>
          </w:tcPr>
          <w:p w:rsidR="0032346F" w:rsidRPr="00AA641A" w:rsidRDefault="0032346F" w:rsidP="00AA641A">
            <w:pPr>
              <w:rPr>
                <w:rFonts w:ascii="Calibri" w:eastAsia="Times New Roman" w:hAnsi="Calibri" w:cs="Times New Roman"/>
                <w:b w:val="0"/>
                <w:bCs w:val="0"/>
                <w:color w:val="FFFFFF"/>
                <w:sz w:val="20"/>
              </w:rPr>
            </w:pPr>
            <w:r w:rsidRPr="00AA641A">
              <w:rPr>
                <w:rFonts w:ascii="Calibri" w:eastAsia="Times New Roman" w:hAnsi="Calibri" w:cs="Times New Roman"/>
                <w:color w:val="FFFFFF"/>
                <w:sz w:val="20"/>
              </w:rPr>
              <w:t>Parameter</w:t>
            </w:r>
          </w:p>
        </w:tc>
        <w:tc>
          <w:tcPr>
            <w:tcW w:w="1368" w:type="dxa"/>
            <w:tcBorders>
              <w:top w:val="none" w:sz="0" w:space="0" w:color="auto"/>
              <w:left w:val="none" w:sz="0" w:space="0" w:color="auto"/>
              <w:bottom w:val="none" w:sz="0" w:space="0" w:color="auto"/>
              <w:right w:val="none" w:sz="0" w:space="0" w:color="auto"/>
            </w:tcBorders>
            <w:shd w:val="clear" w:color="auto" w:fill="448A99"/>
            <w:noWrap/>
            <w:hideMark/>
          </w:tcPr>
          <w:p w:rsidR="0032346F" w:rsidRPr="00AA641A" w:rsidRDefault="0032346F" w:rsidP="00AA641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sz w:val="20"/>
              </w:rPr>
            </w:pPr>
            <w:r w:rsidRPr="00AA641A">
              <w:rPr>
                <w:rFonts w:ascii="Calibri" w:eastAsia="Times New Roman" w:hAnsi="Calibri" w:cs="Times New Roman"/>
                <w:color w:val="FFFFFF"/>
                <w:sz w:val="20"/>
              </w:rPr>
              <w:t>2016</w:t>
            </w:r>
          </w:p>
        </w:tc>
        <w:tc>
          <w:tcPr>
            <w:tcW w:w="1368" w:type="dxa"/>
            <w:tcBorders>
              <w:top w:val="none" w:sz="0" w:space="0" w:color="auto"/>
              <w:left w:val="none" w:sz="0" w:space="0" w:color="auto"/>
              <w:bottom w:val="none" w:sz="0" w:space="0" w:color="auto"/>
              <w:right w:val="none" w:sz="0" w:space="0" w:color="auto"/>
            </w:tcBorders>
            <w:shd w:val="clear" w:color="auto" w:fill="448A99"/>
            <w:noWrap/>
            <w:hideMark/>
          </w:tcPr>
          <w:p w:rsidR="0032346F" w:rsidRPr="00AA641A" w:rsidRDefault="0032346F" w:rsidP="00AA641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sz w:val="20"/>
              </w:rPr>
            </w:pPr>
            <w:r w:rsidRPr="00AA641A">
              <w:rPr>
                <w:rFonts w:ascii="Calibri" w:eastAsia="Times New Roman" w:hAnsi="Calibri" w:cs="Times New Roman"/>
                <w:color w:val="FFFFFF"/>
                <w:sz w:val="20"/>
              </w:rPr>
              <w:t>2017</w:t>
            </w:r>
          </w:p>
        </w:tc>
        <w:tc>
          <w:tcPr>
            <w:tcW w:w="1368" w:type="dxa"/>
            <w:gridSpan w:val="2"/>
            <w:tcBorders>
              <w:top w:val="none" w:sz="0" w:space="0" w:color="auto"/>
              <w:left w:val="none" w:sz="0" w:space="0" w:color="auto"/>
              <w:bottom w:val="none" w:sz="0" w:space="0" w:color="auto"/>
              <w:right w:val="none" w:sz="0" w:space="0" w:color="auto"/>
            </w:tcBorders>
            <w:shd w:val="clear" w:color="auto" w:fill="448A99"/>
            <w:noWrap/>
            <w:hideMark/>
          </w:tcPr>
          <w:p w:rsidR="0032346F" w:rsidRPr="00AA641A" w:rsidRDefault="0032346F" w:rsidP="00AA641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sz w:val="20"/>
              </w:rPr>
            </w:pPr>
            <w:r w:rsidRPr="00AA641A">
              <w:rPr>
                <w:rFonts w:ascii="Calibri" w:eastAsia="Times New Roman" w:hAnsi="Calibri" w:cs="Times New Roman"/>
                <w:color w:val="FFFFFF"/>
                <w:sz w:val="20"/>
              </w:rPr>
              <w:t>2018</w:t>
            </w:r>
          </w:p>
        </w:tc>
        <w:tc>
          <w:tcPr>
            <w:tcW w:w="1368" w:type="dxa"/>
            <w:tcBorders>
              <w:top w:val="none" w:sz="0" w:space="0" w:color="auto"/>
              <w:left w:val="none" w:sz="0" w:space="0" w:color="auto"/>
              <w:bottom w:val="none" w:sz="0" w:space="0" w:color="auto"/>
              <w:right w:val="none" w:sz="0" w:space="0" w:color="auto"/>
            </w:tcBorders>
            <w:shd w:val="clear" w:color="auto" w:fill="448A99"/>
            <w:noWrap/>
            <w:hideMark/>
          </w:tcPr>
          <w:p w:rsidR="0032346F" w:rsidRPr="00AA641A" w:rsidRDefault="0032346F" w:rsidP="00AA641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sz w:val="20"/>
              </w:rPr>
            </w:pPr>
            <w:r w:rsidRPr="00AA641A">
              <w:rPr>
                <w:rFonts w:ascii="Calibri" w:eastAsia="Times New Roman" w:hAnsi="Calibri" w:cs="Times New Roman"/>
                <w:color w:val="FFFFFF"/>
                <w:sz w:val="20"/>
              </w:rPr>
              <w:t>2019</w:t>
            </w:r>
          </w:p>
        </w:tc>
        <w:tc>
          <w:tcPr>
            <w:tcW w:w="1368" w:type="dxa"/>
            <w:tcBorders>
              <w:top w:val="none" w:sz="0" w:space="0" w:color="auto"/>
              <w:left w:val="none" w:sz="0" w:space="0" w:color="auto"/>
              <w:bottom w:val="none" w:sz="0" w:space="0" w:color="auto"/>
              <w:right w:val="none" w:sz="0" w:space="0" w:color="auto"/>
            </w:tcBorders>
            <w:shd w:val="clear" w:color="auto" w:fill="448A99"/>
            <w:noWrap/>
            <w:hideMark/>
          </w:tcPr>
          <w:p w:rsidR="0032346F" w:rsidRPr="00AA641A" w:rsidRDefault="0032346F" w:rsidP="00AA641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sz w:val="20"/>
              </w:rPr>
            </w:pPr>
            <w:r w:rsidRPr="00AA641A">
              <w:rPr>
                <w:rFonts w:ascii="Calibri" w:eastAsia="Times New Roman" w:hAnsi="Calibri" w:cs="Times New Roman"/>
                <w:color w:val="FFFFFF"/>
                <w:sz w:val="20"/>
              </w:rPr>
              <w:t>2020</w:t>
            </w:r>
          </w:p>
        </w:tc>
        <w:tc>
          <w:tcPr>
            <w:tcW w:w="1260" w:type="dxa"/>
            <w:tcBorders>
              <w:top w:val="none" w:sz="0" w:space="0" w:color="auto"/>
              <w:left w:val="none" w:sz="0" w:space="0" w:color="auto"/>
              <w:bottom w:val="none" w:sz="0" w:space="0" w:color="auto"/>
              <w:right w:val="none" w:sz="0" w:space="0" w:color="auto"/>
            </w:tcBorders>
            <w:shd w:val="clear" w:color="auto" w:fill="448A99"/>
            <w:noWrap/>
            <w:hideMark/>
          </w:tcPr>
          <w:p w:rsidR="0032346F" w:rsidRPr="00AA641A" w:rsidRDefault="0032346F" w:rsidP="00AA641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sz w:val="20"/>
              </w:rPr>
            </w:pPr>
            <w:r w:rsidRPr="00AA641A">
              <w:rPr>
                <w:rFonts w:ascii="Calibri" w:eastAsia="Times New Roman" w:hAnsi="Calibri" w:cs="Times New Roman"/>
                <w:color w:val="FFFFFF"/>
                <w:sz w:val="20"/>
              </w:rPr>
              <w:t>Phase III</w:t>
            </w:r>
          </w:p>
        </w:tc>
      </w:tr>
      <w:tr w:rsidR="0032346F" w:rsidRPr="00AA641A" w:rsidTr="00D609B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60" w:type="dxa"/>
            <w:tcBorders>
              <w:right w:val="none" w:sz="0" w:space="0" w:color="auto"/>
            </w:tcBorders>
            <w:noWrap/>
            <w:hideMark/>
          </w:tcPr>
          <w:p w:rsidR="0032346F" w:rsidRPr="00AA641A" w:rsidRDefault="0032346F" w:rsidP="00AA641A">
            <w:pPr>
              <w:rPr>
                <w:rFonts w:ascii="Calibri" w:eastAsia="Times New Roman" w:hAnsi="Calibri" w:cs="Times New Roman"/>
                <w:b w:val="0"/>
                <w:color w:val="000000"/>
                <w:sz w:val="20"/>
              </w:rPr>
            </w:pPr>
            <w:r w:rsidRPr="00AA641A">
              <w:rPr>
                <w:rFonts w:ascii="Calibri" w:eastAsia="Times New Roman" w:hAnsi="Calibri" w:cs="Times New Roman"/>
                <w:color w:val="000000"/>
                <w:sz w:val="20"/>
              </w:rPr>
              <w:t>EDC Costs</w:t>
            </w:r>
          </w:p>
        </w:tc>
        <w:tc>
          <w:tcPr>
            <w:tcW w:w="1368" w:type="dxa"/>
            <w:tcBorders>
              <w:left w:val="none" w:sz="0" w:space="0" w:color="auto"/>
              <w:right w:val="none" w:sz="0" w:space="0" w:color="auto"/>
            </w:tcBorders>
            <w:noWrap/>
            <w:hideMark/>
          </w:tcPr>
          <w:p w:rsidR="0032346F" w:rsidRPr="00AA641A" w:rsidRDefault="0032346F" w:rsidP="00AA641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$3,631,040</w:t>
            </w:r>
          </w:p>
        </w:tc>
        <w:tc>
          <w:tcPr>
            <w:tcW w:w="1368" w:type="dxa"/>
            <w:tcBorders>
              <w:left w:val="none" w:sz="0" w:space="0" w:color="auto"/>
              <w:right w:val="none" w:sz="0" w:space="0" w:color="auto"/>
            </w:tcBorders>
            <w:noWrap/>
            <w:hideMark/>
          </w:tcPr>
          <w:p w:rsidR="0032346F" w:rsidRPr="00AA641A" w:rsidRDefault="0032346F" w:rsidP="00AA641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$3,673,785</w:t>
            </w:r>
          </w:p>
        </w:tc>
        <w:tc>
          <w:tcPr>
            <w:tcW w:w="1368" w:type="dxa"/>
            <w:gridSpan w:val="2"/>
            <w:tcBorders>
              <w:left w:val="none" w:sz="0" w:space="0" w:color="auto"/>
              <w:right w:val="none" w:sz="0" w:space="0" w:color="auto"/>
            </w:tcBorders>
            <w:noWrap/>
            <w:hideMark/>
          </w:tcPr>
          <w:p w:rsidR="0032346F" w:rsidRPr="00AA641A" w:rsidRDefault="0032346F" w:rsidP="00AA641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$3,737,709</w:t>
            </w:r>
          </w:p>
        </w:tc>
        <w:tc>
          <w:tcPr>
            <w:tcW w:w="1368" w:type="dxa"/>
            <w:tcBorders>
              <w:left w:val="none" w:sz="0" w:space="0" w:color="auto"/>
              <w:right w:val="none" w:sz="0" w:space="0" w:color="auto"/>
            </w:tcBorders>
            <w:noWrap/>
            <w:hideMark/>
          </w:tcPr>
          <w:p w:rsidR="0032346F" w:rsidRPr="00AA641A" w:rsidRDefault="0032346F" w:rsidP="00AA641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$3,802,745</w:t>
            </w:r>
          </w:p>
        </w:tc>
        <w:tc>
          <w:tcPr>
            <w:tcW w:w="1368" w:type="dxa"/>
            <w:tcBorders>
              <w:left w:val="none" w:sz="0" w:space="0" w:color="auto"/>
              <w:right w:val="none" w:sz="0" w:space="0" w:color="auto"/>
            </w:tcBorders>
            <w:noWrap/>
            <w:hideMark/>
          </w:tcPr>
          <w:p w:rsidR="0032346F" w:rsidRPr="00AA641A" w:rsidRDefault="0032346F" w:rsidP="00AA641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$3,868,913</w:t>
            </w:r>
          </w:p>
        </w:tc>
        <w:tc>
          <w:tcPr>
            <w:tcW w:w="1260" w:type="dxa"/>
            <w:tcBorders>
              <w:left w:val="none" w:sz="0" w:space="0" w:color="auto"/>
            </w:tcBorders>
            <w:noWrap/>
            <w:hideMark/>
          </w:tcPr>
          <w:p w:rsidR="0032346F" w:rsidRPr="00AA641A" w:rsidRDefault="0032346F" w:rsidP="00AA641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rPr>
            </w:pPr>
            <w:r w:rsidRPr="00AA641A">
              <w:rPr>
                <w:rFonts w:ascii="Calibri" w:eastAsia="Times New Roman" w:hAnsi="Calibri" w:cs="Times New Roman"/>
                <w:b/>
                <w:bCs/>
                <w:color w:val="000000"/>
                <w:sz w:val="20"/>
              </w:rPr>
              <w:t>$18,714,192</w:t>
            </w:r>
          </w:p>
        </w:tc>
      </w:tr>
      <w:tr w:rsidR="0032346F" w:rsidRPr="00AA641A" w:rsidTr="00D609BF">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60" w:type="dxa"/>
            <w:tcBorders>
              <w:right w:val="none" w:sz="0" w:space="0" w:color="auto"/>
            </w:tcBorders>
            <w:noWrap/>
            <w:hideMark/>
          </w:tcPr>
          <w:p w:rsidR="0032346F" w:rsidRPr="00AA641A" w:rsidRDefault="0032346F" w:rsidP="00AA641A">
            <w:pPr>
              <w:rPr>
                <w:rFonts w:ascii="Calibri" w:eastAsia="Times New Roman" w:hAnsi="Calibri" w:cs="Times New Roman"/>
                <w:b w:val="0"/>
                <w:color w:val="000000"/>
                <w:sz w:val="20"/>
              </w:rPr>
            </w:pPr>
            <w:r w:rsidRPr="00AA641A">
              <w:rPr>
                <w:rFonts w:ascii="Calibri" w:eastAsia="Times New Roman" w:hAnsi="Calibri" w:cs="Times New Roman"/>
                <w:color w:val="000000"/>
                <w:sz w:val="20"/>
              </w:rPr>
              <w:t>Compliance kW Impact</w:t>
            </w:r>
          </w:p>
        </w:tc>
        <w:tc>
          <w:tcPr>
            <w:tcW w:w="1368" w:type="dxa"/>
            <w:tcBorders>
              <w:left w:val="none" w:sz="0" w:space="0" w:color="auto"/>
              <w:right w:val="none" w:sz="0" w:space="0" w:color="auto"/>
            </w:tcBorders>
            <w:noWrap/>
            <w:hideMark/>
          </w:tcPr>
          <w:p w:rsidR="0032346F" w:rsidRPr="00AA641A" w:rsidRDefault="0032346F" w:rsidP="00AA641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0</w:t>
            </w:r>
          </w:p>
        </w:tc>
        <w:tc>
          <w:tcPr>
            <w:tcW w:w="1368" w:type="dxa"/>
            <w:tcBorders>
              <w:left w:val="none" w:sz="0" w:space="0" w:color="auto"/>
              <w:right w:val="none" w:sz="0" w:space="0" w:color="auto"/>
            </w:tcBorders>
            <w:noWrap/>
            <w:hideMark/>
          </w:tcPr>
          <w:p w:rsidR="0032346F" w:rsidRPr="00AA641A" w:rsidRDefault="0032346F" w:rsidP="00AA641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63,145</w:t>
            </w:r>
          </w:p>
        </w:tc>
        <w:tc>
          <w:tcPr>
            <w:tcW w:w="1368" w:type="dxa"/>
            <w:gridSpan w:val="2"/>
            <w:tcBorders>
              <w:left w:val="none" w:sz="0" w:space="0" w:color="auto"/>
              <w:right w:val="none" w:sz="0" w:space="0" w:color="auto"/>
            </w:tcBorders>
            <w:noWrap/>
            <w:hideMark/>
          </w:tcPr>
          <w:p w:rsidR="0032346F" w:rsidRPr="00AA641A" w:rsidRDefault="0032346F" w:rsidP="00AA641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63,145</w:t>
            </w:r>
          </w:p>
        </w:tc>
        <w:tc>
          <w:tcPr>
            <w:tcW w:w="1368" w:type="dxa"/>
            <w:tcBorders>
              <w:left w:val="none" w:sz="0" w:space="0" w:color="auto"/>
              <w:right w:val="none" w:sz="0" w:space="0" w:color="auto"/>
            </w:tcBorders>
            <w:noWrap/>
            <w:hideMark/>
          </w:tcPr>
          <w:p w:rsidR="0032346F" w:rsidRPr="00AA641A" w:rsidRDefault="0032346F" w:rsidP="00AA641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63,145</w:t>
            </w:r>
          </w:p>
        </w:tc>
        <w:tc>
          <w:tcPr>
            <w:tcW w:w="1368" w:type="dxa"/>
            <w:tcBorders>
              <w:left w:val="none" w:sz="0" w:space="0" w:color="auto"/>
              <w:right w:val="none" w:sz="0" w:space="0" w:color="auto"/>
            </w:tcBorders>
            <w:noWrap/>
            <w:hideMark/>
          </w:tcPr>
          <w:p w:rsidR="0032346F" w:rsidRPr="00AA641A" w:rsidRDefault="0032346F" w:rsidP="00AA641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63,145</w:t>
            </w:r>
          </w:p>
        </w:tc>
        <w:tc>
          <w:tcPr>
            <w:tcW w:w="1260" w:type="dxa"/>
            <w:tcBorders>
              <w:left w:val="none" w:sz="0" w:space="0" w:color="auto"/>
            </w:tcBorders>
            <w:noWrap/>
            <w:hideMark/>
          </w:tcPr>
          <w:p w:rsidR="0032346F" w:rsidRPr="00AA641A" w:rsidRDefault="0032346F" w:rsidP="00AA641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sz w:val="20"/>
              </w:rPr>
            </w:pPr>
            <w:r w:rsidRPr="00AA641A">
              <w:rPr>
                <w:rFonts w:ascii="Calibri" w:eastAsia="Times New Roman" w:hAnsi="Calibri" w:cs="Times New Roman"/>
                <w:b/>
                <w:bCs/>
                <w:color w:val="000000"/>
                <w:sz w:val="20"/>
              </w:rPr>
              <w:t>252,581</w:t>
            </w:r>
          </w:p>
        </w:tc>
      </w:tr>
      <w:tr w:rsidR="0032346F" w:rsidRPr="00AA641A" w:rsidTr="00D609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80" w:type="dxa"/>
            <w:gridSpan w:val="4"/>
            <w:tcBorders>
              <w:right w:val="none" w:sz="0" w:space="0" w:color="auto"/>
            </w:tcBorders>
            <w:noWrap/>
            <w:hideMark/>
          </w:tcPr>
          <w:p w:rsidR="0032346F" w:rsidRPr="00AA641A" w:rsidRDefault="0032346F" w:rsidP="00AA641A">
            <w:pPr>
              <w:jc w:val="center"/>
              <w:rPr>
                <w:rFonts w:ascii="Calibri" w:eastAsia="Times New Roman" w:hAnsi="Calibri" w:cs="Times New Roman"/>
                <w:b w:val="0"/>
                <w:bCs w:val="0"/>
                <w:color w:val="000000"/>
                <w:sz w:val="20"/>
              </w:rPr>
            </w:pPr>
            <w:r w:rsidRPr="00AA641A">
              <w:rPr>
                <w:rFonts w:ascii="Calibri" w:eastAsia="Times New Roman" w:hAnsi="Calibri" w:cs="Times New Roman"/>
                <w:color w:val="000000"/>
                <w:sz w:val="20"/>
              </w:rPr>
              <w:t>PECO acquisition cost ($/kW-year)</w:t>
            </w:r>
          </w:p>
        </w:tc>
        <w:tc>
          <w:tcPr>
            <w:tcW w:w="4680" w:type="dxa"/>
            <w:gridSpan w:val="4"/>
            <w:tcBorders>
              <w:left w:val="none" w:sz="0" w:space="0" w:color="auto"/>
            </w:tcBorders>
            <w:noWrap/>
            <w:hideMark/>
          </w:tcPr>
          <w:p w:rsidR="0032346F" w:rsidRPr="00AA641A" w:rsidRDefault="0032346F" w:rsidP="00AA641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rPr>
            </w:pPr>
            <w:r w:rsidRPr="00AA641A">
              <w:rPr>
                <w:rFonts w:ascii="Calibri" w:eastAsia="Times New Roman" w:hAnsi="Calibri" w:cs="Times New Roman"/>
                <w:b/>
                <w:bCs/>
                <w:color w:val="000000"/>
                <w:sz w:val="20"/>
              </w:rPr>
              <w:t>$74.09</w:t>
            </w:r>
          </w:p>
        </w:tc>
      </w:tr>
    </w:tbl>
    <w:p w:rsidR="0032346F" w:rsidRPr="00776CAA" w:rsidRDefault="0032346F" w:rsidP="00B43061">
      <w:pPr>
        <w:jc w:val="both"/>
        <w:rPr>
          <w:rFonts w:cs="Arial"/>
        </w:rPr>
      </w:pPr>
    </w:p>
    <w:p w:rsidR="000955BB" w:rsidRDefault="0032346F" w:rsidP="00AA641A">
      <w:pPr>
        <w:jc w:val="both"/>
        <w:rPr>
          <w:rFonts w:cs="Arial"/>
        </w:rPr>
      </w:pPr>
      <w:r>
        <w:rPr>
          <w:rFonts w:cs="Arial"/>
        </w:rPr>
        <w:t xml:space="preserve">Although attrition of customers is </w:t>
      </w:r>
      <w:r w:rsidR="000955BB">
        <w:rPr>
          <w:rFonts w:cs="Arial"/>
        </w:rPr>
        <w:t>inevitable</w:t>
      </w:r>
      <w:r>
        <w:rPr>
          <w:rFonts w:cs="Arial"/>
        </w:rPr>
        <w:t xml:space="preserve"> with a program of close to 90,000 homes, the calculations in </w:t>
      </w:r>
      <w:r w:rsidR="00610F62">
        <w:rPr>
          <w:rFonts w:cs="Arial"/>
        </w:rPr>
        <w:fldChar w:fldCharType="begin"/>
      </w:r>
      <w:r w:rsidR="00610F62">
        <w:rPr>
          <w:rFonts w:cs="Arial"/>
        </w:rPr>
        <w:instrText xml:space="preserve"> REF _Ref420426330 \h </w:instrText>
      </w:r>
      <w:r w:rsidR="00610F62">
        <w:rPr>
          <w:rFonts w:cs="Arial"/>
        </w:rPr>
      </w:r>
      <w:r w:rsidR="00610F62">
        <w:rPr>
          <w:rFonts w:cs="Arial"/>
        </w:rPr>
        <w:fldChar w:fldCharType="separate"/>
      </w:r>
      <w:r w:rsidR="00D07273">
        <w:t xml:space="preserve">Table </w:t>
      </w:r>
      <w:r w:rsidR="00D07273">
        <w:rPr>
          <w:noProof/>
        </w:rPr>
        <w:t>2</w:t>
      </w:r>
      <w:r w:rsidR="00D07273">
        <w:noBreakHyphen/>
      </w:r>
      <w:r w:rsidR="00D07273">
        <w:rPr>
          <w:noProof/>
        </w:rPr>
        <w:t>2</w:t>
      </w:r>
      <w:r w:rsidR="00610F62">
        <w:rPr>
          <w:rFonts w:cs="Arial"/>
        </w:rPr>
        <w:fldChar w:fldCharType="end"/>
      </w:r>
      <w:r w:rsidR="00610F62">
        <w:rPr>
          <w:rFonts w:cs="Arial"/>
        </w:rPr>
        <w:t xml:space="preserve"> </w:t>
      </w:r>
      <w:r>
        <w:rPr>
          <w:rFonts w:cs="Arial"/>
        </w:rPr>
        <w:t xml:space="preserve"> assume that all existing customers will remain in the program through the end of Phase III. This </w:t>
      </w:r>
      <w:r w:rsidR="000955BB">
        <w:rPr>
          <w:rFonts w:cs="Arial"/>
        </w:rPr>
        <w:t>assumption ensures that PECO will have sufficient residential DLC funds to maintain its existing infrastructure even if no customers leave the program. The kW reduction per device used in this calculation is unchanged from the DR MPS. However the SWE team reduced the annual “</w:t>
      </w:r>
      <w:r w:rsidR="000955BB" w:rsidRPr="000955BB">
        <w:rPr>
          <w:rFonts w:cs="Arial"/>
        </w:rPr>
        <w:t>Implementation, Admin</w:t>
      </w:r>
      <w:r w:rsidR="000955BB">
        <w:rPr>
          <w:rFonts w:cs="Arial"/>
        </w:rPr>
        <w:t xml:space="preserve">istration, Marketing” cost to reflect the fact that these costs are lowered significantly if new customers are not being recruited to the program. Based on PY5 actual expenditures, </w:t>
      </w:r>
      <w:r w:rsidR="000955BB">
        <w:rPr>
          <w:rFonts w:cs="Arial"/>
        </w:rPr>
        <w:lastRenderedPageBreak/>
        <w:t>the SWE team assumed an annual cost of $286,040 in 2016 for this cost category with a small escalation factor for each subsequent program year.</w:t>
      </w:r>
    </w:p>
    <w:p w:rsidR="00AA641A" w:rsidRDefault="00AA641A" w:rsidP="00AA641A">
      <w:pPr>
        <w:jc w:val="both"/>
        <w:rPr>
          <w:rFonts w:cs="Arial"/>
        </w:rPr>
      </w:pPr>
    </w:p>
    <w:p w:rsidR="000955BB" w:rsidRDefault="000955BB" w:rsidP="00AA641A">
      <w:pPr>
        <w:jc w:val="both"/>
        <w:rPr>
          <w:rFonts w:cs="Arial"/>
        </w:rPr>
      </w:pPr>
      <w:r>
        <w:rPr>
          <w:rFonts w:cs="Arial"/>
        </w:rPr>
        <w:t xml:space="preserve">It is also important to note that </w:t>
      </w:r>
      <w:r w:rsidR="00610F62">
        <w:rPr>
          <w:rFonts w:cs="Arial"/>
        </w:rPr>
        <w:fldChar w:fldCharType="begin"/>
      </w:r>
      <w:r w:rsidR="00610F62">
        <w:rPr>
          <w:rFonts w:cs="Arial"/>
        </w:rPr>
        <w:instrText xml:space="preserve"> REF _Ref420426330 \h </w:instrText>
      </w:r>
      <w:r w:rsidR="00610F62">
        <w:rPr>
          <w:rFonts w:cs="Arial"/>
        </w:rPr>
      </w:r>
      <w:r w:rsidR="00610F62">
        <w:rPr>
          <w:rFonts w:cs="Arial"/>
        </w:rPr>
        <w:fldChar w:fldCharType="separate"/>
      </w:r>
      <w:r w:rsidR="00D07273">
        <w:t xml:space="preserve">Table </w:t>
      </w:r>
      <w:r w:rsidR="00D07273">
        <w:rPr>
          <w:noProof/>
        </w:rPr>
        <w:t>2</w:t>
      </w:r>
      <w:r w:rsidR="00D07273">
        <w:noBreakHyphen/>
      </w:r>
      <w:r w:rsidR="00D07273">
        <w:rPr>
          <w:noProof/>
        </w:rPr>
        <w:t>2</w:t>
      </w:r>
      <w:r w:rsidR="00610F62">
        <w:rPr>
          <w:rFonts w:cs="Arial"/>
        </w:rPr>
        <w:fldChar w:fldCharType="end"/>
      </w:r>
      <w:r w:rsidR="00610F62">
        <w:rPr>
          <w:rFonts w:cs="Arial"/>
        </w:rPr>
        <w:t xml:space="preserve"> </w:t>
      </w:r>
      <w:r>
        <w:rPr>
          <w:rFonts w:cs="Arial"/>
        </w:rPr>
        <w:t xml:space="preserve"> includes costs for the summer of 2016 (PY8) but </w:t>
      </w:r>
      <w:r w:rsidR="00D901B3">
        <w:rPr>
          <w:rFonts w:cs="Arial"/>
        </w:rPr>
        <w:t xml:space="preserve">no </w:t>
      </w:r>
      <w:r>
        <w:rPr>
          <w:rFonts w:cs="Arial"/>
        </w:rPr>
        <w:t>peak demand reductions toward a compliance goal. This is a function of the Commission’s directive that compliance be assessed over PY9-PY12 with no performance in PY8. The SWE does not believe it is practical for PECO to suspend its residential DLC program for a year because the</w:t>
      </w:r>
      <w:r w:rsidR="00C66BF8">
        <w:rPr>
          <w:rFonts w:cs="Arial"/>
        </w:rPr>
        <w:t>re is no Act 129 performance target. Instead we expect PECO will operate the program in a similar fashion as Phase II for PY8.</w:t>
      </w:r>
    </w:p>
    <w:p w:rsidR="00AA641A" w:rsidRDefault="00AA641A" w:rsidP="00AA641A">
      <w:pPr>
        <w:jc w:val="both"/>
        <w:rPr>
          <w:rFonts w:cs="Arial"/>
        </w:rPr>
      </w:pPr>
    </w:p>
    <w:p w:rsidR="00E22A3D" w:rsidRDefault="00610F62" w:rsidP="00AA641A">
      <w:pPr>
        <w:jc w:val="both"/>
        <w:rPr>
          <w:rFonts w:cs="Arial"/>
        </w:rPr>
      </w:pPr>
      <w:r>
        <w:rPr>
          <w:rFonts w:cs="Arial"/>
        </w:rPr>
        <w:fldChar w:fldCharType="begin"/>
      </w:r>
      <w:r>
        <w:rPr>
          <w:rFonts w:cs="Arial"/>
        </w:rPr>
        <w:instrText xml:space="preserve"> REF _Ref420427435 \h </w:instrText>
      </w:r>
      <w:r>
        <w:rPr>
          <w:rFonts w:cs="Arial"/>
        </w:rPr>
      </w:r>
      <w:r>
        <w:rPr>
          <w:rFonts w:cs="Arial"/>
        </w:rPr>
        <w:fldChar w:fldCharType="separate"/>
      </w:r>
      <w:r w:rsidR="00D07273">
        <w:t xml:space="preserve">Table </w:t>
      </w:r>
      <w:r w:rsidR="00D07273">
        <w:rPr>
          <w:noProof/>
        </w:rPr>
        <w:t>2</w:t>
      </w:r>
      <w:r w:rsidR="00D07273">
        <w:noBreakHyphen/>
      </w:r>
      <w:r w:rsidR="00D07273">
        <w:rPr>
          <w:noProof/>
        </w:rPr>
        <w:t>3</w:t>
      </w:r>
      <w:r>
        <w:rPr>
          <w:rFonts w:cs="Arial"/>
        </w:rPr>
        <w:fldChar w:fldCharType="end"/>
      </w:r>
      <w:r w:rsidR="00C66BF8">
        <w:rPr>
          <w:rFonts w:cs="Arial"/>
        </w:rPr>
        <w:t xml:space="preserve"> presents a similar table for PECO’s Small Commercial DLC program. The SWE’s revised calculations (with five years of cost and four years of kW impacts) produced a very similar acquisition cost to the observed costs and impacts PECO reported for its </w:t>
      </w:r>
      <w:r w:rsidR="00E22A3D">
        <w:rPr>
          <w:rFonts w:cs="Arial"/>
        </w:rPr>
        <w:t>Smart AC Saver – Commercial Program in PY5. Consequently, the SWE carried the PY5 costs and impacts forward for Phase III and calculated the acquisition cost of $148.83 per compliance MW achieved.</w:t>
      </w:r>
    </w:p>
    <w:p w:rsidR="00AA641A" w:rsidRDefault="00AA641A" w:rsidP="00AA641A">
      <w:pPr>
        <w:jc w:val="both"/>
        <w:rPr>
          <w:rFonts w:cs="Arial"/>
        </w:rPr>
      </w:pPr>
    </w:p>
    <w:p w:rsidR="00C66BF8" w:rsidRDefault="00C66BF8" w:rsidP="00C66BF8">
      <w:pPr>
        <w:pStyle w:val="Caption"/>
        <w:keepNext/>
      </w:pPr>
      <w:bookmarkStart w:id="3" w:name="_Ref420427435"/>
      <w:r>
        <w:t xml:space="preserve">Table </w:t>
      </w:r>
      <w:r w:rsidR="002F7913">
        <w:fldChar w:fldCharType="begin"/>
      </w:r>
      <w:r w:rsidR="002F7913">
        <w:instrText xml:space="preserve"> STYLEREF 1 \s </w:instrText>
      </w:r>
      <w:r w:rsidR="002F7913">
        <w:fldChar w:fldCharType="separate"/>
      </w:r>
      <w:r w:rsidR="00BE0BFC">
        <w:rPr>
          <w:noProof/>
        </w:rPr>
        <w:t>2</w:t>
      </w:r>
      <w:r w:rsidR="002F7913">
        <w:rPr>
          <w:noProof/>
        </w:rPr>
        <w:fldChar w:fldCharType="end"/>
      </w:r>
      <w:r w:rsidR="00BE0BFC">
        <w:noBreakHyphen/>
      </w:r>
      <w:r w:rsidR="002F7913">
        <w:fldChar w:fldCharType="begin"/>
      </w:r>
      <w:r w:rsidR="002F7913">
        <w:instrText xml:space="preserve"> SEQ Table \* ARABIC \s 1 </w:instrText>
      </w:r>
      <w:r w:rsidR="002F7913">
        <w:fldChar w:fldCharType="separate"/>
      </w:r>
      <w:r w:rsidR="00BE0BFC">
        <w:rPr>
          <w:noProof/>
        </w:rPr>
        <w:t>3</w:t>
      </w:r>
      <w:r w:rsidR="002F7913">
        <w:rPr>
          <w:noProof/>
        </w:rPr>
        <w:fldChar w:fldCharType="end"/>
      </w:r>
      <w:bookmarkEnd w:id="3"/>
      <w:r>
        <w:t>: Small Commercial DLC Acquisition Cost – No New Installations</w:t>
      </w:r>
    </w:p>
    <w:tbl>
      <w:tblPr>
        <w:tblStyle w:val="MediumShading1-Accent5"/>
        <w:tblW w:w="0" w:type="auto"/>
        <w:tblInd w:w="108" w:type="dxa"/>
        <w:tblBorders>
          <w:top w:val="single" w:sz="8" w:space="0" w:color="448A99"/>
          <w:left w:val="single" w:sz="8" w:space="0" w:color="448A99"/>
          <w:bottom w:val="single" w:sz="8" w:space="0" w:color="448A99"/>
          <w:right w:val="single" w:sz="8" w:space="0" w:color="448A99"/>
          <w:insideH w:val="single" w:sz="8" w:space="0" w:color="448A99"/>
          <w:insideV w:val="single" w:sz="8" w:space="0" w:color="448A99"/>
        </w:tblBorders>
        <w:tblLayout w:type="fixed"/>
        <w:tblLook w:val="04A0" w:firstRow="1" w:lastRow="0" w:firstColumn="1" w:lastColumn="0" w:noHBand="0" w:noVBand="1"/>
      </w:tblPr>
      <w:tblGrid>
        <w:gridCol w:w="1260"/>
        <w:gridCol w:w="1368"/>
        <w:gridCol w:w="1368"/>
        <w:gridCol w:w="684"/>
        <w:gridCol w:w="684"/>
        <w:gridCol w:w="1368"/>
        <w:gridCol w:w="1368"/>
        <w:gridCol w:w="1260"/>
      </w:tblGrid>
      <w:tr w:rsidR="00C66BF8" w:rsidRPr="00AA641A" w:rsidTr="00D609B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shd w:val="clear" w:color="auto" w:fill="448A99"/>
            <w:noWrap/>
            <w:hideMark/>
          </w:tcPr>
          <w:p w:rsidR="00C66BF8" w:rsidRPr="00AA641A" w:rsidRDefault="00C66BF8" w:rsidP="00AA641A">
            <w:pPr>
              <w:rPr>
                <w:rFonts w:ascii="Calibri" w:eastAsia="Times New Roman" w:hAnsi="Calibri" w:cs="Times New Roman"/>
                <w:b w:val="0"/>
                <w:bCs w:val="0"/>
                <w:color w:val="FFFFFF"/>
                <w:sz w:val="20"/>
              </w:rPr>
            </w:pPr>
            <w:r w:rsidRPr="00AA641A">
              <w:rPr>
                <w:rFonts w:ascii="Calibri" w:eastAsia="Times New Roman" w:hAnsi="Calibri" w:cs="Times New Roman"/>
                <w:color w:val="FFFFFF"/>
                <w:sz w:val="20"/>
              </w:rPr>
              <w:t>Parameter</w:t>
            </w:r>
          </w:p>
        </w:tc>
        <w:tc>
          <w:tcPr>
            <w:tcW w:w="1368" w:type="dxa"/>
            <w:tcBorders>
              <w:top w:val="none" w:sz="0" w:space="0" w:color="auto"/>
              <w:left w:val="none" w:sz="0" w:space="0" w:color="auto"/>
              <w:bottom w:val="none" w:sz="0" w:space="0" w:color="auto"/>
              <w:right w:val="none" w:sz="0" w:space="0" w:color="auto"/>
            </w:tcBorders>
            <w:shd w:val="clear" w:color="auto" w:fill="448A99"/>
            <w:noWrap/>
            <w:hideMark/>
          </w:tcPr>
          <w:p w:rsidR="00C66BF8" w:rsidRPr="00AA641A" w:rsidRDefault="00C66BF8" w:rsidP="00AA641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sz w:val="20"/>
              </w:rPr>
            </w:pPr>
            <w:r w:rsidRPr="00AA641A">
              <w:rPr>
                <w:rFonts w:ascii="Calibri" w:eastAsia="Times New Roman" w:hAnsi="Calibri" w:cs="Times New Roman"/>
                <w:color w:val="FFFFFF"/>
                <w:sz w:val="20"/>
              </w:rPr>
              <w:t>2016</w:t>
            </w:r>
          </w:p>
        </w:tc>
        <w:tc>
          <w:tcPr>
            <w:tcW w:w="1368" w:type="dxa"/>
            <w:tcBorders>
              <w:top w:val="none" w:sz="0" w:space="0" w:color="auto"/>
              <w:left w:val="none" w:sz="0" w:space="0" w:color="auto"/>
              <w:bottom w:val="none" w:sz="0" w:space="0" w:color="auto"/>
              <w:right w:val="none" w:sz="0" w:space="0" w:color="auto"/>
            </w:tcBorders>
            <w:shd w:val="clear" w:color="auto" w:fill="448A99"/>
            <w:noWrap/>
            <w:hideMark/>
          </w:tcPr>
          <w:p w:rsidR="00C66BF8" w:rsidRPr="00AA641A" w:rsidRDefault="00C66BF8" w:rsidP="00AA641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sz w:val="20"/>
              </w:rPr>
            </w:pPr>
            <w:r w:rsidRPr="00AA641A">
              <w:rPr>
                <w:rFonts w:ascii="Calibri" w:eastAsia="Times New Roman" w:hAnsi="Calibri" w:cs="Times New Roman"/>
                <w:color w:val="FFFFFF"/>
                <w:sz w:val="20"/>
              </w:rPr>
              <w:t>2017</w:t>
            </w:r>
          </w:p>
        </w:tc>
        <w:tc>
          <w:tcPr>
            <w:tcW w:w="1368" w:type="dxa"/>
            <w:gridSpan w:val="2"/>
            <w:tcBorders>
              <w:top w:val="none" w:sz="0" w:space="0" w:color="auto"/>
              <w:left w:val="none" w:sz="0" w:space="0" w:color="auto"/>
              <w:bottom w:val="none" w:sz="0" w:space="0" w:color="auto"/>
              <w:right w:val="none" w:sz="0" w:space="0" w:color="auto"/>
            </w:tcBorders>
            <w:shd w:val="clear" w:color="auto" w:fill="448A99"/>
            <w:noWrap/>
            <w:hideMark/>
          </w:tcPr>
          <w:p w:rsidR="00C66BF8" w:rsidRPr="00AA641A" w:rsidRDefault="00C66BF8" w:rsidP="00AA641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sz w:val="20"/>
              </w:rPr>
            </w:pPr>
            <w:r w:rsidRPr="00AA641A">
              <w:rPr>
                <w:rFonts w:ascii="Calibri" w:eastAsia="Times New Roman" w:hAnsi="Calibri" w:cs="Times New Roman"/>
                <w:color w:val="FFFFFF"/>
                <w:sz w:val="20"/>
              </w:rPr>
              <w:t>2018</w:t>
            </w:r>
          </w:p>
        </w:tc>
        <w:tc>
          <w:tcPr>
            <w:tcW w:w="1368" w:type="dxa"/>
            <w:tcBorders>
              <w:top w:val="none" w:sz="0" w:space="0" w:color="auto"/>
              <w:left w:val="none" w:sz="0" w:space="0" w:color="auto"/>
              <w:bottom w:val="none" w:sz="0" w:space="0" w:color="auto"/>
              <w:right w:val="none" w:sz="0" w:space="0" w:color="auto"/>
            </w:tcBorders>
            <w:shd w:val="clear" w:color="auto" w:fill="448A99"/>
            <w:noWrap/>
            <w:hideMark/>
          </w:tcPr>
          <w:p w:rsidR="00C66BF8" w:rsidRPr="00AA641A" w:rsidRDefault="00C66BF8" w:rsidP="00AA641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sz w:val="20"/>
              </w:rPr>
            </w:pPr>
            <w:r w:rsidRPr="00AA641A">
              <w:rPr>
                <w:rFonts w:ascii="Calibri" w:eastAsia="Times New Roman" w:hAnsi="Calibri" w:cs="Times New Roman"/>
                <w:color w:val="FFFFFF"/>
                <w:sz w:val="20"/>
              </w:rPr>
              <w:t>2019</w:t>
            </w:r>
          </w:p>
        </w:tc>
        <w:tc>
          <w:tcPr>
            <w:tcW w:w="1368" w:type="dxa"/>
            <w:tcBorders>
              <w:top w:val="none" w:sz="0" w:space="0" w:color="auto"/>
              <w:left w:val="none" w:sz="0" w:space="0" w:color="auto"/>
              <w:bottom w:val="none" w:sz="0" w:space="0" w:color="auto"/>
              <w:right w:val="none" w:sz="0" w:space="0" w:color="auto"/>
            </w:tcBorders>
            <w:shd w:val="clear" w:color="auto" w:fill="448A99"/>
            <w:noWrap/>
            <w:hideMark/>
          </w:tcPr>
          <w:p w:rsidR="00C66BF8" w:rsidRPr="00AA641A" w:rsidRDefault="00C66BF8" w:rsidP="00AA641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sz w:val="20"/>
              </w:rPr>
            </w:pPr>
            <w:r w:rsidRPr="00AA641A">
              <w:rPr>
                <w:rFonts w:ascii="Calibri" w:eastAsia="Times New Roman" w:hAnsi="Calibri" w:cs="Times New Roman"/>
                <w:color w:val="FFFFFF"/>
                <w:sz w:val="20"/>
              </w:rPr>
              <w:t>2020</w:t>
            </w:r>
          </w:p>
        </w:tc>
        <w:tc>
          <w:tcPr>
            <w:tcW w:w="1260" w:type="dxa"/>
            <w:tcBorders>
              <w:top w:val="none" w:sz="0" w:space="0" w:color="auto"/>
              <w:left w:val="none" w:sz="0" w:space="0" w:color="auto"/>
              <w:bottom w:val="none" w:sz="0" w:space="0" w:color="auto"/>
              <w:right w:val="none" w:sz="0" w:space="0" w:color="auto"/>
            </w:tcBorders>
            <w:shd w:val="clear" w:color="auto" w:fill="448A99"/>
            <w:noWrap/>
            <w:hideMark/>
          </w:tcPr>
          <w:p w:rsidR="00C66BF8" w:rsidRPr="00AA641A" w:rsidRDefault="00C66BF8" w:rsidP="00AA641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sz w:val="20"/>
              </w:rPr>
            </w:pPr>
            <w:r w:rsidRPr="00AA641A">
              <w:rPr>
                <w:rFonts w:ascii="Calibri" w:eastAsia="Times New Roman" w:hAnsi="Calibri" w:cs="Times New Roman"/>
                <w:color w:val="FFFFFF"/>
                <w:sz w:val="20"/>
              </w:rPr>
              <w:t>Phase III</w:t>
            </w:r>
          </w:p>
        </w:tc>
      </w:tr>
      <w:tr w:rsidR="00C66BF8" w:rsidRPr="00AA641A" w:rsidTr="00D609B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60" w:type="dxa"/>
            <w:tcBorders>
              <w:right w:val="none" w:sz="0" w:space="0" w:color="auto"/>
            </w:tcBorders>
            <w:noWrap/>
          </w:tcPr>
          <w:p w:rsidR="00C66BF8" w:rsidRPr="00AA641A" w:rsidRDefault="00C66BF8" w:rsidP="00AA641A">
            <w:pPr>
              <w:rPr>
                <w:rFonts w:ascii="Calibri" w:eastAsia="Times New Roman" w:hAnsi="Calibri" w:cs="Times New Roman"/>
                <w:b w:val="0"/>
                <w:color w:val="000000"/>
                <w:sz w:val="20"/>
              </w:rPr>
            </w:pPr>
            <w:r w:rsidRPr="00AA641A">
              <w:rPr>
                <w:rFonts w:ascii="Calibri" w:eastAsia="Times New Roman" w:hAnsi="Calibri" w:cs="Times New Roman"/>
                <w:color w:val="000000"/>
                <w:sz w:val="20"/>
              </w:rPr>
              <w:t>EDC Costs</w:t>
            </w:r>
          </w:p>
        </w:tc>
        <w:tc>
          <w:tcPr>
            <w:tcW w:w="1368" w:type="dxa"/>
            <w:tcBorders>
              <w:left w:val="none" w:sz="0" w:space="0" w:color="auto"/>
              <w:right w:val="none" w:sz="0" w:space="0" w:color="auto"/>
            </w:tcBorders>
            <w:noWrap/>
          </w:tcPr>
          <w:p w:rsidR="00C66BF8" w:rsidRPr="00AA641A" w:rsidRDefault="00C66BF8" w:rsidP="00AA641A">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AA641A">
              <w:rPr>
                <w:rFonts w:ascii="Calibri" w:hAnsi="Calibri"/>
                <w:color w:val="000000"/>
                <w:sz w:val="20"/>
              </w:rPr>
              <w:t>$314,000</w:t>
            </w:r>
          </w:p>
        </w:tc>
        <w:tc>
          <w:tcPr>
            <w:tcW w:w="1368" w:type="dxa"/>
            <w:tcBorders>
              <w:left w:val="none" w:sz="0" w:space="0" w:color="auto"/>
              <w:right w:val="none" w:sz="0" w:space="0" w:color="auto"/>
            </w:tcBorders>
            <w:noWrap/>
          </w:tcPr>
          <w:p w:rsidR="00C66BF8" w:rsidRPr="00AA641A" w:rsidRDefault="00C66BF8" w:rsidP="00AA641A">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AA641A">
              <w:rPr>
                <w:rFonts w:ascii="Calibri" w:hAnsi="Calibri"/>
                <w:color w:val="000000"/>
                <w:sz w:val="20"/>
              </w:rPr>
              <w:t>$317,696.45</w:t>
            </w:r>
          </w:p>
        </w:tc>
        <w:tc>
          <w:tcPr>
            <w:tcW w:w="1368" w:type="dxa"/>
            <w:gridSpan w:val="2"/>
            <w:tcBorders>
              <w:left w:val="none" w:sz="0" w:space="0" w:color="auto"/>
              <w:right w:val="none" w:sz="0" w:space="0" w:color="auto"/>
            </w:tcBorders>
            <w:noWrap/>
          </w:tcPr>
          <w:p w:rsidR="00C66BF8" w:rsidRPr="00AA641A" w:rsidRDefault="00C66BF8" w:rsidP="00AA641A">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AA641A">
              <w:rPr>
                <w:rFonts w:ascii="Calibri" w:hAnsi="Calibri"/>
                <w:color w:val="000000"/>
                <w:sz w:val="20"/>
              </w:rPr>
              <w:t>$321,436.42</w:t>
            </w:r>
          </w:p>
        </w:tc>
        <w:tc>
          <w:tcPr>
            <w:tcW w:w="1368" w:type="dxa"/>
            <w:tcBorders>
              <w:left w:val="none" w:sz="0" w:space="0" w:color="auto"/>
              <w:right w:val="none" w:sz="0" w:space="0" w:color="auto"/>
            </w:tcBorders>
            <w:noWrap/>
          </w:tcPr>
          <w:p w:rsidR="00C66BF8" w:rsidRPr="00AA641A" w:rsidRDefault="00C66BF8" w:rsidP="00AA641A">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AA641A">
              <w:rPr>
                <w:rFonts w:ascii="Calibri" w:hAnsi="Calibri"/>
                <w:color w:val="000000"/>
                <w:sz w:val="20"/>
              </w:rPr>
              <w:t>$325,220.41</w:t>
            </w:r>
          </w:p>
        </w:tc>
        <w:tc>
          <w:tcPr>
            <w:tcW w:w="1368" w:type="dxa"/>
            <w:tcBorders>
              <w:left w:val="none" w:sz="0" w:space="0" w:color="auto"/>
              <w:right w:val="none" w:sz="0" w:space="0" w:color="auto"/>
            </w:tcBorders>
            <w:noWrap/>
          </w:tcPr>
          <w:p w:rsidR="00C66BF8" w:rsidRPr="00AA641A" w:rsidRDefault="00C66BF8" w:rsidP="00AA641A">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AA641A">
              <w:rPr>
                <w:rFonts w:ascii="Calibri" w:hAnsi="Calibri"/>
                <w:color w:val="000000"/>
                <w:sz w:val="20"/>
              </w:rPr>
              <w:t>$329,048.95</w:t>
            </w:r>
          </w:p>
        </w:tc>
        <w:tc>
          <w:tcPr>
            <w:tcW w:w="1260" w:type="dxa"/>
            <w:tcBorders>
              <w:left w:val="none" w:sz="0" w:space="0" w:color="auto"/>
            </w:tcBorders>
            <w:noWrap/>
          </w:tcPr>
          <w:p w:rsidR="00C66BF8" w:rsidRPr="00AA641A" w:rsidRDefault="00C66BF8" w:rsidP="00AA641A">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rPr>
            </w:pPr>
            <w:r w:rsidRPr="00AA641A">
              <w:rPr>
                <w:rFonts w:ascii="Calibri" w:hAnsi="Calibri"/>
                <w:b/>
                <w:bCs/>
                <w:color w:val="000000"/>
                <w:sz w:val="20"/>
              </w:rPr>
              <w:t>$1,607,402</w:t>
            </w:r>
          </w:p>
        </w:tc>
      </w:tr>
      <w:tr w:rsidR="00C66BF8" w:rsidRPr="00AA641A" w:rsidTr="00D609BF">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60" w:type="dxa"/>
            <w:tcBorders>
              <w:right w:val="none" w:sz="0" w:space="0" w:color="auto"/>
            </w:tcBorders>
            <w:noWrap/>
          </w:tcPr>
          <w:p w:rsidR="00C66BF8" w:rsidRPr="00AA641A" w:rsidRDefault="00C66BF8" w:rsidP="00AA641A">
            <w:pPr>
              <w:rPr>
                <w:rFonts w:ascii="Calibri" w:eastAsia="Times New Roman" w:hAnsi="Calibri" w:cs="Times New Roman"/>
                <w:b w:val="0"/>
                <w:color w:val="000000"/>
                <w:sz w:val="20"/>
              </w:rPr>
            </w:pPr>
            <w:r w:rsidRPr="00AA641A">
              <w:rPr>
                <w:rFonts w:ascii="Calibri" w:eastAsia="Times New Roman" w:hAnsi="Calibri" w:cs="Times New Roman"/>
                <w:color w:val="000000"/>
                <w:sz w:val="20"/>
              </w:rPr>
              <w:t>Compliance kW Impact</w:t>
            </w:r>
          </w:p>
        </w:tc>
        <w:tc>
          <w:tcPr>
            <w:tcW w:w="1368" w:type="dxa"/>
            <w:tcBorders>
              <w:left w:val="none" w:sz="0" w:space="0" w:color="auto"/>
              <w:right w:val="none" w:sz="0" w:space="0" w:color="auto"/>
            </w:tcBorders>
            <w:noWrap/>
          </w:tcPr>
          <w:p w:rsidR="00C66BF8" w:rsidRPr="00AA641A" w:rsidRDefault="00C66BF8" w:rsidP="00AA641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0</w:t>
            </w:r>
          </w:p>
        </w:tc>
        <w:tc>
          <w:tcPr>
            <w:tcW w:w="1368" w:type="dxa"/>
            <w:tcBorders>
              <w:left w:val="none" w:sz="0" w:space="0" w:color="auto"/>
              <w:right w:val="none" w:sz="0" w:space="0" w:color="auto"/>
            </w:tcBorders>
            <w:noWrap/>
          </w:tcPr>
          <w:p w:rsidR="00C66BF8" w:rsidRPr="00AA641A" w:rsidRDefault="00C66BF8" w:rsidP="00AA641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2,700</w:t>
            </w:r>
          </w:p>
        </w:tc>
        <w:tc>
          <w:tcPr>
            <w:tcW w:w="1368" w:type="dxa"/>
            <w:gridSpan w:val="2"/>
            <w:tcBorders>
              <w:left w:val="none" w:sz="0" w:space="0" w:color="auto"/>
              <w:right w:val="none" w:sz="0" w:space="0" w:color="auto"/>
            </w:tcBorders>
            <w:noWrap/>
          </w:tcPr>
          <w:p w:rsidR="00C66BF8" w:rsidRPr="00AA641A" w:rsidRDefault="00C66BF8" w:rsidP="00AA641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2,700</w:t>
            </w:r>
          </w:p>
        </w:tc>
        <w:tc>
          <w:tcPr>
            <w:tcW w:w="1368" w:type="dxa"/>
            <w:tcBorders>
              <w:left w:val="none" w:sz="0" w:space="0" w:color="auto"/>
              <w:right w:val="none" w:sz="0" w:space="0" w:color="auto"/>
            </w:tcBorders>
            <w:noWrap/>
          </w:tcPr>
          <w:p w:rsidR="00C66BF8" w:rsidRPr="00AA641A" w:rsidRDefault="00C66BF8" w:rsidP="00AA641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2,700</w:t>
            </w:r>
          </w:p>
        </w:tc>
        <w:tc>
          <w:tcPr>
            <w:tcW w:w="1368" w:type="dxa"/>
            <w:tcBorders>
              <w:left w:val="none" w:sz="0" w:space="0" w:color="auto"/>
              <w:right w:val="none" w:sz="0" w:space="0" w:color="auto"/>
            </w:tcBorders>
            <w:noWrap/>
          </w:tcPr>
          <w:p w:rsidR="00C66BF8" w:rsidRPr="00AA641A" w:rsidRDefault="00C66BF8" w:rsidP="00AA641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2,700</w:t>
            </w:r>
          </w:p>
        </w:tc>
        <w:tc>
          <w:tcPr>
            <w:tcW w:w="1260" w:type="dxa"/>
            <w:tcBorders>
              <w:left w:val="none" w:sz="0" w:space="0" w:color="auto"/>
            </w:tcBorders>
            <w:noWrap/>
          </w:tcPr>
          <w:p w:rsidR="00C66BF8" w:rsidRPr="00AA641A" w:rsidRDefault="00C66BF8" w:rsidP="00AA641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sz w:val="20"/>
              </w:rPr>
            </w:pPr>
            <w:r w:rsidRPr="00AA641A">
              <w:rPr>
                <w:rFonts w:ascii="Calibri" w:eastAsia="Times New Roman" w:hAnsi="Calibri" w:cs="Times New Roman"/>
                <w:b/>
                <w:bCs/>
                <w:color w:val="000000"/>
                <w:sz w:val="20"/>
              </w:rPr>
              <w:t>10,800</w:t>
            </w:r>
          </w:p>
        </w:tc>
      </w:tr>
      <w:tr w:rsidR="00C66BF8" w:rsidRPr="00AA641A" w:rsidTr="00D609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80" w:type="dxa"/>
            <w:gridSpan w:val="4"/>
            <w:tcBorders>
              <w:right w:val="none" w:sz="0" w:space="0" w:color="auto"/>
            </w:tcBorders>
            <w:noWrap/>
            <w:hideMark/>
          </w:tcPr>
          <w:p w:rsidR="00C66BF8" w:rsidRPr="00AA641A" w:rsidRDefault="00C66BF8" w:rsidP="00AA641A">
            <w:pPr>
              <w:jc w:val="center"/>
              <w:rPr>
                <w:rFonts w:ascii="Calibri" w:eastAsia="Times New Roman" w:hAnsi="Calibri" w:cs="Times New Roman"/>
                <w:b w:val="0"/>
                <w:bCs w:val="0"/>
                <w:color w:val="000000"/>
                <w:sz w:val="20"/>
              </w:rPr>
            </w:pPr>
            <w:r w:rsidRPr="00AA641A">
              <w:rPr>
                <w:rFonts w:ascii="Calibri" w:eastAsia="Times New Roman" w:hAnsi="Calibri" w:cs="Times New Roman"/>
                <w:color w:val="000000"/>
                <w:sz w:val="20"/>
              </w:rPr>
              <w:t>PECO acquisition cost ($/kW-year)</w:t>
            </w:r>
          </w:p>
        </w:tc>
        <w:tc>
          <w:tcPr>
            <w:tcW w:w="4680" w:type="dxa"/>
            <w:gridSpan w:val="4"/>
            <w:tcBorders>
              <w:left w:val="none" w:sz="0" w:space="0" w:color="auto"/>
            </w:tcBorders>
            <w:noWrap/>
            <w:hideMark/>
          </w:tcPr>
          <w:p w:rsidR="00C66BF8" w:rsidRPr="00AA641A" w:rsidRDefault="00C66BF8" w:rsidP="00AA641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rPr>
            </w:pPr>
            <w:r w:rsidRPr="00AA641A">
              <w:rPr>
                <w:rFonts w:ascii="Calibri" w:eastAsia="Times New Roman" w:hAnsi="Calibri" w:cs="Times New Roman"/>
                <w:b/>
                <w:bCs/>
                <w:color w:val="000000"/>
                <w:sz w:val="20"/>
              </w:rPr>
              <w:t>$</w:t>
            </w:r>
            <w:r w:rsidR="00E22A3D" w:rsidRPr="00AA641A">
              <w:rPr>
                <w:rFonts w:ascii="Calibri" w:eastAsia="Times New Roman" w:hAnsi="Calibri" w:cs="Times New Roman"/>
                <w:b/>
                <w:bCs/>
                <w:color w:val="000000"/>
                <w:sz w:val="20"/>
              </w:rPr>
              <w:t>148.83</w:t>
            </w:r>
          </w:p>
        </w:tc>
      </w:tr>
    </w:tbl>
    <w:p w:rsidR="000955BB" w:rsidRPr="00AA641A" w:rsidRDefault="000955BB" w:rsidP="00AA641A"/>
    <w:p w:rsidR="00E22A3D" w:rsidRDefault="00E22A3D" w:rsidP="00AA641A">
      <w:pPr>
        <w:jc w:val="both"/>
      </w:pPr>
      <w:r>
        <w:rPr>
          <w:rFonts w:cs="Arial"/>
        </w:rPr>
        <w:t xml:space="preserve">Using the revised EDC costs from </w:t>
      </w:r>
      <w:r w:rsidR="00610F62">
        <w:rPr>
          <w:rFonts w:cs="Arial"/>
        </w:rPr>
        <w:fldChar w:fldCharType="begin"/>
      </w:r>
      <w:r w:rsidR="00610F62">
        <w:rPr>
          <w:rFonts w:cs="Arial"/>
        </w:rPr>
        <w:instrText xml:space="preserve"> REF _Ref420426330 \h </w:instrText>
      </w:r>
      <w:r w:rsidR="00610F62">
        <w:rPr>
          <w:rFonts w:cs="Arial"/>
        </w:rPr>
      </w:r>
      <w:r w:rsidR="00610F62">
        <w:rPr>
          <w:rFonts w:cs="Arial"/>
        </w:rPr>
        <w:fldChar w:fldCharType="separate"/>
      </w:r>
      <w:r w:rsidR="00D07273">
        <w:t xml:space="preserve">Table </w:t>
      </w:r>
      <w:r w:rsidR="00D07273">
        <w:rPr>
          <w:noProof/>
        </w:rPr>
        <w:t>2</w:t>
      </w:r>
      <w:r w:rsidR="00D07273">
        <w:noBreakHyphen/>
      </w:r>
      <w:r w:rsidR="00D07273">
        <w:rPr>
          <w:noProof/>
        </w:rPr>
        <w:t>2</w:t>
      </w:r>
      <w:r w:rsidR="00610F62">
        <w:rPr>
          <w:rFonts w:cs="Arial"/>
        </w:rPr>
        <w:fldChar w:fldCharType="end"/>
      </w:r>
      <w:r w:rsidR="00610F62">
        <w:rPr>
          <w:rFonts w:cs="Arial"/>
        </w:rPr>
        <w:t xml:space="preserve"> </w:t>
      </w:r>
      <w:r>
        <w:rPr>
          <w:rFonts w:cs="Arial"/>
        </w:rPr>
        <w:t xml:space="preserve"> and </w:t>
      </w:r>
      <w:r w:rsidR="00610F62">
        <w:rPr>
          <w:rFonts w:cs="Arial"/>
        </w:rPr>
        <w:fldChar w:fldCharType="begin"/>
      </w:r>
      <w:r w:rsidR="00610F62">
        <w:rPr>
          <w:rFonts w:cs="Arial"/>
        </w:rPr>
        <w:instrText xml:space="preserve"> REF _Ref420427435 \h </w:instrText>
      </w:r>
      <w:r w:rsidR="00610F62">
        <w:rPr>
          <w:rFonts w:cs="Arial"/>
        </w:rPr>
      </w:r>
      <w:r w:rsidR="00610F62">
        <w:rPr>
          <w:rFonts w:cs="Arial"/>
        </w:rPr>
        <w:fldChar w:fldCharType="separate"/>
      </w:r>
      <w:r w:rsidR="00D07273">
        <w:t xml:space="preserve">Table </w:t>
      </w:r>
      <w:r w:rsidR="00D07273">
        <w:rPr>
          <w:noProof/>
        </w:rPr>
        <w:t>2</w:t>
      </w:r>
      <w:r w:rsidR="00D07273">
        <w:noBreakHyphen/>
      </w:r>
      <w:r w:rsidR="00D07273">
        <w:rPr>
          <w:noProof/>
        </w:rPr>
        <w:t>3</w:t>
      </w:r>
      <w:r w:rsidR="00610F62">
        <w:rPr>
          <w:rFonts w:cs="Arial"/>
        </w:rPr>
        <w:fldChar w:fldCharType="end"/>
      </w:r>
      <w:r w:rsidR="00C8720A">
        <w:rPr>
          <w:rFonts w:cs="Arial"/>
        </w:rPr>
        <w:t xml:space="preserve"> and P</w:t>
      </w:r>
      <w:r w:rsidR="006B442A">
        <w:rPr>
          <w:rFonts w:cs="Arial"/>
        </w:rPr>
        <w:t xml:space="preserve">ECO’s Phase III DR </w:t>
      </w:r>
      <w:proofErr w:type="gramStart"/>
      <w:r>
        <w:rPr>
          <w:rFonts w:cs="Arial"/>
        </w:rPr>
        <w:t>budget</w:t>
      </w:r>
      <w:proofErr w:type="gramEnd"/>
      <w:r>
        <w:rPr>
          <w:rFonts w:cs="Arial"/>
        </w:rPr>
        <w:t xml:space="preserve"> allocation of</w:t>
      </w:r>
      <w:r w:rsidRPr="00E22A3D">
        <w:rPr>
          <w:rFonts w:cs="Arial"/>
        </w:rPr>
        <w:t xml:space="preserve"> $42,697,579</w:t>
      </w:r>
      <w:r>
        <w:rPr>
          <w:rFonts w:cs="Arial"/>
        </w:rPr>
        <w:t xml:space="preserve">, </w:t>
      </w:r>
      <w:r w:rsidR="00C8720A">
        <w:rPr>
          <w:rFonts w:cs="Arial"/>
        </w:rPr>
        <w:t>the SWE calculated a remaining Phase III budget of $22.376 million for C&amp;I Load Curtailment. Using the</w:t>
      </w:r>
      <w:r>
        <w:rPr>
          <w:rFonts w:cs="Arial"/>
        </w:rPr>
        <w:t xml:space="preserve"> Load Curtailment acquisition cost </w:t>
      </w:r>
      <w:r w:rsidR="00C8720A">
        <w:rPr>
          <w:rFonts w:cs="Arial"/>
        </w:rPr>
        <w:t xml:space="preserve">of $58,893/MW-year </w:t>
      </w:r>
      <w:r>
        <w:rPr>
          <w:rFonts w:cs="Arial"/>
        </w:rPr>
        <w:t xml:space="preserve">from the DR MPS, the </w:t>
      </w:r>
      <w:r w:rsidRPr="00AA641A">
        <w:t xml:space="preserve">SWE calculated a revised DR target </w:t>
      </w:r>
      <w:r w:rsidRPr="006B442A">
        <w:t xml:space="preserve">of </w:t>
      </w:r>
      <w:r w:rsidR="006B442A" w:rsidRPr="006B442A">
        <w:t>161</w:t>
      </w:r>
      <w:r w:rsidRPr="006B442A">
        <w:t xml:space="preserve"> MW</w:t>
      </w:r>
      <w:r w:rsidRPr="00AA641A">
        <w:t xml:space="preserve"> for PECO. The calculations are shown below in </w:t>
      </w:r>
      <w:r w:rsidR="00610F62" w:rsidRPr="00AA641A">
        <w:fldChar w:fldCharType="begin"/>
      </w:r>
      <w:r w:rsidR="00610F62" w:rsidRPr="00AA641A">
        <w:instrText xml:space="preserve"> REF _Ref420428228 \h </w:instrText>
      </w:r>
      <w:r w:rsidR="00610F62" w:rsidRPr="00AA641A">
        <w:fldChar w:fldCharType="separate"/>
      </w:r>
      <w:r w:rsidR="00D07273">
        <w:t xml:space="preserve">Table </w:t>
      </w:r>
      <w:r w:rsidR="00D07273">
        <w:rPr>
          <w:noProof/>
        </w:rPr>
        <w:t>2</w:t>
      </w:r>
      <w:r w:rsidR="00D07273">
        <w:noBreakHyphen/>
      </w:r>
      <w:r w:rsidR="00D07273">
        <w:rPr>
          <w:noProof/>
        </w:rPr>
        <w:t>4</w:t>
      </w:r>
      <w:r w:rsidR="00610F62" w:rsidRPr="00AA641A">
        <w:fldChar w:fldCharType="end"/>
      </w:r>
      <w:r w:rsidRPr="00AA641A">
        <w:t xml:space="preserve">. </w:t>
      </w:r>
    </w:p>
    <w:p w:rsidR="00D609BF" w:rsidRPr="00AA641A" w:rsidRDefault="00D609BF" w:rsidP="00AA641A">
      <w:pPr>
        <w:jc w:val="both"/>
      </w:pPr>
    </w:p>
    <w:p w:rsidR="00E22A3D" w:rsidRDefault="00E22A3D" w:rsidP="00E22A3D">
      <w:pPr>
        <w:pStyle w:val="Caption"/>
        <w:keepNext/>
      </w:pPr>
      <w:bookmarkStart w:id="4" w:name="_Ref420428228"/>
      <w:r>
        <w:t xml:space="preserve">Table </w:t>
      </w:r>
      <w:r w:rsidR="002F7913">
        <w:fldChar w:fldCharType="begin"/>
      </w:r>
      <w:r w:rsidR="002F7913">
        <w:instrText xml:space="preserve"> STYLEREF 1 \s </w:instrText>
      </w:r>
      <w:r w:rsidR="002F7913">
        <w:fldChar w:fldCharType="separate"/>
      </w:r>
      <w:r w:rsidR="00BE0BFC">
        <w:rPr>
          <w:noProof/>
        </w:rPr>
        <w:t>2</w:t>
      </w:r>
      <w:r w:rsidR="002F7913">
        <w:rPr>
          <w:noProof/>
        </w:rPr>
        <w:fldChar w:fldCharType="end"/>
      </w:r>
      <w:r w:rsidR="00BE0BFC">
        <w:noBreakHyphen/>
      </w:r>
      <w:r w:rsidR="002F7913">
        <w:fldChar w:fldCharType="begin"/>
      </w:r>
      <w:r w:rsidR="002F7913">
        <w:instrText xml:space="preserve"> SEQ Table \* ARABIC \s 1 </w:instrText>
      </w:r>
      <w:r w:rsidR="002F7913">
        <w:fldChar w:fldCharType="separate"/>
      </w:r>
      <w:r w:rsidR="00BE0BFC">
        <w:rPr>
          <w:noProof/>
        </w:rPr>
        <w:t>4</w:t>
      </w:r>
      <w:r w:rsidR="002F7913">
        <w:rPr>
          <w:noProof/>
        </w:rPr>
        <w:fldChar w:fldCharType="end"/>
      </w:r>
      <w:bookmarkEnd w:id="4"/>
      <w:r>
        <w:t>: Updated PECO Phase III DR Target</w:t>
      </w:r>
    </w:p>
    <w:tbl>
      <w:tblPr>
        <w:tblStyle w:val="MediumShading1-Accent5"/>
        <w:tblW w:w="0" w:type="auto"/>
        <w:tblInd w:w="108" w:type="dxa"/>
        <w:tblBorders>
          <w:top w:val="single" w:sz="8" w:space="0" w:color="448A99"/>
          <w:left w:val="single" w:sz="8" w:space="0" w:color="448A99"/>
          <w:bottom w:val="single" w:sz="8" w:space="0" w:color="448A99"/>
          <w:right w:val="single" w:sz="8" w:space="0" w:color="448A99"/>
          <w:insideH w:val="single" w:sz="8" w:space="0" w:color="448A99"/>
          <w:insideV w:val="single" w:sz="8" w:space="0" w:color="448A99"/>
        </w:tblBorders>
        <w:tblLook w:val="04A0" w:firstRow="1" w:lastRow="0" w:firstColumn="1" w:lastColumn="0" w:noHBand="0" w:noVBand="1"/>
      </w:tblPr>
      <w:tblGrid>
        <w:gridCol w:w="4832"/>
        <w:gridCol w:w="2188"/>
        <w:gridCol w:w="2340"/>
      </w:tblGrid>
      <w:tr w:rsidR="00E22A3D" w:rsidRPr="00AA641A" w:rsidTr="00AA641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32" w:type="dxa"/>
            <w:tcBorders>
              <w:top w:val="none" w:sz="0" w:space="0" w:color="auto"/>
              <w:left w:val="none" w:sz="0" w:space="0" w:color="auto"/>
              <w:bottom w:val="none" w:sz="0" w:space="0" w:color="auto"/>
              <w:right w:val="none" w:sz="0" w:space="0" w:color="auto"/>
            </w:tcBorders>
            <w:shd w:val="clear" w:color="auto" w:fill="448A99"/>
            <w:noWrap/>
            <w:hideMark/>
          </w:tcPr>
          <w:p w:rsidR="00E22A3D" w:rsidRPr="00AA641A" w:rsidRDefault="00E22A3D" w:rsidP="00AA641A">
            <w:pPr>
              <w:rPr>
                <w:rFonts w:ascii="Calibri" w:eastAsia="Times New Roman" w:hAnsi="Calibri" w:cs="Times New Roman"/>
                <w:b w:val="0"/>
                <w:bCs w:val="0"/>
                <w:color w:val="FFFFFF"/>
                <w:sz w:val="20"/>
              </w:rPr>
            </w:pPr>
            <w:r w:rsidRPr="00AA641A">
              <w:rPr>
                <w:rFonts w:ascii="Calibri" w:eastAsia="Times New Roman" w:hAnsi="Calibri" w:cs="Times New Roman"/>
                <w:color w:val="FFFFFF"/>
                <w:sz w:val="20"/>
              </w:rPr>
              <w:t>Parameter</w:t>
            </w:r>
          </w:p>
        </w:tc>
        <w:tc>
          <w:tcPr>
            <w:tcW w:w="2188" w:type="dxa"/>
            <w:tcBorders>
              <w:top w:val="none" w:sz="0" w:space="0" w:color="auto"/>
              <w:left w:val="none" w:sz="0" w:space="0" w:color="auto"/>
              <w:bottom w:val="none" w:sz="0" w:space="0" w:color="auto"/>
              <w:right w:val="none" w:sz="0" w:space="0" w:color="auto"/>
            </w:tcBorders>
            <w:shd w:val="clear" w:color="auto" w:fill="448A99"/>
            <w:noWrap/>
            <w:hideMark/>
          </w:tcPr>
          <w:p w:rsidR="00E22A3D" w:rsidRPr="00AA641A" w:rsidRDefault="00E22A3D" w:rsidP="00AA641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sz w:val="20"/>
              </w:rPr>
            </w:pPr>
            <w:r w:rsidRPr="00AA641A">
              <w:rPr>
                <w:rFonts w:ascii="Calibri" w:eastAsia="Times New Roman" w:hAnsi="Calibri" w:cs="Times New Roman"/>
                <w:color w:val="FFFFFF"/>
                <w:sz w:val="20"/>
              </w:rPr>
              <w:t>Phase III Spend</w:t>
            </w:r>
          </w:p>
        </w:tc>
        <w:tc>
          <w:tcPr>
            <w:tcW w:w="2340" w:type="dxa"/>
            <w:tcBorders>
              <w:top w:val="none" w:sz="0" w:space="0" w:color="auto"/>
              <w:left w:val="none" w:sz="0" w:space="0" w:color="auto"/>
              <w:bottom w:val="none" w:sz="0" w:space="0" w:color="auto"/>
              <w:right w:val="none" w:sz="0" w:space="0" w:color="auto"/>
            </w:tcBorders>
            <w:shd w:val="clear" w:color="auto" w:fill="448A99"/>
            <w:noWrap/>
            <w:hideMark/>
          </w:tcPr>
          <w:p w:rsidR="00E22A3D" w:rsidRPr="00AA641A" w:rsidRDefault="00E22A3D" w:rsidP="00AA641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sz w:val="20"/>
              </w:rPr>
            </w:pPr>
            <w:r w:rsidRPr="00AA641A">
              <w:rPr>
                <w:rFonts w:ascii="Calibri" w:eastAsia="Times New Roman" w:hAnsi="Calibri" w:cs="Times New Roman"/>
                <w:color w:val="FFFFFF"/>
                <w:sz w:val="20"/>
              </w:rPr>
              <w:t>Compliance MW</w:t>
            </w:r>
          </w:p>
        </w:tc>
      </w:tr>
      <w:tr w:rsidR="00E22A3D" w:rsidRPr="00AA641A" w:rsidTr="007454CD">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4832" w:type="dxa"/>
            <w:tcBorders>
              <w:right w:val="none" w:sz="0" w:space="0" w:color="auto"/>
            </w:tcBorders>
            <w:noWrap/>
            <w:hideMark/>
          </w:tcPr>
          <w:p w:rsidR="00E22A3D" w:rsidRPr="00AA641A" w:rsidRDefault="00E22A3D" w:rsidP="00AA641A">
            <w:pPr>
              <w:rPr>
                <w:rFonts w:ascii="Calibri" w:eastAsia="Times New Roman" w:hAnsi="Calibri" w:cs="Times New Roman"/>
                <w:color w:val="000000"/>
                <w:sz w:val="20"/>
              </w:rPr>
            </w:pPr>
            <w:r w:rsidRPr="00AA641A">
              <w:rPr>
                <w:rFonts w:ascii="Calibri" w:eastAsia="Times New Roman" w:hAnsi="Calibri" w:cs="Times New Roman"/>
                <w:color w:val="000000"/>
                <w:sz w:val="20"/>
              </w:rPr>
              <w:t>PECO Phase III DR Budget</w:t>
            </w:r>
          </w:p>
        </w:tc>
        <w:tc>
          <w:tcPr>
            <w:tcW w:w="2188" w:type="dxa"/>
            <w:tcBorders>
              <w:left w:val="none" w:sz="0" w:space="0" w:color="auto"/>
              <w:right w:val="none" w:sz="0" w:space="0" w:color="auto"/>
            </w:tcBorders>
            <w:noWrap/>
            <w:hideMark/>
          </w:tcPr>
          <w:p w:rsidR="00E22A3D" w:rsidRPr="00AA641A" w:rsidRDefault="00E22A3D" w:rsidP="00AA641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        42,697,579</w:t>
            </w:r>
          </w:p>
        </w:tc>
        <w:tc>
          <w:tcPr>
            <w:tcW w:w="2340" w:type="dxa"/>
            <w:tcBorders>
              <w:left w:val="none" w:sz="0" w:space="0" w:color="auto"/>
            </w:tcBorders>
            <w:noWrap/>
            <w:hideMark/>
          </w:tcPr>
          <w:p w:rsidR="00E22A3D" w:rsidRPr="00AA641A" w:rsidRDefault="00E22A3D" w:rsidP="00AA641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rPr>
            </w:pPr>
            <w:r w:rsidRPr="00AA641A">
              <w:rPr>
                <w:rFonts w:ascii="Calibri" w:eastAsia="Times New Roman" w:hAnsi="Calibri" w:cs="Times New Roman"/>
                <w:b/>
                <w:bCs/>
                <w:sz w:val="20"/>
              </w:rPr>
              <w:t>Not Applicable</w:t>
            </w:r>
          </w:p>
        </w:tc>
      </w:tr>
      <w:tr w:rsidR="00E22A3D" w:rsidRPr="00AA641A" w:rsidTr="007454CD">
        <w:trPr>
          <w:cnfStyle w:val="000000010000" w:firstRow="0" w:lastRow="0" w:firstColumn="0" w:lastColumn="0" w:oddVBand="0" w:evenVBand="0" w:oddHBand="0" w:evenHBand="1"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4832" w:type="dxa"/>
            <w:tcBorders>
              <w:right w:val="none" w:sz="0" w:space="0" w:color="auto"/>
            </w:tcBorders>
            <w:noWrap/>
            <w:hideMark/>
          </w:tcPr>
          <w:p w:rsidR="00E22A3D" w:rsidRPr="00AA641A" w:rsidRDefault="00E22A3D" w:rsidP="00AA641A">
            <w:pPr>
              <w:rPr>
                <w:rFonts w:ascii="Calibri" w:eastAsia="Times New Roman" w:hAnsi="Calibri" w:cs="Times New Roman"/>
                <w:color w:val="000000"/>
                <w:sz w:val="20"/>
              </w:rPr>
            </w:pPr>
            <w:r w:rsidRPr="00AA641A">
              <w:rPr>
                <w:rFonts w:ascii="Calibri" w:eastAsia="Times New Roman" w:hAnsi="Calibri" w:cs="Times New Roman"/>
                <w:color w:val="000000"/>
                <w:sz w:val="20"/>
              </w:rPr>
              <w:t>Residential DLC</w:t>
            </w:r>
          </w:p>
        </w:tc>
        <w:tc>
          <w:tcPr>
            <w:tcW w:w="2188" w:type="dxa"/>
            <w:tcBorders>
              <w:left w:val="none" w:sz="0" w:space="0" w:color="auto"/>
              <w:right w:val="none" w:sz="0" w:space="0" w:color="auto"/>
            </w:tcBorders>
            <w:noWrap/>
            <w:hideMark/>
          </w:tcPr>
          <w:p w:rsidR="00E22A3D" w:rsidRPr="00AA641A" w:rsidRDefault="00E22A3D" w:rsidP="00AA641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        18,714,192</w:t>
            </w:r>
          </w:p>
        </w:tc>
        <w:tc>
          <w:tcPr>
            <w:tcW w:w="2340" w:type="dxa"/>
            <w:tcBorders>
              <w:left w:val="none" w:sz="0" w:space="0" w:color="auto"/>
            </w:tcBorders>
            <w:noWrap/>
            <w:hideMark/>
          </w:tcPr>
          <w:p w:rsidR="00E22A3D" w:rsidRPr="00AA641A" w:rsidRDefault="00E22A3D" w:rsidP="00AA641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63.1</w:t>
            </w:r>
          </w:p>
        </w:tc>
      </w:tr>
      <w:tr w:rsidR="00E22A3D" w:rsidRPr="00AA641A" w:rsidTr="007454CD">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4832" w:type="dxa"/>
            <w:tcBorders>
              <w:right w:val="none" w:sz="0" w:space="0" w:color="auto"/>
            </w:tcBorders>
            <w:noWrap/>
            <w:hideMark/>
          </w:tcPr>
          <w:p w:rsidR="00E22A3D" w:rsidRPr="00AA641A" w:rsidRDefault="00E22A3D" w:rsidP="00AA641A">
            <w:pPr>
              <w:rPr>
                <w:rFonts w:ascii="Calibri" w:eastAsia="Times New Roman" w:hAnsi="Calibri" w:cs="Times New Roman"/>
                <w:color w:val="000000"/>
                <w:sz w:val="20"/>
              </w:rPr>
            </w:pPr>
            <w:r w:rsidRPr="00AA641A">
              <w:rPr>
                <w:rFonts w:ascii="Calibri" w:eastAsia="Times New Roman" w:hAnsi="Calibri" w:cs="Times New Roman"/>
                <w:color w:val="000000"/>
                <w:sz w:val="20"/>
              </w:rPr>
              <w:t xml:space="preserve">Commercial DLC Spend </w:t>
            </w:r>
          </w:p>
        </w:tc>
        <w:tc>
          <w:tcPr>
            <w:tcW w:w="2188" w:type="dxa"/>
            <w:tcBorders>
              <w:left w:val="none" w:sz="0" w:space="0" w:color="auto"/>
              <w:right w:val="none" w:sz="0" w:space="0" w:color="auto"/>
            </w:tcBorders>
            <w:noWrap/>
            <w:hideMark/>
          </w:tcPr>
          <w:p w:rsidR="00E22A3D" w:rsidRPr="00AA641A" w:rsidRDefault="00E22A3D" w:rsidP="00AA641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          1,607,402</w:t>
            </w:r>
          </w:p>
        </w:tc>
        <w:tc>
          <w:tcPr>
            <w:tcW w:w="2340" w:type="dxa"/>
            <w:tcBorders>
              <w:left w:val="none" w:sz="0" w:space="0" w:color="auto"/>
            </w:tcBorders>
            <w:noWrap/>
            <w:hideMark/>
          </w:tcPr>
          <w:p w:rsidR="00E22A3D" w:rsidRPr="00AA641A" w:rsidRDefault="00E22A3D" w:rsidP="00AA641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2.7</w:t>
            </w:r>
          </w:p>
        </w:tc>
      </w:tr>
      <w:tr w:rsidR="00E22A3D" w:rsidRPr="00AA641A" w:rsidTr="007454CD">
        <w:trPr>
          <w:cnfStyle w:val="000000010000" w:firstRow="0" w:lastRow="0" w:firstColumn="0" w:lastColumn="0" w:oddVBand="0" w:evenVBand="0" w:oddHBand="0" w:evenHBand="1"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4832" w:type="dxa"/>
            <w:tcBorders>
              <w:right w:val="none" w:sz="0" w:space="0" w:color="auto"/>
            </w:tcBorders>
            <w:noWrap/>
            <w:hideMark/>
          </w:tcPr>
          <w:p w:rsidR="00E22A3D" w:rsidRPr="00AA641A" w:rsidRDefault="00E22A3D" w:rsidP="00AA641A">
            <w:pPr>
              <w:rPr>
                <w:rFonts w:ascii="Calibri" w:eastAsia="Times New Roman" w:hAnsi="Calibri" w:cs="Times New Roman"/>
                <w:color w:val="000000"/>
                <w:sz w:val="20"/>
              </w:rPr>
            </w:pPr>
            <w:r w:rsidRPr="00AA641A">
              <w:rPr>
                <w:rFonts w:ascii="Calibri" w:eastAsia="Times New Roman" w:hAnsi="Calibri" w:cs="Times New Roman"/>
                <w:color w:val="000000"/>
                <w:sz w:val="20"/>
              </w:rPr>
              <w:t>Remaining Funds for L</w:t>
            </w:r>
            <w:r w:rsidR="00C8720A" w:rsidRPr="00AA641A">
              <w:rPr>
                <w:rFonts w:ascii="Calibri" w:eastAsia="Times New Roman" w:hAnsi="Calibri" w:cs="Times New Roman"/>
                <w:color w:val="000000"/>
                <w:sz w:val="20"/>
              </w:rPr>
              <w:t xml:space="preserve">oad </w:t>
            </w:r>
            <w:r w:rsidRPr="00AA641A">
              <w:rPr>
                <w:rFonts w:ascii="Calibri" w:eastAsia="Times New Roman" w:hAnsi="Calibri" w:cs="Times New Roman"/>
                <w:color w:val="000000"/>
                <w:sz w:val="20"/>
              </w:rPr>
              <w:t>C</w:t>
            </w:r>
            <w:r w:rsidR="00C8720A" w:rsidRPr="00AA641A">
              <w:rPr>
                <w:rFonts w:ascii="Calibri" w:eastAsia="Times New Roman" w:hAnsi="Calibri" w:cs="Times New Roman"/>
                <w:color w:val="000000"/>
                <w:sz w:val="20"/>
              </w:rPr>
              <w:t>urtailment</w:t>
            </w:r>
          </w:p>
        </w:tc>
        <w:tc>
          <w:tcPr>
            <w:tcW w:w="2188" w:type="dxa"/>
            <w:tcBorders>
              <w:left w:val="none" w:sz="0" w:space="0" w:color="auto"/>
              <w:right w:val="none" w:sz="0" w:space="0" w:color="auto"/>
            </w:tcBorders>
            <w:noWrap/>
            <w:hideMark/>
          </w:tcPr>
          <w:p w:rsidR="00E22A3D" w:rsidRPr="00AA641A" w:rsidRDefault="00E22A3D" w:rsidP="00AA641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        22,375,985</w:t>
            </w:r>
          </w:p>
        </w:tc>
        <w:tc>
          <w:tcPr>
            <w:tcW w:w="2340" w:type="dxa"/>
            <w:tcBorders>
              <w:left w:val="none" w:sz="0" w:space="0" w:color="auto"/>
            </w:tcBorders>
            <w:noWrap/>
            <w:hideMark/>
          </w:tcPr>
          <w:p w:rsidR="00E22A3D" w:rsidRPr="00AA641A" w:rsidRDefault="00E22A3D" w:rsidP="00AA641A">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rPr>
            </w:pPr>
            <w:r w:rsidRPr="00AA641A">
              <w:rPr>
                <w:rFonts w:ascii="Calibri" w:eastAsia="Times New Roman" w:hAnsi="Calibri" w:cs="Times New Roman"/>
                <w:color w:val="000000"/>
                <w:sz w:val="20"/>
              </w:rPr>
              <w:t>95.0</w:t>
            </w:r>
          </w:p>
        </w:tc>
      </w:tr>
      <w:tr w:rsidR="00E22A3D" w:rsidRPr="00AA641A" w:rsidTr="007454CD">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20" w:type="dxa"/>
            <w:gridSpan w:val="2"/>
            <w:tcBorders>
              <w:right w:val="none" w:sz="0" w:space="0" w:color="auto"/>
            </w:tcBorders>
            <w:noWrap/>
            <w:hideMark/>
          </w:tcPr>
          <w:p w:rsidR="00E22A3D" w:rsidRPr="00AA641A" w:rsidRDefault="00E22A3D" w:rsidP="00AA641A">
            <w:pPr>
              <w:rPr>
                <w:rFonts w:ascii="Calibri" w:eastAsia="Times New Roman" w:hAnsi="Calibri" w:cs="Times New Roman"/>
                <w:b w:val="0"/>
                <w:bCs w:val="0"/>
                <w:color w:val="000000"/>
                <w:sz w:val="20"/>
              </w:rPr>
            </w:pPr>
            <w:r w:rsidRPr="00AA641A">
              <w:rPr>
                <w:rFonts w:ascii="Calibri" w:eastAsia="Times New Roman" w:hAnsi="Calibri" w:cs="Times New Roman"/>
                <w:color w:val="000000"/>
                <w:sz w:val="20"/>
              </w:rPr>
              <w:t>Updated PECO Phase III DR Target</w:t>
            </w:r>
          </w:p>
        </w:tc>
        <w:tc>
          <w:tcPr>
            <w:tcW w:w="2340" w:type="dxa"/>
            <w:tcBorders>
              <w:left w:val="none" w:sz="0" w:space="0" w:color="auto"/>
            </w:tcBorders>
            <w:noWrap/>
            <w:hideMark/>
          </w:tcPr>
          <w:p w:rsidR="00E22A3D" w:rsidRPr="00AA641A" w:rsidRDefault="00E22A3D" w:rsidP="00E22A3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rPr>
            </w:pPr>
            <w:r w:rsidRPr="00AA641A">
              <w:rPr>
                <w:rFonts w:ascii="Calibri" w:eastAsia="Times New Roman" w:hAnsi="Calibri" w:cs="Times New Roman"/>
                <w:b/>
                <w:bCs/>
                <w:color w:val="000000"/>
                <w:sz w:val="20"/>
              </w:rPr>
              <w:t>160.8</w:t>
            </w:r>
          </w:p>
        </w:tc>
      </w:tr>
      <w:tr w:rsidR="00E22A3D" w:rsidRPr="00AA641A" w:rsidTr="007454CD">
        <w:trPr>
          <w:cnfStyle w:val="000000010000" w:firstRow="0" w:lastRow="0" w:firstColumn="0" w:lastColumn="0" w:oddVBand="0" w:evenVBand="0" w:oddHBand="0" w:evenHBand="1"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20" w:type="dxa"/>
            <w:gridSpan w:val="2"/>
            <w:tcBorders>
              <w:right w:val="none" w:sz="0" w:space="0" w:color="auto"/>
            </w:tcBorders>
            <w:noWrap/>
            <w:hideMark/>
          </w:tcPr>
          <w:p w:rsidR="00E22A3D" w:rsidRPr="00AA641A" w:rsidRDefault="00E22A3D" w:rsidP="00AA641A">
            <w:pPr>
              <w:rPr>
                <w:rFonts w:ascii="Calibri" w:eastAsia="Times New Roman" w:hAnsi="Calibri" w:cs="Times New Roman"/>
                <w:b w:val="0"/>
                <w:bCs w:val="0"/>
                <w:color w:val="000000"/>
                <w:sz w:val="20"/>
              </w:rPr>
            </w:pPr>
            <w:r w:rsidRPr="00AA641A">
              <w:rPr>
                <w:rFonts w:ascii="Calibri" w:eastAsia="Times New Roman" w:hAnsi="Calibri" w:cs="Times New Roman"/>
                <w:color w:val="000000"/>
                <w:sz w:val="20"/>
              </w:rPr>
              <w:t>Updated Acquisition Cost</w:t>
            </w:r>
          </w:p>
        </w:tc>
        <w:tc>
          <w:tcPr>
            <w:tcW w:w="2340" w:type="dxa"/>
            <w:tcBorders>
              <w:left w:val="none" w:sz="0" w:space="0" w:color="auto"/>
            </w:tcBorders>
            <w:noWrap/>
            <w:hideMark/>
          </w:tcPr>
          <w:p w:rsidR="00E22A3D" w:rsidRPr="00AA641A" w:rsidRDefault="00E22A3D" w:rsidP="00E22A3D">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sz w:val="20"/>
              </w:rPr>
            </w:pPr>
            <w:r w:rsidRPr="00AA641A">
              <w:rPr>
                <w:rFonts w:ascii="Calibri" w:eastAsia="Times New Roman" w:hAnsi="Calibri" w:cs="Times New Roman"/>
                <w:b/>
                <w:bCs/>
                <w:color w:val="000000"/>
                <w:sz w:val="20"/>
              </w:rPr>
              <w:t>$66,370</w:t>
            </w:r>
          </w:p>
        </w:tc>
      </w:tr>
    </w:tbl>
    <w:p w:rsidR="00D609BF" w:rsidRDefault="00D609BF" w:rsidP="00B43061">
      <w:pPr>
        <w:spacing w:after="120"/>
        <w:jc w:val="both"/>
        <w:rPr>
          <w:rFonts w:cs="Arial"/>
        </w:rPr>
      </w:pPr>
      <w:r>
        <w:rPr>
          <w:rFonts w:cs="Arial"/>
        </w:rPr>
        <w:br w:type="page"/>
      </w:r>
    </w:p>
    <w:p w:rsidR="00533798" w:rsidRDefault="00533798" w:rsidP="00533798">
      <w:pPr>
        <w:pStyle w:val="Heading1"/>
      </w:pPr>
      <w:r>
        <w:lastRenderedPageBreak/>
        <w:t>Revised Energy Efficiency Potential Savings Estimates</w:t>
      </w:r>
    </w:p>
    <w:p w:rsidR="00533798" w:rsidRPr="00AA641A" w:rsidRDefault="00533798" w:rsidP="00AA641A">
      <w:pPr>
        <w:pStyle w:val="Heading2"/>
      </w:pPr>
      <w:r w:rsidRPr="00AA641A">
        <w:t>Introduction and reason for modification</w:t>
      </w:r>
    </w:p>
    <w:p w:rsidR="00904F5F" w:rsidRDefault="00A306DB" w:rsidP="00533798">
      <w:pPr>
        <w:jc w:val="both"/>
        <w:rPr>
          <w:rFonts w:cs="Arial"/>
        </w:rPr>
      </w:pPr>
      <w:r w:rsidRPr="00A306DB">
        <w:rPr>
          <w:rFonts w:cs="Arial"/>
        </w:rPr>
        <w:t xml:space="preserve">The </w:t>
      </w:r>
      <w:r>
        <w:rPr>
          <w:rFonts w:cs="Arial"/>
        </w:rPr>
        <w:t>Commission</w:t>
      </w:r>
      <w:r w:rsidRPr="00A306DB">
        <w:rPr>
          <w:rFonts w:cs="Arial"/>
        </w:rPr>
        <w:t xml:space="preserve"> received several comments on the Tentative Implementation Order </w:t>
      </w:r>
      <w:r w:rsidR="0060585F">
        <w:rPr>
          <w:rFonts w:cs="Arial"/>
        </w:rPr>
        <w:t>as well as</w:t>
      </w:r>
      <w:r w:rsidRPr="00A306DB">
        <w:rPr>
          <w:rFonts w:cs="Arial"/>
        </w:rPr>
        <w:t xml:space="preserve"> during the April 8, 2015 Stakeholder Meeting</w:t>
      </w:r>
      <w:r w:rsidR="0063561E">
        <w:rPr>
          <w:rFonts w:cs="Arial"/>
        </w:rPr>
        <w:t xml:space="preserve"> related to the SWE </w:t>
      </w:r>
      <w:r w:rsidR="0063561E" w:rsidRPr="0060585F">
        <w:rPr>
          <w:rFonts w:cs="Arial"/>
        </w:rPr>
        <w:t>energy efficiency potential study</w:t>
      </w:r>
      <w:r w:rsidRPr="0060585F">
        <w:rPr>
          <w:rFonts w:cs="Arial"/>
        </w:rPr>
        <w:t xml:space="preserve">. </w:t>
      </w:r>
      <w:r w:rsidR="006B442A" w:rsidRPr="0060585F">
        <w:rPr>
          <w:rFonts w:cs="Arial"/>
        </w:rPr>
        <w:t>Several</w:t>
      </w:r>
      <w:r w:rsidRPr="0060585F">
        <w:rPr>
          <w:rFonts w:cs="Arial"/>
        </w:rPr>
        <w:t xml:space="preserve"> comments </w:t>
      </w:r>
      <w:r w:rsidR="0060585F" w:rsidRPr="0060585F">
        <w:rPr>
          <w:rFonts w:cs="Arial"/>
        </w:rPr>
        <w:t xml:space="preserve">expressed a concern regarding the assumed cost of low income measures/programs and </w:t>
      </w:r>
      <w:r w:rsidRPr="0060585F">
        <w:rPr>
          <w:rFonts w:cs="Arial"/>
        </w:rPr>
        <w:t xml:space="preserve">included a </w:t>
      </w:r>
      <w:r w:rsidR="006B442A" w:rsidRPr="0060585F">
        <w:rPr>
          <w:rFonts w:cs="Arial"/>
        </w:rPr>
        <w:t xml:space="preserve">common </w:t>
      </w:r>
      <w:r w:rsidRPr="0060585F">
        <w:rPr>
          <w:rFonts w:cs="Arial"/>
        </w:rPr>
        <w:t>request</w:t>
      </w:r>
      <w:r w:rsidR="006B442A" w:rsidRPr="0060585F">
        <w:rPr>
          <w:rFonts w:cs="Arial"/>
        </w:rPr>
        <w:t xml:space="preserve"> to </w:t>
      </w:r>
      <w:r w:rsidR="0063561E" w:rsidRPr="0060585F">
        <w:rPr>
          <w:rFonts w:cs="Arial"/>
        </w:rPr>
        <w:t>re-</w:t>
      </w:r>
      <w:r w:rsidR="006B442A" w:rsidRPr="0060585F">
        <w:rPr>
          <w:rFonts w:cs="Arial"/>
        </w:rPr>
        <w:t xml:space="preserve">examine the acquisition cost and underlying modeling </w:t>
      </w:r>
      <w:r w:rsidR="0063561E" w:rsidRPr="0060585F">
        <w:rPr>
          <w:rFonts w:cs="Arial"/>
        </w:rPr>
        <w:t>assumptions for</w:t>
      </w:r>
      <w:r w:rsidR="006B442A" w:rsidRPr="0060585F">
        <w:rPr>
          <w:rFonts w:cs="Arial"/>
        </w:rPr>
        <w:t xml:space="preserve"> </w:t>
      </w:r>
      <w:r w:rsidRPr="0060585F">
        <w:rPr>
          <w:rFonts w:cs="Arial"/>
        </w:rPr>
        <w:t xml:space="preserve">the </w:t>
      </w:r>
      <w:r w:rsidR="00CD5EAC" w:rsidRPr="0060585F">
        <w:rPr>
          <w:rFonts w:cs="Arial"/>
        </w:rPr>
        <w:t>low income</w:t>
      </w:r>
      <w:r w:rsidRPr="0060585F">
        <w:rPr>
          <w:rFonts w:cs="Arial"/>
        </w:rPr>
        <w:t xml:space="preserve"> sector. The Commission found this request to be reasonable</w:t>
      </w:r>
      <w:r w:rsidR="0063561E" w:rsidRPr="0060585F">
        <w:rPr>
          <w:rFonts w:cs="Arial"/>
        </w:rPr>
        <w:t>.</w:t>
      </w:r>
      <w:r w:rsidRPr="0060585F">
        <w:rPr>
          <w:rFonts w:cs="Arial"/>
        </w:rPr>
        <w:t xml:space="preserve"> </w:t>
      </w:r>
      <w:r w:rsidR="0063561E" w:rsidRPr="0060585F">
        <w:rPr>
          <w:rFonts w:cs="Arial"/>
        </w:rPr>
        <w:t>Upon further review, t</w:t>
      </w:r>
      <w:r w:rsidRPr="0060585F">
        <w:rPr>
          <w:rFonts w:cs="Arial"/>
        </w:rPr>
        <w:t>he SWE Team determined that two modifications to the energy efficiency potential</w:t>
      </w:r>
      <w:r w:rsidRPr="00A306DB">
        <w:rPr>
          <w:rFonts w:cs="Arial"/>
        </w:rPr>
        <w:t xml:space="preserve"> savings estimates were </w:t>
      </w:r>
      <w:r w:rsidR="006B442A">
        <w:rPr>
          <w:rFonts w:cs="Arial"/>
        </w:rPr>
        <w:t>appropriate</w:t>
      </w:r>
      <w:r w:rsidR="0060585F">
        <w:rPr>
          <w:rFonts w:cs="Arial"/>
        </w:rPr>
        <w:t xml:space="preserve"> to address the concerns</w:t>
      </w:r>
      <w:r w:rsidR="0063561E">
        <w:rPr>
          <w:rFonts w:cs="Arial"/>
        </w:rPr>
        <w:t xml:space="preserve">. </w:t>
      </w:r>
      <w:r w:rsidRPr="00A306DB">
        <w:rPr>
          <w:rFonts w:cs="Arial"/>
        </w:rPr>
        <w:t>The SWE Team made these modifications in order to more closely align the study’s assumptions with the historical program design and impl</w:t>
      </w:r>
      <w:r w:rsidR="0096416D">
        <w:rPr>
          <w:rFonts w:cs="Arial"/>
        </w:rPr>
        <w:t>ementation practices of the EDC</w:t>
      </w:r>
      <w:r w:rsidRPr="00A306DB">
        <w:rPr>
          <w:rFonts w:cs="Arial"/>
        </w:rPr>
        <w:t>s in Pennsylvania in the low-income sector</w:t>
      </w:r>
      <w:r w:rsidR="0063561E">
        <w:rPr>
          <w:rFonts w:cs="Arial"/>
        </w:rPr>
        <w:t xml:space="preserve">, as well as traditional </w:t>
      </w:r>
      <w:r w:rsidR="00CD5EAC">
        <w:rPr>
          <w:rFonts w:cs="Arial"/>
        </w:rPr>
        <w:t>low income</w:t>
      </w:r>
      <w:r w:rsidR="0063561E">
        <w:rPr>
          <w:rFonts w:cs="Arial"/>
        </w:rPr>
        <w:t xml:space="preserve"> programs in other jurisdictions</w:t>
      </w:r>
      <w:r>
        <w:rPr>
          <w:rFonts w:cs="Arial"/>
        </w:rPr>
        <w:t>.</w:t>
      </w:r>
    </w:p>
    <w:p w:rsidR="00AA641A" w:rsidRDefault="00AA641A" w:rsidP="00533798">
      <w:pPr>
        <w:jc w:val="both"/>
        <w:rPr>
          <w:rFonts w:cs="Arial"/>
        </w:rPr>
      </w:pPr>
    </w:p>
    <w:p w:rsidR="00533798" w:rsidRDefault="00533798" w:rsidP="00AA641A">
      <w:pPr>
        <w:pStyle w:val="Heading2"/>
      </w:pPr>
      <w:r>
        <w:t>Modifications made</w:t>
      </w:r>
    </w:p>
    <w:p w:rsidR="00907D38" w:rsidRPr="00707D8C" w:rsidRDefault="00907D38" w:rsidP="00533798">
      <w:pPr>
        <w:jc w:val="both"/>
        <w:rPr>
          <w:rFonts w:cs="Arial"/>
        </w:rPr>
      </w:pPr>
      <w:r w:rsidRPr="00707D8C">
        <w:rPr>
          <w:rFonts w:cs="Arial"/>
        </w:rPr>
        <w:t xml:space="preserve">The first modification involved </w:t>
      </w:r>
      <w:r w:rsidR="007801A2" w:rsidRPr="00707D8C">
        <w:rPr>
          <w:rFonts w:cs="Arial"/>
        </w:rPr>
        <w:t>a change with respect to the</w:t>
      </w:r>
      <w:r w:rsidRPr="00707D8C">
        <w:rPr>
          <w:rFonts w:cs="Arial"/>
        </w:rPr>
        <w:t xml:space="preserve"> savings and costs </w:t>
      </w:r>
      <w:r w:rsidR="007801A2" w:rsidRPr="00707D8C">
        <w:rPr>
          <w:rFonts w:cs="Arial"/>
        </w:rPr>
        <w:t xml:space="preserve">that </w:t>
      </w:r>
      <w:r w:rsidRPr="00707D8C">
        <w:rPr>
          <w:rFonts w:cs="Arial"/>
        </w:rPr>
        <w:t xml:space="preserve">were assumed for measures that apply to the </w:t>
      </w:r>
      <w:r w:rsidR="00CD5EAC">
        <w:rPr>
          <w:rFonts w:cs="Arial"/>
        </w:rPr>
        <w:t>low income</w:t>
      </w:r>
      <w:r w:rsidRPr="00707D8C">
        <w:rPr>
          <w:rFonts w:cs="Arial"/>
        </w:rPr>
        <w:t xml:space="preserve"> sector. The original study assumed that retrofit installations such as weatherization measures (i.e. insulation, duct sealing, air sealing, etc.) would </w:t>
      </w:r>
      <w:r w:rsidR="00CE3180" w:rsidRPr="00707D8C">
        <w:rPr>
          <w:rFonts w:cs="Arial"/>
        </w:rPr>
        <w:t>require</w:t>
      </w:r>
      <w:r w:rsidRPr="00707D8C">
        <w:rPr>
          <w:rFonts w:cs="Arial"/>
        </w:rPr>
        <w:t xml:space="preserve"> full costs and</w:t>
      </w:r>
      <w:r w:rsidR="00CE3180" w:rsidRPr="00707D8C">
        <w:rPr>
          <w:rFonts w:cs="Arial"/>
        </w:rPr>
        <w:t xml:space="preserve"> would yield</w:t>
      </w:r>
      <w:r w:rsidRPr="00707D8C">
        <w:rPr>
          <w:rFonts w:cs="Arial"/>
        </w:rPr>
        <w:t xml:space="preserve"> full savings. However, the study also assumed that</w:t>
      </w:r>
      <w:r w:rsidR="00CE3180" w:rsidRPr="00707D8C">
        <w:rPr>
          <w:rFonts w:cs="Arial"/>
        </w:rPr>
        <w:t xml:space="preserve"> for</w:t>
      </w:r>
      <w:r w:rsidRPr="00707D8C">
        <w:rPr>
          <w:rFonts w:cs="Arial"/>
        </w:rPr>
        <w:t xml:space="preserve"> </w:t>
      </w:r>
      <w:r w:rsidR="007801A2" w:rsidRPr="00707D8C">
        <w:rPr>
          <w:rFonts w:cs="Arial"/>
        </w:rPr>
        <w:t xml:space="preserve">traditional </w:t>
      </w:r>
      <w:r w:rsidRPr="00707D8C">
        <w:rPr>
          <w:rFonts w:cs="Arial"/>
        </w:rPr>
        <w:t>replace on burnout (ROB)</w:t>
      </w:r>
      <w:r w:rsidRPr="00707D8C">
        <w:rPr>
          <w:rStyle w:val="FootnoteReference"/>
          <w:rFonts w:cs="Arial"/>
        </w:rPr>
        <w:footnoteReference w:id="2"/>
      </w:r>
      <w:r w:rsidRPr="00707D8C">
        <w:rPr>
          <w:rFonts w:cs="Arial"/>
        </w:rPr>
        <w:t xml:space="preserve"> measures </w:t>
      </w:r>
      <w:r w:rsidR="00CE3180" w:rsidRPr="00707D8C">
        <w:rPr>
          <w:rFonts w:cs="Arial"/>
        </w:rPr>
        <w:t>the savings and costs would be the same as those applied to the non-</w:t>
      </w:r>
      <w:r w:rsidR="00CD5EAC">
        <w:rPr>
          <w:rFonts w:cs="Arial"/>
        </w:rPr>
        <w:t>low income</w:t>
      </w:r>
      <w:r w:rsidR="00CE3180" w:rsidRPr="00707D8C">
        <w:rPr>
          <w:rFonts w:cs="Arial"/>
        </w:rPr>
        <w:t xml:space="preserve"> sector</w:t>
      </w:r>
      <w:r w:rsidR="007801A2" w:rsidRPr="00707D8C">
        <w:rPr>
          <w:rFonts w:cs="Arial"/>
        </w:rPr>
        <w:t xml:space="preserve">, with savings and costs </w:t>
      </w:r>
      <w:r w:rsidR="00CE3180" w:rsidRPr="00707D8C">
        <w:rPr>
          <w:rFonts w:cs="Arial"/>
        </w:rPr>
        <w:t xml:space="preserve">calculated as the difference between the consumption </w:t>
      </w:r>
      <w:r w:rsidR="007801A2" w:rsidRPr="00707D8C">
        <w:rPr>
          <w:rFonts w:cs="Arial"/>
        </w:rPr>
        <w:t xml:space="preserve">and cost </w:t>
      </w:r>
      <w:r w:rsidR="00CE3180" w:rsidRPr="00707D8C">
        <w:rPr>
          <w:rFonts w:cs="Arial"/>
        </w:rPr>
        <w:t>of a new standard unit and a new efficient unit</w:t>
      </w:r>
      <w:r w:rsidR="007801A2" w:rsidRPr="00707D8C">
        <w:rPr>
          <w:rFonts w:cs="Arial"/>
        </w:rPr>
        <w:t>.</w:t>
      </w:r>
      <w:r w:rsidR="005F388B" w:rsidRPr="00707D8C">
        <w:rPr>
          <w:rFonts w:cs="Arial"/>
        </w:rPr>
        <w:t xml:space="preserve"> </w:t>
      </w:r>
      <w:r w:rsidR="00707D8C">
        <w:rPr>
          <w:rFonts w:cs="Arial"/>
        </w:rPr>
        <w:t xml:space="preserve">At the direction of the </w:t>
      </w:r>
      <w:r w:rsidR="006B442A">
        <w:rPr>
          <w:rFonts w:cs="Arial"/>
        </w:rPr>
        <w:t>Commission</w:t>
      </w:r>
      <w:r w:rsidR="00707D8C">
        <w:rPr>
          <w:rFonts w:cs="Arial"/>
        </w:rPr>
        <w:t>, the SWE Team investigated the impact of changing the costs for these measures to full costs</w:t>
      </w:r>
      <w:r w:rsidR="00707D8C" w:rsidRPr="00707D8C">
        <w:rPr>
          <w:rFonts w:cs="Arial"/>
        </w:rPr>
        <w:t xml:space="preserve">. </w:t>
      </w:r>
      <w:r w:rsidR="005F388B" w:rsidRPr="00707D8C">
        <w:rPr>
          <w:rFonts w:cs="Arial"/>
        </w:rPr>
        <w:t xml:space="preserve">This preliminary </w:t>
      </w:r>
      <w:r w:rsidR="0052021E">
        <w:rPr>
          <w:rFonts w:cs="Arial"/>
        </w:rPr>
        <w:t>analysis</w:t>
      </w:r>
      <w:r w:rsidR="005F388B" w:rsidRPr="00707D8C">
        <w:rPr>
          <w:rFonts w:cs="Arial"/>
        </w:rPr>
        <w:t xml:space="preserve"> found that </w:t>
      </w:r>
      <w:r w:rsidR="0052021E">
        <w:rPr>
          <w:rFonts w:cs="Arial"/>
        </w:rPr>
        <w:t xml:space="preserve">an adjustment to the </w:t>
      </w:r>
      <w:r w:rsidR="00707D8C" w:rsidRPr="00707D8C">
        <w:rPr>
          <w:rFonts w:cs="Arial"/>
        </w:rPr>
        <w:t xml:space="preserve">full costs of ROB measures targeting the low income sector </w:t>
      </w:r>
      <w:r w:rsidR="005F388B" w:rsidRPr="00707D8C">
        <w:rPr>
          <w:rFonts w:cs="Arial"/>
        </w:rPr>
        <w:t xml:space="preserve">would </w:t>
      </w:r>
      <w:r w:rsidR="0052021E">
        <w:rPr>
          <w:rFonts w:cs="Arial"/>
        </w:rPr>
        <w:t xml:space="preserve">increase overall acquisition costs and ultimately </w:t>
      </w:r>
      <w:r w:rsidR="005F388B" w:rsidRPr="00707D8C">
        <w:rPr>
          <w:rFonts w:cs="Arial"/>
        </w:rPr>
        <w:t>reduce the overall statewide savings targets by approximately 3%.</w:t>
      </w:r>
      <w:r w:rsidR="005F388B" w:rsidRPr="00707D8C">
        <w:rPr>
          <w:rStyle w:val="FootnoteReference"/>
          <w:rFonts w:cs="Arial"/>
        </w:rPr>
        <w:footnoteReference w:id="3"/>
      </w:r>
    </w:p>
    <w:p w:rsidR="00CE3180" w:rsidRPr="00B77023" w:rsidRDefault="00CE3180" w:rsidP="00533798">
      <w:pPr>
        <w:jc w:val="both"/>
        <w:rPr>
          <w:rFonts w:cs="Arial"/>
          <w:highlight w:val="yellow"/>
        </w:rPr>
      </w:pPr>
    </w:p>
    <w:p w:rsidR="00CE3180" w:rsidRDefault="00707D8C" w:rsidP="00533798">
      <w:pPr>
        <w:jc w:val="both"/>
        <w:rPr>
          <w:rFonts w:cs="Arial"/>
        </w:rPr>
      </w:pPr>
      <w:r w:rsidRPr="00707D8C">
        <w:rPr>
          <w:rFonts w:cs="Arial"/>
        </w:rPr>
        <w:t xml:space="preserve">In </w:t>
      </w:r>
      <w:r w:rsidR="0052021E">
        <w:rPr>
          <w:rFonts w:cs="Arial"/>
        </w:rPr>
        <w:t xml:space="preserve">addition, in </w:t>
      </w:r>
      <w:r w:rsidRPr="00707D8C">
        <w:rPr>
          <w:rFonts w:cs="Arial"/>
        </w:rPr>
        <w:t xml:space="preserve">order </w:t>
      </w:r>
      <w:r w:rsidR="0052021E">
        <w:rPr>
          <w:rFonts w:cs="Arial"/>
        </w:rPr>
        <w:t xml:space="preserve">to more completely account for modifying </w:t>
      </w:r>
      <w:r w:rsidRPr="00707D8C">
        <w:rPr>
          <w:rFonts w:cs="Arial"/>
        </w:rPr>
        <w:t>the costs of</w:t>
      </w:r>
      <w:r w:rsidRPr="00707D8C">
        <w:t xml:space="preserve"> </w:t>
      </w:r>
      <w:r w:rsidRPr="00707D8C">
        <w:rPr>
          <w:rFonts w:cs="Arial"/>
        </w:rPr>
        <w:t>ROB measures targeting the low income sector, t</w:t>
      </w:r>
      <w:r w:rsidR="001F1536" w:rsidRPr="00707D8C">
        <w:rPr>
          <w:rFonts w:cs="Arial"/>
        </w:rPr>
        <w:t xml:space="preserve">he SWE Team </w:t>
      </w:r>
      <w:r w:rsidR="0052021E">
        <w:rPr>
          <w:rFonts w:cs="Arial"/>
        </w:rPr>
        <w:t xml:space="preserve">subsequently </w:t>
      </w:r>
      <w:r w:rsidRPr="00707D8C">
        <w:rPr>
          <w:rFonts w:cs="Arial"/>
        </w:rPr>
        <w:t>re-classified</w:t>
      </w:r>
      <w:r w:rsidR="001F1536" w:rsidRPr="00707D8C">
        <w:rPr>
          <w:rFonts w:cs="Arial"/>
        </w:rPr>
        <w:t xml:space="preserve"> these measures as retrofit measures</w:t>
      </w:r>
      <w:r w:rsidRPr="00707D8C">
        <w:rPr>
          <w:rFonts w:cs="Arial"/>
        </w:rPr>
        <w:t xml:space="preserve"> </w:t>
      </w:r>
      <w:r w:rsidR="0063561E">
        <w:rPr>
          <w:rFonts w:cs="Arial"/>
        </w:rPr>
        <w:t xml:space="preserve">to more accurately capture the timing of replacement, </w:t>
      </w:r>
      <w:r w:rsidRPr="00707D8C">
        <w:rPr>
          <w:rFonts w:cs="Arial"/>
        </w:rPr>
        <w:t xml:space="preserve">and </w:t>
      </w:r>
      <w:r w:rsidR="0052021E">
        <w:rPr>
          <w:rFonts w:cs="Arial"/>
        </w:rPr>
        <w:t>revised</w:t>
      </w:r>
      <w:r w:rsidR="008B2981" w:rsidRPr="00707D8C">
        <w:rPr>
          <w:rFonts w:cs="Arial"/>
        </w:rPr>
        <w:t xml:space="preserve"> the savings assumptions so that the savings were calculated </w:t>
      </w:r>
      <w:r w:rsidR="0052021E">
        <w:rPr>
          <w:rFonts w:cs="Arial"/>
        </w:rPr>
        <w:t xml:space="preserve">more consistent with costs, </w:t>
      </w:r>
      <w:r w:rsidR="008B2981" w:rsidRPr="00707D8C">
        <w:rPr>
          <w:rFonts w:cs="Arial"/>
        </w:rPr>
        <w:t xml:space="preserve">as the difference between the consumption of </w:t>
      </w:r>
      <w:r w:rsidR="008B2981" w:rsidRPr="00707D8C">
        <w:rPr>
          <w:rFonts w:cs="Arial"/>
          <w:b/>
          <w:u w:val="single"/>
        </w:rPr>
        <w:t>an existing unit</w:t>
      </w:r>
      <w:r w:rsidR="008B2981" w:rsidRPr="00707D8C">
        <w:rPr>
          <w:rFonts w:cs="Arial"/>
        </w:rPr>
        <w:t xml:space="preserve"> (as opposed to a new standard unit) and </w:t>
      </w:r>
      <w:r w:rsidR="008B2981" w:rsidRPr="00707D8C">
        <w:rPr>
          <w:rFonts w:cs="Arial"/>
          <w:b/>
          <w:u w:val="single"/>
        </w:rPr>
        <w:t>a new efficient unit</w:t>
      </w:r>
      <w:r w:rsidR="008B2981" w:rsidRPr="00707D8C">
        <w:rPr>
          <w:rFonts w:cs="Arial"/>
        </w:rPr>
        <w:t>.</w:t>
      </w:r>
      <w:r w:rsidR="008B2981">
        <w:rPr>
          <w:rFonts w:cs="Arial"/>
        </w:rPr>
        <w:t xml:space="preserve"> </w:t>
      </w:r>
    </w:p>
    <w:p w:rsidR="0063561E" w:rsidRDefault="0063561E" w:rsidP="00533798">
      <w:pPr>
        <w:jc w:val="both"/>
        <w:rPr>
          <w:rFonts w:cs="Arial"/>
        </w:rPr>
      </w:pPr>
    </w:p>
    <w:p w:rsidR="005916AE" w:rsidRDefault="00FF1B6E" w:rsidP="00533798">
      <w:pPr>
        <w:jc w:val="both"/>
      </w:pPr>
      <w:r>
        <w:rPr>
          <w:rFonts w:cs="Arial"/>
        </w:rPr>
        <w:t>The second modification involved a change with respect to the non-incentive costs that were assumed for</w:t>
      </w:r>
      <w:r w:rsidR="005916AE">
        <w:rPr>
          <w:rFonts w:cs="Arial"/>
        </w:rPr>
        <w:t xml:space="preserve"> s</w:t>
      </w:r>
      <w:r w:rsidR="00B77023">
        <w:rPr>
          <w:rFonts w:cs="Arial"/>
        </w:rPr>
        <w:t xml:space="preserve">elect </w:t>
      </w:r>
      <w:r>
        <w:rPr>
          <w:rFonts w:cs="Arial"/>
        </w:rPr>
        <w:t xml:space="preserve">measures targeting the </w:t>
      </w:r>
      <w:r w:rsidR="00CD5EAC">
        <w:rPr>
          <w:rFonts w:cs="Arial"/>
        </w:rPr>
        <w:t>low income</w:t>
      </w:r>
      <w:r>
        <w:rPr>
          <w:rFonts w:cs="Arial"/>
        </w:rPr>
        <w:t xml:space="preserve"> sect</w:t>
      </w:r>
      <w:r w:rsidRPr="00F2010E">
        <w:rPr>
          <w:rFonts w:cs="Arial"/>
        </w:rPr>
        <w:t xml:space="preserve">or.  </w:t>
      </w:r>
      <w:r w:rsidR="00F2010E" w:rsidRPr="00F2010E">
        <w:rPr>
          <w:rFonts w:cs="Arial"/>
        </w:rPr>
        <w:t>In the initial analysis</w:t>
      </w:r>
      <w:r w:rsidR="005916AE" w:rsidRPr="00F2010E">
        <w:rPr>
          <w:rFonts w:cs="Arial"/>
        </w:rPr>
        <w:t xml:space="preserve">, the SWE Team </w:t>
      </w:r>
      <w:r w:rsidR="00707D8C" w:rsidRPr="00F2010E">
        <w:rPr>
          <w:rFonts w:cs="Arial"/>
        </w:rPr>
        <w:t xml:space="preserve">assumed non-incentive costs would not vary across the </w:t>
      </w:r>
      <w:r w:rsidR="00CD5EAC">
        <w:rPr>
          <w:rFonts w:cs="Arial"/>
        </w:rPr>
        <w:t>low income</w:t>
      </w:r>
      <w:r w:rsidR="00707D8C" w:rsidRPr="00F2010E">
        <w:rPr>
          <w:rFonts w:cs="Arial"/>
        </w:rPr>
        <w:t xml:space="preserve"> and non-</w:t>
      </w:r>
      <w:r w:rsidR="00CD5EAC">
        <w:rPr>
          <w:rFonts w:cs="Arial"/>
        </w:rPr>
        <w:t>low income</w:t>
      </w:r>
      <w:r w:rsidR="00707D8C" w:rsidRPr="00F2010E">
        <w:rPr>
          <w:rFonts w:cs="Arial"/>
        </w:rPr>
        <w:t xml:space="preserve"> sectors.</w:t>
      </w:r>
      <w:r w:rsidR="005916AE" w:rsidRPr="00F2010E">
        <w:t xml:space="preserve"> However, the SWE Team determined that it was </w:t>
      </w:r>
      <w:r w:rsidR="00F2010E" w:rsidRPr="00F2010E">
        <w:t>reasonable</w:t>
      </w:r>
      <w:r w:rsidR="005916AE" w:rsidRPr="00F2010E">
        <w:t xml:space="preserve"> to assume a </w:t>
      </w:r>
      <w:r w:rsidR="00CD5EAC">
        <w:t>low income</w:t>
      </w:r>
      <w:r w:rsidR="005916AE" w:rsidRPr="00F2010E">
        <w:t xml:space="preserve"> specific non-incentive cost</w:t>
      </w:r>
      <w:r w:rsidR="00C92DE7" w:rsidRPr="00F2010E">
        <w:t xml:space="preserve"> (~$0.12/kWh)</w:t>
      </w:r>
      <w:r w:rsidR="005916AE" w:rsidRPr="00F2010E">
        <w:t xml:space="preserve"> in </w:t>
      </w:r>
      <w:r w:rsidR="0052021E" w:rsidRPr="00F2010E">
        <w:t>select</w:t>
      </w:r>
      <w:r w:rsidR="005916AE" w:rsidRPr="00F2010E">
        <w:t xml:space="preserve"> cases in</w:t>
      </w:r>
      <w:r w:rsidR="005916AE">
        <w:t xml:space="preserve"> order </w:t>
      </w:r>
      <w:r w:rsidR="005916AE" w:rsidRPr="005916AE">
        <w:t xml:space="preserve">to </w:t>
      </w:r>
      <w:r w:rsidR="005916AE">
        <w:t>more accurately estimate the program delivery cost of dire</w:t>
      </w:r>
      <w:r w:rsidR="0063561E">
        <w:t xml:space="preserve">ct-install </w:t>
      </w:r>
      <w:r w:rsidR="00CD5EAC">
        <w:t>low income</w:t>
      </w:r>
      <w:r w:rsidR="0063561E">
        <w:t xml:space="preserve"> measures.</w:t>
      </w:r>
      <w:r w:rsidR="0063561E">
        <w:rPr>
          <w:rStyle w:val="FootnoteReference"/>
        </w:rPr>
        <w:footnoteReference w:id="4"/>
      </w:r>
      <w:r w:rsidR="0063561E">
        <w:t xml:space="preserve"> </w:t>
      </w:r>
      <w:r w:rsidR="005916AE">
        <w:t xml:space="preserve">This </w:t>
      </w:r>
      <w:r w:rsidR="00CD5EAC">
        <w:t>low income</w:t>
      </w:r>
      <w:r w:rsidR="005916AE">
        <w:t xml:space="preserve"> specific non-incentive cost </w:t>
      </w:r>
      <w:r w:rsidR="0063561E">
        <w:t xml:space="preserve">adjustment </w:t>
      </w:r>
      <w:r w:rsidR="005916AE">
        <w:t xml:space="preserve">only applied to measures that </w:t>
      </w:r>
      <w:r w:rsidR="00B77023">
        <w:t xml:space="preserve">might require contractor installation, such as insulation, refrigerator replacement, HVAC </w:t>
      </w:r>
      <w:r w:rsidR="00B77023">
        <w:lastRenderedPageBreak/>
        <w:t>equipment, etc. Other easy-to-install measures typically provided via giveaways or energy efficiency kits (CFL/LED bulbs, low flow devices, smart strips, etc.) retained the original non-incentive cost assumption.</w:t>
      </w:r>
    </w:p>
    <w:p w:rsidR="00B77023" w:rsidRDefault="00B77023" w:rsidP="00533798">
      <w:pPr>
        <w:jc w:val="both"/>
      </w:pPr>
    </w:p>
    <w:p w:rsidR="00B77023" w:rsidRDefault="00B77023" w:rsidP="00533798">
      <w:pPr>
        <w:jc w:val="both"/>
      </w:pPr>
      <w:r>
        <w:t xml:space="preserve">The overall impact of these two modifications was a general increase in the overall acquisition cost for energy efficiency. In addition to a modest adjustment to the overall acquisition cost and overall program potential (all sectors), the modifications resulted in new estimates </w:t>
      </w:r>
      <w:r w:rsidR="006B442A">
        <w:t xml:space="preserve">of </w:t>
      </w:r>
      <w:r>
        <w:t>potential in the residential sector.</w:t>
      </w:r>
      <w:r w:rsidR="0052021E">
        <w:rPr>
          <w:rStyle w:val="FootnoteReference"/>
        </w:rPr>
        <w:footnoteReference w:id="5"/>
      </w:r>
    </w:p>
    <w:p w:rsidR="00304C4A" w:rsidRDefault="00304C4A" w:rsidP="00533798">
      <w:pPr>
        <w:jc w:val="both"/>
        <w:rPr>
          <w:rFonts w:cs="Arial"/>
        </w:rPr>
      </w:pPr>
    </w:p>
    <w:p w:rsidR="00304C4A" w:rsidRPr="000215F7" w:rsidRDefault="00B77023" w:rsidP="00AA641A">
      <w:pPr>
        <w:pStyle w:val="Heading2"/>
        <w:rPr>
          <w:rStyle w:val="Strong"/>
          <w:b/>
          <w:bCs/>
        </w:rPr>
      </w:pPr>
      <w:r w:rsidRPr="000215F7">
        <w:rPr>
          <w:rStyle w:val="Strong"/>
          <w:b/>
          <w:bCs/>
        </w:rPr>
        <w:t xml:space="preserve">Revised Residential </w:t>
      </w:r>
      <w:r w:rsidR="00F33547">
        <w:rPr>
          <w:rStyle w:val="Strong"/>
          <w:b/>
          <w:bCs/>
        </w:rPr>
        <w:t>Achievable Potential</w:t>
      </w:r>
      <w:r w:rsidR="000215F7" w:rsidRPr="000215F7">
        <w:rPr>
          <w:rStyle w:val="Strong"/>
          <w:b/>
          <w:bCs/>
        </w:rPr>
        <w:tab/>
      </w:r>
    </w:p>
    <w:p w:rsidR="005C03A8" w:rsidRDefault="00610F62" w:rsidP="005C03A8">
      <w:pPr>
        <w:jc w:val="both"/>
      </w:pPr>
      <w:r w:rsidRPr="00F2010E">
        <w:fldChar w:fldCharType="begin"/>
      </w:r>
      <w:r w:rsidRPr="00F2010E">
        <w:instrText xml:space="preserve"> REF _Ref404512023 \h </w:instrText>
      </w:r>
      <w:r w:rsidR="002315CA" w:rsidRPr="00F2010E">
        <w:instrText xml:space="preserve"> \* MERGEFORMAT </w:instrText>
      </w:r>
      <w:r w:rsidRPr="00F2010E">
        <w:fldChar w:fldCharType="separate"/>
      </w:r>
      <w:r w:rsidR="00D07273" w:rsidRPr="00F2010E">
        <w:t xml:space="preserve">Table </w:t>
      </w:r>
      <w:r w:rsidR="00D07273" w:rsidRPr="00F2010E">
        <w:rPr>
          <w:noProof/>
        </w:rPr>
        <w:t>3</w:t>
      </w:r>
      <w:r w:rsidR="00D07273" w:rsidRPr="00F2010E">
        <w:noBreakHyphen/>
      </w:r>
      <w:r w:rsidR="00D07273" w:rsidRPr="00F2010E">
        <w:rPr>
          <w:noProof/>
        </w:rPr>
        <w:t>1</w:t>
      </w:r>
      <w:r w:rsidRPr="00F2010E">
        <w:fldChar w:fldCharType="end"/>
      </w:r>
      <w:r w:rsidR="005C03A8" w:rsidRPr="00F2010E">
        <w:t xml:space="preserve"> </w:t>
      </w:r>
      <w:r w:rsidR="00F2010E" w:rsidRPr="00F2010E">
        <w:t xml:space="preserve">provides the five-year achievable savings estimates by EDC as well as </w:t>
      </w:r>
      <w:r w:rsidR="005C03A8" w:rsidRPr="00F2010E">
        <w:t xml:space="preserve">the total program expenses paid by the EDCs to realize </w:t>
      </w:r>
      <w:r w:rsidR="00F2010E" w:rsidRPr="00F2010E">
        <w:t xml:space="preserve">the </w:t>
      </w:r>
      <w:r w:rsidR="005C03A8" w:rsidRPr="00F2010E">
        <w:t>savings estimates</w:t>
      </w:r>
      <w:r w:rsidR="00F2010E" w:rsidRPr="00F2010E">
        <w:t>,</w:t>
      </w:r>
      <w:r w:rsidR="005C03A8" w:rsidRPr="00F2010E">
        <w:t xml:space="preserve"> under the maximum and base achievable scenarios.</w:t>
      </w:r>
      <w:r w:rsidR="00A306DB" w:rsidRPr="00F2010E">
        <w:t xml:space="preserve"> This</w:t>
      </w:r>
      <w:r w:rsidR="00A306DB">
        <w:t xml:space="preserve"> table is an update to Table 3-7 in the energy efficiency potential study.</w:t>
      </w:r>
      <w:r w:rsidR="005C03A8">
        <w:t xml:space="preserve"> For the residential sector, the per first-year MWh acquisition cost is between $</w:t>
      </w:r>
      <w:r w:rsidR="00AC1495">
        <w:t>279</w:t>
      </w:r>
      <w:r w:rsidR="005C03A8">
        <w:t>/MWh in the maximum achievable scenario assuming 100% incentives for all measures, and $</w:t>
      </w:r>
      <w:r w:rsidR="00AC1495">
        <w:t>224</w:t>
      </w:r>
      <w:r w:rsidR="005C03A8">
        <w:t>/MWh in the base achievable scenario. The estimated EDC acquisition costs include both incentive costs as well as non-incentive costs to include marketing, incentive fulfillment, and EM&amp;V.</w:t>
      </w:r>
    </w:p>
    <w:p w:rsidR="005C03A8" w:rsidRDefault="005C03A8" w:rsidP="005C03A8">
      <w:pPr>
        <w:jc w:val="both"/>
      </w:pPr>
    </w:p>
    <w:p w:rsidR="005C03A8" w:rsidRPr="00FB5F19" w:rsidRDefault="005C03A8" w:rsidP="005C03A8">
      <w:pPr>
        <w:pStyle w:val="Caption"/>
      </w:pPr>
      <w:bookmarkStart w:id="5" w:name="_Ref404512023"/>
      <w:bookmarkStart w:id="6" w:name="_Toc412624754"/>
      <w:r w:rsidRPr="008612DD">
        <w:t xml:space="preserve">Table </w:t>
      </w:r>
      <w:r w:rsidR="002F7913">
        <w:fldChar w:fldCharType="begin"/>
      </w:r>
      <w:r w:rsidR="002F7913">
        <w:instrText xml:space="preserve"> STYLEREF 1 \s </w:instrText>
      </w:r>
      <w:r w:rsidR="002F7913">
        <w:fldChar w:fldCharType="separate"/>
      </w:r>
      <w:r w:rsidR="00BE0BFC">
        <w:rPr>
          <w:noProof/>
        </w:rPr>
        <w:t>3</w:t>
      </w:r>
      <w:r w:rsidR="002F7913">
        <w:rPr>
          <w:noProof/>
        </w:rPr>
        <w:fldChar w:fldCharType="end"/>
      </w:r>
      <w:r w:rsidR="00BE0BFC">
        <w:noBreakHyphen/>
      </w:r>
      <w:r w:rsidR="002F7913">
        <w:fldChar w:fldCharType="begin"/>
      </w:r>
      <w:r w:rsidR="002F7913">
        <w:instrText xml:space="preserve"> SEQ Table \* ARABIC \s 1 </w:instrText>
      </w:r>
      <w:r w:rsidR="002F7913">
        <w:fldChar w:fldCharType="separate"/>
      </w:r>
      <w:r w:rsidR="00BE0BFC">
        <w:rPr>
          <w:noProof/>
        </w:rPr>
        <w:t>1</w:t>
      </w:r>
      <w:r w:rsidR="002F7913">
        <w:rPr>
          <w:noProof/>
        </w:rPr>
        <w:fldChar w:fldCharType="end"/>
      </w:r>
      <w:bookmarkEnd w:id="5"/>
      <w:r w:rsidRPr="008612DD">
        <w:rPr>
          <w:noProof/>
        </w:rPr>
        <w:t>: Five-Year Residential Acquisition Costs (TRC) by Achievable Scenario by EDC</w:t>
      </w:r>
      <w:bookmarkEnd w:id="6"/>
    </w:p>
    <w:tbl>
      <w:tblPr>
        <w:tblW w:w="9460" w:type="dxa"/>
        <w:tblInd w:w="98" w:type="dxa"/>
        <w:tblBorders>
          <w:top w:val="single" w:sz="8" w:space="0" w:color="448A99"/>
          <w:left w:val="single" w:sz="8" w:space="0" w:color="448A99"/>
          <w:bottom w:val="single" w:sz="8" w:space="0" w:color="448A99"/>
          <w:right w:val="single" w:sz="8" w:space="0" w:color="448A99"/>
          <w:insideH w:val="single" w:sz="8" w:space="0" w:color="448A99"/>
          <w:insideV w:val="single" w:sz="8" w:space="0" w:color="448A99"/>
        </w:tblBorders>
        <w:tblLook w:val="04A0" w:firstRow="1" w:lastRow="0" w:firstColumn="1" w:lastColumn="0" w:noHBand="0" w:noVBand="1"/>
      </w:tblPr>
      <w:tblGrid>
        <w:gridCol w:w="1900"/>
        <w:gridCol w:w="2520"/>
        <w:gridCol w:w="2520"/>
        <w:gridCol w:w="2520"/>
      </w:tblGrid>
      <w:tr w:rsidR="005C03A8" w:rsidRPr="00FC0DB2" w:rsidTr="00AA641A">
        <w:trPr>
          <w:trHeight w:val="144"/>
          <w:tblHeader/>
        </w:trPr>
        <w:tc>
          <w:tcPr>
            <w:tcW w:w="1900" w:type="dxa"/>
            <w:shd w:val="clear" w:color="000000" w:fill="448A99"/>
            <w:vAlign w:val="center"/>
            <w:hideMark/>
          </w:tcPr>
          <w:p w:rsidR="005C03A8" w:rsidRPr="000B7D39" w:rsidRDefault="005C03A8" w:rsidP="008571BC">
            <w:pPr>
              <w:rPr>
                <w:rFonts w:ascii="Calibri" w:eastAsia="Times New Roman" w:hAnsi="Calibri" w:cs="Times New Roman"/>
                <w:b/>
                <w:bCs/>
                <w:color w:val="FFFFFF" w:themeColor="background1"/>
                <w:sz w:val="20"/>
                <w:szCs w:val="20"/>
              </w:rPr>
            </w:pPr>
            <w:r w:rsidRPr="000B7D39">
              <w:rPr>
                <w:rFonts w:ascii="Calibri" w:eastAsia="Times New Roman" w:hAnsi="Calibri" w:cs="Times New Roman"/>
                <w:b/>
                <w:bCs/>
                <w:color w:val="FFFFFF" w:themeColor="background1"/>
                <w:sz w:val="20"/>
                <w:szCs w:val="20"/>
              </w:rPr>
              <w:t>EDC</w:t>
            </w:r>
          </w:p>
        </w:tc>
        <w:tc>
          <w:tcPr>
            <w:tcW w:w="2520" w:type="dxa"/>
            <w:shd w:val="clear" w:color="000000" w:fill="448A99"/>
            <w:vAlign w:val="center"/>
            <w:hideMark/>
          </w:tcPr>
          <w:p w:rsidR="005C03A8" w:rsidRPr="000B7D39" w:rsidRDefault="005C03A8" w:rsidP="008571BC">
            <w:pPr>
              <w:jc w:val="center"/>
              <w:rPr>
                <w:rFonts w:ascii="Calibri" w:eastAsia="Times New Roman" w:hAnsi="Calibri" w:cs="Times New Roman"/>
                <w:b/>
                <w:bCs/>
                <w:color w:val="FFFFFF" w:themeColor="background1"/>
                <w:sz w:val="20"/>
                <w:szCs w:val="20"/>
              </w:rPr>
            </w:pPr>
            <w:r>
              <w:rPr>
                <w:rFonts w:ascii="Calibri" w:eastAsia="Times New Roman" w:hAnsi="Calibri" w:cs="Times New Roman"/>
                <w:b/>
                <w:bCs/>
                <w:color w:val="FFFFFF" w:themeColor="background1"/>
                <w:sz w:val="20"/>
                <w:szCs w:val="20"/>
              </w:rPr>
              <w:t xml:space="preserve">2016-2020 </w:t>
            </w:r>
            <w:r w:rsidRPr="000B7D39">
              <w:rPr>
                <w:rFonts w:ascii="Calibri" w:eastAsia="Times New Roman" w:hAnsi="Calibri" w:cs="Times New Roman"/>
                <w:b/>
                <w:bCs/>
                <w:color w:val="FFFFFF" w:themeColor="background1"/>
                <w:sz w:val="20"/>
                <w:szCs w:val="20"/>
              </w:rPr>
              <w:t>Program Costs ($Million)</w:t>
            </w:r>
          </w:p>
        </w:tc>
        <w:tc>
          <w:tcPr>
            <w:tcW w:w="2520" w:type="dxa"/>
            <w:shd w:val="clear" w:color="000000" w:fill="448A99"/>
            <w:vAlign w:val="center"/>
            <w:hideMark/>
          </w:tcPr>
          <w:p w:rsidR="005C03A8" w:rsidRPr="000B7D39" w:rsidRDefault="005C03A8" w:rsidP="008571BC">
            <w:pPr>
              <w:jc w:val="center"/>
              <w:rPr>
                <w:rFonts w:ascii="Calibri" w:eastAsia="Times New Roman" w:hAnsi="Calibri" w:cs="Times New Roman"/>
                <w:b/>
                <w:bCs/>
                <w:color w:val="FFFFFF" w:themeColor="background1"/>
                <w:sz w:val="20"/>
                <w:szCs w:val="20"/>
              </w:rPr>
            </w:pPr>
            <w:r>
              <w:rPr>
                <w:rFonts w:ascii="Calibri" w:eastAsia="Times New Roman" w:hAnsi="Calibri" w:cs="Times New Roman"/>
                <w:b/>
                <w:bCs/>
                <w:color w:val="FFFFFF" w:themeColor="background1"/>
                <w:sz w:val="20"/>
                <w:szCs w:val="20"/>
              </w:rPr>
              <w:t xml:space="preserve">2016-2020 </w:t>
            </w:r>
            <w:r w:rsidRPr="000B7D39">
              <w:rPr>
                <w:rFonts w:ascii="Calibri" w:eastAsia="Times New Roman" w:hAnsi="Calibri" w:cs="Times New Roman"/>
                <w:b/>
                <w:bCs/>
                <w:color w:val="FFFFFF" w:themeColor="background1"/>
                <w:sz w:val="20"/>
                <w:szCs w:val="20"/>
              </w:rPr>
              <w:t>Program Savings (MWh)</w:t>
            </w:r>
          </w:p>
        </w:tc>
        <w:tc>
          <w:tcPr>
            <w:tcW w:w="2520" w:type="dxa"/>
            <w:shd w:val="clear" w:color="000000" w:fill="448A99"/>
            <w:vAlign w:val="center"/>
            <w:hideMark/>
          </w:tcPr>
          <w:p w:rsidR="005C03A8" w:rsidRPr="000B7D39" w:rsidRDefault="005C03A8" w:rsidP="008571BC">
            <w:pPr>
              <w:jc w:val="center"/>
              <w:rPr>
                <w:rFonts w:ascii="Calibri" w:eastAsia="Times New Roman" w:hAnsi="Calibri" w:cs="Times New Roman"/>
                <w:b/>
                <w:bCs/>
                <w:color w:val="FFFFFF" w:themeColor="background1"/>
                <w:sz w:val="20"/>
                <w:szCs w:val="20"/>
              </w:rPr>
            </w:pPr>
            <w:r w:rsidRPr="000B7D39">
              <w:rPr>
                <w:rFonts w:ascii="Calibri" w:eastAsia="Times New Roman" w:hAnsi="Calibri" w:cs="Times New Roman"/>
                <w:b/>
                <w:bCs/>
                <w:color w:val="FFFFFF" w:themeColor="background1"/>
                <w:sz w:val="20"/>
                <w:szCs w:val="20"/>
              </w:rPr>
              <w:t>Acquisition Costs ($/</w:t>
            </w:r>
            <w:r>
              <w:rPr>
                <w:rFonts w:ascii="Calibri" w:eastAsia="Times New Roman" w:hAnsi="Calibri" w:cs="Times New Roman"/>
                <w:b/>
                <w:bCs/>
                <w:color w:val="FFFFFF" w:themeColor="background1"/>
                <w:sz w:val="20"/>
                <w:szCs w:val="20"/>
              </w:rPr>
              <w:t>1</w:t>
            </w:r>
            <w:r w:rsidRPr="00BC30B5">
              <w:rPr>
                <w:rFonts w:ascii="Calibri" w:eastAsia="Times New Roman" w:hAnsi="Calibri" w:cs="Times New Roman"/>
                <w:b/>
                <w:bCs/>
                <w:color w:val="FFFFFF" w:themeColor="background1"/>
                <w:sz w:val="20"/>
                <w:szCs w:val="20"/>
                <w:vertAlign w:val="superscript"/>
              </w:rPr>
              <w:t>st</w:t>
            </w:r>
            <w:r>
              <w:rPr>
                <w:rFonts w:ascii="Calibri" w:eastAsia="Times New Roman" w:hAnsi="Calibri" w:cs="Times New Roman"/>
                <w:b/>
                <w:bCs/>
                <w:color w:val="FFFFFF" w:themeColor="background1"/>
                <w:sz w:val="20"/>
                <w:szCs w:val="20"/>
              </w:rPr>
              <w:t xml:space="preserve">-YR </w:t>
            </w:r>
            <w:r w:rsidRPr="000B7D39">
              <w:rPr>
                <w:rFonts w:ascii="Calibri" w:eastAsia="Times New Roman" w:hAnsi="Calibri" w:cs="Times New Roman"/>
                <w:b/>
                <w:bCs/>
                <w:color w:val="FFFFFF" w:themeColor="background1"/>
                <w:sz w:val="20"/>
                <w:szCs w:val="20"/>
              </w:rPr>
              <w:t>MWh</w:t>
            </w:r>
            <w:r>
              <w:rPr>
                <w:rFonts w:ascii="Calibri" w:eastAsia="Times New Roman" w:hAnsi="Calibri" w:cs="Times New Roman"/>
                <w:b/>
                <w:bCs/>
                <w:color w:val="FFFFFF" w:themeColor="background1"/>
                <w:sz w:val="20"/>
                <w:szCs w:val="20"/>
              </w:rPr>
              <w:t xml:space="preserve"> Saved</w:t>
            </w:r>
            <w:r w:rsidRPr="000B7D39">
              <w:rPr>
                <w:rFonts w:ascii="Calibri" w:eastAsia="Times New Roman" w:hAnsi="Calibri" w:cs="Times New Roman"/>
                <w:b/>
                <w:bCs/>
                <w:color w:val="FFFFFF" w:themeColor="background1"/>
                <w:sz w:val="20"/>
                <w:szCs w:val="20"/>
              </w:rPr>
              <w:t>)</w:t>
            </w:r>
          </w:p>
        </w:tc>
      </w:tr>
      <w:tr w:rsidR="005C03A8" w:rsidRPr="00FC0DB2" w:rsidTr="00AA641A">
        <w:trPr>
          <w:trHeight w:val="144"/>
        </w:trPr>
        <w:tc>
          <w:tcPr>
            <w:tcW w:w="9460" w:type="dxa"/>
            <w:gridSpan w:val="4"/>
            <w:shd w:val="clear" w:color="auto" w:fill="9C9393"/>
            <w:vAlign w:val="center"/>
          </w:tcPr>
          <w:p w:rsidR="005C03A8" w:rsidRPr="00D36FB6" w:rsidRDefault="005C03A8" w:rsidP="008571BC">
            <w:pPr>
              <w:rPr>
                <w:rFonts w:ascii="Calibri" w:hAnsi="Calibri"/>
                <w:b/>
                <w:color w:val="FFFFFF" w:themeColor="background1"/>
                <w:sz w:val="20"/>
                <w:szCs w:val="20"/>
              </w:rPr>
            </w:pPr>
            <w:r w:rsidRPr="00D36FB6">
              <w:rPr>
                <w:b/>
                <w:color w:val="FFFFFF" w:themeColor="background1"/>
                <w:sz w:val="20"/>
                <w:szCs w:val="20"/>
              </w:rPr>
              <w:t>Maximum Achievable Scenario</w:t>
            </w:r>
          </w:p>
        </w:tc>
      </w:tr>
      <w:tr w:rsidR="008A5A9C" w:rsidRPr="00FC0DB2" w:rsidTr="0060585F">
        <w:trPr>
          <w:trHeight w:val="288"/>
        </w:trPr>
        <w:tc>
          <w:tcPr>
            <w:tcW w:w="1900" w:type="dxa"/>
            <w:shd w:val="clear" w:color="auto" w:fill="auto"/>
            <w:hideMark/>
          </w:tcPr>
          <w:p w:rsidR="008A5A9C" w:rsidRPr="00D36FB6" w:rsidRDefault="008A5A9C" w:rsidP="008571BC">
            <w:pPr>
              <w:rPr>
                <w:b/>
                <w:sz w:val="20"/>
                <w:szCs w:val="20"/>
              </w:rPr>
            </w:pPr>
            <w:r w:rsidRPr="00D36FB6">
              <w:rPr>
                <w:b/>
                <w:sz w:val="20"/>
                <w:szCs w:val="20"/>
              </w:rPr>
              <w:t>Duquesne</w:t>
            </w:r>
          </w:p>
        </w:tc>
        <w:tc>
          <w:tcPr>
            <w:tcW w:w="2520" w:type="dxa"/>
            <w:shd w:val="clear" w:color="auto" w:fill="auto"/>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$227.4</w:t>
            </w:r>
          </w:p>
        </w:tc>
        <w:tc>
          <w:tcPr>
            <w:tcW w:w="2520" w:type="dxa"/>
            <w:shd w:val="clear" w:color="auto" w:fill="auto"/>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780,024</w:t>
            </w:r>
          </w:p>
        </w:tc>
        <w:tc>
          <w:tcPr>
            <w:tcW w:w="2520" w:type="dxa"/>
            <w:shd w:val="clear" w:color="auto" w:fill="auto"/>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$291.50</w:t>
            </w:r>
          </w:p>
        </w:tc>
      </w:tr>
      <w:tr w:rsidR="008A5A9C" w:rsidRPr="00FC0DB2" w:rsidTr="0060585F">
        <w:trPr>
          <w:trHeight w:val="288"/>
        </w:trPr>
        <w:tc>
          <w:tcPr>
            <w:tcW w:w="1900" w:type="dxa"/>
            <w:shd w:val="clear" w:color="auto" w:fill="D2EAF1"/>
            <w:hideMark/>
          </w:tcPr>
          <w:p w:rsidR="008A5A9C" w:rsidRPr="00D36FB6" w:rsidRDefault="008A5A9C" w:rsidP="008571BC">
            <w:pPr>
              <w:rPr>
                <w:b/>
                <w:sz w:val="20"/>
                <w:szCs w:val="20"/>
              </w:rPr>
            </w:pPr>
            <w:r w:rsidRPr="00D36FB6">
              <w:rPr>
                <w:b/>
                <w:sz w:val="20"/>
                <w:szCs w:val="20"/>
              </w:rPr>
              <w:t>FE: Met-Ed</w:t>
            </w:r>
          </w:p>
        </w:tc>
        <w:tc>
          <w:tcPr>
            <w:tcW w:w="2520" w:type="dxa"/>
            <w:shd w:val="clear" w:color="auto" w:fill="D2EAF1"/>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$238.9</w:t>
            </w:r>
          </w:p>
        </w:tc>
        <w:tc>
          <w:tcPr>
            <w:tcW w:w="2520" w:type="dxa"/>
            <w:shd w:val="clear" w:color="auto" w:fill="D2EAF1"/>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912,181</w:t>
            </w:r>
          </w:p>
        </w:tc>
        <w:tc>
          <w:tcPr>
            <w:tcW w:w="2520" w:type="dxa"/>
            <w:shd w:val="clear" w:color="auto" w:fill="D2EAF1"/>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$261.94</w:t>
            </w:r>
          </w:p>
        </w:tc>
      </w:tr>
      <w:tr w:rsidR="008A5A9C" w:rsidRPr="00FC0DB2" w:rsidTr="0060585F">
        <w:trPr>
          <w:trHeight w:val="288"/>
        </w:trPr>
        <w:tc>
          <w:tcPr>
            <w:tcW w:w="1900" w:type="dxa"/>
            <w:shd w:val="clear" w:color="auto" w:fill="auto"/>
            <w:hideMark/>
          </w:tcPr>
          <w:p w:rsidR="008A5A9C" w:rsidRPr="00D36FB6" w:rsidRDefault="008A5A9C" w:rsidP="008571BC">
            <w:pPr>
              <w:rPr>
                <w:b/>
                <w:sz w:val="20"/>
                <w:szCs w:val="20"/>
              </w:rPr>
            </w:pPr>
            <w:r w:rsidRPr="00D36FB6">
              <w:rPr>
                <w:b/>
                <w:sz w:val="20"/>
                <w:szCs w:val="20"/>
              </w:rPr>
              <w:t>FE: Penelec</w:t>
            </w:r>
          </w:p>
        </w:tc>
        <w:tc>
          <w:tcPr>
            <w:tcW w:w="2520" w:type="dxa"/>
            <w:shd w:val="clear" w:color="auto" w:fill="auto"/>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$242.6</w:t>
            </w:r>
          </w:p>
        </w:tc>
        <w:tc>
          <w:tcPr>
            <w:tcW w:w="2520" w:type="dxa"/>
            <w:shd w:val="clear" w:color="auto" w:fill="auto"/>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815,324</w:t>
            </w:r>
          </w:p>
        </w:tc>
        <w:tc>
          <w:tcPr>
            <w:tcW w:w="2520" w:type="dxa"/>
            <w:shd w:val="clear" w:color="auto" w:fill="auto"/>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$297.50</w:t>
            </w:r>
          </w:p>
        </w:tc>
      </w:tr>
      <w:tr w:rsidR="008A5A9C" w:rsidRPr="00FC0DB2" w:rsidTr="0060585F">
        <w:trPr>
          <w:trHeight w:val="288"/>
        </w:trPr>
        <w:tc>
          <w:tcPr>
            <w:tcW w:w="1900" w:type="dxa"/>
            <w:shd w:val="clear" w:color="auto" w:fill="D2EAF1"/>
            <w:hideMark/>
          </w:tcPr>
          <w:p w:rsidR="008A5A9C" w:rsidRPr="00D36FB6" w:rsidRDefault="008A5A9C" w:rsidP="008571BC">
            <w:pPr>
              <w:rPr>
                <w:b/>
                <w:sz w:val="20"/>
                <w:szCs w:val="20"/>
              </w:rPr>
            </w:pPr>
            <w:r w:rsidRPr="00D36FB6">
              <w:rPr>
                <w:b/>
                <w:sz w:val="20"/>
                <w:szCs w:val="20"/>
              </w:rPr>
              <w:t>FE: Penn Power</w:t>
            </w:r>
          </w:p>
        </w:tc>
        <w:tc>
          <w:tcPr>
            <w:tcW w:w="2520" w:type="dxa"/>
            <w:shd w:val="clear" w:color="auto" w:fill="D2EAF1"/>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$69.3</w:t>
            </w:r>
          </w:p>
        </w:tc>
        <w:tc>
          <w:tcPr>
            <w:tcW w:w="2520" w:type="dxa"/>
            <w:shd w:val="clear" w:color="auto" w:fill="D2EAF1"/>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262,816</w:t>
            </w:r>
          </w:p>
        </w:tc>
        <w:tc>
          <w:tcPr>
            <w:tcW w:w="2520" w:type="dxa"/>
            <w:shd w:val="clear" w:color="auto" w:fill="D2EAF1"/>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$263.69</w:t>
            </w:r>
          </w:p>
        </w:tc>
      </w:tr>
      <w:tr w:rsidR="008A5A9C" w:rsidRPr="00FC0DB2" w:rsidTr="0060585F">
        <w:trPr>
          <w:trHeight w:val="288"/>
        </w:trPr>
        <w:tc>
          <w:tcPr>
            <w:tcW w:w="1900" w:type="dxa"/>
            <w:shd w:val="clear" w:color="auto" w:fill="auto"/>
            <w:hideMark/>
          </w:tcPr>
          <w:p w:rsidR="008A5A9C" w:rsidRPr="00D36FB6" w:rsidRDefault="008A5A9C" w:rsidP="008571BC">
            <w:pPr>
              <w:rPr>
                <w:b/>
                <w:sz w:val="20"/>
                <w:szCs w:val="20"/>
              </w:rPr>
            </w:pPr>
            <w:r w:rsidRPr="00D36FB6">
              <w:rPr>
                <w:b/>
                <w:sz w:val="20"/>
                <w:szCs w:val="20"/>
              </w:rPr>
              <w:t>FE: West Penn</w:t>
            </w:r>
          </w:p>
        </w:tc>
        <w:tc>
          <w:tcPr>
            <w:tcW w:w="2520" w:type="dxa"/>
            <w:shd w:val="clear" w:color="auto" w:fill="auto"/>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$368.4</w:t>
            </w:r>
          </w:p>
        </w:tc>
        <w:tc>
          <w:tcPr>
            <w:tcW w:w="2520" w:type="dxa"/>
            <w:shd w:val="clear" w:color="auto" w:fill="auto"/>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1,377,388</w:t>
            </w:r>
          </w:p>
        </w:tc>
        <w:tc>
          <w:tcPr>
            <w:tcW w:w="2520" w:type="dxa"/>
            <w:shd w:val="clear" w:color="auto" w:fill="auto"/>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$267.49</w:t>
            </w:r>
          </w:p>
        </w:tc>
      </w:tr>
      <w:tr w:rsidR="008A5A9C" w:rsidRPr="00FC0DB2" w:rsidTr="0060585F">
        <w:trPr>
          <w:trHeight w:val="288"/>
        </w:trPr>
        <w:tc>
          <w:tcPr>
            <w:tcW w:w="1900" w:type="dxa"/>
            <w:shd w:val="clear" w:color="auto" w:fill="D2EAF1"/>
            <w:hideMark/>
          </w:tcPr>
          <w:p w:rsidR="008A5A9C" w:rsidRPr="00D36FB6" w:rsidRDefault="008A5A9C" w:rsidP="008571BC">
            <w:pPr>
              <w:rPr>
                <w:b/>
                <w:sz w:val="20"/>
                <w:szCs w:val="20"/>
              </w:rPr>
            </w:pPr>
            <w:r w:rsidRPr="00D36FB6">
              <w:rPr>
                <w:b/>
                <w:sz w:val="20"/>
                <w:szCs w:val="20"/>
              </w:rPr>
              <w:t>PECO</w:t>
            </w:r>
          </w:p>
        </w:tc>
        <w:tc>
          <w:tcPr>
            <w:tcW w:w="2520" w:type="dxa"/>
            <w:shd w:val="clear" w:color="auto" w:fill="D2EAF1"/>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$603.7</w:t>
            </w:r>
          </w:p>
        </w:tc>
        <w:tc>
          <w:tcPr>
            <w:tcW w:w="2520" w:type="dxa"/>
            <w:shd w:val="clear" w:color="auto" w:fill="D2EAF1"/>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2,172,284</w:t>
            </w:r>
          </w:p>
        </w:tc>
        <w:tc>
          <w:tcPr>
            <w:tcW w:w="2520" w:type="dxa"/>
            <w:shd w:val="clear" w:color="auto" w:fill="D2EAF1"/>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$277.90</w:t>
            </w:r>
          </w:p>
        </w:tc>
      </w:tr>
      <w:tr w:rsidR="008A5A9C" w:rsidRPr="00FC0DB2" w:rsidTr="0060585F">
        <w:trPr>
          <w:trHeight w:val="288"/>
        </w:trPr>
        <w:tc>
          <w:tcPr>
            <w:tcW w:w="1900" w:type="dxa"/>
            <w:shd w:val="clear" w:color="auto" w:fill="auto"/>
            <w:hideMark/>
          </w:tcPr>
          <w:p w:rsidR="008A5A9C" w:rsidRPr="00D36FB6" w:rsidRDefault="008A5A9C" w:rsidP="008571BC">
            <w:pPr>
              <w:rPr>
                <w:b/>
                <w:sz w:val="20"/>
                <w:szCs w:val="20"/>
              </w:rPr>
            </w:pPr>
            <w:r w:rsidRPr="00D36FB6">
              <w:rPr>
                <w:b/>
                <w:sz w:val="20"/>
                <w:szCs w:val="20"/>
              </w:rPr>
              <w:t>PPL</w:t>
            </w:r>
          </w:p>
        </w:tc>
        <w:tc>
          <w:tcPr>
            <w:tcW w:w="2520" w:type="dxa"/>
            <w:shd w:val="clear" w:color="auto" w:fill="auto"/>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$689.9</w:t>
            </w:r>
          </w:p>
        </w:tc>
        <w:tc>
          <w:tcPr>
            <w:tcW w:w="2520" w:type="dxa"/>
            <w:shd w:val="clear" w:color="auto" w:fill="auto"/>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2,433,745</w:t>
            </w:r>
          </w:p>
        </w:tc>
        <w:tc>
          <w:tcPr>
            <w:tcW w:w="2520" w:type="dxa"/>
            <w:shd w:val="clear" w:color="auto" w:fill="auto"/>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$283.47</w:t>
            </w:r>
          </w:p>
        </w:tc>
      </w:tr>
      <w:tr w:rsidR="008A5A9C" w:rsidRPr="00FC0DB2" w:rsidTr="0060585F">
        <w:trPr>
          <w:trHeight w:val="288"/>
        </w:trPr>
        <w:tc>
          <w:tcPr>
            <w:tcW w:w="1900" w:type="dxa"/>
            <w:shd w:val="clear" w:color="auto" w:fill="D2EAF1"/>
            <w:vAlign w:val="center"/>
            <w:hideMark/>
          </w:tcPr>
          <w:p w:rsidR="008A5A9C" w:rsidRPr="00D36FB6" w:rsidRDefault="008A5A9C" w:rsidP="008571BC">
            <w:pPr>
              <w:rPr>
                <w:rFonts w:ascii="Calibri" w:eastAsia="Times New Roman" w:hAnsi="Calibri" w:cs="Times New Roman"/>
                <w:b/>
                <w:bCs/>
                <w:i/>
                <w:color w:val="000000"/>
                <w:sz w:val="20"/>
                <w:szCs w:val="20"/>
              </w:rPr>
            </w:pPr>
            <w:r w:rsidRPr="00D36FB6">
              <w:rPr>
                <w:rFonts w:ascii="Calibri" w:eastAsia="Times New Roman" w:hAnsi="Calibri" w:cs="Times New Roman"/>
                <w:b/>
                <w:bCs/>
                <w:i/>
                <w:color w:val="000000"/>
                <w:sz w:val="20"/>
                <w:szCs w:val="20"/>
              </w:rPr>
              <w:t>Statewide</w:t>
            </w:r>
          </w:p>
        </w:tc>
        <w:tc>
          <w:tcPr>
            <w:tcW w:w="2520" w:type="dxa"/>
            <w:shd w:val="clear" w:color="auto" w:fill="D2EAF1"/>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$2,440.2</w:t>
            </w:r>
          </w:p>
        </w:tc>
        <w:tc>
          <w:tcPr>
            <w:tcW w:w="2520" w:type="dxa"/>
            <w:shd w:val="clear" w:color="auto" w:fill="D2EAF1"/>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8,753,762</w:t>
            </w:r>
          </w:p>
        </w:tc>
        <w:tc>
          <w:tcPr>
            <w:tcW w:w="2520" w:type="dxa"/>
            <w:shd w:val="clear" w:color="auto" w:fill="D2EAF1"/>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$278.76</w:t>
            </w:r>
          </w:p>
        </w:tc>
      </w:tr>
      <w:tr w:rsidR="005C03A8" w:rsidRPr="00FC0DB2" w:rsidTr="0060585F">
        <w:trPr>
          <w:trHeight w:val="288"/>
        </w:trPr>
        <w:tc>
          <w:tcPr>
            <w:tcW w:w="9460" w:type="dxa"/>
            <w:gridSpan w:val="4"/>
            <w:shd w:val="clear" w:color="auto" w:fill="9C9393"/>
            <w:vAlign w:val="center"/>
          </w:tcPr>
          <w:p w:rsidR="005C03A8" w:rsidRPr="00D36FB6" w:rsidRDefault="005C03A8" w:rsidP="008A5A9C">
            <w:pPr>
              <w:rPr>
                <w:rFonts w:ascii="Calibri" w:hAnsi="Calibri"/>
                <w:b/>
                <w:color w:val="FFFFFF" w:themeColor="background1"/>
                <w:sz w:val="20"/>
                <w:szCs w:val="20"/>
              </w:rPr>
            </w:pPr>
            <w:r w:rsidRPr="00D36FB6">
              <w:rPr>
                <w:rFonts w:ascii="Calibri" w:eastAsia="Times New Roman" w:hAnsi="Calibri" w:cs="Times New Roman"/>
                <w:b/>
                <w:bCs/>
                <w:color w:val="FFFFFF" w:themeColor="background1"/>
                <w:sz w:val="20"/>
                <w:szCs w:val="20"/>
              </w:rPr>
              <w:t>Base Achievable Scenario</w:t>
            </w:r>
          </w:p>
        </w:tc>
      </w:tr>
      <w:tr w:rsidR="008A5A9C" w:rsidRPr="00FC0DB2" w:rsidTr="0060585F">
        <w:trPr>
          <w:trHeight w:val="288"/>
        </w:trPr>
        <w:tc>
          <w:tcPr>
            <w:tcW w:w="1900" w:type="dxa"/>
            <w:shd w:val="clear" w:color="auto" w:fill="auto"/>
          </w:tcPr>
          <w:p w:rsidR="008A5A9C" w:rsidRPr="0015545F" w:rsidRDefault="008A5A9C" w:rsidP="008571BC">
            <w:pPr>
              <w:rPr>
                <w:rFonts w:ascii="Calibri" w:eastAsia="Times New Roman" w:hAnsi="Calibri" w:cs="Times New Roman"/>
                <w:b/>
                <w:bCs/>
                <w:color w:val="000000"/>
                <w:sz w:val="20"/>
                <w:szCs w:val="20"/>
              </w:rPr>
            </w:pPr>
            <w:r w:rsidRPr="00D36FB6">
              <w:rPr>
                <w:b/>
                <w:sz w:val="20"/>
                <w:szCs w:val="20"/>
              </w:rPr>
              <w:t>Duquesne</w:t>
            </w:r>
          </w:p>
        </w:tc>
        <w:tc>
          <w:tcPr>
            <w:tcW w:w="2520" w:type="dxa"/>
            <w:shd w:val="clear" w:color="auto" w:fill="auto"/>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$118.4</w:t>
            </w:r>
          </w:p>
        </w:tc>
        <w:tc>
          <w:tcPr>
            <w:tcW w:w="2520" w:type="dxa"/>
            <w:shd w:val="clear" w:color="auto" w:fill="auto"/>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511,579</w:t>
            </w:r>
          </w:p>
        </w:tc>
        <w:tc>
          <w:tcPr>
            <w:tcW w:w="2520" w:type="dxa"/>
            <w:shd w:val="clear" w:color="auto" w:fill="auto"/>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$231.41</w:t>
            </w:r>
          </w:p>
        </w:tc>
      </w:tr>
      <w:tr w:rsidR="008A5A9C" w:rsidRPr="00FC0DB2" w:rsidTr="0060585F">
        <w:trPr>
          <w:trHeight w:val="288"/>
        </w:trPr>
        <w:tc>
          <w:tcPr>
            <w:tcW w:w="1900" w:type="dxa"/>
            <w:shd w:val="clear" w:color="auto" w:fill="D2EAF1"/>
          </w:tcPr>
          <w:p w:rsidR="008A5A9C" w:rsidRPr="0015545F" w:rsidRDefault="008A5A9C" w:rsidP="008571BC">
            <w:pPr>
              <w:rPr>
                <w:rFonts w:ascii="Calibri" w:eastAsia="Times New Roman" w:hAnsi="Calibri" w:cs="Times New Roman"/>
                <w:b/>
                <w:bCs/>
                <w:color w:val="000000"/>
                <w:sz w:val="20"/>
                <w:szCs w:val="20"/>
              </w:rPr>
            </w:pPr>
            <w:r w:rsidRPr="00D36FB6">
              <w:rPr>
                <w:b/>
                <w:sz w:val="20"/>
                <w:szCs w:val="20"/>
              </w:rPr>
              <w:t>FE: Met-Ed</w:t>
            </w:r>
          </w:p>
        </w:tc>
        <w:tc>
          <w:tcPr>
            <w:tcW w:w="2520" w:type="dxa"/>
            <w:shd w:val="clear" w:color="auto" w:fill="D2EAF1"/>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$124.6</w:t>
            </w:r>
          </w:p>
        </w:tc>
        <w:tc>
          <w:tcPr>
            <w:tcW w:w="2520" w:type="dxa"/>
            <w:shd w:val="clear" w:color="auto" w:fill="D2EAF1"/>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598,808</w:t>
            </w:r>
          </w:p>
        </w:tc>
        <w:tc>
          <w:tcPr>
            <w:tcW w:w="2520" w:type="dxa"/>
            <w:shd w:val="clear" w:color="auto" w:fill="D2EAF1"/>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$208.14</w:t>
            </w:r>
          </w:p>
        </w:tc>
      </w:tr>
      <w:tr w:rsidR="008A5A9C" w:rsidRPr="00FC0DB2" w:rsidTr="0060585F">
        <w:trPr>
          <w:trHeight w:val="288"/>
        </w:trPr>
        <w:tc>
          <w:tcPr>
            <w:tcW w:w="1900" w:type="dxa"/>
            <w:shd w:val="clear" w:color="auto" w:fill="auto"/>
          </w:tcPr>
          <w:p w:rsidR="008A5A9C" w:rsidRPr="0015545F" w:rsidRDefault="008A5A9C" w:rsidP="008571BC">
            <w:pPr>
              <w:rPr>
                <w:rFonts w:ascii="Calibri" w:eastAsia="Times New Roman" w:hAnsi="Calibri" w:cs="Times New Roman"/>
                <w:b/>
                <w:bCs/>
                <w:color w:val="000000"/>
                <w:sz w:val="20"/>
                <w:szCs w:val="20"/>
              </w:rPr>
            </w:pPr>
            <w:r w:rsidRPr="00D36FB6">
              <w:rPr>
                <w:b/>
                <w:sz w:val="20"/>
                <w:szCs w:val="20"/>
              </w:rPr>
              <w:t>FE: Penelec</w:t>
            </w:r>
          </w:p>
        </w:tc>
        <w:tc>
          <w:tcPr>
            <w:tcW w:w="2520" w:type="dxa"/>
            <w:shd w:val="clear" w:color="auto" w:fill="auto"/>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$126.4</w:t>
            </w:r>
          </w:p>
        </w:tc>
        <w:tc>
          <w:tcPr>
            <w:tcW w:w="2520" w:type="dxa"/>
            <w:shd w:val="clear" w:color="auto" w:fill="auto"/>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539,690</w:t>
            </w:r>
          </w:p>
        </w:tc>
        <w:tc>
          <w:tcPr>
            <w:tcW w:w="2520" w:type="dxa"/>
            <w:shd w:val="clear" w:color="auto" w:fill="auto"/>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$234.30</w:t>
            </w:r>
          </w:p>
        </w:tc>
      </w:tr>
      <w:tr w:rsidR="008A5A9C" w:rsidRPr="00FC0DB2" w:rsidTr="0060585F">
        <w:trPr>
          <w:trHeight w:val="288"/>
        </w:trPr>
        <w:tc>
          <w:tcPr>
            <w:tcW w:w="1900" w:type="dxa"/>
            <w:shd w:val="clear" w:color="auto" w:fill="D2EAF1"/>
          </w:tcPr>
          <w:p w:rsidR="008A5A9C" w:rsidRPr="0015545F" w:rsidRDefault="008A5A9C" w:rsidP="008571BC">
            <w:pPr>
              <w:rPr>
                <w:rFonts w:ascii="Calibri" w:eastAsia="Times New Roman" w:hAnsi="Calibri" w:cs="Times New Roman"/>
                <w:b/>
                <w:bCs/>
                <w:color w:val="000000"/>
                <w:sz w:val="20"/>
                <w:szCs w:val="20"/>
              </w:rPr>
            </w:pPr>
            <w:r w:rsidRPr="00D36FB6">
              <w:rPr>
                <w:b/>
                <w:sz w:val="20"/>
                <w:szCs w:val="20"/>
              </w:rPr>
              <w:t>FE: Penn Power</w:t>
            </w:r>
          </w:p>
        </w:tc>
        <w:tc>
          <w:tcPr>
            <w:tcW w:w="2520" w:type="dxa"/>
            <w:shd w:val="clear" w:color="auto" w:fill="D2EAF1"/>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$36.9</w:t>
            </w:r>
          </w:p>
        </w:tc>
        <w:tc>
          <w:tcPr>
            <w:tcW w:w="2520" w:type="dxa"/>
            <w:shd w:val="clear" w:color="auto" w:fill="D2EAF1"/>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172,563</w:t>
            </w:r>
          </w:p>
        </w:tc>
        <w:tc>
          <w:tcPr>
            <w:tcW w:w="2520" w:type="dxa"/>
            <w:shd w:val="clear" w:color="auto" w:fill="D2EAF1"/>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$214.04</w:t>
            </w:r>
          </w:p>
        </w:tc>
      </w:tr>
      <w:tr w:rsidR="008A5A9C" w:rsidRPr="00FC0DB2" w:rsidTr="0060585F">
        <w:trPr>
          <w:trHeight w:val="288"/>
        </w:trPr>
        <w:tc>
          <w:tcPr>
            <w:tcW w:w="1900" w:type="dxa"/>
            <w:shd w:val="clear" w:color="auto" w:fill="auto"/>
          </w:tcPr>
          <w:p w:rsidR="008A5A9C" w:rsidRPr="0015545F" w:rsidRDefault="008A5A9C" w:rsidP="008571BC">
            <w:pPr>
              <w:rPr>
                <w:rFonts w:ascii="Calibri" w:eastAsia="Times New Roman" w:hAnsi="Calibri" w:cs="Times New Roman"/>
                <w:b/>
                <w:bCs/>
                <w:color w:val="000000"/>
                <w:sz w:val="20"/>
                <w:szCs w:val="20"/>
              </w:rPr>
            </w:pPr>
            <w:r w:rsidRPr="00D36FB6">
              <w:rPr>
                <w:b/>
                <w:sz w:val="20"/>
                <w:szCs w:val="20"/>
              </w:rPr>
              <w:t>FE: West Penn</w:t>
            </w:r>
          </w:p>
        </w:tc>
        <w:tc>
          <w:tcPr>
            <w:tcW w:w="2520" w:type="dxa"/>
            <w:shd w:val="clear" w:color="auto" w:fill="auto"/>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$195.2</w:t>
            </w:r>
          </w:p>
        </w:tc>
        <w:tc>
          <w:tcPr>
            <w:tcW w:w="2520" w:type="dxa"/>
            <w:shd w:val="clear" w:color="auto" w:fill="auto"/>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900,329</w:t>
            </w:r>
          </w:p>
        </w:tc>
        <w:tc>
          <w:tcPr>
            <w:tcW w:w="2520" w:type="dxa"/>
            <w:shd w:val="clear" w:color="auto" w:fill="auto"/>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$216.76</w:t>
            </w:r>
          </w:p>
        </w:tc>
      </w:tr>
      <w:tr w:rsidR="008A5A9C" w:rsidRPr="00FC0DB2" w:rsidTr="0060585F">
        <w:trPr>
          <w:trHeight w:val="288"/>
        </w:trPr>
        <w:tc>
          <w:tcPr>
            <w:tcW w:w="1900" w:type="dxa"/>
            <w:shd w:val="clear" w:color="auto" w:fill="D2EAF1"/>
          </w:tcPr>
          <w:p w:rsidR="008A5A9C" w:rsidRPr="0015545F" w:rsidRDefault="008A5A9C" w:rsidP="008571BC">
            <w:pPr>
              <w:rPr>
                <w:rFonts w:ascii="Calibri" w:eastAsia="Times New Roman" w:hAnsi="Calibri" w:cs="Times New Roman"/>
                <w:b/>
                <w:bCs/>
                <w:color w:val="000000"/>
                <w:sz w:val="20"/>
                <w:szCs w:val="20"/>
              </w:rPr>
            </w:pPr>
            <w:r w:rsidRPr="00D36FB6">
              <w:rPr>
                <w:b/>
                <w:sz w:val="20"/>
                <w:szCs w:val="20"/>
              </w:rPr>
              <w:t>PECO</w:t>
            </w:r>
          </w:p>
        </w:tc>
        <w:tc>
          <w:tcPr>
            <w:tcW w:w="2520" w:type="dxa"/>
            <w:shd w:val="clear" w:color="auto" w:fill="D2EAF1"/>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$319.4</w:t>
            </w:r>
          </w:p>
        </w:tc>
        <w:tc>
          <w:tcPr>
            <w:tcW w:w="2520" w:type="dxa"/>
            <w:shd w:val="clear" w:color="auto" w:fill="D2EAF1"/>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1,420,082</w:t>
            </w:r>
          </w:p>
        </w:tc>
        <w:tc>
          <w:tcPr>
            <w:tcW w:w="2520" w:type="dxa"/>
            <w:shd w:val="clear" w:color="auto" w:fill="D2EAF1"/>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$224.91</w:t>
            </w:r>
          </w:p>
        </w:tc>
      </w:tr>
      <w:tr w:rsidR="008A5A9C" w:rsidRPr="00FC0DB2" w:rsidTr="0060585F">
        <w:trPr>
          <w:trHeight w:val="288"/>
        </w:trPr>
        <w:tc>
          <w:tcPr>
            <w:tcW w:w="1900" w:type="dxa"/>
            <w:shd w:val="clear" w:color="auto" w:fill="auto"/>
          </w:tcPr>
          <w:p w:rsidR="008A5A9C" w:rsidRPr="0015545F" w:rsidRDefault="008A5A9C" w:rsidP="008571BC">
            <w:pPr>
              <w:rPr>
                <w:rFonts w:ascii="Calibri" w:eastAsia="Times New Roman" w:hAnsi="Calibri" w:cs="Times New Roman"/>
                <w:b/>
                <w:bCs/>
                <w:color w:val="000000"/>
                <w:sz w:val="20"/>
                <w:szCs w:val="20"/>
              </w:rPr>
            </w:pPr>
            <w:r w:rsidRPr="00D36FB6">
              <w:rPr>
                <w:b/>
                <w:sz w:val="20"/>
                <w:szCs w:val="20"/>
              </w:rPr>
              <w:t>PPL</w:t>
            </w:r>
          </w:p>
        </w:tc>
        <w:tc>
          <w:tcPr>
            <w:tcW w:w="2520" w:type="dxa"/>
            <w:shd w:val="clear" w:color="auto" w:fill="auto"/>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$364.6</w:t>
            </w:r>
          </w:p>
        </w:tc>
        <w:tc>
          <w:tcPr>
            <w:tcW w:w="2520" w:type="dxa"/>
            <w:shd w:val="clear" w:color="auto" w:fill="auto"/>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1,590,830</w:t>
            </w:r>
          </w:p>
        </w:tc>
        <w:tc>
          <w:tcPr>
            <w:tcW w:w="2520" w:type="dxa"/>
            <w:shd w:val="clear" w:color="auto" w:fill="auto"/>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$229.19</w:t>
            </w:r>
          </w:p>
        </w:tc>
      </w:tr>
      <w:tr w:rsidR="008A5A9C" w:rsidRPr="0015545F" w:rsidTr="0060585F">
        <w:trPr>
          <w:trHeight w:val="288"/>
        </w:trPr>
        <w:tc>
          <w:tcPr>
            <w:tcW w:w="1900" w:type="dxa"/>
            <w:shd w:val="clear" w:color="auto" w:fill="D2EAF1"/>
            <w:vAlign w:val="center"/>
          </w:tcPr>
          <w:p w:rsidR="008A5A9C" w:rsidRPr="00D36FB6" w:rsidRDefault="008A5A9C" w:rsidP="008571BC">
            <w:pPr>
              <w:rPr>
                <w:rFonts w:ascii="Calibri" w:eastAsia="Times New Roman" w:hAnsi="Calibri" w:cs="Times New Roman"/>
                <w:b/>
                <w:bCs/>
                <w:i/>
                <w:color w:val="000000"/>
                <w:sz w:val="20"/>
                <w:szCs w:val="20"/>
              </w:rPr>
            </w:pPr>
            <w:r w:rsidRPr="00D36FB6">
              <w:rPr>
                <w:rFonts w:ascii="Calibri" w:eastAsia="Times New Roman" w:hAnsi="Calibri" w:cs="Times New Roman"/>
                <w:b/>
                <w:bCs/>
                <w:i/>
                <w:color w:val="000000"/>
                <w:sz w:val="20"/>
                <w:szCs w:val="20"/>
              </w:rPr>
              <w:t>Statewide</w:t>
            </w:r>
          </w:p>
        </w:tc>
        <w:tc>
          <w:tcPr>
            <w:tcW w:w="2520" w:type="dxa"/>
            <w:shd w:val="clear" w:color="auto" w:fill="D2EAF1"/>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$1,285.5</w:t>
            </w:r>
          </w:p>
        </w:tc>
        <w:tc>
          <w:tcPr>
            <w:tcW w:w="2520" w:type="dxa"/>
            <w:shd w:val="clear" w:color="auto" w:fill="D2EAF1"/>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5,733,881</w:t>
            </w:r>
          </w:p>
        </w:tc>
        <w:tc>
          <w:tcPr>
            <w:tcW w:w="2520" w:type="dxa"/>
            <w:shd w:val="clear" w:color="auto" w:fill="D2EAF1"/>
            <w:vAlign w:val="center"/>
          </w:tcPr>
          <w:p w:rsidR="008A5A9C" w:rsidRDefault="008A5A9C" w:rsidP="008A5A9C">
            <w:pPr>
              <w:jc w:val="center"/>
              <w:rPr>
                <w:rFonts w:ascii="Calibri" w:hAnsi="Calibri"/>
                <w:color w:val="000000"/>
                <w:sz w:val="18"/>
                <w:szCs w:val="18"/>
              </w:rPr>
            </w:pPr>
            <w:r>
              <w:rPr>
                <w:rFonts w:ascii="Calibri" w:hAnsi="Calibri"/>
                <w:color w:val="000000"/>
                <w:sz w:val="18"/>
                <w:szCs w:val="18"/>
              </w:rPr>
              <w:t>$224.20</w:t>
            </w:r>
          </w:p>
        </w:tc>
      </w:tr>
    </w:tbl>
    <w:p w:rsidR="00AA641A" w:rsidRDefault="00AA641A" w:rsidP="00533798">
      <w:pPr>
        <w:jc w:val="both"/>
        <w:rPr>
          <w:rFonts w:cs="Arial"/>
        </w:rPr>
      </w:pPr>
      <w:r>
        <w:rPr>
          <w:rFonts w:cs="Arial"/>
        </w:rPr>
        <w:br w:type="page"/>
      </w:r>
    </w:p>
    <w:p w:rsidR="00533798" w:rsidRDefault="00533798" w:rsidP="007001FA">
      <w:pPr>
        <w:pStyle w:val="Heading1"/>
      </w:pPr>
      <w:r>
        <w:lastRenderedPageBreak/>
        <w:t>Revised E</w:t>
      </w:r>
      <w:r w:rsidR="00CB7A7F">
        <w:t>nergy Efficiency</w:t>
      </w:r>
      <w:r>
        <w:t xml:space="preserve"> </w:t>
      </w:r>
      <w:r w:rsidR="00D9712B">
        <w:t>and Demand Response Targets</w:t>
      </w:r>
    </w:p>
    <w:p w:rsidR="007001FA" w:rsidRDefault="00CB7A7F" w:rsidP="00533798">
      <w:pPr>
        <w:jc w:val="both"/>
        <w:rPr>
          <w:rFonts w:cs="Arial"/>
        </w:rPr>
      </w:pPr>
      <w:r>
        <w:rPr>
          <w:rFonts w:cs="Arial"/>
        </w:rPr>
        <w:t xml:space="preserve">The revisions made to the residential sector energy efficiency potential estimates which affect the </w:t>
      </w:r>
      <w:r w:rsidR="00CD5EAC">
        <w:rPr>
          <w:rFonts w:cs="Arial"/>
        </w:rPr>
        <w:t>low income</w:t>
      </w:r>
      <w:r>
        <w:rPr>
          <w:rFonts w:cs="Arial"/>
        </w:rPr>
        <w:t xml:space="preserve"> sector have an impact </w:t>
      </w:r>
      <w:r w:rsidR="002315CA">
        <w:rPr>
          <w:rFonts w:cs="Arial"/>
        </w:rPr>
        <w:t xml:space="preserve">on </w:t>
      </w:r>
      <w:r>
        <w:rPr>
          <w:rFonts w:cs="Arial"/>
        </w:rPr>
        <w:t>the overall savings estimates across all sectors. The revised energy efficiency potential estimates spanning all sectors are summarized described below.</w:t>
      </w:r>
    </w:p>
    <w:p w:rsidR="00CB7A7F" w:rsidRDefault="00CB7A7F" w:rsidP="00533798">
      <w:pPr>
        <w:jc w:val="both"/>
        <w:rPr>
          <w:rFonts w:cs="Arial"/>
        </w:rPr>
      </w:pPr>
    </w:p>
    <w:p w:rsidR="00C52732" w:rsidRDefault="00C014CC" w:rsidP="00533798">
      <w:pPr>
        <w:jc w:val="both"/>
      </w:pPr>
      <w:r w:rsidRPr="00C014CC">
        <w:t xml:space="preserve">Act 129 of 2008 imposed an annual spending limit of 2% of 2006 revenues for each EDC.  The SWE’s EE MPS examined program potential assuming that the entire 2% funding allocation would be devoted to energy efficiency. These program potential estimates are presented in </w:t>
      </w:r>
      <w:r>
        <w:fldChar w:fldCharType="begin"/>
      </w:r>
      <w:r>
        <w:instrText xml:space="preserve"> REF _Ref420510690 \h </w:instrText>
      </w:r>
      <w:r>
        <w:fldChar w:fldCharType="separate"/>
      </w:r>
      <w:r>
        <w:t xml:space="preserve">Table </w:t>
      </w:r>
      <w:r>
        <w:rPr>
          <w:noProof/>
        </w:rPr>
        <w:t>4</w:t>
      </w:r>
      <w:r>
        <w:noBreakHyphen/>
      </w:r>
      <w:r>
        <w:rPr>
          <w:noProof/>
        </w:rPr>
        <w:t>1</w:t>
      </w:r>
      <w:r>
        <w:fldChar w:fldCharType="end"/>
      </w:r>
      <w:r w:rsidRPr="00C014CC">
        <w:t xml:space="preserve"> along with the SWE’s technical, economic, achievable and program estimates of energy efficiency potential. This table </w:t>
      </w:r>
      <w:r w:rsidR="007C5E35">
        <w:t>is an update of</w:t>
      </w:r>
      <w:r w:rsidR="00D9712B">
        <w:t xml:space="preserve"> </w:t>
      </w:r>
      <w:r>
        <w:t xml:space="preserve">Table 1 </w:t>
      </w:r>
      <w:r w:rsidR="007C5E35">
        <w:t>from</w:t>
      </w:r>
      <w:r>
        <w:t xml:space="preserve"> </w:t>
      </w:r>
      <w:r w:rsidR="007C5E35">
        <w:t>the</w:t>
      </w:r>
      <w:r>
        <w:t xml:space="preserve"> Addendum to</w:t>
      </w:r>
      <w:r w:rsidR="007C5E35">
        <w:t xml:space="preserve"> the Tentative Implementation Order</w:t>
      </w:r>
      <w:r w:rsidR="007C5E35">
        <w:rPr>
          <w:rStyle w:val="FootnoteReference"/>
        </w:rPr>
        <w:footnoteReference w:id="6"/>
      </w:r>
      <w:r w:rsidR="007C5E35">
        <w:t>.</w:t>
      </w:r>
      <w:r w:rsidR="00D9712B">
        <w:t xml:space="preserve"> The data has been updated to reflect the revision</w:t>
      </w:r>
      <w:r w:rsidR="002315CA">
        <w:t>s</w:t>
      </w:r>
      <w:r w:rsidR="00D9712B">
        <w:t xml:space="preserve"> discussed herein.</w:t>
      </w:r>
      <w:r w:rsidRPr="00C014CC">
        <w:t xml:space="preserve"> </w:t>
      </w:r>
    </w:p>
    <w:p w:rsidR="002120C1" w:rsidRDefault="002120C1" w:rsidP="00533798">
      <w:pPr>
        <w:jc w:val="both"/>
        <w:rPr>
          <w:rFonts w:cs="Arial"/>
        </w:rPr>
      </w:pPr>
    </w:p>
    <w:p w:rsidR="00C52732" w:rsidRPr="006D4EBD" w:rsidRDefault="00610F62" w:rsidP="00610F62">
      <w:pPr>
        <w:pStyle w:val="Caption"/>
      </w:pPr>
      <w:bookmarkStart w:id="7" w:name="_Ref420510690"/>
      <w:bookmarkStart w:id="8" w:name="_Toc412624734"/>
      <w:r>
        <w:t xml:space="preserve">Table </w:t>
      </w:r>
      <w:r w:rsidR="002F7913">
        <w:fldChar w:fldCharType="begin"/>
      </w:r>
      <w:r w:rsidR="002F7913">
        <w:instrText xml:space="preserve"> STYLEREF 1 \s </w:instrText>
      </w:r>
      <w:r w:rsidR="002F7913">
        <w:fldChar w:fldCharType="separate"/>
      </w:r>
      <w:r w:rsidR="00BE0BFC">
        <w:rPr>
          <w:noProof/>
        </w:rPr>
        <w:t>4</w:t>
      </w:r>
      <w:r w:rsidR="002F7913">
        <w:rPr>
          <w:noProof/>
        </w:rPr>
        <w:fldChar w:fldCharType="end"/>
      </w:r>
      <w:r w:rsidR="00BE0BFC">
        <w:noBreakHyphen/>
      </w:r>
      <w:r w:rsidR="002F7913">
        <w:fldChar w:fldCharType="begin"/>
      </w:r>
      <w:r w:rsidR="002F7913">
        <w:instrText xml:space="preserve"> SEQ Table \* ARABIC \s 1 </w:instrText>
      </w:r>
      <w:r w:rsidR="002F7913">
        <w:fldChar w:fldCharType="separate"/>
      </w:r>
      <w:r w:rsidR="00BE0BFC">
        <w:rPr>
          <w:noProof/>
        </w:rPr>
        <w:t>1</w:t>
      </w:r>
      <w:r w:rsidR="002F7913">
        <w:rPr>
          <w:noProof/>
        </w:rPr>
        <w:fldChar w:fldCharType="end"/>
      </w:r>
      <w:bookmarkEnd w:id="7"/>
      <w:r w:rsidR="00C52732" w:rsidRPr="006D4EBD">
        <w:t>: Statewide Summary of Potential Savings and Costs by Scenario by Year</w:t>
      </w:r>
      <w:bookmarkEnd w:id="8"/>
    </w:p>
    <w:tbl>
      <w:tblPr>
        <w:tblW w:w="9340" w:type="dxa"/>
        <w:tblInd w:w="98" w:type="dxa"/>
        <w:tblBorders>
          <w:top w:val="single" w:sz="8" w:space="0" w:color="448A99"/>
          <w:left w:val="single" w:sz="8" w:space="0" w:color="448A99"/>
          <w:bottom w:val="single" w:sz="8" w:space="0" w:color="448A99"/>
          <w:right w:val="single" w:sz="8" w:space="0" w:color="448A99"/>
          <w:insideH w:val="single" w:sz="8" w:space="0" w:color="448A99"/>
          <w:insideV w:val="single" w:sz="8" w:space="0" w:color="448A99"/>
        </w:tblBorders>
        <w:tblLook w:val="04A0" w:firstRow="1" w:lastRow="0" w:firstColumn="1" w:lastColumn="0" w:noHBand="0" w:noVBand="1"/>
      </w:tblPr>
      <w:tblGrid>
        <w:gridCol w:w="2354"/>
        <w:gridCol w:w="1119"/>
        <w:gridCol w:w="1127"/>
        <w:gridCol w:w="1359"/>
        <w:gridCol w:w="1127"/>
        <w:gridCol w:w="1127"/>
        <w:gridCol w:w="1127"/>
      </w:tblGrid>
      <w:tr w:rsidR="00C52732" w:rsidRPr="00FC0DB2" w:rsidTr="00AA641A">
        <w:trPr>
          <w:trHeight w:val="144"/>
          <w:tblHeader/>
        </w:trPr>
        <w:tc>
          <w:tcPr>
            <w:tcW w:w="2354" w:type="dxa"/>
            <w:shd w:val="clear" w:color="000000" w:fill="448A99"/>
            <w:vAlign w:val="center"/>
            <w:hideMark/>
          </w:tcPr>
          <w:p w:rsidR="00C52732" w:rsidRPr="00625E08" w:rsidRDefault="00C52732" w:rsidP="008571BC">
            <w:pPr>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 </w:t>
            </w:r>
          </w:p>
        </w:tc>
        <w:tc>
          <w:tcPr>
            <w:tcW w:w="1119" w:type="dxa"/>
            <w:shd w:val="clear" w:color="000000" w:fill="448A99"/>
            <w:vAlign w:val="center"/>
            <w:hideMark/>
          </w:tcPr>
          <w:p w:rsidR="00C52732" w:rsidRPr="00625E08" w:rsidRDefault="00C52732" w:rsidP="008571BC">
            <w:pPr>
              <w:jc w:val="center"/>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2016</w:t>
            </w:r>
          </w:p>
        </w:tc>
        <w:tc>
          <w:tcPr>
            <w:tcW w:w="1127" w:type="dxa"/>
            <w:shd w:val="clear" w:color="000000" w:fill="448A99"/>
            <w:vAlign w:val="center"/>
            <w:hideMark/>
          </w:tcPr>
          <w:p w:rsidR="00C52732" w:rsidRPr="00625E08" w:rsidRDefault="00C52732" w:rsidP="008571BC">
            <w:pPr>
              <w:jc w:val="center"/>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2017</w:t>
            </w:r>
          </w:p>
        </w:tc>
        <w:tc>
          <w:tcPr>
            <w:tcW w:w="1359" w:type="dxa"/>
            <w:shd w:val="clear" w:color="000000" w:fill="448A99"/>
            <w:vAlign w:val="center"/>
            <w:hideMark/>
          </w:tcPr>
          <w:p w:rsidR="00C52732" w:rsidRPr="00625E08" w:rsidRDefault="00C52732" w:rsidP="008571BC">
            <w:pPr>
              <w:jc w:val="center"/>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2018</w:t>
            </w:r>
          </w:p>
        </w:tc>
        <w:tc>
          <w:tcPr>
            <w:tcW w:w="1127" w:type="dxa"/>
            <w:shd w:val="clear" w:color="000000" w:fill="448A99"/>
            <w:vAlign w:val="center"/>
            <w:hideMark/>
          </w:tcPr>
          <w:p w:rsidR="00C52732" w:rsidRPr="00625E08" w:rsidRDefault="00C52732" w:rsidP="008571BC">
            <w:pPr>
              <w:jc w:val="center"/>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2019</w:t>
            </w:r>
          </w:p>
        </w:tc>
        <w:tc>
          <w:tcPr>
            <w:tcW w:w="1127" w:type="dxa"/>
            <w:shd w:val="clear" w:color="000000" w:fill="448A99"/>
            <w:noWrap/>
            <w:vAlign w:val="center"/>
            <w:hideMark/>
          </w:tcPr>
          <w:p w:rsidR="00C52732" w:rsidRPr="00625E08" w:rsidRDefault="00C52732" w:rsidP="008571BC">
            <w:pPr>
              <w:jc w:val="center"/>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2020</w:t>
            </w:r>
          </w:p>
        </w:tc>
        <w:tc>
          <w:tcPr>
            <w:tcW w:w="1127" w:type="dxa"/>
            <w:shd w:val="clear" w:color="000000" w:fill="448A99"/>
            <w:vAlign w:val="center"/>
            <w:hideMark/>
          </w:tcPr>
          <w:p w:rsidR="00C52732" w:rsidRPr="00625E08" w:rsidRDefault="00C52732" w:rsidP="008571BC">
            <w:pPr>
              <w:jc w:val="center"/>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2025</w:t>
            </w:r>
          </w:p>
        </w:tc>
      </w:tr>
      <w:tr w:rsidR="00C52732" w:rsidRPr="00FC0DB2" w:rsidTr="00F2010E">
        <w:trPr>
          <w:trHeight w:val="20"/>
        </w:trPr>
        <w:tc>
          <w:tcPr>
            <w:tcW w:w="9340" w:type="dxa"/>
            <w:gridSpan w:val="7"/>
            <w:shd w:val="clear" w:color="000000" w:fill="9C9393"/>
            <w:vAlign w:val="center"/>
            <w:hideMark/>
          </w:tcPr>
          <w:p w:rsidR="00C52732" w:rsidRPr="00625E08" w:rsidRDefault="00C52732" w:rsidP="008571BC">
            <w:pPr>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 xml:space="preserve">Cumulative Savings Potential </w:t>
            </w:r>
            <w:r w:rsidR="00C014CC">
              <w:rPr>
                <w:rFonts w:ascii="Calibri" w:eastAsia="Times New Roman" w:hAnsi="Calibri" w:cs="Times New Roman"/>
                <w:b/>
                <w:bCs/>
                <w:color w:val="FFFFFF"/>
                <w:sz w:val="20"/>
                <w:szCs w:val="20"/>
              </w:rPr>
              <w:t>–</w:t>
            </w:r>
            <w:r w:rsidRPr="00625E08">
              <w:rPr>
                <w:rFonts w:ascii="Calibri" w:eastAsia="Times New Roman" w:hAnsi="Calibri" w:cs="Times New Roman"/>
                <w:b/>
                <w:bCs/>
                <w:color w:val="FFFFFF"/>
                <w:sz w:val="20"/>
                <w:szCs w:val="20"/>
              </w:rPr>
              <w:t xml:space="preserve"> MWh</w:t>
            </w:r>
          </w:p>
        </w:tc>
      </w:tr>
      <w:tr w:rsidR="00D457F2" w:rsidRPr="00FC0DB2" w:rsidTr="00F2010E">
        <w:trPr>
          <w:trHeight w:val="288"/>
        </w:trPr>
        <w:tc>
          <w:tcPr>
            <w:tcW w:w="2354" w:type="dxa"/>
            <w:shd w:val="clear" w:color="auto" w:fill="auto"/>
            <w:vAlign w:val="center"/>
            <w:hideMark/>
          </w:tcPr>
          <w:p w:rsidR="00D457F2" w:rsidRPr="00D36FB6" w:rsidRDefault="00D457F2" w:rsidP="008571BC">
            <w:pPr>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Technical</w:t>
            </w:r>
          </w:p>
        </w:tc>
        <w:tc>
          <w:tcPr>
            <w:tcW w:w="1119"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6,856,302</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13,310,086</w:t>
            </w:r>
          </w:p>
        </w:tc>
        <w:tc>
          <w:tcPr>
            <w:tcW w:w="1359"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19,406,488</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24,869,797</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26,052,612</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42,354,789</w:t>
            </w:r>
          </w:p>
        </w:tc>
      </w:tr>
      <w:tr w:rsidR="00D457F2" w:rsidRPr="00FC0DB2" w:rsidTr="00F2010E">
        <w:trPr>
          <w:trHeight w:val="288"/>
        </w:trPr>
        <w:tc>
          <w:tcPr>
            <w:tcW w:w="2354" w:type="dxa"/>
            <w:shd w:val="clear" w:color="auto" w:fill="D2EAF1"/>
            <w:vAlign w:val="center"/>
            <w:hideMark/>
          </w:tcPr>
          <w:p w:rsidR="00D457F2" w:rsidRPr="00D36FB6" w:rsidRDefault="00D457F2" w:rsidP="008571BC">
            <w:pPr>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Economic</w:t>
            </w:r>
          </w:p>
        </w:tc>
        <w:tc>
          <w:tcPr>
            <w:tcW w:w="1119"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4,954,738</w:t>
            </w:r>
          </w:p>
        </w:tc>
        <w:tc>
          <w:tcPr>
            <w:tcW w:w="1127"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9,518,150</w:t>
            </w:r>
          </w:p>
        </w:tc>
        <w:tc>
          <w:tcPr>
            <w:tcW w:w="1359"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13,861,124</w:t>
            </w:r>
          </w:p>
        </w:tc>
        <w:tc>
          <w:tcPr>
            <w:tcW w:w="1127"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17,865,995</w:t>
            </w:r>
          </w:p>
        </w:tc>
        <w:tc>
          <w:tcPr>
            <w:tcW w:w="1127"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17,536,733</w:t>
            </w:r>
          </w:p>
        </w:tc>
        <w:tc>
          <w:tcPr>
            <w:tcW w:w="1127"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27,359,654</w:t>
            </w:r>
          </w:p>
        </w:tc>
      </w:tr>
      <w:tr w:rsidR="00D457F2" w:rsidRPr="00FC0DB2" w:rsidTr="00F2010E">
        <w:trPr>
          <w:trHeight w:val="288"/>
        </w:trPr>
        <w:tc>
          <w:tcPr>
            <w:tcW w:w="2354" w:type="dxa"/>
            <w:shd w:val="clear" w:color="auto" w:fill="auto"/>
            <w:vAlign w:val="center"/>
            <w:hideMark/>
          </w:tcPr>
          <w:p w:rsidR="00D457F2" w:rsidRPr="00D36FB6" w:rsidRDefault="00D457F2" w:rsidP="008571BC">
            <w:pPr>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Maximum Achievable</w:t>
            </w:r>
          </w:p>
        </w:tc>
        <w:tc>
          <w:tcPr>
            <w:tcW w:w="1119"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2,782,510</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5,489,706</w:t>
            </w:r>
          </w:p>
        </w:tc>
        <w:tc>
          <w:tcPr>
            <w:tcW w:w="1359"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8,215,325</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10,872,575</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11,104,047</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19,574,030</w:t>
            </w:r>
          </w:p>
        </w:tc>
      </w:tr>
      <w:tr w:rsidR="00D457F2" w:rsidRPr="00FC0DB2" w:rsidTr="00F2010E">
        <w:trPr>
          <w:trHeight w:val="288"/>
        </w:trPr>
        <w:tc>
          <w:tcPr>
            <w:tcW w:w="2354" w:type="dxa"/>
            <w:shd w:val="clear" w:color="auto" w:fill="D2EAF1"/>
            <w:vAlign w:val="center"/>
            <w:hideMark/>
          </w:tcPr>
          <w:p w:rsidR="00D457F2" w:rsidRPr="00D36FB6" w:rsidRDefault="00D457F2" w:rsidP="008571BC">
            <w:pPr>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Base Achievable</w:t>
            </w:r>
          </w:p>
        </w:tc>
        <w:tc>
          <w:tcPr>
            <w:tcW w:w="1119"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1,627,032</w:t>
            </w:r>
          </w:p>
        </w:tc>
        <w:tc>
          <w:tcPr>
            <w:tcW w:w="1127"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3,320,053</w:t>
            </w:r>
          </w:p>
        </w:tc>
        <w:tc>
          <w:tcPr>
            <w:tcW w:w="1359"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5,034,256</w:t>
            </w:r>
          </w:p>
        </w:tc>
        <w:tc>
          <w:tcPr>
            <w:tcW w:w="1127"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6,713,044</w:t>
            </w:r>
          </w:p>
        </w:tc>
        <w:tc>
          <w:tcPr>
            <w:tcW w:w="1127"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6,824,087</w:t>
            </w:r>
          </w:p>
        </w:tc>
        <w:tc>
          <w:tcPr>
            <w:tcW w:w="1127"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12,240,394</w:t>
            </w:r>
          </w:p>
        </w:tc>
      </w:tr>
      <w:tr w:rsidR="00D457F2" w:rsidRPr="00FC0DB2" w:rsidTr="00F2010E">
        <w:trPr>
          <w:trHeight w:val="288"/>
        </w:trPr>
        <w:tc>
          <w:tcPr>
            <w:tcW w:w="2354" w:type="dxa"/>
            <w:shd w:val="clear" w:color="auto" w:fill="auto"/>
            <w:vAlign w:val="center"/>
            <w:hideMark/>
          </w:tcPr>
          <w:p w:rsidR="00D457F2" w:rsidRPr="00D36FB6" w:rsidRDefault="00D457F2" w:rsidP="008571BC">
            <w:pPr>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Program</w:t>
            </w:r>
          </w:p>
        </w:tc>
        <w:tc>
          <w:tcPr>
            <w:tcW w:w="1119"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1,137,214</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2,318,207</w:t>
            </w:r>
          </w:p>
        </w:tc>
        <w:tc>
          <w:tcPr>
            <w:tcW w:w="1359"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3,513,107</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4,681,225</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4,760,791</w:t>
            </w:r>
          </w:p>
        </w:tc>
        <w:tc>
          <w:tcPr>
            <w:tcW w:w="1127" w:type="dxa"/>
            <w:shd w:val="clear" w:color="auto" w:fill="auto"/>
            <w:noWrap/>
            <w:vAlign w:val="center"/>
            <w:hideMark/>
          </w:tcPr>
          <w:p w:rsidR="00D457F2" w:rsidRDefault="00D457F2" w:rsidP="00D457F2">
            <w:pPr>
              <w:jc w:val="center"/>
              <w:rPr>
                <w:rFonts w:ascii="Calibri" w:hAnsi="Calibri"/>
                <w:color w:val="000000"/>
                <w:sz w:val="20"/>
                <w:szCs w:val="20"/>
              </w:rPr>
            </w:pPr>
            <w:r>
              <w:rPr>
                <w:rFonts w:ascii="Calibri" w:hAnsi="Calibri"/>
                <w:color w:val="000000"/>
                <w:sz w:val="20"/>
                <w:szCs w:val="20"/>
              </w:rPr>
              <w:t>-</w:t>
            </w:r>
          </w:p>
        </w:tc>
      </w:tr>
      <w:tr w:rsidR="00D457F2" w:rsidRPr="00FC0DB2" w:rsidTr="00F2010E">
        <w:trPr>
          <w:trHeight w:val="288"/>
        </w:trPr>
        <w:tc>
          <w:tcPr>
            <w:tcW w:w="9340" w:type="dxa"/>
            <w:gridSpan w:val="7"/>
            <w:shd w:val="clear" w:color="auto" w:fill="9C9393"/>
            <w:vAlign w:val="center"/>
            <w:hideMark/>
          </w:tcPr>
          <w:p w:rsidR="00D457F2" w:rsidRPr="004552CC" w:rsidRDefault="00D457F2" w:rsidP="00D457F2">
            <w:pPr>
              <w:rPr>
                <w:rFonts w:eastAsia="Times New Roman" w:cs="Times New Roman"/>
                <w:b/>
                <w:bCs/>
                <w:color w:val="FFFFFF"/>
                <w:sz w:val="20"/>
                <w:szCs w:val="20"/>
              </w:rPr>
            </w:pPr>
            <w:r w:rsidRPr="004552CC">
              <w:rPr>
                <w:rFonts w:eastAsia="Times New Roman" w:cs="Times New Roman"/>
                <w:b/>
                <w:bCs/>
                <w:color w:val="FFFFFF"/>
                <w:sz w:val="20"/>
                <w:szCs w:val="20"/>
              </w:rPr>
              <w:t xml:space="preserve">Cumulative Savings </w:t>
            </w:r>
            <w:r w:rsidRPr="004552CC">
              <w:rPr>
                <w:rFonts w:eastAsia="Times New Roman" w:cs="Times New Roman"/>
                <w:b/>
                <w:bCs/>
                <w:color w:val="FFFFFF" w:themeColor="background1"/>
                <w:sz w:val="20"/>
                <w:szCs w:val="20"/>
              </w:rPr>
              <w:t>Potential - % of 2010 Load</w:t>
            </w:r>
          </w:p>
        </w:tc>
      </w:tr>
      <w:tr w:rsidR="00D457F2" w:rsidRPr="00FC0DB2" w:rsidTr="00F2010E">
        <w:trPr>
          <w:trHeight w:val="288"/>
        </w:trPr>
        <w:tc>
          <w:tcPr>
            <w:tcW w:w="2354" w:type="dxa"/>
            <w:shd w:val="clear" w:color="auto" w:fill="auto"/>
            <w:vAlign w:val="center"/>
            <w:hideMark/>
          </w:tcPr>
          <w:p w:rsidR="00D457F2" w:rsidRPr="00D36FB6" w:rsidRDefault="00D457F2" w:rsidP="008571BC">
            <w:pPr>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Maximum Achievable</w:t>
            </w:r>
          </w:p>
        </w:tc>
        <w:tc>
          <w:tcPr>
            <w:tcW w:w="1119"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1.9%</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3.7%</w:t>
            </w:r>
          </w:p>
        </w:tc>
        <w:tc>
          <w:tcPr>
            <w:tcW w:w="1359"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5.6%</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7.4%</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7.6%</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13.3%</w:t>
            </w:r>
          </w:p>
        </w:tc>
      </w:tr>
      <w:tr w:rsidR="00D457F2" w:rsidRPr="00FC0DB2" w:rsidTr="00F2010E">
        <w:trPr>
          <w:trHeight w:val="288"/>
        </w:trPr>
        <w:tc>
          <w:tcPr>
            <w:tcW w:w="2354" w:type="dxa"/>
            <w:shd w:val="clear" w:color="auto" w:fill="D2EAF1"/>
            <w:vAlign w:val="center"/>
            <w:hideMark/>
          </w:tcPr>
          <w:p w:rsidR="00D457F2" w:rsidRPr="00D36FB6" w:rsidRDefault="00D457F2" w:rsidP="008571BC">
            <w:pPr>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Base Achievable</w:t>
            </w:r>
          </w:p>
        </w:tc>
        <w:tc>
          <w:tcPr>
            <w:tcW w:w="1119"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1.1%</w:t>
            </w:r>
          </w:p>
        </w:tc>
        <w:tc>
          <w:tcPr>
            <w:tcW w:w="1127"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2.3%</w:t>
            </w:r>
          </w:p>
        </w:tc>
        <w:tc>
          <w:tcPr>
            <w:tcW w:w="1359"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3.4%</w:t>
            </w:r>
          </w:p>
        </w:tc>
        <w:tc>
          <w:tcPr>
            <w:tcW w:w="1127"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4.6%</w:t>
            </w:r>
          </w:p>
        </w:tc>
        <w:tc>
          <w:tcPr>
            <w:tcW w:w="1127"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4.7%</w:t>
            </w:r>
          </w:p>
        </w:tc>
        <w:tc>
          <w:tcPr>
            <w:tcW w:w="1127"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8.3%</w:t>
            </w:r>
          </w:p>
        </w:tc>
      </w:tr>
      <w:tr w:rsidR="00D457F2" w:rsidRPr="00FC0DB2" w:rsidTr="00F2010E">
        <w:trPr>
          <w:trHeight w:val="288"/>
        </w:trPr>
        <w:tc>
          <w:tcPr>
            <w:tcW w:w="2354" w:type="dxa"/>
            <w:shd w:val="clear" w:color="auto" w:fill="auto"/>
            <w:vAlign w:val="center"/>
            <w:hideMark/>
          </w:tcPr>
          <w:p w:rsidR="00D457F2" w:rsidRPr="00D36FB6" w:rsidRDefault="00D457F2" w:rsidP="008571BC">
            <w:pPr>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 xml:space="preserve">Program </w:t>
            </w:r>
          </w:p>
        </w:tc>
        <w:tc>
          <w:tcPr>
            <w:tcW w:w="1119"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0.8%</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1.6%</w:t>
            </w:r>
          </w:p>
        </w:tc>
        <w:tc>
          <w:tcPr>
            <w:tcW w:w="1359"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2.4%</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3.2%</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3.2%</w:t>
            </w:r>
          </w:p>
        </w:tc>
        <w:tc>
          <w:tcPr>
            <w:tcW w:w="1127" w:type="dxa"/>
            <w:shd w:val="clear" w:color="auto" w:fill="auto"/>
            <w:noWrap/>
            <w:vAlign w:val="center"/>
            <w:hideMark/>
          </w:tcPr>
          <w:p w:rsidR="00D457F2" w:rsidRDefault="00D457F2" w:rsidP="00D457F2">
            <w:pPr>
              <w:jc w:val="center"/>
              <w:rPr>
                <w:rFonts w:ascii="Calibri" w:hAnsi="Calibri"/>
                <w:color w:val="000000"/>
                <w:sz w:val="20"/>
                <w:szCs w:val="20"/>
              </w:rPr>
            </w:pPr>
            <w:r>
              <w:rPr>
                <w:rFonts w:ascii="Calibri" w:hAnsi="Calibri"/>
                <w:color w:val="000000"/>
                <w:sz w:val="20"/>
                <w:szCs w:val="20"/>
              </w:rPr>
              <w:t>-</w:t>
            </w:r>
          </w:p>
        </w:tc>
      </w:tr>
      <w:tr w:rsidR="00D457F2" w:rsidRPr="00FC0DB2" w:rsidTr="00F2010E">
        <w:trPr>
          <w:trHeight w:val="288"/>
        </w:trPr>
        <w:tc>
          <w:tcPr>
            <w:tcW w:w="9340" w:type="dxa"/>
            <w:gridSpan w:val="7"/>
            <w:shd w:val="clear" w:color="auto" w:fill="9C9393"/>
            <w:vAlign w:val="center"/>
            <w:hideMark/>
          </w:tcPr>
          <w:p w:rsidR="00D457F2" w:rsidRPr="004552CC" w:rsidRDefault="00D457F2" w:rsidP="00D457F2">
            <w:pPr>
              <w:rPr>
                <w:rFonts w:eastAsia="Times New Roman" w:cs="Times New Roman"/>
                <w:b/>
                <w:bCs/>
                <w:color w:val="FFFFFF"/>
                <w:sz w:val="20"/>
                <w:szCs w:val="20"/>
              </w:rPr>
            </w:pPr>
            <w:r w:rsidRPr="004552CC">
              <w:rPr>
                <w:rFonts w:eastAsia="Times New Roman" w:cs="Times New Roman"/>
                <w:b/>
                <w:bCs/>
                <w:color w:val="FFFFFF"/>
                <w:sz w:val="20"/>
                <w:szCs w:val="20"/>
              </w:rPr>
              <w:t xml:space="preserve">Incremental Savings Potential </w:t>
            </w:r>
            <w:r w:rsidR="00C014CC">
              <w:rPr>
                <w:rFonts w:eastAsia="Times New Roman" w:cs="Times New Roman"/>
                <w:b/>
                <w:bCs/>
                <w:color w:val="FFFFFF"/>
                <w:sz w:val="20"/>
                <w:szCs w:val="20"/>
              </w:rPr>
              <w:t>–</w:t>
            </w:r>
            <w:r w:rsidRPr="004552CC">
              <w:rPr>
                <w:rFonts w:eastAsia="Times New Roman" w:cs="Times New Roman"/>
                <w:b/>
                <w:bCs/>
                <w:color w:val="FFFFFF"/>
                <w:sz w:val="20"/>
                <w:szCs w:val="20"/>
              </w:rPr>
              <w:t xml:space="preserve"> MWh</w:t>
            </w:r>
          </w:p>
        </w:tc>
      </w:tr>
      <w:tr w:rsidR="00D457F2" w:rsidRPr="00FC0DB2" w:rsidTr="00F2010E">
        <w:trPr>
          <w:trHeight w:val="288"/>
        </w:trPr>
        <w:tc>
          <w:tcPr>
            <w:tcW w:w="2354" w:type="dxa"/>
            <w:shd w:val="clear" w:color="auto" w:fill="auto"/>
            <w:vAlign w:val="center"/>
            <w:hideMark/>
          </w:tcPr>
          <w:p w:rsidR="00D457F2" w:rsidRPr="00D36FB6" w:rsidRDefault="00D457F2" w:rsidP="008571BC">
            <w:pPr>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Maximum Achievable</w:t>
            </w:r>
          </w:p>
        </w:tc>
        <w:tc>
          <w:tcPr>
            <w:tcW w:w="1119"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2,782,510</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2,889,289</w:t>
            </w:r>
          </w:p>
        </w:tc>
        <w:tc>
          <w:tcPr>
            <w:tcW w:w="1359"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3,012,667</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3,128,900</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2,636,678</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2,604,979</w:t>
            </w:r>
          </w:p>
        </w:tc>
      </w:tr>
      <w:tr w:rsidR="00D457F2" w:rsidRPr="00FC0DB2" w:rsidTr="00F2010E">
        <w:trPr>
          <w:trHeight w:val="288"/>
        </w:trPr>
        <w:tc>
          <w:tcPr>
            <w:tcW w:w="2354" w:type="dxa"/>
            <w:shd w:val="clear" w:color="auto" w:fill="D2EAF1"/>
            <w:vAlign w:val="center"/>
            <w:hideMark/>
          </w:tcPr>
          <w:p w:rsidR="00D457F2" w:rsidRPr="00D36FB6" w:rsidRDefault="00D457F2" w:rsidP="008571BC">
            <w:pPr>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Base Achievable</w:t>
            </w:r>
          </w:p>
        </w:tc>
        <w:tc>
          <w:tcPr>
            <w:tcW w:w="1119"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1,627,032</w:t>
            </w:r>
          </w:p>
        </w:tc>
        <w:tc>
          <w:tcPr>
            <w:tcW w:w="1127"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1,741,083</w:t>
            </w:r>
          </w:p>
        </w:tc>
        <w:tc>
          <w:tcPr>
            <w:tcW w:w="1359"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1,852,286</w:t>
            </w:r>
          </w:p>
        </w:tc>
        <w:tc>
          <w:tcPr>
            <w:tcW w:w="1127"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1,958,936</w:t>
            </w:r>
          </w:p>
        </w:tc>
        <w:tc>
          <w:tcPr>
            <w:tcW w:w="1127"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1,679,885</w:t>
            </w:r>
          </w:p>
        </w:tc>
        <w:tc>
          <w:tcPr>
            <w:tcW w:w="1127"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1,806,646</w:t>
            </w:r>
          </w:p>
        </w:tc>
      </w:tr>
      <w:tr w:rsidR="00D457F2" w:rsidRPr="00FC0DB2" w:rsidTr="00F2010E">
        <w:trPr>
          <w:trHeight w:val="288"/>
        </w:trPr>
        <w:tc>
          <w:tcPr>
            <w:tcW w:w="2354" w:type="dxa"/>
            <w:shd w:val="clear" w:color="auto" w:fill="auto"/>
            <w:vAlign w:val="center"/>
            <w:hideMark/>
          </w:tcPr>
          <w:p w:rsidR="00D457F2" w:rsidRPr="00D36FB6" w:rsidRDefault="00D457F2" w:rsidP="008571BC">
            <w:pPr>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 xml:space="preserve">Program </w:t>
            </w:r>
          </w:p>
        </w:tc>
        <w:tc>
          <w:tcPr>
            <w:tcW w:w="1119" w:type="dxa"/>
            <w:shd w:val="clear" w:color="auto" w:fill="auto"/>
            <w:noWrap/>
            <w:vAlign w:val="center"/>
          </w:tcPr>
          <w:p w:rsidR="00D457F2" w:rsidRDefault="00D457F2" w:rsidP="00D457F2">
            <w:pPr>
              <w:jc w:val="center"/>
              <w:rPr>
                <w:rFonts w:ascii="Calibri" w:hAnsi="Calibri"/>
                <w:sz w:val="20"/>
                <w:szCs w:val="20"/>
              </w:rPr>
            </w:pPr>
            <w:r>
              <w:rPr>
                <w:rFonts w:ascii="Calibri" w:hAnsi="Calibri"/>
                <w:sz w:val="20"/>
                <w:szCs w:val="20"/>
              </w:rPr>
              <w:t>1,137,213</w:t>
            </w:r>
          </w:p>
        </w:tc>
        <w:tc>
          <w:tcPr>
            <w:tcW w:w="1127" w:type="dxa"/>
            <w:shd w:val="clear" w:color="auto" w:fill="auto"/>
            <w:noWrap/>
            <w:vAlign w:val="center"/>
          </w:tcPr>
          <w:p w:rsidR="00D457F2" w:rsidRDefault="00D457F2" w:rsidP="00D457F2">
            <w:pPr>
              <w:jc w:val="center"/>
              <w:rPr>
                <w:rFonts w:ascii="Calibri" w:hAnsi="Calibri"/>
                <w:sz w:val="20"/>
                <w:szCs w:val="20"/>
              </w:rPr>
            </w:pPr>
            <w:r>
              <w:rPr>
                <w:rFonts w:ascii="Calibri" w:hAnsi="Calibri"/>
                <w:sz w:val="20"/>
                <w:szCs w:val="20"/>
              </w:rPr>
              <w:t>1,215,139</w:t>
            </w:r>
          </w:p>
        </w:tc>
        <w:tc>
          <w:tcPr>
            <w:tcW w:w="1359" w:type="dxa"/>
            <w:shd w:val="clear" w:color="auto" w:fill="auto"/>
            <w:noWrap/>
            <w:vAlign w:val="center"/>
          </w:tcPr>
          <w:p w:rsidR="00D457F2" w:rsidRDefault="00D457F2" w:rsidP="00D457F2">
            <w:pPr>
              <w:jc w:val="center"/>
              <w:rPr>
                <w:rFonts w:ascii="Calibri" w:hAnsi="Calibri"/>
                <w:sz w:val="20"/>
                <w:szCs w:val="20"/>
              </w:rPr>
            </w:pPr>
            <w:r>
              <w:rPr>
                <w:rFonts w:ascii="Calibri" w:hAnsi="Calibri"/>
                <w:sz w:val="20"/>
                <w:szCs w:val="20"/>
              </w:rPr>
              <w:t>1,292,348</w:t>
            </w:r>
          </w:p>
        </w:tc>
        <w:tc>
          <w:tcPr>
            <w:tcW w:w="1127" w:type="dxa"/>
            <w:shd w:val="clear" w:color="auto" w:fill="auto"/>
            <w:noWrap/>
            <w:vAlign w:val="center"/>
          </w:tcPr>
          <w:p w:rsidR="00D457F2" w:rsidRDefault="00D457F2" w:rsidP="00D457F2">
            <w:pPr>
              <w:jc w:val="center"/>
              <w:rPr>
                <w:rFonts w:ascii="Calibri" w:hAnsi="Calibri"/>
                <w:sz w:val="20"/>
                <w:szCs w:val="20"/>
              </w:rPr>
            </w:pPr>
            <w:r>
              <w:rPr>
                <w:rFonts w:ascii="Calibri" w:hAnsi="Calibri"/>
                <w:sz w:val="20"/>
                <w:szCs w:val="20"/>
              </w:rPr>
              <w:t>1,366,397</w:t>
            </w:r>
          </w:p>
        </w:tc>
        <w:tc>
          <w:tcPr>
            <w:tcW w:w="1127" w:type="dxa"/>
            <w:shd w:val="clear" w:color="auto" w:fill="auto"/>
            <w:noWrap/>
            <w:vAlign w:val="center"/>
          </w:tcPr>
          <w:p w:rsidR="00D457F2" w:rsidRDefault="00D457F2" w:rsidP="00D457F2">
            <w:pPr>
              <w:jc w:val="center"/>
              <w:rPr>
                <w:rFonts w:ascii="Calibri" w:hAnsi="Calibri"/>
                <w:sz w:val="20"/>
                <w:szCs w:val="20"/>
              </w:rPr>
            </w:pPr>
            <w:r>
              <w:rPr>
                <w:rFonts w:ascii="Calibri" w:hAnsi="Calibri"/>
                <w:sz w:val="20"/>
                <w:szCs w:val="20"/>
              </w:rPr>
              <w:t>1,172,118</w:t>
            </w:r>
          </w:p>
        </w:tc>
        <w:tc>
          <w:tcPr>
            <w:tcW w:w="1127" w:type="dxa"/>
            <w:shd w:val="clear" w:color="auto" w:fill="auto"/>
            <w:noWrap/>
            <w:vAlign w:val="center"/>
            <w:hideMark/>
          </w:tcPr>
          <w:p w:rsidR="00D457F2" w:rsidRDefault="00D457F2" w:rsidP="00D457F2">
            <w:pPr>
              <w:jc w:val="center"/>
              <w:rPr>
                <w:rFonts w:ascii="Calibri" w:hAnsi="Calibri"/>
                <w:color w:val="000000"/>
                <w:sz w:val="20"/>
                <w:szCs w:val="20"/>
              </w:rPr>
            </w:pPr>
            <w:r>
              <w:rPr>
                <w:rFonts w:ascii="Calibri" w:hAnsi="Calibri"/>
                <w:color w:val="000000"/>
                <w:sz w:val="20"/>
                <w:szCs w:val="20"/>
              </w:rPr>
              <w:t>-</w:t>
            </w:r>
          </w:p>
        </w:tc>
      </w:tr>
      <w:tr w:rsidR="00D457F2" w:rsidRPr="00FC0DB2" w:rsidTr="00F2010E">
        <w:trPr>
          <w:trHeight w:val="288"/>
        </w:trPr>
        <w:tc>
          <w:tcPr>
            <w:tcW w:w="9340" w:type="dxa"/>
            <w:gridSpan w:val="7"/>
            <w:shd w:val="clear" w:color="auto" w:fill="9C9393"/>
            <w:vAlign w:val="center"/>
            <w:hideMark/>
          </w:tcPr>
          <w:p w:rsidR="00D457F2" w:rsidRPr="004552CC" w:rsidRDefault="00D457F2" w:rsidP="00D457F2">
            <w:pPr>
              <w:rPr>
                <w:rFonts w:eastAsia="Times New Roman" w:cs="Times New Roman"/>
                <w:b/>
                <w:bCs/>
                <w:color w:val="FFFFFF"/>
                <w:sz w:val="20"/>
                <w:szCs w:val="20"/>
              </w:rPr>
            </w:pPr>
            <w:r w:rsidRPr="004552CC">
              <w:rPr>
                <w:rFonts w:eastAsia="Times New Roman" w:cs="Times New Roman"/>
                <w:b/>
                <w:bCs/>
                <w:color w:val="FFFFFF" w:themeColor="background1"/>
                <w:sz w:val="20"/>
                <w:szCs w:val="20"/>
              </w:rPr>
              <w:t>Incremental Savings Potential - % of  2010 Load</w:t>
            </w:r>
          </w:p>
        </w:tc>
      </w:tr>
      <w:tr w:rsidR="00D457F2" w:rsidRPr="00FC0DB2" w:rsidTr="00F2010E">
        <w:trPr>
          <w:trHeight w:val="288"/>
        </w:trPr>
        <w:tc>
          <w:tcPr>
            <w:tcW w:w="2354" w:type="dxa"/>
            <w:shd w:val="clear" w:color="auto" w:fill="auto"/>
            <w:vAlign w:val="center"/>
            <w:hideMark/>
          </w:tcPr>
          <w:p w:rsidR="00D457F2" w:rsidRPr="00D36FB6" w:rsidRDefault="00D457F2" w:rsidP="008571BC">
            <w:pPr>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Maximum Achievable</w:t>
            </w:r>
          </w:p>
        </w:tc>
        <w:tc>
          <w:tcPr>
            <w:tcW w:w="1119"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1.9%</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2.0%</w:t>
            </w:r>
          </w:p>
        </w:tc>
        <w:tc>
          <w:tcPr>
            <w:tcW w:w="1359"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2.1%</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2.1%</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1.8%</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1.8%</w:t>
            </w:r>
          </w:p>
        </w:tc>
      </w:tr>
      <w:tr w:rsidR="00D457F2" w:rsidRPr="00FC0DB2" w:rsidTr="00F2010E">
        <w:trPr>
          <w:trHeight w:val="288"/>
        </w:trPr>
        <w:tc>
          <w:tcPr>
            <w:tcW w:w="2354" w:type="dxa"/>
            <w:shd w:val="clear" w:color="auto" w:fill="D2EAF1"/>
            <w:vAlign w:val="center"/>
            <w:hideMark/>
          </w:tcPr>
          <w:p w:rsidR="00D457F2" w:rsidRPr="00D36FB6" w:rsidRDefault="00D457F2" w:rsidP="008571BC">
            <w:pPr>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Base Achievable</w:t>
            </w:r>
          </w:p>
        </w:tc>
        <w:tc>
          <w:tcPr>
            <w:tcW w:w="1119"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1.1%</w:t>
            </w:r>
          </w:p>
        </w:tc>
        <w:tc>
          <w:tcPr>
            <w:tcW w:w="1127"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1.2%</w:t>
            </w:r>
          </w:p>
        </w:tc>
        <w:tc>
          <w:tcPr>
            <w:tcW w:w="1359"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1.3%</w:t>
            </w:r>
          </w:p>
        </w:tc>
        <w:tc>
          <w:tcPr>
            <w:tcW w:w="1127"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1.3%</w:t>
            </w:r>
          </w:p>
        </w:tc>
        <w:tc>
          <w:tcPr>
            <w:tcW w:w="1127"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1.1%</w:t>
            </w:r>
          </w:p>
        </w:tc>
        <w:tc>
          <w:tcPr>
            <w:tcW w:w="1127"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1.2%</w:t>
            </w:r>
          </w:p>
        </w:tc>
      </w:tr>
      <w:tr w:rsidR="00D457F2" w:rsidRPr="00FC0DB2" w:rsidTr="00F2010E">
        <w:trPr>
          <w:trHeight w:val="288"/>
        </w:trPr>
        <w:tc>
          <w:tcPr>
            <w:tcW w:w="2354" w:type="dxa"/>
            <w:shd w:val="clear" w:color="auto" w:fill="auto"/>
            <w:vAlign w:val="center"/>
            <w:hideMark/>
          </w:tcPr>
          <w:p w:rsidR="00D457F2" w:rsidRPr="00D36FB6" w:rsidRDefault="00D457F2" w:rsidP="008571BC">
            <w:pPr>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 xml:space="preserve">Program </w:t>
            </w:r>
          </w:p>
        </w:tc>
        <w:tc>
          <w:tcPr>
            <w:tcW w:w="1119" w:type="dxa"/>
            <w:shd w:val="clear" w:color="auto" w:fill="auto"/>
            <w:noWrap/>
            <w:vAlign w:val="center"/>
          </w:tcPr>
          <w:p w:rsidR="00D457F2" w:rsidRDefault="00D457F2" w:rsidP="00D457F2">
            <w:pPr>
              <w:jc w:val="center"/>
              <w:rPr>
                <w:rFonts w:ascii="Calibri" w:hAnsi="Calibri"/>
                <w:b/>
                <w:bCs/>
                <w:color w:val="000000"/>
                <w:sz w:val="20"/>
                <w:szCs w:val="20"/>
              </w:rPr>
            </w:pPr>
            <w:r>
              <w:rPr>
                <w:rFonts w:ascii="Calibri" w:hAnsi="Calibri"/>
                <w:b/>
                <w:bCs/>
                <w:color w:val="000000"/>
                <w:sz w:val="20"/>
                <w:szCs w:val="20"/>
              </w:rPr>
              <w:t>0.8%</w:t>
            </w:r>
          </w:p>
        </w:tc>
        <w:tc>
          <w:tcPr>
            <w:tcW w:w="1127" w:type="dxa"/>
            <w:shd w:val="clear" w:color="auto" w:fill="auto"/>
            <w:noWrap/>
            <w:vAlign w:val="center"/>
          </w:tcPr>
          <w:p w:rsidR="00D457F2" w:rsidRDefault="00D457F2" w:rsidP="00D457F2">
            <w:pPr>
              <w:jc w:val="center"/>
              <w:rPr>
                <w:rFonts w:ascii="Calibri" w:hAnsi="Calibri"/>
                <w:b/>
                <w:bCs/>
                <w:color w:val="000000"/>
                <w:sz w:val="20"/>
                <w:szCs w:val="20"/>
              </w:rPr>
            </w:pPr>
            <w:r>
              <w:rPr>
                <w:rFonts w:ascii="Calibri" w:hAnsi="Calibri"/>
                <w:b/>
                <w:bCs/>
                <w:color w:val="000000"/>
                <w:sz w:val="20"/>
                <w:szCs w:val="20"/>
              </w:rPr>
              <w:t>0.8%</w:t>
            </w:r>
          </w:p>
        </w:tc>
        <w:tc>
          <w:tcPr>
            <w:tcW w:w="1359" w:type="dxa"/>
            <w:shd w:val="clear" w:color="auto" w:fill="auto"/>
            <w:noWrap/>
            <w:vAlign w:val="center"/>
          </w:tcPr>
          <w:p w:rsidR="00D457F2" w:rsidRDefault="00D457F2" w:rsidP="00D457F2">
            <w:pPr>
              <w:jc w:val="center"/>
              <w:rPr>
                <w:rFonts w:ascii="Calibri" w:hAnsi="Calibri"/>
                <w:b/>
                <w:bCs/>
                <w:color w:val="000000"/>
                <w:sz w:val="20"/>
                <w:szCs w:val="20"/>
              </w:rPr>
            </w:pPr>
            <w:r>
              <w:rPr>
                <w:rFonts w:ascii="Calibri" w:hAnsi="Calibri"/>
                <w:b/>
                <w:bCs/>
                <w:color w:val="000000"/>
                <w:sz w:val="20"/>
                <w:szCs w:val="20"/>
              </w:rPr>
              <w:t>0.9%</w:t>
            </w:r>
          </w:p>
        </w:tc>
        <w:tc>
          <w:tcPr>
            <w:tcW w:w="1127" w:type="dxa"/>
            <w:shd w:val="clear" w:color="auto" w:fill="auto"/>
            <w:noWrap/>
            <w:vAlign w:val="center"/>
          </w:tcPr>
          <w:p w:rsidR="00D457F2" w:rsidRDefault="00D457F2" w:rsidP="00D457F2">
            <w:pPr>
              <w:jc w:val="center"/>
              <w:rPr>
                <w:rFonts w:ascii="Calibri" w:hAnsi="Calibri"/>
                <w:b/>
                <w:bCs/>
                <w:color w:val="000000"/>
                <w:sz w:val="20"/>
                <w:szCs w:val="20"/>
              </w:rPr>
            </w:pPr>
            <w:r>
              <w:rPr>
                <w:rFonts w:ascii="Calibri" w:hAnsi="Calibri"/>
                <w:b/>
                <w:bCs/>
                <w:color w:val="000000"/>
                <w:sz w:val="20"/>
                <w:szCs w:val="20"/>
              </w:rPr>
              <w:t>0.9%</w:t>
            </w:r>
          </w:p>
        </w:tc>
        <w:tc>
          <w:tcPr>
            <w:tcW w:w="1127" w:type="dxa"/>
            <w:shd w:val="clear" w:color="auto" w:fill="auto"/>
            <w:noWrap/>
            <w:vAlign w:val="center"/>
          </w:tcPr>
          <w:p w:rsidR="00D457F2" w:rsidRDefault="00D457F2" w:rsidP="00D457F2">
            <w:pPr>
              <w:jc w:val="center"/>
              <w:rPr>
                <w:rFonts w:ascii="Calibri" w:hAnsi="Calibri"/>
                <w:b/>
                <w:bCs/>
                <w:color w:val="000000"/>
                <w:sz w:val="20"/>
                <w:szCs w:val="20"/>
              </w:rPr>
            </w:pPr>
            <w:r>
              <w:rPr>
                <w:rFonts w:ascii="Calibri" w:hAnsi="Calibri"/>
                <w:b/>
                <w:bCs/>
                <w:color w:val="000000"/>
                <w:sz w:val="20"/>
                <w:szCs w:val="20"/>
              </w:rPr>
              <w:t>0.8%</w:t>
            </w:r>
          </w:p>
        </w:tc>
        <w:tc>
          <w:tcPr>
            <w:tcW w:w="1127" w:type="dxa"/>
            <w:shd w:val="clear" w:color="auto" w:fill="auto"/>
            <w:noWrap/>
            <w:vAlign w:val="center"/>
            <w:hideMark/>
          </w:tcPr>
          <w:p w:rsidR="00D457F2" w:rsidRDefault="00D457F2" w:rsidP="00D457F2">
            <w:pPr>
              <w:jc w:val="center"/>
              <w:rPr>
                <w:rFonts w:ascii="Calibri" w:hAnsi="Calibri"/>
                <w:b/>
                <w:bCs/>
                <w:color w:val="000000"/>
                <w:sz w:val="20"/>
                <w:szCs w:val="20"/>
              </w:rPr>
            </w:pPr>
            <w:r>
              <w:rPr>
                <w:rFonts w:ascii="Calibri" w:hAnsi="Calibri"/>
                <w:b/>
                <w:bCs/>
                <w:color w:val="000000"/>
                <w:sz w:val="20"/>
                <w:szCs w:val="20"/>
              </w:rPr>
              <w:t>-</w:t>
            </w:r>
          </w:p>
        </w:tc>
      </w:tr>
      <w:tr w:rsidR="00D457F2" w:rsidRPr="00FC0DB2" w:rsidTr="00F2010E">
        <w:trPr>
          <w:trHeight w:val="288"/>
        </w:trPr>
        <w:tc>
          <w:tcPr>
            <w:tcW w:w="9340" w:type="dxa"/>
            <w:gridSpan w:val="7"/>
            <w:shd w:val="clear" w:color="auto" w:fill="9C9393"/>
            <w:vAlign w:val="center"/>
          </w:tcPr>
          <w:p w:rsidR="00D457F2" w:rsidRPr="004552CC" w:rsidRDefault="00D457F2" w:rsidP="00D457F2">
            <w:pPr>
              <w:rPr>
                <w:rFonts w:eastAsia="Times New Roman" w:cs="Times New Roman"/>
                <w:color w:val="000000"/>
                <w:sz w:val="20"/>
                <w:szCs w:val="20"/>
              </w:rPr>
            </w:pPr>
            <w:r w:rsidRPr="004552CC">
              <w:rPr>
                <w:rFonts w:eastAsia="Times New Roman" w:cs="Times New Roman"/>
                <w:b/>
                <w:bCs/>
                <w:color w:val="FFFFFF" w:themeColor="background1"/>
                <w:sz w:val="20"/>
                <w:szCs w:val="20"/>
              </w:rPr>
              <w:t>EDC Program Costs</w:t>
            </w:r>
            <w:r>
              <w:rPr>
                <w:rFonts w:eastAsia="Times New Roman" w:cs="Times New Roman"/>
                <w:b/>
                <w:bCs/>
                <w:color w:val="FFFFFF" w:themeColor="background1"/>
                <w:sz w:val="20"/>
                <w:szCs w:val="20"/>
              </w:rPr>
              <w:t xml:space="preserve"> - </w:t>
            </w:r>
            <w:r w:rsidRPr="004552CC">
              <w:rPr>
                <w:rFonts w:eastAsia="Times New Roman" w:cs="Times New Roman"/>
                <w:b/>
                <w:bCs/>
                <w:color w:val="FFFFFF" w:themeColor="background1"/>
                <w:sz w:val="20"/>
                <w:szCs w:val="20"/>
              </w:rPr>
              <w:t>Million $</w:t>
            </w:r>
          </w:p>
        </w:tc>
      </w:tr>
      <w:tr w:rsidR="00D457F2" w:rsidRPr="00FC0DB2" w:rsidTr="00F2010E">
        <w:trPr>
          <w:trHeight w:val="288"/>
        </w:trPr>
        <w:tc>
          <w:tcPr>
            <w:tcW w:w="2354" w:type="dxa"/>
            <w:shd w:val="clear" w:color="auto" w:fill="auto"/>
            <w:vAlign w:val="center"/>
          </w:tcPr>
          <w:p w:rsidR="00D457F2" w:rsidRPr="00D36FB6" w:rsidRDefault="00D457F2" w:rsidP="008571BC">
            <w:pPr>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Maximum Achievable</w:t>
            </w:r>
          </w:p>
        </w:tc>
        <w:tc>
          <w:tcPr>
            <w:tcW w:w="1119"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$619.7</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$643.2</w:t>
            </w:r>
          </w:p>
        </w:tc>
        <w:tc>
          <w:tcPr>
            <w:tcW w:w="1359"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$664.8</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$687.0</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$662.5</w:t>
            </w:r>
          </w:p>
        </w:tc>
        <w:tc>
          <w:tcPr>
            <w:tcW w:w="1127" w:type="dxa"/>
            <w:shd w:val="clear" w:color="auto" w:fill="auto"/>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$704.1</w:t>
            </w:r>
          </w:p>
        </w:tc>
      </w:tr>
      <w:tr w:rsidR="00D457F2" w:rsidRPr="00FC0DB2" w:rsidTr="00F2010E">
        <w:trPr>
          <w:trHeight w:val="288"/>
        </w:trPr>
        <w:tc>
          <w:tcPr>
            <w:tcW w:w="2354" w:type="dxa"/>
            <w:shd w:val="clear" w:color="auto" w:fill="D2EAF1"/>
            <w:vAlign w:val="center"/>
          </w:tcPr>
          <w:p w:rsidR="00D457F2" w:rsidRPr="00D36FB6" w:rsidRDefault="00D457F2" w:rsidP="008571BC">
            <w:pPr>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Base Achievable</w:t>
            </w:r>
          </w:p>
        </w:tc>
        <w:tc>
          <w:tcPr>
            <w:tcW w:w="1119"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$326.3</w:t>
            </w:r>
          </w:p>
        </w:tc>
        <w:tc>
          <w:tcPr>
            <w:tcW w:w="1127"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$341.9</w:t>
            </w:r>
          </w:p>
        </w:tc>
        <w:tc>
          <w:tcPr>
            <w:tcW w:w="1359"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$356.5</w:t>
            </w:r>
          </w:p>
        </w:tc>
        <w:tc>
          <w:tcPr>
            <w:tcW w:w="1127"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$371.5</w:t>
            </w:r>
          </w:p>
        </w:tc>
        <w:tc>
          <w:tcPr>
            <w:tcW w:w="1127"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$358.3</w:t>
            </w:r>
          </w:p>
        </w:tc>
        <w:tc>
          <w:tcPr>
            <w:tcW w:w="1127" w:type="dxa"/>
            <w:shd w:val="clear" w:color="auto" w:fill="D2EAF1"/>
            <w:noWrap/>
            <w:vAlign w:val="center"/>
          </w:tcPr>
          <w:p w:rsidR="00D457F2" w:rsidRDefault="00D457F2" w:rsidP="00D457F2">
            <w:pPr>
              <w:jc w:val="center"/>
              <w:rPr>
                <w:rFonts w:ascii="Calibri" w:hAnsi="Calibri"/>
                <w:color w:val="000000"/>
                <w:sz w:val="20"/>
                <w:szCs w:val="20"/>
              </w:rPr>
            </w:pPr>
            <w:r>
              <w:rPr>
                <w:rFonts w:ascii="Calibri" w:hAnsi="Calibri"/>
                <w:color w:val="000000"/>
                <w:sz w:val="20"/>
                <w:szCs w:val="20"/>
              </w:rPr>
              <w:t>$393.9</w:t>
            </w:r>
          </w:p>
        </w:tc>
      </w:tr>
      <w:tr w:rsidR="00D457F2" w:rsidRPr="00FC0DB2" w:rsidTr="00F2010E">
        <w:trPr>
          <w:trHeight w:val="288"/>
        </w:trPr>
        <w:tc>
          <w:tcPr>
            <w:tcW w:w="2354" w:type="dxa"/>
            <w:shd w:val="clear" w:color="auto" w:fill="auto"/>
            <w:vAlign w:val="center"/>
          </w:tcPr>
          <w:p w:rsidR="00D457F2" w:rsidRPr="00D36FB6" w:rsidRDefault="00D457F2" w:rsidP="008571BC">
            <w:pPr>
              <w:rPr>
                <w:rFonts w:ascii="Calibri" w:eastAsia="Times New Roman" w:hAnsi="Calibri" w:cs="Times New Roman"/>
                <w:b/>
                <w:color w:val="000000"/>
                <w:sz w:val="20"/>
                <w:szCs w:val="20"/>
              </w:rPr>
            </w:pPr>
            <w:r w:rsidRPr="00D36FB6">
              <w:rPr>
                <w:rFonts w:ascii="Calibri" w:eastAsia="Times New Roman" w:hAnsi="Calibri" w:cs="Times New Roman"/>
                <w:b/>
                <w:color w:val="000000"/>
                <w:sz w:val="20"/>
                <w:szCs w:val="20"/>
              </w:rPr>
              <w:t xml:space="preserve">Program </w:t>
            </w:r>
          </w:p>
        </w:tc>
        <w:tc>
          <w:tcPr>
            <w:tcW w:w="1119" w:type="dxa"/>
            <w:shd w:val="clear" w:color="auto" w:fill="auto"/>
            <w:noWrap/>
            <w:vAlign w:val="center"/>
          </w:tcPr>
          <w:p w:rsidR="00D457F2" w:rsidRDefault="00D457F2" w:rsidP="00D457F2">
            <w:pPr>
              <w:jc w:val="center"/>
              <w:rPr>
                <w:rFonts w:ascii="Calibri" w:hAnsi="Calibri"/>
                <w:b/>
                <w:bCs/>
                <w:color w:val="000000"/>
                <w:sz w:val="20"/>
                <w:szCs w:val="20"/>
              </w:rPr>
            </w:pPr>
            <w:r>
              <w:rPr>
                <w:rFonts w:ascii="Calibri" w:hAnsi="Calibri"/>
                <w:b/>
                <w:bCs/>
                <w:color w:val="000000"/>
                <w:sz w:val="20"/>
                <w:szCs w:val="20"/>
              </w:rPr>
              <w:t>$227.4</w:t>
            </w:r>
          </w:p>
        </w:tc>
        <w:tc>
          <w:tcPr>
            <w:tcW w:w="1127" w:type="dxa"/>
            <w:shd w:val="clear" w:color="auto" w:fill="auto"/>
            <w:noWrap/>
            <w:vAlign w:val="center"/>
          </w:tcPr>
          <w:p w:rsidR="00D457F2" w:rsidRDefault="00D457F2" w:rsidP="00D457F2">
            <w:pPr>
              <w:jc w:val="center"/>
              <w:rPr>
                <w:rFonts w:ascii="Calibri" w:hAnsi="Calibri"/>
                <w:b/>
                <w:bCs/>
                <w:color w:val="000000"/>
                <w:sz w:val="20"/>
                <w:szCs w:val="20"/>
              </w:rPr>
            </w:pPr>
            <w:r>
              <w:rPr>
                <w:rFonts w:ascii="Calibri" w:hAnsi="Calibri"/>
                <w:b/>
                <w:bCs/>
                <w:color w:val="000000"/>
                <w:sz w:val="20"/>
                <w:szCs w:val="20"/>
              </w:rPr>
              <w:t>$238.2</w:t>
            </w:r>
          </w:p>
        </w:tc>
        <w:tc>
          <w:tcPr>
            <w:tcW w:w="1359" w:type="dxa"/>
            <w:shd w:val="clear" w:color="auto" w:fill="auto"/>
            <w:noWrap/>
            <w:vAlign w:val="center"/>
          </w:tcPr>
          <w:p w:rsidR="00D457F2" w:rsidRDefault="00D457F2" w:rsidP="00D457F2">
            <w:pPr>
              <w:jc w:val="center"/>
              <w:rPr>
                <w:rFonts w:ascii="Calibri" w:hAnsi="Calibri"/>
                <w:b/>
                <w:bCs/>
                <w:color w:val="000000"/>
                <w:sz w:val="20"/>
                <w:szCs w:val="20"/>
              </w:rPr>
            </w:pPr>
            <w:r>
              <w:rPr>
                <w:rFonts w:ascii="Calibri" w:hAnsi="Calibri"/>
                <w:b/>
                <w:bCs/>
                <w:color w:val="000000"/>
                <w:sz w:val="20"/>
                <w:szCs w:val="20"/>
              </w:rPr>
              <w:t>$248.4</w:t>
            </w:r>
          </w:p>
        </w:tc>
        <w:tc>
          <w:tcPr>
            <w:tcW w:w="1127" w:type="dxa"/>
            <w:shd w:val="clear" w:color="auto" w:fill="auto"/>
            <w:noWrap/>
            <w:vAlign w:val="center"/>
          </w:tcPr>
          <w:p w:rsidR="00D457F2" w:rsidRDefault="00D457F2" w:rsidP="00D457F2">
            <w:pPr>
              <w:jc w:val="center"/>
              <w:rPr>
                <w:rFonts w:ascii="Calibri" w:hAnsi="Calibri"/>
                <w:b/>
                <w:bCs/>
                <w:color w:val="000000"/>
                <w:sz w:val="20"/>
                <w:szCs w:val="20"/>
              </w:rPr>
            </w:pPr>
            <w:r>
              <w:rPr>
                <w:rFonts w:ascii="Calibri" w:hAnsi="Calibri"/>
                <w:b/>
                <w:bCs/>
                <w:color w:val="000000"/>
                <w:sz w:val="20"/>
                <w:szCs w:val="20"/>
              </w:rPr>
              <w:t>$258.8</w:t>
            </w:r>
          </w:p>
        </w:tc>
        <w:tc>
          <w:tcPr>
            <w:tcW w:w="1127" w:type="dxa"/>
            <w:shd w:val="clear" w:color="auto" w:fill="auto"/>
            <w:noWrap/>
            <w:vAlign w:val="center"/>
          </w:tcPr>
          <w:p w:rsidR="00D457F2" w:rsidRDefault="00D457F2" w:rsidP="00D457F2">
            <w:pPr>
              <w:jc w:val="center"/>
              <w:rPr>
                <w:rFonts w:ascii="Calibri" w:hAnsi="Calibri"/>
                <w:b/>
                <w:bCs/>
                <w:color w:val="000000"/>
                <w:sz w:val="20"/>
                <w:szCs w:val="20"/>
              </w:rPr>
            </w:pPr>
            <w:r>
              <w:rPr>
                <w:rFonts w:ascii="Calibri" w:hAnsi="Calibri"/>
                <w:b/>
                <w:bCs/>
                <w:color w:val="000000"/>
                <w:sz w:val="20"/>
                <w:szCs w:val="20"/>
              </w:rPr>
              <w:t>$249.7</w:t>
            </w:r>
          </w:p>
        </w:tc>
        <w:tc>
          <w:tcPr>
            <w:tcW w:w="1127" w:type="dxa"/>
            <w:shd w:val="clear" w:color="auto" w:fill="auto"/>
            <w:noWrap/>
            <w:vAlign w:val="center"/>
          </w:tcPr>
          <w:p w:rsidR="00D457F2" w:rsidRDefault="00D457F2" w:rsidP="00D457F2">
            <w:pPr>
              <w:jc w:val="center"/>
              <w:rPr>
                <w:rFonts w:ascii="Calibri" w:hAnsi="Calibri"/>
                <w:b/>
                <w:bCs/>
                <w:color w:val="000000"/>
                <w:sz w:val="20"/>
                <w:szCs w:val="20"/>
              </w:rPr>
            </w:pPr>
            <w:r>
              <w:rPr>
                <w:rFonts w:ascii="Calibri" w:hAnsi="Calibri"/>
                <w:b/>
                <w:bCs/>
                <w:color w:val="000000"/>
                <w:sz w:val="20"/>
                <w:szCs w:val="20"/>
              </w:rPr>
              <w:t>n/a*-</w:t>
            </w:r>
          </w:p>
        </w:tc>
      </w:tr>
      <w:tr w:rsidR="00C52732" w:rsidRPr="00FC0DB2" w:rsidTr="00AA641A">
        <w:trPr>
          <w:trHeight w:val="144"/>
        </w:trPr>
        <w:tc>
          <w:tcPr>
            <w:tcW w:w="9340" w:type="dxa"/>
            <w:gridSpan w:val="7"/>
            <w:shd w:val="clear" w:color="auto" w:fill="448A9C"/>
            <w:vAlign w:val="center"/>
          </w:tcPr>
          <w:p w:rsidR="00C52732" w:rsidRPr="00CD2B9E" w:rsidRDefault="00C52732" w:rsidP="008571BC">
            <w:pPr>
              <w:rPr>
                <w:bCs/>
                <w:i/>
                <w:color w:val="FFFFFF" w:themeColor="background1"/>
                <w:sz w:val="18"/>
                <w:szCs w:val="18"/>
              </w:rPr>
            </w:pPr>
            <w:r w:rsidRPr="00CD2B9E">
              <w:rPr>
                <w:rFonts w:ascii="Calibri" w:eastAsia="Times New Roman" w:hAnsi="Calibri" w:cs="Times New Roman"/>
                <w:i/>
                <w:color w:val="FFFFFF" w:themeColor="background1"/>
                <w:sz w:val="18"/>
                <w:szCs w:val="18"/>
              </w:rPr>
              <w:t>*Program potential was only estimated for five years to be consistent with a Phase III of Act 129. Program potential in 2025 would be part of Phase IV of Act 129</w:t>
            </w:r>
          </w:p>
        </w:tc>
      </w:tr>
    </w:tbl>
    <w:p w:rsidR="00F2010E" w:rsidRDefault="00F2010E" w:rsidP="00031359">
      <w:pPr>
        <w:jc w:val="both"/>
      </w:pPr>
      <w:bookmarkStart w:id="9" w:name="_Ref412622146"/>
      <w:bookmarkStart w:id="10" w:name="_Toc412624739"/>
    </w:p>
    <w:p w:rsidR="00C52732" w:rsidRDefault="00FA1703" w:rsidP="00031359">
      <w:pPr>
        <w:jc w:val="both"/>
      </w:pPr>
      <w:r>
        <w:fldChar w:fldCharType="begin"/>
      </w:r>
      <w:r>
        <w:instrText xml:space="preserve"> REF _Ref420510899 \h </w:instrText>
      </w:r>
      <w:r>
        <w:fldChar w:fldCharType="separate"/>
      </w:r>
      <w:r>
        <w:t xml:space="preserve">Table </w:t>
      </w:r>
      <w:r>
        <w:rPr>
          <w:noProof/>
        </w:rPr>
        <w:t>4</w:t>
      </w:r>
      <w:r>
        <w:noBreakHyphen/>
      </w:r>
      <w:r>
        <w:rPr>
          <w:noProof/>
        </w:rPr>
        <w:t>2</w:t>
      </w:r>
      <w:r>
        <w:fldChar w:fldCharType="end"/>
      </w:r>
      <w:r>
        <w:t xml:space="preserve"> is </w:t>
      </w:r>
      <w:r w:rsidR="00BB1D1E">
        <w:t>an update to</w:t>
      </w:r>
      <w:r>
        <w:t xml:space="preserve"> Table 2 </w:t>
      </w:r>
      <w:r w:rsidR="00BB1D1E">
        <w:t>from</w:t>
      </w:r>
      <w:r>
        <w:t xml:space="preserve"> </w:t>
      </w:r>
      <w:r w:rsidR="00BB1D1E" w:rsidRPr="00BB1D1E">
        <w:t>the Addendum to the Tentative Implementation Order</w:t>
      </w:r>
      <w:r w:rsidR="00D9712B">
        <w:t xml:space="preserve">. The data in </w:t>
      </w:r>
      <w:r w:rsidR="00D9712B">
        <w:fldChar w:fldCharType="begin"/>
      </w:r>
      <w:r w:rsidR="00D9712B">
        <w:instrText xml:space="preserve"> REF _Ref420510899 \h </w:instrText>
      </w:r>
      <w:r w:rsidR="00D9712B">
        <w:fldChar w:fldCharType="separate"/>
      </w:r>
      <w:r w:rsidR="00D9712B">
        <w:t xml:space="preserve">Table </w:t>
      </w:r>
      <w:r w:rsidR="00D9712B">
        <w:rPr>
          <w:noProof/>
        </w:rPr>
        <w:t>4</w:t>
      </w:r>
      <w:r w:rsidR="00D9712B">
        <w:noBreakHyphen/>
      </w:r>
      <w:r w:rsidR="00D9712B">
        <w:rPr>
          <w:noProof/>
        </w:rPr>
        <w:t>2</w:t>
      </w:r>
      <w:r w:rsidR="00D9712B">
        <w:fldChar w:fldCharType="end"/>
      </w:r>
      <w:r w:rsidR="00D9712B">
        <w:t xml:space="preserve"> has been updated to reflect the revisions discussed herein,</w:t>
      </w:r>
      <w:r>
        <w:t xml:space="preserve"> and shows the SWE’s estimates </w:t>
      </w:r>
      <w:r>
        <w:lastRenderedPageBreak/>
        <w:t xml:space="preserve">of incremental annual program potential savings for each EDC </w:t>
      </w:r>
      <w:r w:rsidR="00BC7C87">
        <w:t>in</w:t>
      </w:r>
      <w:r w:rsidR="002315CA">
        <w:t xml:space="preserve"> the Commonwealth of Pennsylvania </w:t>
      </w:r>
      <w:r>
        <w:t>assuming 100% spending on energy efficiency.</w:t>
      </w:r>
    </w:p>
    <w:p w:rsidR="006D2EE3" w:rsidRDefault="006D2EE3" w:rsidP="00031359">
      <w:pPr>
        <w:jc w:val="both"/>
      </w:pPr>
    </w:p>
    <w:p w:rsidR="00C52732" w:rsidRPr="008E3426" w:rsidRDefault="00610F62" w:rsidP="00610F62">
      <w:pPr>
        <w:pStyle w:val="Caption"/>
      </w:pPr>
      <w:bookmarkStart w:id="11" w:name="_Ref420510899"/>
      <w:bookmarkEnd w:id="9"/>
      <w:r>
        <w:t xml:space="preserve">Table </w:t>
      </w:r>
      <w:r w:rsidR="002F7913">
        <w:fldChar w:fldCharType="begin"/>
      </w:r>
      <w:r w:rsidR="002F7913">
        <w:instrText xml:space="preserve"> STYLEREF 1 \s</w:instrText>
      </w:r>
      <w:r w:rsidR="002F7913">
        <w:instrText xml:space="preserve"> </w:instrText>
      </w:r>
      <w:r w:rsidR="002F7913">
        <w:fldChar w:fldCharType="separate"/>
      </w:r>
      <w:r w:rsidR="00BE0BFC">
        <w:rPr>
          <w:noProof/>
        </w:rPr>
        <w:t>4</w:t>
      </w:r>
      <w:r w:rsidR="002F7913">
        <w:rPr>
          <w:noProof/>
        </w:rPr>
        <w:fldChar w:fldCharType="end"/>
      </w:r>
      <w:r w:rsidR="00BE0BFC">
        <w:noBreakHyphen/>
      </w:r>
      <w:r w:rsidR="002F7913">
        <w:fldChar w:fldCharType="begin"/>
      </w:r>
      <w:r w:rsidR="002F7913">
        <w:instrText xml:space="preserve"> SEQ Table \* ARABIC \s 1 </w:instrText>
      </w:r>
      <w:r w:rsidR="002F7913">
        <w:fldChar w:fldCharType="separate"/>
      </w:r>
      <w:r w:rsidR="00BE0BFC">
        <w:rPr>
          <w:noProof/>
        </w:rPr>
        <w:t>2</w:t>
      </w:r>
      <w:r w:rsidR="002F7913">
        <w:rPr>
          <w:noProof/>
        </w:rPr>
        <w:fldChar w:fldCharType="end"/>
      </w:r>
      <w:bookmarkEnd w:id="11"/>
      <w:r w:rsidR="00C52732" w:rsidRPr="008E3426">
        <w:t>: Five-Year Program Potential Savings and Budget by EDC</w:t>
      </w:r>
      <w:bookmarkEnd w:id="10"/>
    </w:p>
    <w:tbl>
      <w:tblPr>
        <w:tblStyle w:val="LightList-Accent5"/>
        <w:tblW w:w="0" w:type="auto"/>
        <w:tblInd w:w="108" w:type="dxa"/>
        <w:tblLook w:val="04A0" w:firstRow="1" w:lastRow="0" w:firstColumn="1" w:lastColumn="0" w:noHBand="0" w:noVBand="1"/>
      </w:tblPr>
      <w:tblGrid>
        <w:gridCol w:w="1620"/>
        <w:gridCol w:w="1620"/>
        <w:gridCol w:w="2430"/>
        <w:gridCol w:w="2070"/>
        <w:gridCol w:w="1620"/>
      </w:tblGrid>
      <w:tr w:rsidR="00C52732" w:rsidRPr="0031271C" w:rsidTr="008571BC">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448A99"/>
              <w:left w:val="single" w:sz="4" w:space="0" w:color="448A99"/>
              <w:bottom w:val="single" w:sz="4" w:space="0" w:color="448A99"/>
              <w:right w:val="single" w:sz="4" w:space="0" w:color="448A99"/>
            </w:tcBorders>
            <w:shd w:val="clear" w:color="auto" w:fill="448A99"/>
          </w:tcPr>
          <w:p w:rsidR="00C52732" w:rsidRPr="00D36FB6" w:rsidRDefault="00C52732" w:rsidP="008571BC">
            <w:pPr>
              <w:rPr>
                <w:sz w:val="20"/>
                <w:szCs w:val="20"/>
              </w:rPr>
            </w:pPr>
          </w:p>
        </w:tc>
        <w:tc>
          <w:tcPr>
            <w:tcW w:w="1620" w:type="dxa"/>
            <w:tcBorders>
              <w:top w:val="single" w:sz="4" w:space="0" w:color="448A99"/>
              <w:left w:val="single" w:sz="4" w:space="0" w:color="448A99"/>
              <w:bottom w:val="single" w:sz="4" w:space="0" w:color="448A99"/>
              <w:right w:val="single" w:sz="4" w:space="0" w:color="448A99"/>
            </w:tcBorders>
            <w:shd w:val="clear" w:color="auto" w:fill="448A99"/>
            <w:vAlign w:val="center"/>
          </w:tcPr>
          <w:p w:rsidR="00C52732" w:rsidRPr="00D36FB6" w:rsidRDefault="00C52732" w:rsidP="008571BC">
            <w:pPr>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Portfolio Spending Ceiling (Million $</w:t>
            </w:r>
            <w:r w:rsidRPr="00D36FB6">
              <w:rPr>
                <w:rFonts w:ascii="Calibri" w:hAnsi="Calibri"/>
                <w:sz w:val="20"/>
                <w:szCs w:val="20"/>
              </w:rPr>
              <w:t>)</w:t>
            </w:r>
          </w:p>
        </w:tc>
        <w:tc>
          <w:tcPr>
            <w:tcW w:w="2430" w:type="dxa"/>
            <w:tcBorders>
              <w:top w:val="single" w:sz="4" w:space="0" w:color="448A99"/>
              <w:left w:val="single" w:sz="4" w:space="0" w:color="448A99"/>
              <w:bottom w:val="single" w:sz="4" w:space="0" w:color="448A99"/>
              <w:right w:val="single" w:sz="4" w:space="0" w:color="448A99"/>
            </w:tcBorders>
            <w:shd w:val="clear" w:color="auto" w:fill="448A99"/>
            <w:vAlign w:val="center"/>
          </w:tcPr>
          <w:p w:rsidR="00C52732" w:rsidRPr="00D36FB6" w:rsidRDefault="00C52732" w:rsidP="008571BC">
            <w:pPr>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D36FB6">
              <w:rPr>
                <w:rFonts w:ascii="Calibri" w:hAnsi="Calibri"/>
                <w:sz w:val="20"/>
                <w:szCs w:val="20"/>
              </w:rPr>
              <w:t>Program Acquisition Costs ($/1</w:t>
            </w:r>
            <w:r w:rsidRPr="00D36FB6">
              <w:rPr>
                <w:rFonts w:ascii="Calibri" w:hAnsi="Calibri"/>
                <w:sz w:val="20"/>
                <w:szCs w:val="20"/>
                <w:vertAlign w:val="superscript"/>
              </w:rPr>
              <w:t>st</w:t>
            </w:r>
            <w:r w:rsidRPr="00D36FB6">
              <w:rPr>
                <w:rFonts w:ascii="Calibri" w:hAnsi="Calibri"/>
                <w:sz w:val="20"/>
                <w:szCs w:val="20"/>
              </w:rPr>
              <w:t>-YR MWh Saved)</w:t>
            </w:r>
          </w:p>
        </w:tc>
        <w:tc>
          <w:tcPr>
            <w:tcW w:w="2070" w:type="dxa"/>
            <w:tcBorders>
              <w:top w:val="single" w:sz="4" w:space="0" w:color="448A99"/>
              <w:left w:val="single" w:sz="4" w:space="0" w:color="448A99"/>
              <w:bottom w:val="single" w:sz="4" w:space="0" w:color="448A99"/>
              <w:right w:val="single" w:sz="4" w:space="0" w:color="448A99"/>
            </w:tcBorders>
            <w:shd w:val="clear" w:color="auto" w:fill="448A99"/>
            <w:vAlign w:val="center"/>
          </w:tcPr>
          <w:p w:rsidR="00C52732" w:rsidRPr="00D36FB6" w:rsidRDefault="00C52732" w:rsidP="008571BC">
            <w:pPr>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D36FB6">
              <w:rPr>
                <w:rFonts w:ascii="Calibri" w:hAnsi="Calibri"/>
                <w:sz w:val="20"/>
                <w:szCs w:val="20"/>
              </w:rPr>
              <w:t>2016-2020 Potential Savings (MWh)</w:t>
            </w:r>
          </w:p>
        </w:tc>
        <w:tc>
          <w:tcPr>
            <w:tcW w:w="1620" w:type="dxa"/>
            <w:tcBorders>
              <w:top w:val="single" w:sz="4" w:space="0" w:color="448A99"/>
              <w:left w:val="single" w:sz="4" w:space="0" w:color="448A99"/>
              <w:bottom w:val="single" w:sz="4" w:space="0" w:color="448A99"/>
            </w:tcBorders>
            <w:shd w:val="clear" w:color="auto" w:fill="448A99"/>
            <w:vAlign w:val="center"/>
          </w:tcPr>
          <w:p w:rsidR="00C52732" w:rsidRPr="00D36FB6" w:rsidRDefault="00C52732" w:rsidP="008571BC">
            <w:pPr>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 of 201</w:t>
            </w:r>
            <w:r w:rsidRPr="00D36FB6">
              <w:rPr>
                <w:rFonts w:ascii="Calibri" w:hAnsi="Calibri"/>
                <w:sz w:val="20"/>
                <w:szCs w:val="20"/>
              </w:rPr>
              <w:t>0 Forecast</w:t>
            </w:r>
          </w:p>
        </w:tc>
      </w:tr>
      <w:tr w:rsidR="00C52732" w:rsidRPr="0031271C" w:rsidTr="008571BC">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360" w:type="dxa"/>
            <w:gridSpan w:val="5"/>
            <w:tcBorders>
              <w:top w:val="single" w:sz="4" w:space="0" w:color="448A99"/>
              <w:left w:val="single" w:sz="4" w:space="0" w:color="448A99"/>
              <w:bottom w:val="single" w:sz="4" w:space="0" w:color="448A99"/>
            </w:tcBorders>
            <w:shd w:val="clear" w:color="auto" w:fill="9C9393"/>
            <w:vAlign w:val="center"/>
          </w:tcPr>
          <w:p w:rsidR="00C52732" w:rsidRPr="00D36FB6" w:rsidRDefault="00C52732" w:rsidP="008571BC">
            <w:pPr>
              <w:rPr>
                <w:rFonts w:ascii="Calibri" w:hAnsi="Calibri"/>
                <w:color w:val="FFFFFF" w:themeColor="background1"/>
                <w:sz w:val="20"/>
                <w:szCs w:val="20"/>
              </w:rPr>
            </w:pPr>
            <w:r w:rsidRPr="00D36FB6">
              <w:rPr>
                <w:color w:val="FFFFFF" w:themeColor="background1"/>
                <w:sz w:val="20"/>
                <w:szCs w:val="20"/>
              </w:rPr>
              <w:t>201</w:t>
            </w:r>
            <w:r>
              <w:rPr>
                <w:color w:val="FFFFFF" w:themeColor="background1"/>
                <w:sz w:val="20"/>
                <w:szCs w:val="20"/>
              </w:rPr>
              <w:t>6</w:t>
            </w:r>
            <w:r w:rsidRPr="00D36FB6">
              <w:rPr>
                <w:color w:val="FFFFFF" w:themeColor="background1"/>
                <w:sz w:val="20"/>
                <w:szCs w:val="20"/>
              </w:rPr>
              <w:t>-2020 – Five-Year Program Potential</w:t>
            </w:r>
          </w:p>
        </w:tc>
      </w:tr>
      <w:tr w:rsidR="00D457F2" w:rsidRPr="0031271C" w:rsidTr="00F2010E">
        <w:trPr>
          <w:trHeight w:val="288"/>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448A99"/>
              <w:left w:val="single" w:sz="4" w:space="0" w:color="448A99"/>
              <w:bottom w:val="single" w:sz="4" w:space="0" w:color="448A99"/>
              <w:right w:val="single" w:sz="4" w:space="0" w:color="448A99"/>
            </w:tcBorders>
            <w:vAlign w:val="center"/>
          </w:tcPr>
          <w:p w:rsidR="00D457F2" w:rsidRPr="00D36FB6" w:rsidRDefault="00D457F2" w:rsidP="00F2010E">
            <w:pPr>
              <w:rPr>
                <w:sz w:val="20"/>
                <w:szCs w:val="20"/>
              </w:rPr>
            </w:pPr>
            <w:r w:rsidRPr="005108B2">
              <w:rPr>
                <w:sz w:val="20"/>
                <w:szCs w:val="20"/>
              </w:rPr>
              <w:t>Duquesne</w:t>
            </w:r>
          </w:p>
        </w:tc>
        <w:tc>
          <w:tcPr>
            <w:tcW w:w="1620" w:type="dxa"/>
            <w:tcBorders>
              <w:top w:val="single" w:sz="4" w:space="0" w:color="448A99"/>
              <w:left w:val="single" w:sz="4" w:space="0" w:color="448A99"/>
              <w:bottom w:val="single" w:sz="4" w:space="0" w:color="448A99"/>
              <w:right w:val="single" w:sz="4" w:space="0" w:color="448A99"/>
            </w:tcBorders>
            <w:vAlign w:val="center"/>
          </w:tcPr>
          <w:p w:rsidR="00D457F2" w:rsidRDefault="00D457F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$97.7 </w:t>
            </w:r>
          </w:p>
        </w:tc>
        <w:tc>
          <w:tcPr>
            <w:tcW w:w="2430" w:type="dxa"/>
            <w:tcBorders>
              <w:top w:val="single" w:sz="4" w:space="0" w:color="448A99"/>
              <w:left w:val="single" w:sz="4" w:space="0" w:color="448A99"/>
              <w:bottom w:val="single" w:sz="4" w:space="0" w:color="448A99"/>
              <w:right w:val="single" w:sz="4" w:space="0" w:color="448A99"/>
            </w:tcBorders>
            <w:vAlign w:val="center"/>
          </w:tcPr>
          <w:p w:rsidR="00D457F2" w:rsidRDefault="00D457F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$199.5</w:t>
            </w:r>
          </w:p>
        </w:tc>
        <w:tc>
          <w:tcPr>
            <w:tcW w:w="2070" w:type="dxa"/>
            <w:tcBorders>
              <w:top w:val="single" w:sz="4" w:space="0" w:color="448A99"/>
              <w:left w:val="single" w:sz="4" w:space="0" w:color="448A99"/>
              <w:bottom w:val="single" w:sz="4" w:space="0" w:color="448A99"/>
              <w:right w:val="single" w:sz="4" w:space="0" w:color="448A99"/>
            </w:tcBorders>
            <w:vAlign w:val="center"/>
          </w:tcPr>
          <w:p w:rsidR="00D457F2" w:rsidRDefault="00D457F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489,907 </w:t>
            </w:r>
          </w:p>
        </w:tc>
        <w:tc>
          <w:tcPr>
            <w:tcW w:w="1620" w:type="dxa"/>
            <w:tcBorders>
              <w:top w:val="single" w:sz="4" w:space="0" w:color="448A99"/>
              <w:left w:val="single" w:sz="4" w:space="0" w:color="448A99"/>
              <w:bottom w:val="single" w:sz="4" w:space="0" w:color="448A99"/>
            </w:tcBorders>
            <w:vAlign w:val="center"/>
          </w:tcPr>
          <w:p w:rsidR="00D457F2" w:rsidRDefault="00D457F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3.5%</w:t>
            </w:r>
          </w:p>
        </w:tc>
      </w:tr>
      <w:tr w:rsidR="00D457F2" w:rsidRPr="0031271C" w:rsidTr="00F201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448A99"/>
              <w:bottom w:val="single" w:sz="4" w:space="0" w:color="448A99"/>
              <w:right w:val="single" w:sz="4" w:space="0" w:color="448A99"/>
            </w:tcBorders>
            <w:shd w:val="clear" w:color="auto" w:fill="D2EAF1"/>
            <w:vAlign w:val="center"/>
          </w:tcPr>
          <w:p w:rsidR="00D457F2" w:rsidRPr="00D36FB6" w:rsidRDefault="00D457F2" w:rsidP="00F2010E">
            <w:pPr>
              <w:rPr>
                <w:sz w:val="20"/>
                <w:szCs w:val="20"/>
              </w:rPr>
            </w:pPr>
            <w:r w:rsidRPr="005108B2">
              <w:rPr>
                <w:sz w:val="20"/>
                <w:szCs w:val="20"/>
              </w:rPr>
              <w:t>FE: Met</w:t>
            </w:r>
            <w:r>
              <w:rPr>
                <w:sz w:val="20"/>
                <w:szCs w:val="20"/>
              </w:rPr>
              <w:t>-</w:t>
            </w:r>
            <w:r w:rsidRPr="005108B2">
              <w:rPr>
                <w:sz w:val="20"/>
                <w:szCs w:val="20"/>
              </w:rPr>
              <w:t>Ed</w:t>
            </w:r>
          </w:p>
        </w:tc>
        <w:tc>
          <w:tcPr>
            <w:tcW w:w="162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D457F2" w:rsidRDefault="00D457F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$124.3 </w:t>
            </w:r>
          </w:p>
        </w:tc>
        <w:tc>
          <w:tcPr>
            <w:tcW w:w="243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D457F2" w:rsidRDefault="00D457F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$190.9</w:t>
            </w:r>
          </w:p>
        </w:tc>
        <w:tc>
          <w:tcPr>
            <w:tcW w:w="207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D457F2" w:rsidRDefault="00D457F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651,470 </w:t>
            </w:r>
          </w:p>
        </w:tc>
        <w:tc>
          <w:tcPr>
            <w:tcW w:w="162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D457F2" w:rsidRDefault="00D457F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4.4%</w:t>
            </w:r>
          </w:p>
        </w:tc>
      </w:tr>
      <w:tr w:rsidR="00D457F2" w:rsidRPr="0031271C" w:rsidTr="00F2010E">
        <w:trPr>
          <w:trHeight w:val="288"/>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448A99"/>
              <w:bottom w:val="single" w:sz="4" w:space="0" w:color="448A99"/>
              <w:right w:val="single" w:sz="4" w:space="0" w:color="448A99"/>
            </w:tcBorders>
            <w:vAlign w:val="center"/>
          </w:tcPr>
          <w:p w:rsidR="00D457F2" w:rsidRPr="00D36FB6" w:rsidRDefault="00D457F2" w:rsidP="00F2010E">
            <w:pPr>
              <w:rPr>
                <w:sz w:val="20"/>
                <w:szCs w:val="20"/>
              </w:rPr>
            </w:pPr>
            <w:r w:rsidRPr="005108B2">
              <w:rPr>
                <w:sz w:val="20"/>
                <w:szCs w:val="20"/>
              </w:rPr>
              <w:t>FE: Penelec</w:t>
            </w:r>
          </w:p>
        </w:tc>
        <w:tc>
          <w:tcPr>
            <w:tcW w:w="1620" w:type="dxa"/>
            <w:tcBorders>
              <w:top w:val="single" w:sz="4" w:space="0" w:color="448A99"/>
              <w:left w:val="single" w:sz="4" w:space="0" w:color="448A99"/>
              <w:bottom w:val="single" w:sz="4" w:space="0" w:color="448A99"/>
              <w:right w:val="single" w:sz="4" w:space="0" w:color="448A99"/>
            </w:tcBorders>
            <w:vAlign w:val="center"/>
          </w:tcPr>
          <w:p w:rsidR="00D457F2" w:rsidRDefault="00D457F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$114.9 </w:t>
            </w:r>
          </w:p>
        </w:tc>
        <w:tc>
          <w:tcPr>
            <w:tcW w:w="2430" w:type="dxa"/>
            <w:tcBorders>
              <w:top w:val="single" w:sz="4" w:space="0" w:color="448A99"/>
              <w:left w:val="single" w:sz="4" w:space="0" w:color="448A99"/>
              <w:bottom w:val="single" w:sz="4" w:space="0" w:color="448A99"/>
              <w:right w:val="single" w:sz="4" w:space="0" w:color="448A99"/>
            </w:tcBorders>
            <w:vAlign w:val="center"/>
          </w:tcPr>
          <w:p w:rsidR="00D457F2" w:rsidRDefault="00D457F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$202.9</w:t>
            </w:r>
          </w:p>
        </w:tc>
        <w:tc>
          <w:tcPr>
            <w:tcW w:w="2070" w:type="dxa"/>
            <w:tcBorders>
              <w:top w:val="single" w:sz="4" w:space="0" w:color="448A99"/>
              <w:left w:val="single" w:sz="4" w:space="0" w:color="448A99"/>
              <w:bottom w:val="single" w:sz="4" w:space="0" w:color="448A99"/>
              <w:right w:val="single" w:sz="4" w:space="0" w:color="448A99"/>
            </w:tcBorders>
            <w:vAlign w:val="center"/>
          </w:tcPr>
          <w:p w:rsidR="00D457F2" w:rsidRDefault="00D457F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566,168 </w:t>
            </w:r>
          </w:p>
        </w:tc>
        <w:tc>
          <w:tcPr>
            <w:tcW w:w="1620" w:type="dxa"/>
            <w:tcBorders>
              <w:top w:val="single" w:sz="4" w:space="0" w:color="448A99"/>
              <w:left w:val="single" w:sz="4" w:space="0" w:color="448A99"/>
              <w:bottom w:val="single" w:sz="4" w:space="0" w:color="448A99"/>
            </w:tcBorders>
            <w:vAlign w:val="center"/>
          </w:tcPr>
          <w:p w:rsidR="00D457F2" w:rsidRDefault="00D457F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3.9%</w:t>
            </w:r>
          </w:p>
        </w:tc>
      </w:tr>
      <w:tr w:rsidR="00D457F2" w:rsidRPr="0031271C" w:rsidTr="00F201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448A99"/>
              <w:bottom w:val="single" w:sz="4" w:space="0" w:color="448A99"/>
              <w:right w:val="single" w:sz="4" w:space="0" w:color="448A99"/>
            </w:tcBorders>
            <w:shd w:val="clear" w:color="auto" w:fill="D2EAF1"/>
            <w:vAlign w:val="center"/>
          </w:tcPr>
          <w:p w:rsidR="00D457F2" w:rsidRPr="00D36FB6" w:rsidRDefault="00D457F2" w:rsidP="00F2010E">
            <w:pPr>
              <w:rPr>
                <w:sz w:val="20"/>
                <w:szCs w:val="20"/>
              </w:rPr>
            </w:pPr>
            <w:r w:rsidRPr="005108B2">
              <w:rPr>
                <w:sz w:val="20"/>
                <w:szCs w:val="20"/>
              </w:rPr>
              <w:t>FE: Penn Power</w:t>
            </w:r>
          </w:p>
        </w:tc>
        <w:tc>
          <w:tcPr>
            <w:tcW w:w="162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D457F2" w:rsidRDefault="00D457F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$33.3 </w:t>
            </w:r>
          </w:p>
        </w:tc>
        <w:tc>
          <w:tcPr>
            <w:tcW w:w="243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D457F2" w:rsidRDefault="00D457F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$190.4</w:t>
            </w:r>
          </w:p>
        </w:tc>
        <w:tc>
          <w:tcPr>
            <w:tcW w:w="207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D457F2" w:rsidRDefault="00D457F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174,857 </w:t>
            </w:r>
          </w:p>
        </w:tc>
        <w:tc>
          <w:tcPr>
            <w:tcW w:w="162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D457F2" w:rsidRDefault="00D457F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3.7%</w:t>
            </w:r>
          </w:p>
        </w:tc>
      </w:tr>
      <w:tr w:rsidR="00D457F2" w:rsidRPr="0031271C" w:rsidTr="00F2010E">
        <w:trPr>
          <w:trHeight w:val="288"/>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448A99"/>
              <w:bottom w:val="single" w:sz="4" w:space="0" w:color="448A99"/>
              <w:right w:val="single" w:sz="4" w:space="0" w:color="448A99"/>
            </w:tcBorders>
            <w:vAlign w:val="center"/>
          </w:tcPr>
          <w:p w:rsidR="00D457F2" w:rsidRPr="00D36FB6" w:rsidRDefault="00D457F2" w:rsidP="00F2010E">
            <w:pPr>
              <w:rPr>
                <w:sz w:val="20"/>
                <w:szCs w:val="20"/>
              </w:rPr>
            </w:pPr>
            <w:r w:rsidRPr="005108B2">
              <w:rPr>
                <w:sz w:val="20"/>
                <w:szCs w:val="20"/>
              </w:rPr>
              <w:t>FE:</w:t>
            </w:r>
            <w:r>
              <w:rPr>
                <w:sz w:val="20"/>
                <w:szCs w:val="20"/>
              </w:rPr>
              <w:t xml:space="preserve"> West Penn</w:t>
            </w:r>
          </w:p>
        </w:tc>
        <w:tc>
          <w:tcPr>
            <w:tcW w:w="1620" w:type="dxa"/>
            <w:tcBorders>
              <w:top w:val="single" w:sz="4" w:space="0" w:color="448A99"/>
              <w:left w:val="single" w:sz="4" w:space="0" w:color="448A99"/>
              <w:bottom w:val="single" w:sz="4" w:space="0" w:color="448A99"/>
              <w:right w:val="single" w:sz="4" w:space="0" w:color="448A99"/>
            </w:tcBorders>
            <w:vAlign w:val="center"/>
          </w:tcPr>
          <w:p w:rsidR="00D457F2" w:rsidRDefault="00D457F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$117.8 </w:t>
            </w:r>
          </w:p>
        </w:tc>
        <w:tc>
          <w:tcPr>
            <w:tcW w:w="2430" w:type="dxa"/>
            <w:tcBorders>
              <w:top w:val="single" w:sz="4" w:space="0" w:color="448A99"/>
              <w:left w:val="single" w:sz="4" w:space="0" w:color="448A99"/>
              <w:bottom w:val="single" w:sz="4" w:space="0" w:color="448A99"/>
              <w:right w:val="single" w:sz="4" w:space="0" w:color="448A99"/>
            </w:tcBorders>
            <w:vAlign w:val="center"/>
          </w:tcPr>
          <w:p w:rsidR="00D457F2" w:rsidRDefault="00D457F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$196.0</w:t>
            </w:r>
          </w:p>
        </w:tc>
        <w:tc>
          <w:tcPr>
            <w:tcW w:w="2070" w:type="dxa"/>
            <w:tcBorders>
              <w:top w:val="single" w:sz="4" w:space="0" w:color="448A99"/>
              <w:left w:val="single" w:sz="4" w:space="0" w:color="448A99"/>
              <w:bottom w:val="single" w:sz="4" w:space="0" w:color="448A99"/>
              <w:right w:val="single" w:sz="4" w:space="0" w:color="448A99"/>
            </w:tcBorders>
            <w:vAlign w:val="center"/>
          </w:tcPr>
          <w:p w:rsidR="00D457F2" w:rsidRDefault="00D457F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601,096 </w:t>
            </w:r>
          </w:p>
        </w:tc>
        <w:tc>
          <w:tcPr>
            <w:tcW w:w="1620" w:type="dxa"/>
            <w:tcBorders>
              <w:top w:val="single" w:sz="4" w:space="0" w:color="448A99"/>
              <w:left w:val="single" w:sz="4" w:space="0" w:color="448A99"/>
              <w:bottom w:val="single" w:sz="4" w:space="0" w:color="448A99"/>
            </w:tcBorders>
            <w:vAlign w:val="center"/>
          </w:tcPr>
          <w:p w:rsidR="00D457F2" w:rsidRDefault="00D457F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2.9%</w:t>
            </w:r>
          </w:p>
        </w:tc>
      </w:tr>
      <w:tr w:rsidR="00D457F2" w:rsidRPr="0031271C" w:rsidTr="00F201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448A99"/>
              <w:bottom w:val="single" w:sz="4" w:space="0" w:color="448A99"/>
              <w:right w:val="single" w:sz="4" w:space="0" w:color="448A99"/>
            </w:tcBorders>
            <w:shd w:val="clear" w:color="auto" w:fill="D2EAF1"/>
            <w:vAlign w:val="center"/>
          </w:tcPr>
          <w:p w:rsidR="00D457F2" w:rsidRPr="00D36FB6" w:rsidRDefault="00D457F2" w:rsidP="00F2010E">
            <w:pPr>
              <w:rPr>
                <w:sz w:val="20"/>
                <w:szCs w:val="20"/>
              </w:rPr>
            </w:pPr>
            <w:r w:rsidRPr="005108B2">
              <w:rPr>
                <w:sz w:val="20"/>
                <w:szCs w:val="20"/>
              </w:rPr>
              <w:t>PECO</w:t>
            </w:r>
          </w:p>
        </w:tc>
        <w:tc>
          <w:tcPr>
            <w:tcW w:w="162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D457F2" w:rsidRDefault="00D457F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$427.0 </w:t>
            </w:r>
          </w:p>
        </w:tc>
        <w:tc>
          <w:tcPr>
            <w:tcW w:w="243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D457F2" w:rsidRDefault="00D457F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$195.8</w:t>
            </w:r>
          </w:p>
        </w:tc>
        <w:tc>
          <w:tcPr>
            <w:tcW w:w="207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D457F2" w:rsidRDefault="00D457F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2,180,732 </w:t>
            </w:r>
          </w:p>
        </w:tc>
        <w:tc>
          <w:tcPr>
            <w:tcW w:w="162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D457F2" w:rsidRDefault="00D457F2">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5.5%</w:t>
            </w:r>
          </w:p>
        </w:tc>
      </w:tr>
      <w:tr w:rsidR="00D457F2" w:rsidRPr="0031271C" w:rsidTr="00F2010E">
        <w:trPr>
          <w:trHeight w:val="288"/>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448A99"/>
              <w:bottom w:val="single" w:sz="4" w:space="0" w:color="448A99"/>
              <w:right w:val="single" w:sz="4" w:space="0" w:color="448A99"/>
            </w:tcBorders>
            <w:vAlign w:val="center"/>
          </w:tcPr>
          <w:p w:rsidR="00D457F2" w:rsidRPr="00D36FB6" w:rsidRDefault="00D457F2" w:rsidP="00F2010E">
            <w:pPr>
              <w:rPr>
                <w:sz w:val="20"/>
                <w:szCs w:val="20"/>
              </w:rPr>
            </w:pPr>
            <w:r w:rsidRPr="005108B2">
              <w:rPr>
                <w:sz w:val="20"/>
                <w:szCs w:val="20"/>
              </w:rPr>
              <w:t>PPL</w:t>
            </w:r>
          </w:p>
        </w:tc>
        <w:tc>
          <w:tcPr>
            <w:tcW w:w="1620" w:type="dxa"/>
            <w:tcBorders>
              <w:top w:val="single" w:sz="4" w:space="0" w:color="448A99"/>
              <w:left w:val="single" w:sz="4" w:space="0" w:color="448A99"/>
              <w:bottom w:val="single" w:sz="4" w:space="0" w:color="448A99"/>
              <w:right w:val="single" w:sz="4" w:space="0" w:color="448A99"/>
            </w:tcBorders>
            <w:vAlign w:val="center"/>
          </w:tcPr>
          <w:p w:rsidR="00D457F2" w:rsidRDefault="00D457F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$307.5 </w:t>
            </w:r>
          </w:p>
        </w:tc>
        <w:tc>
          <w:tcPr>
            <w:tcW w:w="2430" w:type="dxa"/>
            <w:tcBorders>
              <w:top w:val="single" w:sz="4" w:space="0" w:color="448A99"/>
              <w:left w:val="single" w:sz="4" w:space="0" w:color="448A99"/>
              <w:bottom w:val="single" w:sz="4" w:space="0" w:color="448A99"/>
              <w:right w:val="single" w:sz="4" w:space="0" w:color="448A99"/>
            </w:tcBorders>
            <w:vAlign w:val="center"/>
          </w:tcPr>
          <w:p w:rsidR="00D457F2" w:rsidRDefault="00D457F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$202.4</w:t>
            </w:r>
          </w:p>
        </w:tc>
        <w:tc>
          <w:tcPr>
            <w:tcW w:w="2070" w:type="dxa"/>
            <w:tcBorders>
              <w:top w:val="single" w:sz="4" w:space="0" w:color="448A99"/>
              <w:left w:val="single" w:sz="4" w:space="0" w:color="448A99"/>
              <w:bottom w:val="single" w:sz="4" w:space="0" w:color="448A99"/>
              <w:right w:val="single" w:sz="4" w:space="0" w:color="448A99"/>
            </w:tcBorders>
            <w:vAlign w:val="center"/>
          </w:tcPr>
          <w:p w:rsidR="00D457F2" w:rsidRDefault="00D457F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1,518,985 </w:t>
            </w:r>
          </w:p>
        </w:tc>
        <w:tc>
          <w:tcPr>
            <w:tcW w:w="1620" w:type="dxa"/>
            <w:tcBorders>
              <w:top w:val="single" w:sz="4" w:space="0" w:color="448A99"/>
              <w:left w:val="single" w:sz="4" w:space="0" w:color="448A99"/>
              <w:bottom w:val="single" w:sz="4" w:space="0" w:color="448A99"/>
            </w:tcBorders>
            <w:vAlign w:val="center"/>
          </w:tcPr>
          <w:p w:rsidR="00D457F2" w:rsidRDefault="00D457F2">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4.0%</w:t>
            </w:r>
          </w:p>
        </w:tc>
      </w:tr>
      <w:tr w:rsidR="00D457F2" w:rsidRPr="005108B2" w:rsidTr="00F201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448A99"/>
              <w:bottom w:val="single" w:sz="4" w:space="0" w:color="448A99"/>
              <w:right w:val="single" w:sz="4" w:space="0" w:color="448A99"/>
            </w:tcBorders>
            <w:shd w:val="clear" w:color="auto" w:fill="D2EAF1"/>
            <w:vAlign w:val="center"/>
          </w:tcPr>
          <w:p w:rsidR="00D457F2" w:rsidRPr="00D36FB6" w:rsidRDefault="00D457F2" w:rsidP="00F2010E">
            <w:pPr>
              <w:rPr>
                <w:i/>
                <w:sz w:val="20"/>
                <w:szCs w:val="20"/>
              </w:rPr>
            </w:pPr>
            <w:r w:rsidRPr="00D36FB6">
              <w:rPr>
                <w:i/>
                <w:sz w:val="20"/>
                <w:szCs w:val="20"/>
              </w:rPr>
              <w:t>Statewide</w:t>
            </w:r>
          </w:p>
        </w:tc>
        <w:tc>
          <w:tcPr>
            <w:tcW w:w="162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D457F2" w:rsidRDefault="00D457F2">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$1,222.5 </w:t>
            </w:r>
          </w:p>
        </w:tc>
        <w:tc>
          <w:tcPr>
            <w:tcW w:w="243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D457F2" w:rsidRDefault="00D457F2">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$197.7</w:t>
            </w:r>
          </w:p>
        </w:tc>
        <w:tc>
          <w:tcPr>
            <w:tcW w:w="207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D457F2" w:rsidRDefault="00D457F2">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 xml:space="preserve">6,183,214 </w:t>
            </w:r>
          </w:p>
        </w:tc>
        <w:tc>
          <w:tcPr>
            <w:tcW w:w="162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D457F2" w:rsidRDefault="00D457F2">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4.2%</w:t>
            </w:r>
          </w:p>
        </w:tc>
      </w:tr>
    </w:tbl>
    <w:p w:rsidR="00C52732" w:rsidRDefault="00C52732" w:rsidP="00C52732">
      <w:pPr>
        <w:jc w:val="both"/>
        <w:rPr>
          <w:rFonts w:eastAsia="Times New Roman" w:cs="Garamond"/>
        </w:rPr>
      </w:pPr>
    </w:p>
    <w:p w:rsidR="00D9712B" w:rsidRPr="00D9712B" w:rsidRDefault="00D9712B" w:rsidP="00D9712B">
      <w:pPr>
        <w:jc w:val="both"/>
        <w:rPr>
          <w:rFonts w:cs="Arial"/>
        </w:rPr>
      </w:pPr>
      <w:r w:rsidRPr="00D9712B">
        <w:rPr>
          <w:rFonts w:cs="Arial"/>
        </w:rPr>
        <w:t xml:space="preserve">The SWE’s DR MPS examined demand response program potential beyond projections of PJM commitments informed by historical participation assuming 10%, 15%, and 20% budget allocation to demand response. The results of this “Business as Usual” scenario are presented in </w:t>
      </w:r>
      <w:r>
        <w:rPr>
          <w:rFonts w:cs="Arial"/>
        </w:rPr>
        <w:fldChar w:fldCharType="begin"/>
      </w:r>
      <w:r>
        <w:rPr>
          <w:rFonts w:cs="Arial"/>
        </w:rPr>
        <w:instrText xml:space="preserve"> REF _Ref420586037 \h </w:instrText>
      </w:r>
      <w:r>
        <w:rPr>
          <w:rFonts w:cs="Arial"/>
        </w:rPr>
      </w:r>
      <w:r>
        <w:rPr>
          <w:rFonts w:cs="Arial"/>
        </w:rPr>
        <w:fldChar w:fldCharType="separate"/>
      </w:r>
      <w:r>
        <w:t xml:space="preserve">Table </w:t>
      </w:r>
      <w:r>
        <w:rPr>
          <w:noProof/>
        </w:rPr>
        <w:t>4</w:t>
      </w:r>
      <w:r>
        <w:noBreakHyphen/>
      </w:r>
      <w:r>
        <w:rPr>
          <w:noProof/>
        </w:rPr>
        <w:t>3</w:t>
      </w:r>
      <w:r>
        <w:rPr>
          <w:rFonts w:cs="Arial"/>
        </w:rPr>
        <w:fldChar w:fldCharType="end"/>
      </w:r>
      <w:r w:rsidRPr="00D9712B">
        <w:rPr>
          <w:rFonts w:cs="Arial"/>
        </w:rPr>
        <w:t xml:space="preserve">. </w:t>
      </w:r>
      <w:r w:rsidR="00BC7C87" w:rsidRPr="00BC7C87">
        <w:rPr>
          <w:rFonts w:cs="Arial"/>
        </w:rPr>
        <w:t xml:space="preserve">The values marked with an “*” indicate that the EDC’s demand response potential (as opposed to budget) is the constraining factor in the scenario. </w:t>
      </w:r>
      <w:r w:rsidRPr="00D9712B">
        <w:rPr>
          <w:rFonts w:cs="Arial"/>
        </w:rPr>
        <w:t xml:space="preserve">This table is </w:t>
      </w:r>
      <w:r w:rsidR="00BB1D1E">
        <w:rPr>
          <w:rFonts w:cs="Arial"/>
        </w:rPr>
        <w:t>an update to</w:t>
      </w:r>
      <w:r>
        <w:rPr>
          <w:rFonts w:cs="Arial"/>
        </w:rPr>
        <w:t xml:space="preserve"> Table 3 </w:t>
      </w:r>
      <w:r w:rsidR="00BB1D1E">
        <w:rPr>
          <w:rFonts w:cs="Arial"/>
        </w:rPr>
        <w:t>from</w:t>
      </w:r>
      <w:r w:rsidRPr="00D9712B">
        <w:t xml:space="preserve"> </w:t>
      </w:r>
      <w:r w:rsidR="00BB1D1E" w:rsidRPr="00BB1D1E">
        <w:t>the Addendum to the Tentative Implementation Order</w:t>
      </w:r>
      <w:r w:rsidRPr="00D9712B">
        <w:rPr>
          <w:rFonts w:cs="Arial"/>
        </w:rPr>
        <w:t>.</w:t>
      </w:r>
      <w:r w:rsidRPr="00D9712B">
        <w:t xml:space="preserve"> </w:t>
      </w:r>
    </w:p>
    <w:p w:rsidR="00D9712B" w:rsidRPr="00D9712B" w:rsidRDefault="00D9712B" w:rsidP="00D9712B">
      <w:pPr>
        <w:jc w:val="both"/>
        <w:rPr>
          <w:rFonts w:cs="Arial"/>
        </w:rPr>
      </w:pPr>
    </w:p>
    <w:p w:rsidR="00C52732" w:rsidRDefault="00D9712B" w:rsidP="00D9712B">
      <w:pPr>
        <w:pStyle w:val="Caption"/>
      </w:pPr>
      <w:bookmarkStart w:id="12" w:name="_Ref420586037"/>
      <w:r>
        <w:t xml:space="preserve">Table </w:t>
      </w:r>
      <w:r w:rsidR="002F7913">
        <w:fldChar w:fldCharType="begin"/>
      </w:r>
      <w:r w:rsidR="002F7913">
        <w:instrText xml:space="preserve"> STYLEREF 1 \s </w:instrText>
      </w:r>
      <w:r w:rsidR="002F7913">
        <w:fldChar w:fldCharType="separate"/>
      </w:r>
      <w:r w:rsidR="00BE0BFC">
        <w:rPr>
          <w:noProof/>
        </w:rPr>
        <w:t>4</w:t>
      </w:r>
      <w:r w:rsidR="002F7913">
        <w:rPr>
          <w:noProof/>
        </w:rPr>
        <w:fldChar w:fldCharType="end"/>
      </w:r>
      <w:r w:rsidR="00BE0BFC">
        <w:noBreakHyphen/>
      </w:r>
      <w:r w:rsidR="002F7913">
        <w:fldChar w:fldCharType="begin"/>
      </w:r>
      <w:r w:rsidR="002F7913">
        <w:instrText xml:space="preserve"> SEQ Table \* ARABIC \s 1 </w:instrText>
      </w:r>
      <w:r w:rsidR="002F7913">
        <w:fldChar w:fldCharType="separate"/>
      </w:r>
      <w:r w:rsidR="00BE0BFC">
        <w:rPr>
          <w:noProof/>
        </w:rPr>
        <w:t>3</w:t>
      </w:r>
      <w:r w:rsidR="002F7913">
        <w:rPr>
          <w:noProof/>
        </w:rPr>
        <w:fldChar w:fldCharType="end"/>
      </w:r>
      <w:bookmarkEnd w:id="12"/>
      <w:r>
        <w:t xml:space="preserve">:  </w:t>
      </w:r>
      <w:r w:rsidRPr="00FC42CF">
        <w:t>Phase III DR Program Potential – Net of Projected PJM Commitments</w:t>
      </w:r>
    </w:p>
    <w:tbl>
      <w:tblPr>
        <w:tblStyle w:val="LightList-Accent5"/>
        <w:tblW w:w="0" w:type="auto"/>
        <w:tblInd w:w="108" w:type="dxa"/>
        <w:tblBorders>
          <w:insideH w:val="single" w:sz="4" w:space="0" w:color="448A99"/>
          <w:insideV w:val="single" w:sz="4" w:space="0" w:color="448A99"/>
        </w:tblBorders>
        <w:tblLook w:val="04A0" w:firstRow="1" w:lastRow="0" w:firstColumn="1" w:lastColumn="0" w:noHBand="0" w:noVBand="1"/>
      </w:tblPr>
      <w:tblGrid>
        <w:gridCol w:w="1776"/>
        <w:gridCol w:w="2115"/>
        <w:gridCol w:w="1959"/>
        <w:gridCol w:w="1620"/>
        <w:gridCol w:w="1890"/>
      </w:tblGrid>
      <w:tr w:rsidR="00D9712B" w:rsidRPr="0031271C" w:rsidTr="006B442A">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1776" w:type="dxa"/>
            <w:tcBorders>
              <w:top w:val="single" w:sz="4" w:space="0" w:color="448A99"/>
              <w:left w:val="single" w:sz="4" w:space="0" w:color="448A99"/>
              <w:bottom w:val="single" w:sz="4" w:space="0" w:color="448A99"/>
              <w:right w:val="single" w:sz="4" w:space="0" w:color="448A99"/>
            </w:tcBorders>
            <w:shd w:val="clear" w:color="auto" w:fill="448A99"/>
            <w:vAlign w:val="center"/>
          </w:tcPr>
          <w:p w:rsidR="00D9712B" w:rsidRPr="0031271C" w:rsidRDefault="00D9712B" w:rsidP="006B442A">
            <w:pPr>
              <w:jc w:val="center"/>
              <w:rPr>
                <w:sz w:val="20"/>
                <w:szCs w:val="20"/>
              </w:rPr>
            </w:pPr>
            <w:r>
              <w:rPr>
                <w:sz w:val="20"/>
                <w:szCs w:val="20"/>
              </w:rPr>
              <w:t>EDC</w:t>
            </w:r>
          </w:p>
        </w:tc>
        <w:tc>
          <w:tcPr>
            <w:tcW w:w="2115" w:type="dxa"/>
            <w:tcBorders>
              <w:top w:val="single" w:sz="4" w:space="0" w:color="448A99"/>
              <w:left w:val="single" w:sz="4" w:space="0" w:color="448A99"/>
              <w:bottom w:val="single" w:sz="4" w:space="0" w:color="448A99"/>
              <w:right w:val="single" w:sz="4" w:space="0" w:color="448A99"/>
            </w:tcBorders>
            <w:shd w:val="clear" w:color="auto" w:fill="448A99"/>
            <w:vAlign w:val="center"/>
          </w:tcPr>
          <w:p w:rsidR="00D9712B" w:rsidRPr="0031271C" w:rsidRDefault="00D9712B" w:rsidP="006B442A">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5-Year DR Spending Ceiling (Million $)</w:t>
            </w:r>
          </w:p>
        </w:tc>
        <w:tc>
          <w:tcPr>
            <w:tcW w:w="1959" w:type="dxa"/>
            <w:tcBorders>
              <w:top w:val="single" w:sz="4" w:space="0" w:color="448A99"/>
              <w:left w:val="single" w:sz="4" w:space="0" w:color="448A99"/>
              <w:bottom w:val="single" w:sz="4" w:space="0" w:color="448A99"/>
              <w:right w:val="single" w:sz="4" w:space="0" w:color="448A99"/>
            </w:tcBorders>
            <w:shd w:val="clear" w:color="auto" w:fill="448A99"/>
            <w:vAlign w:val="center"/>
          </w:tcPr>
          <w:p w:rsidR="00D9712B" w:rsidRDefault="00D9712B" w:rsidP="006B442A">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Program Acquisition Costs ($/MW/year)</w:t>
            </w:r>
          </w:p>
        </w:tc>
        <w:tc>
          <w:tcPr>
            <w:tcW w:w="1620" w:type="dxa"/>
            <w:tcBorders>
              <w:top w:val="single" w:sz="4" w:space="0" w:color="448A99"/>
              <w:left w:val="single" w:sz="4" w:space="0" w:color="448A99"/>
              <w:bottom w:val="single" w:sz="4" w:space="0" w:color="448A99"/>
              <w:right w:val="single" w:sz="4" w:space="0" w:color="448A99"/>
            </w:tcBorders>
            <w:shd w:val="clear" w:color="auto" w:fill="448A99"/>
            <w:vAlign w:val="center"/>
          </w:tcPr>
          <w:p w:rsidR="00D9712B" w:rsidRPr="0031271C" w:rsidRDefault="00D9712B" w:rsidP="006B442A">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Average Annual Potential Savings (MW)</w:t>
            </w:r>
          </w:p>
        </w:tc>
        <w:tc>
          <w:tcPr>
            <w:tcW w:w="1890" w:type="dxa"/>
            <w:tcBorders>
              <w:top w:val="single" w:sz="4" w:space="0" w:color="448A99"/>
              <w:left w:val="single" w:sz="4" w:space="0" w:color="448A99"/>
              <w:bottom w:val="single" w:sz="4" w:space="0" w:color="448A99"/>
              <w:right w:val="single" w:sz="4" w:space="0" w:color="448A99"/>
            </w:tcBorders>
            <w:shd w:val="clear" w:color="auto" w:fill="448A99"/>
          </w:tcPr>
          <w:p w:rsidR="00D9712B" w:rsidRDefault="00D9712B" w:rsidP="006B442A">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Reduction Relative to 2007-2008 Peak Demand</w:t>
            </w:r>
          </w:p>
        </w:tc>
      </w:tr>
      <w:tr w:rsidR="00D9712B" w:rsidRPr="00337CFF" w:rsidTr="006B442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470" w:type="dxa"/>
            <w:gridSpan w:val="4"/>
            <w:tcBorders>
              <w:top w:val="single" w:sz="4" w:space="0" w:color="448A99"/>
            </w:tcBorders>
            <w:shd w:val="clear" w:color="auto" w:fill="9C9393"/>
            <w:vAlign w:val="center"/>
          </w:tcPr>
          <w:p w:rsidR="00D9712B" w:rsidRPr="00337CFF" w:rsidRDefault="00D9712B" w:rsidP="006B442A">
            <w:pPr>
              <w:rPr>
                <w:rFonts w:ascii="Calibri" w:hAnsi="Calibri"/>
                <w:color w:val="FFFFFF" w:themeColor="background1"/>
                <w:sz w:val="20"/>
                <w:szCs w:val="20"/>
              </w:rPr>
            </w:pPr>
            <w:r w:rsidRPr="00337CFF">
              <w:rPr>
                <w:rFonts w:ascii="Calibri" w:hAnsi="Calibri"/>
                <w:color w:val="FFFFFF" w:themeColor="background1"/>
                <w:sz w:val="20"/>
                <w:szCs w:val="20"/>
              </w:rPr>
              <w:t>2016-2020 – 10% DR Spending</w:t>
            </w:r>
          </w:p>
        </w:tc>
        <w:tc>
          <w:tcPr>
            <w:tcW w:w="1890" w:type="dxa"/>
            <w:tcBorders>
              <w:top w:val="single" w:sz="4" w:space="0" w:color="448A99"/>
            </w:tcBorders>
            <w:shd w:val="clear" w:color="auto" w:fill="9C9393"/>
          </w:tcPr>
          <w:p w:rsidR="00D9712B" w:rsidRPr="00337CFF" w:rsidRDefault="00D9712B" w:rsidP="006B442A">
            <w:pPr>
              <w:cnfStyle w:val="000000100000" w:firstRow="0" w:lastRow="0" w:firstColumn="0" w:lastColumn="0" w:oddVBand="0" w:evenVBand="0" w:oddHBand="1" w:evenHBand="0" w:firstRowFirstColumn="0" w:firstRowLastColumn="0" w:lastRowFirstColumn="0" w:lastRowLastColumn="0"/>
              <w:rPr>
                <w:rFonts w:ascii="Calibri" w:hAnsi="Calibri"/>
                <w:color w:val="FFFFFF" w:themeColor="background1"/>
                <w:sz w:val="20"/>
                <w:szCs w:val="20"/>
              </w:rPr>
            </w:pPr>
          </w:p>
        </w:tc>
      </w:tr>
      <w:tr w:rsidR="00D35DD5" w:rsidRPr="0031271C" w:rsidTr="00D35DD5">
        <w:trPr>
          <w:trHeight w:hRule="exact" w:val="288"/>
        </w:trPr>
        <w:tc>
          <w:tcPr>
            <w:cnfStyle w:val="001000000000" w:firstRow="0" w:lastRow="0" w:firstColumn="1" w:lastColumn="0" w:oddVBand="0" w:evenVBand="0" w:oddHBand="0" w:evenHBand="0" w:firstRowFirstColumn="0" w:firstRowLastColumn="0" w:lastRowFirstColumn="0" w:lastRowLastColumn="0"/>
            <w:tcW w:w="1776" w:type="dxa"/>
            <w:shd w:val="clear" w:color="auto" w:fill="D2EAF1"/>
            <w:vAlign w:val="center"/>
          </w:tcPr>
          <w:p w:rsidR="00D35DD5" w:rsidRDefault="00D35DD5" w:rsidP="006B442A">
            <w:pPr>
              <w:rPr>
                <w:rFonts w:ascii="Calibri" w:hAnsi="Calibri"/>
                <w:color w:val="000000"/>
                <w:sz w:val="20"/>
                <w:szCs w:val="20"/>
              </w:rPr>
            </w:pPr>
            <w:r>
              <w:rPr>
                <w:rFonts w:ascii="Calibri" w:hAnsi="Calibri"/>
                <w:color w:val="000000"/>
                <w:sz w:val="20"/>
                <w:szCs w:val="20"/>
              </w:rPr>
              <w:t>Duquesne</w:t>
            </w:r>
          </w:p>
        </w:tc>
        <w:tc>
          <w:tcPr>
            <w:tcW w:w="2115" w:type="dxa"/>
            <w:shd w:val="clear" w:color="auto" w:fill="D2EAF1"/>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$9.8</w:t>
            </w:r>
          </w:p>
        </w:tc>
        <w:tc>
          <w:tcPr>
            <w:tcW w:w="1959" w:type="dxa"/>
            <w:shd w:val="clear" w:color="auto" w:fill="D2EAF1"/>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 xml:space="preserve">$57,976 </w:t>
            </w:r>
          </w:p>
        </w:tc>
        <w:tc>
          <w:tcPr>
            <w:tcW w:w="1620" w:type="dxa"/>
            <w:shd w:val="clear" w:color="auto" w:fill="D2EAF1"/>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34</w:t>
            </w:r>
          </w:p>
        </w:tc>
        <w:tc>
          <w:tcPr>
            <w:tcW w:w="1890" w:type="dxa"/>
            <w:shd w:val="clear" w:color="auto" w:fill="D2EAF1"/>
            <w:vAlign w:val="center"/>
          </w:tcPr>
          <w:p w:rsidR="00D35DD5" w:rsidRPr="00D35DD5" w:rsidRDefault="00D35DD5" w:rsidP="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D35DD5">
              <w:rPr>
                <w:sz w:val="20"/>
              </w:rPr>
              <w:t>1.3%</w:t>
            </w:r>
          </w:p>
        </w:tc>
      </w:tr>
      <w:tr w:rsidR="00D35DD5" w:rsidRPr="0031271C" w:rsidTr="00D35DD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776" w:type="dxa"/>
            <w:vAlign w:val="center"/>
          </w:tcPr>
          <w:p w:rsidR="00D35DD5" w:rsidRDefault="00D35DD5" w:rsidP="006B442A">
            <w:pPr>
              <w:rPr>
                <w:rFonts w:ascii="Calibri" w:hAnsi="Calibri"/>
                <w:color w:val="000000"/>
                <w:sz w:val="20"/>
                <w:szCs w:val="20"/>
              </w:rPr>
            </w:pPr>
            <w:r>
              <w:rPr>
                <w:rFonts w:ascii="Calibri" w:hAnsi="Calibri"/>
                <w:color w:val="000000"/>
                <w:sz w:val="20"/>
                <w:szCs w:val="20"/>
              </w:rPr>
              <w:t>FE: Met-Ed</w:t>
            </w:r>
          </w:p>
        </w:tc>
        <w:tc>
          <w:tcPr>
            <w:tcW w:w="2115" w:type="dxa"/>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$12.4</w:t>
            </w:r>
          </w:p>
        </w:tc>
        <w:tc>
          <w:tcPr>
            <w:tcW w:w="1959" w:type="dxa"/>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 xml:space="preserve">$51,210 </w:t>
            </w:r>
          </w:p>
        </w:tc>
        <w:tc>
          <w:tcPr>
            <w:tcW w:w="1620" w:type="dxa"/>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49</w:t>
            </w:r>
          </w:p>
        </w:tc>
        <w:tc>
          <w:tcPr>
            <w:tcW w:w="1890" w:type="dxa"/>
            <w:vAlign w:val="center"/>
          </w:tcPr>
          <w:p w:rsidR="00D35DD5" w:rsidRPr="00D35DD5" w:rsidRDefault="00D35DD5" w:rsidP="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r w:rsidRPr="00D35DD5">
              <w:rPr>
                <w:sz w:val="20"/>
              </w:rPr>
              <w:t>1.8%</w:t>
            </w:r>
          </w:p>
        </w:tc>
      </w:tr>
      <w:tr w:rsidR="00D35DD5" w:rsidRPr="0031271C" w:rsidTr="00D35DD5">
        <w:trPr>
          <w:trHeight w:hRule="exact" w:val="288"/>
        </w:trPr>
        <w:tc>
          <w:tcPr>
            <w:cnfStyle w:val="001000000000" w:firstRow="0" w:lastRow="0" w:firstColumn="1" w:lastColumn="0" w:oddVBand="0" w:evenVBand="0" w:oddHBand="0" w:evenHBand="0" w:firstRowFirstColumn="0" w:firstRowLastColumn="0" w:lastRowFirstColumn="0" w:lastRowLastColumn="0"/>
            <w:tcW w:w="1776" w:type="dxa"/>
            <w:shd w:val="clear" w:color="auto" w:fill="D2EAF1"/>
            <w:vAlign w:val="center"/>
          </w:tcPr>
          <w:p w:rsidR="00D35DD5" w:rsidRDefault="00D35DD5" w:rsidP="006B442A">
            <w:pPr>
              <w:rPr>
                <w:rFonts w:ascii="Calibri" w:hAnsi="Calibri"/>
                <w:color w:val="000000"/>
                <w:sz w:val="20"/>
                <w:szCs w:val="20"/>
              </w:rPr>
            </w:pPr>
            <w:r>
              <w:rPr>
                <w:rFonts w:ascii="Calibri" w:hAnsi="Calibri"/>
                <w:color w:val="000000"/>
                <w:sz w:val="20"/>
                <w:szCs w:val="20"/>
              </w:rPr>
              <w:t>FE: Penelec</w:t>
            </w:r>
          </w:p>
        </w:tc>
        <w:tc>
          <w:tcPr>
            <w:tcW w:w="2115" w:type="dxa"/>
            <w:shd w:val="clear" w:color="auto" w:fill="D2EAF1"/>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$11.5</w:t>
            </w:r>
          </w:p>
        </w:tc>
        <w:tc>
          <w:tcPr>
            <w:tcW w:w="1959" w:type="dxa"/>
            <w:shd w:val="clear" w:color="auto" w:fill="D2EAF1"/>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 xml:space="preserve">$50,782 </w:t>
            </w:r>
          </w:p>
        </w:tc>
        <w:tc>
          <w:tcPr>
            <w:tcW w:w="1620" w:type="dxa"/>
            <w:shd w:val="clear" w:color="auto" w:fill="D2EAF1"/>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0</w:t>
            </w:r>
            <w:r w:rsidR="008E33F9">
              <w:rPr>
                <w:sz w:val="20"/>
                <w:szCs w:val="20"/>
              </w:rPr>
              <w:t>*</w:t>
            </w:r>
          </w:p>
        </w:tc>
        <w:tc>
          <w:tcPr>
            <w:tcW w:w="1890" w:type="dxa"/>
            <w:shd w:val="clear" w:color="auto" w:fill="D2EAF1"/>
            <w:vAlign w:val="center"/>
          </w:tcPr>
          <w:p w:rsidR="00D35DD5" w:rsidRPr="00D35DD5" w:rsidRDefault="00D35DD5" w:rsidP="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D35DD5">
              <w:rPr>
                <w:sz w:val="20"/>
              </w:rPr>
              <w:t>0.0%</w:t>
            </w:r>
          </w:p>
        </w:tc>
      </w:tr>
      <w:tr w:rsidR="00D35DD5" w:rsidRPr="0031271C" w:rsidTr="00D35DD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776" w:type="dxa"/>
            <w:vAlign w:val="center"/>
          </w:tcPr>
          <w:p w:rsidR="00D35DD5" w:rsidRDefault="00D35DD5" w:rsidP="006B442A">
            <w:pPr>
              <w:rPr>
                <w:rFonts w:ascii="Calibri" w:hAnsi="Calibri"/>
                <w:color w:val="000000"/>
                <w:sz w:val="20"/>
                <w:szCs w:val="20"/>
              </w:rPr>
            </w:pPr>
            <w:r>
              <w:rPr>
                <w:rFonts w:ascii="Calibri" w:hAnsi="Calibri"/>
                <w:color w:val="000000"/>
                <w:sz w:val="20"/>
                <w:szCs w:val="20"/>
              </w:rPr>
              <w:t>FE: Penn Power</w:t>
            </w:r>
          </w:p>
        </w:tc>
        <w:tc>
          <w:tcPr>
            <w:tcW w:w="2115" w:type="dxa"/>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$3.3</w:t>
            </w:r>
          </w:p>
        </w:tc>
        <w:tc>
          <w:tcPr>
            <w:tcW w:w="1959" w:type="dxa"/>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 xml:space="preserve">$49,349 </w:t>
            </w:r>
          </w:p>
        </w:tc>
        <w:tc>
          <w:tcPr>
            <w:tcW w:w="1620" w:type="dxa"/>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13</w:t>
            </w:r>
          </w:p>
        </w:tc>
        <w:tc>
          <w:tcPr>
            <w:tcW w:w="1890" w:type="dxa"/>
            <w:vAlign w:val="center"/>
          </w:tcPr>
          <w:p w:rsidR="00D35DD5" w:rsidRPr="00D35DD5" w:rsidRDefault="00D35DD5" w:rsidP="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r w:rsidRPr="00D35DD5">
              <w:rPr>
                <w:sz w:val="20"/>
              </w:rPr>
              <w:t>1.4%</w:t>
            </w:r>
          </w:p>
        </w:tc>
      </w:tr>
      <w:tr w:rsidR="00D35DD5" w:rsidRPr="0031271C" w:rsidTr="00D35DD5">
        <w:trPr>
          <w:trHeight w:hRule="exact" w:val="288"/>
        </w:trPr>
        <w:tc>
          <w:tcPr>
            <w:cnfStyle w:val="001000000000" w:firstRow="0" w:lastRow="0" w:firstColumn="1" w:lastColumn="0" w:oddVBand="0" w:evenVBand="0" w:oddHBand="0" w:evenHBand="0" w:firstRowFirstColumn="0" w:firstRowLastColumn="0" w:lastRowFirstColumn="0" w:lastRowLastColumn="0"/>
            <w:tcW w:w="1776" w:type="dxa"/>
            <w:shd w:val="clear" w:color="auto" w:fill="D2EAF1"/>
            <w:vAlign w:val="center"/>
          </w:tcPr>
          <w:p w:rsidR="00D35DD5" w:rsidRDefault="00D35DD5" w:rsidP="006B442A">
            <w:pPr>
              <w:rPr>
                <w:rFonts w:ascii="Calibri" w:hAnsi="Calibri"/>
                <w:color w:val="000000"/>
                <w:sz w:val="20"/>
                <w:szCs w:val="20"/>
              </w:rPr>
            </w:pPr>
            <w:r>
              <w:rPr>
                <w:rFonts w:ascii="Calibri" w:hAnsi="Calibri"/>
                <w:color w:val="000000"/>
                <w:sz w:val="20"/>
                <w:szCs w:val="20"/>
              </w:rPr>
              <w:t>FE: WPP</w:t>
            </w:r>
          </w:p>
        </w:tc>
        <w:tc>
          <w:tcPr>
            <w:tcW w:w="2115" w:type="dxa"/>
            <w:shd w:val="clear" w:color="auto" w:fill="D2EAF1"/>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$11.8</w:t>
            </w:r>
          </w:p>
        </w:tc>
        <w:tc>
          <w:tcPr>
            <w:tcW w:w="1959" w:type="dxa"/>
            <w:shd w:val="clear" w:color="auto" w:fill="D2EAF1"/>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 xml:space="preserve">$46,203 </w:t>
            </w:r>
          </w:p>
        </w:tc>
        <w:tc>
          <w:tcPr>
            <w:tcW w:w="1620" w:type="dxa"/>
            <w:shd w:val="clear" w:color="auto" w:fill="D2EAF1"/>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51</w:t>
            </w:r>
          </w:p>
        </w:tc>
        <w:tc>
          <w:tcPr>
            <w:tcW w:w="1890" w:type="dxa"/>
            <w:shd w:val="clear" w:color="auto" w:fill="D2EAF1"/>
            <w:vAlign w:val="center"/>
          </w:tcPr>
          <w:p w:rsidR="00D35DD5" w:rsidRPr="00D35DD5" w:rsidRDefault="00D35DD5" w:rsidP="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D35DD5">
              <w:rPr>
                <w:sz w:val="20"/>
              </w:rPr>
              <w:t>1.5%</w:t>
            </w:r>
          </w:p>
        </w:tc>
      </w:tr>
      <w:tr w:rsidR="00D35DD5" w:rsidRPr="0031271C" w:rsidTr="00D35DD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776" w:type="dxa"/>
            <w:vAlign w:val="center"/>
          </w:tcPr>
          <w:p w:rsidR="00D35DD5" w:rsidRDefault="00D35DD5" w:rsidP="006B442A">
            <w:pPr>
              <w:rPr>
                <w:rFonts w:ascii="Calibri" w:hAnsi="Calibri"/>
                <w:color w:val="000000"/>
                <w:sz w:val="20"/>
                <w:szCs w:val="20"/>
              </w:rPr>
            </w:pPr>
            <w:r>
              <w:rPr>
                <w:rFonts w:ascii="Calibri" w:hAnsi="Calibri"/>
                <w:color w:val="000000"/>
                <w:sz w:val="20"/>
                <w:szCs w:val="20"/>
              </w:rPr>
              <w:t>PECO</w:t>
            </w:r>
          </w:p>
        </w:tc>
        <w:tc>
          <w:tcPr>
            <w:tcW w:w="2115" w:type="dxa"/>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$42.7</w:t>
            </w:r>
          </w:p>
        </w:tc>
        <w:tc>
          <w:tcPr>
            <w:tcW w:w="1959" w:type="dxa"/>
            <w:shd w:val="clear" w:color="auto" w:fill="auto"/>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 xml:space="preserve">$66,370 </w:t>
            </w:r>
          </w:p>
        </w:tc>
        <w:tc>
          <w:tcPr>
            <w:tcW w:w="1620" w:type="dxa"/>
            <w:shd w:val="clear" w:color="auto" w:fill="auto"/>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129</w:t>
            </w:r>
          </w:p>
        </w:tc>
        <w:tc>
          <w:tcPr>
            <w:tcW w:w="1890" w:type="dxa"/>
            <w:vAlign w:val="center"/>
          </w:tcPr>
          <w:p w:rsidR="00D35DD5" w:rsidRPr="00D35DD5" w:rsidRDefault="00D35DD5" w:rsidP="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r w:rsidRPr="00D35DD5">
              <w:rPr>
                <w:sz w:val="20"/>
              </w:rPr>
              <w:t>1.6%</w:t>
            </w:r>
          </w:p>
        </w:tc>
      </w:tr>
      <w:tr w:rsidR="00D35DD5" w:rsidRPr="0031271C" w:rsidTr="00D35DD5">
        <w:trPr>
          <w:trHeight w:hRule="exact" w:val="288"/>
        </w:trPr>
        <w:tc>
          <w:tcPr>
            <w:cnfStyle w:val="001000000000" w:firstRow="0" w:lastRow="0" w:firstColumn="1" w:lastColumn="0" w:oddVBand="0" w:evenVBand="0" w:oddHBand="0" w:evenHBand="0" w:firstRowFirstColumn="0" w:firstRowLastColumn="0" w:lastRowFirstColumn="0" w:lastRowLastColumn="0"/>
            <w:tcW w:w="1776" w:type="dxa"/>
            <w:shd w:val="clear" w:color="auto" w:fill="D2EAF1"/>
            <w:vAlign w:val="center"/>
          </w:tcPr>
          <w:p w:rsidR="00D35DD5" w:rsidRDefault="00D35DD5" w:rsidP="006B442A">
            <w:pPr>
              <w:rPr>
                <w:rFonts w:ascii="Calibri" w:hAnsi="Calibri"/>
                <w:color w:val="000000"/>
                <w:sz w:val="20"/>
                <w:szCs w:val="20"/>
              </w:rPr>
            </w:pPr>
            <w:r>
              <w:rPr>
                <w:rFonts w:ascii="Calibri" w:hAnsi="Calibri"/>
                <w:color w:val="000000"/>
                <w:sz w:val="20"/>
                <w:szCs w:val="20"/>
              </w:rPr>
              <w:t>PPL</w:t>
            </w:r>
          </w:p>
        </w:tc>
        <w:tc>
          <w:tcPr>
            <w:tcW w:w="2115" w:type="dxa"/>
            <w:shd w:val="clear" w:color="auto" w:fill="D2EAF1"/>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$30.8</w:t>
            </w:r>
          </w:p>
        </w:tc>
        <w:tc>
          <w:tcPr>
            <w:tcW w:w="1959" w:type="dxa"/>
            <w:shd w:val="clear" w:color="auto" w:fill="D2EAF1"/>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 xml:space="preserve">$41,622 </w:t>
            </w:r>
          </w:p>
        </w:tc>
        <w:tc>
          <w:tcPr>
            <w:tcW w:w="1620" w:type="dxa"/>
            <w:shd w:val="clear" w:color="auto" w:fill="D2EAF1"/>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95</w:t>
            </w:r>
            <w:r w:rsidR="008E33F9">
              <w:rPr>
                <w:sz w:val="20"/>
                <w:szCs w:val="20"/>
              </w:rPr>
              <w:t>*</w:t>
            </w:r>
          </w:p>
        </w:tc>
        <w:tc>
          <w:tcPr>
            <w:tcW w:w="1890" w:type="dxa"/>
            <w:shd w:val="clear" w:color="auto" w:fill="D2EAF1"/>
            <w:vAlign w:val="center"/>
          </w:tcPr>
          <w:p w:rsidR="00D35DD5" w:rsidRPr="00D35DD5" w:rsidRDefault="00D35DD5" w:rsidP="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D35DD5">
              <w:rPr>
                <w:sz w:val="20"/>
              </w:rPr>
              <w:t>1.4%</w:t>
            </w:r>
          </w:p>
        </w:tc>
      </w:tr>
      <w:tr w:rsidR="00D35DD5" w:rsidRPr="0031271C" w:rsidTr="00D35DD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776" w:type="dxa"/>
            <w:vAlign w:val="center"/>
          </w:tcPr>
          <w:p w:rsidR="00D35DD5" w:rsidRPr="003C4EB2" w:rsidRDefault="00D35DD5" w:rsidP="006B442A">
            <w:pPr>
              <w:rPr>
                <w:rFonts w:ascii="Calibri" w:hAnsi="Calibri"/>
                <w:color w:val="000000"/>
                <w:sz w:val="20"/>
                <w:szCs w:val="20"/>
              </w:rPr>
            </w:pPr>
            <w:r w:rsidRPr="003C4EB2">
              <w:rPr>
                <w:rFonts w:ascii="Calibri" w:hAnsi="Calibri"/>
                <w:bCs w:val="0"/>
                <w:color w:val="000000"/>
                <w:sz w:val="20"/>
                <w:szCs w:val="20"/>
              </w:rPr>
              <w:t>Statewide</w:t>
            </w:r>
          </w:p>
        </w:tc>
        <w:tc>
          <w:tcPr>
            <w:tcW w:w="2115" w:type="dxa"/>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0"/>
                <w:szCs w:val="20"/>
              </w:rPr>
            </w:pPr>
            <w:r w:rsidRPr="00D35DD5">
              <w:rPr>
                <w:b/>
                <w:bCs/>
                <w:sz w:val="20"/>
                <w:szCs w:val="20"/>
              </w:rPr>
              <w:t>$122.3</w:t>
            </w:r>
          </w:p>
        </w:tc>
        <w:tc>
          <w:tcPr>
            <w:tcW w:w="1959" w:type="dxa"/>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0"/>
                <w:szCs w:val="20"/>
              </w:rPr>
            </w:pPr>
            <w:r w:rsidRPr="00D35DD5">
              <w:rPr>
                <w:b/>
                <w:bCs/>
                <w:sz w:val="20"/>
                <w:szCs w:val="20"/>
              </w:rPr>
              <w:t>$53,876</w:t>
            </w:r>
          </w:p>
        </w:tc>
        <w:tc>
          <w:tcPr>
            <w:tcW w:w="1620" w:type="dxa"/>
            <w:shd w:val="clear" w:color="auto" w:fill="auto"/>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0"/>
                <w:szCs w:val="20"/>
              </w:rPr>
            </w:pPr>
            <w:r w:rsidRPr="00D35DD5">
              <w:rPr>
                <w:b/>
                <w:bCs/>
                <w:sz w:val="20"/>
                <w:szCs w:val="20"/>
              </w:rPr>
              <w:t>370</w:t>
            </w:r>
          </w:p>
        </w:tc>
        <w:tc>
          <w:tcPr>
            <w:tcW w:w="1890" w:type="dxa"/>
            <w:vAlign w:val="center"/>
          </w:tcPr>
          <w:p w:rsidR="00D35DD5" w:rsidRPr="00D35DD5" w:rsidRDefault="00D35DD5" w:rsidP="00D35DD5">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0"/>
              </w:rPr>
            </w:pPr>
            <w:r w:rsidRPr="00D35DD5">
              <w:rPr>
                <w:b/>
                <w:bCs/>
                <w:sz w:val="20"/>
              </w:rPr>
              <w:t>1.4%</w:t>
            </w:r>
          </w:p>
        </w:tc>
      </w:tr>
      <w:tr w:rsidR="00D9712B" w:rsidRPr="00337CFF" w:rsidTr="006B442A">
        <w:trPr>
          <w:trHeight w:hRule="exact" w:val="288"/>
        </w:trPr>
        <w:tc>
          <w:tcPr>
            <w:cnfStyle w:val="001000000000" w:firstRow="0" w:lastRow="0" w:firstColumn="1" w:lastColumn="0" w:oddVBand="0" w:evenVBand="0" w:oddHBand="0" w:evenHBand="0" w:firstRowFirstColumn="0" w:firstRowLastColumn="0" w:lastRowFirstColumn="0" w:lastRowLastColumn="0"/>
            <w:tcW w:w="7470" w:type="dxa"/>
            <w:gridSpan w:val="4"/>
            <w:shd w:val="clear" w:color="auto" w:fill="9C9393"/>
          </w:tcPr>
          <w:p w:rsidR="00D9712B" w:rsidRPr="00337CFF" w:rsidRDefault="00D9712B" w:rsidP="006B442A">
            <w:pPr>
              <w:rPr>
                <w:rFonts w:ascii="Calibri" w:hAnsi="Calibri"/>
                <w:color w:val="FFFFFF" w:themeColor="background1"/>
                <w:sz w:val="20"/>
                <w:szCs w:val="20"/>
              </w:rPr>
            </w:pPr>
            <w:r w:rsidRPr="00337CFF">
              <w:rPr>
                <w:rFonts w:ascii="Calibri" w:hAnsi="Calibri"/>
                <w:color w:val="FFFFFF" w:themeColor="background1"/>
                <w:sz w:val="20"/>
                <w:szCs w:val="20"/>
              </w:rPr>
              <w:t>2016-2020 – 15% DR Spending</w:t>
            </w:r>
          </w:p>
        </w:tc>
        <w:tc>
          <w:tcPr>
            <w:tcW w:w="1890" w:type="dxa"/>
            <w:shd w:val="clear" w:color="auto" w:fill="9C9393"/>
          </w:tcPr>
          <w:p w:rsidR="00D9712B" w:rsidRPr="00337CFF" w:rsidRDefault="00D9712B" w:rsidP="006B442A">
            <w:pP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20"/>
                <w:szCs w:val="20"/>
              </w:rPr>
            </w:pPr>
          </w:p>
        </w:tc>
      </w:tr>
      <w:tr w:rsidR="00D35DD5" w:rsidRPr="0031271C" w:rsidTr="00D35DD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776" w:type="dxa"/>
            <w:shd w:val="clear" w:color="auto" w:fill="D2EAF1"/>
            <w:vAlign w:val="center"/>
          </w:tcPr>
          <w:p w:rsidR="00D35DD5" w:rsidRDefault="00D35DD5" w:rsidP="006B442A">
            <w:pPr>
              <w:rPr>
                <w:rFonts w:ascii="Calibri" w:hAnsi="Calibri"/>
                <w:color w:val="000000"/>
                <w:sz w:val="20"/>
                <w:szCs w:val="20"/>
              </w:rPr>
            </w:pPr>
            <w:r>
              <w:rPr>
                <w:rFonts w:ascii="Calibri" w:hAnsi="Calibri"/>
                <w:color w:val="000000"/>
                <w:sz w:val="20"/>
                <w:szCs w:val="20"/>
              </w:rPr>
              <w:t>Duquesne</w:t>
            </w:r>
          </w:p>
        </w:tc>
        <w:tc>
          <w:tcPr>
            <w:tcW w:w="2115" w:type="dxa"/>
            <w:shd w:val="clear" w:color="auto" w:fill="D2EAF1"/>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$14.7</w:t>
            </w:r>
          </w:p>
        </w:tc>
        <w:tc>
          <w:tcPr>
            <w:tcW w:w="1959" w:type="dxa"/>
            <w:shd w:val="clear" w:color="auto" w:fill="D2EAF1"/>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 xml:space="preserve">$57,976 </w:t>
            </w:r>
          </w:p>
        </w:tc>
        <w:tc>
          <w:tcPr>
            <w:tcW w:w="1620" w:type="dxa"/>
            <w:shd w:val="clear" w:color="auto" w:fill="D2EAF1"/>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51</w:t>
            </w:r>
          </w:p>
        </w:tc>
        <w:tc>
          <w:tcPr>
            <w:tcW w:w="1890" w:type="dxa"/>
            <w:shd w:val="clear" w:color="auto" w:fill="D2EAF1"/>
            <w:vAlign w:val="center"/>
          </w:tcPr>
          <w:p w:rsidR="00D35DD5" w:rsidRPr="00D35DD5" w:rsidRDefault="00D35DD5" w:rsidP="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r w:rsidRPr="00D35DD5">
              <w:rPr>
                <w:sz w:val="20"/>
              </w:rPr>
              <w:t>2.0%</w:t>
            </w:r>
          </w:p>
        </w:tc>
      </w:tr>
      <w:tr w:rsidR="00D35DD5" w:rsidRPr="0031271C" w:rsidTr="00D35DD5">
        <w:trPr>
          <w:trHeight w:hRule="exact" w:val="288"/>
        </w:trPr>
        <w:tc>
          <w:tcPr>
            <w:cnfStyle w:val="001000000000" w:firstRow="0" w:lastRow="0" w:firstColumn="1" w:lastColumn="0" w:oddVBand="0" w:evenVBand="0" w:oddHBand="0" w:evenHBand="0" w:firstRowFirstColumn="0" w:firstRowLastColumn="0" w:lastRowFirstColumn="0" w:lastRowLastColumn="0"/>
            <w:tcW w:w="1776" w:type="dxa"/>
            <w:vAlign w:val="center"/>
          </w:tcPr>
          <w:p w:rsidR="00D35DD5" w:rsidRDefault="00D35DD5" w:rsidP="006B442A">
            <w:pPr>
              <w:rPr>
                <w:rFonts w:ascii="Calibri" w:hAnsi="Calibri"/>
                <w:color w:val="000000"/>
                <w:sz w:val="20"/>
                <w:szCs w:val="20"/>
              </w:rPr>
            </w:pPr>
            <w:r>
              <w:rPr>
                <w:rFonts w:ascii="Calibri" w:hAnsi="Calibri"/>
                <w:color w:val="000000"/>
                <w:sz w:val="20"/>
                <w:szCs w:val="20"/>
              </w:rPr>
              <w:t>FE: Met-Ed</w:t>
            </w:r>
          </w:p>
        </w:tc>
        <w:tc>
          <w:tcPr>
            <w:tcW w:w="2115" w:type="dxa"/>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$18.7</w:t>
            </w:r>
          </w:p>
        </w:tc>
        <w:tc>
          <w:tcPr>
            <w:tcW w:w="1959" w:type="dxa"/>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 xml:space="preserve">$51,210 </w:t>
            </w:r>
          </w:p>
        </w:tc>
        <w:tc>
          <w:tcPr>
            <w:tcW w:w="1620" w:type="dxa"/>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50</w:t>
            </w:r>
            <w:r w:rsidR="008E33F9">
              <w:rPr>
                <w:sz w:val="20"/>
                <w:szCs w:val="20"/>
              </w:rPr>
              <w:t>*</w:t>
            </w:r>
          </w:p>
        </w:tc>
        <w:tc>
          <w:tcPr>
            <w:tcW w:w="1890" w:type="dxa"/>
            <w:vAlign w:val="center"/>
          </w:tcPr>
          <w:p w:rsidR="00D35DD5" w:rsidRPr="00D35DD5" w:rsidRDefault="00D35DD5" w:rsidP="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D35DD5">
              <w:rPr>
                <w:sz w:val="20"/>
              </w:rPr>
              <w:t>1.9%</w:t>
            </w:r>
          </w:p>
        </w:tc>
      </w:tr>
      <w:tr w:rsidR="00D35DD5" w:rsidRPr="0031271C" w:rsidTr="00D35DD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776" w:type="dxa"/>
            <w:shd w:val="clear" w:color="auto" w:fill="D2EAF1"/>
            <w:vAlign w:val="center"/>
          </w:tcPr>
          <w:p w:rsidR="00D35DD5" w:rsidRDefault="00D35DD5" w:rsidP="006B442A">
            <w:pPr>
              <w:rPr>
                <w:rFonts w:ascii="Calibri" w:hAnsi="Calibri"/>
                <w:color w:val="000000"/>
                <w:sz w:val="20"/>
                <w:szCs w:val="20"/>
              </w:rPr>
            </w:pPr>
            <w:r>
              <w:rPr>
                <w:rFonts w:ascii="Calibri" w:hAnsi="Calibri"/>
                <w:color w:val="000000"/>
                <w:sz w:val="20"/>
                <w:szCs w:val="20"/>
              </w:rPr>
              <w:t>FE: Penelec</w:t>
            </w:r>
          </w:p>
        </w:tc>
        <w:tc>
          <w:tcPr>
            <w:tcW w:w="2115" w:type="dxa"/>
            <w:shd w:val="clear" w:color="auto" w:fill="D2EAF1"/>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$17.2</w:t>
            </w:r>
          </w:p>
        </w:tc>
        <w:tc>
          <w:tcPr>
            <w:tcW w:w="1959" w:type="dxa"/>
            <w:shd w:val="clear" w:color="auto" w:fill="D2EAF1"/>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 xml:space="preserve">$50,782 </w:t>
            </w:r>
          </w:p>
        </w:tc>
        <w:tc>
          <w:tcPr>
            <w:tcW w:w="1620" w:type="dxa"/>
            <w:shd w:val="clear" w:color="auto" w:fill="D2EAF1"/>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0</w:t>
            </w:r>
            <w:r w:rsidR="008E33F9">
              <w:rPr>
                <w:sz w:val="20"/>
                <w:szCs w:val="20"/>
              </w:rPr>
              <w:t>*</w:t>
            </w:r>
          </w:p>
        </w:tc>
        <w:tc>
          <w:tcPr>
            <w:tcW w:w="1890" w:type="dxa"/>
            <w:shd w:val="clear" w:color="auto" w:fill="D2EAF1"/>
            <w:vAlign w:val="center"/>
          </w:tcPr>
          <w:p w:rsidR="00D35DD5" w:rsidRPr="00D35DD5" w:rsidRDefault="00D35DD5" w:rsidP="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r w:rsidRPr="00D35DD5">
              <w:rPr>
                <w:sz w:val="20"/>
              </w:rPr>
              <w:t>0.0%</w:t>
            </w:r>
          </w:p>
        </w:tc>
      </w:tr>
      <w:tr w:rsidR="00D35DD5" w:rsidRPr="0031271C" w:rsidTr="00D35DD5">
        <w:trPr>
          <w:trHeight w:hRule="exact" w:val="288"/>
        </w:trPr>
        <w:tc>
          <w:tcPr>
            <w:cnfStyle w:val="001000000000" w:firstRow="0" w:lastRow="0" w:firstColumn="1" w:lastColumn="0" w:oddVBand="0" w:evenVBand="0" w:oddHBand="0" w:evenHBand="0" w:firstRowFirstColumn="0" w:firstRowLastColumn="0" w:lastRowFirstColumn="0" w:lastRowLastColumn="0"/>
            <w:tcW w:w="1776" w:type="dxa"/>
            <w:vAlign w:val="center"/>
          </w:tcPr>
          <w:p w:rsidR="00D35DD5" w:rsidRDefault="00D35DD5" w:rsidP="006B442A">
            <w:pPr>
              <w:rPr>
                <w:rFonts w:ascii="Calibri" w:hAnsi="Calibri"/>
                <w:color w:val="000000"/>
                <w:sz w:val="20"/>
                <w:szCs w:val="20"/>
              </w:rPr>
            </w:pPr>
            <w:r>
              <w:rPr>
                <w:rFonts w:ascii="Calibri" w:hAnsi="Calibri"/>
                <w:color w:val="000000"/>
                <w:sz w:val="20"/>
                <w:szCs w:val="20"/>
              </w:rPr>
              <w:t>FE: Penn Power</w:t>
            </w:r>
          </w:p>
        </w:tc>
        <w:tc>
          <w:tcPr>
            <w:tcW w:w="2115" w:type="dxa"/>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$5.0</w:t>
            </w:r>
          </w:p>
        </w:tc>
        <w:tc>
          <w:tcPr>
            <w:tcW w:w="1959" w:type="dxa"/>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 xml:space="preserve">$49,349 </w:t>
            </w:r>
          </w:p>
        </w:tc>
        <w:tc>
          <w:tcPr>
            <w:tcW w:w="1620" w:type="dxa"/>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20</w:t>
            </w:r>
          </w:p>
        </w:tc>
        <w:tc>
          <w:tcPr>
            <w:tcW w:w="1890" w:type="dxa"/>
            <w:vAlign w:val="center"/>
          </w:tcPr>
          <w:p w:rsidR="00D35DD5" w:rsidRPr="00D35DD5" w:rsidRDefault="00D35DD5" w:rsidP="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D35DD5">
              <w:rPr>
                <w:sz w:val="20"/>
              </w:rPr>
              <w:t>2.1%</w:t>
            </w:r>
          </w:p>
        </w:tc>
      </w:tr>
      <w:tr w:rsidR="00D35DD5" w:rsidRPr="0031271C" w:rsidTr="00D35DD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776" w:type="dxa"/>
            <w:shd w:val="clear" w:color="auto" w:fill="D2EAF1"/>
            <w:vAlign w:val="center"/>
          </w:tcPr>
          <w:p w:rsidR="00D35DD5" w:rsidRDefault="00D35DD5" w:rsidP="006B442A">
            <w:pPr>
              <w:rPr>
                <w:rFonts w:ascii="Calibri" w:hAnsi="Calibri"/>
                <w:color w:val="000000"/>
                <w:sz w:val="20"/>
                <w:szCs w:val="20"/>
              </w:rPr>
            </w:pPr>
            <w:r>
              <w:rPr>
                <w:rFonts w:ascii="Calibri" w:hAnsi="Calibri"/>
                <w:color w:val="000000"/>
                <w:sz w:val="20"/>
                <w:szCs w:val="20"/>
              </w:rPr>
              <w:t>FE: WPP</w:t>
            </w:r>
          </w:p>
        </w:tc>
        <w:tc>
          <w:tcPr>
            <w:tcW w:w="2115" w:type="dxa"/>
            <w:shd w:val="clear" w:color="auto" w:fill="D2EAF1"/>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$17.7</w:t>
            </w:r>
          </w:p>
        </w:tc>
        <w:tc>
          <w:tcPr>
            <w:tcW w:w="1959" w:type="dxa"/>
            <w:shd w:val="clear" w:color="auto" w:fill="D2EAF1"/>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 xml:space="preserve">$46,203 </w:t>
            </w:r>
          </w:p>
        </w:tc>
        <w:tc>
          <w:tcPr>
            <w:tcW w:w="1620" w:type="dxa"/>
            <w:shd w:val="clear" w:color="auto" w:fill="D2EAF1"/>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76</w:t>
            </w:r>
          </w:p>
        </w:tc>
        <w:tc>
          <w:tcPr>
            <w:tcW w:w="1890" w:type="dxa"/>
            <w:shd w:val="clear" w:color="auto" w:fill="D2EAF1"/>
            <w:vAlign w:val="center"/>
          </w:tcPr>
          <w:p w:rsidR="00D35DD5" w:rsidRPr="00D35DD5" w:rsidRDefault="00D35DD5" w:rsidP="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r w:rsidRPr="00D35DD5">
              <w:rPr>
                <w:sz w:val="20"/>
              </w:rPr>
              <w:t>2.2%</w:t>
            </w:r>
          </w:p>
        </w:tc>
      </w:tr>
      <w:tr w:rsidR="00D35DD5" w:rsidRPr="0031271C" w:rsidTr="00D35DD5">
        <w:trPr>
          <w:trHeight w:hRule="exact" w:val="288"/>
        </w:trPr>
        <w:tc>
          <w:tcPr>
            <w:cnfStyle w:val="001000000000" w:firstRow="0" w:lastRow="0" w:firstColumn="1" w:lastColumn="0" w:oddVBand="0" w:evenVBand="0" w:oddHBand="0" w:evenHBand="0" w:firstRowFirstColumn="0" w:firstRowLastColumn="0" w:lastRowFirstColumn="0" w:lastRowLastColumn="0"/>
            <w:tcW w:w="1776" w:type="dxa"/>
            <w:vAlign w:val="center"/>
          </w:tcPr>
          <w:p w:rsidR="00D35DD5" w:rsidRDefault="00D35DD5" w:rsidP="006B442A">
            <w:pPr>
              <w:rPr>
                <w:rFonts w:ascii="Calibri" w:hAnsi="Calibri"/>
                <w:color w:val="000000"/>
                <w:sz w:val="20"/>
                <w:szCs w:val="20"/>
              </w:rPr>
            </w:pPr>
            <w:r>
              <w:rPr>
                <w:rFonts w:ascii="Calibri" w:hAnsi="Calibri"/>
                <w:color w:val="000000"/>
                <w:sz w:val="20"/>
                <w:szCs w:val="20"/>
              </w:rPr>
              <w:t>PECO</w:t>
            </w:r>
          </w:p>
        </w:tc>
        <w:tc>
          <w:tcPr>
            <w:tcW w:w="2115" w:type="dxa"/>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$64.0</w:t>
            </w:r>
          </w:p>
        </w:tc>
        <w:tc>
          <w:tcPr>
            <w:tcW w:w="1959" w:type="dxa"/>
            <w:shd w:val="clear" w:color="auto" w:fill="auto"/>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 xml:space="preserve">$66,370 </w:t>
            </w:r>
          </w:p>
        </w:tc>
        <w:tc>
          <w:tcPr>
            <w:tcW w:w="1620" w:type="dxa"/>
            <w:shd w:val="clear" w:color="auto" w:fill="auto"/>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193</w:t>
            </w:r>
          </w:p>
        </w:tc>
        <w:tc>
          <w:tcPr>
            <w:tcW w:w="1890" w:type="dxa"/>
            <w:vAlign w:val="center"/>
          </w:tcPr>
          <w:p w:rsidR="00D35DD5" w:rsidRPr="00D35DD5" w:rsidRDefault="00D35DD5" w:rsidP="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D35DD5">
              <w:rPr>
                <w:sz w:val="20"/>
              </w:rPr>
              <w:t>2.4%</w:t>
            </w:r>
          </w:p>
        </w:tc>
      </w:tr>
      <w:tr w:rsidR="00D35DD5" w:rsidRPr="0031271C" w:rsidTr="00D35DD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776" w:type="dxa"/>
            <w:shd w:val="clear" w:color="auto" w:fill="D2EAF1"/>
            <w:vAlign w:val="center"/>
          </w:tcPr>
          <w:p w:rsidR="00D35DD5" w:rsidRDefault="00D35DD5" w:rsidP="006B442A">
            <w:pPr>
              <w:rPr>
                <w:rFonts w:ascii="Calibri" w:hAnsi="Calibri"/>
                <w:color w:val="000000"/>
                <w:sz w:val="20"/>
                <w:szCs w:val="20"/>
              </w:rPr>
            </w:pPr>
            <w:r>
              <w:rPr>
                <w:rFonts w:ascii="Calibri" w:hAnsi="Calibri"/>
                <w:color w:val="000000"/>
                <w:sz w:val="20"/>
                <w:szCs w:val="20"/>
              </w:rPr>
              <w:t>PPL</w:t>
            </w:r>
          </w:p>
        </w:tc>
        <w:tc>
          <w:tcPr>
            <w:tcW w:w="2115" w:type="dxa"/>
            <w:shd w:val="clear" w:color="auto" w:fill="D2EAF1"/>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$46.1</w:t>
            </w:r>
          </w:p>
        </w:tc>
        <w:tc>
          <w:tcPr>
            <w:tcW w:w="1959" w:type="dxa"/>
            <w:shd w:val="clear" w:color="auto" w:fill="D2EAF1"/>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 xml:space="preserve">$41,622 </w:t>
            </w:r>
          </w:p>
        </w:tc>
        <w:tc>
          <w:tcPr>
            <w:tcW w:w="1620" w:type="dxa"/>
            <w:shd w:val="clear" w:color="auto" w:fill="D2EAF1"/>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95</w:t>
            </w:r>
            <w:r w:rsidR="008E33F9">
              <w:rPr>
                <w:sz w:val="20"/>
                <w:szCs w:val="20"/>
              </w:rPr>
              <w:t>*</w:t>
            </w:r>
          </w:p>
        </w:tc>
        <w:tc>
          <w:tcPr>
            <w:tcW w:w="1890" w:type="dxa"/>
            <w:shd w:val="clear" w:color="auto" w:fill="D2EAF1"/>
            <w:vAlign w:val="center"/>
          </w:tcPr>
          <w:p w:rsidR="00D35DD5" w:rsidRPr="00D35DD5" w:rsidRDefault="00D35DD5" w:rsidP="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r w:rsidRPr="00D35DD5">
              <w:rPr>
                <w:sz w:val="20"/>
              </w:rPr>
              <w:t>1.4%</w:t>
            </w:r>
          </w:p>
        </w:tc>
      </w:tr>
      <w:tr w:rsidR="00D35DD5" w:rsidRPr="00BF7FC2" w:rsidTr="00D35DD5">
        <w:trPr>
          <w:trHeight w:hRule="exact" w:val="288"/>
        </w:trPr>
        <w:tc>
          <w:tcPr>
            <w:cnfStyle w:val="001000000000" w:firstRow="0" w:lastRow="0" w:firstColumn="1" w:lastColumn="0" w:oddVBand="0" w:evenVBand="0" w:oddHBand="0" w:evenHBand="0" w:firstRowFirstColumn="0" w:firstRowLastColumn="0" w:lastRowFirstColumn="0" w:lastRowLastColumn="0"/>
            <w:tcW w:w="1776" w:type="dxa"/>
            <w:vAlign w:val="center"/>
          </w:tcPr>
          <w:p w:rsidR="00D35DD5" w:rsidRPr="003C4EB2" w:rsidRDefault="00D35DD5" w:rsidP="006B442A">
            <w:pPr>
              <w:rPr>
                <w:rFonts w:ascii="Calibri" w:hAnsi="Calibri"/>
                <w:color w:val="000000"/>
                <w:sz w:val="20"/>
                <w:szCs w:val="20"/>
              </w:rPr>
            </w:pPr>
            <w:r w:rsidRPr="003C4EB2">
              <w:rPr>
                <w:rFonts w:ascii="Calibri" w:hAnsi="Calibri"/>
                <w:bCs w:val="0"/>
                <w:color w:val="000000"/>
                <w:sz w:val="20"/>
                <w:szCs w:val="20"/>
              </w:rPr>
              <w:t>Statewide</w:t>
            </w:r>
          </w:p>
        </w:tc>
        <w:tc>
          <w:tcPr>
            <w:tcW w:w="2115" w:type="dxa"/>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sidRPr="00D35DD5">
              <w:rPr>
                <w:b/>
                <w:bCs/>
                <w:sz w:val="20"/>
                <w:szCs w:val="20"/>
              </w:rPr>
              <w:t>$183.4</w:t>
            </w:r>
          </w:p>
        </w:tc>
        <w:tc>
          <w:tcPr>
            <w:tcW w:w="1959" w:type="dxa"/>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sidRPr="00D35DD5">
              <w:rPr>
                <w:b/>
                <w:bCs/>
                <w:sz w:val="20"/>
                <w:szCs w:val="20"/>
              </w:rPr>
              <w:t>$55,200</w:t>
            </w:r>
          </w:p>
        </w:tc>
        <w:tc>
          <w:tcPr>
            <w:tcW w:w="1620" w:type="dxa"/>
            <w:shd w:val="clear" w:color="auto" w:fill="auto"/>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0"/>
                <w:szCs w:val="20"/>
              </w:rPr>
            </w:pPr>
            <w:r w:rsidRPr="00D35DD5">
              <w:rPr>
                <w:b/>
                <w:bCs/>
                <w:sz w:val="20"/>
                <w:szCs w:val="20"/>
              </w:rPr>
              <w:t>485</w:t>
            </w:r>
          </w:p>
        </w:tc>
        <w:tc>
          <w:tcPr>
            <w:tcW w:w="1890" w:type="dxa"/>
            <w:vAlign w:val="center"/>
          </w:tcPr>
          <w:p w:rsidR="00D35DD5" w:rsidRPr="00D35DD5" w:rsidRDefault="00D35DD5" w:rsidP="00D35DD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0"/>
              </w:rPr>
            </w:pPr>
            <w:r w:rsidRPr="00D35DD5">
              <w:rPr>
                <w:b/>
                <w:bCs/>
                <w:sz w:val="20"/>
              </w:rPr>
              <w:t>1.8%</w:t>
            </w:r>
          </w:p>
        </w:tc>
      </w:tr>
      <w:tr w:rsidR="00D9712B" w:rsidRPr="00337CFF" w:rsidTr="00D35DD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7470" w:type="dxa"/>
            <w:gridSpan w:val="4"/>
            <w:shd w:val="clear" w:color="auto" w:fill="9C9393"/>
          </w:tcPr>
          <w:p w:rsidR="00D9712B" w:rsidRPr="00337CFF" w:rsidRDefault="00D9712B" w:rsidP="006B442A">
            <w:pPr>
              <w:rPr>
                <w:rFonts w:ascii="Calibri" w:hAnsi="Calibri"/>
                <w:color w:val="FFFFFF" w:themeColor="background1"/>
                <w:sz w:val="20"/>
                <w:szCs w:val="20"/>
              </w:rPr>
            </w:pPr>
            <w:r w:rsidRPr="00337CFF">
              <w:rPr>
                <w:rFonts w:ascii="Calibri" w:hAnsi="Calibri"/>
                <w:color w:val="FFFFFF" w:themeColor="background1"/>
                <w:sz w:val="20"/>
                <w:szCs w:val="20"/>
              </w:rPr>
              <w:t>2016-2020 – 20% DR Spending</w:t>
            </w:r>
          </w:p>
        </w:tc>
        <w:tc>
          <w:tcPr>
            <w:tcW w:w="1890" w:type="dxa"/>
            <w:shd w:val="clear" w:color="auto" w:fill="9C9393"/>
            <w:vAlign w:val="center"/>
          </w:tcPr>
          <w:p w:rsidR="00D9712B" w:rsidRPr="00337CFF" w:rsidRDefault="00D9712B" w:rsidP="00D35DD5">
            <w:pPr>
              <w:jc w:val="center"/>
              <w:cnfStyle w:val="000000100000" w:firstRow="0" w:lastRow="0" w:firstColumn="0" w:lastColumn="0" w:oddVBand="0" w:evenVBand="0" w:oddHBand="1" w:evenHBand="0" w:firstRowFirstColumn="0" w:firstRowLastColumn="0" w:lastRowFirstColumn="0" w:lastRowLastColumn="0"/>
              <w:rPr>
                <w:rFonts w:ascii="Calibri" w:hAnsi="Calibri"/>
                <w:color w:val="FFFFFF" w:themeColor="background1"/>
                <w:sz w:val="20"/>
                <w:szCs w:val="20"/>
              </w:rPr>
            </w:pPr>
          </w:p>
        </w:tc>
      </w:tr>
      <w:tr w:rsidR="00D35DD5" w:rsidRPr="0031271C" w:rsidTr="00D35DD5">
        <w:trPr>
          <w:trHeight w:hRule="exact" w:val="288"/>
        </w:trPr>
        <w:tc>
          <w:tcPr>
            <w:cnfStyle w:val="001000000000" w:firstRow="0" w:lastRow="0" w:firstColumn="1" w:lastColumn="0" w:oddVBand="0" w:evenVBand="0" w:oddHBand="0" w:evenHBand="0" w:firstRowFirstColumn="0" w:firstRowLastColumn="0" w:lastRowFirstColumn="0" w:lastRowLastColumn="0"/>
            <w:tcW w:w="1776" w:type="dxa"/>
            <w:shd w:val="clear" w:color="auto" w:fill="D2EAF1"/>
            <w:vAlign w:val="center"/>
          </w:tcPr>
          <w:p w:rsidR="00D35DD5" w:rsidRDefault="00D35DD5" w:rsidP="006B442A">
            <w:pPr>
              <w:rPr>
                <w:rFonts w:ascii="Calibri" w:hAnsi="Calibri"/>
                <w:color w:val="000000"/>
                <w:sz w:val="20"/>
                <w:szCs w:val="20"/>
              </w:rPr>
            </w:pPr>
            <w:r>
              <w:rPr>
                <w:rFonts w:ascii="Calibri" w:hAnsi="Calibri"/>
                <w:color w:val="000000"/>
                <w:sz w:val="20"/>
                <w:szCs w:val="20"/>
              </w:rPr>
              <w:lastRenderedPageBreak/>
              <w:t>Duquesne</w:t>
            </w:r>
          </w:p>
        </w:tc>
        <w:tc>
          <w:tcPr>
            <w:tcW w:w="2115" w:type="dxa"/>
            <w:shd w:val="clear" w:color="auto" w:fill="D2EAF1"/>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$19.5</w:t>
            </w:r>
          </w:p>
        </w:tc>
        <w:tc>
          <w:tcPr>
            <w:tcW w:w="1959" w:type="dxa"/>
            <w:shd w:val="clear" w:color="auto" w:fill="D2EAF1"/>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 xml:space="preserve">$57,976 </w:t>
            </w:r>
          </w:p>
        </w:tc>
        <w:tc>
          <w:tcPr>
            <w:tcW w:w="1620" w:type="dxa"/>
            <w:shd w:val="clear" w:color="auto" w:fill="D2EAF1"/>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67</w:t>
            </w:r>
          </w:p>
        </w:tc>
        <w:tc>
          <w:tcPr>
            <w:tcW w:w="1890" w:type="dxa"/>
            <w:shd w:val="clear" w:color="auto" w:fill="D2EAF1"/>
            <w:vAlign w:val="center"/>
          </w:tcPr>
          <w:p w:rsidR="00D35DD5" w:rsidRPr="00D35DD5" w:rsidRDefault="00D35DD5" w:rsidP="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D35DD5">
              <w:rPr>
                <w:sz w:val="20"/>
              </w:rPr>
              <w:t>2.7%</w:t>
            </w:r>
          </w:p>
        </w:tc>
      </w:tr>
      <w:tr w:rsidR="00D35DD5" w:rsidRPr="0031271C" w:rsidTr="00D35DD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776" w:type="dxa"/>
            <w:vAlign w:val="center"/>
          </w:tcPr>
          <w:p w:rsidR="00D35DD5" w:rsidRDefault="00D35DD5" w:rsidP="006B442A">
            <w:pPr>
              <w:rPr>
                <w:rFonts w:ascii="Calibri" w:hAnsi="Calibri"/>
                <w:color w:val="000000"/>
                <w:sz w:val="20"/>
                <w:szCs w:val="20"/>
              </w:rPr>
            </w:pPr>
            <w:r>
              <w:rPr>
                <w:rFonts w:ascii="Calibri" w:hAnsi="Calibri"/>
                <w:color w:val="000000"/>
                <w:sz w:val="20"/>
                <w:szCs w:val="20"/>
              </w:rPr>
              <w:t>FE: Met-Ed</w:t>
            </w:r>
          </w:p>
        </w:tc>
        <w:tc>
          <w:tcPr>
            <w:tcW w:w="2115" w:type="dxa"/>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$24.9</w:t>
            </w:r>
          </w:p>
        </w:tc>
        <w:tc>
          <w:tcPr>
            <w:tcW w:w="1959" w:type="dxa"/>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 xml:space="preserve">$51,210 </w:t>
            </w:r>
          </w:p>
        </w:tc>
        <w:tc>
          <w:tcPr>
            <w:tcW w:w="1620" w:type="dxa"/>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50</w:t>
            </w:r>
            <w:r w:rsidR="008E33F9">
              <w:rPr>
                <w:sz w:val="20"/>
                <w:szCs w:val="20"/>
              </w:rPr>
              <w:t>*</w:t>
            </w:r>
          </w:p>
        </w:tc>
        <w:tc>
          <w:tcPr>
            <w:tcW w:w="1890" w:type="dxa"/>
            <w:vAlign w:val="center"/>
          </w:tcPr>
          <w:p w:rsidR="00D35DD5" w:rsidRPr="00D35DD5" w:rsidRDefault="00D35DD5" w:rsidP="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r w:rsidRPr="00D35DD5">
              <w:rPr>
                <w:sz w:val="20"/>
              </w:rPr>
              <w:t>1.9%</w:t>
            </w:r>
          </w:p>
        </w:tc>
      </w:tr>
      <w:tr w:rsidR="00D35DD5" w:rsidRPr="0031271C" w:rsidTr="00D35DD5">
        <w:trPr>
          <w:trHeight w:hRule="exact" w:val="288"/>
        </w:trPr>
        <w:tc>
          <w:tcPr>
            <w:cnfStyle w:val="001000000000" w:firstRow="0" w:lastRow="0" w:firstColumn="1" w:lastColumn="0" w:oddVBand="0" w:evenVBand="0" w:oddHBand="0" w:evenHBand="0" w:firstRowFirstColumn="0" w:firstRowLastColumn="0" w:lastRowFirstColumn="0" w:lastRowLastColumn="0"/>
            <w:tcW w:w="1776" w:type="dxa"/>
            <w:shd w:val="clear" w:color="auto" w:fill="D2EAF1"/>
            <w:vAlign w:val="center"/>
          </w:tcPr>
          <w:p w:rsidR="00D35DD5" w:rsidRDefault="00D35DD5" w:rsidP="006B442A">
            <w:pPr>
              <w:rPr>
                <w:rFonts w:ascii="Calibri" w:hAnsi="Calibri"/>
                <w:color w:val="000000"/>
                <w:sz w:val="20"/>
                <w:szCs w:val="20"/>
              </w:rPr>
            </w:pPr>
            <w:r>
              <w:rPr>
                <w:rFonts w:ascii="Calibri" w:hAnsi="Calibri"/>
                <w:color w:val="000000"/>
                <w:sz w:val="20"/>
                <w:szCs w:val="20"/>
              </w:rPr>
              <w:t>FE: Penelec</w:t>
            </w:r>
          </w:p>
        </w:tc>
        <w:tc>
          <w:tcPr>
            <w:tcW w:w="2115" w:type="dxa"/>
            <w:shd w:val="clear" w:color="auto" w:fill="D2EAF1"/>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$23.0</w:t>
            </w:r>
          </w:p>
        </w:tc>
        <w:tc>
          <w:tcPr>
            <w:tcW w:w="1959" w:type="dxa"/>
            <w:shd w:val="clear" w:color="auto" w:fill="D2EAF1"/>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 xml:space="preserve">$50,782 </w:t>
            </w:r>
          </w:p>
        </w:tc>
        <w:tc>
          <w:tcPr>
            <w:tcW w:w="1620" w:type="dxa"/>
            <w:shd w:val="clear" w:color="auto" w:fill="D2EAF1"/>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0</w:t>
            </w:r>
            <w:r w:rsidR="008E33F9">
              <w:rPr>
                <w:sz w:val="20"/>
                <w:szCs w:val="20"/>
              </w:rPr>
              <w:t>*</w:t>
            </w:r>
          </w:p>
        </w:tc>
        <w:tc>
          <w:tcPr>
            <w:tcW w:w="1890" w:type="dxa"/>
            <w:shd w:val="clear" w:color="auto" w:fill="D2EAF1"/>
            <w:vAlign w:val="center"/>
          </w:tcPr>
          <w:p w:rsidR="00D35DD5" w:rsidRPr="00D35DD5" w:rsidRDefault="00D35DD5" w:rsidP="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D35DD5">
              <w:rPr>
                <w:sz w:val="20"/>
              </w:rPr>
              <w:t>0.0%</w:t>
            </w:r>
          </w:p>
        </w:tc>
      </w:tr>
      <w:tr w:rsidR="00D35DD5" w:rsidRPr="0031271C" w:rsidTr="00D35DD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776" w:type="dxa"/>
            <w:vAlign w:val="center"/>
          </w:tcPr>
          <w:p w:rsidR="00D35DD5" w:rsidRDefault="00D35DD5" w:rsidP="006B442A">
            <w:pPr>
              <w:rPr>
                <w:rFonts w:ascii="Calibri" w:hAnsi="Calibri"/>
                <w:color w:val="000000"/>
                <w:sz w:val="20"/>
                <w:szCs w:val="20"/>
              </w:rPr>
            </w:pPr>
            <w:r>
              <w:rPr>
                <w:rFonts w:ascii="Calibri" w:hAnsi="Calibri"/>
                <w:color w:val="000000"/>
                <w:sz w:val="20"/>
                <w:szCs w:val="20"/>
              </w:rPr>
              <w:t>FE: Penn Power</w:t>
            </w:r>
          </w:p>
        </w:tc>
        <w:tc>
          <w:tcPr>
            <w:tcW w:w="2115" w:type="dxa"/>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$6.7</w:t>
            </w:r>
          </w:p>
        </w:tc>
        <w:tc>
          <w:tcPr>
            <w:tcW w:w="1959" w:type="dxa"/>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 xml:space="preserve">$49,349 </w:t>
            </w:r>
          </w:p>
        </w:tc>
        <w:tc>
          <w:tcPr>
            <w:tcW w:w="1620" w:type="dxa"/>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27</w:t>
            </w:r>
          </w:p>
        </w:tc>
        <w:tc>
          <w:tcPr>
            <w:tcW w:w="1890" w:type="dxa"/>
            <w:vAlign w:val="center"/>
          </w:tcPr>
          <w:p w:rsidR="00D35DD5" w:rsidRPr="00D35DD5" w:rsidRDefault="00D35DD5" w:rsidP="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r w:rsidRPr="00D35DD5">
              <w:rPr>
                <w:sz w:val="20"/>
              </w:rPr>
              <w:t>2.8%</w:t>
            </w:r>
          </w:p>
        </w:tc>
      </w:tr>
      <w:tr w:rsidR="00D35DD5" w:rsidRPr="0031271C" w:rsidTr="00D35DD5">
        <w:trPr>
          <w:trHeight w:hRule="exact" w:val="288"/>
        </w:trPr>
        <w:tc>
          <w:tcPr>
            <w:cnfStyle w:val="001000000000" w:firstRow="0" w:lastRow="0" w:firstColumn="1" w:lastColumn="0" w:oddVBand="0" w:evenVBand="0" w:oddHBand="0" w:evenHBand="0" w:firstRowFirstColumn="0" w:firstRowLastColumn="0" w:lastRowFirstColumn="0" w:lastRowLastColumn="0"/>
            <w:tcW w:w="1776" w:type="dxa"/>
            <w:shd w:val="clear" w:color="auto" w:fill="D2EAF1"/>
            <w:vAlign w:val="center"/>
          </w:tcPr>
          <w:p w:rsidR="00D35DD5" w:rsidRDefault="00D35DD5" w:rsidP="006B442A">
            <w:pPr>
              <w:rPr>
                <w:rFonts w:ascii="Calibri" w:hAnsi="Calibri"/>
                <w:color w:val="000000"/>
                <w:sz w:val="20"/>
                <w:szCs w:val="20"/>
              </w:rPr>
            </w:pPr>
            <w:r>
              <w:rPr>
                <w:rFonts w:ascii="Calibri" w:hAnsi="Calibri"/>
                <w:color w:val="000000"/>
                <w:sz w:val="20"/>
                <w:szCs w:val="20"/>
              </w:rPr>
              <w:t>FE: WPP</w:t>
            </w:r>
          </w:p>
        </w:tc>
        <w:tc>
          <w:tcPr>
            <w:tcW w:w="2115" w:type="dxa"/>
            <w:shd w:val="clear" w:color="auto" w:fill="D2EAF1"/>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$23.6</w:t>
            </w:r>
          </w:p>
        </w:tc>
        <w:tc>
          <w:tcPr>
            <w:tcW w:w="1959" w:type="dxa"/>
            <w:shd w:val="clear" w:color="auto" w:fill="D2EAF1"/>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 xml:space="preserve">$46,203 </w:t>
            </w:r>
          </w:p>
        </w:tc>
        <w:tc>
          <w:tcPr>
            <w:tcW w:w="1620" w:type="dxa"/>
            <w:shd w:val="clear" w:color="auto" w:fill="D2EAF1"/>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102</w:t>
            </w:r>
          </w:p>
        </w:tc>
        <w:tc>
          <w:tcPr>
            <w:tcW w:w="1890" w:type="dxa"/>
            <w:shd w:val="clear" w:color="auto" w:fill="D2EAF1"/>
            <w:vAlign w:val="center"/>
          </w:tcPr>
          <w:p w:rsidR="00D35DD5" w:rsidRPr="00D35DD5" w:rsidRDefault="00D35DD5" w:rsidP="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D35DD5">
              <w:rPr>
                <w:sz w:val="20"/>
              </w:rPr>
              <w:t>2.9%</w:t>
            </w:r>
          </w:p>
        </w:tc>
      </w:tr>
      <w:tr w:rsidR="00D35DD5" w:rsidRPr="0031271C" w:rsidTr="00D35DD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776" w:type="dxa"/>
            <w:vAlign w:val="center"/>
          </w:tcPr>
          <w:p w:rsidR="00D35DD5" w:rsidRDefault="00D35DD5" w:rsidP="006B442A">
            <w:pPr>
              <w:rPr>
                <w:rFonts w:ascii="Calibri" w:hAnsi="Calibri"/>
                <w:color w:val="000000"/>
                <w:sz w:val="20"/>
                <w:szCs w:val="20"/>
              </w:rPr>
            </w:pPr>
            <w:r>
              <w:rPr>
                <w:rFonts w:ascii="Calibri" w:hAnsi="Calibri"/>
                <w:color w:val="000000"/>
                <w:sz w:val="20"/>
                <w:szCs w:val="20"/>
              </w:rPr>
              <w:t>PECO</w:t>
            </w:r>
          </w:p>
        </w:tc>
        <w:tc>
          <w:tcPr>
            <w:tcW w:w="2115" w:type="dxa"/>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$85.4</w:t>
            </w:r>
          </w:p>
        </w:tc>
        <w:tc>
          <w:tcPr>
            <w:tcW w:w="1959" w:type="dxa"/>
            <w:shd w:val="clear" w:color="auto" w:fill="auto"/>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 xml:space="preserve">$66,370 </w:t>
            </w:r>
          </w:p>
        </w:tc>
        <w:tc>
          <w:tcPr>
            <w:tcW w:w="1620" w:type="dxa"/>
            <w:shd w:val="clear" w:color="auto" w:fill="auto"/>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D35DD5">
              <w:rPr>
                <w:sz w:val="20"/>
                <w:szCs w:val="20"/>
              </w:rPr>
              <w:t>257</w:t>
            </w:r>
          </w:p>
        </w:tc>
        <w:tc>
          <w:tcPr>
            <w:tcW w:w="1890" w:type="dxa"/>
            <w:vAlign w:val="center"/>
          </w:tcPr>
          <w:p w:rsidR="00D35DD5" w:rsidRPr="00D35DD5" w:rsidRDefault="00D35DD5" w:rsidP="00D35DD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r w:rsidRPr="00D35DD5">
              <w:rPr>
                <w:sz w:val="20"/>
              </w:rPr>
              <w:t>3.3%</w:t>
            </w:r>
          </w:p>
        </w:tc>
      </w:tr>
      <w:tr w:rsidR="00D35DD5" w:rsidRPr="0031271C" w:rsidTr="00D35DD5">
        <w:trPr>
          <w:trHeight w:hRule="exact" w:val="288"/>
        </w:trPr>
        <w:tc>
          <w:tcPr>
            <w:cnfStyle w:val="001000000000" w:firstRow="0" w:lastRow="0" w:firstColumn="1" w:lastColumn="0" w:oddVBand="0" w:evenVBand="0" w:oddHBand="0" w:evenHBand="0" w:firstRowFirstColumn="0" w:firstRowLastColumn="0" w:lastRowFirstColumn="0" w:lastRowLastColumn="0"/>
            <w:tcW w:w="1776" w:type="dxa"/>
            <w:shd w:val="clear" w:color="auto" w:fill="D2EAF1"/>
            <w:vAlign w:val="center"/>
          </w:tcPr>
          <w:p w:rsidR="00D35DD5" w:rsidRDefault="00D35DD5" w:rsidP="006B442A">
            <w:pPr>
              <w:rPr>
                <w:rFonts w:ascii="Calibri" w:hAnsi="Calibri"/>
                <w:color w:val="000000"/>
                <w:sz w:val="20"/>
                <w:szCs w:val="20"/>
              </w:rPr>
            </w:pPr>
            <w:r>
              <w:rPr>
                <w:rFonts w:ascii="Calibri" w:hAnsi="Calibri"/>
                <w:color w:val="000000"/>
                <w:sz w:val="20"/>
                <w:szCs w:val="20"/>
              </w:rPr>
              <w:t>PPL</w:t>
            </w:r>
          </w:p>
        </w:tc>
        <w:tc>
          <w:tcPr>
            <w:tcW w:w="2115" w:type="dxa"/>
            <w:shd w:val="clear" w:color="auto" w:fill="D2EAF1"/>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$61.5</w:t>
            </w:r>
          </w:p>
        </w:tc>
        <w:tc>
          <w:tcPr>
            <w:tcW w:w="1959" w:type="dxa"/>
            <w:shd w:val="clear" w:color="auto" w:fill="D2EAF1"/>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 xml:space="preserve">$41,622 </w:t>
            </w:r>
          </w:p>
        </w:tc>
        <w:tc>
          <w:tcPr>
            <w:tcW w:w="1620" w:type="dxa"/>
            <w:shd w:val="clear" w:color="auto" w:fill="D2EAF1"/>
            <w:vAlign w:val="center"/>
          </w:tcPr>
          <w:p w:rsidR="00D35DD5" w:rsidRPr="00D35DD5" w:rsidRDefault="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D35DD5">
              <w:rPr>
                <w:sz w:val="20"/>
                <w:szCs w:val="20"/>
              </w:rPr>
              <w:t>95</w:t>
            </w:r>
            <w:r w:rsidR="008E33F9">
              <w:rPr>
                <w:sz w:val="20"/>
                <w:szCs w:val="20"/>
              </w:rPr>
              <w:t>*</w:t>
            </w:r>
          </w:p>
        </w:tc>
        <w:tc>
          <w:tcPr>
            <w:tcW w:w="1890" w:type="dxa"/>
            <w:shd w:val="clear" w:color="auto" w:fill="D2EAF1"/>
            <w:vAlign w:val="center"/>
          </w:tcPr>
          <w:p w:rsidR="00D35DD5" w:rsidRPr="00D35DD5" w:rsidRDefault="00D35DD5" w:rsidP="00D35DD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D35DD5">
              <w:rPr>
                <w:sz w:val="20"/>
              </w:rPr>
              <w:t>1.4%</w:t>
            </w:r>
          </w:p>
        </w:tc>
      </w:tr>
      <w:tr w:rsidR="00D35DD5" w:rsidRPr="00BF7FC2" w:rsidTr="00D35DD5">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776" w:type="dxa"/>
            <w:vAlign w:val="center"/>
          </w:tcPr>
          <w:p w:rsidR="00D35DD5" w:rsidRPr="003C4EB2" w:rsidRDefault="00D35DD5" w:rsidP="006B442A">
            <w:pPr>
              <w:rPr>
                <w:rFonts w:ascii="Calibri" w:hAnsi="Calibri"/>
                <w:color w:val="000000"/>
                <w:sz w:val="20"/>
                <w:szCs w:val="20"/>
              </w:rPr>
            </w:pPr>
            <w:r w:rsidRPr="003C4EB2">
              <w:rPr>
                <w:rFonts w:ascii="Calibri" w:hAnsi="Calibri"/>
                <w:bCs w:val="0"/>
                <w:color w:val="000000"/>
                <w:sz w:val="20"/>
                <w:szCs w:val="20"/>
              </w:rPr>
              <w:t>Statewide</w:t>
            </w:r>
          </w:p>
        </w:tc>
        <w:tc>
          <w:tcPr>
            <w:tcW w:w="2115" w:type="dxa"/>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0"/>
                <w:szCs w:val="20"/>
              </w:rPr>
            </w:pPr>
            <w:r w:rsidRPr="00D35DD5">
              <w:rPr>
                <w:b/>
                <w:bCs/>
                <w:sz w:val="20"/>
                <w:szCs w:val="20"/>
              </w:rPr>
              <w:t>$244.5</w:t>
            </w:r>
          </w:p>
        </w:tc>
        <w:tc>
          <w:tcPr>
            <w:tcW w:w="1959" w:type="dxa"/>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0"/>
                <w:szCs w:val="20"/>
              </w:rPr>
            </w:pPr>
            <w:r w:rsidRPr="00D35DD5">
              <w:rPr>
                <w:b/>
                <w:bCs/>
                <w:sz w:val="20"/>
                <w:szCs w:val="20"/>
              </w:rPr>
              <w:t>$56,029</w:t>
            </w:r>
          </w:p>
        </w:tc>
        <w:tc>
          <w:tcPr>
            <w:tcW w:w="1620" w:type="dxa"/>
            <w:shd w:val="clear" w:color="auto" w:fill="auto"/>
            <w:vAlign w:val="center"/>
          </w:tcPr>
          <w:p w:rsidR="00D35DD5" w:rsidRPr="00D35DD5" w:rsidRDefault="00D35DD5">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0"/>
                <w:szCs w:val="20"/>
              </w:rPr>
            </w:pPr>
            <w:r w:rsidRPr="00D35DD5">
              <w:rPr>
                <w:b/>
                <w:bCs/>
                <w:sz w:val="20"/>
                <w:szCs w:val="20"/>
              </w:rPr>
              <w:t>599</w:t>
            </w:r>
          </w:p>
        </w:tc>
        <w:tc>
          <w:tcPr>
            <w:tcW w:w="1890" w:type="dxa"/>
            <w:vAlign w:val="center"/>
          </w:tcPr>
          <w:p w:rsidR="00D35DD5" w:rsidRPr="00D35DD5" w:rsidRDefault="00D35DD5" w:rsidP="00D35DD5">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0"/>
              </w:rPr>
            </w:pPr>
            <w:r w:rsidRPr="00D35DD5">
              <w:rPr>
                <w:b/>
                <w:bCs/>
                <w:sz w:val="20"/>
              </w:rPr>
              <w:t>2.3%</w:t>
            </w:r>
          </w:p>
        </w:tc>
      </w:tr>
    </w:tbl>
    <w:p w:rsidR="009357D6" w:rsidRDefault="009357D6" w:rsidP="00533798">
      <w:pPr>
        <w:jc w:val="both"/>
        <w:rPr>
          <w:rFonts w:cs="Arial"/>
        </w:rPr>
      </w:pPr>
    </w:p>
    <w:p w:rsidR="00BC7C87" w:rsidRDefault="00BC7C87" w:rsidP="00533798">
      <w:pPr>
        <w:jc w:val="both"/>
        <w:rPr>
          <w:rFonts w:cs="Arial"/>
        </w:rPr>
      </w:pPr>
    </w:p>
    <w:p w:rsidR="009357D6" w:rsidRPr="000215F7" w:rsidRDefault="009357D6" w:rsidP="009357D6">
      <w:pPr>
        <w:pStyle w:val="Heading2"/>
        <w:rPr>
          <w:rStyle w:val="Strong"/>
          <w:b/>
          <w:bCs/>
        </w:rPr>
      </w:pPr>
      <w:r>
        <w:rPr>
          <w:rStyle w:val="Strong"/>
          <w:b/>
          <w:bCs/>
        </w:rPr>
        <w:t>Application of Findings to Phase III Goals</w:t>
      </w:r>
      <w:r w:rsidRPr="000215F7">
        <w:rPr>
          <w:rStyle w:val="Strong"/>
          <w:b/>
          <w:bCs/>
        </w:rPr>
        <w:tab/>
      </w:r>
    </w:p>
    <w:p w:rsidR="009357D6" w:rsidRDefault="009357D6" w:rsidP="009357D6">
      <w:pPr>
        <w:pStyle w:val="ListParagraph"/>
        <w:ind w:left="0"/>
        <w:jc w:val="both"/>
        <w:rPr>
          <w:rFonts w:cs="Arial"/>
        </w:rPr>
      </w:pPr>
      <w:r w:rsidRPr="00E37A18">
        <w:rPr>
          <w:rFonts w:cs="Arial"/>
        </w:rPr>
        <w:t xml:space="preserve">Based on the findings of the SWE potential studies, stakeholder input, and policy considerations the Commission requested the SWE Team to calculate energy efficiency potential assuming a 90% funding allocation to EE and a 10% funding allocation to DR. </w:t>
      </w:r>
      <w:r>
        <w:rPr>
          <w:rFonts w:cs="Arial"/>
        </w:rPr>
        <w:t xml:space="preserve">However, </w:t>
      </w:r>
      <w:r w:rsidRPr="00845F0C">
        <w:rPr>
          <w:rFonts w:cs="Arial"/>
        </w:rPr>
        <w:t>Penelec</w:t>
      </w:r>
      <w:r>
        <w:rPr>
          <w:rFonts w:cs="Arial"/>
        </w:rPr>
        <w:t xml:space="preserve">, Met-Ed, </w:t>
      </w:r>
      <w:r w:rsidRPr="00845F0C">
        <w:rPr>
          <w:rFonts w:cs="Arial"/>
        </w:rPr>
        <w:t xml:space="preserve">and PPL would be unable to spend 10% of Act 129 funds on DR because of a lack of </w:t>
      </w:r>
      <w:r w:rsidR="00BC7C87">
        <w:rPr>
          <w:rFonts w:cs="Arial"/>
        </w:rPr>
        <w:t xml:space="preserve">cost-effective </w:t>
      </w:r>
      <w:r w:rsidRPr="00845F0C">
        <w:rPr>
          <w:rFonts w:cs="Arial"/>
        </w:rPr>
        <w:t>DR potential in their service territory</w:t>
      </w:r>
      <w:r w:rsidR="00D35DD5">
        <w:rPr>
          <w:rFonts w:cs="Arial"/>
        </w:rPr>
        <w:t>.</w:t>
      </w:r>
      <w:r w:rsidRPr="00845F0C">
        <w:rPr>
          <w:rFonts w:cs="Arial"/>
        </w:rPr>
        <w:t xml:space="preserve"> </w:t>
      </w:r>
    </w:p>
    <w:p w:rsidR="009357D6" w:rsidRDefault="009357D6" w:rsidP="009357D6">
      <w:pPr>
        <w:jc w:val="both"/>
        <w:rPr>
          <w:rFonts w:cs="Arial"/>
        </w:rPr>
      </w:pPr>
    </w:p>
    <w:p w:rsidR="009357D6" w:rsidRPr="006C72DB" w:rsidRDefault="009357D6" w:rsidP="0060585F">
      <w:pPr>
        <w:pStyle w:val="Caption"/>
        <w:keepNext/>
        <w:spacing w:after="0"/>
      </w:pPr>
      <w:bookmarkStart w:id="13" w:name="_Ref420587114"/>
      <w:r w:rsidRPr="006C72DB">
        <w:t xml:space="preserve">Table </w:t>
      </w:r>
      <w:r w:rsidR="002F7913">
        <w:fldChar w:fldCharType="begin"/>
      </w:r>
      <w:r w:rsidR="002F7913">
        <w:instrText xml:space="preserve"> STYLEREF 1 \s </w:instrText>
      </w:r>
      <w:r w:rsidR="002F7913">
        <w:fldChar w:fldCharType="separate"/>
      </w:r>
      <w:r w:rsidR="00BE0BFC">
        <w:rPr>
          <w:noProof/>
        </w:rPr>
        <w:t>4</w:t>
      </w:r>
      <w:r w:rsidR="002F7913">
        <w:rPr>
          <w:noProof/>
        </w:rPr>
        <w:fldChar w:fldCharType="end"/>
      </w:r>
      <w:r w:rsidR="00BE0BFC">
        <w:noBreakHyphen/>
      </w:r>
      <w:r w:rsidR="002F7913">
        <w:fldChar w:fldCharType="begin"/>
      </w:r>
      <w:r w:rsidR="002F7913">
        <w:instrText xml:space="preserve"> SEQ Table \* ARABIC \s 1 </w:instrText>
      </w:r>
      <w:r w:rsidR="002F7913">
        <w:fldChar w:fldCharType="separate"/>
      </w:r>
      <w:r w:rsidR="00BE0BFC">
        <w:rPr>
          <w:noProof/>
        </w:rPr>
        <w:t>4</w:t>
      </w:r>
      <w:r w:rsidR="002F7913">
        <w:rPr>
          <w:noProof/>
        </w:rPr>
        <w:fldChar w:fldCharType="end"/>
      </w:r>
      <w:bookmarkEnd w:id="13"/>
      <w:r w:rsidRPr="006C72DB">
        <w:t>: Budget Allocation by EDC</w:t>
      </w:r>
    </w:p>
    <w:tbl>
      <w:tblPr>
        <w:tblStyle w:val="LightList-Accent5"/>
        <w:tblW w:w="0" w:type="auto"/>
        <w:tblInd w:w="108" w:type="dxa"/>
        <w:tblLook w:val="04A0" w:firstRow="1" w:lastRow="0" w:firstColumn="1" w:lastColumn="0" w:noHBand="0" w:noVBand="1"/>
      </w:tblPr>
      <w:tblGrid>
        <w:gridCol w:w="3120"/>
        <w:gridCol w:w="3120"/>
        <w:gridCol w:w="3120"/>
      </w:tblGrid>
      <w:tr w:rsidR="009357D6" w:rsidRPr="007454CD" w:rsidTr="006B442A">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448A99"/>
              <w:left w:val="single" w:sz="4" w:space="0" w:color="448A99"/>
              <w:bottom w:val="single" w:sz="4" w:space="0" w:color="448A99"/>
              <w:right w:val="single" w:sz="4" w:space="0" w:color="448A99"/>
            </w:tcBorders>
            <w:shd w:val="clear" w:color="auto" w:fill="448A99"/>
          </w:tcPr>
          <w:p w:rsidR="009357D6" w:rsidRPr="007454CD" w:rsidRDefault="009357D6" w:rsidP="006B442A">
            <w:pPr>
              <w:rPr>
                <w:sz w:val="20"/>
                <w:szCs w:val="20"/>
              </w:rPr>
            </w:pPr>
            <w:r w:rsidRPr="007454CD">
              <w:rPr>
                <w:sz w:val="20"/>
                <w:szCs w:val="20"/>
              </w:rPr>
              <w:t>EDC</w:t>
            </w:r>
          </w:p>
        </w:tc>
        <w:tc>
          <w:tcPr>
            <w:tcW w:w="3120" w:type="dxa"/>
            <w:tcBorders>
              <w:top w:val="single" w:sz="4" w:space="0" w:color="448A99"/>
              <w:left w:val="single" w:sz="4" w:space="0" w:color="448A99"/>
              <w:bottom w:val="single" w:sz="4" w:space="0" w:color="448A99"/>
              <w:right w:val="single" w:sz="4" w:space="0" w:color="448A99"/>
            </w:tcBorders>
            <w:shd w:val="clear" w:color="auto" w:fill="448A99"/>
            <w:vAlign w:val="center"/>
          </w:tcPr>
          <w:p w:rsidR="009357D6" w:rsidRPr="007454CD" w:rsidRDefault="009357D6" w:rsidP="006B442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FFFFFF"/>
                <w:sz w:val="20"/>
                <w:szCs w:val="20"/>
              </w:rPr>
            </w:pPr>
            <w:r w:rsidRPr="007454CD">
              <w:rPr>
                <w:rFonts w:ascii="Calibri" w:eastAsia="Times New Roman" w:hAnsi="Calibri" w:cs="Times New Roman"/>
                <w:bCs w:val="0"/>
                <w:color w:val="FFFFFF"/>
                <w:sz w:val="20"/>
                <w:szCs w:val="20"/>
              </w:rPr>
              <w:t>% of Total Spending on EE</w:t>
            </w:r>
          </w:p>
        </w:tc>
        <w:tc>
          <w:tcPr>
            <w:tcW w:w="3120" w:type="dxa"/>
            <w:tcBorders>
              <w:top w:val="single" w:sz="4" w:space="0" w:color="448A99"/>
              <w:left w:val="single" w:sz="4" w:space="0" w:color="448A99"/>
              <w:bottom w:val="single" w:sz="4" w:space="0" w:color="448A99"/>
              <w:right w:val="single" w:sz="4" w:space="0" w:color="448A99"/>
            </w:tcBorders>
            <w:shd w:val="clear" w:color="auto" w:fill="448A99"/>
            <w:vAlign w:val="center"/>
          </w:tcPr>
          <w:p w:rsidR="009357D6" w:rsidRPr="007454CD" w:rsidRDefault="009357D6" w:rsidP="006B442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FFFFFF"/>
                <w:sz w:val="20"/>
                <w:szCs w:val="20"/>
              </w:rPr>
            </w:pPr>
            <w:r w:rsidRPr="007454CD">
              <w:rPr>
                <w:rFonts w:ascii="Calibri" w:eastAsia="Times New Roman" w:hAnsi="Calibri" w:cs="Times New Roman"/>
                <w:bCs w:val="0"/>
                <w:color w:val="FFFFFF"/>
                <w:sz w:val="20"/>
                <w:szCs w:val="20"/>
              </w:rPr>
              <w:t>% of Total Spending on DR</w:t>
            </w:r>
          </w:p>
        </w:tc>
      </w:tr>
      <w:tr w:rsidR="009357D6" w:rsidRPr="007454CD" w:rsidTr="00F201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448A99"/>
              <w:left w:val="single" w:sz="4" w:space="0" w:color="448A99"/>
              <w:bottom w:val="single" w:sz="4" w:space="0" w:color="448A99"/>
              <w:right w:val="single" w:sz="4" w:space="0" w:color="448A99"/>
            </w:tcBorders>
            <w:vAlign w:val="center"/>
          </w:tcPr>
          <w:p w:rsidR="009357D6" w:rsidRPr="007454CD" w:rsidRDefault="009357D6" w:rsidP="006B442A">
            <w:pPr>
              <w:rPr>
                <w:rFonts w:ascii="Calibri" w:hAnsi="Calibri"/>
                <w:color w:val="000000"/>
                <w:sz w:val="20"/>
                <w:szCs w:val="20"/>
              </w:rPr>
            </w:pPr>
            <w:r w:rsidRPr="007454CD">
              <w:rPr>
                <w:rFonts w:ascii="Calibri" w:hAnsi="Calibri"/>
                <w:color w:val="000000"/>
                <w:sz w:val="20"/>
                <w:szCs w:val="20"/>
              </w:rPr>
              <w:t>Duquesne</w:t>
            </w:r>
          </w:p>
        </w:tc>
        <w:tc>
          <w:tcPr>
            <w:tcW w:w="3120" w:type="dxa"/>
            <w:tcBorders>
              <w:top w:val="single" w:sz="4" w:space="0" w:color="448A99"/>
              <w:left w:val="single" w:sz="4" w:space="0" w:color="448A99"/>
              <w:bottom w:val="single" w:sz="4" w:space="0" w:color="448A99"/>
              <w:right w:val="single" w:sz="4" w:space="0" w:color="448A99"/>
            </w:tcBorders>
            <w:vAlign w:val="center"/>
          </w:tcPr>
          <w:p w:rsidR="009357D6" w:rsidRPr="007454CD" w:rsidRDefault="009357D6" w:rsidP="009357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7454CD">
              <w:rPr>
                <w:rFonts w:ascii="Calibri" w:eastAsia="Times New Roman" w:hAnsi="Calibri" w:cs="Times New Roman"/>
                <w:color w:val="000000"/>
                <w:sz w:val="20"/>
                <w:szCs w:val="20"/>
              </w:rPr>
              <w:t>90%</w:t>
            </w:r>
          </w:p>
        </w:tc>
        <w:tc>
          <w:tcPr>
            <w:tcW w:w="3120" w:type="dxa"/>
            <w:tcBorders>
              <w:top w:val="single" w:sz="4" w:space="0" w:color="448A99"/>
              <w:left w:val="single" w:sz="4" w:space="0" w:color="448A99"/>
              <w:bottom w:val="single" w:sz="4" w:space="0" w:color="448A99"/>
              <w:right w:val="single" w:sz="4" w:space="0" w:color="448A99"/>
            </w:tcBorders>
            <w:vAlign w:val="center"/>
          </w:tcPr>
          <w:p w:rsidR="009357D6" w:rsidRPr="007454CD" w:rsidRDefault="009357D6" w:rsidP="009357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7454CD">
              <w:rPr>
                <w:rFonts w:ascii="Calibri" w:eastAsia="Times New Roman" w:hAnsi="Calibri" w:cs="Times New Roman"/>
                <w:color w:val="000000"/>
                <w:sz w:val="20"/>
                <w:szCs w:val="20"/>
              </w:rPr>
              <w:t>10%</w:t>
            </w:r>
          </w:p>
        </w:tc>
      </w:tr>
      <w:tr w:rsidR="009357D6" w:rsidRPr="007454CD" w:rsidTr="00F2010E">
        <w:trPr>
          <w:trHeight w:val="288"/>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448A99"/>
              <w:bottom w:val="single" w:sz="4" w:space="0" w:color="448A99"/>
              <w:right w:val="single" w:sz="4" w:space="0" w:color="448A99"/>
            </w:tcBorders>
            <w:shd w:val="clear" w:color="auto" w:fill="D2EAF1"/>
            <w:vAlign w:val="center"/>
          </w:tcPr>
          <w:p w:rsidR="009357D6" w:rsidRPr="007454CD" w:rsidRDefault="009357D6" w:rsidP="006B442A">
            <w:pPr>
              <w:rPr>
                <w:rFonts w:ascii="Calibri" w:hAnsi="Calibri"/>
                <w:color w:val="000000"/>
                <w:sz w:val="20"/>
                <w:szCs w:val="20"/>
              </w:rPr>
            </w:pPr>
            <w:r w:rsidRPr="007454CD">
              <w:rPr>
                <w:rFonts w:ascii="Calibri" w:hAnsi="Calibri"/>
                <w:color w:val="000000"/>
                <w:sz w:val="20"/>
                <w:szCs w:val="20"/>
              </w:rPr>
              <w:t>FE: Met-Ed</w:t>
            </w:r>
          </w:p>
        </w:tc>
        <w:tc>
          <w:tcPr>
            <w:tcW w:w="312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9357D6" w:rsidRPr="007454CD" w:rsidRDefault="009357D6" w:rsidP="009357D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7454CD">
              <w:rPr>
                <w:rFonts w:ascii="Calibri" w:eastAsia="Times New Roman" w:hAnsi="Calibri" w:cs="Times New Roman"/>
                <w:color w:val="000000"/>
                <w:sz w:val="20"/>
                <w:szCs w:val="20"/>
              </w:rPr>
              <w:t>92%</w:t>
            </w:r>
          </w:p>
        </w:tc>
        <w:tc>
          <w:tcPr>
            <w:tcW w:w="312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9357D6" w:rsidRPr="007454CD" w:rsidRDefault="009357D6" w:rsidP="009357D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7454CD">
              <w:rPr>
                <w:rFonts w:ascii="Calibri" w:eastAsia="Times New Roman" w:hAnsi="Calibri" w:cs="Times New Roman"/>
                <w:color w:val="000000"/>
                <w:sz w:val="20"/>
                <w:szCs w:val="20"/>
              </w:rPr>
              <w:t>8%</w:t>
            </w:r>
          </w:p>
        </w:tc>
      </w:tr>
      <w:tr w:rsidR="009357D6" w:rsidRPr="007454CD" w:rsidTr="00F201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448A99"/>
              <w:bottom w:val="single" w:sz="4" w:space="0" w:color="448A99"/>
              <w:right w:val="single" w:sz="4" w:space="0" w:color="448A99"/>
            </w:tcBorders>
            <w:vAlign w:val="center"/>
          </w:tcPr>
          <w:p w:rsidR="009357D6" w:rsidRPr="007454CD" w:rsidRDefault="009357D6" w:rsidP="006B442A">
            <w:pPr>
              <w:rPr>
                <w:rFonts w:ascii="Calibri" w:hAnsi="Calibri"/>
                <w:color w:val="000000"/>
                <w:sz w:val="20"/>
                <w:szCs w:val="20"/>
              </w:rPr>
            </w:pPr>
            <w:r w:rsidRPr="007454CD">
              <w:rPr>
                <w:rFonts w:ascii="Calibri" w:hAnsi="Calibri"/>
                <w:color w:val="000000"/>
                <w:sz w:val="20"/>
                <w:szCs w:val="20"/>
              </w:rPr>
              <w:t>FE: Penelec</w:t>
            </w:r>
          </w:p>
        </w:tc>
        <w:tc>
          <w:tcPr>
            <w:tcW w:w="3120" w:type="dxa"/>
            <w:tcBorders>
              <w:top w:val="single" w:sz="4" w:space="0" w:color="448A99"/>
              <w:left w:val="single" w:sz="4" w:space="0" w:color="448A99"/>
              <w:bottom w:val="single" w:sz="4" w:space="0" w:color="448A99"/>
              <w:right w:val="single" w:sz="4" w:space="0" w:color="448A99"/>
            </w:tcBorders>
            <w:vAlign w:val="center"/>
          </w:tcPr>
          <w:p w:rsidR="009357D6" w:rsidRPr="007454CD" w:rsidRDefault="009357D6" w:rsidP="009357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7454CD">
              <w:rPr>
                <w:rFonts w:ascii="Calibri" w:eastAsia="Times New Roman" w:hAnsi="Calibri" w:cs="Times New Roman"/>
                <w:color w:val="000000"/>
                <w:sz w:val="20"/>
                <w:szCs w:val="20"/>
              </w:rPr>
              <w:t>100%</w:t>
            </w:r>
          </w:p>
        </w:tc>
        <w:tc>
          <w:tcPr>
            <w:tcW w:w="3120" w:type="dxa"/>
            <w:tcBorders>
              <w:top w:val="single" w:sz="4" w:space="0" w:color="448A99"/>
              <w:left w:val="single" w:sz="4" w:space="0" w:color="448A99"/>
              <w:bottom w:val="single" w:sz="4" w:space="0" w:color="448A99"/>
              <w:right w:val="single" w:sz="4" w:space="0" w:color="448A99"/>
            </w:tcBorders>
            <w:vAlign w:val="center"/>
          </w:tcPr>
          <w:p w:rsidR="009357D6" w:rsidRPr="007454CD" w:rsidRDefault="009357D6" w:rsidP="009357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7454CD">
              <w:rPr>
                <w:rFonts w:ascii="Calibri" w:eastAsia="Times New Roman" w:hAnsi="Calibri" w:cs="Times New Roman"/>
                <w:color w:val="000000"/>
                <w:sz w:val="20"/>
                <w:szCs w:val="20"/>
              </w:rPr>
              <w:t>0%</w:t>
            </w:r>
          </w:p>
        </w:tc>
      </w:tr>
      <w:tr w:rsidR="009357D6" w:rsidRPr="007454CD" w:rsidTr="00F2010E">
        <w:trPr>
          <w:trHeight w:val="288"/>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448A99"/>
              <w:bottom w:val="single" w:sz="4" w:space="0" w:color="448A99"/>
              <w:right w:val="single" w:sz="4" w:space="0" w:color="448A99"/>
            </w:tcBorders>
            <w:shd w:val="clear" w:color="auto" w:fill="D2EAF1"/>
            <w:vAlign w:val="center"/>
          </w:tcPr>
          <w:p w:rsidR="009357D6" w:rsidRPr="007454CD" w:rsidRDefault="009357D6" w:rsidP="006B442A">
            <w:pPr>
              <w:rPr>
                <w:rFonts w:ascii="Calibri" w:hAnsi="Calibri"/>
                <w:color w:val="000000"/>
                <w:sz w:val="20"/>
                <w:szCs w:val="20"/>
              </w:rPr>
            </w:pPr>
            <w:r w:rsidRPr="007454CD">
              <w:rPr>
                <w:rFonts w:ascii="Calibri" w:hAnsi="Calibri"/>
                <w:color w:val="000000"/>
                <w:sz w:val="20"/>
                <w:szCs w:val="20"/>
              </w:rPr>
              <w:t>FE: Penn Power</w:t>
            </w:r>
          </w:p>
        </w:tc>
        <w:tc>
          <w:tcPr>
            <w:tcW w:w="312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9357D6" w:rsidRPr="007454CD" w:rsidRDefault="009357D6" w:rsidP="009357D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7454CD">
              <w:rPr>
                <w:rFonts w:ascii="Calibri" w:eastAsia="Times New Roman" w:hAnsi="Calibri" w:cs="Times New Roman"/>
                <w:color w:val="000000"/>
                <w:sz w:val="20"/>
                <w:szCs w:val="20"/>
              </w:rPr>
              <w:t>90%</w:t>
            </w:r>
          </w:p>
        </w:tc>
        <w:tc>
          <w:tcPr>
            <w:tcW w:w="312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9357D6" w:rsidRPr="007454CD" w:rsidRDefault="009357D6" w:rsidP="009357D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7454CD">
              <w:rPr>
                <w:rFonts w:ascii="Calibri" w:eastAsia="Times New Roman" w:hAnsi="Calibri" w:cs="Times New Roman"/>
                <w:color w:val="000000"/>
                <w:sz w:val="20"/>
                <w:szCs w:val="20"/>
              </w:rPr>
              <w:t>10%</w:t>
            </w:r>
          </w:p>
        </w:tc>
      </w:tr>
      <w:tr w:rsidR="009357D6" w:rsidRPr="007454CD" w:rsidTr="00F201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448A99"/>
              <w:bottom w:val="single" w:sz="4" w:space="0" w:color="448A99"/>
              <w:right w:val="single" w:sz="4" w:space="0" w:color="448A99"/>
            </w:tcBorders>
            <w:vAlign w:val="center"/>
          </w:tcPr>
          <w:p w:rsidR="009357D6" w:rsidRPr="007454CD" w:rsidRDefault="009357D6" w:rsidP="006B442A">
            <w:pPr>
              <w:rPr>
                <w:rFonts w:ascii="Calibri" w:hAnsi="Calibri"/>
                <w:color w:val="000000"/>
                <w:sz w:val="20"/>
                <w:szCs w:val="20"/>
              </w:rPr>
            </w:pPr>
            <w:r w:rsidRPr="007454CD">
              <w:rPr>
                <w:rFonts w:ascii="Calibri" w:hAnsi="Calibri"/>
                <w:color w:val="000000"/>
                <w:sz w:val="20"/>
                <w:szCs w:val="20"/>
              </w:rPr>
              <w:t>FE: WPP</w:t>
            </w:r>
          </w:p>
        </w:tc>
        <w:tc>
          <w:tcPr>
            <w:tcW w:w="3120" w:type="dxa"/>
            <w:tcBorders>
              <w:top w:val="single" w:sz="4" w:space="0" w:color="448A99"/>
              <w:left w:val="single" w:sz="4" w:space="0" w:color="448A99"/>
              <w:bottom w:val="single" w:sz="4" w:space="0" w:color="448A99"/>
              <w:right w:val="single" w:sz="4" w:space="0" w:color="448A99"/>
            </w:tcBorders>
            <w:vAlign w:val="center"/>
          </w:tcPr>
          <w:p w:rsidR="009357D6" w:rsidRPr="007454CD" w:rsidRDefault="009357D6" w:rsidP="009357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7454CD">
              <w:rPr>
                <w:rFonts w:ascii="Calibri" w:eastAsia="Times New Roman" w:hAnsi="Calibri" w:cs="Times New Roman"/>
                <w:color w:val="000000"/>
                <w:sz w:val="20"/>
                <w:szCs w:val="20"/>
              </w:rPr>
              <w:t>90%</w:t>
            </w:r>
          </w:p>
        </w:tc>
        <w:tc>
          <w:tcPr>
            <w:tcW w:w="3120" w:type="dxa"/>
            <w:tcBorders>
              <w:top w:val="single" w:sz="4" w:space="0" w:color="448A99"/>
              <w:left w:val="single" w:sz="4" w:space="0" w:color="448A99"/>
              <w:bottom w:val="single" w:sz="4" w:space="0" w:color="448A99"/>
              <w:right w:val="single" w:sz="4" w:space="0" w:color="448A99"/>
            </w:tcBorders>
            <w:vAlign w:val="center"/>
          </w:tcPr>
          <w:p w:rsidR="009357D6" w:rsidRPr="007454CD" w:rsidRDefault="009357D6" w:rsidP="009357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7454CD">
              <w:rPr>
                <w:rFonts w:ascii="Calibri" w:eastAsia="Times New Roman" w:hAnsi="Calibri" w:cs="Times New Roman"/>
                <w:color w:val="000000"/>
                <w:sz w:val="20"/>
                <w:szCs w:val="20"/>
              </w:rPr>
              <w:t>10%</w:t>
            </w:r>
          </w:p>
        </w:tc>
      </w:tr>
      <w:tr w:rsidR="009357D6" w:rsidRPr="007454CD" w:rsidTr="00F2010E">
        <w:trPr>
          <w:trHeight w:val="288"/>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448A99"/>
              <w:bottom w:val="single" w:sz="4" w:space="0" w:color="448A99"/>
              <w:right w:val="single" w:sz="4" w:space="0" w:color="448A99"/>
            </w:tcBorders>
            <w:shd w:val="clear" w:color="auto" w:fill="D2EAF1"/>
            <w:vAlign w:val="center"/>
          </w:tcPr>
          <w:p w:rsidR="009357D6" w:rsidRPr="007454CD" w:rsidRDefault="009357D6" w:rsidP="006B442A">
            <w:pPr>
              <w:rPr>
                <w:rFonts w:ascii="Calibri" w:hAnsi="Calibri"/>
                <w:color w:val="000000"/>
                <w:sz w:val="20"/>
                <w:szCs w:val="20"/>
              </w:rPr>
            </w:pPr>
            <w:r w:rsidRPr="007454CD">
              <w:rPr>
                <w:rFonts w:ascii="Calibri" w:hAnsi="Calibri"/>
                <w:color w:val="000000"/>
                <w:sz w:val="20"/>
                <w:szCs w:val="20"/>
              </w:rPr>
              <w:t>PECO</w:t>
            </w:r>
          </w:p>
        </w:tc>
        <w:tc>
          <w:tcPr>
            <w:tcW w:w="312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9357D6" w:rsidRPr="007454CD" w:rsidRDefault="009357D6" w:rsidP="009357D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7454CD">
              <w:rPr>
                <w:rFonts w:ascii="Calibri" w:eastAsia="Times New Roman" w:hAnsi="Calibri" w:cs="Times New Roman"/>
                <w:color w:val="000000"/>
                <w:sz w:val="20"/>
                <w:szCs w:val="20"/>
              </w:rPr>
              <w:t>90%</w:t>
            </w:r>
          </w:p>
        </w:tc>
        <w:tc>
          <w:tcPr>
            <w:tcW w:w="3120" w:type="dxa"/>
            <w:tcBorders>
              <w:top w:val="single" w:sz="4" w:space="0" w:color="448A99"/>
              <w:left w:val="single" w:sz="4" w:space="0" w:color="448A99"/>
              <w:bottom w:val="single" w:sz="4" w:space="0" w:color="448A99"/>
              <w:right w:val="single" w:sz="4" w:space="0" w:color="448A99"/>
            </w:tcBorders>
            <w:shd w:val="clear" w:color="auto" w:fill="D2EAF1"/>
            <w:vAlign w:val="center"/>
          </w:tcPr>
          <w:p w:rsidR="009357D6" w:rsidRPr="007454CD" w:rsidRDefault="009357D6" w:rsidP="009357D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7454CD">
              <w:rPr>
                <w:rFonts w:ascii="Calibri" w:eastAsia="Times New Roman" w:hAnsi="Calibri" w:cs="Times New Roman"/>
                <w:color w:val="000000"/>
                <w:sz w:val="20"/>
                <w:szCs w:val="20"/>
              </w:rPr>
              <w:t>10%</w:t>
            </w:r>
          </w:p>
        </w:tc>
      </w:tr>
      <w:tr w:rsidR="009357D6" w:rsidRPr="007454CD" w:rsidTr="00F201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448A99"/>
              <w:bottom w:val="single" w:sz="4" w:space="0" w:color="448A99"/>
              <w:right w:val="single" w:sz="4" w:space="0" w:color="448A99"/>
            </w:tcBorders>
            <w:vAlign w:val="center"/>
          </w:tcPr>
          <w:p w:rsidR="009357D6" w:rsidRPr="007454CD" w:rsidRDefault="009357D6" w:rsidP="006B442A">
            <w:pPr>
              <w:rPr>
                <w:rFonts w:ascii="Calibri" w:hAnsi="Calibri"/>
                <w:color w:val="000000"/>
                <w:sz w:val="20"/>
                <w:szCs w:val="20"/>
              </w:rPr>
            </w:pPr>
            <w:r w:rsidRPr="007454CD">
              <w:rPr>
                <w:rFonts w:ascii="Calibri" w:hAnsi="Calibri"/>
                <w:color w:val="000000"/>
                <w:sz w:val="20"/>
                <w:szCs w:val="20"/>
              </w:rPr>
              <w:t>PPL</w:t>
            </w:r>
          </w:p>
        </w:tc>
        <w:tc>
          <w:tcPr>
            <w:tcW w:w="3120" w:type="dxa"/>
            <w:tcBorders>
              <w:top w:val="single" w:sz="4" w:space="0" w:color="448A99"/>
              <w:left w:val="single" w:sz="4" w:space="0" w:color="448A99"/>
              <w:bottom w:val="single" w:sz="4" w:space="0" w:color="448A99"/>
              <w:right w:val="single" w:sz="4" w:space="0" w:color="448A99"/>
            </w:tcBorders>
            <w:vAlign w:val="center"/>
          </w:tcPr>
          <w:p w:rsidR="009357D6" w:rsidRPr="007454CD" w:rsidRDefault="009357D6" w:rsidP="009357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7454CD">
              <w:rPr>
                <w:rFonts w:ascii="Calibri" w:eastAsia="Times New Roman" w:hAnsi="Calibri" w:cs="Times New Roman"/>
                <w:color w:val="000000"/>
                <w:sz w:val="20"/>
                <w:szCs w:val="20"/>
              </w:rPr>
              <w:t>95%</w:t>
            </w:r>
          </w:p>
        </w:tc>
        <w:tc>
          <w:tcPr>
            <w:tcW w:w="3120" w:type="dxa"/>
            <w:tcBorders>
              <w:top w:val="single" w:sz="4" w:space="0" w:color="448A99"/>
              <w:left w:val="single" w:sz="4" w:space="0" w:color="448A99"/>
              <w:bottom w:val="single" w:sz="4" w:space="0" w:color="448A99"/>
              <w:right w:val="single" w:sz="4" w:space="0" w:color="448A99"/>
            </w:tcBorders>
            <w:vAlign w:val="center"/>
          </w:tcPr>
          <w:p w:rsidR="009357D6" w:rsidRPr="007454CD" w:rsidRDefault="009357D6" w:rsidP="009357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7454CD">
              <w:rPr>
                <w:rFonts w:ascii="Calibri" w:eastAsia="Times New Roman" w:hAnsi="Calibri" w:cs="Times New Roman"/>
                <w:color w:val="000000"/>
                <w:sz w:val="20"/>
                <w:szCs w:val="20"/>
              </w:rPr>
              <w:t>5%</w:t>
            </w:r>
          </w:p>
        </w:tc>
      </w:tr>
    </w:tbl>
    <w:p w:rsidR="009357D6" w:rsidRDefault="009357D6" w:rsidP="009357D6">
      <w:pPr>
        <w:jc w:val="both"/>
      </w:pPr>
    </w:p>
    <w:p w:rsidR="009357D6" w:rsidRDefault="001220A9" w:rsidP="009357D6">
      <w:pPr>
        <w:jc w:val="both"/>
      </w:pPr>
      <w:r>
        <w:fldChar w:fldCharType="begin"/>
      </w:r>
      <w:r>
        <w:instrText xml:space="preserve"> REF _Ref420587358 \h </w:instrText>
      </w:r>
      <w:r>
        <w:fldChar w:fldCharType="separate"/>
      </w:r>
      <w:r>
        <w:t xml:space="preserve">Table </w:t>
      </w:r>
      <w:r>
        <w:rPr>
          <w:noProof/>
        </w:rPr>
        <w:t>4</w:t>
      </w:r>
      <w:r>
        <w:noBreakHyphen/>
      </w:r>
      <w:r>
        <w:rPr>
          <w:noProof/>
        </w:rPr>
        <w:t>5</w:t>
      </w:r>
      <w:r>
        <w:fldChar w:fldCharType="end"/>
      </w:r>
      <w:r>
        <w:t xml:space="preserve"> presents a modified version of the information shown in </w:t>
      </w:r>
      <w:r>
        <w:fldChar w:fldCharType="begin"/>
      </w:r>
      <w:r>
        <w:instrText xml:space="preserve"> REF _Ref420510690 \h </w:instrText>
      </w:r>
      <w:r>
        <w:fldChar w:fldCharType="separate"/>
      </w:r>
      <w:r>
        <w:t xml:space="preserve">Table </w:t>
      </w:r>
      <w:r>
        <w:rPr>
          <w:noProof/>
        </w:rPr>
        <w:t>4</w:t>
      </w:r>
      <w:r>
        <w:noBreakHyphen/>
      </w:r>
      <w:r>
        <w:rPr>
          <w:noProof/>
        </w:rPr>
        <w:t>1</w:t>
      </w:r>
      <w:r>
        <w:fldChar w:fldCharType="end"/>
      </w:r>
      <w:r w:rsidR="00BB1D1E">
        <w:t xml:space="preserve"> (and is an update to Table 5 from</w:t>
      </w:r>
      <w:r w:rsidRPr="00D9712B">
        <w:t xml:space="preserve"> </w:t>
      </w:r>
      <w:r w:rsidR="00BB1D1E">
        <w:t>the</w:t>
      </w:r>
      <w:r w:rsidR="00BB1D1E" w:rsidRPr="00BB1D1E">
        <w:t xml:space="preserve"> Addendum to the Tentative Implementation Order</w:t>
      </w:r>
      <w:r>
        <w:t>).</w:t>
      </w:r>
      <w:r w:rsidR="00B56F6F">
        <w:t xml:space="preserve"> </w:t>
      </w:r>
      <w:r w:rsidR="00B56F6F" w:rsidRPr="00B56F6F">
        <w:t xml:space="preserve">The cumulative savings potential estimates have been removed and program potential estimates have been modified to reflect the energy efficiency spending allocations in </w:t>
      </w:r>
      <w:r w:rsidR="00B56F6F">
        <w:fldChar w:fldCharType="begin"/>
      </w:r>
      <w:r w:rsidR="00B56F6F">
        <w:instrText xml:space="preserve"> REF _Ref420587114 \h </w:instrText>
      </w:r>
      <w:r w:rsidR="00B56F6F">
        <w:fldChar w:fldCharType="separate"/>
      </w:r>
      <w:r w:rsidR="00B56F6F" w:rsidRPr="006C72DB">
        <w:t xml:space="preserve">Table </w:t>
      </w:r>
      <w:r w:rsidR="00B56F6F">
        <w:rPr>
          <w:noProof/>
        </w:rPr>
        <w:t>4</w:t>
      </w:r>
      <w:r w:rsidR="00B56F6F">
        <w:noBreakHyphen/>
      </w:r>
      <w:r w:rsidR="00B56F6F">
        <w:rPr>
          <w:noProof/>
        </w:rPr>
        <w:t>4</w:t>
      </w:r>
      <w:r w:rsidR="00B56F6F">
        <w:fldChar w:fldCharType="end"/>
      </w:r>
      <w:r w:rsidR="00B56F6F" w:rsidRPr="00B56F6F">
        <w:t>. The estimates of achievable potential are unaltered</w:t>
      </w:r>
      <w:r w:rsidR="00B56F6F">
        <w:t>.</w:t>
      </w:r>
    </w:p>
    <w:p w:rsidR="001220A9" w:rsidRDefault="001220A9" w:rsidP="009357D6">
      <w:pPr>
        <w:jc w:val="both"/>
      </w:pPr>
    </w:p>
    <w:p w:rsidR="001220A9" w:rsidRDefault="001220A9" w:rsidP="001220A9">
      <w:pPr>
        <w:pStyle w:val="Caption"/>
      </w:pPr>
      <w:bookmarkStart w:id="14" w:name="_Ref420587358"/>
      <w:r>
        <w:t xml:space="preserve">Table </w:t>
      </w:r>
      <w:r w:rsidR="002F7913">
        <w:fldChar w:fldCharType="begin"/>
      </w:r>
      <w:r w:rsidR="002F7913">
        <w:instrText xml:space="preserve"> STYLEREF 1 \s </w:instrText>
      </w:r>
      <w:r w:rsidR="002F7913">
        <w:fldChar w:fldCharType="separate"/>
      </w:r>
      <w:r w:rsidR="00BE0BFC">
        <w:rPr>
          <w:noProof/>
        </w:rPr>
        <w:t>4</w:t>
      </w:r>
      <w:r w:rsidR="002F7913">
        <w:rPr>
          <w:noProof/>
        </w:rPr>
        <w:fldChar w:fldCharType="end"/>
      </w:r>
      <w:r w:rsidR="00BE0BFC">
        <w:noBreakHyphen/>
      </w:r>
      <w:r w:rsidR="002F7913">
        <w:fldChar w:fldCharType="begin"/>
      </w:r>
      <w:r w:rsidR="002F7913">
        <w:instrText xml:space="preserve"> SEQ Tab</w:instrText>
      </w:r>
      <w:r w:rsidR="002F7913">
        <w:instrText xml:space="preserve">le \* ARABIC \s 1 </w:instrText>
      </w:r>
      <w:r w:rsidR="002F7913">
        <w:fldChar w:fldCharType="separate"/>
      </w:r>
      <w:r w:rsidR="00BE0BFC">
        <w:rPr>
          <w:noProof/>
        </w:rPr>
        <w:t>5</w:t>
      </w:r>
      <w:r w:rsidR="002F7913">
        <w:rPr>
          <w:noProof/>
        </w:rPr>
        <w:fldChar w:fldCharType="end"/>
      </w:r>
      <w:bookmarkEnd w:id="14"/>
      <w:r w:rsidR="004E78ED">
        <w:t xml:space="preserve">: </w:t>
      </w:r>
      <w:r>
        <w:t>Statewide Summary of Potential EE Savings and Costs by Scenario and Year Based on Funding Allocation</w:t>
      </w:r>
    </w:p>
    <w:tbl>
      <w:tblPr>
        <w:tblW w:w="9340" w:type="dxa"/>
        <w:tblInd w:w="98" w:type="dxa"/>
        <w:tblLook w:val="04A0" w:firstRow="1" w:lastRow="0" w:firstColumn="1" w:lastColumn="0" w:noHBand="0" w:noVBand="1"/>
      </w:tblPr>
      <w:tblGrid>
        <w:gridCol w:w="2354"/>
        <w:gridCol w:w="1119"/>
        <w:gridCol w:w="1127"/>
        <w:gridCol w:w="1359"/>
        <w:gridCol w:w="1127"/>
        <w:gridCol w:w="1127"/>
        <w:gridCol w:w="1127"/>
      </w:tblGrid>
      <w:tr w:rsidR="001220A9" w:rsidRPr="00FC0DB2" w:rsidTr="006B442A">
        <w:trPr>
          <w:trHeight w:val="144"/>
          <w:tblHeader/>
        </w:trPr>
        <w:tc>
          <w:tcPr>
            <w:tcW w:w="2354" w:type="dxa"/>
            <w:tcBorders>
              <w:top w:val="single" w:sz="8" w:space="0" w:color="448A99"/>
              <w:left w:val="single" w:sz="8" w:space="0" w:color="448A99"/>
              <w:bottom w:val="single" w:sz="8" w:space="0" w:color="448A99"/>
              <w:right w:val="nil"/>
            </w:tcBorders>
            <w:shd w:val="clear" w:color="000000" w:fill="448A99"/>
            <w:vAlign w:val="center"/>
            <w:hideMark/>
          </w:tcPr>
          <w:p w:rsidR="001220A9" w:rsidRPr="00625E08" w:rsidRDefault="001220A9" w:rsidP="006B442A">
            <w:pPr>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 </w:t>
            </w:r>
          </w:p>
        </w:tc>
        <w:tc>
          <w:tcPr>
            <w:tcW w:w="1119" w:type="dxa"/>
            <w:tcBorders>
              <w:top w:val="single" w:sz="8" w:space="0" w:color="448A99"/>
              <w:left w:val="nil"/>
              <w:bottom w:val="single" w:sz="8" w:space="0" w:color="448A99"/>
              <w:right w:val="nil"/>
            </w:tcBorders>
            <w:shd w:val="clear" w:color="000000" w:fill="448A99"/>
            <w:vAlign w:val="center"/>
            <w:hideMark/>
          </w:tcPr>
          <w:p w:rsidR="001220A9" w:rsidRPr="00625E08" w:rsidRDefault="001220A9" w:rsidP="006B442A">
            <w:pPr>
              <w:jc w:val="center"/>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2016</w:t>
            </w:r>
          </w:p>
        </w:tc>
        <w:tc>
          <w:tcPr>
            <w:tcW w:w="1127" w:type="dxa"/>
            <w:tcBorders>
              <w:top w:val="single" w:sz="8" w:space="0" w:color="448A99"/>
              <w:left w:val="nil"/>
              <w:bottom w:val="single" w:sz="8" w:space="0" w:color="448A99"/>
              <w:right w:val="nil"/>
            </w:tcBorders>
            <w:shd w:val="clear" w:color="000000" w:fill="448A99"/>
            <w:vAlign w:val="center"/>
            <w:hideMark/>
          </w:tcPr>
          <w:p w:rsidR="001220A9" w:rsidRPr="00625E08" w:rsidRDefault="001220A9" w:rsidP="006B442A">
            <w:pPr>
              <w:jc w:val="center"/>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2017</w:t>
            </w:r>
          </w:p>
        </w:tc>
        <w:tc>
          <w:tcPr>
            <w:tcW w:w="1359" w:type="dxa"/>
            <w:tcBorders>
              <w:top w:val="single" w:sz="8" w:space="0" w:color="448A99"/>
              <w:left w:val="nil"/>
              <w:bottom w:val="single" w:sz="8" w:space="0" w:color="448A99"/>
              <w:right w:val="nil"/>
            </w:tcBorders>
            <w:shd w:val="clear" w:color="000000" w:fill="448A99"/>
            <w:vAlign w:val="center"/>
            <w:hideMark/>
          </w:tcPr>
          <w:p w:rsidR="001220A9" w:rsidRPr="00625E08" w:rsidRDefault="001220A9" w:rsidP="006B442A">
            <w:pPr>
              <w:jc w:val="center"/>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2018</w:t>
            </w:r>
          </w:p>
        </w:tc>
        <w:tc>
          <w:tcPr>
            <w:tcW w:w="1127" w:type="dxa"/>
            <w:tcBorders>
              <w:top w:val="single" w:sz="8" w:space="0" w:color="448A99"/>
              <w:left w:val="nil"/>
              <w:bottom w:val="single" w:sz="8" w:space="0" w:color="448A99"/>
              <w:right w:val="nil"/>
            </w:tcBorders>
            <w:shd w:val="clear" w:color="000000" w:fill="448A99"/>
            <w:vAlign w:val="center"/>
            <w:hideMark/>
          </w:tcPr>
          <w:p w:rsidR="001220A9" w:rsidRPr="00625E08" w:rsidRDefault="001220A9" w:rsidP="006B442A">
            <w:pPr>
              <w:jc w:val="center"/>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2019</w:t>
            </w:r>
          </w:p>
        </w:tc>
        <w:tc>
          <w:tcPr>
            <w:tcW w:w="1127" w:type="dxa"/>
            <w:tcBorders>
              <w:top w:val="single" w:sz="8" w:space="0" w:color="448A99"/>
              <w:left w:val="nil"/>
              <w:bottom w:val="single" w:sz="8" w:space="0" w:color="448A99"/>
              <w:right w:val="nil"/>
            </w:tcBorders>
            <w:shd w:val="clear" w:color="000000" w:fill="448A99"/>
            <w:noWrap/>
            <w:vAlign w:val="center"/>
            <w:hideMark/>
          </w:tcPr>
          <w:p w:rsidR="001220A9" w:rsidRPr="00625E08" w:rsidRDefault="001220A9" w:rsidP="006B442A">
            <w:pPr>
              <w:jc w:val="center"/>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2020</w:t>
            </w:r>
          </w:p>
        </w:tc>
        <w:tc>
          <w:tcPr>
            <w:tcW w:w="1127" w:type="dxa"/>
            <w:tcBorders>
              <w:top w:val="single" w:sz="8" w:space="0" w:color="448A99"/>
              <w:left w:val="nil"/>
              <w:bottom w:val="single" w:sz="8" w:space="0" w:color="448A99"/>
              <w:right w:val="single" w:sz="8" w:space="0" w:color="448A99"/>
            </w:tcBorders>
            <w:shd w:val="clear" w:color="000000" w:fill="448A99"/>
            <w:vAlign w:val="center"/>
            <w:hideMark/>
          </w:tcPr>
          <w:p w:rsidR="001220A9" w:rsidRPr="00625E08" w:rsidRDefault="001220A9" w:rsidP="006B442A">
            <w:pPr>
              <w:jc w:val="center"/>
              <w:rPr>
                <w:rFonts w:ascii="Calibri" w:eastAsia="Times New Roman" w:hAnsi="Calibri" w:cs="Times New Roman"/>
                <w:b/>
                <w:bCs/>
                <w:color w:val="FFFFFF"/>
                <w:sz w:val="20"/>
                <w:szCs w:val="20"/>
              </w:rPr>
            </w:pPr>
            <w:r w:rsidRPr="00625E08">
              <w:rPr>
                <w:rFonts w:ascii="Calibri" w:eastAsia="Times New Roman" w:hAnsi="Calibri" w:cs="Times New Roman"/>
                <w:b/>
                <w:bCs/>
                <w:color w:val="FFFFFF"/>
                <w:sz w:val="20"/>
                <w:szCs w:val="20"/>
              </w:rPr>
              <w:t>2025</w:t>
            </w:r>
          </w:p>
        </w:tc>
      </w:tr>
      <w:tr w:rsidR="001220A9" w:rsidRPr="00FC0DB2" w:rsidTr="006B442A">
        <w:trPr>
          <w:trHeight w:val="144"/>
        </w:trPr>
        <w:tc>
          <w:tcPr>
            <w:tcW w:w="9340" w:type="dxa"/>
            <w:gridSpan w:val="7"/>
            <w:tcBorders>
              <w:top w:val="single" w:sz="8" w:space="0" w:color="448A99"/>
              <w:left w:val="single" w:sz="8" w:space="0" w:color="448A99"/>
              <w:bottom w:val="single" w:sz="8" w:space="0" w:color="448A99"/>
              <w:right w:val="single" w:sz="8" w:space="0" w:color="448A99"/>
            </w:tcBorders>
            <w:shd w:val="clear" w:color="auto" w:fill="9C9393"/>
            <w:vAlign w:val="center"/>
            <w:hideMark/>
          </w:tcPr>
          <w:p w:rsidR="001220A9" w:rsidRPr="004552CC" w:rsidRDefault="001220A9" w:rsidP="006B442A">
            <w:pPr>
              <w:rPr>
                <w:rFonts w:eastAsia="Times New Roman" w:cs="Times New Roman"/>
                <w:b/>
                <w:bCs/>
                <w:color w:val="FFFFFF"/>
                <w:sz w:val="20"/>
                <w:szCs w:val="20"/>
              </w:rPr>
            </w:pPr>
            <w:r w:rsidRPr="004552CC">
              <w:rPr>
                <w:rFonts w:eastAsia="Times New Roman" w:cs="Times New Roman"/>
                <w:b/>
                <w:bCs/>
                <w:color w:val="FFFFFF"/>
                <w:sz w:val="20"/>
                <w:szCs w:val="20"/>
              </w:rPr>
              <w:t xml:space="preserve">Incremental </w:t>
            </w:r>
            <w:r>
              <w:rPr>
                <w:rFonts w:eastAsia="Times New Roman" w:cs="Times New Roman"/>
                <w:b/>
                <w:bCs/>
                <w:color w:val="FFFFFF"/>
                <w:sz w:val="20"/>
                <w:szCs w:val="20"/>
              </w:rPr>
              <w:t xml:space="preserve">Annual </w:t>
            </w:r>
            <w:r w:rsidRPr="004552CC">
              <w:rPr>
                <w:rFonts w:eastAsia="Times New Roman" w:cs="Times New Roman"/>
                <w:b/>
                <w:bCs/>
                <w:color w:val="FFFFFF"/>
                <w:sz w:val="20"/>
                <w:szCs w:val="20"/>
              </w:rPr>
              <w:t>Savings Potential - MWh</w:t>
            </w:r>
          </w:p>
        </w:tc>
      </w:tr>
      <w:tr w:rsidR="00D21A9D" w:rsidRPr="00FC0DB2" w:rsidTr="001220A9">
        <w:trPr>
          <w:trHeight w:hRule="exact" w:val="288"/>
        </w:trPr>
        <w:tc>
          <w:tcPr>
            <w:tcW w:w="2354" w:type="dxa"/>
            <w:tcBorders>
              <w:top w:val="nil"/>
              <w:left w:val="single" w:sz="8" w:space="0" w:color="448A99"/>
              <w:bottom w:val="single" w:sz="8" w:space="0" w:color="448A99"/>
              <w:right w:val="nil"/>
            </w:tcBorders>
            <w:shd w:val="clear" w:color="auto" w:fill="auto"/>
            <w:vAlign w:val="center"/>
            <w:hideMark/>
          </w:tcPr>
          <w:p w:rsidR="00D21A9D" w:rsidRDefault="00D21A9D" w:rsidP="006B442A">
            <w:pPr>
              <w:rPr>
                <w:rFonts w:ascii="Calibri" w:hAnsi="Calibri"/>
                <w:b/>
                <w:bCs/>
                <w:color w:val="000000"/>
                <w:sz w:val="20"/>
                <w:szCs w:val="20"/>
              </w:rPr>
            </w:pPr>
            <w:r>
              <w:rPr>
                <w:rFonts w:ascii="Calibri" w:hAnsi="Calibri"/>
                <w:b/>
                <w:bCs/>
                <w:color w:val="000000"/>
                <w:sz w:val="20"/>
                <w:szCs w:val="20"/>
              </w:rPr>
              <w:t>Maximum Achievable</w:t>
            </w:r>
          </w:p>
        </w:tc>
        <w:tc>
          <w:tcPr>
            <w:tcW w:w="1119" w:type="dxa"/>
            <w:tcBorders>
              <w:top w:val="nil"/>
              <w:left w:val="nil"/>
              <w:bottom w:val="single" w:sz="8" w:space="0" w:color="448A99"/>
              <w:right w:val="nil"/>
            </w:tcBorders>
            <w:shd w:val="clear" w:color="auto" w:fill="auto"/>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2,782,510</w:t>
            </w:r>
          </w:p>
        </w:tc>
        <w:tc>
          <w:tcPr>
            <w:tcW w:w="1127" w:type="dxa"/>
            <w:tcBorders>
              <w:top w:val="nil"/>
              <w:left w:val="nil"/>
              <w:bottom w:val="single" w:sz="8" w:space="0" w:color="448A99"/>
              <w:right w:val="nil"/>
            </w:tcBorders>
            <w:shd w:val="clear" w:color="auto" w:fill="auto"/>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2,889,289</w:t>
            </w:r>
          </w:p>
        </w:tc>
        <w:tc>
          <w:tcPr>
            <w:tcW w:w="1359" w:type="dxa"/>
            <w:tcBorders>
              <w:top w:val="nil"/>
              <w:left w:val="nil"/>
              <w:bottom w:val="single" w:sz="8" w:space="0" w:color="448A99"/>
              <w:right w:val="nil"/>
            </w:tcBorders>
            <w:shd w:val="clear" w:color="auto" w:fill="auto"/>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3,012,667</w:t>
            </w:r>
          </w:p>
        </w:tc>
        <w:tc>
          <w:tcPr>
            <w:tcW w:w="1127" w:type="dxa"/>
            <w:tcBorders>
              <w:top w:val="nil"/>
              <w:left w:val="nil"/>
              <w:bottom w:val="single" w:sz="8" w:space="0" w:color="448A99"/>
              <w:right w:val="nil"/>
            </w:tcBorders>
            <w:shd w:val="clear" w:color="auto" w:fill="auto"/>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3,128,900</w:t>
            </w:r>
          </w:p>
        </w:tc>
        <w:tc>
          <w:tcPr>
            <w:tcW w:w="1127" w:type="dxa"/>
            <w:tcBorders>
              <w:top w:val="nil"/>
              <w:left w:val="nil"/>
              <w:bottom w:val="single" w:sz="8" w:space="0" w:color="448A99"/>
              <w:right w:val="nil"/>
            </w:tcBorders>
            <w:shd w:val="clear" w:color="auto" w:fill="auto"/>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2,636,678</w:t>
            </w:r>
          </w:p>
        </w:tc>
        <w:tc>
          <w:tcPr>
            <w:tcW w:w="1127" w:type="dxa"/>
            <w:tcBorders>
              <w:top w:val="nil"/>
              <w:left w:val="nil"/>
              <w:bottom w:val="single" w:sz="8" w:space="0" w:color="448A99"/>
              <w:right w:val="single" w:sz="8" w:space="0" w:color="448A99"/>
            </w:tcBorders>
            <w:shd w:val="clear" w:color="auto" w:fill="auto"/>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2,604,979</w:t>
            </w:r>
          </w:p>
        </w:tc>
      </w:tr>
      <w:tr w:rsidR="00D21A9D" w:rsidRPr="00FC0DB2" w:rsidTr="001220A9">
        <w:trPr>
          <w:trHeight w:hRule="exact" w:val="288"/>
        </w:trPr>
        <w:tc>
          <w:tcPr>
            <w:tcW w:w="2354" w:type="dxa"/>
            <w:tcBorders>
              <w:top w:val="nil"/>
              <w:left w:val="single" w:sz="8" w:space="0" w:color="448A99"/>
              <w:bottom w:val="single" w:sz="8" w:space="0" w:color="448A99"/>
              <w:right w:val="nil"/>
            </w:tcBorders>
            <w:shd w:val="clear" w:color="auto" w:fill="D2EAF1"/>
            <w:vAlign w:val="center"/>
            <w:hideMark/>
          </w:tcPr>
          <w:p w:rsidR="00D21A9D" w:rsidRDefault="00D21A9D" w:rsidP="006B442A">
            <w:pPr>
              <w:rPr>
                <w:rFonts w:ascii="Calibri" w:hAnsi="Calibri"/>
                <w:b/>
                <w:bCs/>
                <w:color w:val="000000"/>
                <w:sz w:val="20"/>
                <w:szCs w:val="20"/>
              </w:rPr>
            </w:pPr>
            <w:r>
              <w:rPr>
                <w:rFonts w:ascii="Calibri" w:hAnsi="Calibri"/>
                <w:b/>
                <w:bCs/>
                <w:color w:val="000000"/>
                <w:sz w:val="20"/>
                <w:szCs w:val="20"/>
              </w:rPr>
              <w:t>Base Achievable</w:t>
            </w:r>
          </w:p>
        </w:tc>
        <w:tc>
          <w:tcPr>
            <w:tcW w:w="1119" w:type="dxa"/>
            <w:tcBorders>
              <w:top w:val="nil"/>
              <w:left w:val="nil"/>
              <w:bottom w:val="single" w:sz="8" w:space="0" w:color="448A99"/>
              <w:right w:val="nil"/>
            </w:tcBorders>
            <w:shd w:val="clear" w:color="auto" w:fill="D2EAF1"/>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1,627,032</w:t>
            </w:r>
          </w:p>
        </w:tc>
        <w:tc>
          <w:tcPr>
            <w:tcW w:w="1127" w:type="dxa"/>
            <w:tcBorders>
              <w:top w:val="nil"/>
              <w:left w:val="nil"/>
              <w:bottom w:val="single" w:sz="8" w:space="0" w:color="448A99"/>
              <w:right w:val="nil"/>
            </w:tcBorders>
            <w:shd w:val="clear" w:color="auto" w:fill="D2EAF1"/>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1,741,083</w:t>
            </w:r>
          </w:p>
        </w:tc>
        <w:tc>
          <w:tcPr>
            <w:tcW w:w="1359" w:type="dxa"/>
            <w:tcBorders>
              <w:top w:val="nil"/>
              <w:left w:val="nil"/>
              <w:bottom w:val="single" w:sz="8" w:space="0" w:color="448A99"/>
              <w:right w:val="nil"/>
            </w:tcBorders>
            <w:shd w:val="clear" w:color="auto" w:fill="D2EAF1"/>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1,852,286</w:t>
            </w:r>
          </w:p>
        </w:tc>
        <w:tc>
          <w:tcPr>
            <w:tcW w:w="1127" w:type="dxa"/>
            <w:tcBorders>
              <w:top w:val="nil"/>
              <w:left w:val="nil"/>
              <w:bottom w:val="single" w:sz="8" w:space="0" w:color="448A99"/>
              <w:right w:val="nil"/>
            </w:tcBorders>
            <w:shd w:val="clear" w:color="auto" w:fill="D2EAF1"/>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1,958,936</w:t>
            </w:r>
          </w:p>
        </w:tc>
        <w:tc>
          <w:tcPr>
            <w:tcW w:w="1127" w:type="dxa"/>
            <w:tcBorders>
              <w:top w:val="nil"/>
              <w:left w:val="nil"/>
              <w:bottom w:val="single" w:sz="8" w:space="0" w:color="448A99"/>
              <w:right w:val="nil"/>
            </w:tcBorders>
            <w:shd w:val="clear" w:color="auto" w:fill="D2EAF1"/>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1,679,885</w:t>
            </w:r>
          </w:p>
        </w:tc>
        <w:tc>
          <w:tcPr>
            <w:tcW w:w="1127" w:type="dxa"/>
            <w:tcBorders>
              <w:top w:val="nil"/>
              <w:left w:val="nil"/>
              <w:bottom w:val="single" w:sz="8" w:space="0" w:color="448A99"/>
              <w:right w:val="single" w:sz="8" w:space="0" w:color="448A99"/>
            </w:tcBorders>
            <w:shd w:val="clear" w:color="auto" w:fill="D2EAF1"/>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1,806,646</w:t>
            </w:r>
          </w:p>
        </w:tc>
      </w:tr>
      <w:tr w:rsidR="00D21A9D" w:rsidRPr="00FC0DB2" w:rsidTr="001220A9">
        <w:trPr>
          <w:trHeight w:hRule="exact" w:val="288"/>
        </w:trPr>
        <w:tc>
          <w:tcPr>
            <w:tcW w:w="2354" w:type="dxa"/>
            <w:tcBorders>
              <w:top w:val="nil"/>
              <w:left w:val="single" w:sz="8" w:space="0" w:color="448A99"/>
              <w:bottom w:val="single" w:sz="8" w:space="0" w:color="448A99"/>
              <w:right w:val="nil"/>
            </w:tcBorders>
            <w:shd w:val="clear" w:color="auto" w:fill="auto"/>
            <w:vAlign w:val="center"/>
            <w:hideMark/>
          </w:tcPr>
          <w:p w:rsidR="00D21A9D" w:rsidRDefault="00D21A9D" w:rsidP="006B442A">
            <w:pPr>
              <w:rPr>
                <w:rFonts w:ascii="Calibri" w:hAnsi="Calibri"/>
                <w:b/>
                <w:bCs/>
                <w:color w:val="000000"/>
                <w:sz w:val="20"/>
                <w:szCs w:val="20"/>
              </w:rPr>
            </w:pPr>
            <w:r>
              <w:rPr>
                <w:rFonts w:ascii="Calibri" w:hAnsi="Calibri"/>
                <w:b/>
                <w:bCs/>
                <w:color w:val="000000"/>
                <w:sz w:val="20"/>
                <w:szCs w:val="20"/>
              </w:rPr>
              <w:t xml:space="preserve">Program </w:t>
            </w:r>
          </w:p>
        </w:tc>
        <w:tc>
          <w:tcPr>
            <w:tcW w:w="1119" w:type="dxa"/>
            <w:tcBorders>
              <w:top w:val="nil"/>
              <w:left w:val="nil"/>
              <w:bottom w:val="single" w:sz="8" w:space="0" w:color="448A99"/>
              <w:right w:val="nil"/>
            </w:tcBorders>
            <w:shd w:val="clear" w:color="auto" w:fill="auto"/>
            <w:noWrap/>
            <w:vAlign w:val="center"/>
          </w:tcPr>
          <w:p w:rsidR="00D21A9D" w:rsidRPr="00D21A9D" w:rsidRDefault="00D21A9D">
            <w:pPr>
              <w:jc w:val="center"/>
              <w:rPr>
                <w:rFonts w:ascii="Calibri" w:hAnsi="Calibri"/>
                <w:sz w:val="20"/>
                <w:szCs w:val="20"/>
              </w:rPr>
            </w:pPr>
            <w:r w:rsidRPr="00D21A9D">
              <w:rPr>
                <w:rFonts w:ascii="Calibri" w:hAnsi="Calibri"/>
                <w:sz w:val="20"/>
                <w:szCs w:val="20"/>
              </w:rPr>
              <w:t>1,050,108</w:t>
            </w:r>
          </w:p>
        </w:tc>
        <w:tc>
          <w:tcPr>
            <w:tcW w:w="1127" w:type="dxa"/>
            <w:tcBorders>
              <w:top w:val="nil"/>
              <w:left w:val="nil"/>
              <w:bottom w:val="single" w:sz="8" w:space="0" w:color="448A99"/>
              <w:right w:val="nil"/>
            </w:tcBorders>
            <w:shd w:val="clear" w:color="auto" w:fill="auto"/>
            <w:noWrap/>
            <w:vAlign w:val="center"/>
          </w:tcPr>
          <w:p w:rsidR="00D21A9D" w:rsidRPr="00D21A9D" w:rsidRDefault="00D21A9D">
            <w:pPr>
              <w:jc w:val="center"/>
              <w:rPr>
                <w:rFonts w:ascii="Calibri" w:hAnsi="Calibri"/>
                <w:sz w:val="20"/>
                <w:szCs w:val="20"/>
              </w:rPr>
            </w:pPr>
            <w:r w:rsidRPr="00D21A9D">
              <w:rPr>
                <w:rFonts w:ascii="Calibri" w:hAnsi="Calibri"/>
                <w:sz w:val="20"/>
                <w:szCs w:val="20"/>
              </w:rPr>
              <w:t>1,122,237</w:t>
            </w:r>
          </w:p>
        </w:tc>
        <w:tc>
          <w:tcPr>
            <w:tcW w:w="1359" w:type="dxa"/>
            <w:tcBorders>
              <w:top w:val="nil"/>
              <w:left w:val="nil"/>
              <w:bottom w:val="single" w:sz="8" w:space="0" w:color="448A99"/>
              <w:right w:val="nil"/>
            </w:tcBorders>
            <w:shd w:val="clear" w:color="auto" w:fill="auto"/>
            <w:noWrap/>
            <w:vAlign w:val="center"/>
          </w:tcPr>
          <w:p w:rsidR="00D21A9D" w:rsidRPr="00D21A9D" w:rsidRDefault="00D21A9D">
            <w:pPr>
              <w:jc w:val="center"/>
              <w:rPr>
                <w:rFonts w:ascii="Calibri" w:hAnsi="Calibri"/>
                <w:sz w:val="20"/>
                <w:szCs w:val="20"/>
              </w:rPr>
            </w:pPr>
            <w:r w:rsidRPr="00D21A9D">
              <w:rPr>
                <w:rFonts w:ascii="Calibri" w:hAnsi="Calibri"/>
                <w:sz w:val="20"/>
                <w:szCs w:val="20"/>
              </w:rPr>
              <w:t>1,193,543</w:t>
            </w:r>
          </w:p>
        </w:tc>
        <w:tc>
          <w:tcPr>
            <w:tcW w:w="1127" w:type="dxa"/>
            <w:tcBorders>
              <w:top w:val="nil"/>
              <w:left w:val="nil"/>
              <w:bottom w:val="single" w:sz="8" w:space="0" w:color="448A99"/>
              <w:right w:val="nil"/>
            </w:tcBorders>
            <w:shd w:val="clear" w:color="auto" w:fill="auto"/>
            <w:noWrap/>
            <w:vAlign w:val="center"/>
          </w:tcPr>
          <w:p w:rsidR="00D21A9D" w:rsidRPr="00D21A9D" w:rsidRDefault="00D21A9D">
            <w:pPr>
              <w:jc w:val="center"/>
              <w:rPr>
                <w:rFonts w:ascii="Calibri" w:hAnsi="Calibri"/>
                <w:sz w:val="20"/>
                <w:szCs w:val="20"/>
              </w:rPr>
            </w:pPr>
            <w:r w:rsidRPr="00D21A9D">
              <w:rPr>
                <w:rFonts w:ascii="Calibri" w:hAnsi="Calibri"/>
                <w:sz w:val="20"/>
                <w:szCs w:val="20"/>
              </w:rPr>
              <w:t>1,261,924</w:t>
            </w:r>
          </w:p>
        </w:tc>
        <w:tc>
          <w:tcPr>
            <w:tcW w:w="1127" w:type="dxa"/>
            <w:tcBorders>
              <w:top w:val="nil"/>
              <w:left w:val="nil"/>
              <w:bottom w:val="single" w:sz="8" w:space="0" w:color="448A99"/>
              <w:right w:val="nil"/>
            </w:tcBorders>
            <w:shd w:val="clear" w:color="auto" w:fill="auto"/>
            <w:noWrap/>
            <w:vAlign w:val="center"/>
          </w:tcPr>
          <w:p w:rsidR="00D21A9D" w:rsidRPr="00D21A9D" w:rsidRDefault="00D21A9D">
            <w:pPr>
              <w:jc w:val="center"/>
              <w:rPr>
                <w:rFonts w:ascii="Calibri" w:hAnsi="Calibri"/>
                <w:sz w:val="20"/>
                <w:szCs w:val="20"/>
              </w:rPr>
            </w:pPr>
            <w:r w:rsidRPr="00D21A9D">
              <w:rPr>
                <w:rFonts w:ascii="Calibri" w:hAnsi="Calibri"/>
                <w:sz w:val="20"/>
                <w:szCs w:val="20"/>
              </w:rPr>
              <w:t>1,082,676</w:t>
            </w:r>
          </w:p>
        </w:tc>
        <w:tc>
          <w:tcPr>
            <w:tcW w:w="1127" w:type="dxa"/>
            <w:tcBorders>
              <w:top w:val="nil"/>
              <w:left w:val="nil"/>
              <w:bottom w:val="single" w:sz="8" w:space="0" w:color="448A99"/>
              <w:right w:val="single" w:sz="8" w:space="0" w:color="448A99"/>
            </w:tcBorders>
            <w:shd w:val="clear" w:color="auto" w:fill="auto"/>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w:t>
            </w:r>
          </w:p>
        </w:tc>
      </w:tr>
      <w:tr w:rsidR="00D21A9D" w:rsidRPr="00FC0DB2" w:rsidTr="006B442A">
        <w:trPr>
          <w:trHeight w:hRule="exact" w:val="288"/>
        </w:trPr>
        <w:tc>
          <w:tcPr>
            <w:tcW w:w="9340" w:type="dxa"/>
            <w:gridSpan w:val="7"/>
            <w:tcBorders>
              <w:top w:val="single" w:sz="8" w:space="0" w:color="448A99"/>
              <w:left w:val="single" w:sz="8" w:space="0" w:color="4BACC6"/>
              <w:bottom w:val="single" w:sz="8" w:space="0" w:color="448A99"/>
              <w:right w:val="single" w:sz="8" w:space="0" w:color="4BACC6"/>
            </w:tcBorders>
            <w:shd w:val="clear" w:color="auto" w:fill="9C9393"/>
            <w:vAlign w:val="center"/>
            <w:hideMark/>
          </w:tcPr>
          <w:p w:rsidR="00D21A9D" w:rsidRPr="00D21A9D" w:rsidRDefault="00D21A9D" w:rsidP="006B442A">
            <w:pPr>
              <w:rPr>
                <w:rFonts w:eastAsia="Times New Roman" w:cs="Times New Roman"/>
                <w:b/>
                <w:bCs/>
                <w:color w:val="FFFFFF"/>
                <w:sz w:val="20"/>
                <w:szCs w:val="20"/>
              </w:rPr>
            </w:pPr>
            <w:r w:rsidRPr="00D21A9D">
              <w:rPr>
                <w:rFonts w:eastAsia="Times New Roman" w:cs="Times New Roman"/>
                <w:b/>
                <w:bCs/>
                <w:color w:val="FFFFFF" w:themeColor="background1"/>
                <w:sz w:val="20"/>
                <w:szCs w:val="20"/>
              </w:rPr>
              <w:t>Incremental Annual Savings Potential - % of  2010 Load</w:t>
            </w:r>
          </w:p>
        </w:tc>
      </w:tr>
      <w:tr w:rsidR="00D21A9D" w:rsidRPr="00FC0DB2" w:rsidTr="001220A9">
        <w:trPr>
          <w:trHeight w:hRule="exact" w:val="288"/>
        </w:trPr>
        <w:tc>
          <w:tcPr>
            <w:tcW w:w="2354" w:type="dxa"/>
            <w:tcBorders>
              <w:top w:val="nil"/>
              <w:left w:val="single" w:sz="8" w:space="0" w:color="448A99"/>
              <w:bottom w:val="single" w:sz="8" w:space="0" w:color="448A99"/>
              <w:right w:val="nil"/>
            </w:tcBorders>
            <w:shd w:val="clear" w:color="auto" w:fill="auto"/>
            <w:vAlign w:val="center"/>
            <w:hideMark/>
          </w:tcPr>
          <w:p w:rsidR="00D21A9D" w:rsidRDefault="00D21A9D" w:rsidP="006B442A">
            <w:pPr>
              <w:rPr>
                <w:rFonts w:ascii="Calibri" w:hAnsi="Calibri"/>
                <w:b/>
                <w:bCs/>
                <w:color w:val="000000"/>
                <w:sz w:val="20"/>
                <w:szCs w:val="20"/>
              </w:rPr>
            </w:pPr>
            <w:r>
              <w:rPr>
                <w:rFonts w:ascii="Calibri" w:hAnsi="Calibri"/>
                <w:b/>
                <w:bCs/>
                <w:color w:val="000000"/>
                <w:sz w:val="20"/>
                <w:szCs w:val="20"/>
              </w:rPr>
              <w:t>Maximum Achievable</w:t>
            </w:r>
          </w:p>
        </w:tc>
        <w:tc>
          <w:tcPr>
            <w:tcW w:w="1119" w:type="dxa"/>
            <w:tcBorders>
              <w:top w:val="nil"/>
              <w:left w:val="nil"/>
              <w:bottom w:val="single" w:sz="8" w:space="0" w:color="448A99"/>
              <w:right w:val="nil"/>
            </w:tcBorders>
            <w:shd w:val="clear" w:color="auto" w:fill="auto"/>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1.9%</w:t>
            </w:r>
          </w:p>
        </w:tc>
        <w:tc>
          <w:tcPr>
            <w:tcW w:w="1127" w:type="dxa"/>
            <w:tcBorders>
              <w:top w:val="nil"/>
              <w:left w:val="nil"/>
              <w:bottom w:val="single" w:sz="8" w:space="0" w:color="448A99"/>
              <w:right w:val="nil"/>
            </w:tcBorders>
            <w:shd w:val="clear" w:color="auto" w:fill="auto"/>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2.0%</w:t>
            </w:r>
          </w:p>
        </w:tc>
        <w:tc>
          <w:tcPr>
            <w:tcW w:w="1359" w:type="dxa"/>
            <w:tcBorders>
              <w:top w:val="nil"/>
              <w:left w:val="nil"/>
              <w:bottom w:val="single" w:sz="8" w:space="0" w:color="448A99"/>
              <w:right w:val="nil"/>
            </w:tcBorders>
            <w:shd w:val="clear" w:color="auto" w:fill="auto"/>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2.1%</w:t>
            </w:r>
          </w:p>
        </w:tc>
        <w:tc>
          <w:tcPr>
            <w:tcW w:w="1127" w:type="dxa"/>
            <w:tcBorders>
              <w:top w:val="nil"/>
              <w:left w:val="nil"/>
              <w:bottom w:val="single" w:sz="8" w:space="0" w:color="448A99"/>
              <w:right w:val="nil"/>
            </w:tcBorders>
            <w:shd w:val="clear" w:color="auto" w:fill="auto"/>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2.1%</w:t>
            </w:r>
          </w:p>
        </w:tc>
        <w:tc>
          <w:tcPr>
            <w:tcW w:w="1127" w:type="dxa"/>
            <w:tcBorders>
              <w:top w:val="nil"/>
              <w:left w:val="nil"/>
              <w:bottom w:val="single" w:sz="8" w:space="0" w:color="448A99"/>
              <w:right w:val="nil"/>
            </w:tcBorders>
            <w:shd w:val="clear" w:color="auto" w:fill="auto"/>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1.8%</w:t>
            </w:r>
          </w:p>
        </w:tc>
        <w:tc>
          <w:tcPr>
            <w:tcW w:w="1127" w:type="dxa"/>
            <w:tcBorders>
              <w:top w:val="nil"/>
              <w:left w:val="nil"/>
              <w:bottom w:val="single" w:sz="8" w:space="0" w:color="448A99"/>
              <w:right w:val="single" w:sz="8" w:space="0" w:color="448A99"/>
            </w:tcBorders>
            <w:shd w:val="clear" w:color="auto" w:fill="auto"/>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1.8%</w:t>
            </w:r>
          </w:p>
        </w:tc>
      </w:tr>
      <w:tr w:rsidR="00D21A9D" w:rsidRPr="00FC0DB2" w:rsidTr="001220A9">
        <w:trPr>
          <w:trHeight w:hRule="exact" w:val="288"/>
        </w:trPr>
        <w:tc>
          <w:tcPr>
            <w:tcW w:w="2354" w:type="dxa"/>
            <w:tcBorders>
              <w:top w:val="nil"/>
              <w:left w:val="single" w:sz="8" w:space="0" w:color="4BACC6"/>
              <w:bottom w:val="single" w:sz="8" w:space="0" w:color="448A99"/>
              <w:right w:val="nil"/>
            </w:tcBorders>
            <w:shd w:val="clear" w:color="auto" w:fill="D2EAF1"/>
            <w:vAlign w:val="center"/>
            <w:hideMark/>
          </w:tcPr>
          <w:p w:rsidR="00D21A9D" w:rsidRDefault="00D21A9D" w:rsidP="006B442A">
            <w:pPr>
              <w:rPr>
                <w:rFonts w:ascii="Calibri" w:hAnsi="Calibri"/>
                <w:b/>
                <w:bCs/>
                <w:color w:val="000000"/>
                <w:sz w:val="20"/>
                <w:szCs w:val="20"/>
              </w:rPr>
            </w:pPr>
            <w:r>
              <w:rPr>
                <w:rFonts w:ascii="Calibri" w:hAnsi="Calibri"/>
                <w:b/>
                <w:bCs/>
                <w:color w:val="000000"/>
                <w:sz w:val="20"/>
                <w:szCs w:val="20"/>
              </w:rPr>
              <w:t>Base Achievable</w:t>
            </w:r>
          </w:p>
        </w:tc>
        <w:tc>
          <w:tcPr>
            <w:tcW w:w="1119" w:type="dxa"/>
            <w:tcBorders>
              <w:top w:val="nil"/>
              <w:left w:val="nil"/>
              <w:bottom w:val="single" w:sz="8" w:space="0" w:color="448A99"/>
              <w:right w:val="nil"/>
            </w:tcBorders>
            <w:shd w:val="clear" w:color="auto" w:fill="D2EAF1"/>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1.1%</w:t>
            </w:r>
          </w:p>
        </w:tc>
        <w:tc>
          <w:tcPr>
            <w:tcW w:w="1127" w:type="dxa"/>
            <w:tcBorders>
              <w:top w:val="nil"/>
              <w:left w:val="nil"/>
              <w:bottom w:val="single" w:sz="8" w:space="0" w:color="448A99"/>
              <w:right w:val="nil"/>
            </w:tcBorders>
            <w:shd w:val="clear" w:color="auto" w:fill="D2EAF1"/>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1.2%</w:t>
            </w:r>
          </w:p>
        </w:tc>
        <w:tc>
          <w:tcPr>
            <w:tcW w:w="1359" w:type="dxa"/>
            <w:tcBorders>
              <w:top w:val="nil"/>
              <w:left w:val="nil"/>
              <w:bottom w:val="single" w:sz="8" w:space="0" w:color="448A99"/>
              <w:right w:val="nil"/>
            </w:tcBorders>
            <w:shd w:val="clear" w:color="auto" w:fill="D2EAF1"/>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1.3%</w:t>
            </w:r>
          </w:p>
        </w:tc>
        <w:tc>
          <w:tcPr>
            <w:tcW w:w="1127" w:type="dxa"/>
            <w:tcBorders>
              <w:top w:val="nil"/>
              <w:left w:val="nil"/>
              <w:bottom w:val="single" w:sz="8" w:space="0" w:color="448A99"/>
              <w:right w:val="nil"/>
            </w:tcBorders>
            <w:shd w:val="clear" w:color="auto" w:fill="D2EAF1"/>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1.3%</w:t>
            </w:r>
          </w:p>
        </w:tc>
        <w:tc>
          <w:tcPr>
            <w:tcW w:w="1127" w:type="dxa"/>
            <w:tcBorders>
              <w:top w:val="nil"/>
              <w:left w:val="nil"/>
              <w:bottom w:val="single" w:sz="8" w:space="0" w:color="448A99"/>
              <w:right w:val="nil"/>
            </w:tcBorders>
            <w:shd w:val="clear" w:color="auto" w:fill="D2EAF1"/>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1.1%</w:t>
            </w:r>
          </w:p>
        </w:tc>
        <w:tc>
          <w:tcPr>
            <w:tcW w:w="1127" w:type="dxa"/>
            <w:tcBorders>
              <w:top w:val="nil"/>
              <w:left w:val="nil"/>
              <w:bottom w:val="single" w:sz="8" w:space="0" w:color="448A99"/>
              <w:right w:val="single" w:sz="8" w:space="0" w:color="4BACC6"/>
            </w:tcBorders>
            <w:shd w:val="clear" w:color="auto" w:fill="D2EAF1"/>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1.2%</w:t>
            </w:r>
          </w:p>
        </w:tc>
      </w:tr>
      <w:tr w:rsidR="00D21A9D" w:rsidRPr="00FC0DB2" w:rsidTr="001220A9">
        <w:trPr>
          <w:trHeight w:hRule="exact" w:val="288"/>
        </w:trPr>
        <w:tc>
          <w:tcPr>
            <w:tcW w:w="2354" w:type="dxa"/>
            <w:tcBorders>
              <w:top w:val="single" w:sz="8" w:space="0" w:color="448A99"/>
              <w:left w:val="single" w:sz="8" w:space="0" w:color="448A99"/>
              <w:bottom w:val="single" w:sz="8" w:space="0" w:color="448A99"/>
              <w:right w:val="nil"/>
            </w:tcBorders>
            <w:shd w:val="clear" w:color="auto" w:fill="auto"/>
            <w:vAlign w:val="center"/>
            <w:hideMark/>
          </w:tcPr>
          <w:p w:rsidR="00D21A9D" w:rsidRDefault="00D21A9D" w:rsidP="006B442A">
            <w:pPr>
              <w:rPr>
                <w:rFonts w:ascii="Calibri" w:hAnsi="Calibri"/>
                <w:b/>
                <w:bCs/>
                <w:color w:val="000000"/>
                <w:sz w:val="20"/>
                <w:szCs w:val="20"/>
              </w:rPr>
            </w:pPr>
            <w:r>
              <w:rPr>
                <w:rFonts w:ascii="Calibri" w:hAnsi="Calibri"/>
                <w:b/>
                <w:bCs/>
                <w:color w:val="000000"/>
                <w:sz w:val="20"/>
                <w:szCs w:val="20"/>
              </w:rPr>
              <w:t xml:space="preserve">Program </w:t>
            </w:r>
          </w:p>
        </w:tc>
        <w:tc>
          <w:tcPr>
            <w:tcW w:w="1119" w:type="dxa"/>
            <w:tcBorders>
              <w:top w:val="single" w:sz="8" w:space="0" w:color="448A99"/>
              <w:left w:val="nil"/>
              <w:bottom w:val="single" w:sz="8" w:space="0" w:color="448A99"/>
              <w:right w:val="nil"/>
            </w:tcBorders>
            <w:shd w:val="clear" w:color="auto" w:fill="auto"/>
            <w:noWrap/>
            <w:vAlign w:val="center"/>
          </w:tcPr>
          <w:p w:rsidR="00D21A9D" w:rsidRPr="00D21A9D" w:rsidRDefault="00D21A9D">
            <w:pPr>
              <w:jc w:val="center"/>
              <w:rPr>
                <w:rFonts w:ascii="Calibri" w:hAnsi="Calibri"/>
                <w:b/>
                <w:bCs/>
                <w:color w:val="000000"/>
                <w:sz w:val="20"/>
                <w:szCs w:val="20"/>
              </w:rPr>
            </w:pPr>
            <w:r w:rsidRPr="00D21A9D">
              <w:rPr>
                <w:rFonts w:ascii="Calibri" w:hAnsi="Calibri"/>
                <w:b/>
                <w:bCs/>
                <w:color w:val="000000"/>
                <w:sz w:val="20"/>
                <w:szCs w:val="20"/>
              </w:rPr>
              <w:t>0.7%</w:t>
            </w:r>
          </w:p>
        </w:tc>
        <w:tc>
          <w:tcPr>
            <w:tcW w:w="1127" w:type="dxa"/>
            <w:tcBorders>
              <w:top w:val="single" w:sz="8" w:space="0" w:color="448A99"/>
              <w:left w:val="nil"/>
              <w:bottom w:val="single" w:sz="8" w:space="0" w:color="448A99"/>
              <w:right w:val="nil"/>
            </w:tcBorders>
            <w:shd w:val="clear" w:color="auto" w:fill="auto"/>
            <w:noWrap/>
            <w:vAlign w:val="center"/>
          </w:tcPr>
          <w:p w:rsidR="00D21A9D" w:rsidRPr="00D21A9D" w:rsidRDefault="00D21A9D">
            <w:pPr>
              <w:jc w:val="center"/>
              <w:rPr>
                <w:rFonts w:ascii="Calibri" w:hAnsi="Calibri"/>
                <w:b/>
                <w:bCs/>
                <w:color w:val="000000"/>
                <w:sz w:val="20"/>
                <w:szCs w:val="20"/>
              </w:rPr>
            </w:pPr>
            <w:r w:rsidRPr="00D21A9D">
              <w:rPr>
                <w:rFonts w:ascii="Calibri" w:hAnsi="Calibri"/>
                <w:b/>
                <w:bCs/>
                <w:color w:val="000000"/>
                <w:sz w:val="20"/>
                <w:szCs w:val="20"/>
              </w:rPr>
              <w:t>0.8%</w:t>
            </w:r>
          </w:p>
        </w:tc>
        <w:tc>
          <w:tcPr>
            <w:tcW w:w="1359" w:type="dxa"/>
            <w:tcBorders>
              <w:top w:val="single" w:sz="8" w:space="0" w:color="448A99"/>
              <w:left w:val="nil"/>
              <w:bottom w:val="single" w:sz="8" w:space="0" w:color="448A99"/>
              <w:right w:val="nil"/>
            </w:tcBorders>
            <w:shd w:val="clear" w:color="auto" w:fill="auto"/>
            <w:noWrap/>
            <w:vAlign w:val="center"/>
          </w:tcPr>
          <w:p w:rsidR="00D21A9D" w:rsidRPr="00D21A9D" w:rsidRDefault="00D21A9D">
            <w:pPr>
              <w:jc w:val="center"/>
              <w:rPr>
                <w:rFonts w:ascii="Calibri" w:hAnsi="Calibri"/>
                <w:b/>
                <w:bCs/>
                <w:color w:val="000000"/>
                <w:sz w:val="20"/>
                <w:szCs w:val="20"/>
              </w:rPr>
            </w:pPr>
            <w:r w:rsidRPr="00D21A9D">
              <w:rPr>
                <w:rFonts w:ascii="Calibri" w:hAnsi="Calibri"/>
                <w:b/>
                <w:bCs/>
                <w:color w:val="000000"/>
                <w:sz w:val="20"/>
                <w:szCs w:val="20"/>
              </w:rPr>
              <w:t>0.8%</w:t>
            </w:r>
          </w:p>
        </w:tc>
        <w:tc>
          <w:tcPr>
            <w:tcW w:w="1127" w:type="dxa"/>
            <w:tcBorders>
              <w:top w:val="single" w:sz="8" w:space="0" w:color="448A99"/>
              <w:left w:val="nil"/>
              <w:bottom w:val="single" w:sz="8" w:space="0" w:color="448A99"/>
              <w:right w:val="nil"/>
            </w:tcBorders>
            <w:shd w:val="clear" w:color="auto" w:fill="auto"/>
            <w:noWrap/>
            <w:vAlign w:val="center"/>
          </w:tcPr>
          <w:p w:rsidR="00D21A9D" w:rsidRPr="00D21A9D" w:rsidRDefault="00D21A9D">
            <w:pPr>
              <w:jc w:val="center"/>
              <w:rPr>
                <w:rFonts w:ascii="Calibri" w:hAnsi="Calibri"/>
                <w:b/>
                <w:bCs/>
                <w:color w:val="000000"/>
                <w:sz w:val="20"/>
                <w:szCs w:val="20"/>
              </w:rPr>
            </w:pPr>
            <w:r w:rsidRPr="00D21A9D">
              <w:rPr>
                <w:rFonts w:ascii="Calibri" w:hAnsi="Calibri"/>
                <w:b/>
                <w:bCs/>
                <w:color w:val="000000"/>
                <w:sz w:val="20"/>
                <w:szCs w:val="20"/>
              </w:rPr>
              <w:t>0.9%</w:t>
            </w:r>
          </w:p>
        </w:tc>
        <w:tc>
          <w:tcPr>
            <w:tcW w:w="1127" w:type="dxa"/>
            <w:tcBorders>
              <w:top w:val="single" w:sz="8" w:space="0" w:color="448A99"/>
              <w:left w:val="nil"/>
              <w:bottom w:val="single" w:sz="8" w:space="0" w:color="448A99"/>
              <w:right w:val="nil"/>
            </w:tcBorders>
            <w:shd w:val="clear" w:color="auto" w:fill="auto"/>
            <w:noWrap/>
            <w:vAlign w:val="center"/>
          </w:tcPr>
          <w:p w:rsidR="00D21A9D" w:rsidRPr="00D21A9D" w:rsidRDefault="00D21A9D">
            <w:pPr>
              <w:jc w:val="center"/>
              <w:rPr>
                <w:rFonts w:ascii="Calibri" w:hAnsi="Calibri"/>
                <w:b/>
                <w:bCs/>
                <w:color w:val="000000"/>
                <w:sz w:val="20"/>
                <w:szCs w:val="20"/>
              </w:rPr>
            </w:pPr>
            <w:r w:rsidRPr="00D21A9D">
              <w:rPr>
                <w:rFonts w:ascii="Calibri" w:hAnsi="Calibri"/>
                <w:b/>
                <w:bCs/>
                <w:color w:val="000000"/>
                <w:sz w:val="20"/>
                <w:szCs w:val="20"/>
              </w:rPr>
              <w:t>0.7%</w:t>
            </w:r>
          </w:p>
        </w:tc>
        <w:tc>
          <w:tcPr>
            <w:tcW w:w="1127" w:type="dxa"/>
            <w:tcBorders>
              <w:top w:val="single" w:sz="8" w:space="0" w:color="448A99"/>
              <w:left w:val="nil"/>
              <w:bottom w:val="single" w:sz="8" w:space="0" w:color="448A99"/>
              <w:right w:val="single" w:sz="8" w:space="0" w:color="448A99"/>
            </w:tcBorders>
            <w:shd w:val="clear" w:color="auto" w:fill="auto"/>
            <w:noWrap/>
            <w:vAlign w:val="center"/>
          </w:tcPr>
          <w:p w:rsidR="00D21A9D" w:rsidRPr="00D21A9D" w:rsidRDefault="00D21A9D">
            <w:pPr>
              <w:jc w:val="center"/>
              <w:rPr>
                <w:rFonts w:ascii="Calibri" w:hAnsi="Calibri"/>
                <w:b/>
                <w:bCs/>
                <w:color w:val="000000"/>
                <w:sz w:val="20"/>
                <w:szCs w:val="20"/>
              </w:rPr>
            </w:pPr>
            <w:r w:rsidRPr="00D21A9D">
              <w:rPr>
                <w:rFonts w:ascii="Calibri" w:hAnsi="Calibri"/>
                <w:b/>
                <w:bCs/>
                <w:color w:val="000000"/>
                <w:sz w:val="20"/>
                <w:szCs w:val="20"/>
              </w:rPr>
              <w:t>-</w:t>
            </w:r>
          </w:p>
        </w:tc>
      </w:tr>
      <w:tr w:rsidR="00D21A9D" w:rsidRPr="00FC0DB2" w:rsidTr="006B442A">
        <w:trPr>
          <w:trHeight w:hRule="exact" w:val="288"/>
        </w:trPr>
        <w:tc>
          <w:tcPr>
            <w:tcW w:w="9340" w:type="dxa"/>
            <w:gridSpan w:val="7"/>
            <w:tcBorders>
              <w:top w:val="single" w:sz="8" w:space="0" w:color="448A99"/>
              <w:left w:val="single" w:sz="8" w:space="0" w:color="448A99"/>
              <w:bottom w:val="single" w:sz="8" w:space="0" w:color="448A99"/>
              <w:right w:val="single" w:sz="8" w:space="0" w:color="448A99"/>
            </w:tcBorders>
            <w:shd w:val="clear" w:color="auto" w:fill="9C9393"/>
            <w:vAlign w:val="center"/>
          </w:tcPr>
          <w:p w:rsidR="00D21A9D" w:rsidRPr="00D21A9D" w:rsidRDefault="00D21A9D" w:rsidP="006B442A">
            <w:pPr>
              <w:rPr>
                <w:rFonts w:eastAsia="Times New Roman" w:cs="Times New Roman"/>
                <w:color w:val="000000"/>
                <w:sz w:val="20"/>
                <w:szCs w:val="20"/>
              </w:rPr>
            </w:pPr>
            <w:r w:rsidRPr="00D21A9D">
              <w:rPr>
                <w:rFonts w:eastAsia="Times New Roman" w:cs="Times New Roman"/>
                <w:b/>
                <w:bCs/>
                <w:color w:val="FFFFFF" w:themeColor="background1"/>
                <w:sz w:val="20"/>
                <w:szCs w:val="20"/>
              </w:rPr>
              <w:t>EDC Program Costs - Million $</w:t>
            </w:r>
          </w:p>
        </w:tc>
      </w:tr>
      <w:tr w:rsidR="00D21A9D" w:rsidRPr="00FC0DB2" w:rsidTr="006B442A">
        <w:trPr>
          <w:trHeight w:hRule="exact" w:val="288"/>
        </w:trPr>
        <w:tc>
          <w:tcPr>
            <w:tcW w:w="2354" w:type="dxa"/>
            <w:tcBorders>
              <w:top w:val="single" w:sz="8" w:space="0" w:color="448A99"/>
              <w:left w:val="single" w:sz="8" w:space="0" w:color="448A99"/>
              <w:bottom w:val="single" w:sz="8" w:space="0" w:color="448A99"/>
              <w:right w:val="nil"/>
            </w:tcBorders>
            <w:shd w:val="clear" w:color="auto" w:fill="auto"/>
            <w:vAlign w:val="center"/>
          </w:tcPr>
          <w:p w:rsidR="00D21A9D" w:rsidRDefault="00D21A9D" w:rsidP="006B442A">
            <w:pPr>
              <w:rPr>
                <w:rFonts w:ascii="Calibri" w:hAnsi="Calibri"/>
                <w:b/>
                <w:bCs/>
                <w:color w:val="000000"/>
                <w:sz w:val="20"/>
                <w:szCs w:val="20"/>
              </w:rPr>
            </w:pPr>
            <w:r>
              <w:rPr>
                <w:rFonts w:ascii="Calibri" w:hAnsi="Calibri"/>
                <w:b/>
                <w:bCs/>
                <w:color w:val="000000"/>
                <w:sz w:val="20"/>
                <w:szCs w:val="20"/>
              </w:rPr>
              <w:lastRenderedPageBreak/>
              <w:t>Maximum Achievable</w:t>
            </w:r>
          </w:p>
        </w:tc>
        <w:tc>
          <w:tcPr>
            <w:tcW w:w="1119" w:type="dxa"/>
            <w:tcBorders>
              <w:top w:val="single" w:sz="8" w:space="0" w:color="448A99"/>
              <w:left w:val="nil"/>
              <w:bottom w:val="single" w:sz="8" w:space="0" w:color="448A99"/>
              <w:right w:val="nil"/>
            </w:tcBorders>
            <w:shd w:val="clear" w:color="auto" w:fill="auto"/>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$619.7</w:t>
            </w:r>
          </w:p>
        </w:tc>
        <w:tc>
          <w:tcPr>
            <w:tcW w:w="1127" w:type="dxa"/>
            <w:tcBorders>
              <w:top w:val="single" w:sz="8" w:space="0" w:color="448A99"/>
              <w:left w:val="nil"/>
              <w:bottom w:val="single" w:sz="8" w:space="0" w:color="448A99"/>
              <w:right w:val="nil"/>
            </w:tcBorders>
            <w:shd w:val="clear" w:color="auto" w:fill="auto"/>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$643.2</w:t>
            </w:r>
          </w:p>
        </w:tc>
        <w:tc>
          <w:tcPr>
            <w:tcW w:w="1359" w:type="dxa"/>
            <w:tcBorders>
              <w:top w:val="single" w:sz="8" w:space="0" w:color="448A99"/>
              <w:left w:val="nil"/>
              <w:bottom w:val="single" w:sz="8" w:space="0" w:color="448A99"/>
              <w:right w:val="nil"/>
            </w:tcBorders>
            <w:shd w:val="clear" w:color="auto" w:fill="auto"/>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$664.8</w:t>
            </w:r>
          </w:p>
        </w:tc>
        <w:tc>
          <w:tcPr>
            <w:tcW w:w="1127" w:type="dxa"/>
            <w:tcBorders>
              <w:top w:val="single" w:sz="8" w:space="0" w:color="448A99"/>
              <w:left w:val="nil"/>
              <w:bottom w:val="single" w:sz="8" w:space="0" w:color="448A99"/>
              <w:right w:val="nil"/>
            </w:tcBorders>
            <w:shd w:val="clear" w:color="auto" w:fill="auto"/>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$687.0</w:t>
            </w:r>
          </w:p>
        </w:tc>
        <w:tc>
          <w:tcPr>
            <w:tcW w:w="1127" w:type="dxa"/>
            <w:tcBorders>
              <w:top w:val="single" w:sz="8" w:space="0" w:color="448A99"/>
              <w:left w:val="nil"/>
              <w:bottom w:val="single" w:sz="8" w:space="0" w:color="448A99"/>
              <w:right w:val="nil"/>
            </w:tcBorders>
            <w:shd w:val="clear" w:color="auto" w:fill="auto"/>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$662.5</w:t>
            </w:r>
          </w:p>
        </w:tc>
        <w:tc>
          <w:tcPr>
            <w:tcW w:w="1127" w:type="dxa"/>
            <w:tcBorders>
              <w:top w:val="single" w:sz="8" w:space="0" w:color="448A99"/>
              <w:left w:val="nil"/>
              <w:bottom w:val="single" w:sz="8" w:space="0" w:color="448A99"/>
              <w:right w:val="single" w:sz="8" w:space="0" w:color="448A99"/>
            </w:tcBorders>
            <w:shd w:val="clear" w:color="auto" w:fill="auto"/>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$704.1</w:t>
            </w:r>
          </w:p>
        </w:tc>
      </w:tr>
      <w:tr w:rsidR="00D21A9D" w:rsidRPr="00FC0DB2" w:rsidTr="006B442A">
        <w:trPr>
          <w:trHeight w:hRule="exact" w:val="288"/>
        </w:trPr>
        <w:tc>
          <w:tcPr>
            <w:tcW w:w="2354" w:type="dxa"/>
            <w:tcBorders>
              <w:top w:val="single" w:sz="8" w:space="0" w:color="448A99"/>
              <w:left w:val="single" w:sz="8" w:space="0" w:color="448A99"/>
              <w:bottom w:val="single" w:sz="8" w:space="0" w:color="448A99"/>
              <w:right w:val="nil"/>
            </w:tcBorders>
            <w:shd w:val="clear" w:color="auto" w:fill="D2EAF1"/>
            <w:vAlign w:val="center"/>
          </w:tcPr>
          <w:p w:rsidR="00D21A9D" w:rsidRDefault="00D21A9D" w:rsidP="006B442A">
            <w:pPr>
              <w:rPr>
                <w:rFonts w:ascii="Calibri" w:hAnsi="Calibri"/>
                <w:b/>
                <w:bCs/>
                <w:color w:val="000000"/>
                <w:sz w:val="20"/>
                <w:szCs w:val="20"/>
              </w:rPr>
            </w:pPr>
            <w:r>
              <w:rPr>
                <w:rFonts w:ascii="Calibri" w:hAnsi="Calibri"/>
                <w:b/>
                <w:bCs/>
                <w:color w:val="000000"/>
                <w:sz w:val="20"/>
                <w:szCs w:val="20"/>
              </w:rPr>
              <w:t>Base Achievable</w:t>
            </w:r>
          </w:p>
        </w:tc>
        <w:tc>
          <w:tcPr>
            <w:tcW w:w="1119" w:type="dxa"/>
            <w:tcBorders>
              <w:top w:val="single" w:sz="8" w:space="0" w:color="448A99"/>
              <w:left w:val="nil"/>
              <w:bottom w:val="single" w:sz="8" w:space="0" w:color="448A99"/>
              <w:right w:val="nil"/>
            </w:tcBorders>
            <w:shd w:val="clear" w:color="auto" w:fill="D2EAF1"/>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$326.3</w:t>
            </w:r>
          </w:p>
        </w:tc>
        <w:tc>
          <w:tcPr>
            <w:tcW w:w="1127" w:type="dxa"/>
            <w:tcBorders>
              <w:top w:val="single" w:sz="8" w:space="0" w:color="448A99"/>
              <w:left w:val="nil"/>
              <w:bottom w:val="single" w:sz="8" w:space="0" w:color="448A99"/>
              <w:right w:val="nil"/>
            </w:tcBorders>
            <w:shd w:val="clear" w:color="auto" w:fill="D2EAF1"/>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$341.9</w:t>
            </w:r>
          </w:p>
        </w:tc>
        <w:tc>
          <w:tcPr>
            <w:tcW w:w="1359" w:type="dxa"/>
            <w:tcBorders>
              <w:top w:val="single" w:sz="8" w:space="0" w:color="448A99"/>
              <w:left w:val="nil"/>
              <w:bottom w:val="single" w:sz="8" w:space="0" w:color="448A99"/>
              <w:right w:val="nil"/>
            </w:tcBorders>
            <w:shd w:val="clear" w:color="auto" w:fill="D2EAF1"/>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$356.5</w:t>
            </w:r>
          </w:p>
        </w:tc>
        <w:tc>
          <w:tcPr>
            <w:tcW w:w="1127" w:type="dxa"/>
            <w:tcBorders>
              <w:top w:val="single" w:sz="8" w:space="0" w:color="448A99"/>
              <w:left w:val="nil"/>
              <w:bottom w:val="single" w:sz="8" w:space="0" w:color="448A99"/>
              <w:right w:val="nil"/>
            </w:tcBorders>
            <w:shd w:val="clear" w:color="auto" w:fill="D2EAF1"/>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$371.5</w:t>
            </w:r>
          </w:p>
        </w:tc>
        <w:tc>
          <w:tcPr>
            <w:tcW w:w="1127" w:type="dxa"/>
            <w:tcBorders>
              <w:top w:val="single" w:sz="8" w:space="0" w:color="448A99"/>
              <w:left w:val="nil"/>
              <w:bottom w:val="single" w:sz="8" w:space="0" w:color="448A99"/>
              <w:right w:val="nil"/>
            </w:tcBorders>
            <w:shd w:val="clear" w:color="auto" w:fill="D2EAF1"/>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$358.3</w:t>
            </w:r>
          </w:p>
        </w:tc>
        <w:tc>
          <w:tcPr>
            <w:tcW w:w="1127" w:type="dxa"/>
            <w:tcBorders>
              <w:top w:val="single" w:sz="8" w:space="0" w:color="448A99"/>
              <w:left w:val="nil"/>
              <w:bottom w:val="single" w:sz="8" w:space="0" w:color="448A99"/>
              <w:right w:val="single" w:sz="8" w:space="0" w:color="448A99"/>
            </w:tcBorders>
            <w:shd w:val="clear" w:color="auto" w:fill="D2EAF1"/>
            <w:noWrap/>
            <w:vAlign w:val="center"/>
          </w:tcPr>
          <w:p w:rsidR="00D21A9D" w:rsidRPr="00D21A9D" w:rsidRDefault="00D21A9D">
            <w:pPr>
              <w:jc w:val="center"/>
              <w:rPr>
                <w:rFonts w:ascii="Calibri" w:hAnsi="Calibri"/>
                <w:color w:val="000000"/>
                <w:sz w:val="20"/>
                <w:szCs w:val="20"/>
              </w:rPr>
            </w:pPr>
            <w:r w:rsidRPr="00D21A9D">
              <w:rPr>
                <w:rFonts w:ascii="Calibri" w:hAnsi="Calibri"/>
                <w:color w:val="000000"/>
                <w:sz w:val="20"/>
                <w:szCs w:val="20"/>
              </w:rPr>
              <w:t>$393.9</w:t>
            </w:r>
          </w:p>
        </w:tc>
      </w:tr>
      <w:tr w:rsidR="00D21A9D" w:rsidRPr="00FC0DB2" w:rsidTr="006B442A">
        <w:trPr>
          <w:trHeight w:hRule="exact" w:val="288"/>
        </w:trPr>
        <w:tc>
          <w:tcPr>
            <w:tcW w:w="2354" w:type="dxa"/>
            <w:tcBorders>
              <w:top w:val="single" w:sz="8" w:space="0" w:color="448A99"/>
              <w:left w:val="single" w:sz="8" w:space="0" w:color="448A99"/>
              <w:bottom w:val="single" w:sz="8" w:space="0" w:color="448A99"/>
              <w:right w:val="nil"/>
            </w:tcBorders>
            <w:shd w:val="clear" w:color="auto" w:fill="auto"/>
            <w:vAlign w:val="center"/>
          </w:tcPr>
          <w:p w:rsidR="00D21A9D" w:rsidRDefault="00D21A9D" w:rsidP="006B442A">
            <w:pPr>
              <w:rPr>
                <w:rFonts w:ascii="Calibri" w:hAnsi="Calibri"/>
                <w:b/>
                <w:bCs/>
                <w:color w:val="000000"/>
                <w:sz w:val="20"/>
                <w:szCs w:val="20"/>
              </w:rPr>
            </w:pPr>
            <w:r>
              <w:rPr>
                <w:rFonts w:ascii="Calibri" w:hAnsi="Calibri"/>
                <w:b/>
                <w:bCs/>
                <w:color w:val="000000"/>
                <w:sz w:val="20"/>
                <w:szCs w:val="20"/>
              </w:rPr>
              <w:t xml:space="preserve">Program </w:t>
            </w:r>
          </w:p>
        </w:tc>
        <w:tc>
          <w:tcPr>
            <w:tcW w:w="1119" w:type="dxa"/>
            <w:tcBorders>
              <w:top w:val="single" w:sz="8" w:space="0" w:color="448A99"/>
              <w:left w:val="nil"/>
              <w:bottom w:val="single" w:sz="8" w:space="0" w:color="448A99"/>
              <w:right w:val="nil"/>
            </w:tcBorders>
            <w:shd w:val="clear" w:color="auto" w:fill="auto"/>
            <w:noWrap/>
            <w:vAlign w:val="center"/>
          </w:tcPr>
          <w:p w:rsidR="00D21A9D" w:rsidRPr="00D21A9D" w:rsidRDefault="00D21A9D">
            <w:pPr>
              <w:jc w:val="center"/>
              <w:rPr>
                <w:rFonts w:ascii="Calibri" w:hAnsi="Calibri"/>
                <w:b/>
                <w:bCs/>
                <w:color w:val="000000"/>
                <w:sz w:val="20"/>
                <w:szCs w:val="20"/>
              </w:rPr>
            </w:pPr>
            <w:r w:rsidRPr="00D21A9D">
              <w:rPr>
                <w:rFonts w:ascii="Calibri" w:hAnsi="Calibri"/>
                <w:b/>
                <w:bCs/>
                <w:color w:val="000000"/>
                <w:sz w:val="20"/>
                <w:szCs w:val="20"/>
              </w:rPr>
              <w:t>$210.0</w:t>
            </w:r>
          </w:p>
        </w:tc>
        <w:tc>
          <w:tcPr>
            <w:tcW w:w="1127" w:type="dxa"/>
            <w:tcBorders>
              <w:top w:val="single" w:sz="8" w:space="0" w:color="448A99"/>
              <w:left w:val="nil"/>
              <w:bottom w:val="single" w:sz="8" w:space="0" w:color="448A99"/>
              <w:right w:val="nil"/>
            </w:tcBorders>
            <w:shd w:val="clear" w:color="auto" w:fill="auto"/>
            <w:noWrap/>
            <w:vAlign w:val="center"/>
          </w:tcPr>
          <w:p w:rsidR="00D21A9D" w:rsidRPr="00D21A9D" w:rsidRDefault="00D21A9D">
            <w:pPr>
              <w:jc w:val="center"/>
              <w:rPr>
                <w:rFonts w:ascii="Calibri" w:hAnsi="Calibri"/>
                <w:b/>
                <w:bCs/>
                <w:color w:val="000000"/>
                <w:sz w:val="20"/>
                <w:szCs w:val="20"/>
              </w:rPr>
            </w:pPr>
            <w:r w:rsidRPr="00D21A9D">
              <w:rPr>
                <w:rFonts w:ascii="Calibri" w:hAnsi="Calibri"/>
                <w:b/>
                <w:bCs/>
                <w:color w:val="000000"/>
                <w:sz w:val="20"/>
                <w:szCs w:val="20"/>
              </w:rPr>
              <w:t>$220.0</w:t>
            </w:r>
          </w:p>
        </w:tc>
        <w:tc>
          <w:tcPr>
            <w:tcW w:w="1359" w:type="dxa"/>
            <w:tcBorders>
              <w:top w:val="single" w:sz="8" w:space="0" w:color="448A99"/>
              <w:left w:val="nil"/>
              <w:bottom w:val="single" w:sz="8" w:space="0" w:color="448A99"/>
              <w:right w:val="nil"/>
            </w:tcBorders>
            <w:shd w:val="clear" w:color="auto" w:fill="auto"/>
            <w:noWrap/>
            <w:vAlign w:val="center"/>
          </w:tcPr>
          <w:p w:rsidR="00D21A9D" w:rsidRPr="00D21A9D" w:rsidRDefault="00D21A9D">
            <w:pPr>
              <w:jc w:val="center"/>
              <w:rPr>
                <w:rFonts w:ascii="Calibri" w:hAnsi="Calibri"/>
                <w:b/>
                <w:bCs/>
                <w:color w:val="000000"/>
                <w:sz w:val="20"/>
                <w:szCs w:val="20"/>
              </w:rPr>
            </w:pPr>
            <w:r w:rsidRPr="00D21A9D">
              <w:rPr>
                <w:rFonts w:ascii="Calibri" w:hAnsi="Calibri"/>
                <w:b/>
                <w:bCs/>
                <w:color w:val="000000"/>
                <w:sz w:val="20"/>
                <w:szCs w:val="20"/>
              </w:rPr>
              <w:t>$229.4</w:t>
            </w:r>
          </w:p>
        </w:tc>
        <w:tc>
          <w:tcPr>
            <w:tcW w:w="1127" w:type="dxa"/>
            <w:tcBorders>
              <w:top w:val="single" w:sz="8" w:space="0" w:color="448A99"/>
              <w:left w:val="nil"/>
              <w:bottom w:val="single" w:sz="8" w:space="0" w:color="448A99"/>
              <w:right w:val="nil"/>
            </w:tcBorders>
            <w:shd w:val="clear" w:color="auto" w:fill="auto"/>
            <w:noWrap/>
            <w:vAlign w:val="center"/>
          </w:tcPr>
          <w:p w:rsidR="00D21A9D" w:rsidRPr="00D21A9D" w:rsidRDefault="00D21A9D">
            <w:pPr>
              <w:jc w:val="center"/>
              <w:rPr>
                <w:rFonts w:ascii="Calibri" w:hAnsi="Calibri"/>
                <w:b/>
                <w:bCs/>
                <w:color w:val="000000"/>
                <w:sz w:val="20"/>
                <w:szCs w:val="20"/>
              </w:rPr>
            </w:pPr>
            <w:r w:rsidRPr="00D21A9D">
              <w:rPr>
                <w:rFonts w:ascii="Calibri" w:hAnsi="Calibri"/>
                <w:b/>
                <w:bCs/>
                <w:color w:val="000000"/>
                <w:sz w:val="20"/>
                <w:szCs w:val="20"/>
              </w:rPr>
              <w:t>$239.1</w:t>
            </w:r>
          </w:p>
        </w:tc>
        <w:tc>
          <w:tcPr>
            <w:tcW w:w="1127" w:type="dxa"/>
            <w:tcBorders>
              <w:top w:val="single" w:sz="8" w:space="0" w:color="448A99"/>
              <w:left w:val="nil"/>
              <w:bottom w:val="single" w:sz="8" w:space="0" w:color="448A99"/>
              <w:right w:val="nil"/>
            </w:tcBorders>
            <w:shd w:val="clear" w:color="auto" w:fill="auto"/>
            <w:noWrap/>
            <w:vAlign w:val="center"/>
          </w:tcPr>
          <w:p w:rsidR="00D21A9D" w:rsidRPr="00D21A9D" w:rsidRDefault="00D21A9D">
            <w:pPr>
              <w:jc w:val="center"/>
              <w:rPr>
                <w:rFonts w:ascii="Calibri" w:hAnsi="Calibri"/>
                <w:b/>
                <w:bCs/>
                <w:color w:val="000000"/>
                <w:sz w:val="20"/>
                <w:szCs w:val="20"/>
              </w:rPr>
            </w:pPr>
            <w:r w:rsidRPr="00D21A9D">
              <w:rPr>
                <w:rFonts w:ascii="Calibri" w:hAnsi="Calibri"/>
                <w:b/>
                <w:bCs/>
                <w:color w:val="000000"/>
                <w:sz w:val="20"/>
                <w:szCs w:val="20"/>
              </w:rPr>
              <w:t>$230.7</w:t>
            </w:r>
          </w:p>
        </w:tc>
        <w:tc>
          <w:tcPr>
            <w:tcW w:w="1127" w:type="dxa"/>
            <w:tcBorders>
              <w:top w:val="single" w:sz="8" w:space="0" w:color="448A99"/>
              <w:left w:val="nil"/>
              <w:bottom w:val="single" w:sz="8" w:space="0" w:color="448A99"/>
              <w:right w:val="single" w:sz="8" w:space="0" w:color="448A99"/>
            </w:tcBorders>
            <w:shd w:val="clear" w:color="auto" w:fill="auto"/>
            <w:noWrap/>
            <w:vAlign w:val="center"/>
          </w:tcPr>
          <w:p w:rsidR="00D21A9D" w:rsidRPr="00D21A9D" w:rsidRDefault="00D21A9D">
            <w:pPr>
              <w:jc w:val="center"/>
              <w:rPr>
                <w:rFonts w:ascii="Calibri" w:hAnsi="Calibri"/>
                <w:b/>
                <w:bCs/>
                <w:color w:val="000000"/>
                <w:sz w:val="20"/>
                <w:szCs w:val="20"/>
              </w:rPr>
            </w:pPr>
            <w:r w:rsidRPr="00D21A9D">
              <w:rPr>
                <w:rFonts w:ascii="Calibri" w:hAnsi="Calibri"/>
                <w:b/>
                <w:bCs/>
                <w:color w:val="000000"/>
                <w:sz w:val="20"/>
                <w:szCs w:val="20"/>
              </w:rPr>
              <w:t>-</w:t>
            </w:r>
          </w:p>
        </w:tc>
      </w:tr>
      <w:tr w:rsidR="001220A9" w:rsidRPr="00FC0DB2" w:rsidTr="006B442A">
        <w:trPr>
          <w:trHeight w:val="144"/>
        </w:trPr>
        <w:tc>
          <w:tcPr>
            <w:tcW w:w="9340" w:type="dxa"/>
            <w:gridSpan w:val="7"/>
            <w:tcBorders>
              <w:top w:val="single" w:sz="8" w:space="0" w:color="448A99"/>
              <w:left w:val="single" w:sz="8" w:space="0" w:color="448A99"/>
              <w:bottom w:val="single" w:sz="8" w:space="0" w:color="448A99"/>
              <w:right w:val="single" w:sz="8" w:space="0" w:color="448A99"/>
            </w:tcBorders>
            <w:shd w:val="clear" w:color="auto" w:fill="448A9C"/>
            <w:vAlign w:val="center"/>
          </w:tcPr>
          <w:p w:rsidR="001220A9" w:rsidRPr="00D36FB6" w:rsidRDefault="001220A9" w:rsidP="006B442A">
            <w:pPr>
              <w:rPr>
                <w:bCs/>
                <w:color w:val="FFFFFF" w:themeColor="background1"/>
                <w:sz w:val="18"/>
                <w:szCs w:val="18"/>
              </w:rPr>
            </w:pPr>
            <w:r w:rsidRPr="00D36FB6">
              <w:rPr>
                <w:rFonts w:ascii="Calibri" w:eastAsia="Times New Roman" w:hAnsi="Calibri" w:cs="Times New Roman"/>
                <w:color w:val="FFFFFF" w:themeColor="background1"/>
                <w:sz w:val="18"/>
                <w:szCs w:val="18"/>
              </w:rPr>
              <w:t>*Program potential was only estimated for five years to be consistent with a Phase III of Act 129. Program potential in 2025 would be part of Phase IV of Act 129</w:t>
            </w:r>
          </w:p>
        </w:tc>
      </w:tr>
    </w:tbl>
    <w:p w:rsidR="001220A9" w:rsidRDefault="001220A9" w:rsidP="009357D6">
      <w:pPr>
        <w:jc w:val="both"/>
      </w:pPr>
    </w:p>
    <w:p w:rsidR="004E78ED" w:rsidRPr="004E78ED" w:rsidRDefault="004E78ED" w:rsidP="004E78ED">
      <w:pPr>
        <w:jc w:val="both"/>
        <w:rPr>
          <w:rFonts w:cs="Arial"/>
        </w:rPr>
      </w:pPr>
      <w:r w:rsidRPr="004E78ED">
        <w:rPr>
          <w:rFonts w:cs="Arial"/>
        </w:rPr>
        <w:t xml:space="preserve">The decision to allocate less than 100% of the available funding to energy efficiency means that the program potential estimates for energy efficiency are lowered by a proportional amount. </w:t>
      </w:r>
      <w:r>
        <w:rPr>
          <w:rFonts w:cs="Arial"/>
        </w:rPr>
        <w:fldChar w:fldCharType="begin"/>
      </w:r>
      <w:r>
        <w:rPr>
          <w:rFonts w:cs="Arial"/>
        </w:rPr>
        <w:instrText xml:space="preserve"> REF _Ref420587831 \h </w:instrText>
      </w:r>
      <w:r>
        <w:rPr>
          <w:rFonts w:cs="Arial"/>
        </w:rPr>
      </w:r>
      <w:r>
        <w:rPr>
          <w:rFonts w:cs="Arial"/>
        </w:rPr>
        <w:fldChar w:fldCharType="separate"/>
      </w:r>
      <w:r>
        <w:t xml:space="preserve">Table </w:t>
      </w:r>
      <w:r>
        <w:rPr>
          <w:noProof/>
        </w:rPr>
        <w:t>4</w:t>
      </w:r>
      <w:r>
        <w:noBreakHyphen/>
      </w:r>
      <w:r>
        <w:rPr>
          <w:noProof/>
        </w:rPr>
        <w:t>6</w:t>
      </w:r>
      <w:r>
        <w:rPr>
          <w:rFonts w:cs="Arial"/>
        </w:rPr>
        <w:fldChar w:fldCharType="end"/>
      </w:r>
      <w:r>
        <w:rPr>
          <w:rFonts w:cs="Arial"/>
        </w:rPr>
        <w:t xml:space="preserve"> </w:t>
      </w:r>
      <w:r w:rsidRPr="004E78ED">
        <w:rPr>
          <w:rFonts w:cs="Arial"/>
        </w:rPr>
        <w:t>presents estimates of the sum of 2016 – 2020 incremental annual program potential savings at these reduced EE budget amounts</w:t>
      </w:r>
      <w:r w:rsidRPr="004E78ED">
        <w:rPr>
          <w:rFonts w:cs="Arial"/>
          <w:vertAlign w:val="superscript"/>
        </w:rPr>
        <w:footnoteReference w:id="7"/>
      </w:r>
      <w:r w:rsidR="00BE0BFC">
        <w:rPr>
          <w:rFonts w:cs="Arial"/>
        </w:rPr>
        <w:t xml:space="preserve"> </w:t>
      </w:r>
      <w:r w:rsidR="00BE0BFC" w:rsidRPr="00BE0BFC">
        <w:rPr>
          <w:rFonts w:cs="Arial"/>
        </w:rPr>
        <w:t xml:space="preserve">(and is an update to Table </w:t>
      </w:r>
      <w:r w:rsidR="00BE0BFC">
        <w:rPr>
          <w:rFonts w:cs="Arial"/>
        </w:rPr>
        <w:t>6</w:t>
      </w:r>
      <w:r w:rsidR="00BB1D1E">
        <w:rPr>
          <w:rFonts w:cs="Arial"/>
        </w:rPr>
        <w:t xml:space="preserve"> from</w:t>
      </w:r>
      <w:r w:rsidR="00BE0BFC" w:rsidRPr="00BE0BFC">
        <w:rPr>
          <w:rFonts w:cs="Arial"/>
        </w:rPr>
        <w:t xml:space="preserve"> </w:t>
      </w:r>
      <w:r w:rsidR="00BB1D1E" w:rsidRPr="00BB1D1E">
        <w:rPr>
          <w:rFonts w:cs="Arial"/>
        </w:rPr>
        <w:t>the Addendum to the Tentative Implementation Order</w:t>
      </w:r>
      <w:r w:rsidR="00BB1D1E">
        <w:rPr>
          <w:rFonts w:cs="Arial"/>
        </w:rPr>
        <w:t>)</w:t>
      </w:r>
      <w:r w:rsidRPr="004E78ED">
        <w:rPr>
          <w:rFonts w:cs="Arial"/>
        </w:rPr>
        <w:t>.</w:t>
      </w:r>
    </w:p>
    <w:p w:rsidR="004E78ED" w:rsidRPr="004E78ED" w:rsidRDefault="004E78ED" w:rsidP="004E78ED">
      <w:pPr>
        <w:jc w:val="both"/>
        <w:rPr>
          <w:rFonts w:cs="Arial"/>
          <w:sz w:val="16"/>
          <w:szCs w:val="16"/>
        </w:rPr>
      </w:pPr>
    </w:p>
    <w:p w:rsidR="004E78ED" w:rsidRPr="004E78ED" w:rsidRDefault="004E78ED" w:rsidP="004E78ED">
      <w:pPr>
        <w:pStyle w:val="Caption"/>
      </w:pPr>
      <w:bookmarkStart w:id="15" w:name="_Ref420587831"/>
      <w:r>
        <w:t xml:space="preserve">Table </w:t>
      </w:r>
      <w:r w:rsidR="002F7913">
        <w:fldChar w:fldCharType="begin"/>
      </w:r>
      <w:r w:rsidR="002F7913">
        <w:instrText xml:space="preserve"> </w:instrText>
      </w:r>
      <w:r w:rsidR="002F7913">
        <w:instrText xml:space="preserve">STYLEREF 1 \s </w:instrText>
      </w:r>
      <w:r w:rsidR="002F7913">
        <w:fldChar w:fldCharType="separate"/>
      </w:r>
      <w:r w:rsidR="00BE0BFC">
        <w:rPr>
          <w:noProof/>
        </w:rPr>
        <w:t>4</w:t>
      </w:r>
      <w:r w:rsidR="002F7913">
        <w:rPr>
          <w:noProof/>
        </w:rPr>
        <w:fldChar w:fldCharType="end"/>
      </w:r>
      <w:r w:rsidR="00BE0BFC">
        <w:noBreakHyphen/>
      </w:r>
      <w:r w:rsidR="002F7913">
        <w:fldChar w:fldCharType="begin"/>
      </w:r>
      <w:r w:rsidR="002F7913">
        <w:instrText xml:space="preserve"> SEQ Table \* ARABIC \s 1 </w:instrText>
      </w:r>
      <w:r w:rsidR="002F7913">
        <w:fldChar w:fldCharType="separate"/>
      </w:r>
      <w:r w:rsidR="00BE0BFC">
        <w:rPr>
          <w:noProof/>
        </w:rPr>
        <w:t>6</w:t>
      </w:r>
      <w:r w:rsidR="002F7913">
        <w:rPr>
          <w:noProof/>
        </w:rPr>
        <w:fldChar w:fldCharType="end"/>
      </w:r>
      <w:bookmarkEnd w:id="15"/>
      <w:r w:rsidRPr="004E78ED">
        <w:t>: Modified Five-Year Energy Efficiency Program Potential Savings and Budget by EDC</w:t>
      </w:r>
    </w:p>
    <w:tbl>
      <w:tblPr>
        <w:tblW w:w="4944" w:type="pct"/>
        <w:tblInd w:w="108" w:type="dxa"/>
        <w:tblLook w:val="04A0" w:firstRow="1" w:lastRow="0" w:firstColumn="1" w:lastColumn="0" w:noHBand="0" w:noVBand="1"/>
      </w:tblPr>
      <w:tblGrid>
        <w:gridCol w:w="1435"/>
        <w:gridCol w:w="95"/>
        <w:gridCol w:w="1530"/>
        <w:gridCol w:w="2070"/>
        <w:gridCol w:w="2068"/>
        <w:gridCol w:w="2271"/>
      </w:tblGrid>
      <w:tr w:rsidR="004E78ED" w:rsidRPr="004E78ED" w:rsidTr="006B442A">
        <w:trPr>
          <w:trHeight w:val="20"/>
        </w:trPr>
        <w:tc>
          <w:tcPr>
            <w:tcW w:w="758" w:type="pct"/>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4E78ED" w:rsidRPr="004E78ED" w:rsidRDefault="004E78ED" w:rsidP="004E78ED">
            <w:pPr>
              <w:rPr>
                <w:rFonts w:ascii="Calibri" w:eastAsia="Times New Roman" w:hAnsi="Calibri" w:cs="Times New Roman"/>
                <w:b/>
                <w:bCs/>
                <w:color w:val="FFFFFF"/>
                <w:sz w:val="20"/>
                <w:szCs w:val="20"/>
              </w:rPr>
            </w:pPr>
            <w:r w:rsidRPr="004E78ED">
              <w:rPr>
                <w:rFonts w:ascii="Calibri" w:eastAsia="Times New Roman" w:hAnsi="Calibri" w:cs="Times New Roman"/>
                <w:b/>
                <w:bCs/>
                <w:color w:val="FFFFFF" w:themeColor="background1"/>
                <w:sz w:val="20"/>
                <w:szCs w:val="20"/>
              </w:rPr>
              <w:t> EDC</w:t>
            </w:r>
          </w:p>
        </w:tc>
        <w:tc>
          <w:tcPr>
            <w:tcW w:w="858" w:type="pct"/>
            <w:gridSpan w:val="2"/>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4E78ED" w:rsidRPr="004E78ED" w:rsidRDefault="004E78ED" w:rsidP="004E78ED">
            <w:pPr>
              <w:jc w:val="center"/>
              <w:rPr>
                <w:rFonts w:ascii="Calibri" w:eastAsia="Times New Roman" w:hAnsi="Calibri" w:cs="Times New Roman"/>
                <w:b/>
                <w:bCs/>
                <w:color w:val="FFFFFF"/>
                <w:sz w:val="20"/>
                <w:szCs w:val="20"/>
              </w:rPr>
            </w:pPr>
            <w:r w:rsidRPr="004E78ED">
              <w:rPr>
                <w:rFonts w:ascii="Calibri" w:eastAsia="Times New Roman" w:hAnsi="Calibri" w:cs="Times New Roman"/>
                <w:b/>
                <w:bCs/>
                <w:color w:val="FFFFFF"/>
                <w:sz w:val="20"/>
                <w:szCs w:val="20"/>
              </w:rPr>
              <w:t>Portfolio EE Spending Ceiling (Million $)</w:t>
            </w:r>
          </w:p>
        </w:tc>
        <w:tc>
          <w:tcPr>
            <w:tcW w:w="1093" w:type="pct"/>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4E78ED" w:rsidRPr="004E78ED" w:rsidRDefault="004E78ED" w:rsidP="004E78ED">
            <w:pPr>
              <w:jc w:val="center"/>
              <w:rPr>
                <w:rFonts w:ascii="Calibri" w:eastAsia="Times New Roman" w:hAnsi="Calibri" w:cs="Times New Roman"/>
                <w:b/>
                <w:bCs/>
                <w:color w:val="FFFFFF"/>
                <w:sz w:val="20"/>
                <w:szCs w:val="20"/>
              </w:rPr>
            </w:pPr>
            <w:r w:rsidRPr="004E78ED">
              <w:rPr>
                <w:rFonts w:ascii="Calibri" w:eastAsia="Times New Roman" w:hAnsi="Calibri" w:cs="Times New Roman"/>
                <w:b/>
                <w:bCs/>
                <w:color w:val="FFFFFF"/>
                <w:sz w:val="20"/>
                <w:szCs w:val="20"/>
              </w:rPr>
              <w:t>Program Acquisition Costs ($/1</w:t>
            </w:r>
            <w:r w:rsidRPr="004E78ED">
              <w:rPr>
                <w:rFonts w:ascii="Calibri" w:eastAsia="Times New Roman" w:hAnsi="Calibri" w:cs="Times New Roman"/>
                <w:b/>
                <w:bCs/>
                <w:color w:val="FFFFFF"/>
                <w:sz w:val="20"/>
                <w:szCs w:val="20"/>
                <w:vertAlign w:val="superscript"/>
              </w:rPr>
              <w:t>st</w:t>
            </w:r>
            <w:r w:rsidRPr="004E78ED">
              <w:rPr>
                <w:rFonts w:ascii="Calibri" w:eastAsia="Times New Roman" w:hAnsi="Calibri" w:cs="Times New Roman"/>
                <w:b/>
                <w:bCs/>
                <w:color w:val="FFFFFF"/>
                <w:sz w:val="20"/>
                <w:szCs w:val="20"/>
              </w:rPr>
              <w:t>-YR MWh Saved)</w:t>
            </w:r>
          </w:p>
        </w:tc>
        <w:tc>
          <w:tcPr>
            <w:tcW w:w="1092" w:type="pct"/>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4E78ED" w:rsidRPr="004E78ED" w:rsidRDefault="004E78ED" w:rsidP="004E78ED">
            <w:pPr>
              <w:jc w:val="center"/>
              <w:rPr>
                <w:rFonts w:ascii="Calibri" w:eastAsia="Times New Roman" w:hAnsi="Calibri" w:cs="Times New Roman"/>
                <w:b/>
                <w:bCs/>
                <w:color w:val="FFFFFF"/>
                <w:sz w:val="20"/>
                <w:szCs w:val="20"/>
              </w:rPr>
            </w:pPr>
            <w:r w:rsidRPr="004E78ED">
              <w:rPr>
                <w:rFonts w:ascii="Calibri" w:eastAsia="Times New Roman" w:hAnsi="Calibri" w:cs="Times New Roman"/>
                <w:b/>
                <w:bCs/>
                <w:color w:val="FFFFFF"/>
                <w:sz w:val="20"/>
                <w:szCs w:val="20"/>
              </w:rPr>
              <w:t>2016-2020 EE Potential Savings</w:t>
            </w:r>
            <w:r w:rsidRPr="004E78ED">
              <w:rPr>
                <w:rFonts w:ascii="Calibri" w:eastAsia="Times New Roman" w:hAnsi="Calibri" w:cs="Times New Roman"/>
                <w:b/>
                <w:bCs/>
                <w:color w:val="FFFFFF"/>
                <w:sz w:val="20"/>
                <w:szCs w:val="20"/>
                <w:vertAlign w:val="superscript"/>
              </w:rPr>
              <w:footnoteReference w:id="8"/>
            </w:r>
            <w:r w:rsidRPr="004E78ED">
              <w:rPr>
                <w:rFonts w:ascii="Calibri" w:eastAsia="Times New Roman" w:hAnsi="Calibri" w:cs="Times New Roman"/>
                <w:b/>
                <w:bCs/>
                <w:color w:val="FFFFFF"/>
                <w:sz w:val="20"/>
                <w:szCs w:val="20"/>
              </w:rPr>
              <w:t xml:space="preserve"> (MWh)</w:t>
            </w:r>
          </w:p>
        </w:tc>
        <w:tc>
          <w:tcPr>
            <w:tcW w:w="1199" w:type="pct"/>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4E78ED" w:rsidRPr="004E78ED" w:rsidRDefault="004E78ED" w:rsidP="004E78ED">
            <w:pPr>
              <w:jc w:val="center"/>
              <w:rPr>
                <w:rFonts w:ascii="Calibri" w:eastAsia="Times New Roman" w:hAnsi="Calibri" w:cs="Times New Roman"/>
                <w:b/>
                <w:bCs/>
                <w:color w:val="FFFFFF"/>
                <w:sz w:val="20"/>
                <w:szCs w:val="20"/>
              </w:rPr>
            </w:pPr>
            <w:r w:rsidRPr="004E78ED">
              <w:rPr>
                <w:rFonts w:ascii="Calibri" w:eastAsia="Times New Roman" w:hAnsi="Calibri" w:cs="Times New Roman"/>
                <w:b/>
                <w:bCs/>
                <w:color w:val="FFFFFF"/>
                <w:sz w:val="20"/>
                <w:szCs w:val="20"/>
              </w:rPr>
              <w:t>% of 2010 Forecast</w:t>
            </w:r>
          </w:p>
        </w:tc>
      </w:tr>
      <w:tr w:rsidR="004E78ED" w:rsidRPr="004E78ED" w:rsidTr="006B442A">
        <w:trPr>
          <w:trHeight w:val="20"/>
        </w:trPr>
        <w:tc>
          <w:tcPr>
            <w:tcW w:w="5000" w:type="pct"/>
            <w:gridSpan w:val="6"/>
            <w:tcBorders>
              <w:top w:val="single" w:sz="8" w:space="0" w:color="448A99"/>
              <w:left w:val="single" w:sz="8" w:space="0" w:color="448A99"/>
              <w:bottom w:val="single" w:sz="8" w:space="0" w:color="448A99"/>
              <w:right w:val="single" w:sz="8" w:space="0" w:color="4BACC6"/>
            </w:tcBorders>
            <w:shd w:val="clear" w:color="000000" w:fill="9C9393"/>
            <w:vAlign w:val="center"/>
            <w:hideMark/>
          </w:tcPr>
          <w:p w:rsidR="004E78ED" w:rsidRPr="004E78ED" w:rsidRDefault="004E78ED" w:rsidP="004E78ED">
            <w:pPr>
              <w:rPr>
                <w:rFonts w:ascii="Calibri" w:eastAsia="Times New Roman" w:hAnsi="Calibri" w:cs="Times New Roman"/>
                <w:b/>
                <w:bCs/>
                <w:color w:val="FFFFFF"/>
                <w:sz w:val="20"/>
                <w:szCs w:val="20"/>
              </w:rPr>
            </w:pPr>
            <w:r w:rsidRPr="004E78ED">
              <w:rPr>
                <w:rFonts w:ascii="Calibri" w:eastAsia="Times New Roman" w:hAnsi="Calibri" w:cs="Times New Roman"/>
                <w:b/>
                <w:bCs/>
                <w:color w:val="FFFFFF" w:themeColor="background1"/>
                <w:sz w:val="20"/>
                <w:szCs w:val="20"/>
              </w:rPr>
              <w:t>2016-2020 – Five-Year EE Program Potential</w:t>
            </w:r>
          </w:p>
        </w:tc>
      </w:tr>
      <w:tr w:rsidR="00F2010E" w:rsidRPr="004E78ED" w:rsidTr="00F2010E">
        <w:trPr>
          <w:trHeight w:val="20"/>
        </w:trPr>
        <w:tc>
          <w:tcPr>
            <w:tcW w:w="808" w:type="pct"/>
            <w:gridSpan w:val="2"/>
            <w:tcBorders>
              <w:top w:val="nil"/>
              <w:left w:val="single" w:sz="8" w:space="0" w:color="448A99"/>
              <w:bottom w:val="single" w:sz="8" w:space="0" w:color="448A99"/>
              <w:right w:val="single" w:sz="8" w:space="0" w:color="448A99"/>
            </w:tcBorders>
            <w:shd w:val="clear" w:color="auto" w:fill="auto"/>
            <w:vAlign w:val="center"/>
            <w:hideMark/>
          </w:tcPr>
          <w:p w:rsidR="00F2010E" w:rsidRPr="004E78ED" w:rsidRDefault="00F2010E" w:rsidP="004E78ED">
            <w:pPr>
              <w:rPr>
                <w:rFonts w:ascii="Calibri" w:eastAsia="Times New Roman" w:hAnsi="Calibri" w:cs="Times New Roman"/>
                <w:b/>
                <w:bCs/>
                <w:color w:val="000000"/>
                <w:sz w:val="20"/>
                <w:szCs w:val="20"/>
              </w:rPr>
            </w:pPr>
            <w:r w:rsidRPr="004E78ED">
              <w:rPr>
                <w:rFonts w:ascii="Calibri" w:eastAsia="Times New Roman" w:hAnsi="Calibri" w:cs="Times New Roman"/>
                <w:b/>
                <w:bCs/>
                <w:color w:val="000000"/>
                <w:sz w:val="20"/>
                <w:szCs w:val="20"/>
              </w:rPr>
              <w:t>Duquesne</w:t>
            </w:r>
          </w:p>
        </w:tc>
        <w:tc>
          <w:tcPr>
            <w:tcW w:w="808" w:type="pct"/>
            <w:tcBorders>
              <w:top w:val="nil"/>
              <w:left w:val="nil"/>
              <w:bottom w:val="single" w:sz="8" w:space="0" w:color="448A99"/>
              <w:right w:val="single" w:sz="8" w:space="0" w:color="448A99"/>
            </w:tcBorders>
            <w:shd w:val="clear" w:color="auto" w:fill="auto"/>
            <w:vAlign w:val="center"/>
          </w:tcPr>
          <w:p w:rsidR="00F2010E" w:rsidRDefault="00F2010E">
            <w:pPr>
              <w:jc w:val="center"/>
              <w:rPr>
                <w:rFonts w:ascii="Calibri" w:hAnsi="Calibri"/>
                <w:color w:val="000000"/>
                <w:sz w:val="20"/>
                <w:szCs w:val="20"/>
              </w:rPr>
            </w:pPr>
            <w:r>
              <w:rPr>
                <w:rFonts w:ascii="Calibri" w:hAnsi="Calibri"/>
                <w:color w:val="000000"/>
                <w:sz w:val="20"/>
                <w:szCs w:val="20"/>
              </w:rPr>
              <w:t xml:space="preserve">$88.0 </w:t>
            </w:r>
          </w:p>
        </w:tc>
        <w:tc>
          <w:tcPr>
            <w:tcW w:w="1093" w:type="pct"/>
            <w:tcBorders>
              <w:top w:val="nil"/>
              <w:left w:val="nil"/>
              <w:bottom w:val="single" w:sz="8" w:space="0" w:color="448A99"/>
              <w:right w:val="single" w:sz="8" w:space="0" w:color="448A99"/>
            </w:tcBorders>
            <w:shd w:val="clear" w:color="auto" w:fill="auto"/>
            <w:vAlign w:val="center"/>
          </w:tcPr>
          <w:p w:rsidR="00F2010E" w:rsidRDefault="00F2010E">
            <w:pPr>
              <w:jc w:val="center"/>
              <w:rPr>
                <w:rFonts w:ascii="Calibri" w:hAnsi="Calibri"/>
                <w:color w:val="000000"/>
                <w:sz w:val="20"/>
                <w:szCs w:val="20"/>
              </w:rPr>
            </w:pPr>
            <w:r>
              <w:rPr>
                <w:rFonts w:ascii="Calibri" w:hAnsi="Calibri"/>
                <w:color w:val="000000"/>
                <w:sz w:val="20"/>
                <w:szCs w:val="20"/>
              </w:rPr>
              <w:t>$199.5</w:t>
            </w:r>
          </w:p>
        </w:tc>
        <w:tc>
          <w:tcPr>
            <w:tcW w:w="1092" w:type="pct"/>
            <w:tcBorders>
              <w:top w:val="nil"/>
              <w:left w:val="nil"/>
              <w:bottom w:val="single" w:sz="8" w:space="0" w:color="448A99"/>
              <w:right w:val="single" w:sz="8" w:space="0" w:color="448A99"/>
            </w:tcBorders>
            <w:shd w:val="clear" w:color="auto" w:fill="auto"/>
            <w:vAlign w:val="center"/>
          </w:tcPr>
          <w:p w:rsidR="00F2010E" w:rsidRDefault="00F2010E">
            <w:pPr>
              <w:jc w:val="center"/>
              <w:rPr>
                <w:rFonts w:ascii="Calibri" w:hAnsi="Calibri"/>
                <w:color w:val="000000"/>
                <w:sz w:val="20"/>
                <w:szCs w:val="20"/>
              </w:rPr>
            </w:pPr>
            <w:r>
              <w:rPr>
                <w:rFonts w:ascii="Calibri" w:hAnsi="Calibri"/>
                <w:color w:val="000000"/>
                <w:sz w:val="20"/>
                <w:szCs w:val="20"/>
              </w:rPr>
              <w:t xml:space="preserve">440,916 </w:t>
            </w:r>
          </w:p>
        </w:tc>
        <w:tc>
          <w:tcPr>
            <w:tcW w:w="1199" w:type="pct"/>
            <w:tcBorders>
              <w:top w:val="nil"/>
              <w:left w:val="nil"/>
              <w:bottom w:val="single" w:sz="8" w:space="0" w:color="448A99"/>
              <w:right w:val="single" w:sz="8" w:space="0" w:color="448A99"/>
            </w:tcBorders>
            <w:shd w:val="clear" w:color="auto" w:fill="auto"/>
            <w:vAlign w:val="center"/>
          </w:tcPr>
          <w:p w:rsidR="00F2010E" w:rsidRDefault="00F2010E">
            <w:pPr>
              <w:jc w:val="center"/>
              <w:rPr>
                <w:rFonts w:ascii="Calibri" w:hAnsi="Calibri"/>
                <w:color w:val="000000"/>
                <w:sz w:val="20"/>
                <w:szCs w:val="20"/>
              </w:rPr>
            </w:pPr>
            <w:r>
              <w:rPr>
                <w:rFonts w:ascii="Calibri" w:hAnsi="Calibri"/>
                <w:color w:val="000000"/>
                <w:sz w:val="20"/>
                <w:szCs w:val="20"/>
              </w:rPr>
              <w:t>3.1%</w:t>
            </w:r>
          </w:p>
        </w:tc>
      </w:tr>
      <w:tr w:rsidR="00F2010E" w:rsidRPr="004E78ED" w:rsidTr="00F2010E">
        <w:trPr>
          <w:trHeight w:val="20"/>
        </w:trPr>
        <w:tc>
          <w:tcPr>
            <w:tcW w:w="808" w:type="pct"/>
            <w:gridSpan w:val="2"/>
            <w:tcBorders>
              <w:top w:val="nil"/>
              <w:left w:val="single" w:sz="8" w:space="0" w:color="4BACC6"/>
              <w:bottom w:val="single" w:sz="8" w:space="0" w:color="448A99"/>
              <w:right w:val="single" w:sz="8" w:space="0" w:color="448A99"/>
            </w:tcBorders>
            <w:shd w:val="clear" w:color="000000" w:fill="D2EAF1"/>
            <w:vAlign w:val="center"/>
            <w:hideMark/>
          </w:tcPr>
          <w:p w:rsidR="00F2010E" w:rsidRPr="004E78ED" w:rsidRDefault="00F2010E" w:rsidP="004E78ED">
            <w:pPr>
              <w:rPr>
                <w:rFonts w:ascii="Calibri" w:eastAsia="Times New Roman" w:hAnsi="Calibri" w:cs="Times New Roman"/>
                <w:b/>
                <w:bCs/>
                <w:color w:val="000000"/>
                <w:sz w:val="20"/>
                <w:szCs w:val="20"/>
              </w:rPr>
            </w:pPr>
            <w:r w:rsidRPr="004E78ED">
              <w:rPr>
                <w:rFonts w:ascii="Calibri" w:eastAsia="Times New Roman" w:hAnsi="Calibri" w:cs="Times New Roman"/>
                <w:b/>
                <w:bCs/>
                <w:color w:val="000000"/>
                <w:sz w:val="20"/>
                <w:szCs w:val="20"/>
              </w:rPr>
              <w:t>FE: Met-Ed</w:t>
            </w:r>
          </w:p>
        </w:tc>
        <w:tc>
          <w:tcPr>
            <w:tcW w:w="808" w:type="pct"/>
            <w:tcBorders>
              <w:top w:val="nil"/>
              <w:left w:val="nil"/>
              <w:bottom w:val="single" w:sz="8" w:space="0" w:color="448A99"/>
              <w:right w:val="single" w:sz="8" w:space="0" w:color="448A99"/>
            </w:tcBorders>
            <w:shd w:val="clear" w:color="000000" w:fill="D2EAF1"/>
            <w:vAlign w:val="center"/>
          </w:tcPr>
          <w:p w:rsidR="00F2010E" w:rsidRDefault="00F2010E">
            <w:pPr>
              <w:jc w:val="center"/>
              <w:rPr>
                <w:rFonts w:ascii="Calibri" w:hAnsi="Calibri"/>
                <w:color w:val="000000"/>
                <w:sz w:val="20"/>
                <w:szCs w:val="20"/>
              </w:rPr>
            </w:pPr>
            <w:r>
              <w:rPr>
                <w:rFonts w:ascii="Calibri" w:hAnsi="Calibri"/>
                <w:color w:val="000000"/>
                <w:sz w:val="20"/>
                <w:szCs w:val="20"/>
              </w:rPr>
              <w:t xml:space="preserve">$114.4 </w:t>
            </w:r>
          </w:p>
        </w:tc>
        <w:tc>
          <w:tcPr>
            <w:tcW w:w="1093" w:type="pct"/>
            <w:tcBorders>
              <w:top w:val="nil"/>
              <w:left w:val="nil"/>
              <w:bottom w:val="single" w:sz="8" w:space="0" w:color="448A99"/>
              <w:right w:val="single" w:sz="8" w:space="0" w:color="448A99"/>
            </w:tcBorders>
            <w:shd w:val="clear" w:color="000000" w:fill="D2EAF1"/>
            <w:vAlign w:val="center"/>
          </w:tcPr>
          <w:p w:rsidR="00F2010E" w:rsidRDefault="00F2010E">
            <w:pPr>
              <w:jc w:val="center"/>
              <w:rPr>
                <w:rFonts w:ascii="Calibri" w:hAnsi="Calibri"/>
                <w:color w:val="000000"/>
                <w:sz w:val="20"/>
                <w:szCs w:val="20"/>
              </w:rPr>
            </w:pPr>
            <w:r>
              <w:rPr>
                <w:rFonts w:ascii="Calibri" w:hAnsi="Calibri"/>
                <w:color w:val="000000"/>
                <w:sz w:val="20"/>
                <w:szCs w:val="20"/>
              </w:rPr>
              <w:t>$190.9</w:t>
            </w:r>
          </w:p>
        </w:tc>
        <w:tc>
          <w:tcPr>
            <w:tcW w:w="1092" w:type="pct"/>
            <w:tcBorders>
              <w:top w:val="nil"/>
              <w:left w:val="nil"/>
              <w:bottom w:val="single" w:sz="8" w:space="0" w:color="448A99"/>
              <w:right w:val="single" w:sz="8" w:space="0" w:color="448A99"/>
            </w:tcBorders>
            <w:shd w:val="clear" w:color="000000" w:fill="D2EAF1"/>
            <w:vAlign w:val="center"/>
          </w:tcPr>
          <w:p w:rsidR="00F2010E" w:rsidRDefault="00F2010E">
            <w:pPr>
              <w:jc w:val="center"/>
              <w:rPr>
                <w:rFonts w:ascii="Calibri" w:hAnsi="Calibri"/>
                <w:color w:val="000000"/>
                <w:sz w:val="20"/>
                <w:szCs w:val="20"/>
              </w:rPr>
            </w:pPr>
            <w:r>
              <w:rPr>
                <w:rFonts w:ascii="Calibri" w:hAnsi="Calibri"/>
                <w:color w:val="000000"/>
                <w:sz w:val="20"/>
                <w:szCs w:val="20"/>
              </w:rPr>
              <w:t xml:space="preserve">599,352 </w:t>
            </w:r>
          </w:p>
        </w:tc>
        <w:tc>
          <w:tcPr>
            <w:tcW w:w="1199" w:type="pct"/>
            <w:tcBorders>
              <w:top w:val="nil"/>
              <w:left w:val="nil"/>
              <w:bottom w:val="single" w:sz="8" w:space="0" w:color="448A99"/>
              <w:right w:val="single" w:sz="8" w:space="0" w:color="448A99"/>
            </w:tcBorders>
            <w:shd w:val="clear" w:color="000000" w:fill="D2EAF1"/>
            <w:vAlign w:val="center"/>
          </w:tcPr>
          <w:p w:rsidR="00F2010E" w:rsidRDefault="00F2010E">
            <w:pPr>
              <w:jc w:val="center"/>
              <w:rPr>
                <w:rFonts w:ascii="Calibri" w:hAnsi="Calibri"/>
                <w:color w:val="000000"/>
                <w:sz w:val="20"/>
                <w:szCs w:val="20"/>
              </w:rPr>
            </w:pPr>
            <w:r>
              <w:rPr>
                <w:rFonts w:ascii="Calibri" w:hAnsi="Calibri"/>
                <w:color w:val="000000"/>
                <w:sz w:val="20"/>
                <w:szCs w:val="20"/>
              </w:rPr>
              <w:t>4.0%</w:t>
            </w:r>
          </w:p>
        </w:tc>
      </w:tr>
      <w:tr w:rsidR="00F2010E" w:rsidRPr="004E78ED" w:rsidTr="00F2010E">
        <w:trPr>
          <w:trHeight w:val="20"/>
        </w:trPr>
        <w:tc>
          <w:tcPr>
            <w:tcW w:w="808" w:type="pct"/>
            <w:gridSpan w:val="2"/>
            <w:tcBorders>
              <w:top w:val="nil"/>
              <w:left w:val="single" w:sz="8" w:space="0" w:color="448A99"/>
              <w:bottom w:val="single" w:sz="8" w:space="0" w:color="448A99"/>
              <w:right w:val="single" w:sz="8" w:space="0" w:color="448A99"/>
            </w:tcBorders>
            <w:shd w:val="clear" w:color="auto" w:fill="auto"/>
            <w:vAlign w:val="center"/>
            <w:hideMark/>
          </w:tcPr>
          <w:p w:rsidR="00F2010E" w:rsidRPr="004E78ED" w:rsidRDefault="00F2010E" w:rsidP="004E78ED">
            <w:pPr>
              <w:rPr>
                <w:rFonts w:ascii="Calibri" w:eastAsia="Times New Roman" w:hAnsi="Calibri" w:cs="Times New Roman"/>
                <w:b/>
                <w:bCs/>
                <w:color w:val="000000"/>
                <w:sz w:val="20"/>
                <w:szCs w:val="20"/>
              </w:rPr>
            </w:pPr>
            <w:r w:rsidRPr="004E78ED">
              <w:rPr>
                <w:rFonts w:ascii="Calibri" w:eastAsia="Times New Roman" w:hAnsi="Calibri" w:cs="Times New Roman"/>
                <w:b/>
                <w:bCs/>
                <w:color w:val="000000"/>
                <w:sz w:val="20"/>
                <w:szCs w:val="20"/>
              </w:rPr>
              <w:t>FE: Penelec</w:t>
            </w:r>
          </w:p>
        </w:tc>
        <w:tc>
          <w:tcPr>
            <w:tcW w:w="808" w:type="pct"/>
            <w:tcBorders>
              <w:top w:val="nil"/>
              <w:left w:val="nil"/>
              <w:bottom w:val="single" w:sz="8" w:space="0" w:color="448A99"/>
              <w:right w:val="single" w:sz="8" w:space="0" w:color="448A99"/>
            </w:tcBorders>
            <w:shd w:val="clear" w:color="auto" w:fill="auto"/>
            <w:vAlign w:val="center"/>
          </w:tcPr>
          <w:p w:rsidR="00F2010E" w:rsidRDefault="00F2010E">
            <w:pPr>
              <w:jc w:val="center"/>
              <w:rPr>
                <w:rFonts w:ascii="Calibri" w:hAnsi="Calibri"/>
                <w:color w:val="000000"/>
                <w:sz w:val="20"/>
                <w:szCs w:val="20"/>
              </w:rPr>
            </w:pPr>
            <w:r>
              <w:rPr>
                <w:rFonts w:ascii="Calibri" w:hAnsi="Calibri"/>
                <w:color w:val="000000"/>
                <w:sz w:val="20"/>
                <w:szCs w:val="20"/>
              </w:rPr>
              <w:t xml:space="preserve">$114.9 </w:t>
            </w:r>
          </w:p>
        </w:tc>
        <w:tc>
          <w:tcPr>
            <w:tcW w:w="1093" w:type="pct"/>
            <w:tcBorders>
              <w:top w:val="nil"/>
              <w:left w:val="nil"/>
              <w:bottom w:val="single" w:sz="8" w:space="0" w:color="448A99"/>
              <w:right w:val="single" w:sz="8" w:space="0" w:color="448A99"/>
            </w:tcBorders>
            <w:shd w:val="clear" w:color="auto" w:fill="auto"/>
            <w:vAlign w:val="center"/>
          </w:tcPr>
          <w:p w:rsidR="00F2010E" w:rsidRDefault="00F2010E">
            <w:pPr>
              <w:jc w:val="center"/>
              <w:rPr>
                <w:rFonts w:ascii="Calibri" w:hAnsi="Calibri"/>
                <w:color w:val="000000"/>
                <w:sz w:val="20"/>
                <w:szCs w:val="20"/>
              </w:rPr>
            </w:pPr>
            <w:r>
              <w:rPr>
                <w:rFonts w:ascii="Calibri" w:hAnsi="Calibri"/>
                <w:color w:val="000000"/>
                <w:sz w:val="20"/>
                <w:szCs w:val="20"/>
              </w:rPr>
              <w:t>$202.9</w:t>
            </w:r>
          </w:p>
        </w:tc>
        <w:tc>
          <w:tcPr>
            <w:tcW w:w="1092" w:type="pct"/>
            <w:tcBorders>
              <w:top w:val="nil"/>
              <w:left w:val="nil"/>
              <w:bottom w:val="single" w:sz="8" w:space="0" w:color="448A99"/>
              <w:right w:val="single" w:sz="8" w:space="0" w:color="448A99"/>
            </w:tcBorders>
            <w:shd w:val="clear" w:color="auto" w:fill="auto"/>
            <w:vAlign w:val="center"/>
          </w:tcPr>
          <w:p w:rsidR="00F2010E" w:rsidRDefault="00F2010E">
            <w:pPr>
              <w:jc w:val="center"/>
              <w:rPr>
                <w:rFonts w:ascii="Calibri" w:hAnsi="Calibri"/>
                <w:color w:val="000000"/>
                <w:sz w:val="20"/>
                <w:szCs w:val="20"/>
              </w:rPr>
            </w:pPr>
            <w:r>
              <w:rPr>
                <w:rFonts w:ascii="Calibri" w:hAnsi="Calibri"/>
                <w:color w:val="000000"/>
                <w:sz w:val="20"/>
                <w:szCs w:val="20"/>
              </w:rPr>
              <w:t xml:space="preserve">566,168 </w:t>
            </w:r>
          </w:p>
        </w:tc>
        <w:tc>
          <w:tcPr>
            <w:tcW w:w="1199" w:type="pct"/>
            <w:tcBorders>
              <w:top w:val="nil"/>
              <w:left w:val="nil"/>
              <w:bottom w:val="single" w:sz="8" w:space="0" w:color="448A99"/>
              <w:right w:val="single" w:sz="8" w:space="0" w:color="448A99"/>
            </w:tcBorders>
            <w:shd w:val="clear" w:color="auto" w:fill="auto"/>
            <w:vAlign w:val="center"/>
          </w:tcPr>
          <w:p w:rsidR="00F2010E" w:rsidRDefault="00F2010E">
            <w:pPr>
              <w:jc w:val="center"/>
              <w:rPr>
                <w:rFonts w:ascii="Calibri" w:hAnsi="Calibri"/>
                <w:color w:val="000000"/>
                <w:sz w:val="20"/>
                <w:szCs w:val="20"/>
              </w:rPr>
            </w:pPr>
            <w:r>
              <w:rPr>
                <w:rFonts w:ascii="Calibri" w:hAnsi="Calibri"/>
                <w:color w:val="000000"/>
                <w:sz w:val="20"/>
                <w:szCs w:val="20"/>
              </w:rPr>
              <w:t>3.9%</w:t>
            </w:r>
          </w:p>
        </w:tc>
      </w:tr>
      <w:tr w:rsidR="00F2010E" w:rsidRPr="004E78ED" w:rsidTr="00F2010E">
        <w:trPr>
          <w:trHeight w:val="20"/>
        </w:trPr>
        <w:tc>
          <w:tcPr>
            <w:tcW w:w="808" w:type="pct"/>
            <w:gridSpan w:val="2"/>
            <w:tcBorders>
              <w:top w:val="nil"/>
              <w:left w:val="single" w:sz="8" w:space="0" w:color="4BACC6"/>
              <w:bottom w:val="single" w:sz="8" w:space="0" w:color="448A99"/>
              <w:right w:val="single" w:sz="8" w:space="0" w:color="448A99"/>
            </w:tcBorders>
            <w:shd w:val="clear" w:color="000000" w:fill="D2EAF1"/>
            <w:vAlign w:val="center"/>
            <w:hideMark/>
          </w:tcPr>
          <w:p w:rsidR="00F2010E" w:rsidRPr="004E78ED" w:rsidRDefault="00F2010E" w:rsidP="004E78ED">
            <w:pPr>
              <w:rPr>
                <w:rFonts w:ascii="Calibri" w:eastAsia="Times New Roman" w:hAnsi="Calibri" w:cs="Times New Roman"/>
                <w:b/>
                <w:bCs/>
                <w:color w:val="000000"/>
                <w:sz w:val="20"/>
                <w:szCs w:val="20"/>
              </w:rPr>
            </w:pPr>
            <w:r w:rsidRPr="004E78ED">
              <w:rPr>
                <w:rFonts w:ascii="Calibri" w:eastAsia="Times New Roman" w:hAnsi="Calibri" w:cs="Times New Roman"/>
                <w:b/>
                <w:bCs/>
                <w:color w:val="000000"/>
                <w:sz w:val="20"/>
                <w:szCs w:val="20"/>
              </w:rPr>
              <w:t>FE: Penn Power</w:t>
            </w:r>
          </w:p>
        </w:tc>
        <w:tc>
          <w:tcPr>
            <w:tcW w:w="808" w:type="pct"/>
            <w:tcBorders>
              <w:top w:val="nil"/>
              <w:left w:val="nil"/>
              <w:bottom w:val="single" w:sz="8" w:space="0" w:color="448A99"/>
              <w:right w:val="single" w:sz="8" w:space="0" w:color="448A99"/>
            </w:tcBorders>
            <w:shd w:val="clear" w:color="000000" w:fill="D2EAF1"/>
            <w:vAlign w:val="center"/>
          </w:tcPr>
          <w:p w:rsidR="00F2010E" w:rsidRDefault="00F2010E">
            <w:pPr>
              <w:jc w:val="center"/>
              <w:rPr>
                <w:rFonts w:ascii="Calibri" w:hAnsi="Calibri"/>
                <w:color w:val="000000"/>
                <w:sz w:val="20"/>
                <w:szCs w:val="20"/>
              </w:rPr>
            </w:pPr>
            <w:r>
              <w:rPr>
                <w:rFonts w:ascii="Calibri" w:hAnsi="Calibri"/>
                <w:color w:val="000000"/>
                <w:sz w:val="20"/>
                <w:szCs w:val="20"/>
              </w:rPr>
              <w:t xml:space="preserve">$30.0 </w:t>
            </w:r>
          </w:p>
        </w:tc>
        <w:tc>
          <w:tcPr>
            <w:tcW w:w="1093" w:type="pct"/>
            <w:tcBorders>
              <w:top w:val="nil"/>
              <w:left w:val="nil"/>
              <w:bottom w:val="single" w:sz="8" w:space="0" w:color="448A99"/>
              <w:right w:val="single" w:sz="8" w:space="0" w:color="448A99"/>
            </w:tcBorders>
            <w:shd w:val="clear" w:color="000000" w:fill="D2EAF1"/>
            <w:vAlign w:val="center"/>
          </w:tcPr>
          <w:p w:rsidR="00F2010E" w:rsidRDefault="00F2010E">
            <w:pPr>
              <w:jc w:val="center"/>
              <w:rPr>
                <w:rFonts w:ascii="Calibri" w:hAnsi="Calibri"/>
                <w:color w:val="000000"/>
                <w:sz w:val="20"/>
                <w:szCs w:val="20"/>
              </w:rPr>
            </w:pPr>
            <w:r>
              <w:rPr>
                <w:rFonts w:ascii="Calibri" w:hAnsi="Calibri"/>
                <w:color w:val="000000"/>
                <w:sz w:val="20"/>
                <w:szCs w:val="20"/>
              </w:rPr>
              <w:t>$190.4</w:t>
            </w:r>
          </w:p>
        </w:tc>
        <w:tc>
          <w:tcPr>
            <w:tcW w:w="1092" w:type="pct"/>
            <w:tcBorders>
              <w:top w:val="nil"/>
              <w:left w:val="nil"/>
              <w:bottom w:val="single" w:sz="8" w:space="0" w:color="448A99"/>
              <w:right w:val="single" w:sz="8" w:space="0" w:color="448A99"/>
            </w:tcBorders>
            <w:shd w:val="clear" w:color="000000" w:fill="D2EAF1"/>
            <w:vAlign w:val="center"/>
          </w:tcPr>
          <w:p w:rsidR="00F2010E" w:rsidRDefault="00F2010E">
            <w:pPr>
              <w:jc w:val="center"/>
              <w:rPr>
                <w:rFonts w:ascii="Calibri" w:hAnsi="Calibri"/>
                <w:color w:val="000000"/>
                <w:sz w:val="20"/>
                <w:szCs w:val="20"/>
              </w:rPr>
            </w:pPr>
            <w:r>
              <w:rPr>
                <w:rFonts w:ascii="Calibri" w:hAnsi="Calibri"/>
                <w:color w:val="000000"/>
                <w:sz w:val="20"/>
                <w:szCs w:val="20"/>
              </w:rPr>
              <w:t xml:space="preserve">157,371 </w:t>
            </w:r>
          </w:p>
        </w:tc>
        <w:tc>
          <w:tcPr>
            <w:tcW w:w="1199" w:type="pct"/>
            <w:tcBorders>
              <w:top w:val="nil"/>
              <w:left w:val="nil"/>
              <w:bottom w:val="single" w:sz="8" w:space="0" w:color="448A99"/>
              <w:right w:val="single" w:sz="8" w:space="0" w:color="448A99"/>
            </w:tcBorders>
            <w:shd w:val="clear" w:color="000000" w:fill="D2EAF1"/>
            <w:vAlign w:val="center"/>
          </w:tcPr>
          <w:p w:rsidR="00F2010E" w:rsidRDefault="00F2010E">
            <w:pPr>
              <w:jc w:val="center"/>
              <w:rPr>
                <w:rFonts w:ascii="Calibri" w:hAnsi="Calibri"/>
                <w:color w:val="000000"/>
                <w:sz w:val="20"/>
                <w:szCs w:val="20"/>
              </w:rPr>
            </w:pPr>
            <w:r>
              <w:rPr>
                <w:rFonts w:ascii="Calibri" w:hAnsi="Calibri"/>
                <w:color w:val="000000"/>
                <w:sz w:val="20"/>
                <w:szCs w:val="20"/>
              </w:rPr>
              <w:t>3.3%</w:t>
            </w:r>
          </w:p>
        </w:tc>
      </w:tr>
      <w:tr w:rsidR="00F2010E" w:rsidRPr="004E78ED" w:rsidTr="00F2010E">
        <w:trPr>
          <w:trHeight w:val="20"/>
        </w:trPr>
        <w:tc>
          <w:tcPr>
            <w:tcW w:w="808" w:type="pct"/>
            <w:gridSpan w:val="2"/>
            <w:tcBorders>
              <w:top w:val="nil"/>
              <w:left w:val="single" w:sz="8" w:space="0" w:color="448A99"/>
              <w:bottom w:val="single" w:sz="8" w:space="0" w:color="448A99"/>
              <w:right w:val="single" w:sz="8" w:space="0" w:color="448A99"/>
            </w:tcBorders>
            <w:shd w:val="clear" w:color="auto" w:fill="auto"/>
            <w:vAlign w:val="center"/>
            <w:hideMark/>
          </w:tcPr>
          <w:p w:rsidR="00F2010E" w:rsidRPr="004E78ED" w:rsidRDefault="00F2010E" w:rsidP="004E78ED">
            <w:pPr>
              <w:rPr>
                <w:rFonts w:ascii="Calibri" w:eastAsia="Times New Roman" w:hAnsi="Calibri" w:cs="Times New Roman"/>
                <w:b/>
                <w:bCs/>
                <w:color w:val="000000"/>
                <w:sz w:val="20"/>
                <w:szCs w:val="20"/>
              </w:rPr>
            </w:pPr>
            <w:r w:rsidRPr="004E78ED">
              <w:rPr>
                <w:rFonts w:ascii="Calibri" w:eastAsia="Times New Roman" w:hAnsi="Calibri" w:cs="Times New Roman"/>
                <w:b/>
                <w:bCs/>
                <w:color w:val="000000"/>
                <w:sz w:val="20"/>
                <w:szCs w:val="20"/>
              </w:rPr>
              <w:t>FE: WPP</w:t>
            </w:r>
          </w:p>
        </w:tc>
        <w:tc>
          <w:tcPr>
            <w:tcW w:w="808" w:type="pct"/>
            <w:tcBorders>
              <w:top w:val="nil"/>
              <w:left w:val="nil"/>
              <w:bottom w:val="single" w:sz="8" w:space="0" w:color="448A99"/>
              <w:right w:val="single" w:sz="8" w:space="0" w:color="448A99"/>
            </w:tcBorders>
            <w:shd w:val="clear" w:color="auto" w:fill="auto"/>
            <w:vAlign w:val="center"/>
          </w:tcPr>
          <w:p w:rsidR="00F2010E" w:rsidRDefault="00F2010E">
            <w:pPr>
              <w:jc w:val="center"/>
              <w:rPr>
                <w:rFonts w:ascii="Calibri" w:hAnsi="Calibri"/>
                <w:color w:val="000000"/>
                <w:sz w:val="20"/>
                <w:szCs w:val="20"/>
              </w:rPr>
            </w:pPr>
            <w:r>
              <w:rPr>
                <w:rFonts w:ascii="Calibri" w:hAnsi="Calibri"/>
                <w:color w:val="000000"/>
                <w:sz w:val="20"/>
                <w:szCs w:val="20"/>
              </w:rPr>
              <w:t xml:space="preserve">$106.0 </w:t>
            </w:r>
          </w:p>
        </w:tc>
        <w:tc>
          <w:tcPr>
            <w:tcW w:w="1093" w:type="pct"/>
            <w:tcBorders>
              <w:top w:val="nil"/>
              <w:left w:val="nil"/>
              <w:bottom w:val="single" w:sz="8" w:space="0" w:color="448A99"/>
              <w:right w:val="single" w:sz="8" w:space="0" w:color="448A99"/>
            </w:tcBorders>
            <w:shd w:val="clear" w:color="auto" w:fill="auto"/>
            <w:vAlign w:val="center"/>
          </w:tcPr>
          <w:p w:rsidR="00F2010E" w:rsidRDefault="00F2010E">
            <w:pPr>
              <w:jc w:val="center"/>
              <w:rPr>
                <w:rFonts w:ascii="Calibri" w:hAnsi="Calibri"/>
                <w:color w:val="000000"/>
                <w:sz w:val="20"/>
                <w:szCs w:val="20"/>
              </w:rPr>
            </w:pPr>
            <w:r>
              <w:rPr>
                <w:rFonts w:ascii="Calibri" w:hAnsi="Calibri"/>
                <w:color w:val="000000"/>
                <w:sz w:val="20"/>
                <w:szCs w:val="20"/>
              </w:rPr>
              <w:t>$196.0</w:t>
            </w:r>
          </w:p>
        </w:tc>
        <w:tc>
          <w:tcPr>
            <w:tcW w:w="1092" w:type="pct"/>
            <w:tcBorders>
              <w:top w:val="nil"/>
              <w:left w:val="nil"/>
              <w:bottom w:val="single" w:sz="8" w:space="0" w:color="448A99"/>
              <w:right w:val="single" w:sz="8" w:space="0" w:color="448A99"/>
            </w:tcBorders>
            <w:shd w:val="clear" w:color="auto" w:fill="auto"/>
            <w:vAlign w:val="center"/>
          </w:tcPr>
          <w:p w:rsidR="00F2010E" w:rsidRDefault="00F2010E">
            <w:pPr>
              <w:jc w:val="center"/>
              <w:rPr>
                <w:rFonts w:ascii="Calibri" w:hAnsi="Calibri"/>
                <w:color w:val="000000"/>
                <w:sz w:val="20"/>
                <w:szCs w:val="20"/>
              </w:rPr>
            </w:pPr>
            <w:r>
              <w:rPr>
                <w:rFonts w:ascii="Calibri" w:hAnsi="Calibri"/>
                <w:color w:val="000000"/>
                <w:sz w:val="20"/>
                <w:szCs w:val="20"/>
              </w:rPr>
              <w:t xml:space="preserve">540,986 </w:t>
            </w:r>
          </w:p>
        </w:tc>
        <w:tc>
          <w:tcPr>
            <w:tcW w:w="1199" w:type="pct"/>
            <w:tcBorders>
              <w:top w:val="nil"/>
              <w:left w:val="nil"/>
              <w:bottom w:val="single" w:sz="8" w:space="0" w:color="448A99"/>
              <w:right w:val="single" w:sz="8" w:space="0" w:color="448A99"/>
            </w:tcBorders>
            <w:shd w:val="clear" w:color="auto" w:fill="auto"/>
            <w:vAlign w:val="center"/>
          </w:tcPr>
          <w:p w:rsidR="00F2010E" w:rsidRDefault="00F2010E">
            <w:pPr>
              <w:jc w:val="center"/>
              <w:rPr>
                <w:rFonts w:ascii="Calibri" w:hAnsi="Calibri"/>
                <w:color w:val="000000"/>
                <w:sz w:val="20"/>
                <w:szCs w:val="20"/>
              </w:rPr>
            </w:pPr>
            <w:r>
              <w:rPr>
                <w:rFonts w:ascii="Calibri" w:hAnsi="Calibri"/>
                <w:color w:val="000000"/>
                <w:sz w:val="20"/>
                <w:szCs w:val="20"/>
              </w:rPr>
              <w:t>2.6%</w:t>
            </w:r>
          </w:p>
        </w:tc>
      </w:tr>
      <w:tr w:rsidR="00F2010E" w:rsidRPr="004E78ED" w:rsidTr="00F2010E">
        <w:trPr>
          <w:trHeight w:val="20"/>
        </w:trPr>
        <w:tc>
          <w:tcPr>
            <w:tcW w:w="808" w:type="pct"/>
            <w:gridSpan w:val="2"/>
            <w:tcBorders>
              <w:top w:val="nil"/>
              <w:left w:val="single" w:sz="8" w:space="0" w:color="4BACC6"/>
              <w:bottom w:val="single" w:sz="8" w:space="0" w:color="448A99"/>
              <w:right w:val="single" w:sz="8" w:space="0" w:color="448A99"/>
            </w:tcBorders>
            <w:shd w:val="clear" w:color="000000" w:fill="D2EAF1"/>
            <w:vAlign w:val="center"/>
            <w:hideMark/>
          </w:tcPr>
          <w:p w:rsidR="00F2010E" w:rsidRPr="004E78ED" w:rsidRDefault="00F2010E" w:rsidP="004E78ED">
            <w:pPr>
              <w:rPr>
                <w:rFonts w:ascii="Calibri" w:eastAsia="Times New Roman" w:hAnsi="Calibri" w:cs="Times New Roman"/>
                <w:b/>
                <w:bCs/>
                <w:color w:val="000000"/>
                <w:sz w:val="20"/>
                <w:szCs w:val="20"/>
              </w:rPr>
            </w:pPr>
            <w:r w:rsidRPr="004E78ED">
              <w:rPr>
                <w:rFonts w:ascii="Calibri" w:eastAsia="Times New Roman" w:hAnsi="Calibri" w:cs="Times New Roman"/>
                <w:b/>
                <w:bCs/>
                <w:color w:val="000000"/>
                <w:sz w:val="20"/>
                <w:szCs w:val="20"/>
              </w:rPr>
              <w:t>PECO</w:t>
            </w:r>
          </w:p>
        </w:tc>
        <w:tc>
          <w:tcPr>
            <w:tcW w:w="808" w:type="pct"/>
            <w:tcBorders>
              <w:top w:val="nil"/>
              <w:left w:val="nil"/>
              <w:bottom w:val="single" w:sz="8" w:space="0" w:color="448A99"/>
              <w:right w:val="single" w:sz="8" w:space="0" w:color="448A99"/>
            </w:tcBorders>
            <w:shd w:val="clear" w:color="000000" w:fill="D2EAF1"/>
            <w:vAlign w:val="center"/>
          </w:tcPr>
          <w:p w:rsidR="00F2010E" w:rsidRDefault="00F2010E">
            <w:pPr>
              <w:jc w:val="center"/>
              <w:rPr>
                <w:rFonts w:ascii="Calibri" w:hAnsi="Calibri"/>
                <w:color w:val="000000"/>
                <w:sz w:val="20"/>
                <w:szCs w:val="20"/>
              </w:rPr>
            </w:pPr>
            <w:r>
              <w:rPr>
                <w:rFonts w:ascii="Calibri" w:hAnsi="Calibri"/>
                <w:color w:val="000000"/>
                <w:sz w:val="20"/>
                <w:szCs w:val="20"/>
              </w:rPr>
              <w:t xml:space="preserve">$384.3 </w:t>
            </w:r>
          </w:p>
        </w:tc>
        <w:tc>
          <w:tcPr>
            <w:tcW w:w="1093" w:type="pct"/>
            <w:tcBorders>
              <w:top w:val="nil"/>
              <w:left w:val="nil"/>
              <w:bottom w:val="single" w:sz="8" w:space="0" w:color="448A99"/>
              <w:right w:val="single" w:sz="8" w:space="0" w:color="448A99"/>
            </w:tcBorders>
            <w:shd w:val="clear" w:color="000000" w:fill="D2EAF1"/>
            <w:vAlign w:val="center"/>
          </w:tcPr>
          <w:p w:rsidR="00F2010E" w:rsidRDefault="00F2010E">
            <w:pPr>
              <w:jc w:val="center"/>
              <w:rPr>
                <w:rFonts w:ascii="Calibri" w:hAnsi="Calibri"/>
                <w:color w:val="000000"/>
                <w:sz w:val="20"/>
                <w:szCs w:val="20"/>
              </w:rPr>
            </w:pPr>
            <w:r>
              <w:rPr>
                <w:rFonts w:ascii="Calibri" w:hAnsi="Calibri"/>
                <w:color w:val="000000"/>
                <w:sz w:val="20"/>
                <w:szCs w:val="20"/>
              </w:rPr>
              <w:t>$195.8</w:t>
            </w:r>
          </w:p>
        </w:tc>
        <w:tc>
          <w:tcPr>
            <w:tcW w:w="1092" w:type="pct"/>
            <w:tcBorders>
              <w:top w:val="nil"/>
              <w:left w:val="nil"/>
              <w:bottom w:val="single" w:sz="8" w:space="0" w:color="448A99"/>
              <w:right w:val="single" w:sz="8" w:space="0" w:color="448A99"/>
            </w:tcBorders>
            <w:shd w:val="clear" w:color="000000" w:fill="D2EAF1"/>
            <w:vAlign w:val="center"/>
          </w:tcPr>
          <w:p w:rsidR="00F2010E" w:rsidRDefault="00F2010E">
            <w:pPr>
              <w:jc w:val="center"/>
              <w:rPr>
                <w:rFonts w:ascii="Calibri" w:hAnsi="Calibri"/>
                <w:color w:val="000000"/>
                <w:sz w:val="20"/>
                <w:szCs w:val="20"/>
              </w:rPr>
            </w:pPr>
            <w:r>
              <w:rPr>
                <w:rFonts w:ascii="Calibri" w:hAnsi="Calibri"/>
                <w:color w:val="000000"/>
                <w:sz w:val="20"/>
                <w:szCs w:val="20"/>
              </w:rPr>
              <w:t xml:space="preserve">1,962,659 </w:t>
            </w:r>
          </w:p>
        </w:tc>
        <w:tc>
          <w:tcPr>
            <w:tcW w:w="1199" w:type="pct"/>
            <w:tcBorders>
              <w:top w:val="nil"/>
              <w:left w:val="nil"/>
              <w:bottom w:val="single" w:sz="8" w:space="0" w:color="448A99"/>
              <w:right w:val="single" w:sz="8" w:space="0" w:color="448A99"/>
            </w:tcBorders>
            <w:shd w:val="clear" w:color="000000" w:fill="D2EAF1"/>
            <w:vAlign w:val="center"/>
          </w:tcPr>
          <w:p w:rsidR="00F2010E" w:rsidRDefault="00F2010E">
            <w:pPr>
              <w:jc w:val="center"/>
              <w:rPr>
                <w:rFonts w:ascii="Calibri" w:hAnsi="Calibri"/>
                <w:color w:val="000000"/>
                <w:sz w:val="20"/>
                <w:szCs w:val="20"/>
              </w:rPr>
            </w:pPr>
            <w:r>
              <w:rPr>
                <w:rFonts w:ascii="Calibri" w:hAnsi="Calibri"/>
                <w:color w:val="000000"/>
                <w:sz w:val="20"/>
                <w:szCs w:val="20"/>
              </w:rPr>
              <w:t>5.0%</w:t>
            </w:r>
          </w:p>
        </w:tc>
      </w:tr>
      <w:tr w:rsidR="00F2010E" w:rsidRPr="004E78ED" w:rsidTr="00F2010E">
        <w:trPr>
          <w:trHeight w:val="20"/>
        </w:trPr>
        <w:tc>
          <w:tcPr>
            <w:tcW w:w="808" w:type="pct"/>
            <w:gridSpan w:val="2"/>
            <w:tcBorders>
              <w:top w:val="nil"/>
              <w:left w:val="single" w:sz="8" w:space="0" w:color="448A99"/>
              <w:bottom w:val="single" w:sz="8" w:space="0" w:color="448A99"/>
              <w:right w:val="single" w:sz="8" w:space="0" w:color="448A99"/>
            </w:tcBorders>
            <w:shd w:val="clear" w:color="auto" w:fill="auto"/>
            <w:vAlign w:val="center"/>
            <w:hideMark/>
          </w:tcPr>
          <w:p w:rsidR="00F2010E" w:rsidRPr="004E78ED" w:rsidRDefault="00F2010E" w:rsidP="004E78ED">
            <w:pPr>
              <w:rPr>
                <w:rFonts w:ascii="Calibri" w:eastAsia="Times New Roman" w:hAnsi="Calibri" w:cs="Times New Roman"/>
                <w:b/>
                <w:bCs/>
                <w:color w:val="000000"/>
                <w:sz w:val="20"/>
                <w:szCs w:val="20"/>
              </w:rPr>
            </w:pPr>
            <w:r w:rsidRPr="004E78ED">
              <w:rPr>
                <w:rFonts w:ascii="Calibri" w:eastAsia="Times New Roman" w:hAnsi="Calibri" w:cs="Times New Roman"/>
                <w:b/>
                <w:bCs/>
                <w:color w:val="000000"/>
                <w:sz w:val="20"/>
                <w:szCs w:val="20"/>
              </w:rPr>
              <w:t>PPL</w:t>
            </w:r>
          </w:p>
        </w:tc>
        <w:tc>
          <w:tcPr>
            <w:tcW w:w="808" w:type="pct"/>
            <w:tcBorders>
              <w:top w:val="nil"/>
              <w:left w:val="nil"/>
              <w:bottom w:val="single" w:sz="8" w:space="0" w:color="448A99"/>
              <w:right w:val="single" w:sz="8" w:space="0" w:color="448A99"/>
            </w:tcBorders>
            <w:shd w:val="clear" w:color="auto" w:fill="auto"/>
            <w:vAlign w:val="center"/>
          </w:tcPr>
          <w:p w:rsidR="00F2010E" w:rsidRDefault="00F2010E">
            <w:pPr>
              <w:jc w:val="center"/>
              <w:rPr>
                <w:rFonts w:ascii="Calibri" w:hAnsi="Calibri"/>
                <w:color w:val="000000"/>
                <w:sz w:val="20"/>
                <w:szCs w:val="20"/>
              </w:rPr>
            </w:pPr>
            <w:r>
              <w:rPr>
                <w:rFonts w:ascii="Calibri" w:hAnsi="Calibri"/>
                <w:color w:val="000000"/>
                <w:sz w:val="20"/>
                <w:szCs w:val="20"/>
              </w:rPr>
              <w:t xml:space="preserve">$292.1 </w:t>
            </w:r>
          </w:p>
        </w:tc>
        <w:tc>
          <w:tcPr>
            <w:tcW w:w="1093" w:type="pct"/>
            <w:tcBorders>
              <w:top w:val="nil"/>
              <w:left w:val="nil"/>
              <w:bottom w:val="single" w:sz="8" w:space="0" w:color="448A99"/>
              <w:right w:val="single" w:sz="8" w:space="0" w:color="448A99"/>
            </w:tcBorders>
            <w:shd w:val="clear" w:color="auto" w:fill="auto"/>
            <w:vAlign w:val="center"/>
          </w:tcPr>
          <w:p w:rsidR="00F2010E" w:rsidRDefault="00F2010E">
            <w:pPr>
              <w:jc w:val="center"/>
              <w:rPr>
                <w:rFonts w:ascii="Calibri" w:hAnsi="Calibri"/>
                <w:color w:val="000000"/>
                <w:sz w:val="20"/>
                <w:szCs w:val="20"/>
              </w:rPr>
            </w:pPr>
            <w:r>
              <w:rPr>
                <w:rFonts w:ascii="Calibri" w:hAnsi="Calibri"/>
                <w:color w:val="000000"/>
                <w:sz w:val="20"/>
                <w:szCs w:val="20"/>
              </w:rPr>
              <w:t>$202.4</w:t>
            </w:r>
          </w:p>
        </w:tc>
        <w:tc>
          <w:tcPr>
            <w:tcW w:w="1092" w:type="pct"/>
            <w:tcBorders>
              <w:top w:val="nil"/>
              <w:left w:val="nil"/>
              <w:bottom w:val="single" w:sz="8" w:space="0" w:color="448A99"/>
              <w:right w:val="single" w:sz="8" w:space="0" w:color="448A99"/>
            </w:tcBorders>
            <w:shd w:val="clear" w:color="auto" w:fill="auto"/>
            <w:vAlign w:val="center"/>
          </w:tcPr>
          <w:p w:rsidR="00F2010E" w:rsidRDefault="00F2010E">
            <w:pPr>
              <w:jc w:val="center"/>
              <w:rPr>
                <w:rFonts w:ascii="Calibri" w:hAnsi="Calibri"/>
                <w:color w:val="000000"/>
                <w:sz w:val="20"/>
                <w:szCs w:val="20"/>
              </w:rPr>
            </w:pPr>
            <w:r>
              <w:rPr>
                <w:rFonts w:ascii="Calibri" w:hAnsi="Calibri"/>
                <w:color w:val="000000"/>
                <w:sz w:val="20"/>
                <w:szCs w:val="20"/>
              </w:rPr>
              <w:t xml:space="preserve">1,443,035 </w:t>
            </w:r>
          </w:p>
        </w:tc>
        <w:tc>
          <w:tcPr>
            <w:tcW w:w="1199" w:type="pct"/>
            <w:tcBorders>
              <w:top w:val="nil"/>
              <w:left w:val="nil"/>
              <w:bottom w:val="single" w:sz="8" w:space="0" w:color="448A99"/>
              <w:right w:val="single" w:sz="8" w:space="0" w:color="448A99"/>
            </w:tcBorders>
            <w:shd w:val="clear" w:color="auto" w:fill="auto"/>
            <w:vAlign w:val="center"/>
          </w:tcPr>
          <w:p w:rsidR="00F2010E" w:rsidRDefault="00F2010E">
            <w:pPr>
              <w:jc w:val="center"/>
              <w:rPr>
                <w:rFonts w:ascii="Calibri" w:hAnsi="Calibri"/>
                <w:color w:val="000000"/>
                <w:sz w:val="20"/>
                <w:szCs w:val="20"/>
              </w:rPr>
            </w:pPr>
            <w:r>
              <w:rPr>
                <w:rFonts w:ascii="Calibri" w:hAnsi="Calibri"/>
                <w:color w:val="000000"/>
                <w:sz w:val="20"/>
                <w:szCs w:val="20"/>
              </w:rPr>
              <w:t>3.8%</w:t>
            </w:r>
          </w:p>
        </w:tc>
      </w:tr>
      <w:tr w:rsidR="00F2010E" w:rsidRPr="004E78ED" w:rsidTr="00F2010E">
        <w:trPr>
          <w:trHeight w:val="20"/>
        </w:trPr>
        <w:tc>
          <w:tcPr>
            <w:tcW w:w="808" w:type="pct"/>
            <w:gridSpan w:val="2"/>
            <w:tcBorders>
              <w:top w:val="nil"/>
              <w:left w:val="single" w:sz="8" w:space="0" w:color="4BACC6"/>
              <w:bottom w:val="single" w:sz="8" w:space="0" w:color="448A99"/>
              <w:right w:val="single" w:sz="8" w:space="0" w:color="448A99"/>
            </w:tcBorders>
            <w:shd w:val="clear" w:color="000000" w:fill="D2EAF1"/>
            <w:vAlign w:val="center"/>
            <w:hideMark/>
          </w:tcPr>
          <w:p w:rsidR="00F2010E" w:rsidRPr="004E78ED" w:rsidRDefault="00F2010E" w:rsidP="004E78ED">
            <w:pPr>
              <w:rPr>
                <w:rFonts w:ascii="Calibri" w:eastAsia="Times New Roman" w:hAnsi="Calibri" w:cs="Times New Roman"/>
                <w:b/>
                <w:bCs/>
                <w:color w:val="000000"/>
                <w:sz w:val="20"/>
                <w:szCs w:val="20"/>
              </w:rPr>
            </w:pPr>
            <w:r w:rsidRPr="004E78ED">
              <w:rPr>
                <w:rFonts w:ascii="Calibri" w:eastAsia="Times New Roman" w:hAnsi="Calibri" w:cs="Times New Roman"/>
                <w:b/>
                <w:bCs/>
                <w:color w:val="000000"/>
                <w:sz w:val="20"/>
                <w:szCs w:val="20"/>
              </w:rPr>
              <w:t>Statewide</w:t>
            </w:r>
          </w:p>
        </w:tc>
        <w:tc>
          <w:tcPr>
            <w:tcW w:w="808" w:type="pct"/>
            <w:tcBorders>
              <w:top w:val="nil"/>
              <w:left w:val="nil"/>
              <w:bottom w:val="single" w:sz="8" w:space="0" w:color="448A99"/>
              <w:right w:val="single" w:sz="8" w:space="0" w:color="448A99"/>
            </w:tcBorders>
            <w:shd w:val="clear" w:color="000000" w:fill="D2EAF1"/>
            <w:vAlign w:val="center"/>
          </w:tcPr>
          <w:p w:rsidR="00F2010E" w:rsidRDefault="00F2010E">
            <w:pPr>
              <w:jc w:val="center"/>
              <w:rPr>
                <w:rFonts w:ascii="Calibri" w:hAnsi="Calibri"/>
                <w:b/>
                <w:bCs/>
                <w:color w:val="000000"/>
                <w:sz w:val="20"/>
                <w:szCs w:val="20"/>
              </w:rPr>
            </w:pPr>
            <w:r>
              <w:rPr>
                <w:rFonts w:ascii="Calibri" w:hAnsi="Calibri"/>
                <w:b/>
                <w:bCs/>
                <w:color w:val="000000"/>
                <w:sz w:val="20"/>
                <w:szCs w:val="20"/>
              </w:rPr>
              <w:t xml:space="preserve">$1,129.6 </w:t>
            </w:r>
          </w:p>
        </w:tc>
        <w:tc>
          <w:tcPr>
            <w:tcW w:w="1093" w:type="pct"/>
            <w:tcBorders>
              <w:top w:val="nil"/>
              <w:left w:val="nil"/>
              <w:bottom w:val="single" w:sz="8" w:space="0" w:color="448A99"/>
              <w:right w:val="single" w:sz="8" w:space="0" w:color="448A99"/>
            </w:tcBorders>
            <w:shd w:val="clear" w:color="000000" w:fill="D2EAF1"/>
            <w:vAlign w:val="center"/>
          </w:tcPr>
          <w:p w:rsidR="00F2010E" w:rsidRDefault="00F2010E">
            <w:pPr>
              <w:jc w:val="center"/>
              <w:rPr>
                <w:rFonts w:ascii="Calibri" w:hAnsi="Calibri"/>
                <w:b/>
                <w:bCs/>
                <w:color w:val="000000"/>
                <w:sz w:val="20"/>
                <w:szCs w:val="20"/>
              </w:rPr>
            </w:pPr>
            <w:r>
              <w:rPr>
                <w:rFonts w:ascii="Calibri" w:hAnsi="Calibri"/>
                <w:b/>
                <w:bCs/>
                <w:color w:val="000000"/>
                <w:sz w:val="20"/>
                <w:szCs w:val="20"/>
              </w:rPr>
              <w:t>$197.8</w:t>
            </w:r>
          </w:p>
        </w:tc>
        <w:tc>
          <w:tcPr>
            <w:tcW w:w="1092" w:type="pct"/>
            <w:tcBorders>
              <w:top w:val="nil"/>
              <w:left w:val="nil"/>
              <w:bottom w:val="single" w:sz="8" w:space="0" w:color="448A99"/>
              <w:right w:val="single" w:sz="8" w:space="0" w:color="448A99"/>
            </w:tcBorders>
            <w:shd w:val="clear" w:color="000000" w:fill="D2EAF1"/>
            <w:vAlign w:val="center"/>
          </w:tcPr>
          <w:p w:rsidR="00F2010E" w:rsidRDefault="00F2010E">
            <w:pPr>
              <w:jc w:val="center"/>
              <w:rPr>
                <w:rFonts w:ascii="Calibri" w:hAnsi="Calibri"/>
                <w:b/>
                <w:bCs/>
                <w:color w:val="000000"/>
                <w:sz w:val="20"/>
                <w:szCs w:val="20"/>
              </w:rPr>
            </w:pPr>
            <w:r>
              <w:rPr>
                <w:rFonts w:ascii="Calibri" w:hAnsi="Calibri"/>
                <w:b/>
                <w:bCs/>
                <w:color w:val="000000"/>
                <w:sz w:val="20"/>
                <w:szCs w:val="20"/>
              </w:rPr>
              <w:t xml:space="preserve">5,710,488 </w:t>
            </w:r>
          </w:p>
        </w:tc>
        <w:tc>
          <w:tcPr>
            <w:tcW w:w="1199" w:type="pct"/>
            <w:tcBorders>
              <w:top w:val="nil"/>
              <w:left w:val="nil"/>
              <w:bottom w:val="single" w:sz="8" w:space="0" w:color="448A99"/>
              <w:right w:val="single" w:sz="8" w:space="0" w:color="448A99"/>
            </w:tcBorders>
            <w:shd w:val="clear" w:color="000000" w:fill="D2EAF1"/>
            <w:vAlign w:val="center"/>
          </w:tcPr>
          <w:p w:rsidR="00F2010E" w:rsidRDefault="00F2010E">
            <w:pPr>
              <w:jc w:val="center"/>
              <w:rPr>
                <w:rFonts w:ascii="Calibri" w:hAnsi="Calibri"/>
                <w:b/>
                <w:bCs/>
                <w:color w:val="000000"/>
                <w:sz w:val="20"/>
                <w:szCs w:val="20"/>
              </w:rPr>
            </w:pPr>
            <w:r>
              <w:rPr>
                <w:rFonts w:ascii="Calibri" w:hAnsi="Calibri"/>
                <w:b/>
                <w:bCs/>
                <w:color w:val="000000"/>
                <w:sz w:val="20"/>
                <w:szCs w:val="20"/>
              </w:rPr>
              <w:t>3.9%</w:t>
            </w:r>
          </w:p>
        </w:tc>
      </w:tr>
    </w:tbl>
    <w:p w:rsidR="004E78ED" w:rsidRPr="004E78ED" w:rsidRDefault="004E78ED" w:rsidP="004E78ED">
      <w:pPr>
        <w:spacing w:line="276" w:lineRule="auto"/>
        <w:rPr>
          <w:rFonts w:ascii="Arial" w:hAnsi="Arial" w:cs="Arial"/>
          <w:sz w:val="20"/>
          <w:szCs w:val="20"/>
        </w:rPr>
      </w:pPr>
    </w:p>
    <w:p w:rsidR="004E78ED" w:rsidRPr="004E78ED" w:rsidRDefault="004E78ED" w:rsidP="004E78ED">
      <w:pPr>
        <w:jc w:val="both"/>
      </w:pPr>
      <w:r w:rsidRPr="004E78ED">
        <w:fldChar w:fldCharType="begin"/>
      </w:r>
      <w:r w:rsidRPr="004E78ED">
        <w:instrText xml:space="preserve"> REF _Ref411522579 \h  \* MERGEFORMAT </w:instrText>
      </w:r>
      <w:r w:rsidRPr="004E78ED">
        <w:fldChar w:fldCharType="separate"/>
      </w:r>
      <w:r w:rsidRPr="004E78ED">
        <w:rPr>
          <w:bCs/>
        </w:rPr>
        <w:t xml:space="preserve">Table </w:t>
      </w:r>
      <w:r w:rsidRPr="004E78ED">
        <w:rPr>
          <w:bCs/>
          <w:noProof/>
        </w:rPr>
        <w:t>4</w:t>
      </w:r>
      <w:r w:rsidRPr="004E78ED">
        <w:rPr>
          <w:bCs/>
        </w:rPr>
        <w:noBreakHyphen/>
      </w:r>
      <w:r w:rsidRPr="004E78ED">
        <w:rPr>
          <w:bCs/>
          <w:noProof/>
        </w:rPr>
        <w:t>7</w:t>
      </w:r>
      <w:r w:rsidRPr="004E78ED">
        <w:fldChar w:fldCharType="end"/>
      </w:r>
      <w:r w:rsidRPr="004E78ED">
        <w:t xml:space="preserve"> presents modified DR program potential estimates based on the EDC-specific budget allocations shown in </w:t>
      </w:r>
      <w:r>
        <w:fldChar w:fldCharType="begin"/>
      </w:r>
      <w:r>
        <w:instrText xml:space="preserve"> REF _Ref420587114 \h </w:instrText>
      </w:r>
      <w:r>
        <w:fldChar w:fldCharType="separate"/>
      </w:r>
      <w:r w:rsidRPr="006C72DB">
        <w:t xml:space="preserve">Table </w:t>
      </w:r>
      <w:r>
        <w:rPr>
          <w:noProof/>
        </w:rPr>
        <w:t>4</w:t>
      </w:r>
      <w:r>
        <w:noBreakHyphen/>
      </w:r>
      <w:r>
        <w:rPr>
          <w:noProof/>
        </w:rPr>
        <w:t>4</w:t>
      </w:r>
      <w:r>
        <w:fldChar w:fldCharType="end"/>
      </w:r>
      <w:r w:rsidR="00BE0BFC">
        <w:t xml:space="preserve"> (and is an update to Table 7</w:t>
      </w:r>
      <w:r w:rsidR="00BB1D1E">
        <w:t xml:space="preserve"> from</w:t>
      </w:r>
      <w:r w:rsidR="00BE0BFC">
        <w:t xml:space="preserve"> </w:t>
      </w:r>
      <w:r w:rsidR="00BB1D1E" w:rsidRPr="00BB1D1E">
        <w:t>the Addendum to the Tentative Implementation Order</w:t>
      </w:r>
      <w:r w:rsidR="00BE0BFC">
        <w:t>)</w:t>
      </w:r>
      <w:r w:rsidRPr="004E78ED">
        <w:t xml:space="preserve">. </w:t>
      </w:r>
      <w:r w:rsidRPr="004E78ED">
        <w:fldChar w:fldCharType="begin"/>
      </w:r>
      <w:r w:rsidRPr="004E78ED">
        <w:instrText xml:space="preserve"> REF _Ref411522579 \h  \* MERGEFORMAT </w:instrText>
      </w:r>
      <w:r w:rsidRPr="004E78ED">
        <w:fldChar w:fldCharType="separate"/>
      </w:r>
      <w:r w:rsidRPr="004E78ED">
        <w:rPr>
          <w:bCs/>
        </w:rPr>
        <w:t xml:space="preserve">Table </w:t>
      </w:r>
      <w:r w:rsidRPr="004E78ED">
        <w:rPr>
          <w:bCs/>
          <w:noProof/>
        </w:rPr>
        <w:t>4</w:t>
      </w:r>
      <w:r w:rsidRPr="004E78ED">
        <w:rPr>
          <w:bCs/>
        </w:rPr>
        <w:noBreakHyphen/>
      </w:r>
      <w:r w:rsidRPr="004E78ED">
        <w:rPr>
          <w:bCs/>
          <w:noProof/>
        </w:rPr>
        <w:t>7</w:t>
      </w:r>
      <w:r w:rsidRPr="004E78ED">
        <w:fldChar w:fldCharType="end"/>
      </w:r>
      <w:r>
        <w:t xml:space="preserve"> </w:t>
      </w:r>
      <w:r w:rsidRPr="004E78ED">
        <w:t xml:space="preserve">also reflects the direction to assume no demand response events will be called during the summer of 2016. Dividing the available budget by four years instead of five years increases the average annual program potential estimates relative to what was presented in </w:t>
      </w:r>
      <w:r>
        <w:fldChar w:fldCharType="begin"/>
      </w:r>
      <w:r>
        <w:instrText xml:space="preserve"> REF _Ref420586037 \h </w:instrText>
      </w:r>
      <w:r>
        <w:fldChar w:fldCharType="separate"/>
      </w:r>
      <w:r>
        <w:t xml:space="preserve">Table </w:t>
      </w:r>
      <w:r>
        <w:rPr>
          <w:noProof/>
        </w:rPr>
        <w:t>4</w:t>
      </w:r>
      <w:r>
        <w:noBreakHyphen/>
      </w:r>
      <w:r>
        <w:rPr>
          <w:noProof/>
        </w:rPr>
        <w:t>3</w:t>
      </w:r>
      <w:r>
        <w:fldChar w:fldCharType="end"/>
      </w:r>
      <w:r w:rsidRPr="004E78ED">
        <w:t xml:space="preserve"> for those EDCs receiving a 10% DR spending allocation.</w:t>
      </w:r>
    </w:p>
    <w:p w:rsidR="004E78ED" w:rsidRPr="004E78ED" w:rsidRDefault="004E78ED" w:rsidP="004E78ED">
      <w:pPr>
        <w:jc w:val="both"/>
        <w:rPr>
          <w:sz w:val="16"/>
          <w:szCs w:val="16"/>
        </w:rPr>
      </w:pPr>
    </w:p>
    <w:p w:rsidR="004E78ED" w:rsidRPr="004E78ED" w:rsidRDefault="004E78ED" w:rsidP="004E78ED">
      <w:pPr>
        <w:keepNext/>
        <w:spacing w:after="120"/>
        <w:jc w:val="center"/>
        <w:rPr>
          <w:rFonts w:ascii="Century Gothic" w:hAnsi="Century Gothic"/>
          <w:b/>
          <w:bCs/>
          <w:sz w:val="18"/>
          <w:szCs w:val="18"/>
        </w:rPr>
      </w:pPr>
      <w:bookmarkStart w:id="16" w:name="_Ref411522579"/>
      <w:r w:rsidRPr="004E78ED">
        <w:rPr>
          <w:rFonts w:ascii="Century Gothic" w:hAnsi="Century Gothic"/>
          <w:b/>
          <w:bCs/>
          <w:sz w:val="18"/>
          <w:szCs w:val="18"/>
        </w:rPr>
        <w:t xml:space="preserve">Table </w:t>
      </w:r>
      <w:r w:rsidR="00BE0BFC">
        <w:rPr>
          <w:rFonts w:ascii="Century Gothic" w:hAnsi="Century Gothic"/>
          <w:b/>
          <w:bCs/>
          <w:sz w:val="18"/>
          <w:szCs w:val="18"/>
        </w:rPr>
        <w:fldChar w:fldCharType="begin"/>
      </w:r>
      <w:r w:rsidR="00BE0BFC">
        <w:rPr>
          <w:rFonts w:ascii="Century Gothic" w:hAnsi="Century Gothic"/>
          <w:b/>
          <w:bCs/>
          <w:sz w:val="18"/>
          <w:szCs w:val="18"/>
        </w:rPr>
        <w:instrText xml:space="preserve"> STYLEREF 1 \s </w:instrText>
      </w:r>
      <w:r w:rsidR="00BE0BFC">
        <w:rPr>
          <w:rFonts w:ascii="Century Gothic" w:hAnsi="Century Gothic"/>
          <w:b/>
          <w:bCs/>
          <w:sz w:val="18"/>
          <w:szCs w:val="18"/>
        </w:rPr>
        <w:fldChar w:fldCharType="separate"/>
      </w:r>
      <w:r w:rsidR="00BE0BFC">
        <w:rPr>
          <w:rFonts w:ascii="Century Gothic" w:hAnsi="Century Gothic"/>
          <w:b/>
          <w:bCs/>
          <w:noProof/>
          <w:sz w:val="18"/>
          <w:szCs w:val="18"/>
        </w:rPr>
        <w:t>4</w:t>
      </w:r>
      <w:r w:rsidR="00BE0BFC">
        <w:rPr>
          <w:rFonts w:ascii="Century Gothic" w:hAnsi="Century Gothic"/>
          <w:b/>
          <w:bCs/>
          <w:sz w:val="18"/>
          <w:szCs w:val="18"/>
        </w:rPr>
        <w:fldChar w:fldCharType="end"/>
      </w:r>
      <w:r w:rsidR="00BE0BFC">
        <w:rPr>
          <w:rFonts w:ascii="Century Gothic" w:hAnsi="Century Gothic"/>
          <w:b/>
          <w:bCs/>
          <w:sz w:val="18"/>
          <w:szCs w:val="18"/>
        </w:rPr>
        <w:noBreakHyphen/>
      </w:r>
      <w:r w:rsidR="00BE0BFC">
        <w:rPr>
          <w:rFonts w:ascii="Century Gothic" w:hAnsi="Century Gothic"/>
          <w:b/>
          <w:bCs/>
          <w:sz w:val="18"/>
          <w:szCs w:val="18"/>
        </w:rPr>
        <w:fldChar w:fldCharType="begin"/>
      </w:r>
      <w:r w:rsidR="00BE0BFC">
        <w:rPr>
          <w:rFonts w:ascii="Century Gothic" w:hAnsi="Century Gothic"/>
          <w:b/>
          <w:bCs/>
          <w:sz w:val="18"/>
          <w:szCs w:val="18"/>
        </w:rPr>
        <w:instrText xml:space="preserve"> SEQ Table \* ARABIC \s 1 </w:instrText>
      </w:r>
      <w:r w:rsidR="00BE0BFC">
        <w:rPr>
          <w:rFonts w:ascii="Century Gothic" w:hAnsi="Century Gothic"/>
          <w:b/>
          <w:bCs/>
          <w:sz w:val="18"/>
          <w:szCs w:val="18"/>
        </w:rPr>
        <w:fldChar w:fldCharType="separate"/>
      </w:r>
      <w:r w:rsidR="00BE0BFC">
        <w:rPr>
          <w:rFonts w:ascii="Century Gothic" w:hAnsi="Century Gothic"/>
          <w:b/>
          <w:bCs/>
          <w:noProof/>
          <w:sz w:val="18"/>
          <w:szCs w:val="18"/>
        </w:rPr>
        <w:t>7</w:t>
      </w:r>
      <w:r w:rsidR="00BE0BFC">
        <w:rPr>
          <w:rFonts w:ascii="Century Gothic" w:hAnsi="Century Gothic"/>
          <w:b/>
          <w:bCs/>
          <w:sz w:val="18"/>
          <w:szCs w:val="18"/>
        </w:rPr>
        <w:fldChar w:fldCharType="end"/>
      </w:r>
      <w:bookmarkEnd w:id="16"/>
      <w:r w:rsidRPr="004E78ED">
        <w:rPr>
          <w:rFonts w:ascii="Century Gothic" w:hAnsi="Century Gothic"/>
          <w:b/>
          <w:bCs/>
          <w:sz w:val="18"/>
          <w:szCs w:val="18"/>
        </w:rPr>
        <w:t>: Modified Phase III DR Program Potential – Net of Projected PJM Commitments</w:t>
      </w:r>
    </w:p>
    <w:tbl>
      <w:tblPr>
        <w:tblW w:w="9576" w:type="dxa"/>
        <w:jc w:val="center"/>
        <w:tblLook w:val="04A0" w:firstRow="1" w:lastRow="0" w:firstColumn="1" w:lastColumn="0" w:noHBand="0" w:noVBand="1"/>
      </w:tblPr>
      <w:tblGrid>
        <w:gridCol w:w="2178"/>
        <w:gridCol w:w="1980"/>
        <w:gridCol w:w="1953"/>
        <w:gridCol w:w="1557"/>
        <w:gridCol w:w="1908"/>
      </w:tblGrid>
      <w:tr w:rsidR="004E78ED" w:rsidRPr="004E78ED" w:rsidTr="006B442A">
        <w:trPr>
          <w:trHeight w:val="20"/>
          <w:tblHeader/>
          <w:jc w:val="center"/>
        </w:trPr>
        <w:tc>
          <w:tcPr>
            <w:tcW w:w="2178" w:type="dxa"/>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4E78ED" w:rsidRPr="004E78ED" w:rsidRDefault="004E78ED" w:rsidP="004E78ED">
            <w:pPr>
              <w:rPr>
                <w:rFonts w:ascii="Calibri" w:eastAsia="Times New Roman" w:hAnsi="Calibri" w:cs="Times New Roman"/>
                <w:b/>
                <w:bCs/>
                <w:color w:val="FFFFFF"/>
                <w:sz w:val="20"/>
                <w:szCs w:val="20"/>
              </w:rPr>
            </w:pPr>
            <w:r w:rsidRPr="004E78ED">
              <w:rPr>
                <w:rFonts w:ascii="Calibri" w:eastAsia="Times New Roman" w:hAnsi="Calibri" w:cs="Times New Roman"/>
                <w:b/>
                <w:bCs/>
                <w:color w:val="FFFFFF" w:themeColor="background1"/>
                <w:sz w:val="20"/>
                <w:szCs w:val="20"/>
              </w:rPr>
              <w:t>EDC</w:t>
            </w:r>
          </w:p>
        </w:tc>
        <w:tc>
          <w:tcPr>
            <w:tcW w:w="1980" w:type="dxa"/>
            <w:tcBorders>
              <w:top w:val="single" w:sz="8" w:space="0" w:color="448A99"/>
              <w:left w:val="single" w:sz="8" w:space="0" w:color="448A99"/>
              <w:bottom w:val="single" w:sz="8" w:space="0" w:color="448A99"/>
              <w:right w:val="single" w:sz="8" w:space="0" w:color="448A99"/>
            </w:tcBorders>
            <w:shd w:val="clear" w:color="000000" w:fill="448A99"/>
            <w:vAlign w:val="center"/>
          </w:tcPr>
          <w:p w:rsidR="004E78ED" w:rsidRPr="004E78ED" w:rsidRDefault="004E78ED" w:rsidP="004E78ED">
            <w:pPr>
              <w:jc w:val="center"/>
              <w:rPr>
                <w:rFonts w:ascii="Calibri" w:eastAsia="Times New Roman" w:hAnsi="Calibri" w:cs="Times New Roman"/>
                <w:b/>
                <w:bCs/>
                <w:color w:val="FFFFFF" w:themeColor="background1"/>
                <w:sz w:val="20"/>
                <w:szCs w:val="20"/>
              </w:rPr>
            </w:pPr>
            <w:r w:rsidRPr="004E78ED">
              <w:rPr>
                <w:rFonts w:ascii="Calibri" w:eastAsia="Times New Roman" w:hAnsi="Calibri" w:cs="Times New Roman"/>
                <w:b/>
                <w:bCs/>
                <w:color w:val="FFFFFF" w:themeColor="background1"/>
                <w:sz w:val="20"/>
                <w:szCs w:val="20"/>
              </w:rPr>
              <w:t>5-Year DR Spending Allocation (Million $)</w:t>
            </w:r>
          </w:p>
        </w:tc>
        <w:tc>
          <w:tcPr>
            <w:tcW w:w="1953" w:type="dxa"/>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4E78ED" w:rsidRPr="004E78ED" w:rsidRDefault="004E78ED" w:rsidP="004E78ED">
            <w:pPr>
              <w:jc w:val="center"/>
              <w:rPr>
                <w:rFonts w:ascii="Calibri" w:eastAsia="Times New Roman" w:hAnsi="Calibri" w:cs="Times New Roman"/>
                <w:b/>
                <w:bCs/>
                <w:color w:val="FFFFFF"/>
                <w:sz w:val="20"/>
                <w:szCs w:val="20"/>
              </w:rPr>
            </w:pPr>
            <w:r w:rsidRPr="004E78ED">
              <w:rPr>
                <w:rFonts w:ascii="Calibri" w:eastAsia="Times New Roman" w:hAnsi="Calibri" w:cs="Times New Roman"/>
                <w:b/>
                <w:bCs/>
                <w:color w:val="FFFFFF" w:themeColor="background1"/>
                <w:sz w:val="20"/>
                <w:szCs w:val="20"/>
              </w:rPr>
              <w:t>Program Acquisition Costs ($/MW/year)</w:t>
            </w:r>
          </w:p>
        </w:tc>
        <w:tc>
          <w:tcPr>
            <w:tcW w:w="1557" w:type="dxa"/>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4E78ED" w:rsidRPr="004E78ED" w:rsidRDefault="004E78ED" w:rsidP="004E78ED">
            <w:pPr>
              <w:jc w:val="center"/>
              <w:rPr>
                <w:rFonts w:ascii="Calibri" w:eastAsia="Times New Roman" w:hAnsi="Calibri" w:cs="Times New Roman"/>
                <w:b/>
                <w:bCs/>
                <w:color w:val="FFFFFF"/>
                <w:sz w:val="20"/>
                <w:szCs w:val="20"/>
              </w:rPr>
            </w:pPr>
            <w:r w:rsidRPr="004E78ED">
              <w:rPr>
                <w:rFonts w:ascii="Calibri" w:eastAsia="Times New Roman" w:hAnsi="Calibri" w:cs="Times New Roman"/>
                <w:b/>
                <w:bCs/>
                <w:color w:val="FFFFFF" w:themeColor="background1"/>
                <w:sz w:val="20"/>
                <w:szCs w:val="20"/>
              </w:rPr>
              <w:t>Average Annual Potential Savings (MW)</w:t>
            </w:r>
          </w:p>
        </w:tc>
        <w:tc>
          <w:tcPr>
            <w:tcW w:w="1908" w:type="dxa"/>
            <w:tcBorders>
              <w:top w:val="single" w:sz="8" w:space="0" w:color="448A99"/>
              <w:left w:val="single" w:sz="8" w:space="0" w:color="448A99"/>
              <w:bottom w:val="single" w:sz="8" w:space="0" w:color="448A99"/>
              <w:right w:val="single" w:sz="8" w:space="0" w:color="448A99"/>
            </w:tcBorders>
            <w:shd w:val="clear" w:color="000000" w:fill="448A99"/>
          </w:tcPr>
          <w:p w:rsidR="004E78ED" w:rsidRPr="004E78ED" w:rsidRDefault="004E78ED" w:rsidP="004E78ED">
            <w:pPr>
              <w:jc w:val="center"/>
              <w:rPr>
                <w:rFonts w:ascii="Calibri" w:eastAsia="Times New Roman" w:hAnsi="Calibri" w:cs="Times New Roman"/>
                <w:b/>
                <w:bCs/>
                <w:color w:val="FFFFFF" w:themeColor="background1"/>
                <w:sz w:val="20"/>
                <w:szCs w:val="20"/>
              </w:rPr>
            </w:pPr>
            <w:r w:rsidRPr="004E78ED">
              <w:rPr>
                <w:rFonts w:ascii="Calibri" w:eastAsia="Times New Roman" w:hAnsi="Calibri" w:cs="Times New Roman"/>
                <w:b/>
                <w:bCs/>
                <w:color w:val="FFFFFF" w:themeColor="background1"/>
                <w:sz w:val="20"/>
                <w:szCs w:val="20"/>
              </w:rPr>
              <w:t>% Reduction (Relative to 2007-2008 Peak Demand)</w:t>
            </w:r>
          </w:p>
        </w:tc>
      </w:tr>
      <w:tr w:rsidR="004E78ED" w:rsidRPr="004E78ED" w:rsidTr="006B442A">
        <w:trPr>
          <w:trHeight w:val="20"/>
          <w:jc w:val="center"/>
        </w:trPr>
        <w:tc>
          <w:tcPr>
            <w:tcW w:w="7668" w:type="dxa"/>
            <w:gridSpan w:val="4"/>
            <w:tcBorders>
              <w:top w:val="single" w:sz="8" w:space="0" w:color="448A99"/>
              <w:left w:val="single" w:sz="8" w:space="0" w:color="448A99"/>
              <w:bottom w:val="single" w:sz="8" w:space="0" w:color="448A99"/>
              <w:right w:val="single" w:sz="8" w:space="0" w:color="448A99"/>
            </w:tcBorders>
            <w:shd w:val="clear" w:color="auto" w:fill="808080" w:themeFill="background1" w:themeFillShade="80"/>
            <w:vAlign w:val="center"/>
          </w:tcPr>
          <w:p w:rsidR="004E78ED" w:rsidRPr="004E78ED" w:rsidRDefault="004E78ED" w:rsidP="004E78ED">
            <w:pPr>
              <w:jc w:val="center"/>
              <w:rPr>
                <w:rFonts w:ascii="Calibri" w:eastAsia="Times New Roman" w:hAnsi="Calibri" w:cs="Times New Roman"/>
                <w:b/>
                <w:color w:val="000000"/>
                <w:sz w:val="20"/>
                <w:szCs w:val="20"/>
              </w:rPr>
            </w:pPr>
            <w:r w:rsidRPr="004E78ED">
              <w:rPr>
                <w:rFonts w:ascii="Calibri" w:eastAsia="Times New Roman" w:hAnsi="Calibri" w:cs="Times New Roman"/>
                <w:b/>
                <w:color w:val="FFFFFF" w:themeColor="background1"/>
                <w:sz w:val="20"/>
                <w:szCs w:val="20"/>
              </w:rPr>
              <w:t>2016-2020 – 10% DR Spending Allocation Except Where Noted by Asterisk</w:t>
            </w:r>
          </w:p>
        </w:tc>
        <w:tc>
          <w:tcPr>
            <w:tcW w:w="1908" w:type="dxa"/>
            <w:tcBorders>
              <w:top w:val="single" w:sz="8" w:space="0" w:color="448A99"/>
              <w:left w:val="single" w:sz="8" w:space="0" w:color="448A99"/>
              <w:bottom w:val="single" w:sz="8" w:space="0" w:color="448A99"/>
              <w:right w:val="single" w:sz="8" w:space="0" w:color="448A99"/>
            </w:tcBorders>
            <w:shd w:val="clear" w:color="auto" w:fill="808080" w:themeFill="background1" w:themeFillShade="80"/>
          </w:tcPr>
          <w:p w:rsidR="004E78ED" w:rsidRPr="004E78ED" w:rsidRDefault="004E78ED" w:rsidP="004E78ED">
            <w:pPr>
              <w:jc w:val="center"/>
              <w:rPr>
                <w:rFonts w:ascii="Calibri" w:eastAsia="Times New Roman" w:hAnsi="Calibri" w:cs="Times New Roman"/>
                <w:b/>
                <w:color w:val="FFFFFF" w:themeColor="background1"/>
                <w:sz w:val="20"/>
                <w:szCs w:val="20"/>
              </w:rPr>
            </w:pPr>
          </w:p>
        </w:tc>
      </w:tr>
      <w:tr w:rsidR="00AF4B17" w:rsidRPr="004E78ED" w:rsidTr="00AF4B17">
        <w:trPr>
          <w:trHeight w:val="20"/>
          <w:jc w:val="center"/>
        </w:trPr>
        <w:tc>
          <w:tcPr>
            <w:tcW w:w="2178" w:type="dxa"/>
            <w:tcBorders>
              <w:top w:val="nil"/>
              <w:left w:val="single" w:sz="8" w:space="0" w:color="448A99"/>
              <w:bottom w:val="single" w:sz="8" w:space="0" w:color="448A99"/>
              <w:right w:val="single" w:sz="8" w:space="0" w:color="448A99"/>
            </w:tcBorders>
            <w:shd w:val="clear" w:color="000000" w:fill="D2EAF1"/>
            <w:vAlign w:val="center"/>
            <w:hideMark/>
          </w:tcPr>
          <w:p w:rsidR="00AF4B17" w:rsidRPr="004E78ED" w:rsidRDefault="00AF4B17" w:rsidP="004E78ED">
            <w:pPr>
              <w:rPr>
                <w:rFonts w:ascii="Calibri" w:eastAsia="Times New Roman" w:hAnsi="Calibri" w:cs="Times New Roman"/>
                <w:b/>
                <w:bCs/>
                <w:color w:val="000000"/>
                <w:sz w:val="20"/>
                <w:szCs w:val="20"/>
              </w:rPr>
            </w:pPr>
            <w:r w:rsidRPr="004E78ED">
              <w:rPr>
                <w:rFonts w:ascii="Calibri" w:eastAsia="Times New Roman" w:hAnsi="Calibri" w:cs="Times New Roman"/>
                <w:b/>
                <w:bCs/>
                <w:color w:val="000000"/>
                <w:sz w:val="20"/>
                <w:szCs w:val="20"/>
              </w:rPr>
              <w:t>Duquesne</w:t>
            </w:r>
          </w:p>
        </w:tc>
        <w:tc>
          <w:tcPr>
            <w:tcW w:w="1980" w:type="dxa"/>
            <w:tcBorders>
              <w:top w:val="nil"/>
              <w:left w:val="nil"/>
              <w:bottom w:val="single" w:sz="8" w:space="0" w:color="448A99"/>
              <w:right w:val="single" w:sz="8" w:space="0" w:color="448A99"/>
            </w:tcBorders>
            <w:shd w:val="clear" w:color="000000" w:fill="D2EAF1"/>
            <w:vAlign w:val="center"/>
          </w:tcPr>
          <w:p w:rsidR="00AF4B17" w:rsidRPr="00AF4B17" w:rsidRDefault="00AF4B17" w:rsidP="00AF4B17">
            <w:pPr>
              <w:jc w:val="center"/>
              <w:rPr>
                <w:rFonts w:ascii="Calibri" w:hAnsi="Calibri"/>
                <w:color w:val="000000"/>
                <w:sz w:val="20"/>
                <w:szCs w:val="20"/>
              </w:rPr>
            </w:pPr>
            <w:r w:rsidRPr="00AF4B17">
              <w:rPr>
                <w:color w:val="000000"/>
                <w:sz w:val="20"/>
                <w:szCs w:val="20"/>
              </w:rPr>
              <w:t>$9.77</w:t>
            </w:r>
          </w:p>
        </w:tc>
        <w:tc>
          <w:tcPr>
            <w:tcW w:w="1953" w:type="dxa"/>
            <w:tcBorders>
              <w:top w:val="nil"/>
              <w:left w:val="single" w:sz="8" w:space="0" w:color="448A99"/>
              <w:bottom w:val="single" w:sz="8" w:space="0" w:color="448A99"/>
              <w:right w:val="single" w:sz="8" w:space="0" w:color="448A99"/>
            </w:tcBorders>
            <w:shd w:val="clear" w:color="000000" w:fill="D2EAF1"/>
            <w:vAlign w:val="center"/>
          </w:tcPr>
          <w:p w:rsidR="00AF4B17" w:rsidRPr="00AF4B17" w:rsidRDefault="00AF4B17" w:rsidP="00AF4B17">
            <w:pPr>
              <w:jc w:val="center"/>
              <w:rPr>
                <w:rFonts w:ascii="Calibri" w:hAnsi="Calibri"/>
                <w:color w:val="000000"/>
                <w:sz w:val="20"/>
                <w:szCs w:val="20"/>
              </w:rPr>
            </w:pPr>
            <w:r w:rsidRPr="00AF4B17">
              <w:rPr>
                <w:color w:val="000000"/>
                <w:sz w:val="20"/>
                <w:szCs w:val="20"/>
              </w:rPr>
              <w:t>$57,976</w:t>
            </w:r>
          </w:p>
        </w:tc>
        <w:tc>
          <w:tcPr>
            <w:tcW w:w="1557" w:type="dxa"/>
            <w:tcBorders>
              <w:top w:val="nil"/>
              <w:left w:val="nil"/>
              <w:bottom w:val="single" w:sz="8" w:space="0" w:color="448A99"/>
              <w:right w:val="single" w:sz="8" w:space="0" w:color="448A99"/>
            </w:tcBorders>
            <w:shd w:val="clear" w:color="000000" w:fill="D2EAF1"/>
            <w:vAlign w:val="center"/>
          </w:tcPr>
          <w:p w:rsidR="00AF4B17" w:rsidRPr="00AF4B17" w:rsidRDefault="00AF4B17" w:rsidP="00AF4B17">
            <w:pPr>
              <w:jc w:val="center"/>
              <w:rPr>
                <w:rFonts w:ascii="Calibri" w:hAnsi="Calibri"/>
                <w:color w:val="000000"/>
                <w:sz w:val="20"/>
                <w:szCs w:val="20"/>
              </w:rPr>
            </w:pPr>
            <w:r w:rsidRPr="00AF4B17">
              <w:rPr>
                <w:color w:val="000000"/>
                <w:sz w:val="20"/>
                <w:szCs w:val="20"/>
              </w:rPr>
              <w:t>42</w:t>
            </w:r>
          </w:p>
        </w:tc>
        <w:tc>
          <w:tcPr>
            <w:tcW w:w="1908" w:type="dxa"/>
            <w:tcBorders>
              <w:top w:val="nil"/>
              <w:left w:val="nil"/>
              <w:bottom w:val="single" w:sz="8" w:space="0" w:color="448A99"/>
              <w:right w:val="single" w:sz="8" w:space="0" w:color="448A99"/>
            </w:tcBorders>
            <w:shd w:val="clear" w:color="000000" w:fill="D2EAF1"/>
            <w:vAlign w:val="center"/>
          </w:tcPr>
          <w:p w:rsidR="00AF4B17" w:rsidRPr="00AF4B17" w:rsidRDefault="00AF4B17" w:rsidP="00AF4B17">
            <w:pPr>
              <w:jc w:val="center"/>
              <w:rPr>
                <w:rFonts w:ascii="Calibri" w:hAnsi="Calibri"/>
                <w:color w:val="000000"/>
                <w:sz w:val="20"/>
                <w:szCs w:val="20"/>
              </w:rPr>
            </w:pPr>
            <w:r w:rsidRPr="00AF4B17">
              <w:rPr>
                <w:color w:val="000000"/>
                <w:sz w:val="20"/>
                <w:szCs w:val="20"/>
              </w:rPr>
              <w:t>1.7%</w:t>
            </w:r>
          </w:p>
        </w:tc>
      </w:tr>
      <w:tr w:rsidR="00AF4B17" w:rsidRPr="004E78ED" w:rsidTr="00AF4B17">
        <w:trPr>
          <w:trHeight w:val="20"/>
          <w:jc w:val="center"/>
        </w:trPr>
        <w:tc>
          <w:tcPr>
            <w:tcW w:w="2178" w:type="dxa"/>
            <w:tcBorders>
              <w:top w:val="nil"/>
              <w:left w:val="single" w:sz="8" w:space="0" w:color="4BACC6"/>
              <w:bottom w:val="single" w:sz="8" w:space="0" w:color="4BACC6"/>
              <w:right w:val="single" w:sz="8" w:space="0" w:color="448A99"/>
            </w:tcBorders>
            <w:shd w:val="clear" w:color="auto" w:fill="auto"/>
            <w:vAlign w:val="center"/>
            <w:hideMark/>
          </w:tcPr>
          <w:p w:rsidR="00AF4B17" w:rsidRPr="004E78ED" w:rsidRDefault="00AF4B17" w:rsidP="004E78ED">
            <w:pPr>
              <w:rPr>
                <w:rFonts w:ascii="Calibri" w:eastAsia="Times New Roman" w:hAnsi="Calibri" w:cs="Times New Roman"/>
                <w:b/>
                <w:bCs/>
                <w:color w:val="000000"/>
                <w:sz w:val="20"/>
                <w:szCs w:val="20"/>
              </w:rPr>
            </w:pPr>
            <w:r w:rsidRPr="004E78ED">
              <w:rPr>
                <w:rFonts w:ascii="Calibri" w:eastAsia="Times New Roman" w:hAnsi="Calibri" w:cs="Times New Roman"/>
                <w:b/>
                <w:bCs/>
                <w:color w:val="000000"/>
                <w:sz w:val="20"/>
                <w:szCs w:val="20"/>
              </w:rPr>
              <w:t>*FE: Met-Ed</w:t>
            </w:r>
          </w:p>
        </w:tc>
        <w:tc>
          <w:tcPr>
            <w:tcW w:w="1980" w:type="dxa"/>
            <w:tcBorders>
              <w:top w:val="nil"/>
              <w:left w:val="nil"/>
              <w:bottom w:val="single" w:sz="8" w:space="0" w:color="4BACC6"/>
              <w:right w:val="single" w:sz="8" w:space="0" w:color="448A99"/>
            </w:tcBorders>
            <w:vAlign w:val="center"/>
          </w:tcPr>
          <w:p w:rsidR="00AF4B17" w:rsidRPr="00AF4B17" w:rsidRDefault="00AF4B17" w:rsidP="00AF4B17">
            <w:pPr>
              <w:jc w:val="center"/>
              <w:rPr>
                <w:rFonts w:ascii="Calibri" w:hAnsi="Calibri"/>
                <w:color w:val="000000"/>
                <w:sz w:val="20"/>
                <w:szCs w:val="20"/>
              </w:rPr>
            </w:pPr>
            <w:r w:rsidRPr="00AF4B17">
              <w:rPr>
                <w:color w:val="000000"/>
                <w:sz w:val="20"/>
                <w:szCs w:val="20"/>
              </w:rPr>
              <w:t>$9.95</w:t>
            </w:r>
          </w:p>
        </w:tc>
        <w:tc>
          <w:tcPr>
            <w:tcW w:w="1953" w:type="dxa"/>
            <w:tcBorders>
              <w:top w:val="nil"/>
              <w:left w:val="single" w:sz="8" w:space="0" w:color="448A99"/>
              <w:bottom w:val="single" w:sz="8" w:space="0" w:color="4BACC6"/>
              <w:right w:val="single" w:sz="8" w:space="0" w:color="448A99"/>
            </w:tcBorders>
            <w:shd w:val="clear" w:color="auto" w:fill="auto"/>
            <w:vAlign w:val="center"/>
          </w:tcPr>
          <w:p w:rsidR="00AF4B17" w:rsidRPr="00AF4B17" w:rsidRDefault="00AF4B17" w:rsidP="00AF4B17">
            <w:pPr>
              <w:jc w:val="center"/>
              <w:rPr>
                <w:rFonts w:ascii="Calibri" w:hAnsi="Calibri"/>
                <w:color w:val="000000"/>
                <w:sz w:val="20"/>
                <w:szCs w:val="20"/>
              </w:rPr>
            </w:pPr>
            <w:r w:rsidRPr="00AF4B17">
              <w:rPr>
                <w:color w:val="000000"/>
                <w:sz w:val="20"/>
                <w:szCs w:val="20"/>
              </w:rPr>
              <w:t>$51,210</w:t>
            </w:r>
          </w:p>
        </w:tc>
        <w:tc>
          <w:tcPr>
            <w:tcW w:w="1557" w:type="dxa"/>
            <w:tcBorders>
              <w:top w:val="nil"/>
              <w:left w:val="nil"/>
              <w:bottom w:val="single" w:sz="8" w:space="0" w:color="448A99"/>
              <w:right w:val="single" w:sz="8" w:space="0" w:color="448A99"/>
            </w:tcBorders>
            <w:shd w:val="clear" w:color="auto" w:fill="auto"/>
            <w:vAlign w:val="center"/>
          </w:tcPr>
          <w:p w:rsidR="00AF4B17" w:rsidRPr="00AF4B17" w:rsidRDefault="00AF4B17" w:rsidP="00AF4B17">
            <w:pPr>
              <w:jc w:val="center"/>
              <w:rPr>
                <w:rFonts w:ascii="Calibri" w:hAnsi="Calibri"/>
                <w:color w:val="000000"/>
                <w:sz w:val="20"/>
                <w:szCs w:val="20"/>
              </w:rPr>
            </w:pPr>
            <w:r w:rsidRPr="00AF4B17">
              <w:rPr>
                <w:color w:val="000000"/>
                <w:sz w:val="20"/>
                <w:szCs w:val="20"/>
              </w:rPr>
              <w:t>49</w:t>
            </w:r>
          </w:p>
        </w:tc>
        <w:tc>
          <w:tcPr>
            <w:tcW w:w="1908" w:type="dxa"/>
            <w:tcBorders>
              <w:top w:val="nil"/>
              <w:left w:val="nil"/>
              <w:bottom w:val="single" w:sz="8" w:space="0" w:color="448A99"/>
              <w:right w:val="single" w:sz="8" w:space="0" w:color="448A99"/>
            </w:tcBorders>
            <w:vAlign w:val="center"/>
          </w:tcPr>
          <w:p w:rsidR="00AF4B17" w:rsidRPr="00AF4B17" w:rsidRDefault="00AF4B17" w:rsidP="00AF4B17">
            <w:pPr>
              <w:jc w:val="center"/>
              <w:rPr>
                <w:rFonts w:ascii="Calibri" w:hAnsi="Calibri"/>
                <w:color w:val="000000"/>
                <w:sz w:val="20"/>
                <w:szCs w:val="20"/>
              </w:rPr>
            </w:pPr>
            <w:r w:rsidRPr="00AF4B17">
              <w:rPr>
                <w:color w:val="000000"/>
                <w:sz w:val="20"/>
                <w:szCs w:val="20"/>
              </w:rPr>
              <w:t>1.8%</w:t>
            </w:r>
          </w:p>
        </w:tc>
      </w:tr>
      <w:tr w:rsidR="00AF4B17" w:rsidRPr="004E78ED" w:rsidTr="00AF4B17">
        <w:trPr>
          <w:trHeight w:val="20"/>
          <w:jc w:val="center"/>
        </w:trPr>
        <w:tc>
          <w:tcPr>
            <w:tcW w:w="2178" w:type="dxa"/>
            <w:tcBorders>
              <w:top w:val="nil"/>
              <w:left w:val="single" w:sz="8" w:space="0" w:color="448A99"/>
              <w:bottom w:val="single" w:sz="8" w:space="0" w:color="448A99"/>
              <w:right w:val="single" w:sz="8" w:space="0" w:color="448A99"/>
            </w:tcBorders>
            <w:shd w:val="clear" w:color="000000" w:fill="D2EAF1"/>
            <w:vAlign w:val="center"/>
            <w:hideMark/>
          </w:tcPr>
          <w:p w:rsidR="00AF4B17" w:rsidRPr="004E78ED" w:rsidRDefault="00AF4B17" w:rsidP="004E78ED">
            <w:pPr>
              <w:rPr>
                <w:rFonts w:ascii="Calibri" w:eastAsia="Times New Roman" w:hAnsi="Calibri" w:cs="Times New Roman"/>
                <w:b/>
                <w:bCs/>
                <w:color w:val="000000"/>
                <w:sz w:val="20"/>
                <w:szCs w:val="20"/>
              </w:rPr>
            </w:pPr>
            <w:r w:rsidRPr="004E78ED">
              <w:rPr>
                <w:rFonts w:ascii="Calibri" w:eastAsia="Times New Roman" w:hAnsi="Calibri" w:cs="Times New Roman"/>
                <w:b/>
                <w:bCs/>
                <w:color w:val="000000"/>
                <w:sz w:val="20"/>
                <w:szCs w:val="20"/>
              </w:rPr>
              <w:t>*FE: Penelec</w:t>
            </w:r>
          </w:p>
        </w:tc>
        <w:tc>
          <w:tcPr>
            <w:tcW w:w="1980" w:type="dxa"/>
            <w:tcBorders>
              <w:top w:val="nil"/>
              <w:left w:val="nil"/>
              <w:bottom w:val="single" w:sz="8" w:space="0" w:color="448A99"/>
              <w:right w:val="single" w:sz="8" w:space="0" w:color="448A99"/>
            </w:tcBorders>
            <w:shd w:val="clear" w:color="000000" w:fill="D2EAF1"/>
            <w:vAlign w:val="center"/>
          </w:tcPr>
          <w:p w:rsidR="00AF4B17" w:rsidRPr="00AF4B17" w:rsidRDefault="00AF4B17" w:rsidP="00AF4B17">
            <w:pPr>
              <w:jc w:val="center"/>
              <w:rPr>
                <w:rFonts w:ascii="Calibri" w:hAnsi="Calibri"/>
                <w:color w:val="000000"/>
                <w:sz w:val="20"/>
                <w:szCs w:val="20"/>
              </w:rPr>
            </w:pPr>
            <w:r w:rsidRPr="00AF4B17">
              <w:rPr>
                <w:color w:val="000000"/>
                <w:sz w:val="20"/>
                <w:szCs w:val="20"/>
              </w:rPr>
              <w:t>$0.00</w:t>
            </w:r>
          </w:p>
        </w:tc>
        <w:tc>
          <w:tcPr>
            <w:tcW w:w="1953" w:type="dxa"/>
            <w:tcBorders>
              <w:top w:val="nil"/>
              <w:left w:val="single" w:sz="8" w:space="0" w:color="448A99"/>
              <w:bottom w:val="single" w:sz="8" w:space="0" w:color="448A99"/>
              <w:right w:val="single" w:sz="8" w:space="0" w:color="448A99"/>
            </w:tcBorders>
            <w:shd w:val="clear" w:color="000000" w:fill="D2EAF1"/>
            <w:vAlign w:val="center"/>
          </w:tcPr>
          <w:p w:rsidR="00AF4B17" w:rsidRPr="00AF4B17" w:rsidRDefault="00AF4B17" w:rsidP="00AF4B17">
            <w:pPr>
              <w:jc w:val="center"/>
              <w:rPr>
                <w:rFonts w:ascii="Calibri" w:hAnsi="Calibri"/>
                <w:color w:val="000000"/>
                <w:sz w:val="20"/>
                <w:szCs w:val="20"/>
              </w:rPr>
            </w:pPr>
            <w:r w:rsidRPr="00AF4B17">
              <w:rPr>
                <w:color w:val="000000"/>
                <w:sz w:val="20"/>
                <w:szCs w:val="20"/>
              </w:rPr>
              <w:t>$50,782</w:t>
            </w:r>
          </w:p>
        </w:tc>
        <w:tc>
          <w:tcPr>
            <w:tcW w:w="1557" w:type="dxa"/>
            <w:tcBorders>
              <w:top w:val="nil"/>
              <w:left w:val="nil"/>
              <w:bottom w:val="single" w:sz="8" w:space="0" w:color="448A99"/>
              <w:right w:val="single" w:sz="8" w:space="0" w:color="448A99"/>
            </w:tcBorders>
            <w:shd w:val="clear" w:color="000000" w:fill="D2EAF1"/>
            <w:vAlign w:val="center"/>
          </w:tcPr>
          <w:p w:rsidR="00AF4B17" w:rsidRPr="00AF4B17" w:rsidRDefault="00AF4B17" w:rsidP="00AF4B17">
            <w:pPr>
              <w:jc w:val="center"/>
              <w:rPr>
                <w:rFonts w:ascii="Calibri" w:hAnsi="Calibri"/>
                <w:color w:val="000000"/>
                <w:sz w:val="20"/>
                <w:szCs w:val="20"/>
              </w:rPr>
            </w:pPr>
            <w:r w:rsidRPr="00AF4B17">
              <w:rPr>
                <w:color w:val="000000"/>
                <w:sz w:val="20"/>
                <w:szCs w:val="20"/>
              </w:rPr>
              <w:t>0</w:t>
            </w:r>
          </w:p>
        </w:tc>
        <w:tc>
          <w:tcPr>
            <w:tcW w:w="1908" w:type="dxa"/>
            <w:tcBorders>
              <w:top w:val="nil"/>
              <w:left w:val="nil"/>
              <w:bottom w:val="single" w:sz="8" w:space="0" w:color="448A99"/>
              <w:right w:val="single" w:sz="8" w:space="0" w:color="448A99"/>
            </w:tcBorders>
            <w:shd w:val="clear" w:color="000000" w:fill="D2EAF1"/>
            <w:vAlign w:val="center"/>
          </w:tcPr>
          <w:p w:rsidR="00AF4B17" w:rsidRPr="00AF4B17" w:rsidRDefault="00AF4B17" w:rsidP="00AF4B17">
            <w:pPr>
              <w:jc w:val="center"/>
              <w:rPr>
                <w:rFonts w:ascii="Calibri" w:hAnsi="Calibri"/>
                <w:color w:val="000000"/>
                <w:sz w:val="20"/>
                <w:szCs w:val="20"/>
              </w:rPr>
            </w:pPr>
            <w:r w:rsidRPr="00AF4B17">
              <w:rPr>
                <w:color w:val="000000"/>
                <w:sz w:val="20"/>
                <w:szCs w:val="20"/>
              </w:rPr>
              <w:t>0.0%</w:t>
            </w:r>
          </w:p>
        </w:tc>
      </w:tr>
      <w:tr w:rsidR="00AF4B17" w:rsidRPr="004E78ED" w:rsidTr="00AF4B17">
        <w:trPr>
          <w:trHeight w:val="20"/>
          <w:jc w:val="center"/>
        </w:trPr>
        <w:tc>
          <w:tcPr>
            <w:tcW w:w="2178" w:type="dxa"/>
            <w:tcBorders>
              <w:top w:val="nil"/>
              <w:left w:val="single" w:sz="8" w:space="0" w:color="4BACC6"/>
              <w:bottom w:val="single" w:sz="8" w:space="0" w:color="4BACC6"/>
              <w:right w:val="single" w:sz="8" w:space="0" w:color="448A99"/>
            </w:tcBorders>
            <w:shd w:val="clear" w:color="auto" w:fill="auto"/>
            <w:vAlign w:val="center"/>
            <w:hideMark/>
          </w:tcPr>
          <w:p w:rsidR="00AF4B17" w:rsidRPr="004E78ED" w:rsidRDefault="00AF4B17" w:rsidP="004E78ED">
            <w:pPr>
              <w:rPr>
                <w:rFonts w:ascii="Calibri" w:eastAsia="Times New Roman" w:hAnsi="Calibri" w:cs="Times New Roman"/>
                <w:b/>
                <w:bCs/>
                <w:color w:val="000000"/>
                <w:sz w:val="20"/>
                <w:szCs w:val="20"/>
              </w:rPr>
            </w:pPr>
            <w:r w:rsidRPr="004E78ED">
              <w:rPr>
                <w:rFonts w:ascii="Calibri" w:eastAsia="Times New Roman" w:hAnsi="Calibri" w:cs="Times New Roman"/>
                <w:b/>
                <w:bCs/>
                <w:color w:val="000000"/>
                <w:sz w:val="20"/>
                <w:szCs w:val="20"/>
              </w:rPr>
              <w:t>FE: Penn Power</w:t>
            </w:r>
          </w:p>
        </w:tc>
        <w:tc>
          <w:tcPr>
            <w:tcW w:w="1980" w:type="dxa"/>
            <w:tcBorders>
              <w:top w:val="nil"/>
              <w:left w:val="nil"/>
              <w:bottom w:val="single" w:sz="8" w:space="0" w:color="4BACC6"/>
              <w:right w:val="single" w:sz="8" w:space="0" w:color="448A99"/>
            </w:tcBorders>
            <w:vAlign w:val="center"/>
          </w:tcPr>
          <w:p w:rsidR="00AF4B17" w:rsidRPr="00AF4B17" w:rsidRDefault="00AF4B17" w:rsidP="00AF4B17">
            <w:pPr>
              <w:jc w:val="center"/>
              <w:rPr>
                <w:rFonts w:ascii="Calibri" w:hAnsi="Calibri"/>
                <w:color w:val="000000"/>
                <w:sz w:val="20"/>
                <w:szCs w:val="20"/>
              </w:rPr>
            </w:pPr>
            <w:r w:rsidRPr="00AF4B17">
              <w:rPr>
                <w:color w:val="000000"/>
                <w:sz w:val="20"/>
                <w:szCs w:val="20"/>
              </w:rPr>
              <w:t>$3.33</w:t>
            </w:r>
          </w:p>
        </w:tc>
        <w:tc>
          <w:tcPr>
            <w:tcW w:w="1953" w:type="dxa"/>
            <w:tcBorders>
              <w:top w:val="nil"/>
              <w:left w:val="single" w:sz="8" w:space="0" w:color="448A99"/>
              <w:bottom w:val="single" w:sz="8" w:space="0" w:color="4BACC6"/>
              <w:right w:val="single" w:sz="8" w:space="0" w:color="448A99"/>
            </w:tcBorders>
            <w:shd w:val="clear" w:color="auto" w:fill="auto"/>
            <w:vAlign w:val="center"/>
          </w:tcPr>
          <w:p w:rsidR="00AF4B17" w:rsidRPr="00AF4B17" w:rsidRDefault="00AF4B17" w:rsidP="00AF4B17">
            <w:pPr>
              <w:jc w:val="center"/>
              <w:rPr>
                <w:rFonts w:ascii="Calibri" w:hAnsi="Calibri"/>
                <w:color w:val="000000"/>
                <w:sz w:val="20"/>
                <w:szCs w:val="20"/>
              </w:rPr>
            </w:pPr>
            <w:r w:rsidRPr="00AF4B17">
              <w:rPr>
                <w:color w:val="000000"/>
                <w:sz w:val="20"/>
                <w:szCs w:val="20"/>
              </w:rPr>
              <w:t>$49,349</w:t>
            </w:r>
          </w:p>
        </w:tc>
        <w:tc>
          <w:tcPr>
            <w:tcW w:w="1557" w:type="dxa"/>
            <w:tcBorders>
              <w:top w:val="nil"/>
              <w:left w:val="nil"/>
              <w:bottom w:val="single" w:sz="8" w:space="0" w:color="448A99"/>
              <w:right w:val="single" w:sz="8" w:space="0" w:color="448A99"/>
            </w:tcBorders>
            <w:shd w:val="clear" w:color="auto" w:fill="auto"/>
            <w:vAlign w:val="center"/>
          </w:tcPr>
          <w:p w:rsidR="00AF4B17" w:rsidRPr="00AF4B17" w:rsidRDefault="00AF4B17" w:rsidP="00AF4B17">
            <w:pPr>
              <w:jc w:val="center"/>
              <w:rPr>
                <w:rFonts w:ascii="Calibri" w:hAnsi="Calibri"/>
                <w:color w:val="000000"/>
                <w:sz w:val="20"/>
                <w:szCs w:val="20"/>
              </w:rPr>
            </w:pPr>
            <w:r w:rsidRPr="00AF4B17">
              <w:rPr>
                <w:color w:val="000000"/>
                <w:sz w:val="20"/>
                <w:szCs w:val="20"/>
              </w:rPr>
              <w:t>17</w:t>
            </w:r>
          </w:p>
        </w:tc>
        <w:tc>
          <w:tcPr>
            <w:tcW w:w="1908" w:type="dxa"/>
            <w:tcBorders>
              <w:top w:val="nil"/>
              <w:left w:val="nil"/>
              <w:bottom w:val="single" w:sz="8" w:space="0" w:color="448A99"/>
              <w:right w:val="single" w:sz="8" w:space="0" w:color="448A99"/>
            </w:tcBorders>
            <w:vAlign w:val="center"/>
          </w:tcPr>
          <w:p w:rsidR="00AF4B17" w:rsidRPr="00AF4B17" w:rsidRDefault="00AF4B17" w:rsidP="00AF4B17">
            <w:pPr>
              <w:jc w:val="center"/>
              <w:rPr>
                <w:rFonts w:ascii="Calibri" w:hAnsi="Calibri"/>
                <w:color w:val="000000"/>
                <w:sz w:val="20"/>
                <w:szCs w:val="20"/>
              </w:rPr>
            </w:pPr>
            <w:r w:rsidRPr="00AF4B17">
              <w:rPr>
                <w:color w:val="000000"/>
                <w:sz w:val="20"/>
                <w:szCs w:val="20"/>
              </w:rPr>
              <w:t>1.7%</w:t>
            </w:r>
          </w:p>
        </w:tc>
      </w:tr>
      <w:tr w:rsidR="00AF4B17" w:rsidRPr="004E78ED" w:rsidTr="00AF4B17">
        <w:trPr>
          <w:trHeight w:val="20"/>
          <w:jc w:val="center"/>
        </w:trPr>
        <w:tc>
          <w:tcPr>
            <w:tcW w:w="2178" w:type="dxa"/>
            <w:tcBorders>
              <w:top w:val="nil"/>
              <w:left w:val="single" w:sz="8" w:space="0" w:color="448A99"/>
              <w:bottom w:val="single" w:sz="8" w:space="0" w:color="448A99"/>
              <w:right w:val="single" w:sz="8" w:space="0" w:color="448A99"/>
            </w:tcBorders>
            <w:shd w:val="clear" w:color="000000" w:fill="D2EAF1"/>
            <w:vAlign w:val="center"/>
            <w:hideMark/>
          </w:tcPr>
          <w:p w:rsidR="00AF4B17" w:rsidRPr="004E78ED" w:rsidRDefault="00AF4B17" w:rsidP="004E78ED">
            <w:pPr>
              <w:rPr>
                <w:rFonts w:ascii="Calibri" w:eastAsia="Times New Roman" w:hAnsi="Calibri" w:cs="Times New Roman"/>
                <w:b/>
                <w:bCs/>
                <w:color w:val="000000"/>
                <w:sz w:val="20"/>
                <w:szCs w:val="20"/>
              </w:rPr>
            </w:pPr>
            <w:r w:rsidRPr="004E78ED">
              <w:rPr>
                <w:rFonts w:ascii="Calibri" w:eastAsia="Times New Roman" w:hAnsi="Calibri" w:cs="Times New Roman"/>
                <w:b/>
                <w:bCs/>
                <w:color w:val="000000"/>
                <w:sz w:val="20"/>
                <w:szCs w:val="20"/>
              </w:rPr>
              <w:t>FE: WPP</w:t>
            </w:r>
          </w:p>
        </w:tc>
        <w:tc>
          <w:tcPr>
            <w:tcW w:w="1980" w:type="dxa"/>
            <w:tcBorders>
              <w:top w:val="nil"/>
              <w:left w:val="nil"/>
              <w:bottom w:val="single" w:sz="8" w:space="0" w:color="448A99"/>
              <w:right w:val="single" w:sz="8" w:space="0" w:color="448A99"/>
            </w:tcBorders>
            <w:shd w:val="clear" w:color="000000" w:fill="D2EAF1"/>
            <w:vAlign w:val="center"/>
          </w:tcPr>
          <w:p w:rsidR="00AF4B17" w:rsidRPr="00AF4B17" w:rsidRDefault="00AF4B17" w:rsidP="00AF4B17">
            <w:pPr>
              <w:jc w:val="center"/>
              <w:rPr>
                <w:rFonts w:ascii="Calibri" w:hAnsi="Calibri"/>
                <w:color w:val="000000"/>
                <w:sz w:val="20"/>
                <w:szCs w:val="20"/>
              </w:rPr>
            </w:pPr>
            <w:r w:rsidRPr="00AF4B17">
              <w:rPr>
                <w:color w:val="000000"/>
                <w:sz w:val="20"/>
                <w:szCs w:val="20"/>
              </w:rPr>
              <w:t>$11.78</w:t>
            </w:r>
          </w:p>
        </w:tc>
        <w:tc>
          <w:tcPr>
            <w:tcW w:w="1953" w:type="dxa"/>
            <w:tcBorders>
              <w:top w:val="nil"/>
              <w:left w:val="single" w:sz="8" w:space="0" w:color="448A99"/>
              <w:bottom w:val="single" w:sz="8" w:space="0" w:color="448A99"/>
              <w:right w:val="single" w:sz="8" w:space="0" w:color="448A99"/>
            </w:tcBorders>
            <w:shd w:val="clear" w:color="000000" w:fill="D2EAF1"/>
            <w:vAlign w:val="center"/>
          </w:tcPr>
          <w:p w:rsidR="00AF4B17" w:rsidRPr="00AF4B17" w:rsidRDefault="00AF4B17" w:rsidP="00AF4B17">
            <w:pPr>
              <w:jc w:val="center"/>
              <w:rPr>
                <w:rFonts w:ascii="Calibri" w:hAnsi="Calibri"/>
                <w:color w:val="000000"/>
                <w:sz w:val="20"/>
                <w:szCs w:val="20"/>
              </w:rPr>
            </w:pPr>
            <w:r w:rsidRPr="00AF4B17">
              <w:rPr>
                <w:color w:val="000000"/>
                <w:sz w:val="20"/>
                <w:szCs w:val="20"/>
              </w:rPr>
              <w:t>$46,203</w:t>
            </w:r>
          </w:p>
        </w:tc>
        <w:tc>
          <w:tcPr>
            <w:tcW w:w="1557" w:type="dxa"/>
            <w:tcBorders>
              <w:top w:val="nil"/>
              <w:left w:val="nil"/>
              <w:bottom w:val="single" w:sz="8" w:space="0" w:color="448A99"/>
              <w:right w:val="single" w:sz="8" w:space="0" w:color="448A99"/>
            </w:tcBorders>
            <w:shd w:val="clear" w:color="000000" w:fill="D2EAF1"/>
            <w:vAlign w:val="center"/>
          </w:tcPr>
          <w:p w:rsidR="00AF4B17" w:rsidRPr="00AF4B17" w:rsidRDefault="00AF4B17" w:rsidP="00AF4B17">
            <w:pPr>
              <w:jc w:val="center"/>
              <w:rPr>
                <w:rFonts w:ascii="Calibri" w:hAnsi="Calibri"/>
                <w:color w:val="000000"/>
                <w:sz w:val="20"/>
                <w:szCs w:val="20"/>
              </w:rPr>
            </w:pPr>
            <w:r w:rsidRPr="00AF4B17">
              <w:rPr>
                <w:color w:val="000000"/>
                <w:sz w:val="20"/>
                <w:szCs w:val="20"/>
              </w:rPr>
              <w:t>64</w:t>
            </w:r>
          </w:p>
        </w:tc>
        <w:tc>
          <w:tcPr>
            <w:tcW w:w="1908" w:type="dxa"/>
            <w:tcBorders>
              <w:top w:val="nil"/>
              <w:left w:val="nil"/>
              <w:bottom w:val="single" w:sz="8" w:space="0" w:color="448A99"/>
              <w:right w:val="single" w:sz="8" w:space="0" w:color="448A99"/>
            </w:tcBorders>
            <w:shd w:val="clear" w:color="000000" w:fill="D2EAF1"/>
            <w:vAlign w:val="center"/>
          </w:tcPr>
          <w:p w:rsidR="00AF4B17" w:rsidRPr="00AF4B17" w:rsidRDefault="00AF4B17" w:rsidP="00AF4B17">
            <w:pPr>
              <w:jc w:val="center"/>
              <w:rPr>
                <w:rFonts w:ascii="Calibri" w:hAnsi="Calibri"/>
                <w:color w:val="000000"/>
                <w:sz w:val="20"/>
                <w:szCs w:val="20"/>
              </w:rPr>
            </w:pPr>
            <w:r w:rsidRPr="00AF4B17">
              <w:rPr>
                <w:color w:val="000000"/>
                <w:sz w:val="20"/>
                <w:szCs w:val="20"/>
              </w:rPr>
              <w:t>1.8%</w:t>
            </w:r>
          </w:p>
        </w:tc>
      </w:tr>
      <w:tr w:rsidR="00AF4B17" w:rsidRPr="004E78ED" w:rsidTr="00AF4B17">
        <w:trPr>
          <w:trHeight w:val="20"/>
          <w:jc w:val="center"/>
        </w:trPr>
        <w:tc>
          <w:tcPr>
            <w:tcW w:w="2178" w:type="dxa"/>
            <w:tcBorders>
              <w:top w:val="nil"/>
              <w:left w:val="single" w:sz="8" w:space="0" w:color="4BACC6"/>
              <w:bottom w:val="single" w:sz="8" w:space="0" w:color="4BACC6"/>
              <w:right w:val="single" w:sz="8" w:space="0" w:color="448A99"/>
            </w:tcBorders>
            <w:shd w:val="clear" w:color="auto" w:fill="auto"/>
            <w:vAlign w:val="center"/>
            <w:hideMark/>
          </w:tcPr>
          <w:p w:rsidR="00AF4B17" w:rsidRPr="004E78ED" w:rsidRDefault="00AF4B17" w:rsidP="004E78ED">
            <w:pPr>
              <w:rPr>
                <w:rFonts w:ascii="Calibri" w:eastAsia="Times New Roman" w:hAnsi="Calibri" w:cs="Times New Roman"/>
                <w:b/>
                <w:bCs/>
                <w:color w:val="000000"/>
                <w:sz w:val="20"/>
                <w:szCs w:val="20"/>
              </w:rPr>
            </w:pPr>
            <w:r w:rsidRPr="004E78ED">
              <w:rPr>
                <w:rFonts w:ascii="Calibri" w:eastAsia="Times New Roman" w:hAnsi="Calibri" w:cs="Times New Roman"/>
                <w:b/>
                <w:bCs/>
                <w:color w:val="000000"/>
                <w:sz w:val="20"/>
                <w:szCs w:val="20"/>
              </w:rPr>
              <w:t>PECO</w:t>
            </w:r>
          </w:p>
        </w:tc>
        <w:tc>
          <w:tcPr>
            <w:tcW w:w="1980" w:type="dxa"/>
            <w:tcBorders>
              <w:top w:val="nil"/>
              <w:left w:val="nil"/>
              <w:bottom w:val="single" w:sz="8" w:space="0" w:color="4BACC6"/>
              <w:right w:val="single" w:sz="8" w:space="0" w:color="448A99"/>
            </w:tcBorders>
            <w:vAlign w:val="center"/>
          </w:tcPr>
          <w:p w:rsidR="00AF4B17" w:rsidRPr="00AF4B17" w:rsidRDefault="00AF4B17" w:rsidP="00AF4B17">
            <w:pPr>
              <w:jc w:val="center"/>
              <w:rPr>
                <w:rFonts w:ascii="Calibri" w:hAnsi="Calibri"/>
                <w:color w:val="000000"/>
                <w:sz w:val="20"/>
                <w:szCs w:val="20"/>
              </w:rPr>
            </w:pPr>
            <w:r w:rsidRPr="00AF4B17">
              <w:rPr>
                <w:color w:val="000000"/>
                <w:sz w:val="20"/>
                <w:szCs w:val="20"/>
              </w:rPr>
              <w:t>$42.70</w:t>
            </w:r>
          </w:p>
        </w:tc>
        <w:tc>
          <w:tcPr>
            <w:tcW w:w="1953" w:type="dxa"/>
            <w:tcBorders>
              <w:top w:val="nil"/>
              <w:left w:val="single" w:sz="8" w:space="0" w:color="448A99"/>
              <w:bottom w:val="single" w:sz="8" w:space="0" w:color="4BACC6"/>
              <w:right w:val="single" w:sz="8" w:space="0" w:color="448A99"/>
            </w:tcBorders>
            <w:shd w:val="clear" w:color="auto" w:fill="auto"/>
            <w:vAlign w:val="center"/>
          </w:tcPr>
          <w:p w:rsidR="00AF4B17" w:rsidRPr="00AF4B17" w:rsidRDefault="00AF4B17" w:rsidP="00AF4B17">
            <w:pPr>
              <w:jc w:val="center"/>
              <w:rPr>
                <w:rFonts w:ascii="Calibri" w:hAnsi="Calibri"/>
                <w:color w:val="000000"/>
                <w:sz w:val="20"/>
                <w:szCs w:val="20"/>
              </w:rPr>
            </w:pPr>
            <w:r w:rsidRPr="00AF4B17">
              <w:rPr>
                <w:color w:val="000000"/>
                <w:sz w:val="20"/>
                <w:szCs w:val="20"/>
              </w:rPr>
              <w:t>$66,370</w:t>
            </w:r>
          </w:p>
        </w:tc>
        <w:tc>
          <w:tcPr>
            <w:tcW w:w="1557" w:type="dxa"/>
            <w:tcBorders>
              <w:top w:val="nil"/>
              <w:left w:val="nil"/>
              <w:bottom w:val="single" w:sz="8" w:space="0" w:color="448A99"/>
              <w:right w:val="single" w:sz="8" w:space="0" w:color="448A99"/>
            </w:tcBorders>
            <w:shd w:val="clear" w:color="auto" w:fill="auto"/>
            <w:vAlign w:val="center"/>
          </w:tcPr>
          <w:p w:rsidR="00AF4B17" w:rsidRPr="00AF4B17" w:rsidRDefault="00AF4B17" w:rsidP="00AF4B17">
            <w:pPr>
              <w:jc w:val="center"/>
              <w:rPr>
                <w:rFonts w:ascii="Calibri" w:hAnsi="Calibri"/>
                <w:color w:val="000000"/>
                <w:sz w:val="20"/>
                <w:szCs w:val="20"/>
              </w:rPr>
            </w:pPr>
            <w:r w:rsidRPr="00AF4B17">
              <w:rPr>
                <w:color w:val="000000"/>
                <w:sz w:val="20"/>
                <w:szCs w:val="20"/>
              </w:rPr>
              <w:t>161</w:t>
            </w:r>
          </w:p>
        </w:tc>
        <w:tc>
          <w:tcPr>
            <w:tcW w:w="1908" w:type="dxa"/>
            <w:tcBorders>
              <w:top w:val="nil"/>
              <w:left w:val="nil"/>
              <w:bottom w:val="single" w:sz="8" w:space="0" w:color="448A99"/>
              <w:right w:val="single" w:sz="8" w:space="0" w:color="448A99"/>
            </w:tcBorders>
            <w:vAlign w:val="center"/>
          </w:tcPr>
          <w:p w:rsidR="00AF4B17" w:rsidRPr="00AF4B17" w:rsidRDefault="00AF4B17" w:rsidP="00AF4B17">
            <w:pPr>
              <w:jc w:val="center"/>
              <w:rPr>
                <w:rFonts w:ascii="Calibri" w:hAnsi="Calibri"/>
                <w:color w:val="000000"/>
                <w:sz w:val="20"/>
                <w:szCs w:val="20"/>
              </w:rPr>
            </w:pPr>
            <w:r w:rsidRPr="00AF4B17">
              <w:rPr>
                <w:color w:val="000000"/>
                <w:sz w:val="20"/>
                <w:szCs w:val="20"/>
              </w:rPr>
              <w:t>2.0%</w:t>
            </w:r>
          </w:p>
        </w:tc>
      </w:tr>
      <w:tr w:rsidR="00AF4B17" w:rsidRPr="004E78ED" w:rsidTr="00AF4B17">
        <w:trPr>
          <w:trHeight w:val="20"/>
          <w:jc w:val="center"/>
        </w:trPr>
        <w:tc>
          <w:tcPr>
            <w:tcW w:w="2178" w:type="dxa"/>
            <w:tcBorders>
              <w:top w:val="nil"/>
              <w:left w:val="single" w:sz="8" w:space="0" w:color="448A99"/>
              <w:bottom w:val="single" w:sz="8" w:space="0" w:color="448A99"/>
              <w:right w:val="single" w:sz="8" w:space="0" w:color="448A99"/>
            </w:tcBorders>
            <w:shd w:val="clear" w:color="000000" w:fill="D2EAF1"/>
            <w:vAlign w:val="center"/>
            <w:hideMark/>
          </w:tcPr>
          <w:p w:rsidR="00AF4B17" w:rsidRPr="004E78ED" w:rsidRDefault="00AF4B17" w:rsidP="004E78ED">
            <w:pPr>
              <w:rPr>
                <w:rFonts w:ascii="Calibri" w:eastAsia="Times New Roman" w:hAnsi="Calibri" w:cs="Times New Roman"/>
                <w:b/>
                <w:bCs/>
                <w:color w:val="000000"/>
                <w:sz w:val="20"/>
                <w:szCs w:val="20"/>
              </w:rPr>
            </w:pPr>
            <w:r w:rsidRPr="004E78ED">
              <w:rPr>
                <w:rFonts w:ascii="Calibri" w:eastAsia="Times New Roman" w:hAnsi="Calibri" w:cs="Times New Roman"/>
                <w:b/>
                <w:bCs/>
                <w:color w:val="000000"/>
                <w:sz w:val="20"/>
                <w:szCs w:val="20"/>
              </w:rPr>
              <w:lastRenderedPageBreak/>
              <w:t>*PPL</w:t>
            </w:r>
          </w:p>
        </w:tc>
        <w:tc>
          <w:tcPr>
            <w:tcW w:w="1980" w:type="dxa"/>
            <w:tcBorders>
              <w:top w:val="nil"/>
              <w:left w:val="nil"/>
              <w:bottom w:val="single" w:sz="8" w:space="0" w:color="448A99"/>
              <w:right w:val="single" w:sz="8" w:space="0" w:color="448A99"/>
            </w:tcBorders>
            <w:shd w:val="clear" w:color="000000" w:fill="D2EAF1"/>
            <w:vAlign w:val="center"/>
          </w:tcPr>
          <w:p w:rsidR="00AF4B17" w:rsidRPr="00AF4B17" w:rsidRDefault="00AF4B17" w:rsidP="00AF4B17">
            <w:pPr>
              <w:jc w:val="center"/>
              <w:rPr>
                <w:rFonts w:ascii="Calibri" w:hAnsi="Calibri"/>
                <w:color w:val="000000"/>
                <w:sz w:val="20"/>
                <w:szCs w:val="20"/>
              </w:rPr>
            </w:pPr>
            <w:r w:rsidRPr="00AF4B17">
              <w:rPr>
                <w:color w:val="000000"/>
                <w:sz w:val="20"/>
                <w:szCs w:val="20"/>
              </w:rPr>
              <w:t>$15.38</w:t>
            </w:r>
          </w:p>
        </w:tc>
        <w:tc>
          <w:tcPr>
            <w:tcW w:w="1953" w:type="dxa"/>
            <w:tcBorders>
              <w:top w:val="nil"/>
              <w:left w:val="single" w:sz="8" w:space="0" w:color="448A99"/>
              <w:bottom w:val="single" w:sz="8" w:space="0" w:color="448A99"/>
              <w:right w:val="single" w:sz="8" w:space="0" w:color="448A99"/>
            </w:tcBorders>
            <w:shd w:val="clear" w:color="000000" w:fill="D2EAF1"/>
            <w:vAlign w:val="center"/>
          </w:tcPr>
          <w:p w:rsidR="00AF4B17" w:rsidRPr="00AF4B17" w:rsidRDefault="00AF4B17" w:rsidP="00AF4B17">
            <w:pPr>
              <w:jc w:val="center"/>
              <w:rPr>
                <w:rFonts w:ascii="Calibri" w:hAnsi="Calibri"/>
                <w:color w:val="000000"/>
                <w:sz w:val="20"/>
                <w:szCs w:val="20"/>
              </w:rPr>
            </w:pPr>
            <w:r w:rsidRPr="00AF4B17">
              <w:rPr>
                <w:color w:val="000000"/>
                <w:sz w:val="20"/>
                <w:szCs w:val="20"/>
              </w:rPr>
              <w:t>$41,622</w:t>
            </w:r>
          </w:p>
        </w:tc>
        <w:tc>
          <w:tcPr>
            <w:tcW w:w="1557" w:type="dxa"/>
            <w:tcBorders>
              <w:top w:val="nil"/>
              <w:left w:val="nil"/>
              <w:bottom w:val="single" w:sz="8" w:space="0" w:color="448A99"/>
              <w:right w:val="single" w:sz="8" w:space="0" w:color="448A99"/>
            </w:tcBorders>
            <w:shd w:val="clear" w:color="000000" w:fill="D2EAF1"/>
            <w:vAlign w:val="center"/>
          </w:tcPr>
          <w:p w:rsidR="00AF4B17" w:rsidRPr="00AF4B17" w:rsidRDefault="00AF4B17" w:rsidP="00AF4B17">
            <w:pPr>
              <w:jc w:val="center"/>
              <w:rPr>
                <w:rFonts w:ascii="Calibri" w:hAnsi="Calibri"/>
                <w:color w:val="000000"/>
                <w:sz w:val="20"/>
                <w:szCs w:val="20"/>
              </w:rPr>
            </w:pPr>
            <w:r w:rsidRPr="00AF4B17">
              <w:rPr>
                <w:color w:val="000000"/>
                <w:sz w:val="20"/>
                <w:szCs w:val="20"/>
              </w:rPr>
              <w:t>92</w:t>
            </w:r>
          </w:p>
        </w:tc>
        <w:tc>
          <w:tcPr>
            <w:tcW w:w="1908" w:type="dxa"/>
            <w:tcBorders>
              <w:top w:val="nil"/>
              <w:left w:val="nil"/>
              <w:bottom w:val="single" w:sz="8" w:space="0" w:color="448A99"/>
              <w:right w:val="single" w:sz="8" w:space="0" w:color="448A99"/>
            </w:tcBorders>
            <w:shd w:val="clear" w:color="000000" w:fill="D2EAF1"/>
            <w:vAlign w:val="center"/>
          </w:tcPr>
          <w:p w:rsidR="00AF4B17" w:rsidRPr="00AF4B17" w:rsidRDefault="00AF4B17" w:rsidP="00AF4B17">
            <w:pPr>
              <w:jc w:val="center"/>
              <w:rPr>
                <w:rFonts w:ascii="Calibri" w:hAnsi="Calibri"/>
                <w:color w:val="000000"/>
                <w:sz w:val="20"/>
                <w:szCs w:val="20"/>
              </w:rPr>
            </w:pPr>
            <w:r w:rsidRPr="00AF4B17">
              <w:rPr>
                <w:color w:val="000000"/>
                <w:sz w:val="20"/>
                <w:szCs w:val="20"/>
              </w:rPr>
              <w:t>1.4%</w:t>
            </w:r>
          </w:p>
        </w:tc>
      </w:tr>
      <w:tr w:rsidR="00AF4B17" w:rsidRPr="004E78ED" w:rsidTr="00AF4B17">
        <w:trPr>
          <w:trHeight w:val="20"/>
          <w:jc w:val="center"/>
        </w:trPr>
        <w:tc>
          <w:tcPr>
            <w:tcW w:w="2178" w:type="dxa"/>
            <w:tcBorders>
              <w:top w:val="nil"/>
              <w:left w:val="single" w:sz="8" w:space="0" w:color="4BACC6"/>
              <w:bottom w:val="single" w:sz="8" w:space="0" w:color="4BACC6"/>
              <w:right w:val="single" w:sz="8" w:space="0" w:color="448A99"/>
            </w:tcBorders>
            <w:shd w:val="clear" w:color="auto" w:fill="auto"/>
            <w:vAlign w:val="center"/>
            <w:hideMark/>
          </w:tcPr>
          <w:p w:rsidR="00AF4B17" w:rsidRPr="004E78ED" w:rsidRDefault="00AF4B17" w:rsidP="004E78ED">
            <w:pPr>
              <w:rPr>
                <w:rFonts w:ascii="Calibri" w:eastAsia="Times New Roman" w:hAnsi="Calibri" w:cs="Times New Roman"/>
                <w:b/>
                <w:bCs/>
                <w:color w:val="000000"/>
                <w:sz w:val="20"/>
                <w:szCs w:val="20"/>
              </w:rPr>
            </w:pPr>
            <w:r w:rsidRPr="004E78ED">
              <w:rPr>
                <w:rFonts w:ascii="Calibri" w:eastAsia="Times New Roman" w:hAnsi="Calibri" w:cs="Times New Roman"/>
                <w:b/>
                <w:bCs/>
                <w:color w:val="000000"/>
                <w:sz w:val="20"/>
                <w:szCs w:val="20"/>
              </w:rPr>
              <w:t>Statewide</w:t>
            </w:r>
          </w:p>
        </w:tc>
        <w:tc>
          <w:tcPr>
            <w:tcW w:w="1980" w:type="dxa"/>
            <w:tcBorders>
              <w:top w:val="nil"/>
              <w:left w:val="nil"/>
              <w:bottom w:val="single" w:sz="8" w:space="0" w:color="4BACC6"/>
              <w:right w:val="single" w:sz="8" w:space="0" w:color="448A99"/>
            </w:tcBorders>
            <w:vAlign w:val="center"/>
          </w:tcPr>
          <w:p w:rsidR="00AF4B17" w:rsidRPr="00AF4B17" w:rsidRDefault="00AF4B17" w:rsidP="00AF4B17">
            <w:pPr>
              <w:jc w:val="center"/>
              <w:rPr>
                <w:rFonts w:ascii="Calibri" w:hAnsi="Calibri"/>
                <w:b/>
                <w:bCs/>
                <w:color w:val="000000"/>
                <w:sz w:val="20"/>
                <w:szCs w:val="20"/>
              </w:rPr>
            </w:pPr>
            <w:r w:rsidRPr="00AF4B17">
              <w:rPr>
                <w:b/>
                <w:bCs/>
                <w:color w:val="000000"/>
                <w:sz w:val="20"/>
                <w:szCs w:val="20"/>
              </w:rPr>
              <w:t>$92.90</w:t>
            </w:r>
          </w:p>
        </w:tc>
        <w:tc>
          <w:tcPr>
            <w:tcW w:w="1953" w:type="dxa"/>
            <w:tcBorders>
              <w:top w:val="nil"/>
              <w:left w:val="single" w:sz="8" w:space="0" w:color="448A99"/>
              <w:bottom w:val="single" w:sz="8" w:space="0" w:color="4BACC6"/>
              <w:right w:val="single" w:sz="8" w:space="0" w:color="448A99"/>
            </w:tcBorders>
            <w:shd w:val="clear" w:color="auto" w:fill="auto"/>
            <w:vAlign w:val="center"/>
          </w:tcPr>
          <w:p w:rsidR="00AF4B17" w:rsidRPr="00AF4B17" w:rsidRDefault="00AF4B17" w:rsidP="00AF4B17">
            <w:pPr>
              <w:jc w:val="center"/>
              <w:rPr>
                <w:rFonts w:ascii="Calibri" w:hAnsi="Calibri"/>
                <w:b/>
                <w:bCs/>
                <w:color w:val="000000"/>
                <w:sz w:val="20"/>
                <w:szCs w:val="20"/>
              </w:rPr>
            </w:pPr>
            <w:r w:rsidRPr="00AF4B17">
              <w:rPr>
                <w:b/>
                <w:bCs/>
                <w:color w:val="000000"/>
                <w:sz w:val="20"/>
                <w:szCs w:val="20"/>
              </w:rPr>
              <w:t>$54,714</w:t>
            </w:r>
          </w:p>
        </w:tc>
        <w:tc>
          <w:tcPr>
            <w:tcW w:w="1557" w:type="dxa"/>
            <w:tcBorders>
              <w:top w:val="nil"/>
              <w:left w:val="nil"/>
              <w:bottom w:val="single" w:sz="8" w:space="0" w:color="4BACC6"/>
              <w:right w:val="single" w:sz="8" w:space="0" w:color="4BACC6"/>
            </w:tcBorders>
            <w:shd w:val="clear" w:color="auto" w:fill="auto"/>
            <w:vAlign w:val="center"/>
          </w:tcPr>
          <w:p w:rsidR="00AF4B17" w:rsidRPr="00AF4B17" w:rsidRDefault="00AF4B17" w:rsidP="00AF4B17">
            <w:pPr>
              <w:jc w:val="center"/>
              <w:rPr>
                <w:rFonts w:ascii="Calibri" w:hAnsi="Calibri"/>
                <w:b/>
                <w:bCs/>
                <w:color w:val="000000"/>
                <w:sz w:val="20"/>
                <w:szCs w:val="20"/>
              </w:rPr>
            </w:pPr>
            <w:r w:rsidRPr="00AF4B17">
              <w:rPr>
                <w:b/>
                <w:bCs/>
                <w:color w:val="000000"/>
                <w:sz w:val="20"/>
                <w:szCs w:val="20"/>
              </w:rPr>
              <w:t>424</w:t>
            </w:r>
          </w:p>
        </w:tc>
        <w:tc>
          <w:tcPr>
            <w:tcW w:w="1908" w:type="dxa"/>
            <w:tcBorders>
              <w:top w:val="nil"/>
              <w:left w:val="nil"/>
              <w:bottom w:val="single" w:sz="8" w:space="0" w:color="4BACC6"/>
              <w:right w:val="single" w:sz="8" w:space="0" w:color="4BACC6"/>
            </w:tcBorders>
            <w:vAlign w:val="center"/>
          </w:tcPr>
          <w:p w:rsidR="00AF4B17" w:rsidRPr="00AF4B17" w:rsidRDefault="00AF4B17" w:rsidP="00AF4B17">
            <w:pPr>
              <w:jc w:val="center"/>
              <w:rPr>
                <w:rFonts w:ascii="Calibri" w:hAnsi="Calibri"/>
                <w:b/>
                <w:bCs/>
                <w:color w:val="000000"/>
                <w:sz w:val="20"/>
                <w:szCs w:val="20"/>
              </w:rPr>
            </w:pPr>
            <w:r w:rsidRPr="00AF4B17">
              <w:rPr>
                <w:b/>
                <w:bCs/>
                <w:color w:val="000000"/>
                <w:sz w:val="20"/>
                <w:szCs w:val="20"/>
              </w:rPr>
              <w:t>1.6%</w:t>
            </w:r>
          </w:p>
        </w:tc>
      </w:tr>
    </w:tbl>
    <w:p w:rsidR="004E78ED" w:rsidRDefault="004E78ED" w:rsidP="009357D6">
      <w:pPr>
        <w:jc w:val="both"/>
      </w:pPr>
    </w:p>
    <w:p w:rsidR="001474BE" w:rsidRDefault="001474BE" w:rsidP="009357D6">
      <w:pPr>
        <w:jc w:val="both"/>
      </w:pPr>
    </w:p>
    <w:p w:rsidR="009357D6" w:rsidRPr="000215F7" w:rsidRDefault="009357D6" w:rsidP="009357D6">
      <w:pPr>
        <w:pStyle w:val="Heading2"/>
        <w:rPr>
          <w:rStyle w:val="Strong"/>
          <w:b/>
          <w:bCs/>
        </w:rPr>
      </w:pPr>
      <w:r>
        <w:rPr>
          <w:rStyle w:val="Strong"/>
          <w:b/>
          <w:bCs/>
        </w:rPr>
        <w:t>GNI and Low Income Carve-Outs</w:t>
      </w:r>
      <w:r w:rsidRPr="000215F7">
        <w:rPr>
          <w:rStyle w:val="Strong"/>
          <w:b/>
          <w:bCs/>
        </w:rPr>
        <w:tab/>
      </w:r>
    </w:p>
    <w:p w:rsidR="00BC23F4" w:rsidRDefault="00BC23F4" w:rsidP="009357D6">
      <w:pPr>
        <w:jc w:val="both"/>
      </w:pPr>
      <w:r w:rsidRPr="00BC23F4">
        <w:t xml:space="preserve">Phase II of Act 129 has specific targets for two “carve-out” sectors: residential low income and government, nonprofit and institutional (GNI). This report addendum provides the Commission with additional detail on the GNI and residential </w:t>
      </w:r>
      <w:r w:rsidR="00CD5EAC">
        <w:t>low income</w:t>
      </w:r>
      <w:r w:rsidRPr="00BC23F4">
        <w:t xml:space="preserve"> carve-outs relative to program potential</w:t>
      </w:r>
      <w:r>
        <w:t>.</w:t>
      </w:r>
    </w:p>
    <w:p w:rsidR="008E33F9" w:rsidRDefault="008E33F9" w:rsidP="009357D6">
      <w:pPr>
        <w:jc w:val="both"/>
      </w:pPr>
    </w:p>
    <w:p w:rsidR="008E33F9" w:rsidRDefault="008E33F9" w:rsidP="009357D6">
      <w:pPr>
        <w:jc w:val="both"/>
      </w:pPr>
      <w:r>
        <w:t>The GNI “carve-out” sector is comprised of various market segments analyzed in the energy efficiency market potential study including education, healthcare, government/public service, public street lighting and other institutional buildings.</w:t>
      </w:r>
      <w:r w:rsidRPr="008E33F9">
        <w:t xml:space="preserve"> </w:t>
      </w:r>
      <w:r>
        <w:fldChar w:fldCharType="begin"/>
      </w:r>
      <w:r>
        <w:instrText xml:space="preserve"> REF _Ref420588677 \h </w:instrText>
      </w:r>
      <w:r>
        <w:fldChar w:fldCharType="separate"/>
      </w:r>
      <w:r>
        <w:t xml:space="preserve">Table </w:t>
      </w:r>
      <w:r>
        <w:rPr>
          <w:noProof/>
        </w:rPr>
        <w:t>4</w:t>
      </w:r>
      <w:r>
        <w:noBreakHyphen/>
      </w:r>
      <w:r>
        <w:rPr>
          <w:noProof/>
        </w:rPr>
        <w:t>8</w:t>
      </w:r>
      <w:r>
        <w:fldChar w:fldCharType="end"/>
      </w:r>
      <w:r w:rsidRPr="008E33F9">
        <w:t xml:space="preserve"> provides the GNI carve-outs by EDC associated with the five-year program potential estimated in the EE MPS</w:t>
      </w:r>
      <w:r w:rsidR="00BE0BFC">
        <w:t xml:space="preserve"> </w:t>
      </w:r>
      <w:r w:rsidR="00BE0BFC" w:rsidRPr="00BE0BFC">
        <w:t xml:space="preserve">(and is an update to Table </w:t>
      </w:r>
      <w:r w:rsidR="00BE0BFC">
        <w:t>8</w:t>
      </w:r>
      <w:r w:rsidR="00BE0BFC" w:rsidRPr="00BE0BFC">
        <w:t xml:space="preserve"> </w:t>
      </w:r>
      <w:r w:rsidR="00BB1D1E">
        <w:t>from</w:t>
      </w:r>
      <w:r w:rsidR="00BE0BFC" w:rsidRPr="00BE0BFC">
        <w:t xml:space="preserve"> </w:t>
      </w:r>
      <w:r w:rsidR="00BB1D1E" w:rsidRPr="00BB1D1E">
        <w:t>the Addendum to the Tentative Implementation Order</w:t>
      </w:r>
      <w:r w:rsidR="00BE0BFC">
        <w:t>)</w:t>
      </w:r>
      <w:r w:rsidRPr="008E33F9">
        <w:t xml:space="preserve">. It is important to note that </w:t>
      </w:r>
      <w:r>
        <w:fldChar w:fldCharType="begin"/>
      </w:r>
      <w:r>
        <w:instrText xml:space="preserve"> REF _Ref420588677 \h </w:instrText>
      </w:r>
      <w:r>
        <w:fldChar w:fldCharType="separate"/>
      </w:r>
      <w:r>
        <w:t xml:space="preserve">Table </w:t>
      </w:r>
      <w:r>
        <w:rPr>
          <w:noProof/>
        </w:rPr>
        <w:t>4</w:t>
      </w:r>
      <w:r>
        <w:noBreakHyphen/>
      </w:r>
      <w:r>
        <w:rPr>
          <w:noProof/>
        </w:rPr>
        <w:t>8</w:t>
      </w:r>
      <w:r>
        <w:fldChar w:fldCharType="end"/>
      </w:r>
      <w:r w:rsidRPr="008E33F9">
        <w:t xml:space="preserve"> maintains the default 90%/10% annual funding allocation for EE versus DR for </w:t>
      </w:r>
      <w:r>
        <w:t xml:space="preserve">Duquesne, </w:t>
      </w:r>
      <w:r w:rsidRPr="008E33F9">
        <w:t xml:space="preserve">Penn Power, West Penn Power and PECO. The three utilities marked with an “*” in </w:t>
      </w:r>
      <w:r>
        <w:fldChar w:fldCharType="begin"/>
      </w:r>
      <w:r>
        <w:instrText xml:space="preserve"> REF _Ref420588677 \h </w:instrText>
      </w:r>
      <w:r>
        <w:fldChar w:fldCharType="separate"/>
      </w:r>
      <w:r>
        <w:t xml:space="preserve">Table </w:t>
      </w:r>
      <w:r>
        <w:rPr>
          <w:noProof/>
        </w:rPr>
        <w:t>4</w:t>
      </w:r>
      <w:r>
        <w:noBreakHyphen/>
      </w:r>
      <w:r>
        <w:rPr>
          <w:noProof/>
        </w:rPr>
        <w:t>8</w:t>
      </w:r>
      <w:r>
        <w:fldChar w:fldCharType="end"/>
      </w:r>
      <w:r w:rsidRPr="008E33F9">
        <w:t xml:space="preserve"> below have slightly different EE versus DR funding allocations, as discussed in Section II above.</w:t>
      </w:r>
    </w:p>
    <w:p w:rsidR="008E33F9" w:rsidRDefault="008E33F9" w:rsidP="009357D6">
      <w:pPr>
        <w:jc w:val="both"/>
      </w:pPr>
    </w:p>
    <w:p w:rsidR="008E33F9" w:rsidRDefault="008E33F9" w:rsidP="008E33F9">
      <w:pPr>
        <w:pStyle w:val="Caption"/>
      </w:pPr>
      <w:bookmarkStart w:id="17" w:name="_Ref420588677"/>
      <w:r>
        <w:t xml:space="preserve">Table </w:t>
      </w:r>
      <w:r w:rsidR="002F7913">
        <w:fldChar w:fldCharType="begin"/>
      </w:r>
      <w:r w:rsidR="002F7913">
        <w:instrText xml:space="preserve"> STYLEREF 1 \s </w:instrText>
      </w:r>
      <w:r w:rsidR="002F7913">
        <w:fldChar w:fldCharType="separate"/>
      </w:r>
      <w:r w:rsidR="00BE0BFC">
        <w:rPr>
          <w:noProof/>
        </w:rPr>
        <w:t>4</w:t>
      </w:r>
      <w:r w:rsidR="002F7913">
        <w:rPr>
          <w:noProof/>
        </w:rPr>
        <w:fldChar w:fldCharType="end"/>
      </w:r>
      <w:r w:rsidR="00BE0BFC">
        <w:noBreakHyphen/>
      </w:r>
      <w:r w:rsidR="002F7913">
        <w:fldChar w:fldCharType="begin"/>
      </w:r>
      <w:r w:rsidR="002F7913">
        <w:instrText xml:space="preserve"> SEQ Table \* ARABIC \s 1 </w:instrText>
      </w:r>
      <w:r w:rsidR="002F7913">
        <w:fldChar w:fldCharType="separate"/>
      </w:r>
      <w:r w:rsidR="00BE0BFC">
        <w:rPr>
          <w:noProof/>
        </w:rPr>
        <w:t>8</w:t>
      </w:r>
      <w:r w:rsidR="002F7913">
        <w:rPr>
          <w:noProof/>
        </w:rPr>
        <w:fldChar w:fldCharType="end"/>
      </w:r>
      <w:bookmarkEnd w:id="17"/>
      <w:r>
        <w:t xml:space="preserve">: </w:t>
      </w:r>
      <w:r w:rsidRPr="008E33F9">
        <w:t>Commercial GNI Sector 2016 to 2020 1st Year Program Potential Savings by EDC</w:t>
      </w:r>
    </w:p>
    <w:tbl>
      <w:tblPr>
        <w:tblW w:w="9237" w:type="dxa"/>
        <w:jc w:val="center"/>
        <w:tblLook w:val="04A0" w:firstRow="1" w:lastRow="0" w:firstColumn="1" w:lastColumn="0" w:noHBand="0" w:noVBand="1"/>
      </w:tblPr>
      <w:tblGrid>
        <w:gridCol w:w="2459"/>
        <w:gridCol w:w="2520"/>
        <w:gridCol w:w="2070"/>
        <w:gridCol w:w="2188"/>
      </w:tblGrid>
      <w:tr w:rsidR="0037541B" w:rsidRPr="0037541B" w:rsidTr="004003B8">
        <w:trPr>
          <w:trHeight w:val="20"/>
          <w:tblHeader/>
          <w:jc w:val="center"/>
        </w:trPr>
        <w:tc>
          <w:tcPr>
            <w:tcW w:w="2459" w:type="dxa"/>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37541B" w:rsidRPr="0037541B" w:rsidRDefault="0037541B" w:rsidP="0037541B">
            <w:pPr>
              <w:jc w:val="center"/>
              <w:rPr>
                <w:rFonts w:ascii="Calibri" w:eastAsia="Times New Roman" w:hAnsi="Calibri" w:cs="Times New Roman"/>
                <w:b/>
                <w:bCs/>
                <w:color w:val="FFFFFF"/>
                <w:sz w:val="20"/>
                <w:szCs w:val="20"/>
              </w:rPr>
            </w:pPr>
            <w:r w:rsidRPr="0037541B">
              <w:rPr>
                <w:rFonts w:ascii="Calibri" w:eastAsia="Times New Roman" w:hAnsi="Calibri" w:cs="Times New Roman"/>
                <w:b/>
                <w:bCs/>
                <w:color w:val="FFFFFF" w:themeColor="background1"/>
                <w:sz w:val="20"/>
                <w:szCs w:val="20"/>
              </w:rPr>
              <w:t>EDC</w:t>
            </w:r>
          </w:p>
        </w:tc>
        <w:tc>
          <w:tcPr>
            <w:tcW w:w="2520" w:type="dxa"/>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37541B" w:rsidRPr="0037541B" w:rsidRDefault="0037541B" w:rsidP="0037541B">
            <w:pPr>
              <w:jc w:val="center"/>
              <w:rPr>
                <w:rFonts w:ascii="Calibri" w:eastAsia="Times New Roman" w:hAnsi="Calibri" w:cs="Times New Roman"/>
                <w:b/>
                <w:bCs/>
                <w:color w:val="FFFFFF"/>
                <w:sz w:val="20"/>
                <w:szCs w:val="20"/>
              </w:rPr>
            </w:pPr>
            <w:r w:rsidRPr="0037541B">
              <w:rPr>
                <w:b/>
                <w:bCs/>
                <w:color w:val="FFFFFF"/>
                <w:sz w:val="20"/>
                <w:szCs w:val="20"/>
              </w:rPr>
              <w:t>2016-2020 Incremental Annual Program Potential Savings (MWh)</w:t>
            </w:r>
            <w:r w:rsidRPr="0037541B">
              <w:rPr>
                <w:b/>
                <w:bCs/>
                <w:color w:val="FFFFFF"/>
                <w:sz w:val="20"/>
                <w:szCs w:val="20"/>
                <w:vertAlign w:val="superscript"/>
              </w:rPr>
              <w:footnoteReference w:id="9"/>
            </w:r>
          </w:p>
        </w:tc>
        <w:tc>
          <w:tcPr>
            <w:tcW w:w="2070" w:type="dxa"/>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37541B" w:rsidRPr="0037541B" w:rsidRDefault="0037541B" w:rsidP="0037541B">
            <w:pPr>
              <w:jc w:val="center"/>
              <w:rPr>
                <w:rFonts w:ascii="Calibri" w:eastAsia="Times New Roman" w:hAnsi="Calibri" w:cs="Times New Roman"/>
                <w:b/>
                <w:bCs/>
                <w:color w:val="FFFFFF"/>
                <w:sz w:val="20"/>
                <w:szCs w:val="20"/>
              </w:rPr>
            </w:pPr>
            <w:r w:rsidRPr="0037541B">
              <w:rPr>
                <w:b/>
                <w:bCs/>
                <w:color w:val="FFFFFF"/>
                <w:sz w:val="20"/>
                <w:szCs w:val="20"/>
              </w:rPr>
              <w:t>% of Commercial Savings</w:t>
            </w:r>
          </w:p>
        </w:tc>
        <w:tc>
          <w:tcPr>
            <w:tcW w:w="2188" w:type="dxa"/>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37541B" w:rsidRPr="0037541B" w:rsidRDefault="0037541B" w:rsidP="0037541B">
            <w:pPr>
              <w:jc w:val="center"/>
              <w:rPr>
                <w:rFonts w:ascii="Calibri" w:eastAsia="Times New Roman" w:hAnsi="Calibri" w:cs="Times New Roman"/>
                <w:b/>
                <w:bCs/>
                <w:color w:val="FFFFFF"/>
                <w:sz w:val="20"/>
                <w:szCs w:val="20"/>
              </w:rPr>
            </w:pPr>
            <w:r w:rsidRPr="0037541B">
              <w:rPr>
                <w:b/>
                <w:bCs/>
                <w:color w:val="FFFFFF"/>
                <w:sz w:val="20"/>
                <w:szCs w:val="20"/>
              </w:rPr>
              <w:t>% of Total Portfolio Savings</w:t>
            </w:r>
          </w:p>
        </w:tc>
      </w:tr>
      <w:tr w:rsidR="0037541B" w:rsidRPr="0037541B" w:rsidTr="006B442A">
        <w:trPr>
          <w:trHeight w:val="20"/>
          <w:jc w:val="center"/>
        </w:trPr>
        <w:tc>
          <w:tcPr>
            <w:tcW w:w="9237" w:type="dxa"/>
            <w:gridSpan w:val="4"/>
            <w:tcBorders>
              <w:top w:val="single" w:sz="8" w:space="0" w:color="448A99"/>
              <w:left w:val="single" w:sz="8" w:space="0" w:color="4BACC6"/>
              <w:bottom w:val="single" w:sz="8" w:space="0" w:color="4BACC6"/>
              <w:right w:val="single" w:sz="8" w:space="0" w:color="4BACC6"/>
            </w:tcBorders>
            <w:shd w:val="clear" w:color="000000" w:fill="9C9393"/>
            <w:vAlign w:val="center"/>
            <w:hideMark/>
          </w:tcPr>
          <w:p w:rsidR="0037541B" w:rsidRPr="0037541B" w:rsidRDefault="0037541B" w:rsidP="0037541B">
            <w:pPr>
              <w:rPr>
                <w:rFonts w:ascii="Calibri" w:eastAsia="Times New Roman" w:hAnsi="Calibri" w:cs="Times New Roman"/>
                <w:b/>
                <w:bCs/>
                <w:color w:val="FFFFFF"/>
                <w:sz w:val="20"/>
                <w:szCs w:val="20"/>
              </w:rPr>
            </w:pPr>
            <w:r w:rsidRPr="0037541B">
              <w:rPr>
                <w:rFonts w:ascii="Calibri" w:eastAsia="Times New Roman" w:hAnsi="Calibri" w:cs="Times New Roman"/>
                <w:b/>
                <w:bCs/>
                <w:color w:val="FFFFFF"/>
                <w:sz w:val="20"/>
                <w:szCs w:val="20"/>
              </w:rPr>
              <w:t>2016-2020 – 90% EE Spending Except Where Noted by Asterisk</w:t>
            </w:r>
          </w:p>
        </w:tc>
      </w:tr>
      <w:tr w:rsidR="00CD5EAC" w:rsidRPr="0037541B" w:rsidTr="004003B8">
        <w:trPr>
          <w:trHeight w:hRule="exact" w:val="288"/>
          <w:jc w:val="center"/>
        </w:trPr>
        <w:tc>
          <w:tcPr>
            <w:tcW w:w="2459" w:type="dxa"/>
            <w:tcBorders>
              <w:top w:val="nil"/>
              <w:left w:val="single" w:sz="8" w:space="0" w:color="448A99"/>
              <w:bottom w:val="single" w:sz="8" w:space="0" w:color="448A99"/>
              <w:right w:val="single" w:sz="8" w:space="0" w:color="448A99"/>
            </w:tcBorders>
            <w:shd w:val="clear" w:color="000000" w:fill="D2EAF1"/>
            <w:vAlign w:val="center"/>
            <w:hideMark/>
          </w:tcPr>
          <w:p w:rsidR="00CD5EAC" w:rsidRPr="0037541B" w:rsidRDefault="00CD5EAC" w:rsidP="0037541B">
            <w:pPr>
              <w:rPr>
                <w:rFonts w:ascii="Calibri" w:eastAsia="Times New Roman" w:hAnsi="Calibri" w:cs="Times New Roman"/>
                <w:b/>
                <w:bCs/>
                <w:color w:val="000000"/>
                <w:sz w:val="20"/>
                <w:szCs w:val="20"/>
              </w:rPr>
            </w:pPr>
            <w:r w:rsidRPr="0037541B">
              <w:rPr>
                <w:rFonts w:ascii="Calibri" w:eastAsia="Times New Roman" w:hAnsi="Calibri" w:cs="Times New Roman"/>
                <w:b/>
                <w:bCs/>
                <w:color w:val="000000"/>
                <w:sz w:val="20"/>
                <w:szCs w:val="20"/>
              </w:rPr>
              <w:t>Duquesne</w:t>
            </w:r>
          </w:p>
        </w:tc>
        <w:tc>
          <w:tcPr>
            <w:tcW w:w="2520" w:type="dxa"/>
            <w:tcBorders>
              <w:top w:val="nil"/>
              <w:left w:val="nil"/>
              <w:bottom w:val="single" w:sz="8" w:space="0" w:color="448A99"/>
              <w:right w:val="single" w:sz="8" w:space="0" w:color="448A99"/>
            </w:tcBorders>
            <w:shd w:val="clear" w:color="000000" w:fill="D2EAF1"/>
            <w:vAlign w:val="center"/>
          </w:tcPr>
          <w:p w:rsidR="00CD5EAC" w:rsidRDefault="00CD5EAC">
            <w:pPr>
              <w:jc w:val="center"/>
              <w:rPr>
                <w:rFonts w:ascii="Calibri" w:hAnsi="Calibri"/>
                <w:color w:val="000000"/>
                <w:sz w:val="20"/>
                <w:szCs w:val="20"/>
              </w:rPr>
            </w:pPr>
            <w:r>
              <w:rPr>
                <w:rFonts w:ascii="Calibri" w:hAnsi="Calibri"/>
                <w:color w:val="000000"/>
                <w:sz w:val="20"/>
                <w:szCs w:val="20"/>
              </w:rPr>
              <w:t>44,954</w:t>
            </w:r>
          </w:p>
        </w:tc>
        <w:tc>
          <w:tcPr>
            <w:tcW w:w="2070" w:type="dxa"/>
            <w:tcBorders>
              <w:top w:val="nil"/>
              <w:left w:val="nil"/>
              <w:bottom w:val="single" w:sz="8" w:space="0" w:color="448A99"/>
              <w:right w:val="single" w:sz="8" w:space="0" w:color="448A99"/>
            </w:tcBorders>
            <w:shd w:val="clear" w:color="000000" w:fill="D2EAF1"/>
            <w:vAlign w:val="center"/>
          </w:tcPr>
          <w:p w:rsidR="00CD5EAC" w:rsidRDefault="00CD5EAC">
            <w:pPr>
              <w:jc w:val="center"/>
              <w:rPr>
                <w:rFonts w:ascii="Calibri" w:hAnsi="Calibri"/>
                <w:color w:val="000000"/>
                <w:sz w:val="20"/>
                <w:szCs w:val="20"/>
              </w:rPr>
            </w:pPr>
            <w:r>
              <w:rPr>
                <w:rFonts w:ascii="Calibri" w:hAnsi="Calibri"/>
                <w:color w:val="000000"/>
                <w:sz w:val="20"/>
                <w:szCs w:val="20"/>
              </w:rPr>
              <w:t>33.9%</w:t>
            </w:r>
          </w:p>
        </w:tc>
        <w:tc>
          <w:tcPr>
            <w:tcW w:w="2188" w:type="dxa"/>
            <w:tcBorders>
              <w:top w:val="nil"/>
              <w:left w:val="nil"/>
              <w:bottom w:val="single" w:sz="8" w:space="0" w:color="448A99"/>
              <w:right w:val="single" w:sz="8" w:space="0" w:color="448A99"/>
            </w:tcBorders>
            <w:shd w:val="clear" w:color="000000" w:fill="D2EAF1"/>
            <w:vAlign w:val="center"/>
          </w:tcPr>
          <w:p w:rsidR="00CD5EAC" w:rsidRDefault="00CD5EAC">
            <w:pPr>
              <w:jc w:val="center"/>
              <w:rPr>
                <w:rFonts w:ascii="Calibri" w:hAnsi="Calibri"/>
                <w:color w:val="000000"/>
                <w:sz w:val="20"/>
                <w:szCs w:val="20"/>
              </w:rPr>
            </w:pPr>
            <w:r>
              <w:rPr>
                <w:rFonts w:ascii="Calibri" w:hAnsi="Calibri"/>
                <w:color w:val="000000"/>
                <w:sz w:val="20"/>
                <w:szCs w:val="20"/>
              </w:rPr>
              <w:t>10.2%</w:t>
            </w:r>
          </w:p>
        </w:tc>
      </w:tr>
      <w:tr w:rsidR="00CD5EAC" w:rsidRPr="0037541B" w:rsidTr="004003B8">
        <w:trPr>
          <w:trHeight w:hRule="exact" w:val="288"/>
          <w:jc w:val="center"/>
        </w:trPr>
        <w:tc>
          <w:tcPr>
            <w:tcW w:w="2459" w:type="dxa"/>
            <w:tcBorders>
              <w:top w:val="nil"/>
              <w:left w:val="single" w:sz="8" w:space="0" w:color="4BACC6"/>
              <w:bottom w:val="single" w:sz="8" w:space="0" w:color="4BACC6"/>
              <w:right w:val="single" w:sz="8" w:space="0" w:color="448A99"/>
            </w:tcBorders>
            <w:shd w:val="clear" w:color="auto" w:fill="auto"/>
            <w:vAlign w:val="center"/>
            <w:hideMark/>
          </w:tcPr>
          <w:p w:rsidR="00CD5EAC" w:rsidRPr="0037541B" w:rsidRDefault="00CD5EAC" w:rsidP="0037541B">
            <w:pPr>
              <w:rPr>
                <w:rFonts w:ascii="Calibri" w:eastAsia="Times New Roman" w:hAnsi="Calibri" w:cs="Times New Roman"/>
                <w:b/>
                <w:bCs/>
                <w:color w:val="000000"/>
                <w:sz w:val="20"/>
                <w:szCs w:val="20"/>
              </w:rPr>
            </w:pPr>
            <w:r w:rsidRPr="0037541B">
              <w:rPr>
                <w:rFonts w:ascii="Calibri" w:eastAsia="Times New Roman" w:hAnsi="Calibri" w:cs="Times New Roman"/>
                <w:b/>
                <w:bCs/>
                <w:color w:val="000000"/>
                <w:sz w:val="20"/>
                <w:szCs w:val="20"/>
              </w:rPr>
              <w:t>*FE: Met-Ed</w:t>
            </w:r>
          </w:p>
        </w:tc>
        <w:tc>
          <w:tcPr>
            <w:tcW w:w="2520" w:type="dxa"/>
            <w:tcBorders>
              <w:top w:val="nil"/>
              <w:left w:val="nil"/>
              <w:bottom w:val="single" w:sz="8" w:space="0" w:color="448A99"/>
              <w:right w:val="single" w:sz="8" w:space="0" w:color="448A99"/>
            </w:tcBorders>
            <w:shd w:val="clear" w:color="auto" w:fill="auto"/>
            <w:vAlign w:val="center"/>
          </w:tcPr>
          <w:p w:rsidR="00CD5EAC" w:rsidRDefault="00CD5EAC">
            <w:pPr>
              <w:jc w:val="center"/>
              <w:rPr>
                <w:rFonts w:ascii="Calibri" w:hAnsi="Calibri"/>
                <w:color w:val="000000"/>
                <w:sz w:val="20"/>
                <w:szCs w:val="20"/>
              </w:rPr>
            </w:pPr>
            <w:r>
              <w:rPr>
                <w:rFonts w:ascii="Calibri" w:hAnsi="Calibri"/>
                <w:color w:val="000000"/>
                <w:sz w:val="20"/>
                <w:szCs w:val="20"/>
              </w:rPr>
              <w:t>20,913</w:t>
            </w:r>
          </w:p>
        </w:tc>
        <w:tc>
          <w:tcPr>
            <w:tcW w:w="2070" w:type="dxa"/>
            <w:tcBorders>
              <w:top w:val="nil"/>
              <w:left w:val="nil"/>
              <w:bottom w:val="single" w:sz="8" w:space="0" w:color="4BACC6"/>
              <w:right w:val="single" w:sz="8" w:space="0" w:color="448A99"/>
            </w:tcBorders>
            <w:shd w:val="clear" w:color="auto" w:fill="auto"/>
            <w:vAlign w:val="center"/>
          </w:tcPr>
          <w:p w:rsidR="00CD5EAC" w:rsidRDefault="00CD5EAC">
            <w:pPr>
              <w:jc w:val="center"/>
              <w:rPr>
                <w:rFonts w:ascii="Calibri" w:hAnsi="Calibri"/>
                <w:color w:val="000000"/>
                <w:sz w:val="20"/>
                <w:szCs w:val="20"/>
              </w:rPr>
            </w:pPr>
            <w:r>
              <w:rPr>
                <w:rFonts w:ascii="Calibri" w:hAnsi="Calibri"/>
                <w:color w:val="000000"/>
                <w:sz w:val="20"/>
                <w:szCs w:val="20"/>
              </w:rPr>
              <w:t>25.7%</w:t>
            </w:r>
          </w:p>
        </w:tc>
        <w:tc>
          <w:tcPr>
            <w:tcW w:w="2188" w:type="dxa"/>
            <w:tcBorders>
              <w:top w:val="nil"/>
              <w:left w:val="nil"/>
              <w:bottom w:val="single" w:sz="8" w:space="0" w:color="448A99"/>
              <w:right w:val="single" w:sz="8" w:space="0" w:color="448A99"/>
            </w:tcBorders>
            <w:shd w:val="clear" w:color="auto" w:fill="auto"/>
            <w:vAlign w:val="center"/>
          </w:tcPr>
          <w:p w:rsidR="00CD5EAC" w:rsidRDefault="00CD5EAC">
            <w:pPr>
              <w:jc w:val="center"/>
              <w:rPr>
                <w:rFonts w:ascii="Calibri" w:hAnsi="Calibri"/>
                <w:color w:val="000000"/>
                <w:sz w:val="20"/>
                <w:szCs w:val="20"/>
              </w:rPr>
            </w:pPr>
            <w:r>
              <w:rPr>
                <w:rFonts w:ascii="Calibri" w:hAnsi="Calibri"/>
                <w:color w:val="000000"/>
                <w:sz w:val="20"/>
                <w:szCs w:val="20"/>
              </w:rPr>
              <w:t>3.5%</w:t>
            </w:r>
          </w:p>
        </w:tc>
      </w:tr>
      <w:tr w:rsidR="00CD5EAC" w:rsidRPr="0037541B" w:rsidTr="004003B8">
        <w:trPr>
          <w:trHeight w:hRule="exact" w:val="288"/>
          <w:jc w:val="center"/>
        </w:trPr>
        <w:tc>
          <w:tcPr>
            <w:tcW w:w="2459" w:type="dxa"/>
            <w:tcBorders>
              <w:top w:val="nil"/>
              <w:left w:val="single" w:sz="8" w:space="0" w:color="448A99"/>
              <w:bottom w:val="single" w:sz="8" w:space="0" w:color="448A99"/>
              <w:right w:val="single" w:sz="8" w:space="0" w:color="448A99"/>
            </w:tcBorders>
            <w:shd w:val="clear" w:color="000000" w:fill="D2EAF1"/>
            <w:vAlign w:val="center"/>
            <w:hideMark/>
          </w:tcPr>
          <w:p w:rsidR="00CD5EAC" w:rsidRPr="0037541B" w:rsidRDefault="00CD5EAC" w:rsidP="0037541B">
            <w:pPr>
              <w:rPr>
                <w:rFonts w:ascii="Calibri" w:eastAsia="Times New Roman" w:hAnsi="Calibri" w:cs="Times New Roman"/>
                <w:b/>
                <w:bCs/>
                <w:color w:val="000000"/>
                <w:sz w:val="20"/>
                <w:szCs w:val="20"/>
              </w:rPr>
            </w:pPr>
            <w:r w:rsidRPr="0037541B">
              <w:rPr>
                <w:rFonts w:ascii="Calibri" w:eastAsia="Times New Roman" w:hAnsi="Calibri" w:cs="Times New Roman"/>
                <w:b/>
                <w:bCs/>
                <w:color w:val="000000"/>
                <w:sz w:val="20"/>
                <w:szCs w:val="20"/>
              </w:rPr>
              <w:t>*FE: Penelec</w:t>
            </w:r>
          </w:p>
        </w:tc>
        <w:tc>
          <w:tcPr>
            <w:tcW w:w="2520" w:type="dxa"/>
            <w:tcBorders>
              <w:top w:val="nil"/>
              <w:left w:val="nil"/>
              <w:bottom w:val="single" w:sz="8" w:space="0" w:color="448A99"/>
              <w:right w:val="single" w:sz="8" w:space="0" w:color="448A99"/>
            </w:tcBorders>
            <w:shd w:val="clear" w:color="000000" w:fill="D2EAF1"/>
            <w:vAlign w:val="center"/>
          </w:tcPr>
          <w:p w:rsidR="00CD5EAC" w:rsidRDefault="00CD5EAC">
            <w:pPr>
              <w:jc w:val="center"/>
              <w:rPr>
                <w:rFonts w:ascii="Calibri" w:hAnsi="Calibri"/>
                <w:color w:val="000000"/>
                <w:sz w:val="20"/>
                <w:szCs w:val="20"/>
              </w:rPr>
            </w:pPr>
            <w:r>
              <w:rPr>
                <w:rFonts w:ascii="Calibri" w:hAnsi="Calibri"/>
                <w:color w:val="000000"/>
                <w:sz w:val="20"/>
                <w:szCs w:val="20"/>
              </w:rPr>
              <w:t>32,689</w:t>
            </w:r>
          </w:p>
        </w:tc>
        <w:tc>
          <w:tcPr>
            <w:tcW w:w="2070" w:type="dxa"/>
            <w:tcBorders>
              <w:top w:val="nil"/>
              <w:left w:val="nil"/>
              <w:bottom w:val="single" w:sz="8" w:space="0" w:color="448A99"/>
              <w:right w:val="single" w:sz="8" w:space="0" w:color="448A99"/>
            </w:tcBorders>
            <w:shd w:val="clear" w:color="000000" w:fill="D2EAF1"/>
            <w:vAlign w:val="center"/>
          </w:tcPr>
          <w:p w:rsidR="00CD5EAC" w:rsidRDefault="00CD5EAC">
            <w:pPr>
              <w:jc w:val="center"/>
              <w:rPr>
                <w:rFonts w:ascii="Calibri" w:hAnsi="Calibri"/>
                <w:color w:val="000000"/>
                <w:sz w:val="20"/>
                <w:szCs w:val="20"/>
              </w:rPr>
            </w:pPr>
            <w:r>
              <w:rPr>
                <w:rFonts w:ascii="Calibri" w:hAnsi="Calibri"/>
                <w:color w:val="000000"/>
                <w:sz w:val="20"/>
                <w:szCs w:val="20"/>
              </w:rPr>
              <w:t>33.6%</w:t>
            </w:r>
          </w:p>
        </w:tc>
        <w:tc>
          <w:tcPr>
            <w:tcW w:w="2188" w:type="dxa"/>
            <w:tcBorders>
              <w:top w:val="nil"/>
              <w:left w:val="nil"/>
              <w:bottom w:val="single" w:sz="8" w:space="0" w:color="448A99"/>
              <w:right w:val="single" w:sz="8" w:space="0" w:color="448A99"/>
            </w:tcBorders>
            <w:shd w:val="clear" w:color="000000" w:fill="D2EAF1"/>
            <w:vAlign w:val="center"/>
          </w:tcPr>
          <w:p w:rsidR="00CD5EAC" w:rsidRDefault="00CD5EAC">
            <w:pPr>
              <w:jc w:val="center"/>
              <w:rPr>
                <w:rFonts w:ascii="Calibri" w:hAnsi="Calibri"/>
                <w:color w:val="000000"/>
                <w:sz w:val="20"/>
                <w:szCs w:val="20"/>
              </w:rPr>
            </w:pPr>
            <w:r>
              <w:rPr>
                <w:rFonts w:ascii="Calibri" w:hAnsi="Calibri"/>
                <w:color w:val="000000"/>
                <w:sz w:val="20"/>
                <w:szCs w:val="20"/>
              </w:rPr>
              <w:t>5.8%</w:t>
            </w:r>
          </w:p>
        </w:tc>
      </w:tr>
      <w:tr w:rsidR="00CD5EAC" w:rsidRPr="0037541B" w:rsidTr="004003B8">
        <w:trPr>
          <w:trHeight w:hRule="exact" w:val="288"/>
          <w:jc w:val="center"/>
        </w:trPr>
        <w:tc>
          <w:tcPr>
            <w:tcW w:w="2459" w:type="dxa"/>
            <w:tcBorders>
              <w:top w:val="nil"/>
              <w:left w:val="single" w:sz="8" w:space="0" w:color="4BACC6"/>
              <w:bottom w:val="single" w:sz="8" w:space="0" w:color="4BACC6"/>
              <w:right w:val="single" w:sz="8" w:space="0" w:color="448A99"/>
            </w:tcBorders>
            <w:shd w:val="clear" w:color="auto" w:fill="auto"/>
            <w:vAlign w:val="center"/>
            <w:hideMark/>
          </w:tcPr>
          <w:p w:rsidR="00CD5EAC" w:rsidRPr="0037541B" w:rsidRDefault="00CD5EAC" w:rsidP="0037541B">
            <w:pPr>
              <w:rPr>
                <w:rFonts w:ascii="Calibri" w:eastAsia="Times New Roman" w:hAnsi="Calibri" w:cs="Times New Roman"/>
                <w:b/>
                <w:bCs/>
                <w:color w:val="000000"/>
                <w:sz w:val="20"/>
                <w:szCs w:val="20"/>
              </w:rPr>
            </w:pPr>
            <w:r w:rsidRPr="0037541B">
              <w:rPr>
                <w:rFonts w:ascii="Calibri" w:eastAsia="Times New Roman" w:hAnsi="Calibri" w:cs="Times New Roman"/>
                <w:b/>
                <w:bCs/>
                <w:color w:val="000000"/>
                <w:sz w:val="20"/>
                <w:szCs w:val="20"/>
              </w:rPr>
              <w:t>FE: Penn Power</w:t>
            </w:r>
          </w:p>
        </w:tc>
        <w:tc>
          <w:tcPr>
            <w:tcW w:w="2520" w:type="dxa"/>
            <w:tcBorders>
              <w:top w:val="nil"/>
              <w:left w:val="nil"/>
              <w:bottom w:val="single" w:sz="8" w:space="0" w:color="448A99"/>
              <w:right w:val="single" w:sz="8" w:space="0" w:color="448A99"/>
            </w:tcBorders>
            <w:shd w:val="clear" w:color="auto" w:fill="auto"/>
            <w:vAlign w:val="center"/>
          </w:tcPr>
          <w:p w:rsidR="00CD5EAC" w:rsidRDefault="00CD5EAC">
            <w:pPr>
              <w:jc w:val="center"/>
              <w:rPr>
                <w:rFonts w:ascii="Calibri" w:hAnsi="Calibri"/>
                <w:color w:val="000000"/>
                <w:sz w:val="20"/>
                <w:szCs w:val="20"/>
              </w:rPr>
            </w:pPr>
            <w:r>
              <w:rPr>
                <w:rFonts w:ascii="Calibri" w:hAnsi="Calibri"/>
                <w:color w:val="000000"/>
                <w:sz w:val="20"/>
                <w:szCs w:val="20"/>
              </w:rPr>
              <w:t>6,103</w:t>
            </w:r>
          </w:p>
        </w:tc>
        <w:tc>
          <w:tcPr>
            <w:tcW w:w="2070" w:type="dxa"/>
            <w:tcBorders>
              <w:top w:val="nil"/>
              <w:left w:val="nil"/>
              <w:bottom w:val="single" w:sz="8" w:space="0" w:color="4BACC6"/>
              <w:right w:val="single" w:sz="8" w:space="0" w:color="448A99"/>
            </w:tcBorders>
            <w:shd w:val="clear" w:color="auto" w:fill="auto"/>
            <w:vAlign w:val="center"/>
          </w:tcPr>
          <w:p w:rsidR="00CD5EAC" w:rsidRDefault="00CD5EAC">
            <w:pPr>
              <w:jc w:val="center"/>
              <w:rPr>
                <w:rFonts w:ascii="Calibri" w:hAnsi="Calibri"/>
                <w:color w:val="000000"/>
                <w:sz w:val="20"/>
                <w:szCs w:val="20"/>
              </w:rPr>
            </w:pPr>
            <w:r>
              <w:rPr>
                <w:rFonts w:ascii="Calibri" w:hAnsi="Calibri"/>
                <w:color w:val="000000"/>
                <w:sz w:val="20"/>
                <w:szCs w:val="20"/>
              </w:rPr>
              <w:t>22.7%</w:t>
            </w:r>
          </w:p>
        </w:tc>
        <w:tc>
          <w:tcPr>
            <w:tcW w:w="2188" w:type="dxa"/>
            <w:tcBorders>
              <w:top w:val="nil"/>
              <w:left w:val="nil"/>
              <w:bottom w:val="single" w:sz="8" w:space="0" w:color="448A99"/>
              <w:right w:val="single" w:sz="8" w:space="0" w:color="448A99"/>
            </w:tcBorders>
            <w:shd w:val="clear" w:color="auto" w:fill="auto"/>
            <w:vAlign w:val="center"/>
          </w:tcPr>
          <w:p w:rsidR="00CD5EAC" w:rsidRDefault="00CD5EAC">
            <w:pPr>
              <w:jc w:val="center"/>
              <w:rPr>
                <w:rFonts w:ascii="Calibri" w:hAnsi="Calibri"/>
                <w:color w:val="000000"/>
                <w:sz w:val="20"/>
                <w:szCs w:val="20"/>
              </w:rPr>
            </w:pPr>
            <w:r>
              <w:rPr>
                <w:rFonts w:ascii="Calibri" w:hAnsi="Calibri"/>
                <w:color w:val="000000"/>
                <w:sz w:val="20"/>
                <w:szCs w:val="20"/>
              </w:rPr>
              <w:t>3.9%</w:t>
            </w:r>
          </w:p>
        </w:tc>
      </w:tr>
      <w:tr w:rsidR="00CD5EAC" w:rsidRPr="0037541B" w:rsidTr="004003B8">
        <w:trPr>
          <w:trHeight w:hRule="exact" w:val="288"/>
          <w:jc w:val="center"/>
        </w:trPr>
        <w:tc>
          <w:tcPr>
            <w:tcW w:w="2459" w:type="dxa"/>
            <w:tcBorders>
              <w:top w:val="nil"/>
              <w:left w:val="single" w:sz="8" w:space="0" w:color="448A99"/>
              <w:bottom w:val="single" w:sz="8" w:space="0" w:color="448A99"/>
              <w:right w:val="single" w:sz="8" w:space="0" w:color="448A99"/>
            </w:tcBorders>
            <w:shd w:val="clear" w:color="000000" w:fill="D2EAF1"/>
            <w:vAlign w:val="center"/>
            <w:hideMark/>
          </w:tcPr>
          <w:p w:rsidR="00CD5EAC" w:rsidRPr="0037541B" w:rsidRDefault="00CD5EAC" w:rsidP="0037541B">
            <w:pPr>
              <w:rPr>
                <w:rFonts w:ascii="Calibri" w:eastAsia="Times New Roman" w:hAnsi="Calibri" w:cs="Times New Roman"/>
                <w:b/>
                <w:bCs/>
                <w:color w:val="000000"/>
                <w:sz w:val="20"/>
                <w:szCs w:val="20"/>
              </w:rPr>
            </w:pPr>
            <w:r w:rsidRPr="0037541B">
              <w:rPr>
                <w:rFonts w:ascii="Calibri" w:eastAsia="Times New Roman" w:hAnsi="Calibri" w:cs="Times New Roman"/>
                <w:b/>
                <w:bCs/>
                <w:color w:val="000000"/>
                <w:sz w:val="20"/>
                <w:szCs w:val="20"/>
              </w:rPr>
              <w:t>FE: WPP</w:t>
            </w:r>
          </w:p>
        </w:tc>
        <w:tc>
          <w:tcPr>
            <w:tcW w:w="2520" w:type="dxa"/>
            <w:tcBorders>
              <w:top w:val="nil"/>
              <w:left w:val="nil"/>
              <w:bottom w:val="single" w:sz="8" w:space="0" w:color="448A99"/>
              <w:right w:val="single" w:sz="8" w:space="0" w:color="448A99"/>
            </w:tcBorders>
            <w:shd w:val="clear" w:color="000000" w:fill="D2EAF1"/>
            <w:vAlign w:val="center"/>
          </w:tcPr>
          <w:p w:rsidR="00CD5EAC" w:rsidRDefault="00CD5EAC">
            <w:pPr>
              <w:jc w:val="center"/>
              <w:rPr>
                <w:rFonts w:ascii="Calibri" w:hAnsi="Calibri"/>
                <w:color w:val="000000"/>
                <w:sz w:val="20"/>
                <w:szCs w:val="20"/>
              </w:rPr>
            </w:pPr>
            <w:r>
              <w:rPr>
                <w:rFonts w:ascii="Calibri" w:hAnsi="Calibri"/>
                <w:color w:val="000000"/>
                <w:sz w:val="20"/>
                <w:szCs w:val="20"/>
              </w:rPr>
              <w:t>25,831</w:t>
            </w:r>
          </w:p>
        </w:tc>
        <w:tc>
          <w:tcPr>
            <w:tcW w:w="2070" w:type="dxa"/>
            <w:tcBorders>
              <w:top w:val="nil"/>
              <w:left w:val="nil"/>
              <w:bottom w:val="single" w:sz="8" w:space="0" w:color="448A99"/>
              <w:right w:val="single" w:sz="8" w:space="0" w:color="448A99"/>
            </w:tcBorders>
            <w:shd w:val="clear" w:color="000000" w:fill="D2EAF1"/>
            <w:vAlign w:val="center"/>
          </w:tcPr>
          <w:p w:rsidR="00CD5EAC" w:rsidRDefault="00CD5EAC">
            <w:pPr>
              <w:jc w:val="center"/>
              <w:rPr>
                <w:rFonts w:ascii="Calibri" w:hAnsi="Calibri"/>
                <w:color w:val="000000"/>
                <w:sz w:val="20"/>
                <w:szCs w:val="20"/>
              </w:rPr>
            </w:pPr>
            <w:r>
              <w:rPr>
                <w:rFonts w:ascii="Calibri" w:hAnsi="Calibri"/>
                <w:color w:val="000000"/>
                <w:sz w:val="20"/>
                <w:szCs w:val="20"/>
              </w:rPr>
              <w:t>31.6%</w:t>
            </w:r>
          </w:p>
        </w:tc>
        <w:tc>
          <w:tcPr>
            <w:tcW w:w="2188" w:type="dxa"/>
            <w:tcBorders>
              <w:top w:val="nil"/>
              <w:left w:val="nil"/>
              <w:bottom w:val="single" w:sz="8" w:space="0" w:color="448A99"/>
              <w:right w:val="single" w:sz="8" w:space="0" w:color="448A99"/>
            </w:tcBorders>
            <w:shd w:val="clear" w:color="000000" w:fill="D2EAF1"/>
            <w:vAlign w:val="center"/>
          </w:tcPr>
          <w:p w:rsidR="00CD5EAC" w:rsidRDefault="00CD5EAC">
            <w:pPr>
              <w:jc w:val="center"/>
              <w:rPr>
                <w:rFonts w:ascii="Calibri" w:hAnsi="Calibri"/>
                <w:color w:val="000000"/>
                <w:sz w:val="20"/>
                <w:szCs w:val="20"/>
              </w:rPr>
            </w:pPr>
            <w:r>
              <w:rPr>
                <w:rFonts w:ascii="Calibri" w:hAnsi="Calibri"/>
                <w:color w:val="000000"/>
                <w:sz w:val="20"/>
                <w:szCs w:val="20"/>
              </w:rPr>
              <w:t>4.8%</w:t>
            </w:r>
          </w:p>
        </w:tc>
      </w:tr>
      <w:tr w:rsidR="00CD5EAC" w:rsidRPr="0037541B" w:rsidTr="004003B8">
        <w:trPr>
          <w:trHeight w:hRule="exact" w:val="288"/>
          <w:jc w:val="center"/>
        </w:trPr>
        <w:tc>
          <w:tcPr>
            <w:tcW w:w="2459" w:type="dxa"/>
            <w:tcBorders>
              <w:top w:val="nil"/>
              <w:left w:val="single" w:sz="8" w:space="0" w:color="4BACC6"/>
              <w:bottom w:val="single" w:sz="8" w:space="0" w:color="4BACC6"/>
              <w:right w:val="single" w:sz="8" w:space="0" w:color="448A99"/>
            </w:tcBorders>
            <w:shd w:val="clear" w:color="auto" w:fill="auto"/>
            <w:vAlign w:val="center"/>
            <w:hideMark/>
          </w:tcPr>
          <w:p w:rsidR="00CD5EAC" w:rsidRPr="0037541B" w:rsidRDefault="00CD5EAC" w:rsidP="0037541B">
            <w:pPr>
              <w:rPr>
                <w:rFonts w:ascii="Calibri" w:eastAsia="Times New Roman" w:hAnsi="Calibri" w:cs="Times New Roman"/>
                <w:b/>
                <w:bCs/>
                <w:color w:val="000000"/>
                <w:sz w:val="20"/>
                <w:szCs w:val="20"/>
              </w:rPr>
            </w:pPr>
            <w:r w:rsidRPr="0037541B">
              <w:rPr>
                <w:rFonts w:ascii="Calibri" w:eastAsia="Times New Roman" w:hAnsi="Calibri" w:cs="Times New Roman"/>
                <w:b/>
                <w:bCs/>
                <w:color w:val="000000"/>
                <w:sz w:val="20"/>
                <w:szCs w:val="20"/>
              </w:rPr>
              <w:t>PECO</w:t>
            </w:r>
          </w:p>
        </w:tc>
        <w:tc>
          <w:tcPr>
            <w:tcW w:w="2520" w:type="dxa"/>
            <w:tcBorders>
              <w:top w:val="nil"/>
              <w:left w:val="nil"/>
              <w:bottom w:val="single" w:sz="8" w:space="0" w:color="448A99"/>
              <w:right w:val="single" w:sz="8" w:space="0" w:color="448A99"/>
            </w:tcBorders>
            <w:shd w:val="clear" w:color="auto" w:fill="auto"/>
            <w:vAlign w:val="center"/>
          </w:tcPr>
          <w:p w:rsidR="00CD5EAC" w:rsidRDefault="00CD5EAC">
            <w:pPr>
              <w:jc w:val="center"/>
              <w:rPr>
                <w:rFonts w:ascii="Calibri" w:hAnsi="Calibri"/>
                <w:color w:val="000000"/>
                <w:sz w:val="20"/>
                <w:szCs w:val="20"/>
              </w:rPr>
            </w:pPr>
            <w:r>
              <w:rPr>
                <w:rFonts w:ascii="Calibri" w:hAnsi="Calibri"/>
                <w:color w:val="000000"/>
                <w:sz w:val="20"/>
                <w:szCs w:val="20"/>
              </w:rPr>
              <w:t>179,031</w:t>
            </w:r>
          </w:p>
        </w:tc>
        <w:tc>
          <w:tcPr>
            <w:tcW w:w="2070" w:type="dxa"/>
            <w:tcBorders>
              <w:top w:val="nil"/>
              <w:left w:val="nil"/>
              <w:bottom w:val="single" w:sz="8" w:space="0" w:color="4BACC6"/>
              <w:right w:val="single" w:sz="8" w:space="0" w:color="448A99"/>
            </w:tcBorders>
            <w:shd w:val="clear" w:color="auto" w:fill="auto"/>
            <w:vAlign w:val="center"/>
          </w:tcPr>
          <w:p w:rsidR="00CD5EAC" w:rsidRDefault="00CD5EAC">
            <w:pPr>
              <w:jc w:val="center"/>
              <w:rPr>
                <w:rFonts w:ascii="Calibri" w:hAnsi="Calibri"/>
                <w:color w:val="000000"/>
                <w:sz w:val="20"/>
                <w:szCs w:val="20"/>
              </w:rPr>
            </w:pPr>
            <w:r>
              <w:rPr>
                <w:rFonts w:ascii="Calibri" w:hAnsi="Calibri"/>
                <w:color w:val="000000"/>
                <w:sz w:val="20"/>
                <w:szCs w:val="20"/>
              </w:rPr>
              <w:t>33.3%</w:t>
            </w:r>
          </w:p>
        </w:tc>
        <w:tc>
          <w:tcPr>
            <w:tcW w:w="2188" w:type="dxa"/>
            <w:tcBorders>
              <w:top w:val="nil"/>
              <w:left w:val="nil"/>
              <w:bottom w:val="single" w:sz="8" w:space="0" w:color="448A99"/>
              <w:right w:val="single" w:sz="8" w:space="0" w:color="448A99"/>
            </w:tcBorders>
            <w:shd w:val="clear" w:color="auto" w:fill="auto"/>
            <w:vAlign w:val="center"/>
          </w:tcPr>
          <w:p w:rsidR="00CD5EAC" w:rsidRDefault="00CD5EAC">
            <w:pPr>
              <w:jc w:val="center"/>
              <w:rPr>
                <w:rFonts w:ascii="Calibri" w:hAnsi="Calibri"/>
                <w:color w:val="000000"/>
                <w:sz w:val="20"/>
                <w:szCs w:val="20"/>
              </w:rPr>
            </w:pPr>
            <w:r>
              <w:rPr>
                <w:rFonts w:ascii="Calibri" w:hAnsi="Calibri"/>
                <w:color w:val="000000"/>
                <w:sz w:val="20"/>
                <w:szCs w:val="20"/>
              </w:rPr>
              <w:t>9.1%</w:t>
            </w:r>
          </w:p>
        </w:tc>
      </w:tr>
      <w:tr w:rsidR="00CD5EAC" w:rsidRPr="0037541B" w:rsidTr="004003B8">
        <w:trPr>
          <w:trHeight w:hRule="exact" w:val="288"/>
          <w:jc w:val="center"/>
        </w:trPr>
        <w:tc>
          <w:tcPr>
            <w:tcW w:w="2459" w:type="dxa"/>
            <w:tcBorders>
              <w:top w:val="nil"/>
              <w:left w:val="single" w:sz="8" w:space="0" w:color="448A99"/>
              <w:bottom w:val="single" w:sz="8" w:space="0" w:color="448A99"/>
              <w:right w:val="single" w:sz="8" w:space="0" w:color="448A99"/>
            </w:tcBorders>
            <w:shd w:val="clear" w:color="000000" w:fill="D2EAF1"/>
            <w:vAlign w:val="center"/>
            <w:hideMark/>
          </w:tcPr>
          <w:p w:rsidR="00CD5EAC" w:rsidRPr="0037541B" w:rsidRDefault="00CD5EAC" w:rsidP="0037541B">
            <w:pPr>
              <w:rPr>
                <w:rFonts w:ascii="Calibri" w:eastAsia="Times New Roman" w:hAnsi="Calibri" w:cs="Times New Roman"/>
                <w:b/>
                <w:bCs/>
                <w:color w:val="000000"/>
                <w:sz w:val="20"/>
                <w:szCs w:val="20"/>
              </w:rPr>
            </w:pPr>
            <w:r w:rsidRPr="0037541B">
              <w:rPr>
                <w:rFonts w:ascii="Calibri" w:eastAsia="Times New Roman" w:hAnsi="Calibri" w:cs="Times New Roman"/>
                <w:b/>
                <w:bCs/>
                <w:color w:val="000000"/>
                <w:sz w:val="20"/>
                <w:szCs w:val="20"/>
              </w:rPr>
              <w:t>*PPL</w:t>
            </w:r>
          </w:p>
        </w:tc>
        <w:tc>
          <w:tcPr>
            <w:tcW w:w="2520" w:type="dxa"/>
            <w:tcBorders>
              <w:top w:val="nil"/>
              <w:left w:val="nil"/>
              <w:bottom w:val="single" w:sz="8" w:space="0" w:color="448A99"/>
              <w:right w:val="single" w:sz="8" w:space="0" w:color="448A99"/>
            </w:tcBorders>
            <w:shd w:val="clear" w:color="000000" w:fill="D2EAF1"/>
            <w:vAlign w:val="center"/>
          </w:tcPr>
          <w:p w:rsidR="00CD5EAC" w:rsidRDefault="00CD5EAC">
            <w:pPr>
              <w:jc w:val="center"/>
              <w:rPr>
                <w:rFonts w:ascii="Calibri" w:hAnsi="Calibri"/>
                <w:color w:val="000000"/>
                <w:sz w:val="20"/>
                <w:szCs w:val="20"/>
              </w:rPr>
            </w:pPr>
            <w:r>
              <w:rPr>
                <w:rFonts w:ascii="Calibri" w:hAnsi="Calibri"/>
                <w:color w:val="000000"/>
                <w:sz w:val="20"/>
                <w:szCs w:val="20"/>
              </w:rPr>
              <w:t>84,230</w:t>
            </w:r>
          </w:p>
        </w:tc>
        <w:tc>
          <w:tcPr>
            <w:tcW w:w="2070" w:type="dxa"/>
            <w:tcBorders>
              <w:top w:val="nil"/>
              <w:left w:val="nil"/>
              <w:bottom w:val="single" w:sz="8" w:space="0" w:color="448A99"/>
              <w:right w:val="single" w:sz="8" w:space="0" w:color="448A99"/>
            </w:tcBorders>
            <w:shd w:val="clear" w:color="000000" w:fill="D2EAF1"/>
            <w:vAlign w:val="center"/>
          </w:tcPr>
          <w:p w:rsidR="00CD5EAC" w:rsidRDefault="00CD5EAC">
            <w:pPr>
              <w:jc w:val="center"/>
              <w:rPr>
                <w:rFonts w:ascii="Calibri" w:hAnsi="Calibri"/>
                <w:color w:val="000000"/>
                <w:sz w:val="20"/>
                <w:szCs w:val="20"/>
              </w:rPr>
            </w:pPr>
            <w:r>
              <w:rPr>
                <w:rFonts w:ascii="Calibri" w:hAnsi="Calibri"/>
                <w:color w:val="000000"/>
                <w:sz w:val="20"/>
                <w:szCs w:val="20"/>
              </w:rPr>
              <w:t>27.3%</w:t>
            </w:r>
          </w:p>
        </w:tc>
        <w:tc>
          <w:tcPr>
            <w:tcW w:w="2188" w:type="dxa"/>
            <w:tcBorders>
              <w:top w:val="nil"/>
              <w:left w:val="nil"/>
              <w:bottom w:val="single" w:sz="8" w:space="0" w:color="448A99"/>
              <w:right w:val="single" w:sz="8" w:space="0" w:color="448A99"/>
            </w:tcBorders>
            <w:shd w:val="clear" w:color="000000" w:fill="D2EAF1"/>
            <w:vAlign w:val="center"/>
          </w:tcPr>
          <w:p w:rsidR="00CD5EAC" w:rsidRDefault="00CD5EAC">
            <w:pPr>
              <w:jc w:val="center"/>
              <w:rPr>
                <w:rFonts w:ascii="Calibri" w:hAnsi="Calibri"/>
                <w:color w:val="000000"/>
                <w:sz w:val="20"/>
                <w:szCs w:val="20"/>
              </w:rPr>
            </w:pPr>
            <w:r>
              <w:rPr>
                <w:rFonts w:ascii="Calibri" w:hAnsi="Calibri"/>
                <w:color w:val="000000"/>
                <w:sz w:val="20"/>
                <w:szCs w:val="20"/>
              </w:rPr>
              <w:t>5.8%</w:t>
            </w:r>
          </w:p>
        </w:tc>
      </w:tr>
      <w:tr w:rsidR="00CD5EAC" w:rsidRPr="0037541B" w:rsidTr="004003B8">
        <w:trPr>
          <w:trHeight w:hRule="exact" w:val="288"/>
          <w:jc w:val="center"/>
        </w:trPr>
        <w:tc>
          <w:tcPr>
            <w:tcW w:w="2459" w:type="dxa"/>
            <w:tcBorders>
              <w:top w:val="nil"/>
              <w:left w:val="single" w:sz="8" w:space="0" w:color="4BACC6"/>
              <w:bottom w:val="single" w:sz="8" w:space="0" w:color="4BACC6"/>
              <w:right w:val="single" w:sz="8" w:space="0" w:color="448A99"/>
            </w:tcBorders>
            <w:shd w:val="clear" w:color="auto" w:fill="auto"/>
            <w:vAlign w:val="center"/>
            <w:hideMark/>
          </w:tcPr>
          <w:p w:rsidR="00CD5EAC" w:rsidRPr="0037541B" w:rsidRDefault="00CD5EAC" w:rsidP="0037541B">
            <w:pPr>
              <w:rPr>
                <w:rFonts w:ascii="Calibri" w:eastAsia="Times New Roman" w:hAnsi="Calibri" w:cs="Times New Roman"/>
                <w:b/>
                <w:bCs/>
                <w:color w:val="000000"/>
                <w:sz w:val="20"/>
                <w:szCs w:val="20"/>
              </w:rPr>
            </w:pPr>
            <w:r w:rsidRPr="0037541B">
              <w:rPr>
                <w:rFonts w:ascii="Calibri" w:eastAsia="Times New Roman" w:hAnsi="Calibri" w:cs="Times New Roman"/>
                <w:b/>
                <w:bCs/>
                <w:color w:val="000000"/>
                <w:sz w:val="20"/>
                <w:szCs w:val="20"/>
              </w:rPr>
              <w:t>Statewide</w:t>
            </w:r>
          </w:p>
        </w:tc>
        <w:tc>
          <w:tcPr>
            <w:tcW w:w="2520" w:type="dxa"/>
            <w:tcBorders>
              <w:top w:val="nil"/>
              <w:left w:val="nil"/>
              <w:bottom w:val="single" w:sz="8" w:space="0" w:color="4BACC6"/>
              <w:right w:val="single" w:sz="8" w:space="0" w:color="448A99"/>
            </w:tcBorders>
            <w:shd w:val="clear" w:color="auto" w:fill="auto"/>
            <w:vAlign w:val="center"/>
          </w:tcPr>
          <w:p w:rsidR="00CD5EAC" w:rsidRDefault="00CD5EAC">
            <w:pPr>
              <w:jc w:val="center"/>
              <w:rPr>
                <w:rFonts w:ascii="Calibri" w:hAnsi="Calibri"/>
                <w:b/>
                <w:bCs/>
                <w:color w:val="000000"/>
                <w:sz w:val="20"/>
                <w:szCs w:val="20"/>
              </w:rPr>
            </w:pPr>
            <w:r>
              <w:rPr>
                <w:rFonts w:ascii="Calibri" w:hAnsi="Calibri"/>
                <w:b/>
                <w:bCs/>
                <w:color w:val="000000"/>
                <w:sz w:val="20"/>
                <w:szCs w:val="20"/>
              </w:rPr>
              <w:t>393,752</w:t>
            </w:r>
          </w:p>
        </w:tc>
        <w:tc>
          <w:tcPr>
            <w:tcW w:w="2070" w:type="dxa"/>
            <w:tcBorders>
              <w:top w:val="nil"/>
              <w:left w:val="nil"/>
              <w:bottom w:val="single" w:sz="8" w:space="0" w:color="4BACC6"/>
              <w:right w:val="single" w:sz="8" w:space="0" w:color="448A99"/>
            </w:tcBorders>
            <w:shd w:val="clear" w:color="auto" w:fill="auto"/>
            <w:vAlign w:val="center"/>
          </w:tcPr>
          <w:p w:rsidR="00CD5EAC" w:rsidRDefault="00CD5EAC">
            <w:pPr>
              <w:jc w:val="center"/>
              <w:rPr>
                <w:rFonts w:ascii="Calibri" w:hAnsi="Calibri"/>
                <w:b/>
                <w:bCs/>
                <w:color w:val="000000"/>
                <w:sz w:val="20"/>
                <w:szCs w:val="20"/>
              </w:rPr>
            </w:pPr>
            <w:r>
              <w:rPr>
                <w:rFonts w:ascii="Calibri" w:hAnsi="Calibri"/>
                <w:b/>
                <w:bCs/>
                <w:color w:val="000000"/>
                <w:sz w:val="20"/>
                <w:szCs w:val="20"/>
              </w:rPr>
              <w:t>31.1%</w:t>
            </w:r>
          </w:p>
        </w:tc>
        <w:tc>
          <w:tcPr>
            <w:tcW w:w="2188" w:type="dxa"/>
            <w:tcBorders>
              <w:top w:val="nil"/>
              <w:left w:val="nil"/>
              <w:bottom w:val="single" w:sz="8" w:space="0" w:color="4BACC6"/>
              <w:right w:val="single" w:sz="8" w:space="0" w:color="4BACC6"/>
            </w:tcBorders>
            <w:shd w:val="clear" w:color="auto" w:fill="auto"/>
            <w:vAlign w:val="center"/>
          </w:tcPr>
          <w:p w:rsidR="00CD5EAC" w:rsidRDefault="00CD5EAC">
            <w:pPr>
              <w:jc w:val="center"/>
              <w:rPr>
                <w:rFonts w:ascii="Calibri" w:hAnsi="Calibri"/>
                <w:b/>
                <w:bCs/>
                <w:color w:val="000000"/>
                <w:sz w:val="20"/>
                <w:szCs w:val="20"/>
              </w:rPr>
            </w:pPr>
            <w:r>
              <w:rPr>
                <w:rFonts w:ascii="Calibri" w:hAnsi="Calibri"/>
                <w:b/>
                <w:bCs/>
                <w:color w:val="000000"/>
                <w:sz w:val="20"/>
                <w:szCs w:val="20"/>
              </w:rPr>
              <w:t>6.9%</w:t>
            </w:r>
          </w:p>
        </w:tc>
      </w:tr>
    </w:tbl>
    <w:p w:rsidR="0037541B" w:rsidRDefault="0037541B" w:rsidP="0037541B"/>
    <w:p w:rsidR="00BE0BFC" w:rsidRDefault="00BE0BFC" w:rsidP="00BE0BFC">
      <w:pPr>
        <w:jc w:val="both"/>
      </w:pPr>
      <w:r>
        <w:fldChar w:fldCharType="begin"/>
      </w:r>
      <w:r>
        <w:instrText xml:space="preserve"> REF _Ref420589145 \h </w:instrText>
      </w:r>
      <w:r>
        <w:fldChar w:fldCharType="separate"/>
      </w:r>
      <w:r>
        <w:t xml:space="preserve">Table </w:t>
      </w:r>
      <w:r>
        <w:rPr>
          <w:noProof/>
        </w:rPr>
        <w:t>4</w:t>
      </w:r>
      <w:r>
        <w:noBreakHyphen/>
      </w:r>
      <w:r>
        <w:rPr>
          <w:noProof/>
        </w:rPr>
        <w:t>9</w:t>
      </w:r>
      <w:r>
        <w:fldChar w:fldCharType="end"/>
      </w:r>
      <w:r w:rsidRPr="00BE0BFC">
        <w:t xml:space="preserve"> provides the additional detail regarding the low income carve-outs by EDC associated with the </w:t>
      </w:r>
      <w:r w:rsidR="00CD5EAC">
        <w:t xml:space="preserve">updated </w:t>
      </w:r>
      <w:r w:rsidRPr="00BE0BFC">
        <w:t xml:space="preserve">five-year program potential estimated in </w:t>
      </w:r>
      <w:r w:rsidR="00CD5EAC">
        <w:t xml:space="preserve">this addendum. This table is an </w:t>
      </w:r>
      <w:r w:rsidRPr="00BE0BFC">
        <w:t xml:space="preserve">update to Table </w:t>
      </w:r>
      <w:r>
        <w:t>9</w:t>
      </w:r>
      <w:r w:rsidRPr="00BE0BFC">
        <w:t xml:space="preserve"> of </w:t>
      </w:r>
      <w:r w:rsidR="00BB1D1E" w:rsidRPr="00BB1D1E">
        <w:t>the Addendum to th</w:t>
      </w:r>
      <w:r w:rsidR="00CD5EAC">
        <w:t>e Tentative Implementation Order, but includes only the potential associated with low income specific measures and excludes savings attributed to low income participants in non-low income-specific programs</w:t>
      </w:r>
      <w:r w:rsidRPr="00BE0BFC">
        <w:t>.</w:t>
      </w:r>
    </w:p>
    <w:p w:rsidR="00BC7C87" w:rsidRDefault="00BC7C87" w:rsidP="00BE0BFC">
      <w:pPr>
        <w:jc w:val="both"/>
      </w:pPr>
    </w:p>
    <w:p w:rsidR="00BC7C87" w:rsidRDefault="00BC7C87" w:rsidP="00BE0BFC">
      <w:pPr>
        <w:jc w:val="both"/>
      </w:pPr>
    </w:p>
    <w:p w:rsidR="00BC7C87" w:rsidRDefault="00BC7C87" w:rsidP="00BE0BFC">
      <w:pPr>
        <w:jc w:val="both"/>
      </w:pPr>
    </w:p>
    <w:p w:rsidR="00BC7C87" w:rsidRPr="00BE0BFC" w:rsidRDefault="00BC7C87" w:rsidP="00BE0BFC">
      <w:pPr>
        <w:jc w:val="both"/>
      </w:pPr>
    </w:p>
    <w:p w:rsidR="00BE0BFC" w:rsidRPr="00BE0BFC" w:rsidRDefault="00BE0BFC" w:rsidP="00BE0BFC">
      <w:pPr>
        <w:jc w:val="both"/>
      </w:pPr>
    </w:p>
    <w:p w:rsidR="00BE0BFC" w:rsidRPr="00BE0BFC" w:rsidRDefault="00BE0BFC" w:rsidP="00BE0BFC">
      <w:pPr>
        <w:pStyle w:val="Caption"/>
      </w:pPr>
      <w:bookmarkStart w:id="18" w:name="_Ref420589145"/>
      <w:r>
        <w:lastRenderedPageBreak/>
        <w:t xml:space="preserve">Table </w:t>
      </w:r>
      <w:r w:rsidR="002F7913">
        <w:fldChar w:fldCharType="begin"/>
      </w:r>
      <w:r w:rsidR="002F7913">
        <w:instrText xml:space="preserve"> STYLEREF 1 \</w:instrText>
      </w:r>
      <w:r w:rsidR="002F7913">
        <w:instrText xml:space="preserve">s </w:instrText>
      </w:r>
      <w:r w:rsidR="002F7913">
        <w:fldChar w:fldCharType="separate"/>
      </w:r>
      <w:r>
        <w:rPr>
          <w:noProof/>
        </w:rPr>
        <w:t>4</w:t>
      </w:r>
      <w:r w:rsidR="002F7913">
        <w:rPr>
          <w:noProof/>
        </w:rPr>
        <w:fldChar w:fldCharType="end"/>
      </w:r>
      <w:r>
        <w:noBreakHyphen/>
      </w:r>
      <w:r w:rsidR="002F7913">
        <w:fldChar w:fldCharType="begin"/>
      </w:r>
      <w:r w:rsidR="002F7913">
        <w:instrText xml:space="preserve"> SEQ Table \* ARABIC \s 1 </w:instrText>
      </w:r>
      <w:r w:rsidR="002F7913">
        <w:fldChar w:fldCharType="separate"/>
      </w:r>
      <w:r>
        <w:rPr>
          <w:noProof/>
        </w:rPr>
        <w:t>9</w:t>
      </w:r>
      <w:r w:rsidR="002F7913">
        <w:rPr>
          <w:noProof/>
        </w:rPr>
        <w:fldChar w:fldCharType="end"/>
      </w:r>
      <w:bookmarkEnd w:id="18"/>
      <w:r w:rsidRPr="00BE0BFC">
        <w:t xml:space="preserve">: Residential </w:t>
      </w:r>
      <w:r w:rsidR="00CD5EAC">
        <w:t>Low income</w:t>
      </w:r>
      <w:r w:rsidRPr="00BE0BFC">
        <w:t xml:space="preserve"> Sector 2016 to 2020 1</w:t>
      </w:r>
      <w:r w:rsidRPr="00BE0BFC">
        <w:rPr>
          <w:vertAlign w:val="superscript"/>
        </w:rPr>
        <w:t>st</w:t>
      </w:r>
      <w:r w:rsidRPr="00BE0BFC">
        <w:t xml:space="preserve"> Year Program Potential Savings by EDC</w:t>
      </w:r>
    </w:p>
    <w:tbl>
      <w:tblPr>
        <w:tblW w:w="9002" w:type="dxa"/>
        <w:jc w:val="center"/>
        <w:tblLook w:val="04A0" w:firstRow="1" w:lastRow="0" w:firstColumn="1" w:lastColumn="0" w:noHBand="0" w:noVBand="1"/>
      </w:tblPr>
      <w:tblGrid>
        <w:gridCol w:w="2287"/>
        <w:gridCol w:w="2430"/>
        <w:gridCol w:w="2070"/>
        <w:gridCol w:w="2215"/>
      </w:tblGrid>
      <w:tr w:rsidR="00BE0BFC" w:rsidRPr="00BE0BFC" w:rsidTr="006B442A">
        <w:trPr>
          <w:trHeight w:val="144"/>
          <w:tblHeader/>
          <w:jc w:val="center"/>
        </w:trPr>
        <w:tc>
          <w:tcPr>
            <w:tcW w:w="2287" w:type="dxa"/>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BE0BFC" w:rsidRPr="00BE0BFC" w:rsidRDefault="00BE0BFC" w:rsidP="00BE0BFC">
            <w:pPr>
              <w:jc w:val="center"/>
              <w:rPr>
                <w:rFonts w:ascii="Calibri" w:eastAsia="Times New Roman" w:hAnsi="Calibri" w:cs="Times New Roman"/>
                <w:b/>
                <w:bCs/>
                <w:color w:val="FFFFFF"/>
                <w:sz w:val="20"/>
                <w:szCs w:val="20"/>
              </w:rPr>
            </w:pPr>
            <w:r w:rsidRPr="00BE0BFC">
              <w:rPr>
                <w:rFonts w:ascii="Calibri" w:eastAsia="Times New Roman" w:hAnsi="Calibri" w:cs="Times New Roman"/>
                <w:b/>
                <w:bCs/>
                <w:color w:val="FFFFFF" w:themeColor="background1"/>
                <w:sz w:val="20"/>
                <w:szCs w:val="20"/>
              </w:rPr>
              <w:t>EDC</w:t>
            </w:r>
          </w:p>
        </w:tc>
        <w:tc>
          <w:tcPr>
            <w:tcW w:w="2430" w:type="dxa"/>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BE0BFC" w:rsidRPr="00BE0BFC" w:rsidRDefault="00BE0BFC" w:rsidP="00BE0BFC">
            <w:pPr>
              <w:jc w:val="center"/>
              <w:rPr>
                <w:rFonts w:ascii="Calibri" w:eastAsia="Times New Roman" w:hAnsi="Calibri" w:cs="Times New Roman"/>
                <w:b/>
                <w:bCs/>
                <w:color w:val="FFFFFF"/>
                <w:sz w:val="20"/>
                <w:szCs w:val="20"/>
              </w:rPr>
            </w:pPr>
            <w:r w:rsidRPr="00BE0BFC">
              <w:rPr>
                <w:b/>
                <w:bCs/>
                <w:color w:val="FFFFFF"/>
                <w:sz w:val="20"/>
                <w:szCs w:val="20"/>
              </w:rPr>
              <w:t>2016-2020 Incremental Annual Program Potential Savings (MWh)</w:t>
            </w:r>
            <w:r w:rsidRPr="00BE0BFC">
              <w:rPr>
                <w:b/>
                <w:bCs/>
                <w:color w:val="FFFFFF"/>
                <w:sz w:val="20"/>
                <w:szCs w:val="20"/>
                <w:vertAlign w:val="superscript"/>
              </w:rPr>
              <w:footnoteReference w:id="10"/>
            </w:r>
          </w:p>
        </w:tc>
        <w:tc>
          <w:tcPr>
            <w:tcW w:w="2070" w:type="dxa"/>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BE0BFC" w:rsidRPr="00BE0BFC" w:rsidRDefault="00BE0BFC" w:rsidP="00BE0BFC">
            <w:pPr>
              <w:jc w:val="center"/>
              <w:rPr>
                <w:rFonts w:ascii="Calibri" w:eastAsia="Times New Roman" w:hAnsi="Calibri" w:cs="Times New Roman"/>
                <w:b/>
                <w:bCs/>
                <w:color w:val="FFFFFF"/>
                <w:sz w:val="20"/>
                <w:szCs w:val="20"/>
              </w:rPr>
            </w:pPr>
            <w:r w:rsidRPr="00BE0BFC">
              <w:rPr>
                <w:b/>
                <w:bCs/>
                <w:color w:val="FFFFFF"/>
                <w:sz w:val="20"/>
                <w:szCs w:val="20"/>
              </w:rPr>
              <w:t>% of Residential Savings</w:t>
            </w:r>
          </w:p>
        </w:tc>
        <w:tc>
          <w:tcPr>
            <w:tcW w:w="2215" w:type="dxa"/>
            <w:tcBorders>
              <w:top w:val="single" w:sz="8" w:space="0" w:color="448A99"/>
              <w:left w:val="single" w:sz="8" w:space="0" w:color="448A99"/>
              <w:bottom w:val="single" w:sz="8" w:space="0" w:color="448A99"/>
              <w:right w:val="single" w:sz="8" w:space="0" w:color="448A99"/>
            </w:tcBorders>
            <w:shd w:val="clear" w:color="000000" w:fill="448A99"/>
            <w:vAlign w:val="center"/>
            <w:hideMark/>
          </w:tcPr>
          <w:p w:rsidR="00BE0BFC" w:rsidRPr="00BE0BFC" w:rsidRDefault="00BE0BFC" w:rsidP="00BE0BFC">
            <w:pPr>
              <w:jc w:val="center"/>
              <w:rPr>
                <w:rFonts w:ascii="Calibri" w:eastAsia="Times New Roman" w:hAnsi="Calibri" w:cs="Times New Roman"/>
                <w:b/>
                <w:bCs/>
                <w:color w:val="FFFFFF"/>
                <w:sz w:val="20"/>
                <w:szCs w:val="20"/>
              </w:rPr>
            </w:pPr>
            <w:r w:rsidRPr="00BE0BFC">
              <w:rPr>
                <w:b/>
                <w:bCs/>
                <w:color w:val="FFFFFF"/>
                <w:sz w:val="20"/>
                <w:szCs w:val="20"/>
              </w:rPr>
              <w:t>% of Total Portfolio Savings</w:t>
            </w:r>
          </w:p>
        </w:tc>
      </w:tr>
      <w:tr w:rsidR="00BE0BFC" w:rsidRPr="00BE0BFC" w:rsidTr="006B442A">
        <w:trPr>
          <w:trHeight w:val="144"/>
          <w:jc w:val="center"/>
        </w:trPr>
        <w:tc>
          <w:tcPr>
            <w:tcW w:w="9002" w:type="dxa"/>
            <w:gridSpan w:val="4"/>
            <w:tcBorders>
              <w:top w:val="single" w:sz="8" w:space="0" w:color="448A99"/>
              <w:left w:val="single" w:sz="8" w:space="0" w:color="4BACC6"/>
              <w:bottom w:val="single" w:sz="8" w:space="0" w:color="4BACC6"/>
              <w:right w:val="single" w:sz="8" w:space="0" w:color="4BACC6"/>
            </w:tcBorders>
            <w:shd w:val="clear" w:color="000000" w:fill="9C9393"/>
            <w:vAlign w:val="center"/>
            <w:hideMark/>
          </w:tcPr>
          <w:p w:rsidR="00BE0BFC" w:rsidRPr="00BE0BFC" w:rsidRDefault="00BE0BFC" w:rsidP="00BE0BFC">
            <w:pPr>
              <w:rPr>
                <w:rFonts w:ascii="Calibri" w:eastAsia="Times New Roman" w:hAnsi="Calibri" w:cs="Times New Roman"/>
                <w:b/>
                <w:bCs/>
                <w:color w:val="FFFFFF"/>
                <w:sz w:val="20"/>
                <w:szCs w:val="20"/>
              </w:rPr>
            </w:pPr>
            <w:r w:rsidRPr="00BE0BFC">
              <w:rPr>
                <w:rFonts w:ascii="Calibri" w:eastAsia="Times New Roman" w:hAnsi="Calibri" w:cs="Times New Roman"/>
                <w:b/>
                <w:bCs/>
                <w:color w:val="FFFFFF"/>
                <w:sz w:val="20"/>
                <w:szCs w:val="20"/>
              </w:rPr>
              <w:t>2016-2020 – 90% EE Spending Except Where Noted by Asterisk</w:t>
            </w:r>
          </w:p>
        </w:tc>
      </w:tr>
      <w:tr w:rsidR="00D90A43" w:rsidRPr="00BE0BFC" w:rsidTr="00BE0BFC">
        <w:trPr>
          <w:trHeight w:val="20"/>
          <w:jc w:val="center"/>
        </w:trPr>
        <w:tc>
          <w:tcPr>
            <w:tcW w:w="2287" w:type="dxa"/>
            <w:tcBorders>
              <w:top w:val="nil"/>
              <w:left w:val="single" w:sz="8" w:space="0" w:color="448A99"/>
              <w:bottom w:val="single" w:sz="8" w:space="0" w:color="448A99"/>
              <w:right w:val="single" w:sz="8" w:space="0" w:color="448A99"/>
            </w:tcBorders>
            <w:shd w:val="clear" w:color="000000" w:fill="D2EAF1"/>
            <w:vAlign w:val="center"/>
            <w:hideMark/>
          </w:tcPr>
          <w:p w:rsidR="00D90A43" w:rsidRPr="00BE0BFC" w:rsidRDefault="00D90A43" w:rsidP="00BE0BFC">
            <w:pPr>
              <w:rPr>
                <w:rFonts w:ascii="Calibri" w:eastAsia="Times New Roman" w:hAnsi="Calibri" w:cs="Times New Roman"/>
                <w:b/>
                <w:bCs/>
                <w:color w:val="000000"/>
                <w:sz w:val="20"/>
                <w:szCs w:val="20"/>
              </w:rPr>
            </w:pPr>
            <w:r w:rsidRPr="00BE0BFC">
              <w:rPr>
                <w:rFonts w:ascii="Calibri" w:eastAsia="Times New Roman" w:hAnsi="Calibri" w:cs="Times New Roman"/>
                <w:b/>
                <w:bCs/>
                <w:color w:val="000000"/>
                <w:sz w:val="20"/>
                <w:szCs w:val="20"/>
              </w:rPr>
              <w:t>Duquesne</w:t>
            </w:r>
          </w:p>
        </w:tc>
        <w:tc>
          <w:tcPr>
            <w:tcW w:w="2430" w:type="dxa"/>
            <w:tcBorders>
              <w:top w:val="nil"/>
              <w:left w:val="nil"/>
              <w:bottom w:val="single" w:sz="8" w:space="0" w:color="448A99"/>
              <w:right w:val="single" w:sz="8" w:space="0" w:color="448A99"/>
            </w:tcBorders>
            <w:shd w:val="clear" w:color="000000" w:fill="D2EAF1"/>
            <w:vAlign w:val="center"/>
          </w:tcPr>
          <w:p w:rsidR="00D90A43" w:rsidRDefault="00D90A43">
            <w:pPr>
              <w:jc w:val="center"/>
              <w:rPr>
                <w:rFonts w:ascii="Calibri" w:hAnsi="Calibri"/>
                <w:color w:val="000000"/>
                <w:sz w:val="20"/>
                <w:szCs w:val="20"/>
              </w:rPr>
            </w:pPr>
            <w:r>
              <w:rPr>
                <w:rFonts w:ascii="Calibri" w:hAnsi="Calibri"/>
                <w:color w:val="000000"/>
                <w:sz w:val="20"/>
                <w:szCs w:val="20"/>
              </w:rPr>
              <w:t>44,652</w:t>
            </w:r>
          </w:p>
        </w:tc>
        <w:tc>
          <w:tcPr>
            <w:tcW w:w="2070" w:type="dxa"/>
            <w:tcBorders>
              <w:top w:val="nil"/>
              <w:left w:val="nil"/>
              <w:bottom w:val="single" w:sz="8" w:space="0" w:color="448A99"/>
              <w:right w:val="single" w:sz="8" w:space="0" w:color="448A99"/>
            </w:tcBorders>
            <w:shd w:val="clear" w:color="000000" w:fill="D2EAF1"/>
            <w:vAlign w:val="center"/>
          </w:tcPr>
          <w:p w:rsidR="00D90A43" w:rsidRDefault="00D90A43">
            <w:pPr>
              <w:jc w:val="center"/>
              <w:rPr>
                <w:rFonts w:ascii="Calibri" w:hAnsi="Calibri"/>
                <w:color w:val="000000"/>
                <w:sz w:val="20"/>
                <w:szCs w:val="20"/>
              </w:rPr>
            </w:pPr>
            <w:r>
              <w:rPr>
                <w:rFonts w:ascii="Calibri" w:hAnsi="Calibri"/>
                <w:color w:val="000000"/>
                <w:sz w:val="20"/>
                <w:szCs w:val="20"/>
              </w:rPr>
              <w:t>17%</w:t>
            </w:r>
          </w:p>
        </w:tc>
        <w:tc>
          <w:tcPr>
            <w:tcW w:w="2215" w:type="dxa"/>
            <w:tcBorders>
              <w:top w:val="nil"/>
              <w:left w:val="nil"/>
              <w:bottom w:val="single" w:sz="8" w:space="0" w:color="448A99"/>
              <w:right w:val="single" w:sz="8" w:space="0" w:color="448A99"/>
            </w:tcBorders>
            <w:shd w:val="clear" w:color="000000" w:fill="D2EAF1"/>
            <w:vAlign w:val="center"/>
          </w:tcPr>
          <w:p w:rsidR="00D90A43" w:rsidRDefault="00D90A43">
            <w:pPr>
              <w:jc w:val="center"/>
              <w:rPr>
                <w:rFonts w:ascii="Calibri" w:hAnsi="Calibri"/>
                <w:color w:val="000000"/>
                <w:sz w:val="20"/>
                <w:szCs w:val="20"/>
              </w:rPr>
            </w:pPr>
            <w:r>
              <w:rPr>
                <w:rFonts w:ascii="Calibri" w:hAnsi="Calibri"/>
                <w:color w:val="000000"/>
                <w:sz w:val="20"/>
                <w:szCs w:val="20"/>
              </w:rPr>
              <w:t>10.1%</w:t>
            </w:r>
          </w:p>
        </w:tc>
      </w:tr>
      <w:tr w:rsidR="00D90A43" w:rsidRPr="00BE0BFC" w:rsidTr="00BE0BFC">
        <w:trPr>
          <w:trHeight w:val="20"/>
          <w:jc w:val="center"/>
        </w:trPr>
        <w:tc>
          <w:tcPr>
            <w:tcW w:w="2287" w:type="dxa"/>
            <w:tcBorders>
              <w:top w:val="nil"/>
              <w:left w:val="single" w:sz="8" w:space="0" w:color="4BACC6"/>
              <w:bottom w:val="single" w:sz="8" w:space="0" w:color="4BACC6"/>
              <w:right w:val="single" w:sz="8" w:space="0" w:color="448A99"/>
            </w:tcBorders>
            <w:shd w:val="clear" w:color="auto" w:fill="auto"/>
            <w:vAlign w:val="center"/>
            <w:hideMark/>
          </w:tcPr>
          <w:p w:rsidR="00D90A43" w:rsidRPr="00BE0BFC" w:rsidRDefault="00D90A43" w:rsidP="00BE0BFC">
            <w:pPr>
              <w:rPr>
                <w:rFonts w:ascii="Calibri" w:eastAsia="Times New Roman" w:hAnsi="Calibri" w:cs="Times New Roman"/>
                <w:b/>
                <w:bCs/>
                <w:color w:val="000000"/>
                <w:sz w:val="20"/>
                <w:szCs w:val="20"/>
              </w:rPr>
            </w:pPr>
            <w:r w:rsidRPr="00BE0BFC">
              <w:rPr>
                <w:rFonts w:ascii="Calibri" w:eastAsia="Times New Roman" w:hAnsi="Calibri" w:cs="Times New Roman"/>
                <w:b/>
                <w:bCs/>
                <w:color w:val="000000"/>
                <w:sz w:val="20"/>
                <w:szCs w:val="20"/>
              </w:rPr>
              <w:t>*FE: Met-Ed</w:t>
            </w:r>
          </w:p>
        </w:tc>
        <w:tc>
          <w:tcPr>
            <w:tcW w:w="2430" w:type="dxa"/>
            <w:tcBorders>
              <w:top w:val="nil"/>
              <w:left w:val="nil"/>
              <w:bottom w:val="single" w:sz="8" w:space="0" w:color="448A99"/>
              <w:right w:val="single" w:sz="8" w:space="0" w:color="448A99"/>
            </w:tcBorders>
            <w:shd w:val="clear" w:color="auto" w:fill="auto"/>
            <w:vAlign w:val="center"/>
          </w:tcPr>
          <w:p w:rsidR="00D90A43" w:rsidRDefault="00D90A43">
            <w:pPr>
              <w:jc w:val="center"/>
              <w:rPr>
                <w:rFonts w:ascii="Calibri" w:hAnsi="Calibri"/>
                <w:color w:val="000000"/>
                <w:sz w:val="20"/>
                <w:szCs w:val="20"/>
              </w:rPr>
            </w:pPr>
            <w:r>
              <w:rPr>
                <w:rFonts w:ascii="Calibri" w:hAnsi="Calibri"/>
                <w:color w:val="000000"/>
                <w:sz w:val="20"/>
                <w:szCs w:val="20"/>
              </w:rPr>
              <w:t>56,286</w:t>
            </w:r>
          </w:p>
        </w:tc>
        <w:tc>
          <w:tcPr>
            <w:tcW w:w="2070" w:type="dxa"/>
            <w:tcBorders>
              <w:top w:val="nil"/>
              <w:left w:val="nil"/>
              <w:bottom w:val="single" w:sz="8" w:space="0" w:color="4BACC6"/>
              <w:right w:val="single" w:sz="8" w:space="0" w:color="448A99"/>
            </w:tcBorders>
            <w:shd w:val="clear" w:color="auto" w:fill="auto"/>
            <w:vAlign w:val="center"/>
          </w:tcPr>
          <w:p w:rsidR="00D90A43" w:rsidRDefault="00D90A43">
            <w:pPr>
              <w:jc w:val="center"/>
              <w:rPr>
                <w:rFonts w:ascii="Calibri" w:hAnsi="Calibri"/>
                <w:color w:val="000000"/>
                <w:sz w:val="20"/>
                <w:szCs w:val="20"/>
              </w:rPr>
            </w:pPr>
            <w:r>
              <w:rPr>
                <w:rFonts w:ascii="Calibri" w:hAnsi="Calibri"/>
                <w:color w:val="000000"/>
                <w:sz w:val="20"/>
                <w:szCs w:val="20"/>
              </w:rPr>
              <w:t>14%</w:t>
            </w:r>
          </w:p>
        </w:tc>
        <w:tc>
          <w:tcPr>
            <w:tcW w:w="2215" w:type="dxa"/>
            <w:tcBorders>
              <w:top w:val="nil"/>
              <w:left w:val="nil"/>
              <w:bottom w:val="single" w:sz="8" w:space="0" w:color="448A99"/>
              <w:right w:val="single" w:sz="8" w:space="0" w:color="448A99"/>
            </w:tcBorders>
            <w:shd w:val="clear" w:color="auto" w:fill="auto"/>
            <w:vAlign w:val="center"/>
          </w:tcPr>
          <w:p w:rsidR="00D90A43" w:rsidRDefault="00D90A43">
            <w:pPr>
              <w:jc w:val="center"/>
              <w:rPr>
                <w:rFonts w:ascii="Calibri" w:hAnsi="Calibri"/>
                <w:color w:val="000000"/>
                <w:sz w:val="20"/>
                <w:szCs w:val="20"/>
              </w:rPr>
            </w:pPr>
            <w:r>
              <w:rPr>
                <w:rFonts w:ascii="Calibri" w:hAnsi="Calibri"/>
                <w:color w:val="000000"/>
                <w:sz w:val="20"/>
                <w:szCs w:val="20"/>
              </w:rPr>
              <w:t>9.4%</w:t>
            </w:r>
          </w:p>
        </w:tc>
      </w:tr>
      <w:tr w:rsidR="00D90A43" w:rsidRPr="00BE0BFC" w:rsidTr="00BE0BFC">
        <w:trPr>
          <w:trHeight w:val="20"/>
          <w:jc w:val="center"/>
        </w:trPr>
        <w:tc>
          <w:tcPr>
            <w:tcW w:w="2287" w:type="dxa"/>
            <w:tcBorders>
              <w:top w:val="nil"/>
              <w:left w:val="single" w:sz="8" w:space="0" w:color="448A99"/>
              <w:bottom w:val="single" w:sz="8" w:space="0" w:color="448A99"/>
              <w:right w:val="single" w:sz="8" w:space="0" w:color="448A99"/>
            </w:tcBorders>
            <w:shd w:val="clear" w:color="000000" w:fill="D2EAF1"/>
            <w:vAlign w:val="center"/>
            <w:hideMark/>
          </w:tcPr>
          <w:p w:rsidR="00D90A43" w:rsidRPr="00BE0BFC" w:rsidRDefault="00D90A43" w:rsidP="00BE0BFC">
            <w:pPr>
              <w:rPr>
                <w:rFonts w:ascii="Calibri" w:eastAsia="Times New Roman" w:hAnsi="Calibri" w:cs="Times New Roman"/>
                <w:b/>
                <w:bCs/>
                <w:color w:val="000000"/>
                <w:sz w:val="20"/>
                <w:szCs w:val="20"/>
              </w:rPr>
            </w:pPr>
            <w:r w:rsidRPr="00BE0BFC">
              <w:rPr>
                <w:rFonts w:ascii="Calibri" w:eastAsia="Times New Roman" w:hAnsi="Calibri" w:cs="Times New Roman"/>
                <w:b/>
                <w:bCs/>
                <w:color w:val="000000"/>
                <w:sz w:val="20"/>
                <w:szCs w:val="20"/>
              </w:rPr>
              <w:t>*FE: Penelec</w:t>
            </w:r>
          </w:p>
        </w:tc>
        <w:tc>
          <w:tcPr>
            <w:tcW w:w="2430" w:type="dxa"/>
            <w:tcBorders>
              <w:top w:val="nil"/>
              <w:left w:val="nil"/>
              <w:bottom w:val="single" w:sz="8" w:space="0" w:color="448A99"/>
              <w:right w:val="single" w:sz="8" w:space="0" w:color="448A99"/>
            </w:tcBorders>
            <w:shd w:val="clear" w:color="000000" w:fill="D2EAF1"/>
            <w:vAlign w:val="center"/>
          </w:tcPr>
          <w:p w:rsidR="00D90A43" w:rsidRDefault="00D90A43">
            <w:pPr>
              <w:jc w:val="center"/>
              <w:rPr>
                <w:rFonts w:ascii="Calibri" w:hAnsi="Calibri"/>
                <w:color w:val="000000"/>
                <w:sz w:val="20"/>
                <w:szCs w:val="20"/>
              </w:rPr>
            </w:pPr>
            <w:r>
              <w:rPr>
                <w:rFonts w:ascii="Calibri" w:hAnsi="Calibri"/>
                <w:color w:val="000000"/>
                <w:sz w:val="20"/>
                <w:szCs w:val="20"/>
              </w:rPr>
              <w:t>62,332</w:t>
            </w:r>
          </w:p>
        </w:tc>
        <w:tc>
          <w:tcPr>
            <w:tcW w:w="2070" w:type="dxa"/>
            <w:tcBorders>
              <w:top w:val="nil"/>
              <w:left w:val="nil"/>
              <w:bottom w:val="single" w:sz="8" w:space="0" w:color="448A99"/>
              <w:right w:val="single" w:sz="8" w:space="0" w:color="448A99"/>
            </w:tcBorders>
            <w:shd w:val="clear" w:color="000000" w:fill="D2EAF1"/>
            <w:vAlign w:val="center"/>
          </w:tcPr>
          <w:p w:rsidR="00D90A43" w:rsidRDefault="00D90A43">
            <w:pPr>
              <w:jc w:val="center"/>
              <w:rPr>
                <w:rFonts w:ascii="Calibri" w:hAnsi="Calibri"/>
                <w:color w:val="000000"/>
                <w:sz w:val="20"/>
                <w:szCs w:val="20"/>
              </w:rPr>
            </w:pPr>
            <w:r>
              <w:rPr>
                <w:rFonts w:ascii="Calibri" w:hAnsi="Calibri"/>
                <w:color w:val="000000"/>
                <w:sz w:val="20"/>
                <w:szCs w:val="20"/>
              </w:rPr>
              <w:t>18%</w:t>
            </w:r>
          </w:p>
        </w:tc>
        <w:tc>
          <w:tcPr>
            <w:tcW w:w="2215" w:type="dxa"/>
            <w:tcBorders>
              <w:top w:val="nil"/>
              <w:left w:val="nil"/>
              <w:bottom w:val="single" w:sz="8" w:space="0" w:color="448A99"/>
              <w:right w:val="single" w:sz="8" w:space="0" w:color="448A99"/>
            </w:tcBorders>
            <w:shd w:val="clear" w:color="000000" w:fill="D2EAF1"/>
            <w:vAlign w:val="center"/>
          </w:tcPr>
          <w:p w:rsidR="00D90A43" w:rsidRDefault="00D90A43">
            <w:pPr>
              <w:jc w:val="center"/>
              <w:rPr>
                <w:rFonts w:ascii="Calibri" w:hAnsi="Calibri"/>
                <w:color w:val="000000"/>
                <w:sz w:val="20"/>
                <w:szCs w:val="20"/>
              </w:rPr>
            </w:pPr>
            <w:r>
              <w:rPr>
                <w:rFonts w:ascii="Calibri" w:hAnsi="Calibri"/>
                <w:color w:val="000000"/>
                <w:sz w:val="20"/>
                <w:szCs w:val="20"/>
              </w:rPr>
              <w:t>11.0%</w:t>
            </w:r>
          </w:p>
        </w:tc>
      </w:tr>
      <w:tr w:rsidR="00D90A43" w:rsidRPr="00BE0BFC" w:rsidTr="00BE0BFC">
        <w:trPr>
          <w:trHeight w:val="20"/>
          <w:jc w:val="center"/>
        </w:trPr>
        <w:tc>
          <w:tcPr>
            <w:tcW w:w="2287" w:type="dxa"/>
            <w:tcBorders>
              <w:top w:val="nil"/>
              <w:left w:val="single" w:sz="8" w:space="0" w:color="4BACC6"/>
              <w:bottom w:val="single" w:sz="8" w:space="0" w:color="4BACC6"/>
              <w:right w:val="single" w:sz="8" w:space="0" w:color="448A99"/>
            </w:tcBorders>
            <w:shd w:val="clear" w:color="auto" w:fill="auto"/>
            <w:vAlign w:val="center"/>
            <w:hideMark/>
          </w:tcPr>
          <w:p w:rsidR="00D90A43" w:rsidRPr="00BE0BFC" w:rsidRDefault="00D90A43" w:rsidP="00BE0BFC">
            <w:pPr>
              <w:rPr>
                <w:rFonts w:ascii="Calibri" w:eastAsia="Times New Roman" w:hAnsi="Calibri" w:cs="Times New Roman"/>
                <w:b/>
                <w:bCs/>
                <w:color w:val="000000"/>
                <w:sz w:val="20"/>
                <w:szCs w:val="20"/>
              </w:rPr>
            </w:pPr>
            <w:r w:rsidRPr="00BE0BFC">
              <w:rPr>
                <w:rFonts w:ascii="Calibri" w:eastAsia="Times New Roman" w:hAnsi="Calibri" w:cs="Times New Roman"/>
                <w:b/>
                <w:bCs/>
                <w:color w:val="000000"/>
                <w:sz w:val="20"/>
                <w:szCs w:val="20"/>
              </w:rPr>
              <w:t>FE: Penn Power</w:t>
            </w:r>
          </w:p>
        </w:tc>
        <w:tc>
          <w:tcPr>
            <w:tcW w:w="2430" w:type="dxa"/>
            <w:tcBorders>
              <w:top w:val="nil"/>
              <w:left w:val="nil"/>
              <w:bottom w:val="single" w:sz="8" w:space="0" w:color="448A99"/>
              <w:right w:val="single" w:sz="8" w:space="0" w:color="448A99"/>
            </w:tcBorders>
            <w:shd w:val="clear" w:color="auto" w:fill="auto"/>
            <w:vAlign w:val="center"/>
          </w:tcPr>
          <w:p w:rsidR="00D90A43" w:rsidRDefault="00D90A43">
            <w:pPr>
              <w:jc w:val="center"/>
              <w:rPr>
                <w:rFonts w:ascii="Calibri" w:hAnsi="Calibri"/>
                <w:color w:val="000000"/>
                <w:sz w:val="20"/>
                <w:szCs w:val="20"/>
              </w:rPr>
            </w:pPr>
            <w:r>
              <w:rPr>
                <w:rFonts w:ascii="Calibri" w:hAnsi="Calibri"/>
                <w:color w:val="000000"/>
                <w:sz w:val="20"/>
                <w:szCs w:val="20"/>
              </w:rPr>
              <w:t>19,568</w:t>
            </w:r>
          </w:p>
        </w:tc>
        <w:tc>
          <w:tcPr>
            <w:tcW w:w="2070" w:type="dxa"/>
            <w:tcBorders>
              <w:top w:val="nil"/>
              <w:left w:val="nil"/>
              <w:bottom w:val="single" w:sz="8" w:space="0" w:color="4BACC6"/>
              <w:right w:val="single" w:sz="8" w:space="0" w:color="448A99"/>
            </w:tcBorders>
            <w:shd w:val="clear" w:color="auto" w:fill="auto"/>
            <w:vAlign w:val="center"/>
          </w:tcPr>
          <w:p w:rsidR="00D90A43" w:rsidRDefault="00D90A43">
            <w:pPr>
              <w:jc w:val="center"/>
              <w:rPr>
                <w:rFonts w:ascii="Calibri" w:hAnsi="Calibri"/>
                <w:color w:val="000000"/>
                <w:sz w:val="20"/>
                <w:szCs w:val="20"/>
              </w:rPr>
            </w:pPr>
            <w:r>
              <w:rPr>
                <w:rFonts w:ascii="Calibri" w:hAnsi="Calibri"/>
                <w:color w:val="000000"/>
                <w:sz w:val="20"/>
                <w:szCs w:val="20"/>
              </w:rPr>
              <w:t>19%</w:t>
            </w:r>
          </w:p>
        </w:tc>
        <w:tc>
          <w:tcPr>
            <w:tcW w:w="2215" w:type="dxa"/>
            <w:tcBorders>
              <w:top w:val="nil"/>
              <w:left w:val="nil"/>
              <w:bottom w:val="single" w:sz="8" w:space="0" w:color="448A99"/>
              <w:right w:val="single" w:sz="8" w:space="0" w:color="448A99"/>
            </w:tcBorders>
            <w:shd w:val="clear" w:color="auto" w:fill="auto"/>
            <w:vAlign w:val="center"/>
          </w:tcPr>
          <w:p w:rsidR="00D90A43" w:rsidRDefault="00D90A43">
            <w:pPr>
              <w:jc w:val="center"/>
              <w:rPr>
                <w:rFonts w:ascii="Calibri" w:hAnsi="Calibri"/>
                <w:color w:val="000000"/>
                <w:sz w:val="20"/>
                <w:szCs w:val="20"/>
              </w:rPr>
            </w:pPr>
            <w:r>
              <w:rPr>
                <w:rFonts w:ascii="Calibri" w:hAnsi="Calibri"/>
                <w:color w:val="000000"/>
                <w:sz w:val="20"/>
                <w:szCs w:val="20"/>
              </w:rPr>
              <w:t>12.4%</w:t>
            </w:r>
          </w:p>
        </w:tc>
      </w:tr>
      <w:tr w:rsidR="00D90A43" w:rsidRPr="00BE0BFC" w:rsidTr="00BE0BFC">
        <w:trPr>
          <w:trHeight w:val="20"/>
          <w:jc w:val="center"/>
        </w:trPr>
        <w:tc>
          <w:tcPr>
            <w:tcW w:w="2287" w:type="dxa"/>
            <w:tcBorders>
              <w:top w:val="nil"/>
              <w:left w:val="single" w:sz="8" w:space="0" w:color="448A99"/>
              <w:bottom w:val="single" w:sz="8" w:space="0" w:color="448A99"/>
              <w:right w:val="single" w:sz="8" w:space="0" w:color="448A99"/>
            </w:tcBorders>
            <w:shd w:val="clear" w:color="000000" w:fill="D2EAF1"/>
            <w:vAlign w:val="center"/>
            <w:hideMark/>
          </w:tcPr>
          <w:p w:rsidR="00D90A43" w:rsidRPr="00BE0BFC" w:rsidRDefault="00D90A43" w:rsidP="00BE0BFC">
            <w:pPr>
              <w:rPr>
                <w:rFonts w:ascii="Calibri" w:eastAsia="Times New Roman" w:hAnsi="Calibri" w:cs="Times New Roman"/>
                <w:b/>
                <w:bCs/>
                <w:color w:val="000000"/>
                <w:sz w:val="20"/>
                <w:szCs w:val="20"/>
              </w:rPr>
            </w:pPr>
            <w:r w:rsidRPr="00BE0BFC">
              <w:rPr>
                <w:rFonts w:ascii="Calibri" w:eastAsia="Times New Roman" w:hAnsi="Calibri" w:cs="Times New Roman"/>
                <w:b/>
                <w:bCs/>
                <w:color w:val="000000"/>
                <w:sz w:val="20"/>
                <w:szCs w:val="20"/>
              </w:rPr>
              <w:t>FE: WPP</w:t>
            </w:r>
          </w:p>
        </w:tc>
        <w:tc>
          <w:tcPr>
            <w:tcW w:w="2430" w:type="dxa"/>
            <w:tcBorders>
              <w:top w:val="nil"/>
              <w:left w:val="nil"/>
              <w:bottom w:val="single" w:sz="8" w:space="0" w:color="448A99"/>
              <w:right w:val="single" w:sz="8" w:space="0" w:color="448A99"/>
            </w:tcBorders>
            <w:shd w:val="clear" w:color="000000" w:fill="D2EAF1"/>
            <w:vAlign w:val="center"/>
          </w:tcPr>
          <w:p w:rsidR="00D90A43" w:rsidRDefault="00D90A43">
            <w:pPr>
              <w:jc w:val="center"/>
              <w:rPr>
                <w:rFonts w:ascii="Calibri" w:hAnsi="Calibri"/>
                <w:color w:val="000000"/>
                <w:sz w:val="20"/>
                <w:szCs w:val="20"/>
              </w:rPr>
            </w:pPr>
            <w:r>
              <w:rPr>
                <w:rFonts w:ascii="Calibri" w:hAnsi="Calibri"/>
                <w:color w:val="000000"/>
                <w:sz w:val="20"/>
                <w:szCs w:val="20"/>
              </w:rPr>
              <w:t>67,712</w:t>
            </w:r>
          </w:p>
        </w:tc>
        <w:tc>
          <w:tcPr>
            <w:tcW w:w="2070" w:type="dxa"/>
            <w:tcBorders>
              <w:top w:val="nil"/>
              <w:left w:val="nil"/>
              <w:bottom w:val="single" w:sz="8" w:space="0" w:color="448A99"/>
              <w:right w:val="single" w:sz="8" w:space="0" w:color="448A99"/>
            </w:tcBorders>
            <w:shd w:val="clear" w:color="000000" w:fill="D2EAF1"/>
            <w:vAlign w:val="center"/>
          </w:tcPr>
          <w:p w:rsidR="00D90A43" w:rsidRDefault="00D90A43">
            <w:pPr>
              <w:jc w:val="center"/>
              <w:rPr>
                <w:rFonts w:ascii="Calibri" w:hAnsi="Calibri"/>
                <w:color w:val="000000"/>
                <w:sz w:val="20"/>
                <w:szCs w:val="20"/>
              </w:rPr>
            </w:pPr>
            <w:r>
              <w:rPr>
                <w:rFonts w:ascii="Calibri" w:hAnsi="Calibri"/>
                <w:color w:val="000000"/>
                <w:sz w:val="20"/>
                <w:szCs w:val="20"/>
              </w:rPr>
              <w:t>18%</w:t>
            </w:r>
          </w:p>
        </w:tc>
        <w:tc>
          <w:tcPr>
            <w:tcW w:w="2215" w:type="dxa"/>
            <w:tcBorders>
              <w:top w:val="nil"/>
              <w:left w:val="nil"/>
              <w:bottom w:val="single" w:sz="8" w:space="0" w:color="448A99"/>
              <w:right w:val="single" w:sz="8" w:space="0" w:color="448A99"/>
            </w:tcBorders>
            <w:shd w:val="clear" w:color="000000" w:fill="D2EAF1"/>
            <w:vAlign w:val="center"/>
          </w:tcPr>
          <w:p w:rsidR="00D90A43" w:rsidRDefault="00D90A43">
            <w:pPr>
              <w:jc w:val="center"/>
              <w:rPr>
                <w:rFonts w:ascii="Calibri" w:hAnsi="Calibri"/>
                <w:color w:val="000000"/>
                <w:sz w:val="20"/>
                <w:szCs w:val="20"/>
              </w:rPr>
            </w:pPr>
            <w:r>
              <w:rPr>
                <w:rFonts w:ascii="Calibri" w:hAnsi="Calibri"/>
                <w:color w:val="000000"/>
                <w:sz w:val="20"/>
                <w:szCs w:val="20"/>
              </w:rPr>
              <w:t>12.5%</w:t>
            </w:r>
          </w:p>
        </w:tc>
      </w:tr>
      <w:tr w:rsidR="00D90A43" w:rsidRPr="00BE0BFC" w:rsidTr="00BE0BFC">
        <w:trPr>
          <w:trHeight w:val="20"/>
          <w:jc w:val="center"/>
        </w:trPr>
        <w:tc>
          <w:tcPr>
            <w:tcW w:w="2287" w:type="dxa"/>
            <w:tcBorders>
              <w:top w:val="nil"/>
              <w:left w:val="single" w:sz="8" w:space="0" w:color="4BACC6"/>
              <w:bottom w:val="single" w:sz="8" w:space="0" w:color="4BACC6"/>
              <w:right w:val="single" w:sz="8" w:space="0" w:color="448A99"/>
            </w:tcBorders>
            <w:shd w:val="clear" w:color="auto" w:fill="auto"/>
            <w:vAlign w:val="center"/>
            <w:hideMark/>
          </w:tcPr>
          <w:p w:rsidR="00D90A43" w:rsidRPr="00BE0BFC" w:rsidRDefault="00D90A43" w:rsidP="00BE0BFC">
            <w:pPr>
              <w:rPr>
                <w:rFonts w:ascii="Calibri" w:eastAsia="Times New Roman" w:hAnsi="Calibri" w:cs="Times New Roman"/>
                <w:b/>
                <w:bCs/>
                <w:color w:val="000000"/>
                <w:sz w:val="20"/>
                <w:szCs w:val="20"/>
              </w:rPr>
            </w:pPr>
            <w:r w:rsidRPr="00BE0BFC">
              <w:rPr>
                <w:rFonts w:ascii="Calibri" w:eastAsia="Times New Roman" w:hAnsi="Calibri" w:cs="Times New Roman"/>
                <w:b/>
                <w:bCs/>
                <w:color w:val="000000"/>
                <w:sz w:val="20"/>
                <w:szCs w:val="20"/>
              </w:rPr>
              <w:t>PECO</w:t>
            </w:r>
          </w:p>
        </w:tc>
        <w:tc>
          <w:tcPr>
            <w:tcW w:w="2430" w:type="dxa"/>
            <w:tcBorders>
              <w:top w:val="nil"/>
              <w:left w:val="nil"/>
              <w:bottom w:val="single" w:sz="8" w:space="0" w:color="448A99"/>
              <w:right w:val="single" w:sz="8" w:space="0" w:color="448A99"/>
            </w:tcBorders>
            <w:shd w:val="clear" w:color="auto" w:fill="auto"/>
            <w:vAlign w:val="center"/>
          </w:tcPr>
          <w:p w:rsidR="00D90A43" w:rsidRDefault="00D90A43">
            <w:pPr>
              <w:jc w:val="center"/>
              <w:rPr>
                <w:rFonts w:ascii="Calibri" w:hAnsi="Calibri"/>
                <w:color w:val="000000"/>
                <w:sz w:val="20"/>
                <w:szCs w:val="20"/>
              </w:rPr>
            </w:pPr>
            <w:r>
              <w:rPr>
                <w:rFonts w:ascii="Calibri" w:hAnsi="Calibri"/>
                <w:color w:val="000000"/>
                <w:sz w:val="20"/>
                <w:szCs w:val="20"/>
              </w:rPr>
              <w:t>189,939</w:t>
            </w:r>
          </w:p>
        </w:tc>
        <w:tc>
          <w:tcPr>
            <w:tcW w:w="2070" w:type="dxa"/>
            <w:tcBorders>
              <w:top w:val="nil"/>
              <w:left w:val="nil"/>
              <w:bottom w:val="single" w:sz="8" w:space="0" w:color="4BACC6"/>
              <w:right w:val="single" w:sz="8" w:space="0" w:color="448A99"/>
            </w:tcBorders>
            <w:shd w:val="clear" w:color="auto" w:fill="auto"/>
            <w:vAlign w:val="center"/>
          </w:tcPr>
          <w:p w:rsidR="00D90A43" w:rsidRDefault="00D90A43">
            <w:pPr>
              <w:jc w:val="center"/>
              <w:rPr>
                <w:rFonts w:ascii="Calibri" w:hAnsi="Calibri"/>
                <w:color w:val="000000"/>
                <w:sz w:val="20"/>
                <w:szCs w:val="20"/>
              </w:rPr>
            </w:pPr>
            <w:r>
              <w:rPr>
                <w:rFonts w:ascii="Calibri" w:hAnsi="Calibri"/>
                <w:color w:val="000000"/>
                <w:sz w:val="20"/>
                <w:szCs w:val="20"/>
              </w:rPr>
              <w:t>16%</w:t>
            </w:r>
          </w:p>
        </w:tc>
        <w:tc>
          <w:tcPr>
            <w:tcW w:w="2215" w:type="dxa"/>
            <w:tcBorders>
              <w:top w:val="nil"/>
              <w:left w:val="nil"/>
              <w:bottom w:val="single" w:sz="8" w:space="0" w:color="448A99"/>
              <w:right w:val="single" w:sz="8" w:space="0" w:color="448A99"/>
            </w:tcBorders>
            <w:shd w:val="clear" w:color="auto" w:fill="auto"/>
            <w:vAlign w:val="center"/>
          </w:tcPr>
          <w:p w:rsidR="00D90A43" w:rsidRDefault="00D90A43">
            <w:pPr>
              <w:jc w:val="center"/>
              <w:rPr>
                <w:rFonts w:ascii="Calibri" w:hAnsi="Calibri"/>
                <w:color w:val="000000"/>
                <w:sz w:val="20"/>
                <w:szCs w:val="20"/>
              </w:rPr>
            </w:pPr>
            <w:r>
              <w:rPr>
                <w:rFonts w:ascii="Calibri" w:hAnsi="Calibri"/>
                <w:color w:val="000000"/>
                <w:sz w:val="20"/>
                <w:szCs w:val="20"/>
              </w:rPr>
              <w:t>9.7%</w:t>
            </w:r>
          </w:p>
        </w:tc>
      </w:tr>
      <w:tr w:rsidR="00D90A43" w:rsidRPr="00BE0BFC" w:rsidTr="00BE0BFC">
        <w:trPr>
          <w:trHeight w:val="20"/>
          <w:jc w:val="center"/>
        </w:trPr>
        <w:tc>
          <w:tcPr>
            <w:tcW w:w="2287" w:type="dxa"/>
            <w:tcBorders>
              <w:top w:val="nil"/>
              <w:left w:val="single" w:sz="8" w:space="0" w:color="448A99"/>
              <w:bottom w:val="single" w:sz="8" w:space="0" w:color="448A99"/>
              <w:right w:val="single" w:sz="8" w:space="0" w:color="448A99"/>
            </w:tcBorders>
            <w:shd w:val="clear" w:color="000000" w:fill="D2EAF1"/>
            <w:vAlign w:val="center"/>
            <w:hideMark/>
          </w:tcPr>
          <w:p w:rsidR="00D90A43" w:rsidRPr="00BE0BFC" w:rsidRDefault="00D90A43" w:rsidP="00BE0BFC">
            <w:pPr>
              <w:rPr>
                <w:rFonts w:ascii="Calibri" w:eastAsia="Times New Roman" w:hAnsi="Calibri" w:cs="Times New Roman"/>
                <w:b/>
                <w:bCs/>
                <w:color w:val="000000"/>
                <w:sz w:val="20"/>
                <w:szCs w:val="20"/>
              </w:rPr>
            </w:pPr>
            <w:r w:rsidRPr="00BE0BFC">
              <w:rPr>
                <w:rFonts w:ascii="Calibri" w:eastAsia="Times New Roman" w:hAnsi="Calibri" w:cs="Times New Roman"/>
                <w:b/>
                <w:bCs/>
                <w:color w:val="000000"/>
                <w:sz w:val="20"/>
                <w:szCs w:val="20"/>
              </w:rPr>
              <w:t>*PPL</w:t>
            </w:r>
          </w:p>
        </w:tc>
        <w:tc>
          <w:tcPr>
            <w:tcW w:w="2430" w:type="dxa"/>
            <w:tcBorders>
              <w:top w:val="nil"/>
              <w:left w:val="nil"/>
              <w:bottom w:val="single" w:sz="8" w:space="0" w:color="448A99"/>
              <w:right w:val="single" w:sz="8" w:space="0" w:color="448A99"/>
            </w:tcBorders>
            <w:shd w:val="clear" w:color="000000" w:fill="D2EAF1"/>
            <w:vAlign w:val="center"/>
          </w:tcPr>
          <w:p w:rsidR="00D90A43" w:rsidRDefault="00D90A43">
            <w:pPr>
              <w:jc w:val="center"/>
              <w:rPr>
                <w:rFonts w:ascii="Calibri" w:hAnsi="Calibri"/>
                <w:color w:val="000000"/>
                <w:sz w:val="20"/>
                <w:szCs w:val="20"/>
              </w:rPr>
            </w:pPr>
            <w:r>
              <w:rPr>
                <w:rFonts w:ascii="Calibri" w:hAnsi="Calibri"/>
                <w:color w:val="000000"/>
                <w:sz w:val="20"/>
                <w:szCs w:val="20"/>
              </w:rPr>
              <w:t>163,449</w:t>
            </w:r>
          </w:p>
        </w:tc>
        <w:tc>
          <w:tcPr>
            <w:tcW w:w="2070" w:type="dxa"/>
            <w:tcBorders>
              <w:top w:val="nil"/>
              <w:left w:val="nil"/>
              <w:bottom w:val="single" w:sz="8" w:space="0" w:color="448A99"/>
              <w:right w:val="single" w:sz="8" w:space="0" w:color="448A99"/>
            </w:tcBorders>
            <w:shd w:val="clear" w:color="000000" w:fill="D2EAF1"/>
            <w:vAlign w:val="center"/>
          </w:tcPr>
          <w:p w:rsidR="00D90A43" w:rsidRDefault="00D90A43">
            <w:pPr>
              <w:jc w:val="center"/>
              <w:rPr>
                <w:rFonts w:ascii="Calibri" w:hAnsi="Calibri"/>
                <w:color w:val="000000"/>
                <w:sz w:val="20"/>
                <w:szCs w:val="20"/>
              </w:rPr>
            </w:pPr>
            <w:r>
              <w:rPr>
                <w:rFonts w:ascii="Calibri" w:hAnsi="Calibri"/>
                <w:color w:val="000000"/>
                <w:sz w:val="20"/>
                <w:szCs w:val="20"/>
              </w:rPr>
              <w:t>17%</w:t>
            </w:r>
          </w:p>
        </w:tc>
        <w:tc>
          <w:tcPr>
            <w:tcW w:w="2215" w:type="dxa"/>
            <w:tcBorders>
              <w:top w:val="nil"/>
              <w:left w:val="nil"/>
              <w:bottom w:val="single" w:sz="8" w:space="0" w:color="448A99"/>
              <w:right w:val="single" w:sz="8" w:space="0" w:color="448A99"/>
            </w:tcBorders>
            <w:shd w:val="clear" w:color="000000" w:fill="D2EAF1"/>
            <w:vAlign w:val="center"/>
          </w:tcPr>
          <w:p w:rsidR="00D90A43" w:rsidRDefault="00D90A43">
            <w:pPr>
              <w:jc w:val="center"/>
              <w:rPr>
                <w:rFonts w:ascii="Calibri" w:hAnsi="Calibri"/>
                <w:color w:val="000000"/>
                <w:sz w:val="20"/>
                <w:szCs w:val="20"/>
              </w:rPr>
            </w:pPr>
            <w:r>
              <w:rPr>
                <w:rFonts w:ascii="Calibri" w:hAnsi="Calibri"/>
                <w:color w:val="000000"/>
                <w:sz w:val="20"/>
                <w:szCs w:val="20"/>
              </w:rPr>
              <w:t>11.3%</w:t>
            </w:r>
          </w:p>
        </w:tc>
      </w:tr>
      <w:tr w:rsidR="00D90A43" w:rsidRPr="00BE0BFC" w:rsidTr="00BE0BFC">
        <w:trPr>
          <w:trHeight w:val="20"/>
          <w:jc w:val="center"/>
        </w:trPr>
        <w:tc>
          <w:tcPr>
            <w:tcW w:w="2287" w:type="dxa"/>
            <w:tcBorders>
              <w:top w:val="nil"/>
              <w:left w:val="single" w:sz="8" w:space="0" w:color="4BACC6"/>
              <w:bottom w:val="single" w:sz="8" w:space="0" w:color="4BACC6"/>
              <w:right w:val="single" w:sz="8" w:space="0" w:color="448A99"/>
            </w:tcBorders>
            <w:shd w:val="clear" w:color="auto" w:fill="auto"/>
            <w:vAlign w:val="center"/>
            <w:hideMark/>
          </w:tcPr>
          <w:p w:rsidR="00D90A43" w:rsidRPr="00BE0BFC" w:rsidRDefault="00D90A43" w:rsidP="00BE0BFC">
            <w:pPr>
              <w:rPr>
                <w:rFonts w:ascii="Calibri" w:eastAsia="Times New Roman" w:hAnsi="Calibri" w:cs="Times New Roman"/>
                <w:b/>
                <w:bCs/>
                <w:color w:val="000000"/>
                <w:sz w:val="20"/>
                <w:szCs w:val="20"/>
              </w:rPr>
            </w:pPr>
            <w:r w:rsidRPr="00BE0BFC">
              <w:rPr>
                <w:rFonts w:ascii="Calibri" w:eastAsia="Times New Roman" w:hAnsi="Calibri" w:cs="Times New Roman"/>
                <w:b/>
                <w:bCs/>
                <w:color w:val="000000"/>
                <w:sz w:val="20"/>
                <w:szCs w:val="20"/>
              </w:rPr>
              <w:t>Statewide</w:t>
            </w:r>
          </w:p>
        </w:tc>
        <w:tc>
          <w:tcPr>
            <w:tcW w:w="2430" w:type="dxa"/>
            <w:tcBorders>
              <w:top w:val="nil"/>
              <w:left w:val="nil"/>
              <w:bottom w:val="single" w:sz="8" w:space="0" w:color="4BACC6"/>
              <w:right w:val="single" w:sz="8" w:space="0" w:color="448A99"/>
            </w:tcBorders>
            <w:shd w:val="clear" w:color="auto" w:fill="auto"/>
            <w:vAlign w:val="center"/>
          </w:tcPr>
          <w:p w:rsidR="00D90A43" w:rsidRDefault="00D90A43">
            <w:pPr>
              <w:jc w:val="center"/>
              <w:rPr>
                <w:rFonts w:ascii="Calibri" w:hAnsi="Calibri"/>
                <w:b/>
                <w:bCs/>
                <w:color w:val="000000"/>
                <w:sz w:val="20"/>
                <w:szCs w:val="20"/>
              </w:rPr>
            </w:pPr>
            <w:r>
              <w:rPr>
                <w:rFonts w:ascii="Calibri" w:hAnsi="Calibri"/>
                <w:b/>
                <w:bCs/>
                <w:color w:val="000000"/>
                <w:sz w:val="20"/>
                <w:szCs w:val="20"/>
              </w:rPr>
              <w:t>603,937</w:t>
            </w:r>
          </w:p>
        </w:tc>
        <w:tc>
          <w:tcPr>
            <w:tcW w:w="2070" w:type="dxa"/>
            <w:tcBorders>
              <w:top w:val="nil"/>
              <w:left w:val="nil"/>
              <w:bottom w:val="single" w:sz="8" w:space="0" w:color="4BACC6"/>
              <w:right w:val="single" w:sz="8" w:space="0" w:color="448A99"/>
            </w:tcBorders>
            <w:shd w:val="clear" w:color="auto" w:fill="auto"/>
            <w:vAlign w:val="center"/>
          </w:tcPr>
          <w:p w:rsidR="00D90A43" w:rsidRDefault="00D90A43">
            <w:pPr>
              <w:jc w:val="center"/>
              <w:rPr>
                <w:rFonts w:ascii="Calibri" w:hAnsi="Calibri"/>
                <w:b/>
                <w:bCs/>
                <w:color w:val="000000"/>
                <w:sz w:val="20"/>
                <w:szCs w:val="20"/>
              </w:rPr>
            </w:pPr>
            <w:r>
              <w:rPr>
                <w:rFonts w:ascii="Calibri" w:hAnsi="Calibri"/>
                <w:b/>
                <w:bCs/>
                <w:color w:val="000000"/>
                <w:sz w:val="20"/>
                <w:szCs w:val="20"/>
              </w:rPr>
              <w:t>16%</w:t>
            </w:r>
          </w:p>
        </w:tc>
        <w:tc>
          <w:tcPr>
            <w:tcW w:w="2215" w:type="dxa"/>
            <w:tcBorders>
              <w:top w:val="nil"/>
              <w:left w:val="nil"/>
              <w:bottom w:val="single" w:sz="8" w:space="0" w:color="4BACC6"/>
              <w:right w:val="single" w:sz="8" w:space="0" w:color="4BACC6"/>
            </w:tcBorders>
            <w:shd w:val="clear" w:color="auto" w:fill="auto"/>
            <w:vAlign w:val="center"/>
          </w:tcPr>
          <w:p w:rsidR="00D90A43" w:rsidRDefault="00D90A43">
            <w:pPr>
              <w:jc w:val="center"/>
              <w:rPr>
                <w:rFonts w:ascii="Calibri" w:hAnsi="Calibri"/>
                <w:b/>
                <w:bCs/>
                <w:color w:val="000000"/>
                <w:sz w:val="20"/>
                <w:szCs w:val="20"/>
              </w:rPr>
            </w:pPr>
            <w:r>
              <w:rPr>
                <w:rFonts w:ascii="Calibri" w:hAnsi="Calibri"/>
                <w:b/>
                <w:bCs/>
                <w:color w:val="000000"/>
                <w:sz w:val="20"/>
                <w:szCs w:val="20"/>
              </w:rPr>
              <w:t>10.6%</w:t>
            </w:r>
          </w:p>
        </w:tc>
      </w:tr>
    </w:tbl>
    <w:p w:rsidR="00BE0BFC" w:rsidRPr="00BE0BFC" w:rsidRDefault="00BE0BFC" w:rsidP="00BE0BFC">
      <w:pPr>
        <w:spacing w:after="200" w:line="276" w:lineRule="auto"/>
        <w:rPr>
          <w:rFonts w:ascii="Arial" w:hAnsi="Arial" w:cs="Arial"/>
          <w:sz w:val="20"/>
          <w:szCs w:val="20"/>
        </w:rPr>
      </w:pPr>
    </w:p>
    <w:p w:rsidR="00BE0BFC" w:rsidRPr="0037541B" w:rsidRDefault="00BE0BFC" w:rsidP="0037541B"/>
    <w:sectPr w:rsidR="00BE0BFC" w:rsidRPr="0037541B" w:rsidSect="00AA641A">
      <w:headerReference w:type="default" r:id="rId18"/>
      <w:footerReference w:type="default" r:id="rId19"/>
      <w:pgSz w:w="12240" w:h="15840"/>
      <w:pgMar w:top="1170" w:right="1440" w:bottom="1170" w:left="1440" w:header="54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913" w:rsidRDefault="002F7913" w:rsidP="005B627E">
      <w:r>
        <w:separator/>
      </w:r>
    </w:p>
  </w:endnote>
  <w:endnote w:type="continuationSeparator" w:id="0">
    <w:p w:rsidR="002F7913" w:rsidRDefault="002F7913" w:rsidP="005B6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42A" w:rsidRPr="00B43061" w:rsidRDefault="006B442A" w:rsidP="00B43061">
    <w:pPr>
      <w:pStyle w:val="Footer"/>
      <w:pBdr>
        <w:top w:val="single" w:sz="4" w:space="1" w:color="auto"/>
      </w:pBdr>
      <w:rPr>
        <w:rFonts w:ascii="Century Gothic" w:hAnsi="Century Gothic"/>
        <w:b/>
        <w:sz w:val="16"/>
      </w:rPr>
    </w:pPr>
    <w:r w:rsidRPr="00B43061">
      <w:rPr>
        <w:rFonts w:ascii="Century Gothic" w:hAnsi="Century Gothic"/>
        <w:b/>
        <w:smallCaps/>
        <w:spacing w:val="30"/>
        <w:sz w:val="16"/>
      </w:rPr>
      <w:t>Statewide Evaluation Team</w:t>
    </w:r>
    <w:r>
      <w:rPr>
        <w:rFonts w:ascii="Century Gothic" w:hAnsi="Century Gothic"/>
        <w:sz w:val="16"/>
      </w:rPr>
      <w:tab/>
    </w:r>
    <w:r>
      <w:rPr>
        <w:rFonts w:ascii="Century Gothic" w:hAnsi="Century Gothic"/>
        <w:sz w:val="16"/>
      </w:rPr>
      <w:tab/>
    </w:r>
    <w:r w:rsidRPr="00403D74">
      <w:rPr>
        <w:rFonts w:ascii="Century Gothic" w:hAnsi="Century Gothic"/>
        <w:sz w:val="16"/>
      </w:rPr>
      <w:t xml:space="preserve">Page | </w:t>
    </w:r>
    <w:r w:rsidRPr="00360EF8">
      <w:rPr>
        <w:rFonts w:ascii="Century Gothic" w:hAnsi="Century Gothic"/>
        <w:b/>
        <w:color w:val="448A99"/>
        <w:sz w:val="16"/>
      </w:rPr>
      <w:fldChar w:fldCharType="begin"/>
    </w:r>
    <w:r w:rsidRPr="00360EF8">
      <w:rPr>
        <w:rFonts w:ascii="Century Gothic" w:hAnsi="Century Gothic"/>
        <w:b/>
        <w:color w:val="448A99"/>
        <w:sz w:val="16"/>
      </w:rPr>
      <w:instrText xml:space="preserve"> PAGE   \* MERGEFORMAT </w:instrText>
    </w:r>
    <w:r w:rsidRPr="00360EF8">
      <w:rPr>
        <w:rFonts w:ascii="Century Gothic" w:hAnsi="Century Gothic"/>
        <w:b/>
        <w:color w:val="448A99"/>
        <w:sz w:val="16"/>
      </w:rPr>
      <w:fldChar w:fldCharType="separate"/>
    </w:r>
    <w:r w:rsidR="00352571">
      <w:rPr>
        <w:rFonts w:ascii="Century Gothic" w:hAnsi="Century Gothic"/>
        <w:b/>
        <w:noProof/>
        <w:color w:val="448A99"/>
        <w:sz w:val="16"/>
      </w:rPr>
      <w:t>1</w:t>
    </w:r>
    <w:r w:rsidRPr="00360EF8">
      <w:rPr>
        <w:rFonts w:ascii="Century Gothic" w:hAnsi="Century Gothic"/>
        <w:b/>
        <w:noProof/>
        <w:color w:val="448A99"/>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913" w:rsidRDefault="002F7913" w:rsidP="005B627E">
      <w:r>
        <w:separator/>
      </w:r>
    </w:p>
  </w:footnote>
  <w:footnote w:type="continuationSeparator" w:id="0">
    <w:p w:rsidR="002F7913" w:rsidRDefault="002F7913" w:rsidP="005B627E">
      <w:r>
        <w:continuationSeparator/>
      </w:r>
    </w:p>
  </w:footnote>
  <w:footnote w:type="continuationNotice" w:id="1">
    <w:p w:rsidR="002F7913" w:rsidRDefault="002F7913"/>
  </w:footnote>
  <w:footnote w:id="2">
    <w:p w:rsidR="006B442A" w:rsidRDefault="006B442A">
      <w:pPr>
        <w:pStyle w:val="FootnoteText"/>
      </w:pPr>
      <w:r>
        <w:rPr>
          <w:rStyle w:val="FootnoteReference"/>
        </w:rPr>
        <w:footnoteRef/>
      </w:r>
      <w:r>
        <w:t xml:space="preserve"> </w:t>
      </w:r>
      <w:r w:rsidRPr="007801A2">
        <w:t>A DSM measure is not implemented until the existing technology it is replacing fails or burns out. An example would be an energy efficient water heater being purchased after the failure of the existing water heater at the end of its useful life.</w:t>
      </w:r>
    </w:p>
  </w:footnote>
  <w:footnote w:id="3">
    <w:p w:rsidR="006B442A" w:rsidRDefault="006B442A">
      <w:pPr>
        <w:pStyle w:val="FootnoteText"/>
      </w:pPr>
      <w:r>
        <w:rPr>
          <w:rStyle w:val="FootnoteReference"/>
        </w:rPr>
        <w:footnoteRef/>
      </w:r>
      <w:r>
        <w:t xml:space="preserve"> </w:t>
      </w:r>
      <w:r w:rsidR="00FD5700" w:rsidRPr="00FD5700">
        <w:rPr>
          <w:i/>
        </w:rPr>
        <w:t>Act 129 SWE EE Potential Study 4/8/15 Data Request Response</w:t>
      </w:r>
      <w:r>
        <w:t>. This response included a brief discussion of the analysis discussed above.</w:t>
      </w:r>
    </w:p>
  </w:footnote>
  <w:footnote w:id="4">
    <w:p w:rsidR="0063561E" w:rsidRDefault="0063561E">
      <w:pPr>
        <w:pStyle w:val="FootnoteText"/>
      </w:pPr>
      <w:r>
        <w:rPr>
          <w:rStyle w:val="FootnoteReference"/>
        </w:rPr>
        <w:footnoteRef/>
      </w:r>
      <w:r>
        <w:t xml:space="preserve"> The updated non-incentive was derived as the average reported cost to deliver direct install programs among investor-owned utilities in North American between 2012 and 2015. The SWE used E-Source’s DSM Insights tool to extract non-incentive cost data.</w:t>
      </w:r>
    </w:p>
  </w:footnote>
  <w:footnote w:id="5">
    <w:p w:rsidR="006B442A" w:rsidRDefault="006B442A">
      <w:pPr>
        <w:pStyle w:val="FootnoteText"/>
      </w:pPr>
      <w:r>
        <w:rPr>
          <w:rStyle w:val="FootnoteReference"/>
        </w:rPr>
        <w:footnoteRef/>
      </w:r>
      <w:r>
        <w:t xml:space="preserve"> There were no changes to technical, economic, and achievable energy efficiency potential in the commercial and industrial sectors as a result of these modifications.</w:t>
      </w:r>
    </w:p>
  </w:footnote>
  <w:footnote w:id="6">
    <w:p w:rsidR="006B442A" w:rsidRDefault="006B442A">
      <w:pPr>
        <w:pStyle w:val="FootnoteText"/>
      </w:pPr>
      <w:r>
        <w:rPr>
          <w:rStyle w:val="FootnoteReference"/>
        </w:rPr>
        <w:footnoteRef/>
      </w:r>
      <w:r>
        <w:t xml:space="preserve"> </w:t>
      </w:r>
      <w:r w:rsidRPr="007C5E35">
        <w:t>Application of Market Potential Study Results to Phase III Goals – Addendum to 2015 SWE Market Potential Studies, submitted by GDS Associates, Inc., et al., February 23, 2015.</w:t>
      </w:r>
    </w:p>
  </w:footnote>
  <w:footnote w:id="7">
    <w:p w:rsidR="006B442A" w:rsidRDefault="006B442A" w:rsidP="004E78ED">
      <w:pPr>
        <w:pStyle w:val="FootnoteText"/>
        <w:jc w:val="both"/>
      </w:pPr>
      <w:r>
        <w:rPr>
          <w:rStyle w:val="FootnoteReference"/>
        </w:rPr>
        <w:footnoteRef/>
      </w:r>
      <w:r>
        <w:t xml:space="preserve"> Penelec’s energy efficiency budget is not reduced between </w:t>
      </w:r>
      <w:r>
        <w:fldChar w:fldCharType="begin"/>
      </w:r>
      <w:r>
        <w:instrText xml:space="preserve"> REF _Ref420510899 \h </w:instrText>
      </w:r>
      <w:r>
        <w:fldChar w:fldCharType="separate"/>
      </w:r>
      <w:r>
        <w:t xml:space="preserve">Table </w:t>
      </w:r>
      <w:r>
        <w:rPr>
          <w:noProof/>
        </w:rPr>
        <w:t>4</w:t>
      </w:r>
      <w:r>
        <w:noBreakHyphen/>
      </w:r>
      <w:r>
        <w:rPr>
          <w:noProof/>
        </w:rPr>
        <w:t>2</w:t>
      </w:r>
      <w:r>
        <w:fldChar w:fldCharType="end"/>
      </w:r>
      <w:r>
        <w:t xml:space="preserve"> and </w:t>
      </w:r>
      <w:r>
        <w:fldChar w:fldCharType="begin"/>
      </w:r>
      <w:r>
        <w:instrText xml:space="preserve"> REF _Ref420587831 \h </w:instrText>
      </w:r>
      <w:r>
        <w:fldChar w:fldCharType="separate"/>
      </w:r>
      <w:r>
        <w:t xml:space="preserve">Table </w:t>
      </w:r>
      <w:r>
        <w:rPr>
          <w:noProof/>
        </w:rPr>
        <w:t>4</w:t>
      </w:r>
      <w:r>
        <w:noBreakHyphen/>
      </w:r>
      <w:r>
        <w:rPr>
          <w:noProof/>
        </w:rPr>
        <w:t>6</w:t>
      </w:r>
      <w:r>
        <w:fldChar w:fldCharType="end"/>
      </w:r>
      <w:r>
        <w:t xml:space="preserve"> because 100% of the budget is allocated to EE.</w:t>
      </w:r>
    </w:p>
  </w:footnote>
  <w:footnote w:id="8">
    <w:p w:rsidR="006B442A" w:rsidRDefault="006B442A" w:rsidP="004E78ED">
      <w:pPr>
        <w:pStyle w:val="FootnoteText"/>
        <w:jc w:val="both"/>
      </w:pPr>
      <w:r>
        <w:rPr>
          <w:rStyle w:val="FootnoteReference"/>
        </w:rPr>
        <w:footnoteRef/>
      </w:r>
      <w:r>
        <w:t xml:space="preserve"> </w:t>
      </w:r>
      <w:r w:rsidRPr="00776CAA">
        <w:rPr>
          <w:rFonts w:cs="Arial"/>
        </w:rPr>
        <w:t>Phase III program potential reflects the 5-year sum of incremental annual savings from June 1, 2016 through May 31, 2021.</w:t>
      </w:r>
    </w:p>
  </w:footnote>
  <w:footnote w:id="9">
    <w:p w:rsidR="006B442A" w:rsidRDefault="006B442A" w:rsidP="0037541B">
      <w:pPr>
        <w:pStyle w:val="FootnoteText"/>
        <w:jc w:val="both"/>
      </w:pPr>
      <w:r>
        <w:rPr>
          <w:rStyle w:val="FootnoteReference"/>
        </w:rPr>
        <w:footnoteRef/>
      </w:r>
      <w:r>
        <w:t xml:space="preserve"> </w:t>
      </w:r>
      <w:r w:rsidRPr="00776CAA">
        <w:rPr>
          <w:rFonts w:cs="Arial"/>
        </w:rPr>
        <w:t>Phase III program potential reflects the 5-year sum of incremental annual savings from June 1, 2016 through May 31, 2021.</w:t>
      </w:r>
    </w:p>
  </w:footnote>
  <w:footnote w:id="10">
    <w:p w:rsidR="006B442A" w:rsidRDefault="006B442A" w:rsidP="00BE0BFC">
      <w:pPr>
        <w:pStyle w:val="FootnoteText"/>
      </w:pPr>
      <w:r>
        <w:rPr>
          <w:rStyle w:val="FootnoteReference"/>
        </w:rPr>
        <w:footnoteRef/>
      </w:r>
      <w:r>
        <w:t xml:space="preserve"> </w:t>
      </w:r>
      <w:r w:rsidR="00BA5310">
        <w:rPr>
          <w:rFonts w:cs="Arial"/>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42A" w:rsidRDefault="006B442A" w:rsidP="005B627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42A" w:rsidRPr="00977947" w:rsidRDefault="006B442A" w:rsidP="006D2744">
    <w:pPr>
      <w:pStyle w:val="Header"/>
      <w:pBdr>
        <w:bottom w:val="single" w:sz="4" w:space="1" w:color="auto"/>
      </w:pBdr>
      <w:rPr>
        <w:rFonts w:ascii="Century Gothic" w:hAnsi="Century Gothic"/>
        <w:sz w:val="16"/>
      </w:rPr>
    </w:pPr>
    <w:r>
      <w:rPr>
        <w:rFonts w:ascii="Century Gothic" w:hAnsi="Century Gothic"/>
        <w:b/>
        <w:smallCaps/>
        <w:sz w:val="18"/>
      </w:rPr>
      <w:t>Phase III Target Revision Memo</w:t>
    </w:r>
    <w:r>
      <w:rPr>
        <w:rFonts w:ascii="Century Gothic" w:hAnsi="Century Gothic"/>
        <w:sz w:val="16"/>
      </w:rPr>
      <w:tab/>
    </w:r>
    <w:r>
      <w:rPr>
        <w:rFonts w:ascii="Century Gothic" w:hAnsi="Century Gothic"/>
        <w:sz w:val="16"/>
      </w:rPr>
      <w:tab/>
      <w:t>May 29,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48AD"/>
    <w:multiLevelType w:val="hybridMultilevel"/>
    <w:tmpl w:val="BF6C0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B7E64"/>
    <w:multiLevelType w:val="hybridMultilevel"/>
    <w:tmpl w:val="E59E9B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267C9E"/>
    <w:multiLevelType w:val="hybridMultilevel"/>
    <w:tmpl w:val="B2446432"/>
    <w:lvl w:ilvl="0" w:tplc="E570BAE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62BCB"/>
    <w:multiLevelType w:val="hybridMultilevel"/>
    <w:tmpl w:val="0C28CE10"/>
    <w:lvl w:ilvl="0" w:tplc="12B069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6A0FAB"/>
    <w:multiLevelType w:val="hybridMultilevel"/>
    <w:tmpl w:val="A2065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DA0581"/>
    <w:multiLevelType w:val="hybridMultilevel"/>
    <w:tmpl w:val="97E84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206BA0"/>
    <w:multiLevelType w:val="hybridMultilevel"/>
    <w:tmpl w:val="3D58A324"/>
    <w:lvl w:ilvl="0" w:tplc="DA5A4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C67FF7"/>
    <w:multiLevelType w:val="multilevel"/>
    <w:tmpl w:val="F1A00968"/>
    <w:lvl w:ilvl="0">
      <w:start w:val="1"/>
      <w:numFmt w:val="decimal"/>
      <w:pStyle w:val="Heading1"/>
      <w:suff w:val="space"/>
      <w:lvlText w:val="%1"/>
      <w:lvlJc w:val="left"/>
      <w:pPr>
        <w:ind w:left="0" w:firstLine="0"/>
      </w:pPr>
      <w:rPr>
        <w:rFonts w:ascii="Britannic Bold" w:hAnsi="Britannic Bold" w:hint="default"/>
        <w:sz w:val="48"/>
        <w:szCs w:val="4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nsid w:val="3C6F2DDB"/>
    <w:multiLevelType w:val="hybridMultilevel"/>
    <w:tmpl w:val="76980E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540EC7"/>
    <w:multiLevelType w:val="hybridMultilevel"/>
    <w:tmpl w:val="1DA47762"/>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nsid w:val="4D2E1486"/>
    <w:multiLevelType w:val="hybridMultilevel"/>
    <w:tmpl w:val="C668005C"/>
    <w:lvl w:ilvl="0" w:tplc="37DC6D6E">
      <w:start w:val="1"/>
      <w:numFmt w:val="bullet"/>
      <w:lvlText w:val=""/>
      <w:lvlJc w:val="left"/>
      <w:pPr>
        <w:ind w:left="720" w:hanging="360"/>
      </w:pPr>
      <w:rPr>
        <w:rFonts w:ascii="Wingdings" w:hAnsi="Wingdings" w:hint="default"/>
        <w:color w:val="448A99"/>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F108B3"/>
    <w:multiLevelType w:val="hybridMultilevel"/>
    <w:tmpl w:val="6C0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381B78"/>
    <w:multiLevelType w:val="hybridMultilevel"/>
    <w:tmpl w:val="EF449020"/>
    <w:lvl w:ilvl="0" w:tplc="E4343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A001393"/>
    <w:multiLevelType w:val="hybridMultilevel"/>
    <w:tmpl w:val="5DD6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4"/>
  </w:num>
  <w:num w:numId="4">
    <w:abstractNumId w:val="0"/>
  </w:num>
  <w:num w:numId="5">
    <w:abstractNumId w:val="1"/>
  </w:num>
  <w:num w:numId="6">
    <w:abstractNumId w:val="13"/>
  </w:num>
  <w:num w:numId="7">
    <w:abstractNumId w:val="8"/>
  </w:num>
  <w:num w:numId="8">
    <w:abstractNumId w:val="9"/>
  </w:num>
  <w:num w:numId="9">
    <w:abstractNumId w:val="2"/>
  </w:num>
  <w:num w:numId="10">
    <w:abstractNumId w:val="3"/>
  </w:num>
  <w:num w:numId="11">
    <w:abstractNumId w:val="5"/>
  </w:num>
  <w:num w:numId="12">
    <w:abstractNumId w:val="10"/>
  </w:num>
  <w:num w:numId="13">
    <w:abstractNumId w:val="12"/>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ck Spellman">
    <w15:presenceInfo w15:providerId="None" w15:userId="Dick Spell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27E"/>
    <w:rsid w:val="00001E6B"/>
    <w:rsid w:val="00007CB9"/>
    <w:rsid w:val="000215F7"/>
    <w:rsid w:val="00023578"/>
    <w:rsid w:val="00031359"/>
    <w:rsid w:val="0004319F"/>
    <w:rsid w:val="00044FEC"/>
    <w:rsid w:val="0005546A"/>
    <w:rsid w:val="000604FB"/>
    <w:rsid w:val="00060B7C"/>
    <w:rsid w:val="00072E57"/>
    <w:rsid w:val="00076C98"/>
    <w:rsid w:val="00086A1A"/>
    <w:rsid w:val="000901D3"/>
    <w:rsid w:val="00095398"/>
    <w:rsid w:val="000955BB"/>
    <w:rsid w:val="000956D3"/>
    <w:rsid w:val="000A729B"/>
    <w:rsid w:val="000B5CFE"/>
    <w:rsid w:val="000B7FA5"/>
    <w:rsid w:val="000C040E"/>
    <w:rsid w:val="000C1434"/>
    <w:rsid w:val="000C19C6"/>
    <w:rsid w:val="000C7F2F"/>
    <w:rsid w:val="000D20E1"/>
    <w:rsid w:val="000D54DA"/>
    <w:rsid w:val="000D653E"/>
    <w:rsid w:val="000F3015"/>
    <w:rsid w:val="000F4F92"/>
    <w:rsid w:val="0010734B"/>
    <w:rsid w:val="001117F5"/>
    <w:rsid w:val="00113CEA"/>
    <w:rsid w:val="0011626A"/>
    <w:rsid w:val="001220A9"/>
    <w:rsid w:val="00122137"/>
    <w:rsid w:val="00122AC9"/>
    <w:rsid w:val="00122C95"/>
    <w:rsid w:val="00133AAB"/>
    <w:rsid w:val="00133F65"/>
    <w:rsid w:val="00135F4A"/>
    <w:rsid w:val="00140364"/>
    <w:rsid w:val="00140F1B"/>
    <w:rsid w:val="001417BB"/>
    <w:rsid w:val="0014410F"/>
    <w:rsid w:val="001474BE"/>
    <w:rsid w:val="001509E8"/>
    <w:rsid w:val="00162091"/>
    <w:rsid w:val="00164608"/>
    <w:rsid w:val="0016535E"/>
    <w:rsid w:val="00170A7B"/>
    <w:rsid w:val="00172C0E"/>
    <w:rsid w:val="00175817"/>
    <w:rsid w:val="0018641D"/>
    <w:rsid w:val="001966B2"/>
    <w:rsid w:val="00196F2A"/>
    <w:rsid w:val="001A2C6A"/>
    <w:rsid w:val="001B6ABD"/>
    <w:rsid w:val="001C16BE"/>
    <w:rsid w:val="001C2BC1"/>
    <w:rsid w:val="001C30F3"/>
    <w:rsid w:val="001C6098"/>
    <w:rsid w:val="001D0B77"/>
    <w:rsid w:val="001D0D74"/>
    <w:rsid w:val="001D74D5"/>
    <w:rsid w:val="001E09DF"/>
    <w:rsid w:val="001E4EC7"/>
    <w:rsid w:val="001F1536"/>
    <w:rsid w:val="001F4E23"/>
    <w:rsid w:val="001F7C52"/>
    <w:rsid w:val="00204EAB"/>
    <w:rsid w:val="00206163"/>
    <w:rsid w:val="002120C1"/>
    <w:rsid w:val="00216DEE"/>
    <w:rsid w:val="002249C7"/>
    <w:rsid w:val="002315CA"/>
    <w:rsid w:val="00243935"/>
    <w:rsid w:val="002445D7"/>
    <w:rsid w:val="00266385"/>
    <w:rsid w:val="00267EF5"/>
    <w:rsid w:val="0027284A"/>
    <w:rsid w:val="00273B82"/>
    <w:rsid w:val="002824A2"/>
    <w:rsid w:val="0028303B"/>
    <w:rsid w:val="0028581D"/>
    <w:rsid w:val="00290699"/>
    <w:rsid w:val="002947D5"/>
    <w:rsid w:val="002A4BA7"/>
    <w:rsid w:val="002B06F6"/>
    <w:rsid w:val="002B4DC0"/>
    <w:rsid w:val="002B628D"/>
    <w:rsid w:val="002C5325"/>
    <w:rsid w:val="002C613F"/>
    <w:rsid w:val="002D02EE"/>
    <w:rsid w:val="002F0E62"/>
    <w:rsid w:val="002F54C4"/>
    <w:rsid w:val="002F7913"/>
    <w:rsid w:val="00304C4A"/>
    <w:rsid w:val="003063C8"/>
    <w:rsid w:val="00307A68"/>
    <w:rsid w:val="003153CB"/>
    <w:rsid w:val="0031782A"/>
    <w:rsid w:val="0032346F"/>
    <w:rsid w:val="00330D2D"/>
    <w:rsid w:val="00341DA5"/>
    <w:rsid w:val="00346C61"/>
    <w:rsid w:val="00350DA6"/>
    <w:rsid w:val="00350F1C"/>
    <w:rsid w:val="00352571"/>
    <w:rsid w:val="0035393B"/>
    <w:rsid w:val="00360205"/>
    <w:rsid w:val="0037541B"/>
    <w:rsid w:val="003B0C43"/>
    <w:rsid w:val="003B16E9"/>
    <w:rsid w:val="003B1883"/>
    <w:rsid w:val="003B3C3B"/>
    <w:rsid w:val="003B6F1F"/>
    <w:rsid w:val="003C4EB2"/>
    <w:rsid w:val="003D1303"/>
    <w:rsid w:val="003D20B9"/>
    <w:rsid w:val="003D24F6"/>
    <w:rsid w:val="003E3B86"/>
    <w:rsid w:val="003E3CC8"/>
    <w:rsid w:val="003F7F8E"/>
    <w:rsid w:val="004003B8"/>
    <w:rsid w:val="00400E63"/>
    <w:rsid w:val="0042022A"/>
    <w:rsid w:val="0042058B"/>
    <w:rsid w:val="00420F16"/>
    <w:rsid w:val="00427248"/>
    <w:rsid w:val="00433C66"/>
    <w:rsid w:val="00440FFC"/>
    <w:rsid w:val="004449F3"/>
    <w:rsid w:val="00450968"/>
    <w:rsid w:val="004516A8"/>
    <w:rsid w:val="00452D05"/>
    <w:rsid w:val="0046105E"/>
    <w:rsid w:val="004645B2"/>
    <w:rsid w:val="004676CE"/>
    <w:rsid w:val="0047078B"/>
    <w:rsid w:val="00475D1F"/>
    <w:rsid w:val="004830C7"/>
    <w:rsid w:val="0048326D"/>
    <w:rsid w:val="00484A84"/>
    <w:rsid w:val="00490B17"/>
    <w:rsid w:val="004A319A"/>
    <w:rsid w:val="004A5877"/>
    <w:rsid w:val="004B2560"/>
    <w:rsid w:val="004B7A3F"/>
    <w:rsid w:val="004C0325"/>
    <w:rsid w:val="004C61EE"/>
    <w:rsid w:val="004D3BB4"/>
    <w:rsid w:val="004E216F"/>
    <w:rsid w:val="004E78ED"/>
    <w:rsid w:val="004F403A"/>
    <w:rsid w:val="00506AC3"/>
    <w:rsid w:val="005114F4"/>
    <w:rsid w:val="00512F14"/>
    <w:rsid w:val="005130C2"/>
    <w:rsid w:val="00515A9F"/>
    <w:rsid w:val="0052021E"/>
    <w:rsid w:val="005223DC"/>
    <w:rsid w:val="00533798"/>
    <w:rsid w:val="00534832"/>
    <w:rsid w:val="00536B11"/>
    <w:rsid w:val="00541BC1"/>
    <w:rsid w:val="00562ED8"/>
    <w:rsid w:val="00570A0F"/>
    <w:rsid w:val="005820C9"/>
    <w:rsid w:val="00583B5B"/>
    <w:rsid w:val="005870FD"/>
    <w:rsid w:val="005907E0"/>
    <w:rsid w:val="005916AE"/>
    <w:rsid w:val="00596497"/>
    <w:rsid w:val="0059690B"/>
    <w:rsid w:val="005B17E4"/>
    <w:rsid w:val="005B492F"/>
    <w:rsid w:val="005B627E"/>
    <w:rsid w:val="005B6531"/>
    <w:rsid w:val="005C03A8"/>
    <w:rsid w:val="005C0DDF"/>
    <w:rsid w:val="005D15DB"/>
    <w:rsid w:val="005D71A7"/>
    <w:rsid w:val="005F388B"/>
    <w:rsid w:val="0060585F"/>
    <w:rsid w:val="00606375"/>
    <w:rsid w:val="00607919"/>
    <w:rsid w:val="00610F62"/>
    <w:rsid w:val="00612EA3"/>
    <w:rsid w:val="00616ED5"/>
    <w:rsid w:val="006317FA"/>
    <w:rsid w:val="0063561E"/>
    <w:rsid w:val="00636196"/>
    <w:rsid w:val="006436CE"/>
    <w:rsid w:val="006472DB"/>
    <w:rsid w:val="00654875"/>
    <w:rsid w:val="00654D86"/>
    <w:rsid w:val="00657F29"/>
    <w:rsid w:val="0066094B"/>
    <w:rsid w:val="006665CB"/>
    <w:rsid w:val="00666859"/>
    <w:rsid w:val="00672351"/>
    <w:rsid w:val="00673140"/>
    <w:rsid w:val="006777AA"/>
    <w:rsid w:val="00690B7F"/>
    <w:rsid w:val="00692E5F"/>
    <w:rsid w:val="00693B8B"/>
    <w:rsid w:val="00697C92"/>
    <w:rsid w:val="006A0E9F"/>
    <w:rsid w:val="006A2ADA"/>
    <w:rsid w:val="006A57CE"/>
    <w:rsid w:val="006B442A"/>
    <w:rsid w:val="006B48E7"/>
    <w:rsid w:val="006C1B08"/>
    <w:rsid w:val="006C25C4"/>
    <w:rsid w:val="006C632F"/>
    <w:rsid w:val="006C72DB"/>
    <w:rsid w:val="006D2744"/>
    <w:rsid w:val="006D2EE3"/>
    <w:rsid w:val="006D4C85"/>
    <w:rsid w:val="006D5501"/>
    <w:rsid w:val="006D6B40"/>
    <w:rsid w:val="006D713A"/>
    <w:rsid w:val="006E0E53"/>
    <w:rsid w:val="006E581C"/>
    <w:rsid w:val="006E7658"/>
    <w:rsid w:val="007001FA"/>
    <w:rsid w:val="00704F2E"/>
    <w:rsid w:val="00707D8C"/>
    <w:rsid w:val="00710697"/>
    <w:rsid w:val="007152DD"/>
    <w:rsid w:val="00716640"/>
    <w:rsid w:val="0074104E"/>
    <w:rsid w:val="007454CD"/>
    <w:rsid w:val="0074687C"/>
    <w:rsid w:val="007510D3"/>
    <w:rsid w:val="0075346A"/>
    <w:rsid w:val="00776CAA"/>
    <w:rsid w:val="007801A2"/>
    <w:rsid w:val="00780D3D"/>
    <w:rsid w:val="00781485"/>
    <w:rsid w:val="00785C49"/>
    <w:rsid w:val="00785FA5"/>
    <w:rsid w:val="007936A4"/>
    <w:rsid w:val="00794E4A"/>
    <w:rsid w:val="007A0007"/>
    <w:rsid w:val="007A35EE"/>
    <w:rsid w:val="007A42F0"/>
    <w:rsid w:val="007A4F02"/>
    <w:rsid w:val="007A6285"/>
    <w:rsid w:val="007C2538"/>
    <w:rsid w:val="007C5E35"/>
    <w:rsid w:val="007D7159"/>
    <w:rsid w:val="007F065C"/>
    <w:rsid w:val="007F0CF7"/>
    <w:rsid w:val="007F1234"/>
    <w:rsid w:val="007F7A24"/>
    <w:rsid w:val="008003FB"/>
    <w:rsid w:val="0080182B"/>
    <w:rsid w:val="00804734"/>
    <w:rsid w:val="00805ACF"/>
    <w:rsid w:val="008117AE"/>
    <w:rsid w:val="00816DA1"/>
    <w:rsid w:val="008178AF"/>
    <w:rsid w:val="00817AA8"/>
    <w:rsid w:val="008342CB"/>
    <w:rsid w:val="00844164"/>
    <w:rsid w:val="00845F0C"/>
    <w:rsid w:val="008533AC"/>
    <w:rsid w:val="00854D64"/>
    <w:rsid w:val="008571BC"/>
    <w:rsid w:val="0086281E"/>
    <w:rsid w:val="00877C2E"/>
    <w:rsid w:val="008845CE"/>
    <w:rsid w:val="008864B5"/>
    <w:rsid w:val="00886D0C"/>
    <w:rsid w:val="00892B17"/>
    <w:rsid w:val="00895D88"/>
    <w:rsid w:val="00896B11"/>
    <w:rsid w:val="008978C0"/>
    <w:rsid w:val="008A0FCB"/>
    <w:rsid w:val="008A5A61"/>
    <w:rsid w:val="008A5A9C"/>
    <w:rsid w:val="008B1EAC"/>
    <w:rsid w:val="008B2981"/>
    <w:rsid w:val="008B7939"/>
    <w:rsid w:val="008C0D65"/>
    <w:rsid w:val="008C24C7"/>
    <w:rsid w:val="008C7CFF"/>
    <w:rsid w:val="008D5ECF"/>
    <w:rsid w:val="008E261F"/>
    <w:rsid w:val="008E33F9"/>
    <w:rsid w:val="008E4C09"/>
    <w:rsid w:val="008F6493"/>
    <w:rsid w:val="00904F5F"/>
    <w:rsid w:val="00907D38"/>
    <w:rsid w:val="0091046B"/>
    <w:rsid w:val="0092002B"/>
    <w:rsid w:val="009251A2"/>
    <w:rsid w:val="00934A55"/>
    <w:rsid w:val="009357D6"/>
    <w:rsid w:val="00944DE3"/>
    <w:rsid w:val="00945194"/>
    <w:rsid w:val="00962E99"/>
    <w:rsid w:val="0096416D"/>
    <w:rsid w:val="00971CBE"/>
    <w:rsid w:val="00981FC1"/>
    <w:rsid w:val="00985BA2"/>
    <w:rsid w:val="0099199C"/>
    <w:rsid w:val="009A5CE6"/>
    <w:rsid w:val="009B28C3"/>
    <w:rsid w:val="009B4B5A"/>
    <w:rsid w:val="009F6734"/>
    <w:rsid w:val="00A054A6"/>
    <w:rsid w:val="00A05D5C"/>
    <w:rsid w:val="00A1404B"/>
    <w:rsid w:val="00A15262"/>
    <w:rsid w:val="00A23412"/>
    <w:rsid w:val="00A24C48"/>
    <w:rsid w:val="00A306DB"/>
    <w:rsid w:val="00A30AA6"/>
    <w:rsid w:val="00A358A8"/>
    <w:rsid w:val="00A45330"/>
    <w:rsid w:val="00A47B1A"/>
    <w:rsid w:val="00A52317"/>
    <w:rsid w:val="00A615BD"/>
    <w:rsid w:val="00A75564"/>
    <w:rsid w:val="00A812CB"/>
    <w:rsid w:val="00A83193"/>
    <w:rsid w:val="00A843FB"/>
    <w:rsid w:val="00A9320A"/>
    <w:rsid w:val="00A96BF0"/>
    <w:rsid w:val="00AA0DFF"/>
    <w:rsid w:val="00AA2597"/>
    <w:rsid w:val="00AA5A21"/>
    <w:rsid w:val="00AA641A"/>
    <w:rsid w:val="00AB04B7"/>
    <w:rsid w:val="00AB0A9E"/>
    <w:rsid w:val="00AB4E40"/>
    <w:rsid w:val="00AC1495"/>
    <w:rsid w:val="00AC482F"/>
    <w:rsid w:val="00AC48CC"/>
    <w:rsid w:val="00AD3285"/>
    <w:rsid w:val="00AD49B9"/>
    <w:rsid w:val="00AE048D"/>
    <w:rsid w:val="00AE0C8E"/>
    <w:rsid w:val="00AF25D6"/>
    <w:rsid w:val="00AF4B17"/>
    <w:rsid w:val="00B012B2"/>
    <w:rsid w:val="00B02935"/>
    <w:rsid w:val="00B02A26"/>
    <w:rsid w:val="00B23C26"/>
    <w:rsid w:val="00B23C2B"/>
    <w:rsid w:val="00B30C89"/>
    <w:rsid w:val="00B3422A"/>
    <w:rsid w:val="00B36539"/>
    <w:rsid w:val="00B36DCB"/>
    <w:rsid w:val="00B43061"/>
    <w:rsid w:val="00B4551E"/>
    <w:rsid w:val="00B533C7"/>
    <w:rsid w:val="00B53667"/>
    <w:rsid w:val="00B56F6F"/>
    <w:rsid w:val="00B66761"/>
    <w:rsid w:val="00B7678E"/>
    <w:rsid w:val="00B77023"/>
    <w:rsid w:val="00B83CB4"/>
    <w:rsid w:val="00B84E9E"/>
    <w:rsid w:val="00B85D5E"/>
    <w:rsid w:val="00B90ECA"/>
    <w:rsid w:val="00B93962"/>
    <w:rsid w:val="00B93D48"/>
    <w:rsid w:val="00BA0AF0"/>
    <w:rsid w:val="00BA2B87"/>
    <w:rsid w:val="00BA5310"/>
    <w:rsid w:val="00BA6F3A"/>
    <w:rsid w:val="00BB122D"/>
    <w:rsid w:val="00BB1D1E"/>
    <w:rsid w:val="00BC23F4"/>
    <w:rsid w:val="00BC7C87"/>
    <w:rsid w:val="00BD024E"/>
    <w:rsid w:val="00BD2CBD"/>
    <w:rsid w:val="00BD35F6"/>
    <w:rsid w:val="00BE0BFC"/>
    <w:rsid w:val="00BE40CB"/>
    <w:rsid w:val="00BE63B4"/>
    <w:rsid w:val="00BF3231"/>
    <w:rsid w:val="00BF4D2F"/>
    <w:rsid w:val="00C008D1"/>
    <w:rsid w:val="00C014CC"/>
    <w:rsid w:val="00C108D8"/>
    <w:rsid w:val="00C17639"/>
    <w:rsid w:val="00C22598"/>
    <w:rsid w:val="00C23B98"/>
    <w:rsid w:val="00C25580"/>
    <w:rsid w:val="00C265D8"/>
    <w:rsid w:val="00C26D2B"/>
    <w:rsid w:val="00C307F9"/>
    <w:rsid w:val="00C42686"/>
    <w:rsid w:val="00C4383A"/>
    <w:rsid w:val="00C52732"/>
    <w:rsid w:val="00C53214"/>
    <w:rsid w:val="00C5384C"/>
    <w:rsid w:val="00C53AC5"/>
    <w:rsid w:val="00C560CC"/>
    <w:rsid w:val="00C66BF8"/>
    <w:rsid w:val="00C77EB1"/>
    <w:rsid w:val="00C8021D"/>
    <w:rsid w:val="00C809D9"/>
    <w:rsid w:val="00C81DB3"/>
    <w:rsid w:val="00C82AFE"/>
    <w:rsid w:val="00C8720A"/>
    <w:rsid w:val="00C92DE7"/>
    <w:rsid w:val="00CA4957"/>
    <w:rsid w:val="00CA5BB1"/>
    <w:rsid w:val="00CA781D"/>
    <w:rsid w:val="00CB08DA"/>
    <w:rsid w:val="00CB7A7F"/>
    <w:rsid w:val="00CC065E"/>
    <w:rsid w:val="00CC7F01"/>
    <w:rsid w:val="00CD00F1"/>
    <w:rsid w:val="00CD1BA0"/>
    <w:rsid w:val="00CD5EAC"/>
    <w:rsid w:val="00CD5EFA"/>
    <w:rsid w:val="00CD769D"/>
    <w:rsid w:val="00CE3180"/>
    <w:rsid w:val="00D00121"/>
    <w:rsid w:val="00D02E00"/>
    <w:rsid w:val="00D039AB"/>
    <w:rsid w:val="00D07273"/>
    <w:rsid w:val="00D20C6A"/>
    <w:rsid w:val="00D21A9D"/>
    <w:rsid w:val="00D2244E"/>
    <w:rsid w:val="00D2313C"/>
    <w:rsid w:val="00D35DD5"/>
    <w:rsid w:val="00D36776"/>
    <w:rsid w:val="00D40D06"/>
    <w:rsid w:val="00D4566F"/>
    <w:rsid w:val="00D457F2"/>
    <w:rsid w:val="00D47C76"/>
    <w:rsid w:val="00D47F53"/>
    <w:rsid w:val="00D50B56"/>
    <w:rsid w:val="00D5163C"/>
    <w:rsid w:val="00D516D6"/>
    <w:rsid w:val="00D55890"/>
    <w:rsid w:val="00D609BF"/>
    <w:rsid w:val="00D624C4"/>
    <w:rsid w:val="00D64973"/>
    <w:rsid w:val="00D70421"/>
    <w:rsid w:val="00D81410"/>
    <w:rsid w:val="00D901B3"/>
    <w:rsid w:val="00D90A43"/>
    <w:rsid w:val="00D9712B"/>
    <w:rsid w:val="00DA04BA"/>
    <w:rsid w:val="00DB1B8B"/>
    <w:rsid w:val="00DB44A3"/>
    <w:rsid w:val="00DC4E76"/>
    <w:rsid w:val="00DC6ECD"/>
    <w:rsid w:val="00DD159A"/>
    <w:rsid w:val="00DD249E"/>
    <w:rsid w:val="00DD4DDE"/>
    <w:rsid w:val="00E0487D"/>
    <w:rsid w:val="00E04D60"/>
    <w:rsid w:val="00E204E8"/>
    <w:rsid w:val="00E22A3D"/>
    <w:rsid w:val="00E349E6"/>
    <w:rsid w:val="00E37A18"/>
    <w:rsid w:val="00E45620"/>
    <w:rsid w:val="00E46075"/>
    <w:rsid w:val="00E6082A"/>
    <w:rsid w:val="00E670A9"/>
    <w:rsid w:val="00E677F8"/>
    <w:rsid w:val="00E71326"/>
    <w:rsid w:val="00E73398"/>
    <w:rsid w:val="00E95994"/>
    <w:rsid w:val="00E963C1"/>
    <w:rsid w:val="00EA5561"/>
    <w:rsid w:val="00EB2197"/>
    <w:rsid w:val="00ED13B7"/>
    <w:rsid w:val="00ED31D5"/>
    <w:rsid w:val="00ED5D57"/>
    <w:rsid w:val="00F11210"/>
    <w:rsid w:val="00F2010E"/>
    <w:rsid w:val="00F33547"/>
    <w:rsid w:val="00F33CEC"/>
    <w:rsid w:val="00F40397"/>
    <w:rsid w:val="00F41D8C"/>
    <w:rsid w:val="00F41FE3"/>
    <w:rsid w:val="00F43463"/>
    <w:rsid w:val="00F51F3D"/>
    <w:rsid w:val="00F611DB"/>
    <w:rsid w:val="00F6308E"/>
    <w:rsid w:val="00F642A6"/>
    <w:rsid w:val="00F70C43"/>
    <w:rsid w:val="00F7194A"/>
    <w:rsid w:val="00F73375"/>
    <w:rsid w:val="00F75AE3"/>
    <w:rsid w:val="00F81D9E"/>
    <w:rsid w:val="00F832F9"/>
    <w:rsid w:val="00F956EA"/>
    <w:rsid w:val="00FA1703"/>
    <w:rsid w:val="00FA2EE9"/>
    <w:rsid w:val="00FA6C31"/>
    <w:rsid w:val="00FA7A28"/>
    <w:rsid w:val="00FC36F0"/>
    <w:rsid w:val="00FC42CF"/>
    <w:rsid w:val="00FC6E21"/>
    <w:rsid w:val="00FD0A66"/>
    <w:rsid w:val="00FD2413"/>
    <w:rsid w:val="00FD304C"/>
    <w:rsid w:val="00FD5052"/>
    <w:rsid w:val="00FD5700"/>
    <w:rsid w:val="00FD5999"/>
    <w:rsid w:val="00FE1605"/>
    <w:rsid w:val="00FF1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41A"/>
    <w:pPr>
      <w:spacing w:after="0" w:line="240" w:lineRule="auto"/>
    </w:pPr>
  </w:style>
  <w:style w:type="paragraph" w:styleId="Heading1">
    <w:name w:val="heading 1"/>
    <w:basedOn w:val="ListParagraph"/>
    <w:next w:val="Normal"/>
    <w:link w:val="Heading1Char"/>
    <w:uiPriority w:val="9"/>
    <w:qFormat/>
    <w:rsid w:val="007152DD"/>
    <w:pPr>
      <w:numPr>
        <w:numId w:val="2"/>
      </w:numPr>
      <w:shd w:val="clear" w:color="auto" w:fill="448A99"/>
      <w:spacing w:after="120"/>
      <w:outlineLvl w:val="0"/>
    </w:pPr>
    <w:rPr>
      <w:rFonts w:ascii="Century Gothic" w:hAnsi="Century Gothic" w:cs="Calibri"/>
      <w:b/>
      <w:smallCaps/>
      <w:color w:val="FFFFFF" w:themeColor="background1"/>
      <w:sz w:val="32"/>
      <w:szCs w:val="32"/>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
    <w:unhideWhenUsed/>
    <w:qFormat/>
    <w:rsid w:val="00AA641A"/>
    <w:pPr>
      <w:keepNext/>
      <w:keepLines/>
      <w:spacing w:after="120"/>
      <w:outlineLvl w:val="1"/>
    </w:pPr>
    <w:rPr>
      <w:rFonts w:ascii="Century Gothic" w:eastAsiaTheme="majorEastAsia" w:hAnsi="Century Gothic" w:cstheme="majorBidi"/>
      <w:b/>
      <w:bCs/>
      <w:smallCap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27E"/>
    <w:pPr>
      <w:tabs>
        <w:tab w:val="center" w:pos="4680"/>
        <w:tab w:val="right" w:pos="9360"/>
      </w:tabs>
    </w:pPr>
  </w:style>
  <w:style w:type="character" w:customStyle="1" w:styleId="HeaderChar">
    <w:name w:val="Header Char"/>
    <w:basedOn w:val="DefaultParagraphFont"/>
    <w:link w:val="Header"/>
    <w:uiPriority w:val="99"/>
    <w:rsid w:val="005B627E"/>
  </w:style>
  <w:style w:type="paragraph" w:styleId="Footer">
    <w:name w:val="footer"/>
    <w:basedOn w:val="Normal"/>
    <w:link w:val="FooterChar"/>
    <w:uiPriority w:val="99"/>
    <w:unhideWhenUsed/>
    <w:rsid w:val="005B627E"/>
    <w:pPr>
      <w:tabs>
        <w:tab w:val="center" w:pos="4680"/>
        <w:tab w:val="right" w:pos="9360"/>
      </w:tabs>
    </w:pPr>
  </w:style>
  <w:style w:type="character" w:customStyle="1" w:styleId="FooterChar">
    <w:name w:val="Footer Char"/>
    <w:basedOn w:val="DefaultParagraphFont"/>
    <w:link w:val="Footer"/>
    <w:uiPriority w:val="99"/>
    <w:rsid w:val="005B627E"/>
  </w:style>
  <w:style w:type="paragraph" w:styleId="BalloonText">
    <w:name w:val="Balloon Text"/>
    <w:basedOn w:val="Normal"/>
    <w:link w:val="BalloonTextChar"/>
    <w:uiPriority w:val="99"/>
    <w:semiHidden/>
    <w:unhideWhenUsed/>
    <w:rsid w:val="005B627E"/>
    <w:rPr>
      <w:rFonts w:ascii="Tahoma" w:hAnsi="Tahoma" w:cs="Tahoma"/>
      <w:sz w:val="16"/>
      <w:szCs w:val="16"/>
    </w:rPr>
  </w:style>
  <w:style w:type="character" w:customStyle="1" w:styleId="BalloonTextChar">
    <w:name w:val="Balloon Text Char"/>
    <w:basedOn w:val="DefaultParagraphFont"/>
    <w:link w:val="BalloonText"/>
    <w:uiPriority w:val="99"/>
    <w:semiHidden/>
    <w:rsid w:val="005B627E"/>
    <w:rPr>
      <w:rFonts w:ascii="Tahoma" w:hAnsi="Tahoma" w:cs="Tahoma"/>
      <w:sz w:val="16"/>
      <w:szCs w:val="16"/>
    </w:rPr>
  </w:style>
  <w:style w:type="paragraph" w:customStyle="1" w:styleId="CompanyName">
    <w:name w:val="Company Name"/>
    <w:basedOn w:val="Normal"/>
    <w:uiPriority w:val="99"/>
    <w:rsid w:val="005B627E"/>
    <w:pPr>
      <w:keepLines/>
      <w:shd w:val="solid" w:color="auto" w:fill="auto"/>
      <w:spacing w:line="320" w:lineRule="exact"/>
    </w:pPr>
    <w:rPr>
      <w:rFonts w:ascii="Arial Black" w:eastAsia="Times New Roman" w:hAnsi="Arial Black" w:cs="Times New Roman"/>
      <w:color w:val="FFFFFF"/>
      <w:spacing w:val="-15"/>
      <w:sz w:val="32"/>
      <w:szCs w:val="20"/>
    </w:rPr>
  </w:style>
  <w:style w:type="paragraph" w:customStyle="1" w:styleId="DocumentLabel">
    <w:name w:val="Document Label"/>
    <w:basedOn w:val="Normal"/>
    <w:next w:val="Normal"/>
    <w:uiPriority w:val="99"/>
    <w:rsid w:val="005B627E"/>
    <w:pPr>
      <w:keepNext/>
      <w:keepLines/>
      <w:spacing w:before="400" w:after="120" w:line="240" w:lineRule="atLeast"/>
    </w:pPr>
    <w:rPr>
      <w:rFonts w:ascii="Arial Black" w:eastAsia="Times New Roman" w:hAnsi="Arial Black" w:cs="Times New Roman"/>
      <w:spacing w:val="-5"/>
      <w:kern w:val="28"/>
      <w:sz w:val="96"/>
      <w:szCs w:val="20"/>
    </w:rPr>
  </w:style>
  <w:style w:type="paragraph" w:styleId="MessageHeader">
    <w:name w:val="Message Header"/>
    <w:basedOn w:val="BodyText"/>
    <w:link w:val="MessageHeaderChar"/>
    <w:uiPriority w:val="99"/>
    <w:semiHidden/>
    <w:rsid w:val="005B627E"/>
    <w:pPr>
      <w:keepLines/>
      <w:spacing w:line="180" w:lineRule="atLeast"/>
      <w:ind w:left="1555"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uiPriority w:val="99"/>
    <w:semiHidden/>
    <w:rsid w:val="005B627E"/>
    <w:rPr>
      <w:rFonts w:ascii="Arial" w:eastAsia="Times New Roman" w:hAnsi="Arial" w:cs="Times New Roman"/>
      <w:spacing w:val="-5"/>
      <w:sz w:val="20"/>
      <w:szCs w:val="20"/>
    </w:rPr>
  </w:style>
  <w:style w:type="character" w:customStyle="1" w:styleId="MessageHeaderLabel">
    <w:name w:val="Message Header Label"/>
    <w:rsid w:val="005B627E"/>
    <w:rPr>
      <w:rFonts w:ascii="Arial Black" w:hAnsi="Arial Black"/>
      <w:spacing w:val="-10"/>
      <w:sz w:val="18"/>
    </w:rPr>
  </w:style>
  <w:style w:type="paragraph" w:styleId="BodyText">
    <w:name w:val="Body Text"/>
    <w:basedOn w:val="Normal"/>
    <w:link w:val="BodyTextChar"/>
    <w:uiPriority w:val="99"/>
    <w:rsid w:val="005B627E"/>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5B627E"/>
    <w:rPr>
      <w:rFonts w:ascii="Calibri" w:eastAsia="Calibri" w:hAnsi="Calibri" w:cs="Times New Roman"/>
    </w:rPr>
  </w:style>
  <w:style w:type="paragraph" w:styleId="ListParagraph">
    <w:name w:val="List Paragraph"/>
    <w:basedOn w:val="Normal"/>
    <w:uiPriority w:val="34"/>
    <w:qFormat/>
    <w:rsid w:val="00A24C48"/>
    <w:pPr>
      <w:ind w:left="720"/>
    </w:p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iPriority w:val="99"/>
    <w:unhideWhenUsed/>
    <w:qFormat/>
    <w:rsid w:val="006D4C85"/>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6D4C85"/>
    <w:rPr>
      <w:sz w:val="20"/>
      <w:szCs w:val="20"/>
    </w:rPr>
  </w:style>
  <w:style w:type="character" w:styleId="FootnoteReference">
    <w:name w:val="footnote reference"/>
    <w:aliases w:val="o,fr"/>
    <w:basedOn w:val="DefaultParagraphFont"/>
    <w:uiPriority w:val="99"/>
    <w:unhideWhenUsed/>
    <w:qFormat/>
    <w:rsid w:val="006D4C85"/>
    <w:rPr>
      <w:vertAlign w:val="superscript"/>
    </w:rPr>
  </w:style>
  <w:style w:type="character" w:styleId="CommentReference">
    <w:name w:val="annotation reference"/>
    <w:basedOn w:val="DefaultParagraphFont"/>
    <w:uiPriority w:val="99"/>
    <w:semiHidden/>
    <w:unhideWhenUsed/>
    <w:rsid w:val="00FD304C"/>
    <w:rPr>
      <w:sz w:val="16"/>
      <w:szCs w:val="16"/>
    </w:rPr>
  </w:style>
  <w:style w:type="paragraph" w:styleId="CommentText">
    <w:name w:val="annotation text"/>
    <w:basedOn w:val="Normal"/>
    <w:link w:val="CommentTextChar"/>
    <w:uiPriority w:val="99"/>
    <w:semiHidden/>
    <w:unhideWhenUsed/>
    <w:rsid w:val="00FD304C"/>
    <w:rPr>
      <w:sz w:val="20"/>
      <w:szCs w:val="20"/>
    </w:rPr>
  </w:style>
  <w:style w:type="character" w:customStyle="1" w:styleId="CommentTextChar">
    <w:name w:val="Comment Text Char"/>
    <w:basedOn w:val="DefaultParagraphFont"/>
    <w:link w:val="CommentText"/>
    <w:uiPriority w:val="99"/>
    <w:semiHidden/>
    <w:rsid w:val="00FD304C"/>
    <w:rPr>
      <w:sz w:val="20"/>
      <w:szCs w:val="20"/>
    </w:rPr>
  </w:style>
  <w:style w:type="paragraph" w:styleId="CommentSubject">
    <w:name w:val="annotation subject"/>
    <w:basedOn w:val="CommentText"/>
    <w:next w:val="CommentText"/>
    <w:link w:val="CommentSubjectChar"/>
    <w:uiPriority w:val="99"/>
    <w:semiHidden/>
    <w:unhideWhenUsed/>
    <w:rsid w:val="00FD304C"/>
    <w:rPr>
      <w:b/>
      <w:bCs/>
    </w:rPr>
  </w:style>
  <w:style w:type="character" w:customStyle="1" w:styleId="CommentSubjectChar">
    <w:name w:val="Comment Subject Char"/>
    <w:basedOn w:val="CommentTextChar"/>
    <w:link w:val="CommentSubject"/>
    <w:uiPriority w:val="99"/>
    <w:semiHidden/>
    <w:rsid w:val="00FD304C"/>
    <w:rPr>
      <w:b/>
      <w:bCs/>
      <w:sz w:val="20"/>
      <w:szCs w:val="20"/>
    </w:rPr>
  </w:style>
  <w:style w:type="table" w:styleId="TableGrid">
    <w:name w:val="Table Grid"/>
    <w:basedOn w:val="TableNormal"/>
    <w:uiPriority w:val="59"/>
    <w:rsid w:val="00023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able Caption"/>
    <w:basedOn w:val="Normal"/>
    <w:next w:val="Normal"/>
    <w:link w:val="CaptionChar"/>
    <w:uiPriority w:val="35"/>
    <w:unhideWhenUsed/>
    <w:qFormat/>
    <w:rsid w:val="00B43061"/>
    <w:pPr>
      <w:spacing w:after="120"/>
      <w:jc w:val="center"/>
    </w:pPr>
    <w:rPr>
      <w:rFonts w:ascii="Century Gothic" w:hAnsi="Century Gothic"/>
      <w:b/>
      <w:bCs/>
      <w:sz w:val="18"/>
      <w:szCs w:val="18"/>
    </w:rPr>
  </w:style>
  <w:style w:type="character" w:styleId="PlaceholderText">
    <w:name w:val="Placeholder Text"/>
    <w:basedOn w:val="DefaultParagraphFont"/>
    <w:uiPriority w:val="99"/>
    <w:semiHidden/>
    <w:rsid w:val="00A054A6"/>
    <w:rPr>
      <w:color w:val="808080"/>
    </w:rPr>
  </w:style>
  <w:style w:type="paragraph" w:styleId="Revision">
    <w:name w:val="Revision"/>
    <w:hidden/>
    <w:uiPriority w:val="99"/>
    <w:semiHidden/>
    <w:rsid w:val="003E3B86"/>
    <w:pPr>
      <w:spacing w:after="0" w:line="240" w:lineRule="auto"/>
    </w:pPr>
  </w:style>
  <w:style w:type="character" w:styleId="Hyperlink">
    <w:name w:val="Hyperlink"/>
    <w:basedOn w:val="DefaultParagraphFont"/>
    <w:uiPriority w:val="99"/>
    <w:unhideWhenUsed/>
    <w:rsid w:val="00654875"/>
    <w:rPr>
      <w:color w:val="0000FF"/>
      <w:u w:val="single"/>
    </w:rPr>
  </w:style>
  <w:style w:type="character" w:customStyle="1" w:styleId="CaptionChar">
    <w:name w:val="Caption Char"/>
    <w:aliases w:val="Table Caption Char"/>
    <w:basedOn w:val="DefaultParagraphFont"/>
    <w:link w:val="Caption"/>
    <w:uiPriority w:val="35"/>
    <w:locked/>
    <w:rsid w:val="00B43061"/>
    <w:rPr>
      <w:rFonts w:ascii="Century Gothic" w:hAnsi="Century Gothic"/>
      <w:b/>
      <w:bCs/>
      <w:sz w:val="18"/>
      <w:szCs w:val="18"/>
    </w:rPr>
  </w:style>
  <w:style w:type="character" w:styleId="FollowedHyperlink">
    <w:name w:val="FollowedHyperlink"/>
    <w:basedOn w:val="DefaultParagraphFont"/>
    <w:uiPriority w:val="99"/>
    <w:semiHidden/>
    <w:unhideWhenUsed/>
    <w:rsid w:val="00654875"/>
    <w:rPr>
      <w:color w:val="800080" w:themeColor="followedHyperlink"/>
      <w:u w:val="single"/>
    </w:rPr>
  </w:style>
  <w:style w:type="table" w:styleId="LightList-Accent5">
    <w:name w:val="Light List Accent 5"/>
    <w:basedOn w:val="TableNormal"/>
    <w:uiPriority w:val="61"/>
    <w:rsid w:val="00A47B1A"/>
    <w:pPr>
      <w:spacing w:after="0" w:line="240" w:lineRule="auto"/>
    </w:pPr>
    <w:tblPr>
      <w:tblStyleRowBandSize w:val="1"/>
      <w:tblStyleColBandSize w:val="1"/>
      <w:tblBorders>
        <w:top w:val="single" w:sz="4" w:space="0" w:color="448A99"/>
        <w:left w:val="single" w:sz="4" w:space="0" w:color="448A99"/>
        <w:bottom w:val="single" w:sz="4" w:space="0" w:color="448A99"/>
        <w:right w:val="single" w:sz="4" w:space="0" w:color="448A99"/>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Title">
    <w:name w:val="Title"/>
    <w:basedOn w:val="Normal"/>
    <w:next w:val="Normal"/>
    <w:link w:val="TitleChar"/>
    <w:uiPriority w:val="10"/>
    <w:qFormat/>
    <w:rsid w:val="006D2744"/>
    <w:pPr>
      <w:pBdr>
        <w:bottom w:val="single" w:sz="8" w:space="4" w:color="4F81BD" w:themeColor="accent1"/>
      </w:pBdr>
      <w:spacing w:after="300"/>
      <w:contextualSpacing/>
      <w:jc w:val="both"/>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6D2744"/>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6D2744"/>
    <w:pPr>
      <w:numPr>
        <w:ilvl w:val="1"/>
      </w:numPr>
      <w:jc w:val="both"/>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6D2744"/>
    <w:rPr>
      <w:rFonts w:asciiTheme="majorHAnsi" w:eastAsiaTheme="majorEastAsia" w:hAnsiTheme="majorHAnsi" w:cstheme="majorBidi"/>
      <w:i/>
      <w:iCs/>
      <w:color w:val="4F81BD" w:themeColor="accent1"/>
      <w:spacing w:val="15"/>
      <w:sz w:val="24"/>
      <w:szCs w:val="24"/>
      <w:lang w:eastAsia="ja-JP"/>
    </w:rPr>
  </w:style>
  <w:style w:type="character" w:customStyle="1" w:styleId="Heading1Char">
    <w:name w:val="Heading 1 Char"/>
    <w:basedOn w:val="DefaultParagraphFont"/>
    <w:link w:val="Heading1"/>
    <w:uiPriority w:val="9"/>
    <w:rsid w:val="007152DD"/>
    <w:rPr>
      <w:rFonts w:ascii="Century Gothic" w:hAnsi="Century Gothic" w:cs="Calibri"/>
      <w:b/>
      <w:smallCaps/>
      <w:color w:val="FFFFFF" w:themeColor="background1"/>
      <w:sz w:val="32"/>
      <w:szCs w:val="32"/>
      <w:shd w:val="clear" w:color="auto" w:fill="448A99"/>
      <w14:shadow w14:blurRad="50800" w14:dist="38100" w14:dir="2700000" w14:sx="100000" w14:sy="100000" w14:kx="0" w14:ky="0" w14:algn="tl">
        <w14:srgbClr w14:val="000000">
          <w14:alpha w14:val="60000"/>
        </w14:srgbClr>
      </w14:shadow>
    </w:rPr>
  </w:style>
  <w:style w:type="paragraph" w:customStyle="1" w:styleId="FigureCaption">
    <w:name w:val="Figure Caption"/>
    <w:basedOn w:val="Normal"/>
    <w:link w:val="FigureCaptionChar"/>
    <w:qFormat/>
    <w:rsid w:val="00304C4A"/>
    <w:pPr>
      <w:spacing w:after="120"/>
    </w:pPr>
    <w:rPr>
      <w:rFonts w:ascii="Century Gothic" w:eastAsia="Times New Roman" w:hAnsi="Century Gothic" w:cs="Garamond"/>
      <w:b/>
      <w:sz w:val="18"/>
    </w:rPr>
  </w:style>
  <w:style w:type="character" w:customStyle="1" w:styleId="FigureCaptionChar">
    <w:name w:val="Figure Caption Char"/>
    <w:basedOn w:val="DefaultParagraphFont"/>
    <w:link w:val="FigureCaption"/>
    <w:rsid w:val="00304C4A"/>
    <w:rPr>
      <w:rFonts w:ascii="Century Gothic" w:eastAsia="Times New Roman" w:hAnsi="Century Gothic" w:cs="Garamond"/>
      <w:b/>
      <w:sz w:val="18"/>
    </w:rPr>
  </w:style>
  <w:style w:type="character" w:customStyle="1" w:styleId="Heading2Char">
    <w:name w:val="Heading 2 Char"/>
    <w:basedOn w:val="DefaultParagraphFont"/>
    <w:link w:val="Heading2"/>
    <w:uiPriority w:val="9"/>
    <w:rsid w:val="00AA641A"/>
    <w:rPr>
      <w:rFonts w:ascii="Century Gothic" w:eastAsiaTheme="majorEastAsia" w:hAnsi="Century Gothic" w:cstheme="majorBidi"/>
      <w:b/>
      <w:bCs/>
      <w:smallCaps/>
      <w:sz w:val="26"/>
      <w:szCs w:val="26"/>
    </w:rPr>
  </w:style>
  <w:style w:type="character" w:styleId="Strong">
    <w:name w:val="Strong"/>
    <w:basedOn w:val="DefaultParagraphFont"/>
    <w:uiPriority w:val="22"/>
    <w:qFormat/>
    <w:rsid w:val="00304C4A"/>
    <w:rPr>
      <w:b/>
      <w:bCs/>
    </w:rPr>
  </w:style>
  <w:style w:type="table" w:styleId="MediumShading1-Accent5">
    <w:name w:val="Medium Shading 1 Accent 5"/>
    <w:basedOn w:val="TableNormal"/>
    <w:uiPriority w:val="63"/>
    <w:rsid w:val="00AA641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41A"/>
    <w:pPr>
      <w:spacing w:after="0" w:line="240" w:lineRule="auto"/>
    </w:pPr>
  </w:style>
  <w:style w:type="paragraph" w:styleId="Heading1">
    <w:name w:val="heading 1"/>
    <w:basedOn w:val="ListParagraph"/>
    <w:next w:val="Normal"/>
    <w:link w:val="Heading1Char"/>
    <w:uiPriority w:val="9"/>
    <w:qFormat/>
    <w:rsid w:val="007152DD"/>
    <w:pPr>
      <w:numPr>
        <w:numId w:val="2"/>
      </w:numPr>
      <w:shd w:val="clear" w:color="auto" w:fill="448A99"/>
      <w:spacing w:after="120"/>
      <w:outlineLvl w:val="0"/>
    </w:pPr>
    <w:rPr>
      <w:rFonts w:ascii="Century Gothic" w:hAnsi="Century Gothic" w:cs="Calibri"/>
      <w:b/>
      <w:smallCaps/>
      <w:color w:val="FFFFFF" w:themeColor="background1"/>
      <w:sz w:val="32"/>
      <w:szCs w:val="32"/>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
    <w:unhideWhenUsed/>
    <w:qFormat/>
    <w:rsid w:val="00AA641A"/>
    <w:pPr>
      <w:keepNext/>
      <w:keepLines/>
      <w:spacing w:after="120"/>
      <w:outlineLvl w:val="1"/>
    </w:pPr>
    <w:rPr>
      <w:rFonts w:ascii="Century Gothic" w:eastAsiaTheme="majorEastAsia" w:hAnsi="Century Gothic" w:cstheme="majorBidi"/>
      <w:b/>
      <w:bCs/>
      <w:smallCap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27E"/>
    <w:pPr>
      <w:tabs>
        <w:tab w:val="center" w:pos="4680"/>
        <w:tab w:val="right" w:pos="9360"/>
      </w:tabs>
    </w:pPr>
  </w:style>
  <w:style w:type="character" w:customStyle="1" w:styleId="HeaderChar">
    <w:name w:val="Header Char"/>
    <w:basedOn w:val="DefaultParagraphFont"/>
    <w:link w:val="Header"/>
    <w:uiPriority w:val="99"/>
    <w:rsid w:val="005B627E"/>
  </w:style>
  <w:style w:type="paragraph" w:styleId="Footer">
    <w:name w:val="footer"/>
    <w:basedOn w:val="Normal"/>
    <w:link w:val="FooterChar"/>
    <w:uiPriority w:val="99"/>
    <w:unhideWhenUsed/>
    <w:rsid w:val="005B627E"/>
    <w:pPr>
      <w:tabs>
        <w:tab w:val="center" w:pos="4680"/>
        <w:tab w:val="right" w:pos="9360"/>
      </w:tabs>
    </w:pPr>
  </w:style>
  <w:style w:type="character" w:customStyle="1" w:styleId="FooterChar">
    <w:name w:val="Footer Char"/>
    <w:basedOn w:val="DefaultParagraphFont"/>
    <w:link w:val="Footer"/>
    <w:uiPriority w:val="99"/>
    <w:rsid w:val="005B627E"/>
  </w:style>
  <w:style w:type="paragraph" w:styleId="BalloonText">
    <w:name w:val="Balloon Text"/>
    <w:basedOn w:val="Normal"/>
    <w:link w:val="BalloonTextChar"/>
    <w:uiPriority w:val="99"/>
    <w:semiHidden/>
    <w:unhideWhenUsed/>
    <w:rsid w:val="005B627E"/>
    <w:rPr>
      <w:rFonts w:ascii="Tahoma" w:hAnsi="Tahoma" w:cs="Tahoma"/>
      <w:sz w:val="16"/>
      <w:szCs w:val="16"/>
    </w:rPr>
  </w:style>
  <w:style w:type="character" w:customStyle="1" w:styleId="BalloonTextChar">
    <w:name w:val="Balloon Text Char"/>
    <w:basedOn w:val="DefaultParagraphFont"/>
    <w:link w:val="BalloonText"/>
    <w:uiPriority w:val="99"/>
    <w:semiHidden/>
    <w:rsid w:val="005B627E"/>
    <w:rPr>
      <w:rFonts w:ascii="Tahoma" w:hAnsi="Tahoma" w:cs="Tahoma"/>
      <w:sz w:val="16"/>
      <w:szCs w:val="16"/>
    </w:rPr>
  </w:style>
  <w:style w:type="paragraph" w:customStyle="1" w:styleId="CompanyName">
    <w:name w:val="Company Name"/>
    <w:basedOn w:val="Normal"/>
    <w:uiPriority w:val="99"/>
    <w:rsid w:val="005B627E"/>
    <w:pPr>
      <w:keepLines/>
      <w:shd w:val="solid" w:color="auto" w:fill="auto"/>
      <w:spacing w:line="320" w:lineRule="exact"/>
    </w:pPr>
    <w:rPr>
      <w:rFonts w:ascii="Arial Black" w:eastAsia="Times New Roman" w:hAnsi="Arial Black" w:cs="Times New Roman"/>
      <w:color w:val="FFFFFF"/>
      <w:spacing w:val="-15"/>
      <w:sz w:val="32"/>
      <w:szCs w:val="20"/>
    </w:rPr>
  </w:style>
  <w:style w:type="paragraph" w:customStyle="1" w:styleId="DocumentLabel">
    <w:name w:val="Document Label"/>
    <w:basedOn w:val="Normal"/>
    <w:next w:val="Normal"/>
    <w:uiPriority w:val="99"/>
    <w:rsid w:val="005B627E"/>
    <w:pPr>
      <w:keepNext/>
      <w:keepLines/>
      <w:spacing w:before="400" w:after="120" w:line="240" w:lineRule="atLeast"/>
    </w:pPr>
    <w:rPr>
      <w:rFonts w:ascii="Arial Black" w:eastAsia="Times New Roman" w:hAnsi="Arial Black" w:cs="Times New Roman"/>
      <w:spacing w:val="-5"/>
      <w:kern w:val="28"/>
      <w:sz w:val="96"/>
      <w:szCs w:val="20"/>
    </w:rPr>
  </w:style>
  <w:style w:type="paragraph" w:styleId="MessageHeader">
    <w:name w:val="Message Header"/>
    <w:basedOn w:val="BodyText"/>
    <w:link w:val="MessageHeaderChar"/>
    <w:uiPriority w:val="99"/>
    <w:semiHidden/>
    <w:rsid w:val="005B627E"/>
    <w:pPr>
      <w:keepLines/>
      <w:spacing w:line="180" w:lineRule="atLeast"/>
      <w:ind w:left="1555"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uiPriority w:val="99"/>
    <w:semiHidden/>
    <w:rsid w:val="005B627E"/>
    <w:rPr>
      <w:rFonts w:ascii="Arial" w:eastAsia="Times New Roman" w:hAnsi="Arial" w:cs="Times New Roman"/>
      <w:spacing w:val="-5"/>
      <w:sz w:val="20"/>
      <w:szCs w:val="20"/>
    </w:rPr>
  </w:style>
  <w:style w:type="character" w:customStyle="1" w:styleId="MessageHeaderLabel">
    <w:name w:val="Message Header Label"/>
    <w:rsid w:val="005B627E"/>
    <w:rPr>
      <w:rFonts w:ascii="Arial Black" w:hAnsi="Arial Black"/>
      <w:spacing w:val="-10"/>
      <w:sz w:val="18"/>
    </w:rPr>
  </w:style>
  <w:style w:type="paragraph" w:styleId="BodyText">
    <w:name w:val="Body Text"/>
    <w:basedOn w:val="Normal"/>
    <w:link w:val="BodyTextChar"/>
    <w:uiPriority w:val="99"/>
    <w:rsid w:val="005B627E"/>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5B627E"/>
    <w:rPr>
      <w:rFonts w:ascii="Calibri" w:eastAsia="Calibri" w:hAnsi="Calibri" w:cs="Times New Roman"/>
    </w:rPr>
  </w:style>
  <w:style w:type="paragraph" w:styleId="ListParagraph">
    <w:name w:val="List Paragraph"/>
    <w:basedOn w:val="Normal"/>
    <w:uiPriority w:val="34"/>
    <w:qFormat/>
    <w:rsid w:val="00A24C48"/>
    <w:pPr>
      <w:ind w:left="720"/>
    </w:p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iPriority w:val="99"/>
    <w:unhideWhenUsed/>
    <w:qFormat/>
    <w:rsid w:val="006D4C85"/>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6D4C85"/>
    <w:rPr>
      <w:sz w:val="20"/>
      <w:szCs w:val="20"/>
    </w:rPr>
  </w:style>
  <w:style w:type="character" w:styleId="FootnoteReference">
    <w:name w:val="footnote reference"/>
    <w:aliases w:val="o,fr"/>
    <w:basedOn w:val="DefaultParagraphFont"/>
    <w:uiPriority w:val="99"/>
    <w:unhideWhenUsed/>
    <w:qFormat/>
    <w:rsid w:val="006D4C85"/>
    <w:rPr>
      <w:vertAlign w:val="superscript"/>
    </w:rPr>
  </w:style>
  <w:style w:type="character" w:styleId="CommentReference">
    <w:name w:val="annotation reference"/>
    <w:basedOn w:val="DefaultParagraphFont"/>
    <w:uiPriority w:val="99"/>
    <w:semiHidden/>
    <w:unhideWhenUsed/>
    <w:rsid w:val="00FD304C"/>
    <w:rPr>
      <w:sz w:val="16"/>
      <w:szCs w:val="16"/>
    </w:rPr>
  </w:style>
  <w:style w:type="paragraph" w:styleId="CommentText">
    <w:name w:val="annotation text"/>
    <w:basedOn w:val="Normal"/>
    <w:link w:val="CommentTextChar"/>
    <w:uiPriority w:val="99"/>
    <w:semiHidden/>
    <w:unhideWhenUsed/>
    <w:rsid w:val="00FD304C"/>
    <w:rPr>
      <w:sz w:val="20"/>
      <w:szCs w:val="20"/>
    </w:rPr>
  </w:style>
  <w:style w:type="character" w:customStyle="1" w:styleId="CommentTextChar">
    <w:name w:val="Comment Text Char"/>
    <w:basedOn w:val="DefaultParagraphFont"/>
    <w:link w:val="CommentText"/>
    <w:uiPriority w:val="99"/>
    <w:semiHidden/>
    <w:rsid w:val="00FD304C"/>
    <w:rPr>
      <w:sz w:val="20"/>
      <w:szCs w:val="20"/>
    </w:rPr>
  </w:style>
  <w:style w:type="paragraph" w:styleId="CommentSubject">
    <w:name w:val="annotation subject"/>
    <w:basedOn w:val="CommentText"/>
    <w:next w:val="CommentText"/>
    <w:link w:val="CommentSubjectChar"/>
    <w:uiPriority w:val="99"/>
    <w:semiHidden/>
    <w:unhideWhenUsed/>
    <w:rsid w:val="00FD304C"/>
    <w:rPr>
      <w:b/>
      <w:bCs/>
    </w:rPr>
  </w:style>
  <w:style w:type="character" w:customStyle="1" w:styleId="CommentSubjectChar">
    <w:name w:val="Comment Subject Char"/>
    <w:basedOn w:val="CommentTextChar"/>
    <w:link w:val="CommentSubject"/>
    <w:uiPriority w:val="99"/>
    <w:semiHidden/>
    <w:rsid w:val="00FD304C"/>
    <w:rPr>
      <w:b/>
      <w:bCs/>
      <w:sz w:val="20"/>
      <w:szCs w:val="20"/>
    </w:rPr>
  </w:style>
  <w:style w:type="table" w:styleId="TableGrid">
    <w:name w:val="Table Grid"/>
    <w:basedOn w:val="TableNormal"/>
    <w:uiPriority w:val="59"/>
    <w:rsid w:val="00023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able Caption"/>
    <w:basedOn w:val="Normal"/>
    <w:next w:val="Normal"/>
    <w:link w:val="CaptionChar"/>
    <w:uiPriority w:val="35"/>
    <w:unhideWhenUsed/>
    <w:qFormat/>
    <w:rsid w:val="00B43061"/>
    <w:pPr>
      <w:spacing w:after="120"/>
      <w:jc w:val="center"/>
    </w:pPr>
    <w:rPr>
      <w:rFonts w:ascii="Century Gothic" w:hAnsi="Century Gothic"/>
      <w:b/>
      <w:bCs/>
      <w:sz w:val="18"/>
      <w:szCs w:val="18"/>
    </w:rPr>
  </w:style>
  <w:style w:type="character" w:styleId="PlaceholderText">
    <w:name w:val="Placeholder Text"/>
    <w:basedOn w:val="DefaultParagraphFont"/>
    <w:uiPriority w:val="99"/>
    <w:semiHidden/>
    <w:rsid w:val="00A054A6"/>
    <w:rPr>
      <w:color w:val="808080"/>
    </w:rPr>
  </w:style>
  <w:style w:type="paragraph" w:styleId="Revision">
    <w:name w:val="Revision"/>
    <w:hidden/>
    <w:uiPriority w:val="99"/>
    <w:semiHidden/>
    <w:rsid w:val="003E3B86"/>
    <w:pPr>
      <w:spacing w:after="0" w:line="240" w:lineRule="auto"/>
    </w:pPr>
  </w:style>
  <w:style w:type="character" w:styleId="Hyperlink">
    <w:name w:val="Hyperlink"/>
    <w:basedOn w:val="DefaultParagraphFont"/>
    <w:uiPriority w:val="99"/>
    <w:unhideWhenUsed/>
    <w:rsid w:val="00654875"/>
    <w:rPr>
      <w:color w:val="0000FF"/>
      <w:u w:val="single"/>
    </w:rPr>
  </w:style>
  <w:style w:type="character" w:customStyle="1" w:styleId="CaptionChar">
    <w:name w:val="Caption Char"/>
    <w:aliases w:val="Table Caption Char"/>
    <w:basedOn w:val="DefaultParagraphFont"/>
    <w:link w:val="Caption"/>
    <w:uiPriority w:val="35"/>
    <w:locked/>
    <w:rsid w:val="00B43061"/>
    <w:rPr>
      <w:rFonts w:ascii="Century Gothic" w:hAnsi="Century Gothic"/>
      <w:b/>
      <w:bCs/>
      <w:sz w:val="18"/>
      <w:szCs w:val="18"/>
    </w:rPr>
  </w:style>
  <w:style w:type="character" w:styleId="FollowedHyperlink">
    <w:name w:val="FollowedHyperlink"/>
    <w:basedOn w:val="DefaultParagraphFont"/>
    <w:uiPriority w:val="99"/>
    <w:semiHidden/>
    <w:unhideWhenUsed/>
    <w:rsid w:val="00654875"/>
    <w:rPr>
      <w:color w:val="800080" w:themeColor="followedHyperlink"/>
      <w:u w:val="single"/>
    </w:rPr>
  </w:style>
  <w:style w:type="table" w:styleId="LightList-Accent5">
    <w:name w:val="Light List Accent 5"/>
    <w:basedOn w:val="TableNormal"/>
    <w:uiPriority w:val="61"/>
    <w:rsid w:val="00A47B1A"/>
    <w:pPr>
      <w:spacing w:after="0" w:line="240" w:lineRule="auto"/>
    </w:pPr>
    <w:tblPr>
      <w:tblStyleRowBandSize w:val="1"/>
      <w:tblStyleColBandSize w:val="1"/>
      <w:tblBorders>
        <w:top w:val="single" w:sz="4" w:space="0" w:color="448A99"/>
        <w:left w:val="single" w:sz="4" w:space="0" w:color="448A99"/>
        <w:bottom w:val="single" w:sz="4" w:space="0" w:color="448A99"/>
        <w:right w:val="single" w:sz="4" w:space="0" w:color="448A99"/>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Title">
    <w:name w:val="Title"/>
    <w:basedOn w:val="Normal"/>
    <w:next w:val="Normal"/>
    <w:link w:val="TitleChar"/>
    <w:uiPriority w:val="10"/>
    <w:qFormat/>
    <w:rsid w:val="006D2744"/>
    <w:pPr>
      <w:pBdr>
        <w:bottom w:val="single" w:sz="8" w:space="4" w:color="4F81BD" w:themeColor="accent1"/>
      </w:pBdr>
      <w:spacing w:after="300"/>
      <w:contextualSpacing/>
      <w:jc w:val="both"/>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6D2744"/>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6D2744"/>
    <w:pPr>
      <w:numPr>
        <w:ilvl w:val="1"/>
      </w:numPr>
      <w:jc w:val="both"/>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6D2744"/>
    <w:rPr>
      <w:rFonts w:asciiTheme="majorHAnsi" w:eastAsiaTheme="majorEastAsia" w:hAnsiTheme="majorHAnsi" w:cstheme="majorBidi"/>
      <w:i/>
      <w:iCs/>
      <w:color w:val="4F81BD" w:themeColor="accent1"/>
      <w:spacing w:val="15"/>
      <w:sz w:val="24"/>
      <w:szCs w:val="24"/>
      <w:lang w:eastAsia="ja-JP"/>
    </w:rPr>
  </w:style>
  <w:style w:type="character" w:customStyle="1" w:styleId="Heading1Char">
    <w:name w:val="Heading 1 Char"/>
    <w:basedOn w:val="DefaultParagraphFont"/>
    <w:link w:val="Heading1"/>
    <w:uiPriority w:val="9"/>
    <w:rsid w:val="007152DD"/>
    <w:rPr>
      <w:rFonts w:ascii="Century Gothic" w:hAnsi="Century Gothic" w:cs="Calibri"/>
      <w:b/>
      <w:smallCaps/>
      <w:color w:val="FFFFFF" w:themeColor="background1"/>
      <w:sz w:val="32"/>
      <w:szCs w:val="32"/>
      <w:shd w:val="clear" w:color="auto" w:fill="448A99"/>
      <w14:shadow w14:blurRad="50800" w14:dist="38100" w14:dir="2700000" w14:sx="100000" w14:sy="100000" w14:kx="0" w14:ky="0" w14:algn="tl">
        <w14:srgbClr w14:val="000000">
          <w14:alpha w14:val="60000"/>
        </w14:srgbClr>
      </w14:shadow>
    </w:rPr>
  </w:style>
  <w:style w:type="paragraph" w:customStyle="1" w:styleId="FigureCaption">
    <w:name w:val="Figure Caption"/>
    <w:basedOn w:val="Normal"/>
    <w:link w:val="FigureCaptionChar"/>
    <w:qFormat/>
    <w:rsid w:val="00304C4A"/>
    <w:pPr>
      <w:spacing w:after="120"/>
    </w:pPr>
    <w:rPr>
      <w:rFonts w:ascii="Century Gothic" w:eastAsia="Times New Roman" w:hAnsi="Century Gothic" w:cs="Garamond"/>
      <w:b/>
      <w:sz w:val="18"/>
    </w:rPr>
  </w:style>
  <w:style w:type="character" w:customStyle="1" w:styleId="FigureCaptionChar">
    <w:name w:val="Figure Caption Char"/>
    <w:basedOn w:val="DefaultParagraphFont"/>
    <w:link w:val="FigureCaption"/>
    <w:rsid w:val="00304C4A"/>
    <w:rPr>
      <w:rFonts w:ascii="Century Gothic" w:eastAsia="Times New Roman" w:hAnsi="Century Gothic" w:cs="Garamond"/>
      <w:b/>
      <w:sz w:val="18"/>
    </w:rPr>
  </w:style>
  <w:style w:type="character" w:customStyle="1" w:styleId="Heading2Char">
    <w:name w:val="Heading 2 Char"/>
    <w:basedOn w:val="DefaultParagraphFont"/>
    <w:link w:val="Heading2"/>
    <w:uiPriority w:val="9"/>
    <w:rsid w:val="00AA641A"/>
    <w:rPr>
      <w:rFonts w:ascii="Century Gothic" w:eastAsiaTheme="majorEastAsia" w:hAnsi="Century Gothic" w:cstheme="majorBidi"/>
      <w:b/>
      <w:bCs/>
      <w:smallCaps/>
      <w:sz w:val="26"/>
      <w:szCs w:val="26"/>
    </w:rPr>
  </w:style>
  <w:style w:type="character" w:styleId="Strong">
    <w:name w:val="Strong"/>
    <w:basedOn w:val="DefaultParagraphFont"/>
    <w:uiPriority w:val="22"/>
    <w:qFormat/>
    <w:rsid w:val="00304C4A"/>
    <w:rPr>
      <w:b/>
      <w:bCs/>
    </w:rPr>
  </w:style>
  <w:style w:type="table" w:styleId="MediumShading1-Accent5">
    <w:name w:val="Medium Shading 1 Accent 5"/>
    <w:basedOn w:val="TableNormal"/>
    <w:uiPriority w:val="63"/>
    <w:rsid w:val="00AA641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5757">
      <w:bodyDiv w:val="1"/>
      <w:marLeft w:val="0"/>
      <w:marRight w:val="0"/>
      <w:marTop w:val="0"/>
      <w:marBottom w:val="0"/>
      <w:divBdr>
        <w:top w:val="none" w:sz="0" w:space="0" w:color="auto"/>
        <w:left w:val="none" w:sz="0" w:space="0" w:color="auto"/>
        <w:bottom w:val="none" w:sz="0" w:space="0" w:color="auto"/>
        <w:right w:val="none" w:sz="0" w:space="0" w:color="auto"/>
      </w:divBdr>
    </w:div>
    <w:div w:id="197353363">
      <w:bodyDiv w:val="1"/>
      <w:marLeft w:val="0"/>
      <w:marRight w:val="0"/>
      <w:marTop w:val="0"/>
      <w:marBottom w:val="0"/>
      <w:divBdr>
        <w:top w:val="none" w:sz="0" w:space="0" w:color="auto"/>
        <w:left w:val="none" w:sz="0" w:space="0" w:color="auto"/>
        <w:bottom w:val="none" w:sz="0" w:space="0" w:color="auto"/>
        <w:right w:val="none" w:sz="0" w:space="0" w:color="auto"/>
      </w:divBdr>
    </w:div>
    <w:div w:id="300573125">
      <w:bodyDiv w:val="1"/>
      <w:marLeft w:val="0"/>
      <w:marRight w:val="0"/>
      <w:marTop w:val="0"/>
      <w:marBottom w:val="0"/>
      <w:divBdr>
        <w:top w:val="none" w:sz="0" w:space="0" w:color="auto"/>
        <w:left w:val="none" w:sz="0" w:space="0" w:color="auto"/>
        <w:bottom w:val="none" w:sz="0" w:space="0" w:color="auto"/>
        <w:right w:val="none" w:sz="0" w:space="0" w:color="auto"/>
      </w:divBdr>
    </w:div>
    <w:div w:id="333605809">
      <w:bodyDiv w:val="1"/>
      <w:marLeft w:val="0"/>
      <w:marRight w:val="0"/>
      <w:marTop w:val="0"/>
      <w:marBottom w:val="0"/>
      <w:divBdr>
        <w:top w:val="none" w:sz="0" w:space="0" w:color="auto"/>
        <w:left w:val="none" w:sz="0" w:space="0" w:color="auto"/>
        <w:bottom w:val="none" w:sz="0" w:space="0" w:color="auto"/>
        <w:right w:val="none" w:sz="0" w:space="0" w:color="auto"/>
      </w:divBdr>
    </w:div>
    <w:div w:id="476384923">
      <w:bodyDiv w:val="1"/>
      <w:marLeft w:val="0"/>
      <w:marRight w:val="0"/>
      <w:marTop w:val="0"/>
      <w:marBottom w:val="0"/>
      <w:divBdr>
        <w:top w:val="none" w:sz="0" w:space="0" w:color="auto"/>
        <w:left w:val="none" w:sz="0" w:space="0" w:color="auto"/>
        <w:bottom w:val="none" w:sz="0" w:space="0" w:color="auto"/>
        <w:right w:val="none" w:sz="0" w:space="0" w:color="auto"/>
      </w:divBdr>
    </w:div>
    <w:div w:id="524444703">
      <w:bodyDiv w:val="1"/>
      <w:marLeft w:val="0"/>
      <w:marRight w:val="0"/>
      <w:marTop w:val="0"/>
      <w:marBottom w:val="0"/>
      <w:divBdr>
        <w:top w:val="none" w:sz="0" w:space="0" w:color="auto"/>
        <w:left w:val="none" w:sz="0" w:space="0" w:color="auto"/>
        <w:bottom w:val="none" w:sz="0" w:space="0" w:color="auto"/>
        <w:right w:val="none" w:sz="0" w:space="0" w:color="auto"/>
      </w:divBdr>
    </w:div>
    <w:div w:id="568464836">
      <w:bodyDiv w:val="1"/>
      <w:marLeft w:val="0"/>
      <w:marRight w:val="0"/>
      <w:marTop w:val="0"/>
      <w:marBottom w:val="0"/>
      <w:divBdr>
        <w:top w:val="none" w:sz="0" w:space="0" w:color="auto"/>
        <w:left w:val="none" w:sz="0" w:space="0" w:color="auto"/>
        <w:bottom w:val="none" w:sz="0" w:space="0" w:color="auto"/>
        <w:right w:val="none" w:sz="0" w:space="0" w:color="auto"/>
      </w:divBdr>
    </w:div>
    <w:div w:id="673652255">
      <w:bodyDiv w:val="1"/>
      <w:marLeft w:val="0"/>
      <w:marRight w:val="0"/>
      <w:marTop w:val="0"/>
      <w:marBottom w:val="0"/>
      <w:divBdr>
        <w:top w:val="none" w:sz="0" w:space="0" w:color="auto"/>
        <w:left w:val="none" w:sz="0" w:space="0" w:color="auto"/>
        <w:bottom w:val="none" w:sz="0" w:space="0" w:color="auto"/>
        <w:right w:val="none" w:sz="0" w:space="0" w:color="auto"/>
      </w:divBdr>
    </w:div>
    <w:div w:id="904098373">
      <w:bodyDiv w:val="1"/>
      <w:marLeft w:val="0"/>
      <w:marRight w:val="0"/>
      <w:marTop w:val="0"/>
      <w:marBottom w:val="0"/>
      <w:divBdr>
        <w:top w:val="none" w:sz="0" w:space="0" w:color="auto"/>
        <w:left w:val="none" w:sz="0" w:space="0" w:color="auto"/>
        <w:bottom w:val="none" w:sz="0" w:space="0" w:color="auto"/>
        <w:right w:val="none" w:sz="0" w:space="0" w:color="auto"/>
      </w:divBdr>
    </w:div>
    <w:div w:id="1006664675">
      <w:bodyDiv w:val="1"/>
      <w:marLeft w:val="0"/>
      <w:marRight w:val="0"/>
      <w:marTop w:val="0"/>
      <w:marBottom w:val="0"/>
      <w:divBdr>
        <w:top w:val="none" w:sz="0" w:space="0" w:color="auto"/>
        <w:left w:val="none" w:sz="0" w:space="0" w:color="auto"/>
        <w:bottom w:val="none" w:sz="0" w:space="0" w:color="auto"/>
        <w:right w:val="none" w:sz="0" w:space="0" w:color="auto"/>
      </w:divBdr>
    </w:div>
    <w:div w:id="1030569377">
      <w:bodyDiv w:val="1"/>
      <w:marLeft w:val="0"/>
      <w:marRight w:val="0"/>
      <w:marTop w:val="0"/>
      <w:marBottom w:val="0"/>
      <w:divBdr>
        <w:top w:val="none" w:sz="0" w:space="0" w:color="auto"/>
        <w:left w:val="none" w:sz="0" w:space="0" w:color="auto"/>
        <w:bottom w:val="none" w:sz="0" w:space="0" w:color="auto"/>
        <w:right w:val="none" w:sz="0" w:space="0" w:color="auto"/>
      </w:divBdr>
    </w:div>
    <w:div w:id="1047947144">
      <w:bodyDiv w:val="1"/>
      <w:marLeft w:val="0"/>
      <w:marRight w:val="0"/>
      <w:marTop w:val="0"/>
      <w:marBottom w:val="0"/>
      <w:divBdr>
        <w:top w:val="none" w:sz="0" w:space="0" w:color="auto"/>
        <w:left w:val="none" w:sz="0" w:space="0" w:color="auto"/>
        <w:bottom w:val="none" w:sz="0" w:space="0" w:color="auto"/>
        <w:right w:val="none" w:sz="0" w:space="0" w:color="auto"/>
      </w:divBdr>
    </w:div>
    <w:div w:id="1336693260">
      <w:bodyDiv w:val="1"/>
      <w:marLeft w:val="0"/>
      <w:marRight w:val="0"/>
      <w:marTop w:val="0"/>
      <w:marBottom w:val="0"/>
      <w:divBdr>
        <w:top w:val="none" w:sz="0" w:space="0" w:color="auto"/>
        <w:left w:val="none" w:sz="0" w:space="0" w:color="auto"/>
        <w:bottom w:val="none" w:sz="0" w:space="0" w:color="auto"/>
        <w:right w:val="none" w:sz="0" w:space="0" w:color="auto"/>
      </w:divBdr>
    </w:div>
    <w:div w:id="1379547677">
      <w:bodyDiv w:val="1"/>
      <w:marLeft w:val="0"/>
      <w:marRight w:val="0"/>
      <w:marTop w:val="0"/>
      <w:marBottom w:val="0"/>
      <w:divBdr>
        <w:top w:val="none" w:sz="0" w:space="0" w:color="auto"/>
        <w:left w:val="none" w:sz="0" w:space="0" w:color="auto"/>
        <w:bottom w:val="none" w:sz="0" w:space="0" w:color="auto"/>
        <w:right w:val="none" w:sz="0" w:space="0" w:color="auto"/>
      </w:divBdr>
    </w:div>
    <w:div w:id="1721636372">
      <w:bodyDiv w:val="1"/>
      <w:marLeft w:val="0"/>
      <w:marRight w:val="0"/>
      <w:marTop w:val="0"/>
      <w:marBottom w:val="0"/>
      <w:divBdr>
        <w:top w:val="none" w:sz="0" w:space="0" w:color="auto"/>
        <w:left w:val="none" w:sz="0" w:space="0" w:color="auto"/>
        <w:bottom w:val="none" w:sz="0" w:space="0" w:color="auto"/>
        <w:right w:val="none" w:sz="0" w:space="0" w:color="auto"/>
      </w:divBdr>
    </w:div>
    <w:div w:id="1934433425">
      <w:bodyDiv w:val="1"/>
      <w:marLeft w:val="0"/>
      <w:marRight w:val="0"/>
      <w:marTop w:val="0"/>
      <w:marBottom w:val="0"/>
      <w:divBdr>
        <w:top w:val="none" w:sz="0" w:space="0" w:color="auto"/>
        <w:left w:val="none" w:sz="0" w:space="0" w:color="auto"/>
        <w:bottom w:val="none" w:sz="0" w:space="0" w:color="auto"/>
        <w:right w:val="none" w:sz="0" w:space="0" w:color="auto"/>
      </w:divBdr>
    </w:div>
    <w:div w:id="2069692654">
      <w:bodyDiv w:val="1"/>
      <w:marLeft w:val="0"/>
      <w:marRight w:val="0"/>
      <w:marTop w:val="0"/>
      <w:marBottom w:val="0"/>
      <w:divBdr>
        <w:top w:val="none" w:sz="0" w:space="0" w:color="auto"/>
        <w:left w:val="none" w:sz="0" w:space="0" w:color="auto"/>
        <w:bottom w:val="none" w:sz="0" w:space="0" w:color="auto"/>
        <w:right w:val="none" w:sz="0" w:space="0" w:color="auto"/>
      </w:divBdr>
    </w:div>
    <w:div w:id="2084403647">
      <w:bodyDiv w:val="1"/>
      <w:marLeft w:val="0"/>
      <w:marRight w:val="0"/>
      <w:marTop w:val="0"/>
      <w:marBottom w:val="0"/>
      <w:divBdr>
        <w:top w:val="none" w:sz="0" w:space="0" w:color="auto"/>
        <w:left w:val="none" w:sz="0" w:space="0" w:color="auto"/>
        <w:bottom w:val="none" w:sz="0" w:space="0" w:color="auto"/>
        <w:right w:val="none" w:sz="0" w:space="0" w:color="auto"/>
      </w:divBdr>
    </w:div>
    <w:div w:id="2112511375">
      <w:bodyDiv w:val="1"/>
      <w:marLeft w:val="0"/>
      <w:marRight w:val="0"/>
      <w:marTop w:val="0"/>
      <w:marBottom w:val="0"/>
      <w:divBdr>
        <w:top w:val="none" w:sz="0" w:space="0" w:color="auto"/>
        <w:left w:val="none" w:sz="0" w:space="0" w:color="auto"/>
        <w:bottom w:val="none" w:sz="0" w:space="0" w:color="auto"/>
        <w:right w:val="none" w:sz="0" w:space="0" w:color="auto"/>
      </w:divBdr>
    </w:div>
    <w:div w:id="212542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media/image4.emf"/><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fontTable" Target="fontTable.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95F7D67E24446A0DEA6576AC0096E" ma:contentTypeVersion="0" ma:contentTypeDescription="Create a new document." ma:contentTypeScope="" ma:versionID="c6594627d45651aa76735ec0caffc156">
  <xsd:schema xmlns:xsd="http://www.w3.org/2001/XMLSchema" xmlns:xs="http://www.w3.org/2001/XMLSchema" xmlns:p="http://schemas.microsoft.com/office/2006/metadata/properties" targetNamespace="http://schemas.microsoft.com/office/2006/metadata/properties" ma:root="true" ma:fieldsID="edcfe7aba00f2d1c7eec7339c8e90d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8A86A-24B7-4A09-AA00-B2D272AF1D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2F8729-CC40-4808-A22A-DEAD23B2C14D}">
  <ds:schemaRefs>
    <ds:schemaRef ds:uri="http://schemas.microsoft.com/sharepoint/v3/contenttype/forms"/>
  </ds:schemaRefs>
</ds:datastoreItem>
</file>

<file path=customXml/itemProps3.xml><?xml version="1.0" encoding="utf-8"?>
<ds:datastoreItem xmlns:ds="http://schemas.openxmlformats.org/officeDocument/2006/customXml" ds:itemID="{AFA5B581-1FB1-4DE3-8042-F6DF9A71A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EFD9235-5A6E-4742-844C-4DB9A888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3685</Words>
  <Characters>21010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Corcoran</dc:creator>
  <cp:lastModifiedBy>Scheiber, LeAnn</cp:lastModifiedBy>
  <cp:revision>2</cp:revision>
  <cp:lastPrinted>2015-05-28T17:47:00Z</cp:lastPrinted>
  <dcterms:created xsi:type="dcterms:W3CDTF">2015-06-02T13:17:00Z</dcterms:created>
  <dcterms:modified xsi:type="dcterms:W3CDTF">2015-06-02T13:17:00Z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0x010100D2C95F7D67E24446A0DEA6576AC0096E</vt:lpwstr>
  </property>
</Properties>
</file>