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02" w:type="dxa"/>
        <w:tblLayout w:type="fixed"/>
        <w:tblLook w:val="0000" w:firstRow="0" w:lastRow="0" w:firstColumn="0" w:lastColumn="0" w:noHBand="0" w:noVBand="0"/>
      </w:tblPr>
      <w:tblGrid>
        <w:gridCol w:w="1363"/>
        <w:gridCol w:w="7727"/>
        <w:gridCol w:w="1620"/>
      </w:tblGrid>
      <w:tr w:rsidR="00C74A51" w14:paraId="14E8E0C5" w14:textId="77777777" w:rsidTr="00C46A62">
        <w:trPr>
          <w:trHeight w:val="990"/>
        </w:trPr>
        <w:tc>
          <w:tcPr>
            <w:tcW w:w="1363" w:type="dxa"/>
          </w:tcPr>
          <w:p w14:paraId="317B677E" w14:textId="128EF8B9" w:rsidR="00C74A51" w:rsidRDefault="00DD771F">
            <w:pPr>
              <w:rPr>
                <w:sz w:val="24"/>
              </w:rPr>
            </w:pPr>
            <w:r>
              <w:rPr>
                <w:noProof/>
                <w:spacing w:val="-2"/>
              </w:rPr>
              <w:drawing>
                <wp:inline distT="0" distB="0" distL="0" distR="0" wp14:anchorId="10CA7C6F" wp14:editId="43145B5B">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27" w:type="dxa"/>
          </w:tcPr>
          <w:p w14:paraId="663E0831" w14:textId="77777777" w:rsidR="00C74A51" w:rsidRDefault="00C74A51">
            <w:pPr>
              <w:suppressAutoHyphens/>
              <w:spacing w:line="204" w:lineRule="auto"/>
              <w:jc w:val="center"/>
              <w:rPr>
                <w:rFonts w:ascii="Arial" w:hAnsi="Arial"/>
                <w:color w:val="000080"/>
                <w:spacing w:val="-3"/>
                <w:sz w:val="26"/>
              </w:rPr>
            </w:pPr>
          </w:p>
          <w:p w14:paraId="74CD1B36"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B99D788"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7EE726B"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71A85001" w14:textId="77777777" w:rsidR="00C74A51" w:rsidRDefault="00C74A51">
            <w:pPr>
              <w:rPr>
                <w:rFonts w:ascii="Arial" w:hAnsi="Arial"/>
                <w:sz w:val="12"/>
              </w:rPr>
            </w:pPr>
          </w:p>
          <w:p w14:paraId="61122E19" w14:textId="77777777" w:rsidR="00C74A51" w:rsidRDefault="00C74A51">
            <w:pPr>
              <w:rPr>
                <w:rFonts w:ascii="Arial" w:hAnsi="Arial"/>
                <w:sz w:val="12"/>
              </w:rPr>
            </w:pPr>
          </w:p>
          <w:p w14:paraId="117F591D"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5D8A73D1" w14:textId="77777777" w:rsidR="000F711A" w:rsidRDefault="000F711A" w:rsidP="00284E35">
            <w:pPr>
              <w:jc w:val="right"/>
              <w:rPr>
                <w:sz w:val="16"/>
                <w:szCs w:val="16"/>
              </w:rPr>
            </w:pPr>
            <w:r>
              <w:rPr>
                <w:sz w:val="16"/>
                <w:szCs w:val="16"/>
              </w:rPr>
              <w:t>Docket No.</w:t>
            </w:r>
          </w:p>
          <w:p w14:paraId="238A014E" w14:textId="77777777" w:rsidR="00C95F36" w:rsidRDefault="000F711A" w:rsidP="00C46A62">
            <w:pPr>
              <w:ind w:left="-828"/>
              <w:jc w:val="right"/>
            </w:pPr>
            <w:r>
              <w:rPr>
                <w:sz w:val="16"/>
                <w:szCs w:val="16"/>
              </w:rPr>
              <w:t xml:space="preserve"> </w:t>
            </w:r>
            <w:r w:rsidR="00672F33">
              <w:t>P-2014-2446303</w:t>
            </w:r>
          </w:p>
          <w:p w14:paraId="0060C1CA" w14:textId="77777777" w:rsidR="00672F33" w:rsidRPr="00C46A62" w:rsidRDefault="00672F33" w:rsidP="00C46A62">
            <w:pPr>
              <w:ind w:left="-828"/>
              <w:jc w:val="right"/>
              <w:rPr>
                <w:sz w:val="16"/>
                <w:szCs w:val="16"/>
              </w:rPr>
            </w:pPr>
            <w:r>
              <w:t>P-2014-2446304</w:t>
            </w:r>
          </w:p>
          <w:p w14:paraId="1AF71B8E"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4503A0AF" w14:textId="77777777" w:rsidR="00C74A51" w:rsidRDefault="00C74A51">
      <w:pPr>
        <w:rPr>
          <w:sz w:val="24"/>
        </w:rPr>
        <w:sectPr w:rsidR="00C74A51" w:rsidSect="00B414F2">
          <w:headerReference w:type="default" r:id="rId10"/>
          <w:footerReference w:type="even" r:id="rId11"/>
          <w:footerReference w:type="default" r:id="rId12"/>
          <w:pgSz w:w="12240" w:h="15840"/>
          <w:pgMar w:top="504" w:right="1440" w:bottom="1440" w:left="1440" w:header="720" w:footer="720" w:gutter="0"/>
          <w:cols w:space="720"/>
          <w:titlePg/>
        </w:sectPr>
      </w:pPr>
    </w:p>
    <w:p w14:paraId="37383F7A" w14:textId="26882973" w:rsidR="00FA0E37" w:rsidRDefault="00665587" w:rsidP="00FA0E37">
      <w:pPr>
        <w:jc w:val="center"/>
        <w:rPr>
          <w:b/>
          <w:sz w:val="26"/>
          <w:szCs w:val="26"/>
        </w:rPr>
      </w:pPr>
      <w:r>
        <w:rPr>
          <w:b/>
          <w:sz w:val="26"/>
          <w:szCs w:val="26"/>
        </w:rPr>
        <w:lastRenderedPageBreak/>
        <w:t>May 20, 2015</w:t>
      </w:r>
    </w:p>
    <w:p w14:paraId="03E8065D" w14:textId="77777777" w:rsidR="00F25403" w:rsidRDefault="00F25403" w:rsidP="00F25403">
      <w:pPr>
        <w:jc w:val="right"/>
        <w:rPr>
          <w:sz w:val="26"/>
          <w:szCs w:val="26"/>
        </w:rPr>
      </w:pPr>
    </w:p>
    <w:p w14:paraId="7748C57E" w14:textId="77777777" w:rsidR="00F25403" w:rsidRDefault="00F25403" w:rsidP="00F25403">
      <w:pPr>
        <w:jc w:val="right"/>
        <w:rPr>
          <w:sz w:val="26"/>
          <w:szCs w:val="26"/>
        </w:rPr>
      </w:pPr>
    </w:p>
    <w:p w14:paraId="3DCD7D51" w14:textId="77777777" w:rsidR="00DD04E9" w:rsidRPr="001F40FF" w:rsidRDefault="00DD04E9" w:rsidP="00F25403">
      <w:pPr>
        <w:jc w:val="right"/>
        <w:rPr>
          <w:sz w:val="24"/>
          <w:szCs w:val="24"/>
        </w:rPr>
      </w:pPr>
    </w:p>
    <w:p w14:paraId="0F4D60B9" w14:textId="77777777" w:rsidR="00F25403" w:rsidRPr="00672F33" w:rsidRDefault="00672F33" w:rsidP="00B414F2">
      <w:pPr>
        <w:tabs>
          <w:tab w:val="left" w:pos="5760"/>
          <w:tab w:val="left" w:pos="7200"/>
        </w:tabs>
        <w:jc w:val="center"/>
        <w:rPr>
          <w:b/>
          <w:sz w:val="26"/>
          <w:szCs w:val="26"/>
        </w:rPr>
      </w:pPr>
      <w:r w:rsidRPr="00672F33">
        <w:rPr>
          <w:b/>
          <w:sz w:val="26"/>
          <w:szCs w:val="26"/>
        </w:rPr>
        <w:t>VERIZON COMPETITIVE CLASSIFICATION DATA COLLECTION</w:t>
      </w:r>
    </w:p>
    <w:p w14:paraId="268459F2" w14:textId="77777777" w:rsidR="006C2028" w:rsidRDefault="006F3543" w:rsidP="006C2028">
      <w:pPr>
        <w:ind w:right="576"/>
        <w:jc w:val="center"/>
        <w:rPr>
          <w:b/>
          <w:caps/>
          <w:sz w:val="26"/>
          <w:szCs w:val="26"/>
        </w:rPr>
      </w:pPr>
      <w:r>
        <w:rPr>
          <w:b/>
          <w:caps/>
          <w:sz w:val="26"/>
          <w:szCs w:val="26"/>
        </w:rPr>
        <w:t>REquest for comments and reply comments</w:t>
      </w:r>
    </w:p>
    <w:p w14:paraId="3E7B705B" w14:textId="77777777" w:rsidR="00F25403" w:rsidRPr="001F40FF" w:rsidRDefault="00F25403" w:rsidP="00B414F2">
      <w:pPr>
        <w:tabs>
          <w:tab w:val="left" w:pos="5760"/>
          <w:tab w:val="left" w:pos="7020"/>
        </w:tabs>
        <w:rPr>
          <w:sz w:val="24"/>
          <w:szCs w:val="24"/>
        </w:rPr>
      </w:pPr>
    </w:p>
    <w:p w14:paraId="20922BED" w14:textId="77777777" w:rsidR="00F25403" w:rsidRDefault="00F25403" w:rsidP="00F25403">
      <w:pPr>
        <w:rPr>
          <w:sz w:val="24"/>
          <w:szCs w:val="24"/>
        </w:rPr>
      </w:pPr>
    </w:p>
    <w:p w14:paraId="22ABE6E9" w14:textId="77777777" w:rsidR="00F25403" w:rsidRPr="00B414F2" w:rsidRDefault="00F25403" w:rsidP="00DD04E9">
      <w:pPr>
        <w:ind w:left="720" w:hanging="720"/>
        <w:rPr>
          <w:b/>
          <w:sz w:val="24"/>
        </w:rPr>
      </w:pPr>
      <w:r w:rsidRPr="00DD04E9">
        <w:rPr>
          <w:b/>
          <w:sz w:val="24"/>
          <w:szCs w:val="24"/>
        </w:rPr>
        <w:t>Re:</w:t>
      </w:r>
      <w:r w:rsidRPr="00DD04E9">
        <w:rPr>
          <w:b/>
          <w:sz w:val="24"/>
          <w:szCs w:val="24"/>
        </w:rPr>
        <w:tab/>
      </w:r>
      <w:r w:rsidR="00803E76">
        <w:rPr>
          <w:b/>
          <w:sz w:val="24"/>
          <w:szCs w:val="24"/>
        </w:rPr>
        <w:t>Joint Petition of Verizon Pennsylvania LLC and Verizon North LLC for Competitive Classification of all Retail Services in Certain Geographic Areas and for a Waiver of Regulations for Competitive Services, Docket Nos. P-2014-2446303 and P-2014-2446304</w:t>
      </w:r>
    </w:p>
    <w:p w14:paraId="37C63AE2" w14:textId="77777777" w:rsidR="00DF2494" w:rsidRPr="00B414F2" w:rsidRDefault="00DF2494" w:rsidP="00B414F2">
      <w:pPr>
        <w:ind w:left="720" w:hanging="720"/>
        <w:rPr>
          <w:b/>
          <w:sz w:val="24"/>
        </w:rPr>
      </w:pPr>
    </w:p>
    <w:p w14:paraId="4ACDB975" w14:textId="77777777" w:rsidR="00DF2494" w:rsidRPr="00DD04E9" w:rsidRDefault="00DF2494" w:rsidP="00DD04E9">
      <w:pPr>
        <w:ind w:left="720" w:hanging="720"/>
        <w:rPr>
          <w:b/>
          <w:sz w:val="26"/>
          <w:szCs w:val="26"/>
        </w:rPr>
      </w:pPr>
      <w:r>
        <w:rPr>
          <w:b/>
          <w:sz w:val="24"/>
          <w:szCs w:val="24"/>
        </w:rPr>
        <w:t>TO ALL PARTIES:</w:t>
      </w:r>
    </w:p>
    <w:p w14:paraId="515090AC" w14:textId="77777777" w:rsidR="00F25403" w:rsidRDefault="00F25403" w:rsidP="003C56E2">
      <w:pPr>
        <w:rPr>
          <w:b/>
          <w:sz w:val="26"/>
          <w:szCs w:val="26"/>
        </w:rPr>
      </w:pPr>
    </w:p>
    <w:p w14:paraId="1ACB0827" w14:textId="2322252B" w:rsidR="00930003" w:rsidRDefault="00970A95" w:rsidP="00803E76">
      <w:pPr>
        <w:rPr>
          <w:sz w:val="26"/>
          <w:szCs w:val="26"/>
        </w:rPr>
      </w:pPr>
      <w:r>
        <w:rPr>
          <w:sz w:val="26"/>
          <w:szCs w:val="26"/>
        </w:rPr>
        <w:tab/>
      </w:r>
      <w:r w:rsidR="00803E76" w:rsidRPr="00803E76">
        <w:rPr>
          <w:rFonts w:eastAsia="Calibri"/>
          <w:bCs/>
          <w:sz w:val="26"/>
          <w:szCs w:val="26"/>
        </w:rPr>
        <w:t>On March 4, 2015, the Commission issued its Opinion and Order in the above-</w:t>
      </w:r>
      <w:r w:rsidR="00DF2494">
        <w:rPr>
          <w:rFonts w:eastAsia="Calibri"/>
          <w:bCs/>
          <w:sz w:val="26"/>
          <w:szCs w:val="26"/>
        </w:rPr>
        <w:t>captioned</w:t>
      </w:r>
      <w:r w:rsidR="00803E76" w:rsidRPr="00803E76">
        <w:rPr>
          <w:rFonts w:eastAsia="Calibri"/>
          <w:bCs/>
          <w:sz w:val="26"/>
          <w:szCs w:val="26"/>
        </w:rPr>
        <w:t xml:space="preserve"> consolidated proceeding (</w:t>
      </w:r>
      <w:r w:rsidR="007F606E">
        <w:rPr>
          <w:rFonts w:eastAsia="Calibri"/>
          <w:bCs/>
          <w:i/>
          <w:sz w:val="26"/>
          <w:szCs w:val="26"/>
        </w:rPr>
        <w:t xml:space="preserve">Reclassification </w:t>
      </w:r>
      <w:r w:rsidR="00803E76" w:rsidRPr="00803E76">
        <w:rPr>
          <w:rFonts w:eastAsia="Calibri"/>
          <w:bCs/>
          <w:i/>
          <w:sz w:val="26"/>
          <w:szCs w:val="26"/>
        </w:rPr>
        <w:t>Order</w:t>
      </w:r>
      <w:r w:rsidR="00803E76" w:rsidRPr="00803E76">
        <w:rPr>
          <w:rFonts w:eastAsia="Calibri"/>
          <w:bCs/>
          <w:sz w:val="26"/>
          <w:szCs w:val="26"/>
        </w:rPr>
        <w:t xml:space="preserve">).  The </w:t>
      </w:r>
      <w:r w:rsidR="007F606E">
        <w:rPr>
          <w:rFonts w:eastAsia="Calibri"/>
          <w:bCs/>
          <w:i/>
          <w:sz w:val="26"/>
          <w:szCs w:val="26"/>
        </w:rPr>
        <w:t xml:space="preserve">Reclassification </w:t>
      </w:r>
      <w:r w:rsidR="00803E76" w:rsidRPr="00803E76">
        <w:rPr>
          <w:rFonts w:eastAsia="Calibri"/>
          <w:bCs/>
          <w:i/>
          <w:sz w:val="26"/>
          <w:szCs w:val="26"/>
        </w:rPr>
        <w:t>Order</w:t>
      </w:r>
      <w:r w:rsidR="00803E76" w:rsidRPr="00803E76">
        <w:rPr>
          <w:rFonts w:eastAsia="Calibri"/>
          <w:bCs/>
          <w:sz w:val="26"/>
          <w:szCs w:val="26"/>
        </w:rPr>
        <w:t xml:space="preserve"> granted in part, and denied in part, the Verizon Pennsylvania LLC and Verizon North LLC (collectively, Verizon) Joint Petition for competitive classification of </w:t>
      </w:r>
      <w:r w:rsidR="002A4E0F">
        <w:rPr>
          <w:rFonts w:eastAsia="Calibri"/>
          <w:bCs/>
          <w:sz w:val="26"/>
          <w:szCs w:val="26"/>
        </w:rPr>
        <w:t>certain</w:t>
      </w:r>
      <w:r w:rsidR="002A4E0F" w:rsidRPr="00803E76">
        <w:rPr>
          <w:rFonts w:eastAsia="Calibri"/>
          <w:bCs/>
          <w:sz w:val="26"/>
          <w:szCs w:val="26"/>
        </w:rPr>
        <w:t xml:space="preserve"> </w:t>
      </w:r>
      <w:r w:rsidR="00803E76" w:rsidRPr="00803E76">
        <w:rPr>
          <w:rFonts w:eastAsia="Calibri"/>
          <w:bCs/>
          <w:sz w:val="26"/>
          <w:szCs w:val="26"/>
        </w:rPr>
        <w:t xml:space="preserve">retail services in </w:t>
      </w:r>
      <w:r w:rsidR="002A4E0F">
        <w:rPr>
          <w:rFonts w:eastAsia="Calibri"/>
          <w:bCs/>
          <w:sz w:val="26"/>
          <w:szCs w:val="26"/>
        </w:rPr>
        <w:t>specific</w:t>
      </w:r>
      <w:r w:rsidR="002A4E0F" w:rsidRPr="00803E76">
        <w:rPr>
          <w:rFonts w:eastAsia="Calibri"/>
          <w:bCs/>
          <w:sz w:val="26"/>
          <w:szCs w:val="26"/>
        </w:rPr>
        <w:t xml:space="preserve"> </w:t>
      </w:r>
      <w:r w:rsidR="00803E76" w:rsidRPr="00803E76">
        <w:rPr>
          <w:rFonts w:eastAsia="Calibri"/>
          <w:bCs/>
          <w:sz w:val="26"/>
          <w:szCs w:val="26"/>
        </w:rPr>
        <w:t>geographic areas pursuant to Section 3016(a) of the Public Utility Code (Code), 66 Pa. C.S. § 3016(a), and for an eleven-year waiver of parts of Chapter 63 and all of Chapter 64 of our Regulations in Title 52 of the Pennsylvania Code.</w:t>
      </w:r>
    </w:p>
    <w:p w14:paraId="7A0488B2" w14:textId="77777777" w:rsidR="00803E76" w:rsidRDefault="00803E76" w:rsidP="00803E76">
      <w:pPr>
        <w:rPr>
          <w:sz w:val="26"/>
          <w:szCs w:val="26"/>
        </w:rPr>
      </w:pPr>
    </w:p>
    <w:p w14:paraId="1AFD0E46" w14:textId="0C625214" w:rsidR="006F3543" w:rsidRDefault="006F3543" w:rsidP="006F3543">
      <w:pPr>
        <w:rPr>
          <w:sz w:val="26"/>
          <w:szCs w:val="26"/>
        </w:rPr>
      </w:pPr>
      <w:r>
        <w:rPr>
          <w:sz w:val="26"/>
          <w:szCs w:val="26"/>
        </w:rPr>
        <w:tab/>
      </w:r>
      <w:r w:rsidR="00392538">
        <w:rPr>
          <w:sz w:val="26"/>
          <w:szCs w:val="26"/>
        </w:rPr>
        <w:t>T</w:t>
      </w:r>
      <w:r w:rsidRPr="006F3543">
        <w:rPr>
          <w:sz w:val="26"/>
          <w:szCs w:val="26"/>
        </w:rPr>
        <w:t xml:space="preserve">he </w:t>
      </w:r>
      <w:r w:rsidR="007F606E">
        <w:rPr>
          <w:i/>
          <w:sz w:val="26"/>
          <w:szCs w:val="26"/>
        </w:rPr>
        <w:t xml:space="preserve">Reclassification </w:t>
      </w:r>
      <w:r w:rsidRPr="006F3543">
        <w:rPr>
          <w:i/>
          <w:sz w:val="26"/>
          <w:szCs w:val="26"/>
        </w:rPr>
        <w:t>Order</w:t>
      </w:r>
      <w:r w:rsidRPr="006F3543">
        <w:rPr>
          <w:sz w:val="26"/>
          <w:szCs w:val="26"/>
        </w:rPr>
        <w:t xml:space="preserve"> </w:t>
      </w:r>
      <w:r w:rsidR="00392538">
        <w:rPr>
          <w:sz w:val="26"/>
          <w:szCs w:val="26"/>
        </w:rPr>
        <w:t xml:space="preserve">confirms </w:t>
      </w:r>
      <w:r w:rsidRPr="006F3543">
        <w:rPr>
          <w:sz w:val="26"/>
          <w:szCs w:val="26"/>
        </w:rPr>
        <w:t xml:space="preserve">Verizon’s statutory duty to provide “adequate, efficient, safe, and reasonable service and facilities” as well as service that is “reasonably continuous and without unreasonable interruptions or delay” under 66 Pa. C.S. </w:t>
      </w:r>
      <w:r w:rsidR="0037360B">
        <w:rPr>
          <w:sz w:val="26"/>
          <w:szCs w:val="26"/>
        </w:rPr>
        <w:t>§ </w:t>
      </w:r>
      <w:r w:rsidRPr="006F3543">
        <w:rPr>
          <w:sz w:val="26"/>
          <w:szCs w:val="26"/>
        </w:rPr>
        <w:t xml:space="preserve">1501 in the entirety of its service territory.  </w:t>
      </w:r>
      <w:proofErr w:type="gramStart"/>
      <w:r w:rsidR="007F606E">
        <w:rPr>
          <w:i/>
          <w:sz w:val="26"/>
          <w:szCs w:val="26"/>
        </w:rPr>
        <w:t xml:space="preserve">Reclassification </w:t>
      </w:r>
      <w:r w:rsidRPr="006F3543">
        <w:rPr>
          <w:i/>
          <w:sz w:val="26"/>
          <w:szCs w:val="26"/>
        </w:rPr>
        <w:t>Order</w:t>
      </w:r>
      <w:r w:rsidRPr="006F3543">
        <w:rPr>
          <w:sz w:val="26"/>
          <w:szCs w:val="26"/>
        </w:rPr>
        <w:t xml:space="preserve"> at 7</w:t>
      </w:r>
      <w:r>
        <w:rPr>
          <w:sz w:val="26"/>
          <w:szCs w:val="26"/>
        </w:rPr>
        <w:t xml:space="preserve">, </w:t>
      </w:r>
      <w:r w:rsidR="00DF2494">
        <w:rPr>
          <w:sz w:val="26"/>
          <w:szCs w:val="26"/>
        </w:rPr>
        <w:t xml:space="preserve">125, </w:t>
      </w:r>
      <w:r>
        <w:rPr>
          <w:sz w:val="26"/>
          <w:szCs w:val="26"/>
        </w:rPr>
        <w:t>Ordering Paragraph 5</w:t>
      </w:r>
      <w:r w:rsidRPr="006F3543">
        <w:rPr>
          <w:sz w:val="26"/>
          <w:szCs w:val="26"/>
        </w:rPr>
        <w:t>.</w:t>
      </w:r>
      <w:proofErr w:type="gramEnd"/>
      <w:r w:rsidRPr="006F3543">
        <w:rPr>
          <w:sz w:val="26"/>
          <w:szCs w:val="26"/>
        </w:rPr>
        <w:t xml:space="preserve">  Under that same Public Utility Code provision, and regardless of the competitive classification of any wire center, Verizon is the carrier of last resort (COLR) throughout its service territory.  </w:t>
      </w:r>
      <w:proofErr w:type="gramStart"/>
      <w:r w:rsidRPr="006F3543">
        <w:rPr>
          <w:i/>
          <w:sz w:val="26"/>
          <w:szCs w:val="26"/>
        </w:rPr>
        <w:t>Id</w:t>
      </w:r>
      <w:r w:rsidR="0037360B">
        <w:rPr>
          <w:i/>
          <w:sz w:val="26"/>
          <w:szCs w:val="26"/>
        </w:rPr>
        <w:t>.</w:t>
      </w:r>
      <w:r w:rsidR="0037360B" w:rsidRPr="0037360B">
        <w:rPr>
          <w:sz w:val="26"/>
          <w:szCs w:val="26"/>
        </w:rPr>
        <w:t xml:space="preserve"> at</w:t>
      </w:r>
      <w:r w:rsidRPr="0037360B">
        <w:rPr>
          <w:sz w:val="26"/>
          <w:szCs w:val="26"/>
        </w:rPr>
        <w:t xml:space="preserve"> </w:t>
      </w:r>
      <w:r w:rsidR="00DF2494">
        <w:rPr>
          <w:sz w:val="26"/>
          <w:szCs w:val="26"/>
        </w:rPr>
        <w:t xml:space="preserve">125, </w:t>
      </w:r>
      <w:r>
        <w:rPr>
          <w:sz w:val="26"/>
          <w:szCs w:val="26"/>
        </w:rPr>
        <w:t>Ordering Paragraph 6</w:t>
      </w:r>
      <w:r w:rsidRPr="006F3543">
        <w:rPr>
          <w:sz w:val="26"/>
          <w:szCs w:val="26"/>
        </w:rPr>
        <w:t>.</w:t>
      </w:r>
      <w:proofErr w:type="gramEnd"/>
      <w:r w:rsidRPr="006F3543">
        <w:rPr>
          <w:sz w:val="26"/>
          <w:szCs w:val="26"/>
        </w:rPr>
        <w:t xml:space="preserve">  </w:t>
      </w:r>
      <w:r>
        <w:rPr>
          <w:sz w:val="26"/>
          <w:szCs w:val="26"/>
        </w:rPr>
        <w:t xml:space="preserve">The </w:t>
      </w:r>
      <w:r w:rsidR="007F606E">
        <w:rPr>
          <w:i/>
          <w:sz w:val="26"/>
          <w:szCs w:val="26"/>
        </w:rPr>
        <w:t xml:space="preserve">Reclassification </w:t>
      </w:r>
      <w:r w:rsidRPr="006F3543">
        <w:rPr>
          <w:i/>
          <w:sz w:val="26"/>
          <w:szCs w:val="26"/>
        </w:rPr>
        <w:t>Order</w:t>
      </w:r>
      <w:r>
        <w:rPr>
          <w:sz w:val="26"/>
          <w:szCs w:val="26"/>
        </w:rPr>
        <w:t xml:space="preserve"> </w:t>
      </w:r>
      <w:r w:rsidRPr="006F3543">
        <w:rPr>
          <w:sz w:val="26"/>
          <w:szCs w:val="26"/>
        </w:rPr>
        <w:t xml:space="preserve">also enumerates important regulatory requirements unaffected by the competitive classification of </w:t>
      </w:r>
      <w:r w:rsidR="00EC6401">
        <w:rPr>
          <w:sz w:val="26"/>
          <w:szCs w:val="26"/>
        </w:rPr>
        <w:t xml:space="preserve">standalone basic local exchange telephone services in </w:t>
      </w:r>
      <w:r w:rsidRPr="006F3543">
        <w:rPr>
          <w:sz w:val="26"/>
          <w:szCs w:val="26"/>
        </w:rPr>
        <w:t xml:space="preserve">any </w:t>
      </w:r>
      <w:r w:rsidR="00EC6401">
        <w:rPr>
          <w:sz w:val="26"/>
          <w:szCs w:val="26"/>
        </w:rPr>
        <w:t xml:space="preserve">Verizon </w:t>
      </w:r>
      <w:r w:rsidRPr="006F3543">
        <w:rPr>
          <w:sz w:val="26"/>
          <w:szCs w:val="26"/>
        </w:rPr>
        <w:t xml:space="preserve">wire center.  These include: </w:t>
      </w:r>
    </w:p>
    <w:p w14:paraId="791965C6" w14:textId="77777777" w:rsidR="006F3543" w:rsidRPr="006F3543" w:rsidRDefault="006F3543" w:rsidP="006F3543">
      <w:pPr>
        <w:rPr>
          <w:sz w:val="26"/>
          <w:szCs w:val="26"/>
        </w:rPr>
      </w:pPr>
    </w:p>
    <w:p w14:paraId="5E624EAB" w14:textId="77777777" w:rsidR="006F3543" w:rsidRPr="006F3543" w:rsidRDefault="006F3543" w:rsidP="006F3543">
      <w:pPr>
        <w:numPr>
          <w:ilvl w:val="0"/>
          <w:numId w:val="15"/>
        </w:numPr>
        <w:rPr>
          <w:sz w:val="26"/>
          <w:szCs w:val="26"/>
        </w:rPr>
      </w:pPr>
      <w:r w:rsidRPr="006F3543">
        <w:rPr>
          <w:sz w:val="26"/>
          <w:szCs w:val="26"/>
        </w:rPr>
        <w:t>911 obligations;</w:t>
      </w:r>
    </w:p>
    <w:p w14:paraId="7C70EC21" w14:textId="32F38669" w:rsidR="006F3543" w:rsidRPr="006F3543" w:rsidRDefault="006F3543" w:rsidP="006F3543">
      <w:pPr>
        <w:numPr>
          <w:ilvl w:val="0"/>
          <w:numId w:val="15"/>
        </w:numPr>
        <w:rPr>
          <w:sz w:val="26"/>
          <w:szCs w:val="26"/>
        </w:rPr>
      </w:pPr>
      <w:r w:rsidRPr="006F3543">
        <w:rPr>
          <w:sz w:val="26"/>
          <w:szCs w:val="26"/>
        </w:rPr>
        <w:t xml:space="preserve">Chapter 30 Plan </w:t>
      </w:r>
      <w:r w:rsidR="00EC6401">
        <w:rPr>
          <w:sz w:val="26"/>
          <w:szCs w:val="26"/>
        </w:rPr>
        <w:t xml:space="preserve">network deployment </w:t>
      </w:r>
      <w:r w:rsidRPr="006F3543">
        <w:rPr>
          <w:sz w:val="26"/>
          <w:szCs w:val="26"/>
        </w:rPr>
        <w:t>commitments including the provision of ubiquitous broadband service;</w:t>
      </w:r>
    </w:p>
    <w:p w14:paraId="131FB16A" w14:textId="43782603" w:rsidR="006F3543" w:rsidRPr="006F3543" w:rsidRDefault="006F3543" w:rsidP="006F3543">
      <w:pPr>
        <w:numPr>
          <w:ilvl w:val="0"/>
          <w:numId w:val="15"/>
        </w:numPr>
        <w:rPr>
          <w:sz w:val="26"/>
          <w:szCs w:val="26"/>
        </w:rPr>
      </w:pPr>
      <w:r w:rsidRPr="006F3543">
        <w:rPr>
          <w:sz w:val="26"/>
          <w:szCs w:val="26"/>
        </w:rPr>
        <w:t xml:space="preserve">Lifeline </w:t>
      </w:r>
      <w:r w:rsidR="00EC6401">
        <w:rPr>
          <w:sz w:val="26"/>
          <w:szCs w:val="26"/>
        </w:rPr>
        <w:t xml:space="preserve">service </w:t>
      </w:r>
      <w:r w:rsidRPr="006F3543">
        <w:rPr>
          <w:sz w:val="26"/>
          <w:szCs w:val="26"/>
        </w:rPr>
        <w:t>responsibilities under Chapter 30;</w:t>
      </w:r>
    </w:p>
    <w:p w14:paraId="41E5FA10" w14:textId="4E1A1E7D" w:rsidR="006F3543" w:rsidRPr="006F3543" w:rsidRDefault="006F3543" w:rsidP="006F3543">
      <w:pPr>
        <w:numPr>
          <w:ilvl w:val="0"/>
          <w:numId w:val="15"/>
        </w:numPr>
        <w:rPr>
          <w:sz w:val="26"/>
          <w:szCs w:val="26"/>
        </w:rPr>
      </w:pPr>
      <w:r w:rsidRPr="006F3543">
        <w:rPr>
          <w:sz w:val="26"/>
          <w:szCs w:val="26"/>
        </w:rPr>
        <w:t xml:space="preserve">The wholesale </w:t>
      </w:r>
      <w:r w:rsidR="00EC6401">
        <w:rPr>
          <w:sz w:val="26"/>
          <w:szCs w:val="26"/>
        </w:rPr>
        <w:t xml:space="preserve">interconnection </w:t>
      </w:r>
      <w:r w:rsidRPr="006F3543">
        <w:rPr>
          <w:sz w:val="26"/>
          <w:szCs w:val="26"/>
        </w:rPr>
        <w:t xml:space="preserve">obligations of </w:t>
      </w:r>
      <w:r w:rsidR="00EC6401">
        <w:rPr>
          <w:sz w:val="26"/>
          <w:szCs w:val="26"/>
        </w:rPr>
        <w:t xml:space="preserve">applicable </w:t>
      </w:r>
      <w:r w:rsidRPr="006F3543">
        <w:rPr>
          <w:sz w:val="26"/>
          <w:szCs w:val="26"/>
        </w:rPr>
        <w:t xml:space="preserve">federal </w:t>
      </w:r>
      <w:r w:rsidR="00EC6401">
        <w:rPr>
          <w:sz w:val="26"/>
          <w:szCs w:val="26"/>
        </w:rPr>
        <w:t>and Pennsylvania</w:t>
      </w:r>
      <w:r w:rsidRPr="006F3543">
        <w:rPr>
          <w:sz w:val="26"/>
          <w:szCs w:val="26"/>
        </w:rPr>
        <w:t xml:space="preserve"> law under which many competitive local exchange carriers (CLECs) and interexchange carriers (IXCs) operate;</w:t>
      </w:r>
    </w:p>
    <w:p w14:paraId="2EB70763" w14:textId="77777777" w:rsidR="006F3543" w:rsidRPr="006F3543" w:rsidRDefault="006F3543" w:rsidP="006F3543">
      <w:pPr>
        <w:numPr>
          <w:ilvl w:val="0"/>
          <w:numId w:val="15"/>
        </w:numPr>
        <w:rPr>
          <w:sz w:val="26"/>
          <w:szCs w:val="26"/>
        </w:rPr>
      </w:pPr>
      <w:r w:rsidRPr="006F3543">
        <w:rPr>
          <w:sz w:val="26"/>
          <w:szCs w:val="26"/>
        </w:rPr>
        <w:lastRenderedPageBreak/>
        <w:t>Intrastate switched and special access rates and services and the ordering, installation, restoration, and disconnection of such access services; and</w:t>
      </w:r>
    </w:p>
    <w:p w14:paraId="3EA3370F" w14:textId="77777777" w:rsidR="006F3543" w:rsidRPr="006F3543" w:rsidRDefault="006F3543" w:rsidP="006F3543">
      <w:pPr>
        <w:numPr>
          <w:ilvl w:val="0"/>
          <w:numId w:val="15"/>
        </w:numPr>
        <w:rPr>
          <w:sz w:val="26"/>
          <w:szCs w:val="26"/>
        </w:rPr>
      </w:pPr>
      <w:r w:rsidRPr="006F3543">
        <w:rPr>
          <w:sz w:val="26"/>
          <w:szCs w:val="26"/>
        </w:rPr>
        <w:t xml:space="preserve">Payment of regulatory assessments and contributions to the Pennsylvania Universal Service Fund (Pa USF). </w:t>
      </w:r>
    </w:p>
    <w:p w14:paraId="168408FA" w14:textId="77777777" w:rsidR="006F3543" w:rsidRPr="006F3543" w:rsidRDefault="006F3543" w:rsidP="006F3543">
      <w:pPr>
        <w:rPr>
          <w:sz w:val="26"/>
          <w:szCs w:val="26"/>
        </w:rPr>
      </w:pPr>
    </w:p>
    <w:p w14:paraId="62592015" w14:textId="77777777" w:rsidR="006F3543" w:rsidRPr="006F3543" w:rsidRDefault="006F3543" w:rsidP="006F3543">
      <w:pPr>
        <w:rPr>
          <w:sz w:val="26"/>
          <w:szCs w:val="26"/>
        </w:rPr>
      </w:pPr>
      <w:r w:rsidRPr="006F3543">
        <w:rPr>
          <w:i/>
          <w:sz w:val="26"/>
          <w:szCs w:val="26"/>
        </w:rPr>
        <w:t>Id</w:t>
      </w:r>
      <w:r w:rsidRPr="006F3543">
        <w:rPr>
          <w:sz w:val="26"/>
          <w:szCs w:val="26"/>
        </w:rPr>
        <w:t xml:space="preserve">. at 7-8.  </w:t>
      </w:r>
      <w:r>
        <w:rPr>
          <w:sz w:val="26"/>
          <w:szCs w:val="26"/>
        </w:rPr>
        <w:t>T</w:t>
      </w:r>
      <w:r w:rsidRPr="006F3543">
        <w:rPr>
          <w:sz w:val="26"/>
          <w:szCs w:val="26"/>
        </w:rPr>
        <w:t xml:space="preserve">he </w:t>
      </w:r>
      <w:r w:rsidR="007F606E">
        <w:rPr>
          <w:i/>
          <w:sz w:val="26"/>
          <w:szCs w:val="26"/>
        </w:rPr>
        <w:t xml:space="preserve">Reclassification </w:t>
      </w:r>
      <w:r w:rsidRPr="006F3543">
        <w:rPr>
          <w:i/>
          <w:sz w:val="26"/>
          <w:szCs w:val="26"/>
        </w:rPr>
        <w:t>Order</w:t>
      </w:r>
      <w:r w:rsidRPr="006F3543">
        <w:rPr>
          <w:sz w:val="26"/>
          <w:szCs w:val="26"/>
        </w:rPr>
        <w:t xml:space="preserve"> </w:t>
      </w:r>
      <w:r w:rsidR="0005730C">
        <w:rPr>
          <w:sz w:val="26"/>
          <w:szCs w:val="26"/>
        </w:rPr>
        <w:t xml:space="preserve">neither </w:t>
      </w:r>
      <w:r w:rsidRPr="006F3543">
        <w:rPr>
          <w:sz w:val="26"/>
          <w:szCs w:val="26"/>
        </w:rPr>
        <w:t>affect</w:t>
      </w:r>
      <w:r w:rsidR="0005730C">
        <w:rPr>
          <w:sz w:val="26"/>
          <w:szCs w:val="26"/>
        </w:rPr>
        <w:t>ed</w:t>
      </w:r>
      <w:r w:rsidRPr="006F3543">
        <w:rPr>
          <w:sz w:val="26"/>
          <w:szCs w:val="26"/>
        </w:rPr>
        <w:t xml:space="preserve"> these important legal and policy safeguards</w:t>
      </w:r>
      <w:r w:rsidR="0005730C">
        <w:rPr>
          <w:sz w:val="26"/>
          <w:szCs w:val="26"/>
        </w:rPr>
        <w:t xml:space="preserve"> nor did it </w:t>
      </w:r>
      <w:r w:rsidRPr="006F3543">
        <w:rPr>
          <w:sz w:val="26"/>
          <w:szCs w:val="26"/>
        </w:rPr>
        <w:t xml:space="preserve">alter statutory obligations imposed by Chapter 30 of the Public Utility Code. </w:t>
      </w:r>
    </w:p>
    <w:p w14:paraId="1030A77D" w14:textId="77777777" w:rsidR="00803E76" w:rsidRDefault="00803E76" w:rsidP="00803E76">
      <w:pPr>
        <w:rPr>
          <w:sz w:val="26"/>
          <w:szCs w:val="26"/>
        </w:rPr>
      </w:pPr>
    </w:p>
    <w:p w14:paraId="3596226E" w14:textId="2568B47D" w:rsidR="00873EEF" w:rsidRDefault="006F3543" w:rsidP="00803E76">
      <w:pPr>
        <w:rPr>
          <w:sz w:val="26"/>
          <w:szCs w:val="26"/>
        </w:rPr>
      </w:pPr>
      <w:r>
        <w:rPr>
          <w:sz w:val="26"/>
          <w:szCs w:val="26"/>
        </w:rPr>
        <w:tab/>
        <w:t>T</w:t>
      </w:r>
      <w:r w:rsidR="00873EEF">
        <w:rPr>
          <w:sz w:val="26"/>
          <w:szCs w:val="26"/>
        </w:rPr>
        <w:t xml:space="preserve">he </w:t>
      </w:r>
      <w:r w:rsidR="007F606E">
        <w:rPr>
          <w:i/>
          <w:sz w:val="26"/>
          <w:szCs w:val="26"/>
        </w:rPr>
        <w:t xml:space="preserve">Reclassification </w:t>
      </w:r>
      <w:r w:rsidR="00873EEF" w:rsidRPr="00873EEF">
        <w:rPr>
          <w:i/>
          <w:sz w:val="26"/>
          <w:szCs w:val="26"/>
        </w:rPr>
        <w:t>Order</w:t>
      </w:r>
      <w:r w:rsidR="00873EEF">
        <w:rPr>
          <w:sz w:val="26"/>
          <w:szCs w:val="26"/>
        </w:rPr>
        <w:t xml:space="preserve"> provides for </w:t>
      </w:r>
      <w:r w:rsidR="00853B77">
        <w:rPr>
          <w:sz w:val="26"/>
          <w:szCs w:val="26"/>
        </w:rPr>
        <w:t xml:space="preserve">continued </w:t>
      </w:r>
      <w:r>
        <w:rPr>
          <w:sz w:val="26"/>
          <w:szCs w:val="26"/>
        </w:rPr>
        <w:t xml:space="preserve">Commission oversight of </w:t>
      </w:r>
      <w:r w:rsidR="002A464E">
        <w:rPr>
          <w:sz w:val="26"/>
          <w:szCs w:val="26"/>
        </w:rPr>
        <w:t xml:space="preserve">Verizon services provided to retail and wholesale </w:t>
      </w:r>
      <w:r w:rsidR="00853B77">
        <w:rPr>
          <w:sz w:val="26"/>
          <w:szCs w:val="26"/>
        </w:rPr>
        <w:t xml:space="preserve">customers </w:t>
      </w:r>
      <w:r w:rsidR="00873EEF">
        <w:rPr>
          <w:sz w:val="26"/>
          <w:szCs w:val="26"/>
        </w:rPr>
        <w:t xml:space="preserve">affected </w:t>
      </w:r>
      <w:r w:rsidR="00853B77">
        <w:rPr>
          <w:sz w:val="26"/>
          <w:szCs w:val="26"/>
        </w:rPr>
        <w:t xml:space="preserve">by </w:t>
      </w:r>
      <w:r w:rsidR="002A464E">
        <w:rPr>
          <w:sz w:val="26"/>
          <w:szCs w:val="26"/>
        </w:rPr>
        <w:t xml:space="preserve">and consistent with </w:t>
      </w:r>
      <w:r w:rsidR="00853B77">
        <w:rPr>
          <w:sz w:val="26"/>
          <w:szCs w:val="26"/>
        </w:rPr>
        <w:t>that Order</w:t>
      </w:r>
      <w:r w:rsidR="00873EEF">
        <w:rPr>
          <w:sz w:val="26"/>
          <w:szCs w:val="26"/>
        </w:rPr>
        <w:t>.  To ensure th</w:t>
      </w:r>
      <w:r w:rsidR="00853B77">
        <w:rPr>
          <w:sz w:val="26"/>
          <w:szCs w:val="26"/>
        </w:rPr>
        <w:t xml:space="preserve">at </w:t>
      </w:r>
      <w:r w:rsidR="00873EEF">
        <w:rPr>
          <w:sz w:val="26"/>
          <w:szCs w:val="26"/>
        </w:rPr>
        <w:t xml:space="preserve">the </w:t>
      </w:r>
      <w:r w:rsidR="007F606E">
        <w:rPr>
          <w:i/>
          <w:sz w:val="26"/>
          <w:szCs w:val="26"/>
        </w:rPr>
        <w:t xml:space="preserve">Reclassification </w:t>
      </w:r>
      <w:r w:rsidR="00873EEF" w:rsidRPr="00873EEF">
        <w:rPr>
          <w:i/>
          <w:sz w:val="26"/>
          <w:szCs w:val="26"/>
        </w:rPr>
        <w:t>Order</w:t>
      </w:r>
      <w:r w:rsidR="00873EEF">
        <w:rPr>
          <w:sz w:val="26"/>
          <w:szCs w:val="26"/>
        </w:rPr>
        <w:t xml:space="preserve"> continues to support the public interest, the Commission conditioned its approval, in part, on Verizon compliance with the following</w:t>
      </w:r>
      <w:r w:rsidR="00DF2494">
        <w:rPr>
          <w:sz w:val="26"/>
          <w:szCs w:val="26"/>
        </w:rPr>
        <w:t xml:space="preserve"> Ordering Paragraph</w:t>
      </w:r>
      <w:r w:rsidR="00873EEF">
        <w:rPr>
          <w:sz w:val="26"/>
          <w:szCs w:val="26"/>
        </w:rPr>
        <w:t>:</w:t>
      </w:r>
    </w:p>
    <w:p w14:paraId="5BB39C64" w14:textId="77777777" w:rsidR="00873EEF" w:rsidRDefault="00873EEF" w:rsidP="00803E76">
      <w:pPr>
        <w:rPr>
          <w:sz w:val="26"/>
          <w:szCs w:val="26"/>
        </w:rPr>
      </w:pPr>
    </w:p>
    <w:p w14:paraId="14839EA5" w14:textId="77777777" w:rsidR="00A0038E" w:rsidRDefault="00873EEF" w:rsidP="00A0038E">
      <w:pPr>
        <w:ind w:left="1440" w:right="720" w:hanging="720"/>
        <w:rPr>
          <w:sz w:val="26"/>
          <w:szCs w:val="26"/>
        </w:rPr>
      </w:pPr>
      <w:r>
        <w:rPr>
          <w:sz w:val="26"/>
          <w:szCs w:val="26"/>
        </w:rPr>
        <w:t>15.</w:t>
      </w:r>
      <w:r>
        <w:rPr>
          <w:sz w:val="26"/>
          <w:szCs w:val="26"/>
        </w:rPr>
        <w:tab/>
      </w:r>
      <w:r w:rsidRPr="00873EEF">
        <w:rPr>
          <w:sz w:val="26"/>
          <w:szCs w:val="26"/>
        </w:rPr>
        <w:t>That Verizon Pennsylvania LLC and Verizon North LLC shall collect and report annually, for a period of two years, data under two categories: (1) Affordability of Basic Service; and (2) Quality of Service as further directed by the Commission.</w:t>
      </w:r>
    </w:p>
    <w:p w14:paraId="1869CC27" w14:textId="77777777" w:rsidR="00A0038E" w:rsidRPr="00873EEF" w:rsidRDefault="00A0038E" w:rsidP="00A0038E">
      <w:pPr>
        <w:ind w:right="720"/>
        <w:rPr>
          <w:sz w:val="26"/>
          <w:szCs w:val="26"/>
        </w:rPr>
      </w:pPr>
    </w:p>
    <w:p w14:paraId="2DC9AE17" w14:textId="1F1053C8" w:rsidR="00853B77" w:rsidRDefault="007F606E" w:rsidP="00803E76">
      <w:pPr>
        <w:rPr>
          <w:sz w:val="26"/>
          <w:szCs w:val="26"/>
        </w:rPr>
      </w:pPr>
      <w:proofErr w:type="gramStart"/>
      <w:r>
        <w:rPr>
          <w:i/>
          <w:sz w:val="26"/>
          <w:szCs w:val="26"/>
        </w:rPr>
        <w:t xml:space="preserve">Reclassification </w:t>
      </w:r>
      <w:r w:rsidR="00873EEF" w:rsidRPr="00A0038E">
        <w:rPr>
          <w:i/>
          <w:sz w:val="26"/>
          <w:szCs w:val="26"/>
        </w:rPr>
        <w:t>Order</w:t>
      </w:r>
      <w:r w:rsidR="00A0038E" w:rsidRPr="00A0038E">
        <w:rPr>
          <w:sz w:val="26"/>
          <w:szCs w:val="26"/>
        </w:rPr>
        <w:t xml:space="preserve"> at 12</w:t>
      </w:r>
      <w:r w:rsidR="00DF2494">
        <w:rPr>
          <w:sz w:val="26"/>
          <w:szCs w:val="26"/>
        </w:rPr>
        <w:t>6</w:t>
      </w:r>
      <w:r w:rsidR="00A0038E" w:rsidRPr="00A0038E">
        <w:rPr>
          <w:sz w:val="26"/>
          <w:szCs w:val="26"/>
        </w:rPr>
        <w:t xml:space="preserve">, Ordering Paragraph </w:t>
      </w:r>
      <w:r w:rsidR="00873EEF" w:rsidRPr="00A0038E">
        <w:rPr>
          <w:sz w:val="26"/>
          <w:szCs w:val="26"/>
        </w:rPr>
        <w:t>15.</w:t>
      </w:r>
      <w:proofErr w:type="gramEnd"/>
      <w:r w:rsidR="00503409" w:rsidRPr="00A0038E">
        <w:rPr>
          <w:sz w:val="26"/>
          <w:szCs w:val="26"/>
        </w:rPr>
        <w:t xml:space="preserve">  </w:t>
      </w:r>
      <w:r w:rsidR="00D14110">
        <w:rPr>
          <w:sz w:val="26"/>
          <w:szCs w:val="26"/>
        </w:rPr>
        <w:t>T</w:t>
      </w:r>
      <w:r w:rsidR="00A0038E" w:rsidRPr="00A0038E">
        <w:rPr>
          <w:sz w:val="26"/>
          <w:szCs w:val="26"/>
        </w:rPr>
        <w:t xml:space="preserve">he purpose of the data collection is </w:t>
      </w:r>
      <w:r w:rsidR="00D14110">
        <w:rPr>
          <w:sz w:val="26"/>
          <w:szCs w:val="26"/>
        </w:rPr>
        <w:t>to help assess</w:t>
      </w:r>
      <w:r w:rsidR="00A0038E" w:rsidRPr="00A0038E">
        <w:rPr>
          <w:sz w:val="26"/>
          <w:szCs w:val="26"/>
        </w:rPr>
        <w:t xml:space="preserve"> the market conditions present in the 153 wire centers determined to be competitive and to collect specific data and information to help assess how the market is developing in those wire centers.  </w:t>
      </w:r>
      <w:proofErr w:type="gramStart"/>
      <w:r>
        <w:rPr>
          <w:i/>
          <w:sz w:val="26"/>
          <w:szCs w:val="26"/>
        </w:rPr>
        <w:t xml:space="preserve">Reclassification </w:t>
      </w:r>
      <w:r w:rsidR="00A0038E" w:rsidRPr="00A0038E">
        <w:rPr>
          <w:i/>
          <w:sz w:val="26"/>
          <w:szCs w:val="26"/>
        </w:rPr>
        <w:t>Order</w:t>
      </w:r>
      <w:r w:rsidR="00A0038E" w:rsidRPr="00A0038E">
        <w:rPr>
          <w:sz w:val="26"/>
          <w:szCs w:val="26"/>
        </w:rPr>
        <w:t xml:space="preserve"> at 104.</w:t>
      </w:r>
      <w:proofErr w:type="gramEnd"/>
      <w:r w:rsidR="00A0038E">
        <w:rPr>
          <w:sz w:val="26"/>
          <w:szCs w:val="26"/>
        </w:rPr>
        <w:t xml:space="preserve">  </w:t>
      </w:r>
      <w:r w:rsidR="00503409">
        <w:rPr>
          <w:sz w:val="26"/>
          <w:szCs w:val="26"/>
        </w:rPr>
        <w:t xml:space="preserve">To best utilize this information, and to better achieve the public interest goals of the </w:t>
      </w:r>
      <w:r>
        <w:rPr>
          <w:i/>
          <w:sz w:val="26"/>
          <w:szCs w:val="26"/>
        </w:rPr>
        <w:t xml:space="preserve">Reclassification </w:t>
      </w:r>
      <w:r w:rsidR="00503409" w:rsidRPr="00503409">
        <w:rPr>
          <w:i/>
          <w:sz w:val="26"/>
          <w:szCs w:val="26"/>
        </w:rPr>
        <w:t>Order</w:t>
      </w:r>
      <w:r w:rsidR="00503409">
        <w:rPr>
          <w:sz w:val="26"/>
          <w:szCs w:val="26"/>
        </w:rPr>
        <w:t>, the Order directed that “</w:t>
      </w:r>
      <w:r w:rsidR="00503409" w:rsidRPr="00503409">
        <w:rPr>
          <w:sz w:val="26"/>
          <w:szCs w:val="26"/>
        </w:rPr>
        <w:t>after receiving input from interested parties, the Commission’s Bureau of Technical Utility Services shall advise the Companies of the specific data to be provided, form requirements, and schedule for the reporting of this data.</w:t>
      </w:r>
      <w:r w:rsidR="00503409">
        <w:rPr>
          <w:sz w:val="26"/>
          <w:szCs w:val="26"/>
        </w:rPr>
        <w:t xml:space="preserve">” </w:t>
      </w:r>
      <w:proofErr w:type="gramStart"/>
      <w:r w:rsidR="00503409" w:rsidRPr="00503409">
        <w:rPr>
          <w:i/>
          <w:sz w:val="26"/>
          <w:szCs w:val="26"/>
        </w:rPr>
        <w:t>Id</w:t>
      </w:r>
      <w:r w:rsidR="003C5769">
        <w:rPr>
          <w:sz w:val="26"/>
          <w:szCs w:val="26"/>
        </w:rPr>
        <w:t>.</w:t>
      </w:r>
      <w:r w:rsidR="00DF2494" w:rsidRPr="00B414F2">
        <w:rPr>
          <w:i/>
          <w:sz w:val="26"/>
        </w:rPr>
        <w:t xml:space="preserve"> </w:t>
      </w:r>
      <w:r w:rsidR="00DF2494" w:rsidRPr="003C5769">
        <w:rPr>
          <w:sz w:val="26"/>
        </w:rPr>
        <w:t>at</w:t>
      </w:r>
      <w:r w:rsidR="00DF2494" w:rsidRPr="003C5769">
        <w:rPr>
          <w:sz w:val="26"/>
          <w:szCs w:val="26"/>
        </w:rPr>
        <w:t xml:space="preserve"> 127,</w:t>
      </w:r>
      <w:r w:rsidR="0037360B">
        <w:rPr>
          <w:sz w:val="26"/>
          <w:szCs w:val="26"/>
        </w:rPr>
        <w:t xml:space="preserve"> </w:t>
      </w:r>
      <w:r w:rsidR="00503409">
        <w:rPr>
          <w:sz w:val="26"/>
          <w:szCs w:val="26"/>
        </w:rPr>
        <w:t>Ordering Paragraph 16.</w:t>
      </w:r>
      <w:proofErr w:type="gramEnd"/>
      <w:r w:rsidR="00503409">
        <w:rPr>
          <w:sz w:val="26"/>
          <w:szCs w:val="26"/>
        </w:rPr>
        <w:t xml:space="preserve">  </w:t>
      </w:r>
    </w:p>
    <w:p w14:paraId="2D286B7E" w14:textId="77777777" w:rsidR="00853B77" w:rsidRDefault="00853B77" w:rsidP="00803E76">
      <w:pPr>
        <w:rPr>
          <w:sz w:val="26"/>
          <w:szCs w:val="26"/>
        </w:rPr>
      </w:pPr>
    </w:p>
    <w:p w14:paraId="02B09107" w14:textId="396D93CC" w:rsidR="00853B77" w:rsidRDefault="00853B77" w:rsidP="00803E76">
      <w:pPr>
        <w:rPr>
          <w:sz w:val="26"/>
          <w:szCs w:val="26"/>
        </w:rPr>
      </w:pPr>
      <w:r>
        <w:rPr>
          <w:sz w:val="26"/>
          <w:szCs w:val="26"/>
        </w:rPr>
        <w:tab/>
        <w:t xml:space="preserve">The </w:t>
      </w:r>
      <w:r w:rsidR="007F606E">
        <w:rPr>
          <w:i/>
          <w:sz w:val="26"/>
          <w:szCs w:val="26"/>
        </w:rPr>
        <w:t xml:space="preserve">Reclassification </w:t>
      </w:r>
      <w:r w:rsidRPr="00853B77">
        <w:rPr>
          <w:i/>
          <w:sz w:val="26"/>
          <w:szCs w:val="26"/>
        </w:rPr>
        <w:t>Order</w:t>
      </w:r>
      <w:r>
        <w:rPr>
          <w:sz w:val="26"/>
          <w:szCs w:val="26"/>
        </w:rPr>
        <w:t xml:space="preserve"> contains considerable detail.  To ensure c</w:t>
      </w:r>
      <w:r w:rsidR="000E5648">
        <w:rPr>
          <w:sz w:val="26"/>
          <w:szCs w:val="26"/>
        </w:rPr>
        <w:t xml:space="preserve">omplete compliance with </w:t>
      </w:r>
      <w:r w:rsidR="002A4E0F">
        <w:rPr>
          <w:sz w:val="26"/>
          <w:szCs w:val="26"/>
        </w:rPr>
        <w:t xml:space="preserve">the </w:t>
      </w:r>
      <w:r w:rsidR="000E5648">
        <w:rPr>
          <w:sz w:val="26"/>
          <w:szCs w:val="26"/>
        </w:rPr>
        <w:t xml:space="preserve">directives </w:t>
      </w:r>
      <w:r w:rsidR="002A4E0F">
        <w:rPr>
          <w:sz w:val="26"/>
          <w:szCs w:val="26"/>
        </w:rPr>
        <w:t xml:space="preserve">in </w:t>
      </w:r>
      <w:r>
        <w:rPr>
          <w:sz w:val="26"/>
          <w:szCs w:val="26"/>
        </w:rPr>
        <w:t xml:space="preserve">the </w:t>
      </w:r>
      <w:r w:rsidR="007F606E">
        <w:rPr>
          <w:i/>
          <w:sz w:val="26"/>
          <w:szCs w:val="26"/>
        </w:rPr>
        <w:t xml:space="preserve">Reclassification </w:t>
      </w:r>
      <w:r w:rsidRPr="000E5648">
        <w:rPr>
          <w:i/>
          <w:sz w:val="26"/>
          <w:szCs w:val="26"/>
        </w:rPr>
        <w:t>Order</w:t>
      </w:r>
      <w:r w:rsidR="000E5648" w:rsidRPr="000E5648">
        <w:rPr>
          <w:sz w:val="26"/>
          <w:szCs w:val="26"/>
        </w:rPr>
        <w:t>,</w:t>
      </w:r>
      <w:r>
        <w:rPr>
          <w:sz w:val="26"/>
          <w:szCs w:val="26"/>
        </w:rPr>
        <w:t xml:space="preserve"> </w:t>
      </w:r>
      <w:r w:rsidR="000E5648">
        <w:rPr>
          <w:sz w:val="26"/>
          <w:szCs w:val="26"/>
        </w:rPr>
        <w:t xml:space="preserve">the Order </w:t>
      </w:r>
      <w:r>
        <w:rPr>
          <w:sz w:val="26"/>
          <w:szCs w:val="26"/>
        </w:rPr>
        <w:t>require</w:t>
      </w:r>
      <w:r w:rsidR="000E5648">
        <w:rPr>
          <w:sz w:val="26"/>
          <w:szCs w:val="26"/>
        </w:rPr>
        <w:t>s</w:t>
      </w:r>
      <w:r>
        <w:rPr>
          <w:sz w:val="26"/>
          <w:szCs w:val="26"/>
        </w:rPr>
        <w:t xml:space="preserve"> Verizon to “</w:t>
      </w:r>
      <w:r w:rsidRPr="00853B77">
        <w:rPr>
          <w:sz w:val="26"/>
          <w:szCs w:val="26"/>
        </w:rPr>
        <w:t>comply with all recommendations, directives, and conclusions in this Opinion and Order that are not the subject of individual ordering paragraphs as fully as if they were the subject of specific ordering paragraphs.</w:t>
      </w:r>
      <w:r>
        <w:rPr>
          <w:sz w:val="26"/>
          <w:szCs w:val="26"/>
        </w:rPr>
        <w:t xml:space="preserve">”  </w:t>
      </w:r>
      <w:proofErr w:type="gramStart"/>
      <w:r w:rsidRPr="00853B77">
        <w:rPr>
          <w:i/>
          <w:sz w:val="26"/>
          <w:szCs w:val="26"/>
        </w:rPr>
        <w:t>Id</w:t>
      </w:r>
      <w:r w:rsidR="00DF2494">
        <w:rPr>
          <w:i/>
          <w:sz w:val="26"/>
          <w:szCs w:val="26"/>
        </w:rPr>
        <w:t>.,</w:t>
      </w:r>
      <w:r w:rsidR="0037360B">
        <w:rPr>
          <w:sz w:val="26"/>
          <w:szCs w:val="26"/>
        </w:rPr>
        <w:t xml:space="preserve"> </w:t>
      </w:r>
      <w:r w:rsidRPr="00853B77">
        <w:rPr>
          <w:sz w:val="26"/>
          <w:szCs w:val="26"/>
        </w:rPr>
        <w:t>Ordering Paragraph 1</w:t>
      </w:r>
      <w:r>
        <w:rPr>
          <w:sz w:val="26"/>
          <w:szCs w:val="26"/>
        </w:rPr>
        <w:t>8</w:t>
      </w:r>
      <w:r w:rsidRPr="00853B77">
        <w:rPr>
          <w:sz w:val="26"/>
          <w:szCs w:val="26"/>
        </w:rPr>
        <w:t>.</w:t>
      </w:r>
      <w:proofErr w:type="gramEnd"/>
      <w:r w:rsidRPr="00853B77">
        <w:rPr>
          <w:sz w:val="26"/>
          <w:szCs w:val="26"/>
        </w:rPr>
        <w:t xml:space="preserve">  </w:t>
      </w:r>
    </w:p>
    <w:p w14:paraId="4AB85B43" w14:textId="77777777" w:rsidR="00853B77" w:rsidRDefault="00853B77" w:rsidP="00803E76">
      <w:pPr>
        <w:rPr>
          <w:sz w:val="26"/>
          <w:szCs w:val="26"/>
        </w:rPr>
      </w:pPr>
    </w:p>
    <w:p w14:paraId="1D91E925" w14:textId="77777777" w:rsidR="00873EEF" w:rsidRDefault="00853B77" w:rsidP="00803E76">
      <w:pPr>
        <w:rPr>
          <w:sz w:val="26"/>
          <w:szCs w:val="26"/>
        </w:rPr>
      </w:pPr>
      <w:r>
        <w:rPr>
          <w:sz w:val="26"/>
          <w:szCs w:val="26"/>
        </w:rPr>
        <w:tab/>
      </w:r>
      <w:r w:rsidR="00503409">
        <w:rPr>
          <w:sz w:val="26"/>
          <w:szCs w:val="26"/>
        </w:rPr>
        <w:t xml:space="preserve">No Party sought </w:t>
      </w:r>
      <w:r w:rsidR="00B20F0E">
        <w:rPr>
          <w:sz w:val="26"/>
          <w:szCs w:val="26"/>
        </w:rPr>
        <w:t xml:space="preserve">clarification or </w:t>
      </w:r>
      <w:r w:rsidR="00503409">
        <w:rPr>
          <w:sz w:val="26"/>
          <w:szCs w:val="26"/>
        </w:rPr>
        <w:t xml:space="preserve">reconsideration of any aspect of the </w:t>
      </w:r>
      <w:r w:rsidR="007F606E">
        <w:rPr>
          <w:i/>
          <w:sz w:val="26"/>
          <w:szCs w:val="26"/>
        </w:rPr>
        <w:t xml:space="preserve">Reclassification </w:t>
      </w:r>
      <w:r w:rsidR="00503409" w:rsidRPr="00503409">
        <w:rPr>
          <w:i/>
          <w:sz w:val="26"/>
          <w:szCs w:val="26"/>
        </w:rPr>
        <w:t>Order</w:t>
      </w:r>
      <w:r w:rsidR="00503409">
        <w:rPr>
          <w:sz w:val="26"/>
          <w:szCs w:val="26"/>
        </w:rPr>
        <w:t xml:space="preserve"> and no Party appealed; the data collection and submission directives of the </w:t>
      </w:r>
      <w:r w:rsidR="007F606E">
        <w:rPr>
          <w:i/>
          <w:sz w:val="26"/>
          <w:szCs w:val="26"/>
        </w:rPr>
        <w:t xml:space="preserve">Reclassification </w:t>
      </w:r>
      <w:r w:rsidR="00503409" w:rsidRPr="00503409">
        <w:rPr>
          <w:i/>
          <w:sz w:val="26"/>
          <w:szCs w:val="26"/>
        </w:rPr>
        <w:t>Order</w:t>
      </w:r>
      <w:r w:rsidR="00503409">
        <w:rPr>
          <w:sz w:val="26"/>
          <w:szCs w:val="26"/>
        </w:rPr>
        <w:t xml:space="preserve"> are now final and binding. </w:t>
      </w:r>
      <w:r w:rsidR="00873EEF">
        <w:rPr>
          <w:sz w:val="26"/>
          <w:szCs w:val="26"/>
        </w:rPr>
        <w:t xml:space="preserve"> </w:t>
      </w:r>
    </w:p>
    <w:p w14:paraId="01A9E5B8" w14:textId="77777777" w:rsidR="00873EEF" w:rsidRDefault="00873EEF" w:rsidP="00803E76">
      <w:pPr>
        <w:rPr>
          <w:sz w:val="26"/>
          <w:szCs w:val="26"/>
        </w:rPr>
      </w:pPr>
    </w:p>
    <w:p w14:paraId="0B6BECC4" w14:textId="5D54B158" w:rsidR="00FB5900" w:rsidRDefault="00392538" w:rsidP="00FB5900">
      <w:pPr>
        <w:rPr>
          <w:sz w:val="26"/>
          <w:szCs w:val="26"/>
        </w:rPr>
      </w:pPr>
      <w:r>
        <w:rPr>
          <w:sz w:val="26"/>
          <w:szCs w:val="26"/>
        </w:rPr>
        <w:lastRenderedPageBreak/>
        <w:tab/>
      </w:r>
      <w:r w:rsidR="0037360B" w:rsidRPr="00523C67">
        <w:rPr>
          <w:sz w:val="26"/>
          <w:szCs w:val="26"/>
        </w:rPr>
        <w:t>In accord</w:t>
      </w:r>
      <w:r w:rsidR="002A4E0F">
        <w:rPr>
          <w:sz w:val="26"/>
          <w:szCs w:val="26"/>
        </w:rPr>
        <w:t>ance</w:t>
      </w:r>
      <w:r w:rsidR="0037360B" w:rsidRPr="00523C67">
        <w:rPr>
          <w:sz w:val="26"/>
          <w:szCs w:val="26"/>
        </w:rPr>
        <w:t xml:space="preserve"> with Ordering Paragraph</w:t>
      </w:r>
      <w:r w:rsidR="00FB5900" w:rsidRPr="00523C67">
        <w:rPr>
          <w:sz w:val="26"/>
          <w:szCs w:val="26"/>
        </w:rPr>
        <w:t>s 1</w:t>
      </w:r>
      <w:r w:rsidR="00A0038E" w:rsidRPr="00B20F0E">
        <w:rPr>
          <w:sz w:val="26"/>
          <w:szCs w:val="26"/>
        </w:rPr>
        <w:t>5</w:t>
      </w:r>
      <w:r w:rsidR="002B0C60">
        <w:rPr>
          <w:sz w:val="26"/>
          <w:szCs w:val="26"/>
        </w:rPr>
        <w:t xml:space="preserve"> </w:t>
      </w:r>
      <w:r w:rsidR="002A4E0F">
        <w:rPr>
          <w:sz w:val="26"/>
          <w:szCs w:val="26"/>
        </w:rPr>
        <w:t xml:space="preserve">and </w:t>
      </w:r>
      <w:r w:rsidR="0037360B" w:rsidRPr="00B20F0E">
        <w:rPr>
          <w:sz w:val="26"/>
          <w:szCs w:val="26"/>
        </w:rPr>
        <w:t>16</w:t>
      </w:r>
      <w:r w:rsidR="008249B0" w:rsidRPr="00B20F0E">
        <w:rPr>
          <w:sz w:val="26"/>
          <w:szCs w:val="26"/>
        </w:rPr>
        <w:t xml:space="preserve"> and the Commission’s</w:t>
      </w:r>
      <w:r w:rsidR="00FD1F4F">
        <w:rPr>
          <w:sz w:val="26"/>
          <w:szCs w:val="26"/>
        </w:rPr>
        <w:t xml:space="preserve"> </w:t>
      </w:r>
      <w:r w:rsidR="008E6FCA">
        <w:rPr>
          <w:sz w:val="26"/>
          <w:szCs w:val="26"/>
        </w:rPr>
        <w:t>Chapter 30 authority</w:t>
      </w:r>
      <w:r w:rsidR="0037360B" w:rsidRPr="00B20F0E">
        <w:rPr>
          <w:sz w:val="26"/>
          <w:szCs w:val="26"/>
        </w:rPr>
        <w:t>,</w:t>
      </w:r>
      <w:r w:rsidR="008249B0" w:rsidRPr="00523C67">
        <w:rPr>
          <w:sz w:val="26"/>
          <w:szCs w:val="26"/>
          <w:vertAlign w:val="superscript"/>
        </w:rPr>
        <w:footnoteReference w:id="2"/>
      </w:r>
      <w:r w:rsidR="0037360B" w:rsidRPr="00523C67">
        <w:rPr>
          <w:sz w:val="26"/>
          <w:szCs w:val="26"/>
        </w:rPr>
        <w:t xml:space="preserve"> </w:t>
      </w:r>
      <w:r w:rsidR="00DF6F4E">
        <w:rPr>
          <w:sz w:val="26"/>
          <w:szCs w:val="26"/>
        </w:rPr>
        <w:t xml:space="preserve">the Commission has compiled a detailed list of the data to be collected and submitted to </w:t>
      </w:r>
      <w:r w:rsidR="00FD0003">
        <w:rPr>
          <w:sz w:val="26"/>
          <w:szCs w:val="26"/>
        </w:rPr>
        <w:t>help assess</w:t>
      </w:r>
      <w:r w:rsidR="00FD0003" w:rsidRPr="00A0038E">
        <w:rPr>
          <w:sz w:val="26"/>
          <w:szCs w:val="26"/>
        </w:rPr>
        <w:t xml:space="preserve"> the market conditions</w:t>
      </w:r>
      <w:r w:rsidR="00FD0003">
        <w:rPr>
          <w:sz w:val="26"/>
          <w:szCs w:val="26"/>
        </w:rPr>
        <w:t xml:space="preserve"> in competitive wire centers</w:t>
      </w:r>
      <w:r w:rsidR="00DF6F4E">
        <w:rPr>
          <w:sz w:val="26"/>
          <w:szCs w:val="26"/>
        </w:rPr>
        <w:t xml:space="preserve">.  The data is to be submitted to the Commission in a Microsoft Excel workbook, </w:t>
      </w:r>
      <w:r w:rsidR="002B0C60">
        <w:rPr>
          <w:sz w:val="26"/>
          <w:szCs w:val="26"/>
        </w:rPr>
        <w:t>available in electronic format on the Commission’s Utility &amp; Industry page for Telecommunications.</w:t>
      </w:r>
      <w:r w:rsidR="00DF6F4E">
        <w:rPr>
          <w:sz w:val="26"/>
          <w:szCs w:val="26"/>
        </w:rPr>
        <w:t xml:space="preserve"> </w:t>
      </w:r>
    </w:p>
    <w:p w14:paraId="4666D7AC" w14:textId="77777777" w:rsidR="00792AE4" w:rsidRDefault="00792AE4" w:rsidP="00FB5900">
      <w:pPr>
        <w:rPr>
          <w:sz w:val="26"/>
          <w:szCs w:val="26"/>
        </w:rPr>
      </w:pPr>
    </w:p>
    <w:p w14:paraId="726CAB5C" w14:textId="77777777" w:rsidR="00792AE4" w:rsidRPr="00792AE4" w:rsidRDefault="00792AE4" w:rsidP="00792AE4">
      <w:pPr>
        <w:rPr>
          <w:sz w:val="26"/>
          <w:szCs w:val="26"/>
        </w:rPr>
      </w:pPr>
      <w:r>
        <w:rPr>
          <w:sz w:val="26"/>
          <w:szCs w:val="26"/>
        </w:rPr>
        <w:tab/>
      </w:r>
      <w:r w:rsidR="00DF6F4E">
        <w:rPr>
          <w:sz w:val="26"/>
          <w:szCs w:val="26"/>
        </w:rPr>
        <w:t xml:space="preserve">The </w:t>
      </w:r>
      <w:r w:rsidR="009615DA">
        <w:rPr>
          <w:sz w:val="26"/>
          <w:szCs w:val="26"/>
        </w:rPr>
        <w:t xml:space="preserve">Microsoft </w:t>
      </w:r>
      <w:r w:rsidR="00DF6F4E">
        <w:rPr>
          <w:sz w:val="26"/>
          <w:szCs w:val="26"/>
        </w:rPr>
        <w:t xml:space="preserve">Excel workbook data covering calendar year 2015 shall be due April 1, </w:t>
      </w:r>
      <w:proofErr w:type="gramStart"/>
      <w:r w:rsidR="00DF6F4E">
        <w:rPr>
          <w:sz w:val="26"/>
          <w:szCs w:val="26"/>
        </w:rPr>
        <w:t>2016,</w:t>
      </w:r>
      <w:proofErr w:type="gramEnd"/>
      <w:r w:rsidR="00DF6F4E">
        <w:rPr>
          <w:sz w:val="26"/>
          <w:szCs w:val="26"/>
        </w:rPr>
        <w:t xml:space="preserve"> and the data covering calendar year 2016 shall be due April 1, 2017.  In addition to </w:t>
      </w:r>
      <w:proofErr w:type="spellStart"/>
      <w:r w:rsidR="00DF6F4E">
        <w:rPr>
          <w:sz w:val="26"/>
          <w:szCs w:val="26"/>
        </w:rPr>
        <w:t>eFiling</w:t>
      </w:r>
      <w:proofErr w:type="spellEnd"/>
      <w:r w:rsidR="00DF6F4E">
        <w:rPr>
          <w:sz w:val="26"/>
          <w:szCs w:val="26"/>
        </w:rPr>
        <w:t xml:space="preserve"> or submitting hardcopies of the data at the above dockets, Verizon shall send electronic copies to </w:t>
      </w:r>
      <w:hyperlink r:id="rId13" w:history="1">
        <w:r w:rsidR="00DF6F4E">
          <w:rPr>
            <w:rStyle w:val="Hyperlink"/>
            <w:sz w:val="26"/>
            <w:szCs w:val="26"/>
          </w:rPr>
          <w:t>RA-PC-VzReclass@pa.gov</w:t>
        </w:r>
      </w:hyperlink>
      <w:r w:rsidR="00DF6F4E">
        <w:rPr>
          <w:sz w:val="26"/>
          <w:szCs w:val="26"/>
        </w:rPr>
        <w:t xml:space="preserve"> in Microsoft Excel format.  </w:t>
      </w:r>
      <w:r w:rsidRPr="00792AE4">
        <w:rPr>
          <w:sz w:val="26"/>
          <w:szCs w:val="26"/>
        </w:rPr>
        <w:t xml:space="preserve">  </w:t>
      </w:r>
    </w:p>
    <w:p w14:paraId="4DF6EC5F" w14:textId="77777777" w:rsidR="00792AE4" w:rsidRDefault="00792AE4" w:rsidP="00FB5900">
      <w:pPr>
        <w:rPr>
          <w:sz w:val="26"/>
          <w:szCs w:val="26"/>
        </w:rPr>
      </w:pPr>
    </w:p>
    <w:p w14:paraId="14D6CD69" w14:textId="537E77FC" w:rsidR="00873EEF" w:rsidRDefault="00FB5900" w:rsidP="00FB5900">
      <w:pPr>
        <w:rPr>
          <w:sz w:val="26"/>
          <w:szCs w:val="26"/>
        </w:rPr>
      </w:pPr>
      <w:r>
        <w:rPr>
          <w:sz w:val="26"/>
          <w:szCs w:val="26"/>
        </w:rPr>
        <w:tab/>
      </w:r>
      <w:r w:rsidR="00B414F2">
        <w:rPr>
          <w:sz w:val="26"/>
          <w:szCs w:val="26"/>
        </w:rPr>
        <w:t xml:space="preserve">Parties to the proceeding at the above dockets are invited to provide comments and reply comments on the specific data, form, and reporting schedules that we have compiled for inclusion in the Microsoft Excel workbook.  </w:t>
      </w:r>
      <w:r w:rsidR="00392538">
        <w:rPr>
          <w:sz w:val="26"/>
          <w:szCs w:val="26"/>
        </w:rPr>
        <w:t>Comments</w:t>
      </w:r>
      <w:r>
        <w:rPr>
          <w:sz w:val="26"/>
          <w:szCs w:val="26"/>
        </w:rPr>
        <w:t xml:space="preserve"> are due in-hand to the Secretary </w:t>
      </w:r>
      <w:r w:rsidR="00392538">
        <w:rPr>
          <w:sz w:val="26"/>
          <w:szCs w:val="26"/>
        </w:rPr>
        <w:t xml:space="preserve">within </w:t>
      </w:r>
      <w:r w:rsidR="00392538" w:rsidRPr="009A3E77">
        <w:rPr>
          <w:b/>
          <w:sz w:val="26"/>
          <w:szCs w:val="26"/>
        </w:rPr>
        <w:t xml:space="preserve">fifteen (15) </w:t>
      </w:r>
      <w:r w:rsidR="00E821ED">
        <w:rPr>
          <w:b/>
          <w:sz w:val="26"/>
          <w:szCs w:val="26"/>
        </w:rPr>
        <w:t xml:space="preserve">calendar </w:t>
      </w:r>
      <w:r w:rsidR="00392538" w:rsidRPr="009A3E77">
        <w:rPr>
          <w:b/>
          <w:sz w:val="26"/>
          <w:szCs w:val="26"/>
        </w:rPr>
        <w:t>days</w:t>
      </w:r>
      <w:r w:rsidR="00392538">
        <w:rPr>
          <w:sz w:val="26"/>
          <w:szCs w:val="26"/>
        </w:rPr>
        <w:t xml:space="preserve"> of this Letter, </w:t>
      </w:r>
      <w:r>
        <w:rPr>
          <w:sz w:val="26"/>
          <w:szCs w:val="26"/>
        </w:rPr>
        <w:t xml:space="preserve">with </w:t>
      </w:r>
      <w:r w:rsidR="00392538">
        <w:rPr>
          <w:sz w:val="26"/>
          <w:szCs w:val="26"/>
        </w:rPr>
        <w:t xml:space="preserve">reply comments </w:t>
      </w:r>
      <w:r>
        <w:rPr>
          <w:sz w:val="26"/>
          <w:szCs w:val="26"/>
        </w:rPr>
        <w:t xml:space="preserve">due in-hand </w:t>
      </w:r>
      <w:r w:rsidR="00392538" w:rsidRPr="009A3E77">
        <w:rPr>
          <w:b/>
          <w:sz w:val="26"/>
          <w:szCs w:val="26"/>
        </w:rPr>
        <w:t xml:space="preserve">ten (10) </w:t>
      </w:r>
      <w:r w:rsidR="00E821ED">
        <w:rPr>
          <w:b/>
          <w:sz w:val="26"/>
          <w:szCs w:val="26"/>
        </w:rPr>
        <w:t xml:space="preserve">calendar </w:t>
      </w:r>
      <w:r w:rsidR="00392538" w:rsidRPr="009A3E77">
        <w:rPr>
          <w:b/>
          <w:sz w:val="26"/>
          <w:szCs w:val="26"/>
        </w:rPr>
        <w:t>days</w:t>
      </w:r>
      <w:r w:rsidR="00392538">
        <w:rPr>
          <w:sz w:val="26"/>
          <w:szCs w:val="26"/>
        </w:rPr>
        <w:t xml:space="preserve"> thereafter.  </w:t>
      </w:r>
      <w:r w:rsidR="00E821ED">
        <w:rPr>
          <w:sz w:val="26"/>
          <w:szCs w:val="26"/>
        </w:rPr>
        <w:t xml:space="preserve">All comments and replies shall be filed at the </w:t>
      </w:r>
      <w:r w:rsidR="009615DA">
        <w:rPr>
          <w:sz w:val="26"/>
          <w:szCs w:val="26"/>
        </w:rPr>
        <w:t>above</w:t>
      </w:r>
      <w:r w:rsidR="00E821ED">
        <w:rPr>
          <w:sz w:val="26"/>
          <w:szCs w:val="26"/>
        </w:rPr>
        <w:t xml:space="preserve"> docket numbers.  </w:t>
      </w:r>
      <w:r w:rsidR="00392538">
        <w:rPr>
          <w:sz w:val="26"/>
          <w:szCs w:val="26"/>
        </w:rPr>
        <w:t xml:space="preserve">Parties </w:t>
      </w:r>
      <w:r>
        <w:rPr>
          <w:sz w:val="26"/>
          <w:szCs w:val="26"/>
        </w:rPr>
        <w:t>shall</w:t>
      </w:r>
      <w:r w:rsidR="00392538">
        <w:rPr>
          <w:sz w:val="26"/>
          <w:szCs w:val="26"/>
        </w:rPr>
        <w:t xml:space="preserve"> serve and accept comments and reply comments electronically</w:t>
      </w:r>
      <w:r w:rsidR="00DB4F98">
        <w:rPr>
          <w:sz w:val="26"/>
          <w:szCs w:val="26"/>
        </w:rPr>
        <w:t xml:space="preserve"> along with hard cop</w:t>
      </w:r>
      <w:r w:rsidR="009C3B80">
        <w:rPr>
          <w:sz w:val="26"/>
          <w:szCs w:val="26"/>
        </w:rPr>
        <w:t>ies</w:t>
      </w:r>
      <w:r>
        <w:rPr>
          <w:sz w:val="26"/>
          <w:szCs w:val="26"/>
        </w:rPr>
        <w:t>,</w:t>
      </w:r>
      <w:r w:rsidR="009C3B80">
        <w:rPr>
          <w:sz w:val="26"/>
          <w:szCs w:val="26"/>
        </w:rPr>
        <w:t xml:space="preserve"> </w:t>
      </w:r>
      <w:r w:rsidR="00DB4F98">
        <w:rPr>
          <w:sz w:val="26"/>
          <w:szCs w:val="26"/>
        </w:rPr>
        <w:t xml:space="preserve">in conformance with our regulations.  </w:t>
      </w:r>
      <w:r w:rsidR="009C3B80">
        <w:rPr>
          <w:sz w:val="26"/>
          <w:szCs w:val="26"/>
        </w:rPr>
        <w:t xml:space="preserve">An appropriate motion shall accompany </w:t>
      </w:r>
      <w:r>
        <w:rPr>
          <w:sz w:val="26"/>
          <w:szCs w:val="26"/>
        </w:rPr>
        <w:t xml:space="preserve">any </w:t>
      </w:r>
      <w:r w:rsidR="009C3B80">
        <w:rPr>
          <w:sz w:val="26"/>
          <w:szCs w:val="26"/>
        </w:rPr>
        <w:t>l</w:t>
      </w:r>
      <w:r w:rsidR="00DB4F98">
        <w:rPr>
          <w:sz w:val="26"/>
          <w:szCs w:val="26"/>
        </w:rPr>
        <w:t xml:space="preserve">ate filed comment or </w:t>
      </w:r>
      <w:r>
        <w:rPr>
          <w:sz w:val="26"/>
          <w:szCs w:val="26"/>
        </w:rPr>
        <w:t xml:space="preserve">reply, </w:t>
      </w:r>
      <w:r w:rsidR="00DB4F98">
        <w:rPr>
          <w:sz w:val="26"/>
          <w:szCs w:val="26"/>
        </w:rPr>
        <w:t>showing good cause for delay.</w:t>
      </w:r>
    </w:p>
    <w:p w14:paraId="0F92E0E8" w14:textId="77777777" w:rsidR="00873EEF" w:rsidRDefault="00873EEF" w:rsidP="00803E76">
      <w:pPr>
        <w:rPr>
          <w:sz w:val="26"/>
          <w:szCs w:val="26"/>
        </w:rPr>
      </w:pPr>
    </w:p>
    <w:p w14:paraId="10CADAC2" w14:textId="35CDEE1E" w:rsidR="00930003" w:rsidRPr="003C56E2" w:rsidRDefault="00873EEF" w:rsidP="000B53A1">
      <w:pPr>
        <w:rPr>
          <w:sz w:val="26"/>
          <w:szCs w:val="26"/>
        </w:rPr>
      </w:pPr>
      <w:r>
        <w:rPr>
          <w:sz w:val="26"/>
          <w:szCs w:val="26"/>
        </w:rPr>
        <w:t xml:space="preserve">  </w:t>
      </w:r>
      <w:r w:rsidR="006F3543">
        <w:rPr>
          <w:sz w:val="26"/>
          <w:szCs w:val="26"/>
        </w:rPr>
        <w:t xml:space="preserve"> </w:t>
      </w:r>
      <w:r>
        <w:rPr>
          <w:sz w:val="26"/>
          <w:szCs w:val="26"/>
        </w:rPr>
        <w:t xml:space="preserve"> </w:t>
      </w:r>
      <w:r w:rsidR="006F3543">
        <w:rPr>
          <w:sz w:val="26"/>
          <w:szCs w:val="26"/>
        </w:rPr>
        <w:t xml:space="preserve">  </w:t>
      </w:r>
      <w:r w:rsidR="00347A10">
        <w:rPr>
          <w:sz w:val="26"/>
          <w:szCs w:val="26"/>
        </w:rPr>
        <w:tab/>
      </w:r>
      <w:r w:rsidR="00930003" w:rsidRPr="003C56E2">
        <w:rPr>
          <w:sz w:val="26"/>
          <w:szCs w:val="26"/>
        </w:rPr>
        <w:t>Please direct any questions to</w:t>
      </w:r>
      <w:r w:rsidR="001B588A">
        <w:rPr>
          <w:sz w:val="26"/>
          <w:szCs w:val="26"/>
        </w:rPr>
        <w:t xml:space="preserve"> Derek Vogelsong, Bureau of Technical Utility Services, </w:t>
      </w:r>
      <w:r w:rsidR="00930003" w:rsidRPr="003C56E2">
        <w:rPr>
          <w:sz w:val="26"/>
          <w:szCs w:val="26"/>
        </w:rPr>
        <w:t>at (717)</w:t>
      </w:r>
      <w:r w:rsidR="001B588A">
        <w:rPr>
          <w:sz w:val="26"/>
          <w:szCs w:val="26"/>
        </w:rPr>
        <w:t xml:space="preserve"> 787</w:t>
      </w:r>
      <w:r w:rsidR="00DB7C6E">
        <w:rPr>
          <w:sz w:val="26"/>
          <w:szCs w:val="26"/>
        </w:rPr>
        <w:t>-</w:t>
      </w:r>
      <w:r w:rsidR="001B588A">
        <w:rPr>
          <w:sz w:val="26"/>
          <w:szCs w:val="26"/>
        </w:rPr>
        <w:t>3861</w:t>
      </w:r>
      <w:r w:rsidR="00E821ED">
        <w:rPr>
          <w:sz w:val="26"/>
          <w:szCs w:val="26"/>
        </w:rPr>
        <w:t xml:space="preserve"> or </w:t>
      </w:r>
      <w:r w:rsidR="001B588A">
        <w:rPr>
          <w:sz w:val="26"/>
          <w:szCs w:val="26"/>
        </w:rPr>
        <w:t>devogelson@pa.gov</w:t>
      </w:r>
      <w:r w:rsidR="00DB7C6E">
        <w:rPr>
          <w:sz w:val="26"/>
          <w:szCs w:val="26"/>
        </w:rPr>
        <w:t xml:space="preserve">; </w:t>
      </w:r>
      <w:r w:rsidR="00392538">
        <w:rPr>
          <w:sz w:val="26"/>
          <w:szCs w:val="26"/>
        </w:rPr>
        <w:t>or</w:t>
      </w:r>
      <w:r w:rsidR="001B588A">
        <w:rPr>
          <w:sz w:val="26"/>
          <w:szCs w:val="26"/>
        </w:rPr>
        <w:t xml:space="preserve"> Lenora Best, Bureau of Consumer Services</w:t>
      </w:r>
      <w:r w:rsidR="000E4C77" w:rsidRPr="003C56E2">
        <w:rPr>
          <w:sz w:val="26"/>
          <w:szCs w:val="26"/>
        </w:rPr>
        <w:t>, at (717)</w:t>
      </w:r>
      <w:r w:rsidR="001B588A">
        <w:rPr>
          <w:sz w:val="26"/>
          <w:szCs w:val="26"/>
        </w:rPr>
        <w:t xml:space="preserve"> 783</w:t>
      </w:r>
      <w:r w:rsidR="000E4C77" w:rsidRPr="003C56E2">
        <w:rPr>
          <w:sz w:val="26"/>
          <w:szCs w:val="26"/>
        </w:rPr>
        <w:noBreakHyphen/>
      </w:r>
      <w:r w:rsidR="001B588A">
        <w:rPr>
          <w:sz w:val="26"/>
          <w:szCs w:val="26"/>
        </w:rPr>
        <w:t>9090 or lebest@pa.gov</w:t>
      </w:r>
      <w:r w:rsidR="00930003" w:rsidRPr="003C56E2">
        <w:rPr>
          <w:sz w:val="26"/>
          <w:szCs w:val="26"/>
        </w:rPr>
        <w:t>.</w:t>
      </w:r>
    </w:p>
    <w:p w14:paraId="5136F9FA" w14:textId="77777777" w:rsidR="00930003" w:rsidRDefault="00930003" w:rsidP="00B414F2">
      <w:pPr>
        <w:tabs>
          <w:tab w:val="left" w:pos="720"/>
          <w:tab w:val="left" w:pos="5040"/>
        </w:tabs>
        <w:rPr>
          <w:sz w:val="26"/>
          <w:szCs w:val="26"/>
        </w:rPr>
      </w:pPr>
    </w:p>
    <w:p w14:paraId="4520B9D2" w14:textId="77777777" w:rsidR="00573262" w:rsidRPr="003C56E2" w:rsidRDefault="00573262" w:rsidP="00B414F2">
      <w:pPr>
        <w:tabs>
          <w:tab w:val="left" w:pos="720"/>
          <w:tab w:val="left" w:pos="5040"/>
        </w:tabs>
        <w:rPr>
          <w:sz w:val="26"/>
          <w:szCs w:val="26"/>
        </w:rPr>
      </w:pPr>
    </w:p>
    <w:p w14:paraId="13858A81" w14:textId="048DD3FD" w:rsidR="00930003" w:rsidRPr="003C56E2" w:rsidRDefault="00665587" w:rsidP="00B414F2">
      <w:pPr>
        <w:tabs>
          <w:tab w:val="left" w:pos="720"/>
          <w:tab w:val="left" w:pos="5040"/>
        </w:tabs>
        <w:rPr>
          <w:sz w:val="26"/>
          <w:szCs w:val="26"/>
        </w:rPr>
      </w:pPr>
      <w:bookmarkStart w:id="0" w:name="_GoBack"/>
      <w:r>
        <w:rPr>
          <w:noProof/>
        </w:rPr>
        <w:drawing>
          <wp:anchor distT="0" distB="0" distL="114300" distR="114300" simplePos="0" relativeHeight="251659264" behindDoc="1" locked="0" layoutInCell="1" allowOverlap="1" wp14:anchorId="29BDFD90" wp14:editId="500A4B21">
            <wp:simplePos x="0" y="0"/>
            <wp:positionH relativeFrom="column">
              <wp:posOffset>2519045</wp:posOffset>
            </wp:positionH>
            <wp:positionV relativeFrom="paragraph">
              <wp:posOffset>12700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30003" w:rsidRPr="003C56E2">
        <w:rPr>
          <w:sz w:val="26"/>
          <w:szCs w:val="26"/>
        </w:rPr>
        <w:tab/>
      </w:r>
      <w:r w:rsidR="00930003" w:rsidRPr="003C56E2">
        <w:rPr>
          <w:sz w:val="26"/>
          <w:szCs w:val="26"/>
        </w:rPr>
        <w:tab/>
        <w:t>Sincerely,</w:t>
      </w:r>
    </w:p>
    <w:p w14:paraId="051F28D8" w14:textId="77777777" w:rsidR="00930003" w:rsidRDefault="00930003" w:rsidP="00B414F2">
      <w:pPr>
        <w:tabs>
          <w:tab w:val="left" w:pos="720"/>
          <w:tab w:val="left" w:pos="5040"/>
        </w:tabs>
        <w:rPr>
          <w:sz w:val="26"/>
          <w:szCs w:val="26"/>
        </w:rPr>
      </w:pPr>
    </w:p>
    <w:p w14:paraId="176E9FDE" w14:textId="7F80A02D" w:rsidR="00573262" w:rsidRDefault="00573262" w:rsidP="00B414F2">
      <w:pPr>
        <w:tabs>
          <w:tab w:val="left" w:pos="720"/>
          <w:tab w:val="left" w:pos="5040"/>
        </w:tabs>
        <w:rPr>
          <w:sz w:val="26"/>
          <w:szCs w:val="26"/>
        </w:rPr>
      </w:pPr>
    </w:p>
    <w:p w14:paraId="09F7C05F" w14:textId="77777777" w:rsidR="00573262" w:rsidRPr="003C56E2" w:rsidRDefault="00573262" w:rsidP="00B414F2">
      <w:pPr>
        <w:tabs>
          <w:tab w:val="left" w:pos="720"/>
          <w:tab w:val="left" w:pos="5040"/>
        </w:tabs>
        <w:rPr>
          <w:sz w:val="26"/>
          <w:szCs w:val="26"/>
        </w:rPr>
      </w:pPr>
    </w:p>
    <w:p w14:paraId="009BC340" w14:textId="77777777"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335A29">
        <w:rPr>
          <w:sz w:val="26"/>
          <w:szCs w:val="26"/>
        </w:rPr>
        <w:t>Rosemary Chiavetta</w:t>
      </w:r>
    </w:p>
    <w:p w14:paraId="729E0D58" w14:textId="77777777" w:rsidR="00C77F29" w:rsidRDefault="003F07C8" w:rsidP="00B414F2">
      <w:pPr>
        <w:tabs>
          <w:tab w:val="left" w:pos="720"/>
          <w:tab w:val="left" w:pos="5040"/>
        </w:tabs>
        <w:rPr>
          <w:sz w:val="26"/>
          <w:szCs w:val="26"/>
        </w:rPr>
      </w:pPr>
      <w:r>
        <w:rPr>
          <w:sz w:val="26"/>
          <w:szCs w:val="26"/>
        </w:rPr>
        <w:tab/>
      </w:r>
      <w:r>
        <w:rPr>
          <w:sz w:val="26"/>
          <w:szCs w:val="26"/>
        </w:rPr>
        <w:tab/>
        <w:t>Secretary</w:t>
      </w:r>
    </w:p>
    <w:p w14:paraId="3472D16C" w14:textId="77777777" w:rsidR="00573262" w:rsidRDefault="00573262" w:rsidP="00B414F2">
      <w:pPr>
        <w:tabs>
          <w:tab w:val="left" w:pos="720"/>
          <w:tab w:val="left" w:pos="5040"/>
        </w:tabs>
        <w:rPr>
          <w:sz w:val="26"/>
          <w:szCs w:val="26"/>
        </w:rPr>
      </w:pPr>
    </w:p>
    <w:p w14:paraId="33D8E331" w14:textId="77777777" w:rsidR="00573262" w:rsidRDefault="00573262" w:rsidP="00B414F2">
      <w:pPr>
        <w:tabs>
          <w:tab w:val="left" w:pos="720"/>
          <w:tab w:val="left" w:pos="5040"/>
        </w:tabs>
        <w:rPr>
          <w:sz w:val="26"/>
          <w:szCs w:val="26"/>
        </w:rPr>
      </w:pPr>
    </w:p>
    <w:p w14:paraId="2290A92B" w14:textId="77777777" w:rsidR="00573262" w:rsidRPr="003C56E2" w:rsidRDefault="00573262" w:rsidP="00B414F2">
      <w:pPr>
        <w:tabs>
          <w:tab w:val="left" w:pos="720"/>
          <w:tab w:val="left" w:pos="5040"/>
        </w:tabs>
        <w:rPr>
          <w:sz w:val="26"/>
          <w:szCs w:val="26"/>
        </w:rPr>
      </w:pPr>
    </w:p>
    <w:sectPr w:rsidR="00573262" w:rsidRPr="003C56E2" w:rsidSect="0084218B">
      <w:footerReference w:type="even"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D7561" w14:textId="77777777" w:rsidR="00463C82" w:rsidRDefault="00463C82">
      <w:r>
        <w:separator/>
      </w:r>
    </w:p>
  </w:endnote>
  <w:endnote w:type="continuationSeparator" w:id="0">
    <w:p w14:paraId="5E94C84D" w14:textId="77777777" w:rsidR="00463C82" w:rsidRDefault="00463C82">
      <w:r>
        <w:continuationSeparator/>
      </w:r>
    </w:p>
  </w:endnote>
  <w:endnote w:type="continuationNotice" w:id="1">
    <w:p w14:paraId="661026C4" w14:textId="77777777" w:rsidR="00463C82" w:rsidRDefault="00463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EEE0"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D839" w14:textId="77777777" w:rsidR="0027054C" w:rsidRDefault="00270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4592D" w14:textId="7C70363A"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3FBE0158" w14:textId="77777777" w:rsidR="0027054C" w:rsidRDefault="00270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5485C"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05ED6E" w14:textId="77777777" w:rsidR="0027054C" w:rsidRDefault="00270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B399F" w14:textId="77777777" w:rsidR="0027054C" w:rsidRDefault="0027054C">
    <w:pPr>
      <w:pStyle w:val="Footer"/>
      <w:jc w:val="center"/>
    </w:pPr>
    <w:r>
      <w:fldChar w:fldCharType="begin"/>
    </w:r>
    <w:r>
      <w:instrText xml:space="preserve"> PAGE   \* MERGEFORMAT </w:instrText>
    </w:r>
    <w:r>
      <w:fldChar w:fldCharType="separate"/>
    </w:r>
    <w:r w:rsidR="00665587">
      <w:rPr>
        <w:noProof/>
      </w:rPr>
      <w:t>3</w:t>
    </w:r>
    <w:r>
      <w:rPr>
        <w:noProof/>
      </w:rPr>
      <w:fldChar w:fldCharType="end"/>
    </w:r>
  </w:p>
  <w:p w14:paraId="4D3E685F" w14:textId="77777777" w:rsidR="0027054C" w:rsidRDefault="00270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89AFF" w14:textId="77777777" w:rsidR="00463C82" w:rsidRDefault="00463C82">
      <w:r>
        <w:separator/>
      </w:r>
    </w:p>
  </w:footnote>
  <w:footnote w:type="continuationSeparator" w:id="0">
    <w:p w14:paraId="25920AE3" w14:textId="77777777" w:rsidR="00463C82" w:rsidRDefault="00463C82">
      <w:r>
        <w:continuationSeparator/>
      </w:r>
    </w:p>
  </w:footnote>
  <w:footnote w:type="continuationNotice" w:id="1">
    <w:p w14:paraId="31622418" w14:textId="77777777" w:rsidR="00463C82" w:rsidRDefault="00463C82"/>
  </w:footnote>
  <w:footnote w:id="2">
    <w:p w14:paraId="3908BBD1" w14:textId="77777777" w:rsidR="008249B0" w:rsidRPr="00387DA0" w:rsidRDefault="008249B0" w:rsidP="008249B0">
      <w:pPr>
        <w:pStyle w:val="FootnoteText"/>
        <w:keepNext/>
        <w:keepLines/>
        <w:spacing w:line="240" w:lineRule="auto"/>
        <w:ind w:firstLine="0"/>
      </w:pPr>
      <w:r w:rsidRPr="00387DA0">
        <w:rPr>
          <w:rStyle w:val="FootnoteReference"/>
          <w:szCs w:val="26"/>
        </w:rPr>
        <w:footnoteRef/>
      </w:r>
      <w:r w:rsidRPr="00387DA0">
        <w:t xml:space="preserve"> </w:t>
      </w:r>
      <w:r w:rsidRPr="00387DA0">
        <w:tab/>
      </w:r>
      <w:r w:rsidRPr="00387DA0">
        <w:rPr>
          <w:i/>
        </w:rPr>
        <w:t xml:space="preserve">See, </w:t>
      </w:r>
      <w:r w:rsidRPr="00387DA0">
        <w:t xml:space="preserve">66 Pa. C.S. </w:t>
      </w:r>
      <w:r w:rsidR="00FD1F4F" w:rsidRPr="00387DA0">
        <w:t>§</w:t>
      </w:r>
      <w:r w:rsidRPr="00387DA0">
        <w:t>§ 3019(b</w:t>
      </w:r>
      <w:proofErr w:type="gramStart"/>
      <w:r w:rsidRPr="00387DA0">
        <w:t>)(</w:t>
      </w:r>
      <w:proofErr w:type="gramEnd"/>
      <w:r w:rsidRPr="00387DA0">
        <w:t>2)</w:t>
      </w:r>
      <w:r w:rsidR="008E6FCA">
        <w:t xml:space="preserve"> and (3)</w:t>
      </w:r>
      <w:r w:rsidRPr="00387DA0">
        <w:t xml:space="preserve">; </w:t>
      </w:r>
      <w:r w:rsidRPr="00387DA0">
        <w:rPr>
          <w:i/>
        </w:rPr>
        <w:t>see also</w:t>
      </w:r>
      <w:r w:rsidRPr="00387DA0">
        <w:t xml:space="preserve">, 66 Pa. C.S. </w:t>
      </w:r>
      <w:r w:rsidRPr="00387DA0">
        <w:rPr>
          <w:rFonts w:cs="Times New Roman"/>
        </w:rPr>
        <w:t>§</w:t>
      </w:r>
      <w:r w:rsidRPr="00387DA0">
        <w:t xml:space="preserve"> 1501.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5C309" w14:textId="77777777" w:rsidR="00B414F2" w:rsidRDefault="00B41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A51"/>
    <w:rsid w:val="0002499A"/>
    <w:rsid w:val="0002763A"/>
    <w:rsid w:val="00034796"/>
    <w:rsid w:val="0004604B"/>
    <w:rsid w:val="0005730C"/>
    <w:rsid w:val="0006085A"/>
    <w:rsid w:val="00067B3B"/>
    <w:rsid w:val="00067F2B"/>
    <w:rsid w:val="00075539"/>
    <w:rsid w:val="00076B03"/>
    <w:rsid w:val="00076F23"/>
    <w:rsid w:val="00091504"/>
    <w:rsid w:val="00094150"/>
    <w:rsid w:val="000B53A1"/>
    <w:rsid w:val="000D48C3"/>
    <w:rsid w:val="000E4C77"/>
    <w:rsid w:val="000E5648"/>
    <w:rsid w:val="000F711A"/>
    <w:rsid w:val="001209F1"/>
    <w:rsid w:val="0012404A"/>
    <w:rsid w:val="00124DD5"/>
    <w:rsid w:val="00152F72"/>
    <w:rsid w:val="001547A1"/>
    <w:rsid w:val="00170283"/>
    <w:rsid w:val="001743D0"/>
    <w:rsid w:val="001B588A"/>
    <w:rsid w:val="001B6399"/>
    <w:rsid w:val="001D5DBB"/>
    <w:rsid w:val="001E1BF3"/>
    <w:rsid w:val="001E48B2"/>
    <w:rsid w:val="001F2EDC"/>
    <w:rsid w:val="00202276"/>
    <w:rsid w:val="00203780"/>
    <w:rsid w:val="00206F2B"/>
    <w:rsid w:val="002229C3"/>
    <w:rsid w:val="0025446A"/>
    <w:rsid w:val="00261A11"/>
    <w:rsid w:val="00261BBB"/>
    <w:rsid w:val="0027054C"/>
    <w:rsid w:val="00280E91"/>
    <w:rsid w:val="00284E35"/>
    <w:rsid w:val="00285461"/>
    <w:rsid w:val="00292374"/>
    <w:rsid w:val="0029471C"/>
    <w:rsid w:val="002A464E"/>
    <w:rsid w:val="002A4E0F"/>
    <w:rsid w:val="002A52A0"/>
    <w:rsid w:val="002B0C60"/>
    <w:rsid w:val="002C08FE"/>
    <w:rsid w:val="002D7E06"/>
    <w:rsid w:val="002F0138"/>
    <w:rsid w:val="00301A20"/>
    <w:rsid w:val="00303D80"/>
    <w:rsid w:val="00307FF2"/>
    <w:rsid w:val="00313F77"/>
    <w:rsid w:val="0031429F"/>
    <w:rsid w:val="00323A6F"/>
    <w:rsid w:val="0032677D"/>
    <w:rsid w:val="00335A29"/>
    <w:rsid w:val="00341AC9"/>
    <w:rsid w:val="00341B56"/>
    <w:rsid w:val="00345522"/>
    <w:rsid w:val="00347A10"/>
    <w:rsid w:val="003516A6"/>
    <w:rsid w:val="00353111"/>
    <w:rsid w:val="003569E8"/>
    <w:rsid w:val="00366A65"/>
    <w:rsid w:val="00370A14"/>
    <w:rsid w:val="0037360B"/>
    <w:rsid w:val="00382785"/>
    <w:rsid w:val="00386D99"/>
    <w:rsid w:val="00392538"/>
    <w:rsid w:val="003B26C3"/>
    <w:rsid w:val="003B552B"/>
    <w:rsid w:val="003C102A"/>
    <w:rsid w:val="003C56E2"/>
    <w:rsid w:val="003C5769"/>
    <w:rsid w:val="003E04B4"/>
    <w:rsid w:val="003E4B39"/>
    <w:rsid w:val="003F07C8"/>
    <w:rsid w:val="00401E1A"/>
    <w:rsid w:val="004047EC"/>
    <w:rsid w:val="0042140E"/>
    <w:rsid w:val="004246D9"/>
    <w:rsid w:val="00455F78"/>
    <w:rsid w:val="00463C82"/>
    <w:rsid w:val="004A1767"/>
    <w:rsid w:val="004C1524"/>
    <w:rsid w:val="004D10D0"/>
    <w:rsid w:val="004D2698"/>
    <w:rsid w:val="004F32B3"/>
    <w:rsid w:val="004F5AAA"/>
    <w:rsid w:val="00503409"/>
    <w:rsid w:val="005102F7"/>
    <w:rsid w:val="00513DCA"/>
    <w:rsid w:val="00514EA3"/>
    <w:rsid w:val="0051639C"/>
    <w:rsid w:val="00523C67"/>
    <w:rsid w:val="00526ADA"/>
    <w:rsid w:val="00526F31"/>
    <w:rsid w:val="00530F15"/>
    <w:rsid w:val="00554F51"/>
    <w:rsid w:val="00563F20"/>
    <w:rsid w:val="00573262"/>
    <w:rsid w:val="00581352"/>
    <w:rsid w:val="00584C01"/>
    <w:rsid w:val="005A0955"/>
    <w:rsid w:val="005B3262"/>
    <w:rsid w:val="005B58B7"/>
    <w:rsid w:val="005C03C4"/>
    <w:rsid w:val="005C5A49"/>
    <w:rsid w:val="005E25C5"/>
    <w:rsid w:val="005E3690"/>
    <w:rsid w:val="005F3D24"/>
    <w:rsid w:val="006375A3"/>
    <w:rsid w:val="006375FE"/>
    <w:rsid w:val="006432D9"/>
    <w:rsid w:val="00662427"/>
    <w:rsid w:val="00665587"/>
    <w:rsid w:val="00672262"/>
    <w:rsid w:val="00672F33"/>
    <w:rsid w:val="006755C0"/>
    <w:rsid w:val="0067617E"/>
    <w:rsid w:val="006A1D3F"/>
    <w:rsid w:val="006C2028"/>
    <w:rsid w:val="006C5C47"/>
    <w:rsid w:val="006C64F8"/>
    <w:rsid w:val="006D6779"/>
    <w:rsid w:val="006E1A84"/>
    <w:rsid w:val="006F3543"/>
    <w:rsid w:val="00700501"/>
    <w:rsid w:val="00701D53"/>
    <w:rsid w:val="00701ED5"/>
    <w:rsid w:val="00721FA8"/>
    <w:rsid w:val="007232D8"/>
    <w:rsid w:val="0075019A"/>
    <w:rsid w:val="007617B1"/>
    <w:rsid w:val="0077210F"/>
    <w:rsid w:val="00772716"/>
    <w:rsid w:val="00773F47"/>
    <w:rsid w:val="00774744"/>
    <w:rsid w:val="00775C4D"/>
    <w:rsid w:val="00792AE4"/>
    <w:rsid w:val="00794208"/>
    <w:rsid w:val="00794E58"/>
    <w:rsid w:val="007A16AE"/>
    <w:rsid w:val="007A21EA"/>
    <w:rsid w:val="007E64B5"/>
    <w:rsid w:val="007F0775"/>
    <w:rsid w:val="007F2DD0"/>
    <w:rsid w:val="007F55F1"/>
    <w:rsid w:val="007F606E"/>
    <w:rsid w:val="008018EB"/>
    <w:rsid w:val="00803E76"/>
    <w:rsid w:val="0080792C"/>
    <w:rsid w:val="00807CAF"/>
    <w:rsid w:val="008249B0"/>
    <w:rsid w:val="0084218B"/>
    <w:rsid w:val="008476A6"/>
    <w:rsid w:val="00853B77"/>
    <w:rsid w:val="00861BBC"/>
    <w:rsid w:val="00870078"/>
    <w:rsid w:val="00873EEF"/>
    <w:rsid w:val="00882E5E"/>
    <w:rsid w:val="0089421A"/>
    <w:rsid w:val="008A2241"/>
    <w:rsid w:val="008B04D0"/>
    <w:rsid w:val="008C5743"/>
    <w:rsid w:val="008E5EA0"/>
    <w:rsid w:val="008E6FCA"/>
    <w:rsid w:val="008F4334"/>
    <w:rsid w:val="008F78AA"/>
    <w:rsid w:val="00927022"/>
    <w:rsid w:val="00930003"/>
    <w:rsid w:val="00930308"/>
    <w:rsid w:val="0093258F"/>
    <w:rsid w:val="009615DA"/>
    <w:rsid w:val="00970A95"/>
    <w:rsid w:val="00976F5C"/>
    <w:rsid w:val="00984274"/>
    <w:rsid w:val="0099767B"/>
    <w:rsid w:val="009A1144"/>
    <w:rsid w:val="009A3E77"/>
    <w:rsid w:val="009A5A76"/>
    <w:rsid w:val="009B1956"/>
    <w:rsid w:val="009B23D8"/>
    <w:rsid w:val="009B2E39"/>
    <w:rsid w:val="009B36CB"/>
    <w:rsid w:val="009C3B4F"/>
    <w:rsid w:val="009C3B80"/>
    <w:rsid w:val="009D74E1"/>
    <w:rsid w:val="009E40EC"/>
    <w:rsid w:val="009E65F6"/>
    <w:rsid w:val="009E7E5D"/>
    <w:rsid w:val="009F5F66"/>
    <w:rsid w:val="00A0038E"/>
    <w:rsid w:val="00A050A8"/>
    <w:rsid w:val="00A05BAF"/>
    <w:rsid w:val="00A0792A"/>
    <w:rsid w:val="00A10D04"/>
    <w:rsid w:val="00A55C11"/>
    <w:rsid w:val="00A573D8"/>
    <w:rsid w:val="00A66D1F"/>
    <w:rsid w:val="00A82C28"/>
    <w:rsid w:val="00A84699"/>
    <w:rsid w:val="00A955FA"/>
    <w:rsid w:val="00AA0347"/>
    <w:rsid w:val="00AA6F16"/>
    <w:rsid w:val="00AB36A9"/>
    <w:rsid w:val="00AC311D"/>
    <w:rsid w:val="00AD6503"/>
    <w:rsid w:val="00AD77EE"/>
    <w:rsid w:val="00AE6FA9"/>
    <w:rsid w:val="00AE792C"/>
    <w:rsid w:val="00AF16AC"/>
    <w:rsid w:val="00AF62A4"/>
    <w:rsid w:val="00B00393"/>
    <w:rsid w:val="00B12277"/>
    <w:rsid w:val="00B20F0E"/>
    <w:rsid w:val="00B30A72"/>
    <w:rsid w:val="00B31B02"/>
    <w:rsid w:val="00B3551A"/>
    <w:rsid w:val="00B414F2"/>
    <w:rsid w:val="00B44A1E"/>
    <w:rsid w:val="00B4565E"/>
    <w:rsid w:val="00B61D52"/>
    <w:rsid w:val="00B62D45"/>
    <w:rsid w:val="00B719AA"/>
    <w:rsid w:val="00B758CC"/>
    <w:rsid w:val="00B90D9B"/>
    <w:rsid w:val="00B97014"/>
    <w:rsid w:val="00BA2A05"/>
    <w:rsid w:val="00BC3A3C"/>
    <w:rsid w:val="00BC6A54"/>
    <w:rsid w:val="00BC7ABE"/>
    <w:rsid w:val="00BD3A5C"/>
    <w:rsid w:val="00BD752E"/>
    <w:rsid w:val="00BE4A72"/>
    <w:rsid w:val="00BE5119"/>
    <w:rsid w:val="00BF66A8"/>
    <w:rsid w:val="00BF6D7C"/>
    <w:rsid w:val="00BF6F03"/>
    <w:rsid w:val="00C140D5"/>
    <w:rsid w:val="00C17CD5"/>
    <w:rsid w:val="00C35E20"/>
    <w:rsid w:val="00C46A62"/>
    <w:rsid w:val="00C6395B"/>
    <w:rsid w:val="00C74A51"/>
    <w:rsid w:val="00C77C13"/>
    <w:rsid w:val="00C77F29"/>
    <w:rsid w:val="00C90506"/>
    <w:rsid w:val="00C95F36"/>
    <w:rsid w:val="00C96CF9"/>
    <w:rsid w:val="00CA44B2"/>
    <w:rsid w:val="00CB5080"/>
    <w:rsid w:val="00CB5738"/>
    <w:rsid w:val="00CC0A93"/>
    <w:rsid w:val="00CC402C"/>
    <w:rsid w:val="00CD4FFE"/>
    <w:rsid w:val="00CE2A65"/>
    <w:rsid w:val="00CE66C0"/>
    <w:rsid w:val="00CF047C"/>
    <w:rsid w:val="00CF1A22"/>
    <w:rsid w:val="00D066C7"/>
    <w:rsid w:val="00D14110"/>
    <w:rsid w:val="00D155FB"/>
    <w:rsid w:val="00D355DB"/>
    <w:rsid w:val="00D55E96"/>
    <w:rsid w:val="00D64F9B"/>
    <w:rsid w:val="00DA4D87"/>
    <w:rsid w:val="00DB4F98"/>
    <w:rsid w:val="00DB7C6E"/>
    <w:rsid w:val="00DC0966"/>
    <w:rsid w:val="00DC1875"/>
    <w:rsid w:val="00DC35C5"/>
    <w:rsid w:val="00DD04E9"/>
    <w:rsid w:val="00DD1A19"/>
    <w:rsid w:val="00DD771F"/>
    <w:rsid w:val="00DD7880"/>
    <w:rsid w:val="00DE3C6A"/>
    <w:rsid w:val="00DE4076"/>
    <w:rsid w:val="00DF0874"/>
    <w:rsid w:val="00DF2494"/>
    <w:rsid w:val="00DF6F4E"/>
    <w:rsid w:val="00E100FF"/>
    <w:rsid w:val="00E236E3"/>
    <w:rsid w:val="00E33051"/>
    <w:rsid w:val="00E349DA"/>
    <w:rsid w:val="00E5656F"/>
    <w:rsid w:val="00E821ED"/>
    <w:rsid w:val="00E93258"/>
    <w:rsid w:val="00EC0F0A"/>
    <w:rsid w:val="00EC6401"/>
    <w:rsid w:val="00EC71DD"/>
    <w:rsid w:val="00EC7A49"/>
    <w:rsid w:val="00EC7ADB"/>
    <w:rsid w:val="00ED57C8"/>
    <w:rsid w:val="00F11A81"/>
    <w:rsid w:val="00F25403"/>
    <w:rsid w:val="00F50C1C"/>
    <w:rsid w:val="00F7094C"/>
    <w:rsid w:val="00F76BF1"/>
    <w:rsid w:val="00F90527"/>
    <w:rsid w:val="00FA0E37"/>
    <w:rsid w:val="00FA244D"/>
    <w:rsid w:val="00FA2FCC"/>
    <w:rsid w:val="00FB3D01"/>
    <w:rsid w:val="00FB415E"/>
    <w:rsid w:val="00FB51AE"/>
    <w:rsid w:val="00FB5900"/>
    <w:rsid w:val="00FC1D6A"/>
    <w:rsid w:val="00FD0003"/>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PC-VzReclass@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26CD-85BE-4B31-BDCB-71995BD3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6573</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3</cp:revision>
  <cp:lastPrinted>2015-05-20T15:44:00Z</cp:lastPrinted>
  <dcterms:created xsi:type="dcterms:W3CDTF">2015-05-20T14:31:00Z</dcterms:created>
  <dcterms:modified xsi:type="dcterms:W3CDTF">2015-05-20T15:44:00Z</dcterms:modified>
</cp:coreProperties>
</file>