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B40AC7" w:rsidRPr="002F58F8" w:rsidTr="001B5F01">
        <w:tc>
          <w:tcPr>
            <w:tcW w:w="2448" w:type="dxa"/>
          </w:tcPr>
          <w:p w:rsidR="00B40AC7" w:rsidRPr="002F58F8" w:rsidRDefault="00B40AC7" w:rsidP="001B5F01">
            <w:pPr>
              <w:pStyle w:val="Heading3"/>
              <w:rPr>
                <w:rFonts w:ascii="Times New Roman" w:hAnsi="Times New Roman" w:cs="Times New Roman"/>
              </w:rPr>
            </w:pPr>
          </w:p>
        </w:tc>
        <w:tc>
          <w:tcPr>
            <w:tcW w:w="5130" w:type="dxa"/>
          </w:tcPr>
          <w:p w:rsidR="00B40AC7" w:rsidRPr="002F58F8" w:rsidRDefault="00B40AC7" w:rsidP="001B5F01">
            <w:pPr>
              <w:spacing w:line="240" w:lineRule="auto"/>
              <w:jc w:val="center"/>
              <w:rPr>
                <w:b/>
              </w:rPr>
            </w:pPr>
            <w:r w:rsidRPr="002F58F8">
              <w:rPr>
                <w:b/>
              </w:rPr>
              <w:t>PENNSYLVANIA</w:t>
            </w:r>
          </w:p>
          <w:p w:rsidR="00B40AC7" w:rsidRPr="002F58F8" w:rsidRDefault="00B40AC7" w:rsidP="001B5F01">
            <w:pPr>
              <w:spacing w:line="240" w:lineRule="auto"/>
              <w:jc w:val="center"/>
              <w:rPr>
                <w:b/>
              </w:rPr>
            </w:pPr>
            <w:r w:rsidRPr="002F58F8">
              <w:rPr>
                <w:b/>
              </w:rPr>
              <w:t>PUBLIC UTILITY COMMISSION</w:t>
            </w:r>
          </w:p>
          <w:p w:rsidR="00B40AC7" w:rsidRDefault="00B40AC7" w:rsidP="001B5F01">
            <w:pPr>
              <w:pStyle w:val="StyleCentered"/>
              <w:spacing w:line="240" w:lineRule="auto"/>
              <w:rPr>
                <w:b/>
              </w:rPr>
            </w:pPr>
            <w:r w:rsidRPr="002F58F8">
              <w:rPr>
                <w:b/>
              </w:rPr>
              <w:t>Harrisburg, PA  17105-3265</w:t>
            </w:r>
          </w:p>
          <w:p w:rsidR="00860079" w:rsidRDefault="00860079" w:rsidP="001B5F01">
            <w:pPr>
              <w:pStyle w:val="StyleCentered"/>
              <w:spacing w:line="240" w:lineRule="auto"/>
              <w:rPr>
                <w:b/>
              </w:rPr>
            </w:pPr>
          </w:p>
          <w:p w:rsidR="00860079" w:rsidRDefault="00860079" w:rsidP="001B5F01">
            <w:pPr>
              <w:pStyle w:val="StyleCentered"/>
              <w:spacing w:line="240" w:lineRule="auto"/>
              <w:rPr>
                <w:b/>
              </w:rPr>
            </w:pPr>
          </w:p>
          <w:p w:rsidR="00860079" w:rsidRPr="002F58F8" w:rsidRDefault="00860079" w:rsidP="001B5F01">
            <w:pPr>
              <w:pStyle w:val="StyleCentered"/>
              <w:spacing w:line="240" w:lineRule="auto"/>
              <w:rPr>
                <w:b/>
              </w:rPr>
            </w:pPr>
          </w:p>
        </w:tc>
        <w:tc>
          <w:tcPr>
            <w:tcW w:w="2700" w:type="dxa"/>
          </w:tcPr>
          <w:p w:rsidR="00B40AC7" w:rsidRPr="002F58F8" w:rsidRDefault="00B40AC7" w:rsidP="001B5F01"/>
        </w:tc>
      </w:tr>
    </w:tbl>
    <w:p w:rsidR="00860079" w:rsidRPr="00860079" w:rsidRDefault="00860079" w:rsidP="00860079">
      <w:pPr>
        <w:spacing w:line="240" w:lineRule="auto"/>
        <w:jc w:val="right"/>
        <w:rPr>
          <w:rFonts w:cs="Times New (W1)"/>
        </w:rPr>
      </w:pPr>
      <w:r w:rsidRPr="00860079">
        <w:rPr>
          <w:rFonts w:cs="Times New (W1)"/>
        </w:rPr>
        <w:t xml:space="preserve">Public Meeting held </w:t>
      </w:r>
      <w:r w:rsidR="009272D6">
        <w:rPr>
          <w:rFonts w:cs="Times New (W1)"/>
        </w:rPr>
        <w:t>April 23</w:t>
      </w:r>
      <w:r w:rsidR="001A01E6">
        <w:rPr>
          <w:rFonts w:cs="Times New (W1)"/>
        </w:rPr>
        <w:t>, 2015</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r w:rsidRPr="00860079">
        <w:rPr>
          <w:rFonts w:cs="Times New (W1)"/>
        </w:rPr>
        <w:t>Commissioners Present:</w:t>
      </w:r>
    </w:p>
    <w:p w:rsidR="00860079" w:rsidRPr="00860079" w:rsidRDefault="00860079" w:rsidP="00860079">
      <w:pPr>
        <w:spacing w:line="240" w:lineRule="auto"/>
        <w:rPr>
          <w:rFonts w:cs="Times New (W1)"/>
        </w:rPr>
      </w:pPr>
    </w:p>
    <w:p w:rsidR="00860079" w:rsidRPr="00860079" w:rsidRDefault="00860079" w:rsidP="00860079">
      <w:pPr>
        <w:spacing w:line="240" w:lineRule="auto"/>
        <w:ind w:firstLine="720"/>
        <w:rPr>
          <w:rFonts w:cs="Times New (W1)"/>
        </w:rPr>
      </w:pPr>
      <w:r w:rsidRPr="00860079">
        <w:rPr>
          <w:rFonts w:cs="Times New (W1)"/>
        </w:rPr>
        <w:t xml:space="preserve">Robert F. </w:t>
      </w:r>
      <w:proofErr w:type="spellStart"/>
      <w:r w:rsidRPr="00860079">
        <w:rPr>
          <w:rFonts w:cs="Times New (W1)"/>
        </w:rPr>
        <w:t>Powelson</w:t>
      </w:r>
      <w:proofErr w:type="spellEnd"/>
      <w:r w:rsidRPr="00860079">
        <w:rPr>
          <w:rFonts w:cs="Times New (W1)"/>
        </w:rPr>
        <w:t>, Chairman</w:t>
      </w:r>
    </w:p>
    <w:p w:rsidR="00860079" w:rsidRPr="00860079" w:rsidRDefault="00860079" w:rsidP="00860079">
      <w:pPr>
        <w:spacing w:line="240" w:lineRule="auto"/>
        <w:ind w:firstLine="720"/>
        <w:rPr>
          <w:rFonts w:cs="Times New (W1)"/>
        </w:rPr>
      </w:pPr>
      <w:r w:rsidRPr="00860079">
        <w:rPr>
          <w:rFonts w:cs="Times New (W1)"/>
        </w:rPr>
        <w:t>John F. Coleman, Jr., Vice Chairman</w:t>
      </w:r>
    </w:p>
    <w:p w:rsidR="00860079" w:rsidRPr="00860079" w:rsidRDefault="00597217" w:rsidP="00860079">
      <w:pPr>
        <w:spacing w:line="240" w:lineRule="auto"/>
        <w:ind w:firstLine="720"/>
        <w:rPr>
          <w:rFonts w:cs="Times New (W1)"/>
        </w:rPr>
      </w:pPr>
      <w:r>
        <w:rPr>
          <w:rFonts w:cs="Times New (W1)"/>
        </w:rPr>
        <w:t xml:space="preserve">James H. </w:t>
      </w:r>
      <w:proofErr w:type="spellStart"/>
      <w:r>
        <w:rPr>
          <w:rFonts w:cs="Times New (W1)"/>
        </w:rPr>
        <w:t>Cawley</w:t>
      </w:r>
      <w:proofErr w:type="spellEnd"/>
    </w:p>
    <w:p w:rsidR="00860079" w:rsidRPr="00860079" w:rsidRDefault="00597217" w:rsidP="00860079">
      <w:pPr>
        <w:spacing w:line="240" w:lineRule="auto"/>
        <w:ind w:firstLine="720"/>
        <w:rPr>
          <w:rFonts w:cs="Times New (W1)"/>
        </w:rPr>
      </w:pPr>
      <w:r>
        <w:rPr>
          <w:rFonts w:cs="Times New (W1)"/>
        </w:rPr>
        <w:t xml:space="preserve">Pamela A. </w:t>
      </w:r>
      <w:proofErr w:type="spellStart"/>
      <w:r>
        <w:rPr>
          <w:rFonts w:cs="Times New (W1)"/>
        </w:rPr>
        <w:t>Witmer</w:t>
      </w:r>
      <w:proofErr w:type="spellEnd"/>
    </w:p>
    <w:p w:rsidR="00860079" w:rsidRPr="00860079" w:rsidRDefault="00597217" w:rsidP="00860079">
      <w:pPr>
        <w:spacing w:line="240" w:lineRule="auto"/>
        <w:ind w:firstLine="720"/>
        <w:rPr>
          <w:rFonts w:cs="Times New (W1)"/>
        </w:rPr>
      </w:pPr>
      <w:r>
        <w:rPr>
          <w:rFonts w:cs="Times New (W1)"/>
        </w:rPr>
        <w:t>Gladys M. Brown</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tbl>
      <w:tblPr>
        <w:tblW w:w="9360" w:type="dxa"/>
        <w:jc w:val="center"/>
        <w:tblLayout w:type="fixed"/>
        <w:tblCellMar>
          <w:left w:w="0" w:type="dxa"/>
          <w:right w:w="0" w:type="dxa"/>
        </w:tblCellMar>
        <w:tblLook w:val="0000" w:firstRow="0" w:lastRow="0" w:firstColumn="0" w:lastColumn="0" w:noHBand="0" w:noVBand="0"/>
      </w:tblPr>
      <w:tblGrid>
        <w:gridCol w:w="5328"/>
        <w:gridCol w:w="4032"/>
      </w:tblGrid>
      <w:tr w:rsidR="00B40AC7" w:rsidRPr="002F58F8" w:rsidTr="00860079">
        <w:trPr>
          <w:jc w:val="center"/>
        </w:trPr>
        <w:tc>
          <w:tcPr>
            <w:tcW w:w="5328" w:type="dxa"/>
          </w:tcPr>
          <w:p w:rsidR="00B40AC7" w:rsidRPr="00860079" w:rsidRDefault="00823EAD" w:rsidP="00860079">
            <w:pPr>
              <w:spacing w:line="240" w:lineRule="auto"/>
              <w:rPr>
                <w:rFonts w:cs="Times New (W1)"/>
              </w:rPr>
            </w:pPr>
            <w:r>
              <w:rPr>
                <w:rFonts w:cs="Times New (W1)"/>
              </w:rPr>
              <w:t>Implementation of the Federal Co</w:t>
            </w:r>
            <w:r w:rsidR="00860079">
              <w:rPr>
                <w:rFonts w:cs="Times New (W1)"/>
              </w:rPr>
              <w:t xml:space="preserve">mmunications </w:t>
            </w:r>
            <w:r>
              <w:rPr>
                <w:rFonts w:cs="Times New (W1)"/>
              </w:rPr>
              <w:t>Commission’s Order of November 18, 2011 as Amended or Revised and Coordination with Certain Intrastate Matters</w:t>
            </w:r>
          </w:p>
        </w:tc>
        <w:tc>
          <w:tcPr>
            <w:tcW w:w="4032" w:type="dxa"/>
          </w:tcPr>
          <w:p w:rsidR="00B40AC7" w:rsidRPr="00E73E94" w:rsidRDefault="00823EAD" w:rsidP="00860079">
            <w:pPr>
              <w:jc w:val="right"/>
            </w:pPr>
            <w:r>
              <w:rPr>
                <w:rFonts w:cs="Times New (W1)"/>
              </w:rPr>
              <w:t>M-2012-2291824</w:t>
            </w:r>
          </w:p>
        </w:tc>
      </w:tr>
    </w:tbl>
    <w:p w:rsidR="00B40AC7" w:rsidRPr="00BC266A" w:rsidRDefault="00B40AC7" w:rsidP="00684A03">
      <w:pPr>
        <w:spacing w:before="120"/>
        <w:contextualSpacing/>
        <w:jc w:val="center"/>
        <w:rPr>
          <w:rFonts w:cs="Times New (W1)"/>
          <w:b/>
        </w:rPr>
      </w:pPr>
      <w:r w:rsidRPr="00BC266A">
        <w:rPr>
          <w:rFonts w:cs="Times New (W1)"/>
          <w:b/>
        </w:rPr>
        <w:t>ORDER</w:t>
      </w:r>
    </w:p>
    <w:p w:rsidR="00B40AC7" w:rsidRPr="00CB242B" w:rsidRDefault="00B40AC7" w:rsidP="00A34ED1">
      <w:pPr>
        <w:contextualSpacing/>
        <w:rPr>
          <w:rFonts w:cs="Times New (W1)"/>
          <w:b/>
        </w:rPr>
      </w:pPr>
      <w:r w:rsidRPr="00BC266A">
        <w:rPr>
          <w:rFonts w:cs="Times New (W1)"/>
          <w:b/>
        </w:rPr>
        <w:t>BY THE COMMISSION:</w:t>
      </w:r>
    </w:p>
    <w:p w:rsidR="00236F30" w:rsidRDefault="00E62B07" w:rsidP="007C4CD9">
      <w:pPr>
        <w:pStyle w:val="p3"/>
        <w:tabs>
          <w:tab w:val="clear" w:pos="204"/>
          <w:tab w:val="left" w:pos="720"/>
        </w:tabs>
        <w:spacing w:before="120"/>
        <w:ind w:firstLine="1440"/>
        <w:rPr>
          <w:szCs w:val="26"/>
        </w:rPr>
      </w:pPr>
      <w:r>
        <w:rPr>
          <w:szCs w:val="26"/>
        </w:rPr>
        <w:t>In accordance with our previous Orders entered on March 22, 2012</w:t>
      </w:r>
      <w:r w:rsidR="00597217">
        <w:rPr>
          <w:szCs w:val="26"/>
        </w:rPr>
        <w:t>,</w:t>
      </w:r>
      <w:r>
        <w:rPr>
          <w:rStyle w:val="FootnoteReference"/>
          <w:szCs w:val="26"/>
        </w:rPr>
        <w:footnoteReference w:id="1"/>
      </w:r>
      <w:r>
        <w:rPr>
          <w:szCs w:val="26"/>
        </w:rPr>
        <w:t xml:space="preserve"> May</w:t>
      </w:r>
      <w:r w:rsidR="007C4CD9">
        <w:rPr>
          <w:szCs w:val="26"/>
        </w:rPr>
        <w:t> </w:t>
      </w:r>
      <w:r>
        <w:rPr>
          <w:szCs w:val="26"/>
        </w:rPr>
        <w:t>10, 2012</w:t>
      </w:r>
      <w:r w:rsidR="00684A03">
        <w:rPr>
          <w:szCs w:val="26"/>
        </w:rPr>
        <w:t>,</w:t>
      </w:r>
      <w:r>
        <w:rPr>
          <w:rStyle w:val="FootnoteReference"/>
          <w:szCs w:val="26"/>
        </w:rPr>
        <w:footnoteReference w:id="2"/>
      </w:r>
      <w:r w:rsidR="00597217">
        <w:rPr>
          <w:szCs w:val="26"/>
        </w:rPr>
        <w:t xml:space="preserve"> April 18, 2013</w:t>
      </w:r>
      <w:r w:rsidR="00597217">
        <w:rPr>
          <w:rStyle w:val="FootnoteReference"/>
          <w:szCs w:val="26"/>
        </w:rPr>
        <w:footnoteReference w:id="3"/>
      </w:r>
      <w:r w:rsidR="00684A03">
        <w:rPr>
          <w:szCs w:val="26"/>
        </w:rPr>
        <w:t xml:space="preserve"> and April 23, 2014</w:t>
      </w:r>
      <w:r w:rsidR="00684A03">
        <w:rPr>
          <w:rStyle w:val="FootnoteReference"/>
          <w:szCs w:val="26"/>
        </w:rPr>
        <w:footnoteReference w:id="4"/>
      </w:r>
      <w:r>
        <w:rPr>
          <w:szCs w:val="26"/>
        </w:rPr>
        <w:t xml:space="preserve"> in this proceeding, t</w:t>
      </w:r>
      <w:r w:rsidRPr="00205B68">
        <w:rPr>
          <w:szCs w:val="26"/>
        </w:rPr>
        <w:t xml:space="preserve">his Commission </w:t>
      </w:r>
      <w:r w:rsidR="00FF09B9">
        <w:rPr>
          <w:szCs w:val="26"/>
        </w:rPr>
        <w:t xml:space="preserve">is continuing </w:t>
      </w:r>
      <w:r w:rsidRPr="00205B68">
        <w:rPr>
          <w:szCs w:val="26"/>
        </w:rPr>
        <w:t>with the implement</w:t>
      </w:r>
      <w:r>
        <w:rPr>
          <w:szCs w:val="26"/>
        </w:rPr>
        <w:t>ation of</w:t>
      </w:r>
      <w:r w:rsidRPr="00205B68">
        <w:rPr>
          <w:szCs w:val="26"/>
        </w:rPr>
        <w:t xml:space="preserve"> the substantial changes to </w:t>
      </w:r>
      <w:r>
        <w:rPr>
          <w:szCs w:val="26"/>
        </w:rPr>
        <w:t xml:space="preserve">the </w:t>
      </w:r>
      <w:proofErr w:type="spellStart"/>
      <w:r w:rsidRPr="00205B68">
        <w:rPr>
          <w:szCs w:val="26"/>
        </w:rPr>
        <w:t>intercarrier</w:t>
      </w:r>
      <w:proofErr w:type="spellEnd"/>
      <w:r w:rsidRPr="00205B68">
        <w:rPr>
          <w:szCs w:val="26"/>
        </w:rPr>
        <w:t xml:space="preserve"> </w:t>
      </w:r>
      <w:r w:rsidRPr="00205B68">
        <w:rPr>
          <w:szCs w:val="26"/>
        </w:rPr>
        <w:lastRenderedPageBreak/>
        <w:t xml:space="preserve">compensation </w:t>
      </w:r>
      <w:r>
        <w:rPr>
          <w:szCs w:val="26"/>
        </w:rPr>
        <w:t xml:space="preserve">regime </w:t>
      </w:r>
      <w:r w:rsidRPr="00205B68">
        <w:rPr>
          <w:szCs w:val="26"/>
        </w:rPr>
        <w:t xml:space="preserve">ordered by the Federal Communications Commission </w:t>
      </w:r>
      <w:r w:rsidRPr="00A34ED1">
        <w:rPr>
          <w:szCs w:val="26"/>
        </w:rPr>
        <w:t>(</w:t>
      </w:r>
      <w:r w:rsidRPr="0099749A">
        <w:rPr>
          <w:szCs w:val="26"/>
        </w:rPr>
        <w:t>FCC</w:t>
      </w:r>
      <w:r w:rsidRPr="00B7532F">
        <w:rPr>
          <w:szCs w:val="26"/>
        </w:rPr>
        <w:t>)</w:t>
      </w:r>
      <w:r w:rsidRPr="00205B68">
        <w:rPr>
          <w:szCs w:val="26"/>
        </w:rPr>
        <w:t xml:space="preserve"> in its decision, </w:t>
      </w:r>
      <w:r w:rsidRPr="00205B68">
        <w:rPr>
          <w:i/>
          <w:szCs w:val="26"/>
        </w:rPr>
        <w:t>In re: Connect America Fund,</w:t>
      </w:r>
      <w:r w:rsidRPr="00205B68">
        <w:rPr>
          <w:szCs w:val="26"/>
        </w:rPr>
        <w:t xml:space="preserve"> Docket No. 10-90, et.al</w:t>
      </w:r>
      <w:r>
        <w:rPr>
          <w:szCs w:val="26"/>
        </w:rPr>
        <w:t>.</w:t>
      </w:r>
      <w:r w:rsidRPr="003921DD">
        <w:rPr>
          <w:rStyle w:val="FootnoteReference"/>
          <w:szCs w:val="26"/>
        </w:rPr>
        <w:footnoteReference w:id="5"/>
      </w:r>
      <w:r>
        <w:rPr>
          <w:szCs w:val="26"/>
        </w:rPr>
        <w:t xml:space="preserve"> </w:t>
      </w:r>
      <w:r w:rsidRPr="00205B68">
        <w:rPr>
          <w:szCs w:val="26"/>
        </w:rPr>
        <w:t xml:space="preserve"> </w:t>
      </w:r>
      <w:r>
        <w:rPr>
          <w:szCs w:val="26"/>
        </w:rPr>
        <w:t xml:space="preserve">We again note that although the </w:t>
      </w:r>
      <w:r>
        <w:rPr>
          <w:i/>
          <w:szCs w:val="26"/>
        </w:rPr>
        <w:t xml:space="preserve">FCC </w:t>
      </w:r>
      <w:r w:rsidRPr="00734DA7">
        <w:rPr>
          <w:i/>
          <w:szCs w:val="26"/>
        </w:rPr>
        <w:t>Order</w:t>
      </w:r>
      <w:r>
        <w:rPr>
          <w:szCs w:val="26"/>
        </w:rPr>
        <w:t xml:space="preserve"> has been appealed, it has not been stayed and it triggers a series of compliance obligations and associated deadlines that involve both regulated t</w:t>
      </w:r>
      <w:r w:rsidR="00072859">
        <w:rPr>
          <w:szCs w:val="26"/>
        </w:rPr>
        <w:t>elecommunications carriers and s</w:t>
      </w:r>
      <w:r>
        <w:rPr>
          <w:szCs w:val="26"/>
        </w:rPr>
        <w:t>tate utility commissions.</w:t>
      </w:r>
      <w:r>
        <w:rPr>
          <w:rStyle w:val="FootnoteReference"/>
          <w:szCs w:val="26"/>
        </w:rPr>
        <w:footnoteReference w:id="6"/>
      </w:r>
      <w:r w:rsidR="00740E75">
        <w:rPr>
          <w:szCs w:val="26"/>
        </w:rPr>
        <w:t xml:space="preserve">  The </w:t>
      </w:r>
      <w:r w:rsidR="00740E75" w:rsidRPr="00203986">
        <w:rPr>
          <w:szCs w:val="26"/>
        </w:rPr>
        <w:t>Commission</w:t>
      </w:r>
      <w:r w:rsidR="00740E75">
        <w:rPr>
          <w:szCs w:val="26"/>
        </w:rPr>
        <w:t xml:space="preserve">’s </w:t>
      </w:r>
      <w:r w:rsidR="001A0E8C">
        <w:rPr>
          <w:szCs w:val="26"/>
        </w:rPr>
        <w:t xml:space="preserve">decisions made in the implementation of the </w:t>
      </w:r>
      <w:r w:rsidR="001A0E8C">
        <w:rPr>
          <w:i/>
          <w:szCs w:val="26"/>
        </w:rPr>
        <w:t>FCC Order</w:t>
      </w:r>
      <w:r w:rsidR="001A0E8C">
        <w:rPr>
          <w:szCs w:val="26"/>
        </w:rPr>
        <w:t xml:space="preserve"> are</w:t>
      </w:r>
      <w:r w:rsidR="00066732">
        <w:rPr>
          <w:szCs w:val="26"/>
        </w:rPr>
        <w:t xml:space="preserve"> without prejudice to any subsequent litigation involving the </w:t>
      </w:r>
      <w:r w:rsidR="00066732" w:rsidRPr="00066732">
        <w:rPr>
          <w:i/>
          <w:szCs w:val="26"/>
        </w:rPr>
        <w:t>FCC Order</w:t>
      </w:r>
      <w:r w:rsidR="00066732">
        <w:rPr>
          <w:szCs w:val="26"/>
        </w:rPr>
        <w:t>.</w:t>
      </w:r>
      <w:r w:rsidR="00740E75">
        <w:rPr>
          <w:rStyle w:val="FootnoteReference"/>
          <w:szCs w:val="26"/>
        </w:rPr>
        <w:footnoteReference w:id="7"/>
      </w:r>
      <w:r w:rsidR="00740E75">
        <w:rPr>
          <w:szCs w:val="26"/>
        </w:rPr>
        <w:t xml:space="preserve"> </w:t>
      </w:r>
      <w:r>
        <w:rPr>
          <w:szCs w:val="26"/>
        </w:rPr>
        <w:t xml:space="preserve">  </w:t>
      </w:r>
      <w:r w:rsidR="00AD1CC6">
        <w:rPr>
          <w:szCs w:val="26"/>
        </w:rPr>
        <w:tab/>
      </w:r>
    </w:p>
    <w:p w:rsidR="00740E75" w:rsidRDefault="00740E75" w:rsidP="00B778B0">
      <w:pPr>
        <w:pStyle w:val="p3"/>
        <w:tabs>
          <w:tab w:val="clear" w:pos="204"/>
          <w:tab w:val="left" w:pos="720"/>
        </w:tabs>
        <w:spacing w:line="240" w:lineRule="auto"/>
        <w:rPr>
          <w:szCs w:val="26"/>
        </w:rPr>
      </w:pPr>
    </w:p>
    <w:p w:rsidR="00B91805" w:rsidRDefault="00B91805" w:rsidP="00740E75">
      <w:pPr>
        <w:jc w:val="center"/>
        <w:rPr>
          <w:b/>
        </w:rPr>
      </w:pPr>
      <w:r>
        <w:rPr>
          <w:b/>
        </w:rPr>
        <w:t>BACKGROUND</w:t>
      </w:r>
    </w:p>
    <w:p w:rsidR="00740E75" w:rsidRDefault="00740E75" w:rsidP="00B778B0">
      <w:pPr>
        <w:spacing w:line="240" w:lineRule="auto"/>
        <w:jc w:val="center"/>
        <w:rPr>
          <w:b/>
        </w:rPr>
      </w:pPr>
    </w:p>
    <w:p w:rsidR="00EE32A7" w:rsidRDefault="009279B5" w:rsidP="007C4CD9">
      <w:pPr>
        <w:pStyle w:val="p3"/>
        <w:tabs>
          <w:tab w:val="clear" w:pos="204"/>
          <w:tab w:val="left" w:pos="720"/>
        </w:tabs>
        <w:ind w:firstLine="1440"/>
        <w:rPr>
          <w:szCs w:val="26"/>
        </w:rPr>
      </w:pPr>
      <w:r>
        <w:rPr>
          <w:szCs w:val="26"/>
        </w:rPr>
        <w:t xml:space="preserve">The </w:t>
      </w:r>
      <w:r>
        <w:rPr>
          <w:i/>
          <w:szCs w:val="26"/>
        </w:rPr>
        <w:t>FCC Order, inter alia,</w:t>
      </w:r>
      <w:r>
        <w:rPr>
          <w:szCs w:val="26"/>
        </w:rPr>
        <w:t xml:space="preserve"> directs a multiyear transition from current intrastate switched</w:t>
      </w:r>
      <w:r w:rsidR="0072320B">
        <w:rPr>
          <w:szCs w:val="26"/>
        </w:rPr>
        <w:t xml:space="preserve"> </w:t>
      </w:r>
      <w:r>
        <w:rPr>
          <w:szCs w:val="26"/>
        </w:rPr>
        <w:t xml:space="preserve">access rates to initial parity with federal interstate switched access rates, and a </w:t>
      </w:r>
      <w:r w:rsidR="00E947FF">
        <w:rPr>
          <w:szCs w:val="26"/>
        </w:rPr>
        <w:t>subsequent movement to</w:t>
      </w:r>
      <w:r>
        <w:rPr>
          <w:szCs w:val="26"/>
        </w:rPr>
        <w:t xml:space="preserve"> </w:t>
      </w:r>
      <w:r w:rsidR="00E947FF">
        <w:rPr>
          <w:szCs w:val="26"/>
        </w:rPr>
        <w:t>bill-and-keep</w:t>
      </w:r>
      <w:r w:rsidRPr="00205B68">
        <w:rPr>
          <w:szCs w:val="26"/>
        </w:rPr>
        <w:t>.</w:t>
      </w:r>
      <w:r w:rsidR="00E947FF">
        <w:rPr>
          <w:szCs w:val="26"/>
        </w:rPr>
        <w:t xml:space="preserve">  </w:t>
      </w:r>
      <w:r w:rsidRPr="003921DD">
        <w:rPr>
          <w:szCs w:val="26"/>
        </w:rPr>
        <w:t xml:space="preserve">At the outset of this transition, </w:t>
      </w:r>
      <w:r w:rsidR="00EE32A7">
        <w:rPr>
          <w:szCs w:val="26"/>
        </w:rPr>
        <w:t>the FCC required</w:t>
      </w:r>
      <w:r w:rsidRPr="003921DD">
        <w:rPr>
          <w:szCs w:val="26"/>
        </w:rPr>
        <w:t xml:space="preserve"> incumbent local exchange carriers (ILECs) classified as price cap carriers at the federal level</w:t>
      </w:r>
      <w:r w:rsidR="00EE32A7">
        <w:rPr>
          <w:szCs w:val="26"/>
        </w:rPr>
        <w:t xml:space="preserve"> to cap the intrastate access rate elements referenced in 47</w:t>
      </w:r>
      <w:r w:rsidR="00442425">
        <w:rPr>
          <w:szCs w:val="26"/>
        </w:rPr>
        <w:t xml:space="preserve"> C.F.R § </w:t>
      </w:r>
      <w:r w:rsidR="00EE32A7">
        <w:rPr>
          <w:szCs w:val="26"/>
        </w:rPr>
        <w:t>51.907 at their levels in effect December 29, 2011.  Similarly, ILECs classified as rate-of-return (ROR) carriers at the federal level were required to cap, at the levels in effect December 29, 2011, the intrastate access rate elements referenced in 47 C.F.R § 51.909.</w:t>
      </w:r>
      <w:r>
        <w:rPr>
          <w:rStyle w:val="FootnoteReference"/>
          <w:szCs w:val="26"/>
        </w:rPr>
        <w:footnoteReference w:id="8"/>
      </w:r>
      <w:r w:rsidRPr="003921DD">
        <w:rPr>
          <w:szCs w:val="26"/>
        </w:rPr>
        <w:t xml:space="preserve">  </w:t>
      </w:r>
    </w:p>
    <w:p w:rsidR="00B778B0" w:rsidRDefault="00B778B0" w:rsidP="00B778B0">
      <w:pPr>
        <w:pStyle w:val="p3"/>
        <w:tabs>
          <w:tab w:val="clear" w:pos="204"/>
          <w:tab w:val="left" w:pos="720"/>
        </w:tabs>
        <w:spacing w:line="240" w:lineRule="auto"/>
        <w:rPr>
          <w:szCs w:val="26"/>
        </w:rPr>
      </w:pPr>
    </w:p>
    <w:p w:rsidR="00E26B61" w:rsidRDefault="00E26B61" w:rsidP="007C4CD9">
      <w:pPr>
        <w:pStyle w:val="p3"/>
        <w:tabs>
          <w:tab w:val="clear" w:pos="204"/>
          <w:tab w:val="left" w:pos="720"/>
        </w:tabs>
        <w:ind w:firstLine="1440"/>
        <w:rPr>
          <w:szCs w:val="26"/>
        </w:rPr>
      </w:pPr>
    </w:p>
    <w:p w:rsidR="009279B5" w:rsidRDefault="009279B5" w:rsidP="007C4CD9">
      <w:pPr>
        <w:pStyle w:val="p3"/>
        <w:tabs>
          <w:tab w:val="clear" w:pos="204"/>
          <w:tab w:val="left" w:pos="720"/>
        </w:tabs>
        <w:ind w:firstLine="1440"/>
        <w:rPr>
          <w:szCs w:val="26"/>
        </w:rPr>
      </w:pPr>
      <w:r w:rsidRPr="003921DD">
        <w:rPr>
          <w:szCs w:val="26"/>
        </w:rPr>
        <w:t>Subsequen</w:t>
      </w:r>
      <w:r w:rsidR="00072859">
        <w:rPr>
          <w:szCs w:val="26"/>
        </w:rPr>
        <w:t>tly</w:t>
      </w:r>
      <w:r w:rsidRPr="003921DD">
        <w:rPr>
          <w:szCs w:val="26"/>
        </w:rPr>
        <w:t xml:space="preserve">, the </w:t>
      </w:r>
      <w:r w:rsidRPr="00B67B59">
        <w:rPr>
          <w:i/>
          <w:szCs w:val="26"/>
        </w:rPr>
        <w:t>FCC Order</w:t>
      </w:r>
      <w:r w:rsidRPr="003921DD">
        <w:rPr>
          <w:szCs w:val="26"/>
        </w:rPr>
        <w:t xml:space="preserve"> directs a multiyear process under which </w:t>
      </w:r>
      <w:r w:rsidRPr="003921DD">
        <w:rPr>
          <w:szCs w:val="26"/>
        </w:rPr>
        <w:lastRenderedPageBreak/>
        <w:t>ILECs are to make filings effective July 1 of each year to</w:t>
      </w:r>
      <w:r w:rsidR="005335B8">
        <w:rPr>
          <w:szCs w:val="26"/>
        </w:rPr>
        <w:t xml:space="preserve"> </w:t>
      </w:r>
      <w:r w:rsidR="005335B8" w:rsidRPr="003921DD">
        <w:rPr>
          <w:szCs w:val="26"/>
        </w:rPr>
        <w:t xml:space="preserve">transition </w:t>
      </w:r>
      <w:r w:rsidRPr="003921DD">
        <w:rPr>
          <w:szCs w:val="26"/>
        </w:rPr>
        <w:t>gradually certain interstate and intrastate access ra</w:t>
      </w:r>
      <w:r w:rsidR="00E947FF">
        <w:rPr>
          <w:szCs w:val="26"/>
        </w:rPr>
        <w:t>tes to bill-and-keep</w:t>
      </w:r>
      <w:r w:rsidRPr="003921DD">
        <w:rPr>
          <w:szCs w:val="26"/>
        </w:rPr>
        <w:t>.</w:t>
      </w:r>
      <w:r w:rsidR="0072320B">
        <w:rPr>
          <w:szCs w:val="26"/>
        </w:rPr>
        <w:t xml:space="preserve">  The intrastate access rate reductions apply to Transitional Intrastate Access S</w:t>
      </w:r>
      <w:r w:rsidR="00442425">
        <w:rPr>
          <w:szCs w:val="26"/>
        </w:rPr>
        <w:t>ervices (TIAS) as defined in 47 </w:t>
      </w:r>
      <w:r w:rsidR="0072320B">
        <w:rPr>
          <w:szCs w:val="26"/>
        </w:rPr>
        <w:t>C.F.R. § 51.903(j).</w:t>
      </w:r>
      <w:r w:rsidRPr="003921DD">
        <w:rPr>
          <w:szCs w:val="26"/>
        </w:rPr>
        <w:t xml:space="preserve">  </w:t>
      </w:r>
      <w:r>
        <w:rPr>
          <w:szCs w:val="26"/>
        </w:rPr>
        <w:t>A generally corresponding transition is also contemplated for the</w:t>
      </w:r>
      <w:r w:rsidR="0072320B">
        <w:rPr>
          <w:szCs w:val="26"/>
        </w:rPr>
        <w:t xml:space="preserve"> intrastate switched </w:t>
      </w:r>
      <w:r>
        <w:rPr>
          <w:szCs w:val="26"/>
        </w:rPr>
        <w:t>access rates of competitive local exchange carriers (CLECs) in accordance with the FCC’s benchmarking rule.</w:t>
      </w:r>
      <w:r>
        <w:rPr>
          <w:rStyle w:val="FootnoteReference"/>
          <w:szCs w:val="26"/>
        </w:rPr>
        <w:footnoteReference w:id="9"/>
      </w:r>
      <w:r>
        <w:rPr>
          <w:szCs w:val="26"/>
        </w:rPr>
        <w:t xml:space="preserve">    </w:t>
      </w:r>
    </w:p>
    <w:p w:rsidR="00EE32A7" w:rsidRDefault="00EE32A7" w:rsidP="00B778B0">
      <w:pPr>
        <w:pStyle w:val="p3"/>
        <w:tabs>
          <w:tab w:val="clear" w:pos="204"/>
          <w:tab w:val="left" w:pos="720"/>
        </w:tabs>
        <w:spacing w:line="240" w:lineRule="auto"/>
        <w:rPr>
          <w:szCs w:val="26"/>
        </w:rPr>
      </w:pPr>
    </w:p>
    <w:p w:rsidR="00B91805" w:rsidRDefault="00AD1CC6" w:rsidP="007C4CD9">
      <w:pPr>
        <w:pStyle w:val="p3"/>
        <w:tabs>
          <w:tab w:val="clear" w:pos="204"/>
          <w:tab w:val="left" w:pos="720"/>
        </w:tabs>
        <w:ind w:firstLine="1440"/>
        <w:rPr>
          <w:szCs w:val="26"/>
        </w:rPr>
      </w:pPr>
      <w:r>
        <w:rPr>
          <w:szCs w:val="26"/>
        </w:rPr>
        <w:t>Through our March 22</w:t>
      </w:r>
      <w:r w:rsidR="00FC000A">
        <w:rPr>
          <w:szCs w:val="26"/>
        </w:rPr>
        <w:t>, 2012</w:t>
      </w:r>
      <w:r>
        <w:rPr>
          <w:szCs w:val="26"/>
        </w:rPr>
        <w:t xml:space="preserve"> Order, the Commission </w:t>
      </w:r>
      <w:r w:rsidR="00B91805" w:rsidRPr="002D6957">
        <w:rPr>
          <w:szCs w:val="26"/>
        </w:rPr>
        <w:t>initiated its FCC O</w:t>
      </w:r>
      <w:r>
        <w:rPr>
          <w:szCs w:val="26"/>
        </w:rPr>
        <w:t>rder Implementation proceeding</w:t>
      </w:r>
      <w:r w:rsidR="00C70D51">
        <w:rPr>
          <w:szCs w:val="26"/>
        </w:rPr>
        <w:t>.</w:t>
      </w:r>
      <w:r w:rsidR="00B91805" w:rsidRPr="002D6957">
        <w:rPr>
          <w:szCs w:val="26"/>
        </w:rPr>
        <w:t xml:space="preserve">  The Commission invited comments on the implementation of the </w:t>
      </w:r>
      <w:r w:rsidR="00B91805" w:rsidRPr="00B67B59">
        <w:rPr>
          <w:i/>
          <w:szCs w:val="26"/>
        </w:rPr>
        <w:t>FCC Order</w:t>
      </w:r>
      <w:r w:rsidR="00B91805" w:rsidRPr="002D6957">
        <w:rPr>
          <w:szCs w:val="26"/>
        </w:rPr>
        <w:t xml:space="preserve"> and conducted an on-the-record technical collaborative session on April 20, 2012.  </w:t>
      </w:r>
    </w:p>
    <w:p w:rsidR="00B91805" w:rsidRDefault="00B91805" w:rsidP="00B778B0">
      <w:pPr>
        <w:pStyle w:val="p3"/>
        <w:widowControl/>
        <w:tabs>
          <w:tab w:val="clear" w:pos="204"/>
          <w:tab w:val="left" w:pos="720"/>
        </w:tabs>
        <w:spacing w:line="240" w:lineRule="auto"/>
        <w:rPr>
          <w:szCs w:val="26"/>
        </w:rPr>
      </w:pPr>
    </w:p>
    <w:p w:rsidR="00320744" w:rsidRDefault="00B91805" w:rsidP="007C4CD9">
      <w:pPr>
        <w:pStyle w:val="p3"/>
        <w:widowControl/>
        <w:tabs>
          <w:tab w:val="clear" w:pos="204"/>
          <w:tab w:val="left" w:pos="720"/>
        </w:tabs>
        <w:ind w:firstLine="1440"/>
        <w:rPr>
          <w:szCs w:val="26"/>
        </w:rPr>
      </w:pPr>
      <w:r>
        <w:rPr>
          <w:szCs w:val="26"/>
        </w:rPr>
        <w:t>Subsequent</w:t>
      </w:r>
      <w:r w:rsidR="00C70D51">
        <w:rPr>
          <w:szCs w:val="26"/>
        </w:rPr>
        <w:t>ly, through our May 10</w:t>
      </w:r>
      <w:r w:rsidR="00FC000A">
        <w:rPr>
          <w:szCs w:val="26"/>
        </w:rPr>
        <w:t xml:space="preserve">, 2012 </w:t>
      </w:r>
      <w:r w:rsidR="00C70D51">
        <w:rPr>
          <w:szCs w:val="26"/>
        </w:rPr>
        <w:t xml:space="preserve"> Order</w:t>
      </w:r>
      <w:r w:rsidR="00430CBA">
        <w:rPr>
          <w:szCs w:val="26"/>
        </w:rPr>
        <w:t>,</w:t>
      </w:r>
      <w:r w:rsidR="006703C1">
        <w:rPr>
          <w:szCs w:val="26"/>
        </w:rPr>
        <w:t xml:space="preserve"> </w:t>
      </w:r>
      <w:r w:rsidR="00430CBA">
        <w:rPr>
          <w:szCs w:val="26"/>
        </w:rPr>
        <w:t>the</w:t>
      </w:r>
      <w:r w:rsidR="00644C8C">
        <w:rPr>
          <w:szCs w:val="26"/>
        </w:rPr>
        <w:t xml:space="preserve"> Commission entered a Consolidated S</w:t>
      </w:r>
      <w:r w:rsidR="00A01315">
        <w:rPr>
          <w:szCs w:val="26"/>
        </w:rPr>
        <w:t>hort F</w:t>
      </w:r>
      <w:r w:rsidR="00320744">
        <w:rPr>
          <w:szCs w:val="26"/>
        </w:rPr>
        <w:t xml:space="preserve">orm and </w:t>
      </w:r>
      <w:r w:rsidR="00DC63CD">
        <w:rPr>
          <w:szCs w:val="26"/>
        </w:rPr>
        <w:t>Protective Order</w:t>
      </w:r>
      <w:r w:rsidR="00320744">
        <w:rPr>
          <w:szCs w:val="26"/>
        </w:rPr>
        <w:t xml:space="preserve"> addressing</w:t>
      </w:r>
      <w:r w:rsidR="0033763D">
        <w:rPr>
          <w:szCs w:val="26"/>
        </w:rPr>
        <w:t xml:space="preserve">, </w:t>
      </w:r>
      <w:r w:rsidR="0033763D">
        <w:rPr>
          <w:i/>
          <w:szCs w:val="26"/>
        </w:rPr>
        <w:t>inter alia</w:t>
      </w:r>
      <w:r w:rsidR="0033763D">
        <w:rPr>
          <w:szCs w:val="26"/>
        </w:rPr>
        <w:t xml:space="preserve">, </w:t>
      </w:r>
      <w:r w:rsidR="00320744">
        <w:rPr>
          <w:szCs w:val="26"/>
        </w:rPr>
        <w:t>implementation</w:t>
      </w:r>
      <w:r w:rsidR="00E77717">
        <w:rPr>
          <w:szCs w:val="26"/>
        </w:rPr>
        <w:t xml:space="preserve"> of </w:t>
      </w:r>
      <w:r w:rsidR="00430CBA" w:rsidRPr="004533B0">
        <w:rPr>
          <w:szCs w:val="26"/>
        </w:rPr>
        <w:t>Step 1</w:t>
      </w:r>
      <w:r w:rsidR="00430CBA">
        <w:rPr>
          <w:rStyle w:val="FootnoteReference"/>
          <w:szCs w:val="26"/>
        </w:rPr>
        <w:footnoteReference w:id="10"/>
      </w:r>
      <w:r w:rsidR="00430CBA">
        <w:rPr>
          <w:szCs w:val="26"/>
        </w:rPr>
        <w:t xml:space="preserve"> </w:t>
      </w:r>
      <w:r w:rsidR="00E77717">
        <w:rPr>
          <w:szCs w:val="26"/>
        </w:rPr>
        <w:t xml:space="preserve">of the transition </w:t>
      </w:r>
      <w:r w:rsidR="00DA0792">
        <w:rPr>
          <w:szCs w:val="26"/>
        </w:rPr>
        <w:t xml:space="preserve">of the intrastate </w:t>
      </w:r>
      <w:proofErr w:type="spellStart"/>
      <w:r w:rsidR="00DA0792">
        <w:rPr>
          <w:szCs w:val="26"/>
        </w:rPr>
        <w:t>intercarrier</w:t>
      </w:r>
      <w:proofErr w:type="spellEnd"/>
      <w:r w:rsidR="00DA0792">
        <w:rPr>
          <w:szCs w:val="26"/>
        </w:rPr>
        <w:t xml:space="preserve"> compensation regime </w:t>
      </w:r>
      <w:r w:rsidR="00E77717">
        <w:rPr>
          <w:szCs w:val="26"/>
        </w:rPr>
        <w:t>to bill-and-keep</w:t>
      </w:r>
      <w:r w:rsidR="00C70D51">
        <w:rPr>
          <w:szCs w:val="26"/>
        </w:rPr>
        <w:t xml:space="preserve"> as</w:t>
      </w:r>
      <w:r w:rsidR="00E77717">
        <w:rPr>
          <w:szCs w:val="26"/>
        </w:rPr>
        <w:t xml:space="preserve"> </w:t>
      </w:r>
      <w:r w:rsidR="00DA0792">
        <w:rPr>
          <w:szCs w:val="26"/>
        </w:rPr>
        <w:t xml:space="preserve">contemplated by the </w:t>
      </w:r>
      <w:r w:rsidR="00DA0792" w:rsidRPr="00B67B59">
        <w:rPr>
          <w:i/>
          <w:szCs w:val="26"/>
        </w:rPr>
        <w:t>FCC Order</w:t>
      </w:r>
      <w:r w:rsidR="00CC39FE">
        <w:rPr>
          <w:szCs w:val="26"/>
        </w:rPr>
        <w:t>.</w:t>
      </w:r>
      <w:r w:rsidR="00320744">
        <w:rPr>
          <w:szCs w:val="26"/>
        </w:rPr>
        <w:t xml:space="preserve">  </w:t>
      </w:r>
      <w:r w:rsidR="00597217">
        <w:rPr>
          <w:szCs w:val="26"/>
        </w:rPr>
        <w:t>Through our April 18</w:t>
      </w:r>
      <w:r w:rsidR="00FC000A">
        <w:rPr>
          <w:szCs w:val="26"/>
        </w:rPr>
        <w:t>, 2013</w:t>
      </w:r>
      <w:r w:rsidR="00597217">
        <w:rPr>
          <w:szCs w:val="26"/>
        </w:rPr>
        <w:t xml:space="preserve"> </w:t>
      </w:r>
      <w:r w:rsidR="00430CBA">
        <w:rPr>
          <w:szCs w:val="26"/>
        </w:rPr>
        <w:t>Order</w:t>
      </w:r>
      <w:r w:rsidR="005335B8">
        <w:rPr>
          <w:szCs w:val="26"/>
        </w:rPr>
        <w:t>,</w:t>
      </w:r>
      <w:r w:rsidR="009279B5">
        <w:rPr>
          <w:szCs w:val="26"/>
        </w:rPr>
        <w:t xml:space="preserve"> we addres</w:t>
      </w:r>
      <w:r w:rsidR="00597217">
        <w:rPr>
          <w:szCs w:val="26"/>
        </w:rPr>
        <w:t>sed</w:t>
      </w:r>
      <w:r w:rsidR="009279B5">
        <w:rPr>
          <w:szCs w:val="26"/>
        </w:rPr>
        <w:t xml:space="preserve"> </w:t>
      </w:r>
      <w:r w:rsidR="00086616">
        <w:rPr>
          <w:szCs w:val="26"/>
        </w:rPr>
        <w:t xml:space="preserve">the implementation of </w:t>
      </w:r>
      <w:r w:rsidR="009279B5">
        <w:rPr>
          <w:szCs w:val="26"/>
        </w:rPr>
        <w:t>Step 2</w:t>
      </w:r>
      <w:r w:rsidR="00086616">
        <w:rPr>
          <w:rStyle w:val="FootnoteReference"/>
          <w:szCs w:val="26"/>
        </w:rPr>
        <w:footnoteReference w:id="11"/>
      </w:r>
      <w:r w:rsidR="009279B5">
        <w:rPr>
          <w:szCs w:val="26"/>
        </w:rPr>
        <w:t xml:space="preserve"> of that transition.</w:t>
      </w:r>
      <w:r w:rsidR="00350C1E">
        <w:rPr>
          <w:szCs w:val="26"/>
        </w:rPr>
        <w:t xml:space="preserve"> </w:t>
      </w:r>
      <w:r w:rsidR="00597217">
        <w:rPr>
          <w:szCs w:val="26"/>
        </w:rPr>
        <w:t xml:space="preserve"> </w:t>
      </w:r>
      <w:r w:rsidR="00B2257B">
        <w:rPr>
          <w:szCs w:val="26"/>
        </w:rPr>
        <w:t>Our April 23</w:t>
      </w:r>
      <w:r w:rsidR="00FC000A">
        <w:rPr>
          <w:szCs w:val="26"/>
        </w:rPr>
        <w:t>, 2014</w:t>
      </w:r>
      <w:r w:rsidR="00B2257B">
        <w:rPr>
          <w:szCs w:val="26"/>
        </w:rPr>
        <w:t xml:space="preserve"> Order </w:t>
      </w:r>
      <w:r w:rsidR="00597217">
        <w:rPr>
          <w:szCs w:val="26"/>
        </w:rPr>
        <w:t>address</w:t>
      </w:r>
      <w:r w:rsidR="00B2257B">
        <w:rPr>
          <w:szCs w:val="26"/>
        </w:rPr>
        <w:t>ed</w:t>
      </w:r>
      <w:r w:rsidR="00597217">
        <w:rPr>
          <w:szCs w:val="26"/>
        </w:rPr>
        <w:t xml:space="preserve"> the implementation of Step 3</w:t>
      </w:r>
      <w:r w:rsidR="00597217">
        <w:rPr>
          <w:rStyle w:val="FootnoteReference"/>
          <w:szCs w:val="26"/>
        </w:rPr>
        <w:footnoteReference w:id="12"/>
      </w:r>
      <w:r w:rsidR="00597217">
        <w:rPr>
          <w:szCs w:val="26"/>
        </w:rPr>
        <w:t xml:space="preserve"> of that transition.</w:t>
      </w:r>
      <w:r w:rsidR="00B2257B">
        <w:rPr>
          <w:szCs w:val="26"/>
        </w:rPr>
        <w:t xml:space="preserve">  In this Order</w:t>
      </w:r>
      <w:r w:rsidR="005335B8">
        <w:rPr>
          <w:szCs w:val="26"/>
        </w:rPr>
        <w:t>,</w:t>
      </w:r>
      <w:r w:rsidR="00B2257B">
        <w:rPr>
          <w:szCs w:val="26"/>
        </w:rPr>
        <w:t xml:space="preserve"> we address the implementation of Step 4 of that transition.</w:t>
      </w:r>
      <w:r w:rsidR="00B2257B">
        <w:rPr>
          <w:rStyle w:val="FootnoteReference"/>
          <w:szCs w:val="26"/>
        </w:rPr>
        <w:footnoteReference w:id="13"/>
      </w:r>
      <w:r w:rsidR="00B2257B">
        <w:rPr>
          <w:szCs w:val="26"/>
        </w:rPr>
        <w:t xml:space="preserve"> </w:t>
      </w:r>
      <w:r w:rsidR="00597217">
        <w:rPr>
          <w:szCs w:val="26"/>
        </w:rPr>
        <w:t xml:space="preserve"> </w:t>
      </w:r>
    </w:p>
    <w:p w:rsidR="00B778B0" w:rsidRDefault="00E26B61" w:rsidP="00E26B61">
      <w:pPr>
        <w:spacing w:after="200" w:line="276" w:lineRule="auto"/>
      </w:pPr>
      <w:r>
        <w:br w:type="page"/>
      </w:r>
    </w:p>
    <w:p w:rsidR="00765E84" w:rsidRDefault="00547732" w:rsidP="00320744">
      <w:pPr>
        <w:jc w:val="center"/>
        <w:rPr>
          <w:b/>
        </w:rPr>
      </w:pPr>
      <w:r w:rsidRPr="002F58F8">
        <w:rPr>
          <w:b/>
        </w:rPr>
        <w:lastRenderedPageBreak/>
        <w:t>DISCUSSION</w:t>
      </w:r>
    </w:p>
    <w:p w:rsidR="00320744" w:rsidRPr="00320744" w:rsidRDefault="00320744" w:rsidP="00B778B0">
      <w:pPr>
        <w:spacing w:line="240" w:lineRule="auto"/>
        <w:jc w:val="center"/>
        <w:rPr>
          <w:b/>
        </w:rPr>
      </w:pPr>
    </w:p>
    <w:p w:rsidR="007B1A2F" w:rsidRDefault="00072859" w:rsidP="007C4CD9">
      <w:pPr>
        <w:ind w:firstLine="1440"/>
      </w:pPr>
      <w:r>
        <w:t>The importance of s</w:t>
      </w:r>
      <w:r w:rsidR="00765E84">
        <w:t>tate</w:t>
      </w:r>
      <w:r w:rsidR="00C267E7">
        <w:t xml:space="preserve"> utility</w:t>
      </w:r>
      <w:r w:rsidR="00765E84">
        <w:t xml:space="preserve"> commission involvement and oversight in the </w:t>
      </w:r>
      <w:proofErr w:type="spellStart"/>
      <w:r w:rsidR="00765E84">
        <w:t>intercarrier</w:t>
      </w:r>
      <w:proofErr w:type="spellEnd"/>
      <w:r w:rsidR="00765E84">
        <w:t xml:space="preserve"> compensation reform process was spe</w:t>
      </w:r>
      <w:r w:rsidR="00011756">
        <w:t>cifically recognized by the FCC:</w:t>
      </w:r>
    </w:p>
    <w:p w:rsidR="00A16F0A" w:rsidRDefault="00A16F0A" w:rsidP="00011756">
      <w:pPr>
        <w:spacing w:line="240" w:lineRule="auto"/>
        <w:ind w:left="720" w:right="720"/>
      </w:pPr>
    </w:p>
    <w:p w:rsidR="00B2257B" w:rsidRDefault="007B1A2F" w:rsidP="00B2257B">
      <w:pPr>
        <w:pStyle w:val="ParaNum"/>
        <w:widowControl/>
        <w:numPr>
          <w:ilvl w:val="0"/>
          <w:numId w:val="0"/>
        </w:numPr>
        <w:spacing w:after="0"/>
        <w:ind w:left="1440" w:right="1440" w:firstLine="720"/>
        <w:rPr>
          <w:sz w:val="26"/>
        </w:rPr>
      </w:pPr>
      <w:bookmarkStart w:id="0" w:name="_Ref309323553"/>
      <w:r w:rsidRPr="00765AC0">
        <w:rPr>
          <w:sz w:val="26"/>
        </w:rPr>
        <w:t>Because carriers will be revising intrastate access tariffs to reduce rates for certain terminating switched access rate elements, and</w:t>
      </w:r>
      <w:r w:rsidR="00765AC0" w:rsidRPr="00765AC0">
        <w:rPr>
          <w:sz w:val="26"/>
        </w:rPr>
        <w:t xml:space="preserve"> capping other intrastate rates</w:t>
      </w:r>
      <w:r w:rsidR="00A16F0A">
        <w:rPr>
          <w:sz w:val="26"/>
        </w:rPr>
        <w:t>, s</w:t>
      </w:r>
      <w:r w:rsidRPr="00765AC0">
        <w:rPr>
          <w:sz w:val="26"/>
        </w:rPr>
        <w:t xml:space="preserve">tates will play a critical role implementing and enforcing </w:t>
      </w:r>
      <w:proofErr w:type="spellStart"/>
      <w:r w:rsidRPr="00765AC0">
        <w:rPr>
          <w:sz w:val="26"/>
        </w:rPr>
        <w:t>intercarrier</w:t>
      </w:r>
      <w:proofErr w:type="spellEnd"/>
      <w:r w:rsidRPr="00765AC0">
        <w:rPr>
          <w:sz w:val="26"/>
        </w:rPr>
        <w:t xml:space="preserve">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w:t>
      </w:r>
      <w:proofErr w:type="spellStart"/>
      <w:r w:rsidRPr="00765AC0">
        <w:rPr>
          <w:sz w:val="26"/>
        </w:rPr>
        <w:t>intercarrier</w:t>
      </w:r>
      <w:proofErr w:type="spellEnd"/>
      <w:r w:rsidRPr="00765AC0">
        <w:rPr>
          <w:sz w:val="26"/>
        </w:rPr>
        <w:t xml:space="preserve">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sidR="00765E84">
        <w:rPr>
          <w:rStyle w:val="FootnoteReference"/>
          <w:sz w:val="26"/>
        </w:rPr>
        <w:footnoteReference w:id="14"/>
      </w:r>
      <w:r w:rsidR="00B83D67">
        <w:rPr>
          <w:sz w:val="26"/>
        </w:rPr>
        <w:t xml:space="preserve"> </w:t>
      </w:r>
    </w:p>
    <w:p w:rsidR="00B2257B" w:rsidRPr="00B2257B" w:rsidRDefault="00B2257B" w:rsidP="00B2257B">
      <w:pPr>
        <w:pStyle w:val="ParaNum"/>
        <w:widowControl/>
        <w:numPr>
          <w:ilvl w:val="0"/>
          <w:numId w:val="0"/>
        </w:numPr>
        <w:spacing w:after="0"/>
        <w:ind w:left="1440" w:right="1440" w:firstLine="720"/>
        <w:rPr>
          <w:sz w:val="26"/>
        </w:rPr>
      </w:pPr>
    </w:p>
    <w:p w:rsidR="00B2257B" w:rsidRDefault="00E26B61" w:rsidP="00E26B61">
      <w:pPr>
        <w:spacing w:after="200" w:line="276" w:lineRule="auto"/>
      </w:pPr>
      <w:r>
        <w:br w:type="page"/>
      </w:r>
    </w:p>
    <w:p w:rsidR="00FA46FF" w:rsidRDefault="00B2257B" w:rsidP="007C4CD9">
      <w:pPr>
        <w:pStyle w:val="p3"/>
        <w:widowControl/>
        <w:tabs>
          <w:tab w:val="clear" w:pos="204"/>
          <w:tab w:val="left" w:pos="720"/>
        </w:tabs>
        <w:rPr>
          <w:b/>
          <w:szCs w:val="26"/>
        </w:rPr>
      </w:pPr>
      <w:r>
        <w:rPr>
          <w:b/>
          <w:szCs w:val="26"/>
        </w:rPr>
        <w:lastRenderedPageBreak/>
        <w:t>Step 4</w:t>
      </w:r>
      <w:r w:rsidR="00FA46FF">
        <w:rPr>
          <w:b/>
          <w:szCs w:val="26"/>
        </w:rPr>
        <w:t xml:space="preserve"> Access Charge Revisions</w:t>
      </w:r>
      <w:r w:rsidR="0001373D">
        <w:rPr>
          <w:b/>
          <w:szCs w:val="26"/>
        </w:rPr>
        <w:t xml:space="preserve"> and Supporting Information</w:t>
      </w:r>
    </w:p>
    <w:p w:rsidR="007C4CD9" w:rsidRDefault="007C4CD9" w:rsidP="007C4CD9">
      <w:pPr>
        <w:pStyle w:val="p3"/>
        <w:widowControl/>
        <w:tabs>
          <w:tab w:val="clear" w:pos="204"/>
          <w:tab w:val="left" w:pos="720"/>
        </w:tabs>
        <w:ind w:firstLine="1440"/>
        <w:rPr>
          <w:szCs w:val="26"/>
        </w:rPr>
      </w:pPr>
    </w:p>
    <w:p w:rsidR="002D387F" w:rsidRDefault="00FA46FF" w:rsidP="007C4CD9">
      <w:pPr>
        <w:pStyle w:val="p3"/>
        <w:widowControl/>
        <w:tabs>
          <w:tab w:val="clear" w:pos="204"/>
          <w:tab w:val="left" w:pos="720"/>
        </w:tabs>
        <w:ind w:firstLine="1440"/>
        <w:rPr>
          <w:szCs w:val="26"/>
        </w:rPr>
      </w:pPr>
      <w:r>
        <w:rPr>
          <w:szCs w:val="26"/>
        </w:rPr>
        <w:t>Unlike the Step 1 and Step 2 access charge revisions, which applied to all TIAS, Step 3</w:t>
      </w:r>
      <w:r w:rsidR="00B2257B">
        <w:rPr>
          <w:szCs w:val="26"/>
        </w:rPr>
        <w:t xml:space="preserve"> and</w:t>
      </w:r>
      <w:r w:rsidR="00024AB1">
        <w:rPr>
          <w:szCs w:val="26"/>
        </w:rPr>
        <w:t xml:space="preserve"> Step</w:t>
      </w:r>
      <w:r w:rsidR="00B2257B">
        <w:rPr>
          <w:szCs w:val="26"/>
        </w:rPr>
        <w:t xml:space="preserve"> 4 apply</w:t>
      </w:r>
      <w:r>
        <w:rPr>
          <w:szCs w:val="26"/>
        </w:rPr>
        <w:t xml:space="preserve"> only to</w:t>
      </w:r>
      <w:r w:rsidR="0001373D">
        <w:rPr>
          <w:szCs w:val="26"/>
        </w:rPr>
        <w:t xml:space="preserve"> rates for</w:t>
      </w:r>
      <w:r w:rsidR="005E345E">
        <w:rPr>
          <w:szCs w:val="26"/>
        </w:rPr>
        <w:t xml:space="preserve"> </w:t>
      </w:r>
      <w:r w:rsidR="002D387F">
        <w:rPr>
          <w:szCs w:val="26"/>
        </w:rPr>
        <w:t xml:space="preserve">terminating </w:t>
      </w:r>
      <w:r w:rsidR="005E345E">
        <w:rPr>
          <w:szCs w:val="26"/>
        </w:rPr>
        <w:t>elements within</w:t>
      </w:r>
      <w:r w:rsidR="002D387F">
        <w:rPr>
          <w:szCs w:val="26"/>
        </w:rPr>
        <w:t xml:space="preserve"> </w:t>
      </w:r>
      <w:r>
        <w:rPr>
          <w:szCs w:val="26"/>
        </w:rPr>
        <w:t>End Office Access Service</w:t>
      </w:r>
      <w:r w:rsidR="002D387F">
        <w:rPr>
          <w:szCs w:val="26"/>
        </w:rPr>
        <w:t xml:space="preserve"> as defined in 47 C.F.R. § 51.903(d).  Thus,</w:t>
      </w:r>
      <w:r>
        <w:rPr>
          <w:szCs w:val="26"/>
        </w:rPr>
        <w:t xml:space="preserve"> Tandem and Transport rates are maintained at their Step 2 parity rates.  </w:t>
      </w:r>
    </w:p>
    <w:p w:rsidR="00350C1E" w:rsidRDefault="00350C1E" w:rsidP="00350C1E">
      <w:pPr>
        <w:pStyle w:val="p3"/>
        <w:widowControl/>
        <w:tabs>
          <w:tab w:val="clear" w:pos="204"/>
          <w:tab w:val="left" w:pos="720"/>
        </w:tabs>
        <w:spacing w:line="240" w:lineRule="auto"/>
        <w:rPr>
          <w:szCs w:val="26"/>
        </w:rPr>
      </w:pPr>
    </w:p>
    <w:p w:rsidR="002D387F" w:rsidRDefault="00B2257B" w:rsidP="007C4CD9">
      <w:pPr>
        <w:pStyle w:val="p3"/>
        <w:widowControl/>
        <w:tabs>
          <w:tab w:val="clear" w:pos="204"/>
          <w:tab w:val="left" w:pos="720"/>
        </w:tabs>
        <w:ind w:firstLine="1440"/>
        <w:rPr>
          <w:szCs w:val="26"/>
        </w:rPr>
      </w:pPr>
      <w:r>
        <w:rPr>
          <w:szCs w:val="26"/>
        </w:rPr>
        <w:t xml:space="preserve">In </w:t>
      </w:r>
      <w:r w:rsidR="00FA46FF">
        <w:rPr>
          <w:szCs w:val="26"/>
        </w:rPr>
        <w:t xml:space="preserve">Step 3, </w:t>
      </w:r>
      <w:r w:rsidR="005E753A">
        <w:rPr>
          <w:szCs w:val="26"/>
        </w:rPr>
        <w:t>I</w:t>
      </w:r>
      <w:r w:rsidR="00FA46FF">
        <w:rPr>
          <w:szCs w:val="26"/>
        </w:rPr>
        <w:t>LECs</w:t>
      </w:r>
      <w:r>
        <w:rPr>
          <w:szCs w:val="26"/>
        </w:rPr>
        <w:t xml:space="preserve"> e</w:t>
      </w:r>
      <w:r w:rsidR="002D387F">
        <w:rPr>
          <w:szCs w:val="26"/>
        </w:rPr>
        <w:t>stablish</w:t>
      </w:r>
      <w:r>
        <w:rPr>
          <w:szCs w:val="26"/>
        </w:rPr>
        <w:t>ed</w:t>
      </w:r>
      <w:r w:rsidR="002D387F">
        <w:rPr>
          <w:szCs w:val="26"/>
        </w:rPr>
        <w:t xml:space="preserve"> separate originating and terminating rate elements for all per-minute components within interstate and intrastate End Office Access Service.  The rates for fixed charges </w:t>
      </w:r>
      <w:r>
        <w:rPr>
          <w:szCs w:val="26"/>
        </w:rPr>
        <w:t xml:space="preserve">were </w:t>
      </w:r>
      <w:r w:rsidR="002D387F">
        <w:rPr>
          <w:szCs w:val="26"/>
        </w:rPr>
        <w:t xml:space="preserve">divided between originating and terminating rate elements based on relative originating and terminating end office switching minutes.  If sufficient originating and terminating end office switching minute data is unavailable, </w:t>
      </w:r>
      <w:r w:rsidR="005E753A">
        <w:rPr>
          <w:szCs w:val="26"/>
        </w:rPr>
        <w:t>I</w:t>
      </w:r>
      <w:r w:rsidR="002D387F">
        <w:rPr>
          <w:szCs w:val="26"/>
        </w:rPr>
        <w:t xml:space="preserve">LECs </w:t>
      </w:r>
      <w:r>
        <w:rPr>
          <w:szCs w:val="26"/>
        </w:rPr>
        <w:t>were to</w:t>
      </w:r>
      <w:r w:rsidR="002D387F">
        <w:rPr>
          <w:szCs w:val="26"/>
        </w:rPr>
        <w:t xml:space="preserve"> divide such charges equally between originating and terminating elements.  </w:t>
      </w:r>
    </w:p>
    <w:p w:rsidR="00C145EB" w:rsidRDefault="00C145EB" w:rsidP="00B778B0">
      <w:pPr>
        <w:pStyle w:val="p3"/>
        <w:widowControl/>
        <w:tabs>
          <w:tab w:val="clear" w:pos="204"/>
          <w:tab w:val="left" w:pos="720"/>
        </w:tabs>
        <w:spacing w:line="240" w:lineRule="auto"/>
        <w:rPr>
          <w:szCs w:val="26"/>
        </w:rPr>
      </w:pPr>
    </w:p>
    <w:p w:rsidR="00177538" w:rsidRDefault="005E753A" w:rsidP="007C4CD9">
      <w:pPr>
        <w:pStyle w:val="p3"/>
        <w:widowControl/>
        <w:tabs>
          <w:tab w:val="clear" w:pos="204"/>
          <w:tab w:val="left" w:pos="720"/>
        </w:tabs>
        <w:ind w:firstLine="1440"/>
        <w:rPr>
          <w:szCs w:val="26"/>
        </w:rPr>
      </w:pPr>
      <w:r>
        <w:rPr>
          <w:szCs w:val="26"/>
        </w:rPr>
        <w:t>I</w:t>
      </w:r>
      <w:r w:rsidR="00C145EB">
        <w:rPr>
          <w:szCs w:val="26"/>
        </w:rPr>
        <w:t xml:space="preserve">LECs then </w:t>
      </w:r>
      <w:r w:rsidR="00FA46FF">
        <w:rPr>
          <w:szCs w:val="26"/>
        </w:rPr>
        <w:t>calculate</w:t>
      </w:r>
      <w:r w:rsidR="00B2257B">
        <w:rPr>
          <w:szCs w:val="26"/>
        </w:rPr>
        <w:t>d</w:t>
      </w:r>
      <w:r w:rsidR="0022743B">
        <w:rPr>
          <w:szCs w:val="26"/>
        </w:rPr>
        <w:t xml:space="preserve"> a 2011 Baseline Composite Terminating End Office Access Service </w:t>
      </w:r>
      <w:r w:rsidR="005E345E">
        <w:rPr>
          <w:szCs w:val="26"/>
        </w:rPr>
        <w:t>R</w:t>
      </w:r>
      <w:r w:rsidR="0022743B">
        <w:rPr>
          <w:szCs w:val="26"/>
        </w:rPr>
        <w:t>ate</w:t>
      </w:r>
      <w:r w:rsidR="005E345E">
        <w:rPr>
          <w:szCs w:val="26"/>
        </w:rPr>
        <w:t xml:space="preserve"> (</w:t>
      </w:r>
      <w:r w:rsidR="00177538">
        <w:rPr>
          <w:szCs w:val="26"/>
        </w:rPr>
        <w:t xml:space="preserve">2011 </w:t>
      </w:r>
      <w:r w:rsidR="005E345E">
        <w:rPr>
          <w:szCs w:val="26"/>
        </w:rPr>
        <w:t>Baseline Rate)</w:t>
      </w:r>
      <w:r w:rsidR="00B2257B">
        <w:rPr>
          <w:szCs w:val="26"/>
        </w:rPr>
        <w:t>.  O</w:t>
      </w:r>
      <w:r w:rsidR="00C145EB">
        <w:rPr>
          <w:szCs w:val="26"/>
        </w:rPr>
        <w:t>n March 31, 2014, the FCC released</w:t>
      </w:r>
      <w:r w:rsidR="0022743B">
        <w:rPr>
          <w:szCs w:val="26"/>
        </w:rPr>
        <w:t xml:space="preserve"> </w:t>
      </w:r>
      <w:r w:rsidR="00072859">
        <w:rPr>
          <w:szCs w:val="26"/>
        </w:rPr>
        <w:t>an o</w:t>
      </w:r>
      <w:r w:rsidR="00C145EB">
        <w:rPr>
          <w:szCs w:val="26"/>
        </w:rPr>
        <w:t xml:space="preserve">rder that, </w:t>
      </w:r>
      <w:r w:rsidR="00C145EB">
        <w:rPr>
          <w:i/>
          <w:szCs w:val="26"/>
        </w:rPr>
        <w:t xml:space="preserve">inter alia, </w:t>
      </w:r>
      <w:r w:rsidR="00C145EB">
        <w:rPr>
          <w:szCs w:val="26"/>
        </w:rPr>
        <w:t xml:space="preserve">clarified the methodologies for calculating both the </w:t>
      </w:r>
      <w:r w:rsidR="00E56233">
        <w:rPr>
          <w:szCs w:val="26"/>
        </w:rPr>
        <w:t xml:space="preserve">2011 </w:t>
      </w:r>
      <w:r w:rsidR="00B2257B">
        <w:rPr>
          <w:szCs w:val="26"/>
        </w:rPr>
        <w:t>Baseline Rate</w:t>
      </w:r>
      <w:r w:rsidR="00C145EB">
        <w:rPr>
          <w:szCs w:val="26"/>
        </w:rPr>
        <w:t xml:space="preserve"> for both price cap and ROR </w:t>
      </w:r>
      <w:r>
        <w:rPr>
          <w:szCs w:val="26"/>
        </w:rPr>
        <w:t>I</w:t>
      </w:r>
      <w:r w:rsidR="00C145EB">
        <w:rPr>
          <w:szCs w:val="26"/>
        </w:rPr>
        <w:t>LECs.</w:t>
      </w:r>
      <w:r w:rsidR="00C145EB">
        <w:rPr>
          <w:rStyle w:val="FootnoteReference"/>
          <w:szCs w:val="26"/>
        </w:rPr>
        <w:footnoteReference w:id="15"/>
      </w:r>
      <w:r w:rsidR="00177538">
        <w:rPr>
          <w:szCs w:val="26"/>
        </w:rPr>
        <w:t xml:space="preserve">  The 2011 Baseline Rate for both price cap and ROR </w:t>
      </w:r>
      <w:r>
        <w:rPr>
          <w:szCs w:val="26"/>
        </w:rPr>
        <w:t>I</w:t>
      </w:r>
      <w:r w:rsidR="00177538">
        <w:rPr>
          <w:szCs w:val="26"/>
        </w:rPr>
        <w:t xml:space="preserve">LECs </w:t>
      </w:r>
      <w:r w:rsidR="00B2257B">
        <w:rPr>
          <w:szCs w:val="26"/>
        </w:rPr>
        <w:t>was</w:t>
      </w:r>
      <w:r w:rsidR="00177538">
        <w:rPr>
          <w:szCs w:val="26"/>
        </w:rPr>
        <w:t xml:space="preserve"> calculated by multiplying the Composite Terminating End Office Access Rate calculated using Fiscal Year 2011 interstate demand by the interstate End Office Access Service rates at the levels in effect on December 29, 2011, and then dividing the result by 2011 Fiscal Year interstate local switching demand.</w:t>
      </w:r>
    </w:p>
    <w:p w:rsidR="00177538" w:rsidRDefault="00177538" w:rsidP="00B778B0">
      <w:pPr>
        <w:pStyle w:val="p3"/>
        <w:widowControl/>
        <w:tabs>
          <w:tab w:val="clear" w:pos="204"/>
          <w:tab w:val="left" w:pos="720"/>
        </w:tabs>
        <w:spacing w:line="240" w:lineRule="auto"/>
        <w:rPr>
          <w:szCs w:val="26"/>
        </w:rPr>
      </w:pPr>
    </w:p>
    <w:p w:rsidR="00177538" w:rsidRDefault="00864A51" w:rsidP="007C4CD9">
      <w:pPr>
        <w:pStyle w:val="p3"/>
        <w:widowControl/>
        <w:tabs>
          <w:tab w:val="clear" w:pos="204"/>
          <w:tab w:val="left" w:pos="720"/>
        </w:tabs>
        <w:ind w:firstLine="1440"/>
        <w:rPr>
          <w:szCs w:val="26"/>
        </w:rPr>
      </w:pPr>
      <w:r>
        <w:rPr>
          <w:szCs w:val="26"/>
        </w:rPr>
        <w:t>For Step 4, ILECs are to calculate a 2015 Target Composite Terminating End Office Access Rate (2015 Target Rate)</w:t>
      </w:r>
      <w:r w:rsidR="00024AB1">
        <w:rPr>
          <w:szCs w:val="26"/>
        </w:rPr>
        <w:t>.</w:t>
      </w:r>
      <w:r>
        <w:rPr>
          <w:szCs w:val="26"/>
        </w:rPr>
        <w:t xml:space="preserve"> </w:t>
      </w:r>
      <w:r w:rsidR="00177538">
        <w:rPr>
          <w:szCs w:val="26"/>
        </w:rPr>
        <w:t>The meth</w:t>
      </w:r>
      <w:r>
        <w:rPr>
          <w:szCs w:val="26"/>
        </w:rPr>
        <w:t>odology for calculating the 2015</w:t>
      </w:r>
      <w:r w:rsidR="00177538">
        <w:rPr>
          <w:szCs w:val="26"/>
        </w:rPr>
        <w:t xml:space="preserve"> Target Rate is different for price cap and ROR </w:t>
      </w:r>
      <w:r w:rsidR="005E753A">
        <w:rPr>
          <w:szCs w:val="26"/>
        </w:rPr>
        <w:t>I</w:t>
      </w:r>
      <w:r w:rsidR="00177538">
        <w:rPr>
          <w:szCs w:val="26"/>
        </w:rPr>
        <w:t xml:space="preserve">LECs.  For price cap </w:t>
      </w:r>
      <w:r w:rsidR="005E753A">
        <w:rPr>
          <w:szCs w:val="26"/>
        </w:rPr>
        <w:t>I</w:t>
      </w:r>
      <w:r>
        <w:rPr>
          <w:szCs w:val="26"/>
        </w:rPr>
        <w:t xml:space="preserve">LECs, the </w:t>
      </w:r>
      <w:r>
        <w:rPr>
          <w:szCs w:val="26"/>
        </w:rPr>
        <w:lastRenderedPageBreak/>
        <w:t>2015</w:t>
      </w:r>
      <w:r w:rsidR="00442425">
        <w:rPr>
          <w:szCs w:val="26"/>
        </w:rPr>
        <w:t> </w:t>
      </w:r>
      <w:r w:rsidR="00177538">
        <w:rPr>
          <w:szCs w:val="26"/>
        </w:rPr>
        <w:t>Target Rate</w:t>
      </w:r>
      <w:r>
        <w:rPr>
          <w:szCs w:val="26"/>
        </w:rPr>
        <w:t xml:space="preserve"> </w:t>
      </w:r>
      <w:r w:rsidR="00350C1E">
        <w:rPr>
          <w:szCs w:val="26"/>
        </w:rPr>
        <w:t>is</w:t>
      </w:r>
      <w:r>
        <w:rPr>
          <w:szCs w:val="26"/>
        </w:rPr>
        <w:t xml:space="preserve"> $0.0007 per minute plus one-third</w:t>
      </w:r>
      <w:r w:rsidR="00177538">
        <w:rPr>
          <w:szCs w:val="26"/>
        </w:rPr>
        <w:t xml:space="preserve"> of any difference between the 2011 Baseline Rate and $0.0007 per minute.  For ROR </w:t>
      </w:r>
      <w:r w:rsidR="005E753A">
        <w:rPr>
          <w:szCs w:val="26"/>
        </w:rPr>
        <w:t>I</w:t>
      </w:r>
      <w:r>
        <w:rPr>
          <w:szCs w:val="26"/>
        </w:rPr>
        <w:t>LECs, the 2015</w:t>
      </w:r>
      <w:r w:rsidR="00177538">
        <w:rPr>
          <w:szCs w:val="26"/>
        </w:rPr>
        <w:t xml:space="preserve"> Target Rat</w:t>
      </w:r>
      <w:r>
        <w:rPr>
          <w:szCs w:val="26"/>
        </w:rPr>
        <w:t xml:space="preserve">e </w:t>
      </w:r>
      <w:r w:rsidR="00350C1E">
        <w:rPr>
          <w:szCs w:val="26"/>
        </w:rPr>
        <w:t xml:space="preserve">is </w:t>
      </w:r>
      <w:r>
        <w:rPr>
          <w:szCs w:val="26"/>
        </w:rPr>
        <w:t>$0.005 per minute plus one-third of</w:t>
      </w:r>
      <w:r w:rsidR="00177538">
        <w:rPr>
          <w:szCs w:val="26"/>
        </w:rPr>
        <w:t xml:space="preserve"> the difference between the 2011 Baseline Rate and $0.005 per minute.  </w:t>
      </w:r>
    </w:p>
    <w:p w:rsidR="00177538" w:rsidRDefault="00177538" w:rsidP="00B778B0">
      <w:pPr>
        <w:pStyle w:val="p3"/>
        <w:widowControl/>
        <w:tabs>
          <w:tab w:val="clear" w:pos="204"/>
          <w:tab w:val="left" w:pos="720"/>
        </w:tabs>
        <w:spacing w:line="240" w:lineRule="auto"/>
        <w:rPr>
          <w:szCs w:val="26"/>
        </w:rPr>
      </w:pPr>
    </w:p>
    <w:p w:rsidR="00771EC3" w:rsidRDefault="00864A51" w:rsidP="007C4CD9">
      <w:pPr>
        <w:pStyle w:val="p3"/>
        <w:widowControl/>
        <w:tabs>
          <w:tab w:val="clear" w:pos="204"/>
          <w:tab w:val="left" w:pos="720"/>
        </w:tabs>
        <w:ind w:firstLine="1440"/>
        <w:rPr>
          <w:szCs w:val="26"/>
        </w:rPr>
      </w:pPr>
      <w:r>
        <w:rPr>
          <w:szCs w:val="26"/>
        </w:rPr>
        <w:t>Effective July 1, 2015</w:t>
      </w:r>
      <w:r w:rsidR="00177538">
        <w:rPr>
          <w:szCs w:val="26"/>
        </w:rPr>
        <w:t xml:space="preserve">, no </w:t>
      </w:r>
      <w:r w:rsidR="005E753A">
        <w:rPr>
          <w:szCs w:val="26"/>
        </w:rPr>
        <w:t>I</w:t>
      </w:r>
      <w:r w:rsidR="00177538">
        <w:rPr>
          <w:szCs w:val="26"/>
        </w:rPr>
        <w:t>LEC</w:t>
      </w:r>
      <w:r w:rsidR="00350C1E">
        <w:rPr>
          <w:szCs w:val="26"/>
        </w:rPr>
        <w:t>’</w:t>
      </w:r>
      <w:r w:rsidR="00177538">
        <w:rPr>
          <w:szCs w:val="26"/>
        </w:rPr>
        <w:t>s interstate</w:t>
      </w:r>
      <w:r w:rsidR="00E20D68">
        <w:rPr>
          <w:szCs w:val="26"/>
        </w:rPr>
        <w:t xml:space="preserve"> or intrastate</w:t>
      </w:r>
      <w:r w:rsidR="00177538">
        <w:rPr>
          <w:szCs w:val="26"/>
        </w:rPr>
        <w:t xml:space="preserve"> Composite Terminating End Office A</w:t>
      </w:r>
      <w:r>
        <w:rPr>
          <w:szCs w:val="26"/>
        </w:rPr>
        <w:t>ccess Rate shall exceed its 2015</w:t>
      </w:r>
      <w:r w:rsidR="00177538">
        <w:rPr>
          <w:szCs w:val="26"/>
        </w:rPr>
        <w:t xml:space="preserve"> Target Rate.</w:t>
      </w:r>
      <w:r w:rsidR="00771EC3">
        <w:rPr>
          <w:szCs w:val="26"/>
        </w:rPr>
        <w:t xml:space="preserve"> </w:t>
      </w:r>
      <w:r w:rsidR="0022743B">
        <w:rPr>
          <w:szCs w:val="26"/>
        </w:rPr>
        <w:t xml:space="preserve"> </w:t>
      </w:r>
    </w:p>
    <w:p w:rsidR="00771EC3" w:rsidRDefault="00771EC3" w:rsidP="00B778B0">
      <w:pPr>
        <w:pStyle w:val="p3"/>
        <w:widowControl/>
        <w:tabs>
          <w:tab w:val="clear" w:pos="204"/>
          <w:tab w:val="left" w:pos="720"/>
        </w:tabs>
        <w:spacing w:line="240" w:lineRule="auto"/>
        <w:rPr>
          <w:szCs w:val="26"/>
        </w:rPr>
      </w:pPr>
    </w:p>
    <w:p w:rsidR="00771EC3" w:rsidRDefault="00864A51" w:rsidP="007C4CD9">
      <w:pPr>
        <w:pStyle w:val="p3"/>
        <w:widowControl/>
        <w:tabs>
          <w:tab w:val="clear" w:pos="204"/>
          <w:tab w:val="left" w:pos="720"/>
        </w:tabs>
        <w:ind w:firstLine="1440"/>
        <w:rPr>
          <w:szCs w:val="26"/>
        </w:rPr>
      </w:pPr>
      <w:r>
        <w:rPr>
          <w:szCs w:val="26"/>
        </w:rPr>
        <w:t xml:space="preserve">As with Step 3, </w:t>
      </w:r>
      <w:r w:rsidR="005E753A">
        <w:rPr>
          <w:szCs w:val="26"/>
        </w:rPr>
        <w:t>I</w:t>
      </w:r>
      <w:r w:rsidR="0022743B">
        <w:rPr>
          <w:szCs w:val="26"/>
        </w:rPr>
        <w:t>LECs</w:t>
      </w:r>
      <w:r w:rsidR="00771EC3">
        <w:rPr>
          <w:szCs w:val="26"/>
        </w:rPr>
        <w:t xml:space="preserve"> do</w:t>
      </w:r>
      <w:r w:rsidR="0022743B">
        <w:rPr>
          <w:szCs w:val="26"/>
        </w:rPr>
        <w:t xml:space="preserve"> have some flexibility in their</w:t>
      </w:r>
      <w:r>
        <w:rPr>
          <w:szCs w:val="26"/>
        </w:rPr>
        <w:t xml:space="preserve"> Step 4</w:t>
      </w:r>
      <w:r w:rsidR="0022743B">
        <w:rPr>
          <w:szCs w:val="26"/>
        </w:rPr>
        <w:t xml:space="preserve"> rate development to ensure</w:t>
      </w:r>
      <w:r w:rsidR="00350C1E">
        <w:rPr>
          <w:szCs w:val="26"/>
        </w:rPr>
        <w:t>,</w:t>
      </w:r>
      <w:r w:rsidR="0001373D">
        <w:rPr>
          <w:szCs w:val="26"/>
        </w:rPr>
        <w:t xml:space="preserve"> on a composite basis</w:t>
      </w:r>
      <w:r w:rsidR="00350C1E">
        <w:rPr>
          <w:szCs w:val="26"/>
        </w:rPr>
        <w:t>,</w:t>
      </w:r>
      <w:r w:rsidR="0022743B">
        <w:rPr>
          <w:szCs w:val="26"/>
        </w:rPr>
        <w:t xml:space="preserve"> that their </w:t>
      </w:r>
      <w:r w:rsidR="00771EC3">
        <w:rPr>
          <w:szCs w:val="26"/>
        </w:rPr>
        <w:t xml:space="preserve">Composite </w:t>
      </w:r>
      <w:r w:rsidR="0022743B">
        <w:rPr>
          <w:szCs w:val="26"/>
        </w:rPr>
        <w:t>Terminating End Office Access Service rates</w:t>
      </w:r>
      <w:r w:rsidR="005E345E">
        <w:rPr>
          <w:szCs w:val="26"/>
        </w:rPr>
        <w:t xml:space="preserve"> fall at or below the</w:t>
      </w:r>
      <w:r>
        <w:rPr>
          <w:szCs w:val="26"/>
        </w:rPr>
        <w:t xml:space="preserve"> 2015</w:t>
      </w:r>
      <w:r w:rsidR="005E345E">
        <w:rPr>
          <w:szCs w:val="26"/>
        </w:rPr>
        <w:t xml:space="preserve"> </w:t>
      </w:r>
      <w:r w:rsidR="007725EE">
        <w:rPr>
          <w:szCs w:val="26"/>
        </w:rPr>
        <w:t>Target Rate</w:t>
      </w:r>
      <w:r w:rsidR="0022743B">
        <w:rPr>
          <w:szCs w:val="26"/>
        </w:rPr>
        <w:t>.</w:t>
      </w:r>
      <w:r w:rsidR="00771EC3">
        <w:rPr>
          <w:szCs w:val="26"/>
        </w:rPr>
        <w:t xml:space="preserve">  Indeed, the </w:t>
      </w:r>
      <w:r w:rsidR="00771EC3">
        <w:rPr>
          <w:i/>
          <w:szCs w:val="26"/>
        </w:rPr>
        <w:t>FCC Order</w:t>
      </w:r>
      <w:r w:rsidR="00771EC3">
        <w:rPr>
          <w:szCs w:val="26"/>
        </w:rPr>
        <w:t xml:space="preserve"> allows </w:t>
      </w:r>
      <w:r w:rsidR="005E753A">
        <w:rPr>
          <w:szCs w:val="26"/>
        </w:rPr>
        <w:t>I</w:t>
      </w:r>
      <w:r w:rsidR="00771EC3">
        <w:rPr>
          <w:szCs w:val="26"/>
        </w:rPr>
        <w:t>LECs an opti</w:t>
      </w:r>
      <w:r w:rsidR="00B778B0">
        <w:rPr>
          <w:szCs w:val="26"/>
        </w:rPr>
        <w:t>on of implementing a single per-</w:t>
      </w:r>
      <w:r w:rsidR="00771EC3">
        <w:rPr>
          <w:szCs w:val="26"/>
        </w:rPr>
        <w:t xml:space="preserve">minute rate element for terminating End Office Access </w:t>
      </w:r>
      <w:r>
        <w:rPr>
          <w:szCs w:val="26"/>
        </w:rPr>
        <w:t>Service no greater than the 2015</w:t>
      </w:r>
      <w:r w:rsidR="00771EC3">
        <w:rPr>
          <w:szCs w:val="26"/>
        </w:rPr>
        <w:t xml:space="preserve"> Target Rate.  </w:t>
      </w:r>
    </w:p>
    <w:p w:rsidR="00771EC3" w:rsidRDefault="00771EC3" w:rsidP="00B778B0">
      <w:pPr>
        <w:pStyle w:val="p3"/>
        <w:widowControl/>
        <w:tabs>
          <w:tab w:val="clear" w:pos="204"/>
          <w:tab w:val="left" w:pos="720"/>
        </w:tabs>
        <w:spacing w:line="240" w:lineRule="auto"/>
        <w:rPr>
          <w:szCs w:val="26"/>
        </w:rPr>
      </w:pPr>
    </w:p>
    <w:p w:rsidR="00FA46FF" w:rsidRDefault="00771EC3" w:rsidP="007C4CD9">
      <w:pPr>
        <w:pStyle w:val="p3"/>
        <w:widowControl/>
        <w:tabs>
          <w:tab w:val="clear" w:pos="204"/>
          <w:tab w:val="left" w:pos="720"/>
        </w:tabs>
        <w:ind w:firstLine="1440"/>
        <w:rPr>
          <w:szCs w:val="26"/>
        </w:rPr>
      </w:pPr>
      <w:r>
        <w:rPr>
          <w:szCs w:val="26"/>
        </w:rPr>
        <w:t xml:space="preserve">We note that the </w:t>
      </w:r>
      <w:r>
        <w:rPr>
          <w:i/>
          <w:szCs w:val="26"/>
        </w:rPr>
        <w:t>March 31 FCC Order</w:t>
      </w:r>
      <w:r w:rsidR="00864A51">
        <w:rPr>
          <w:szCs w:val="26"/>
        </w:rPr>
        <w:t xml:space="preserve"> clarified</w:t>
      </w:r>
      <w:r>
        <w:rPr>
          <w:szCs w:val="26"/>
        </w:rPr>
        <w:t xml:space="preserve"> that</w:t>
      </w:r>
      <w:r w:rsidR="00350C1E">
        <w:rPr>
          <w:szCs w:val="26"/>
        </w:rPr>
        <w:t xml:space="preserve">, beginning in 2014, </w:t>
      </w:r>
      <w:r>
        <w:rPr>
          <w:szCs w:val="26"/>
        </w:rPr>
        <w:t>interstate/intrastate rate parity is to be maintained during the transition of terminating end office access</w:t>
      </w:r>
      <w:r w:rsidR="00350C1E">
        <w:rPr>
          <w:szCs w:val="26"/>
        </w:rPr>
        <w:t xml:space="preserve"> rates</w:t>
      </w:r>
      <w:r>
        <w:rPr>
          <w:szCs w:val="26"/>
        </w:rPr>
        <w:t xml:space="preserve"> to bill-and-keep.  Further, this parity is to be maintained between interstate and intrastate rates themselves, not just interstate and intrastate composite rates.</w:t>
      </w:r>
      <w:r>
        <w:rPr>
          <w:rStyle w:val="FootnoteReference"/>
          <w:szCs w:val="26"/>
        </w:rPr>
        <w:footnoteReference w:id="16"/>
      </w:r>
      <w:r>
        <w:rPr>
          <w:szCs w:val="26"/>
        </w:rPr>
        <w:t xml:space="preserve">  Thus, </w:t>
      </w:r>
      <w:r w:rsidR="002E286B">
        <w:rPr>
          <w:szCs w:val="26"/>
        </w:rPr>
        <w:t xml:space="preserve">the </w:t>
      </w:r>
      <w:r w:rsidR="008733F8">
        <w:rPr>
          <w:szCs w:val="26"/>
        </w:rPr>
        <w:t>Step 4</w:t>
      </w:r>
      <w:r>
        <w:rPr>
          <w:szCs w:val="26"/>
        </w:rPr>
        <w:t xml:space="preserve"> interstate and intrastate</w:t>
      </w:r>
      <w:r w:rsidR="005709C7">
        <w:rPr>
          <w:szCs w:val="26"/>
        </w:rPr>
        <w:t xml:space="preserve"> </w:t>
      </w:r>
      <w:r w:rsidR="002E286B">
        <w:rPr>
          <w:szCs w:val="26"/>
        </w:rPr>
        <w:t>access charge revisions</w:t>
      </w:r>
      <w:r w:rsidR="005709C7">
        <w:rPr>
          <w:szCs w:val="26"/>
        </w:rPr>
        <w:t xml:space="preserve"> should be identical.  The only exception being if a</w:t>
      </w:r>
      <w:r w:rsidR="005E753A">
        <w:rPr>
          <w:szCs w:val="26"/>
        </w:rPr>
        <w:t>n</w:t>
      </w:r>
      <w:r w:rsidR="005709C7">
        <w:rPr>
          <w:szCs w:val="26"/>
        </w:rPr>
        <w:t xml:space="preserve"> </w:t>
      </w:r>
      <w:r w:rsidR="005E753A">
        <w:rPr>
          <w:szCs w:val="26"/>
        </w:rPr>
        <w:t>I</w:t>
      </w:r>
      <w:r w:rsidR="005709C7">
        <w:rPr>
          <w:szCs w:val="26"/>
        </w:rPr>
        <w:t>LEC</w:t>
      </w:r>
      <w:r w:rsidR="005335B8">
        <w:rPr>
          <w:szCs w:val="26"/>
        </w:rPr>
        <w:t>’</w:t>
      </w:r>
      <w:r w:rsidR="005709C7">
        <w:rPr>
          <w:szCs w:val="26"/>
        </w:rPr>
        <w:t>s intrastate rates are already lower than its functionally equivalent interstate rates, in whic</w:t>
      </w:r>
      <w:r w:rsidR="00442425">
        <w:rPr>
          <w:szCs w:val="26"/>
        </w:rPr>
        <w:t>h case, pursuant to 47 C.F.R </w:t>
      </w:r>
      <w:r w:rsidR="00072859">
        <w:rPr>
          <w:szCs w:val="26"/>
        </w:rPr>
        <w:t>§ </w:t>
      </w:r>
      <w:r w:rsidR="008733F8">
        <w:rPr>
          <w:szCs w:val="26"/>
        </w:rPr>
        <w:t>51.907(e)(2) and 47 C.F.R. § 51.909(e)(1</w:t>
      </w:r>
      <w:r w:rsidR="005709C7">
        <w:rPr>
          <w:szCs w:val="26"/>
        </w:rPr>
        <w:t>)</w:t>
      </w:r>
      <w:r w:rsidR="008733F8">
        <w:rPr>
          <w:szCs w:val="26"/>
        </w:rPr>
        <w:t>(ii)</w:t>
      </w:r>
      <w:r w:rsidR="005335B8">
        <w:rPr>
          <w:szCs w:val="26"/>
        </w:rPr>
        <w:t xml:space="preserve">, </w:t>
      </w:r>
      <w:r w:rsidR="005E753A">
        <w:rPr>
          <w:szCs w:val="26"/>
        </w:rPr>
        <w:t>I</w:t>
      </w:r>
      <w:r w:rsidR="005709C7">
        <w:rPr>
          <w:szCs w:val="26"/>
        </w:rPr>
        <w:t xml:space="preserve">LECs are proscribed from making any intrastate tariff filing or revision to increase such rates.   </w:t>
      </w:r>
      <w:r>
        <w:rPr>
          <w:szCs w:val="26"/>
        </w:rPr>
        <w:t xml:space="preserve">   </w:t>
      </w:r>
      <w:r w:rsidR="0022743B">
        <w:rPr>
          <w:szCs w:val="26"/>
        </w:rPr>
        <w:t xml:space="preserve">    </w:t>
      </w:r>
    </w:p>
    <w:p w:rsidR="0001373D" w:rsidRDefault="0001373D" w:rsidP="00B778B0">
      <w:pPr>
        <w:pStyle w:val="p3"/>
        <w:widowControl/>
        <w:tabs>
          <w:tab w:val="clear" w:pos="204"/>
          <w:tab w:val="left" w:pos="720"/>
        </w:tabs>
        <w:spacing w:line="240" w:lineRule="auto"/>
        <w:rPr>
          <w:szCs w:val="26"/>
        </w:rPr>
      </w:pPr>
    </w:p>
    <w:p w:rsidR="005E753A" w:rsidRDefault="005E753A" w:rsidP="007C4CD9">
      <w:pPr>
        <w:pStyle w:val="p3"/>
        <w:widowControl/>
        <w:tabs>
          <w:tab w:val="clear" w:pos="204"/>
          <w:tab w:val="left" w:pos="720"/>
        </w:tabs>
        <w:ind w:firstLine="1440"/>
      </w:pPr>
      <w:r>
        <w:rPr>
          <w:szCs w:val="26"/>
        </w:rPr>
        <w:t>All ILEC tariff submissions must be accompanied by supporting information that shows how</w:t>
      </w:r>
      <w:r w:rsidR="00024AB1">
        <w:rPr>
          <w:szCs w:val="26"/>
        </w:rPr>
        <w:t xml:space="preserve"> the 2011 Baseline Rate and 2015</w:t>
      </w:r>
      <w:r>
        <w:rPr>
          <w:szCs w:val="26"/>
        </w:rPr>
        <w:t xml:space="preserve"> Target Rate were developed and demonstrates that the filed rates for Terminating End Office Access S</w:t>
      </w:r>
      <w:r w:rsidR="00024AB1">
        <w:rPr>
          <w:szCs w:val="26"/>
        </w:rPr>
        <w:t xml:space="preserve">ervice are at or below the 2015 </w:t>
      </w:r>
      <w:r>
        <w:rPr>
          <w:szCs w:val="26"/>
        </w:rPr>
        <w:t xml:space="preserve">Target Rate.  </w:t>
      </w:r>
      <w:r w:rsidR="00E90D20">
        <w:rPr>
          <w:szCs w:val="26"/>
        </w:rPr>
        <w:t>On March</w:t>
      </w:r>
      <w:r w:rsidR="00024AB1">
        <w:rPr>
          <w:szCs w:val="26"/>
        </w:rPr>
        <w:t xml:space="preserve"> 27, 2015</w:t>
      </w:r>
      <w:r w:rsidR="00072859">
        <w:rPr>
          <w:szCs w:val="26"/>
        </w:rPr>
        <w:t>, the FCC released an o</w:t>
      </w:r>
      <w:r w:rsidR="00E90D20">
        <w:rPr>
          <w:szCs w:val="26"/>
        </w:rPr>
        <w:t xml:space="preserve">rder that, </w:t>
      </w:r>
      <w:r w:rsidR="00E90D20">
        <w:rPr>
          <w:i/>
          <w:szCs w:val="26"/>
        </w:rPr>
        <w:t>inter alia,</w:t>
      </w:r>
      <w:r w:rsidR="00E90D20">
        <w:rPr>
          <w:szCs w:val="26"/>
        </w:rPr>
        <w:t xml:space="preserve"> established p</w:t>
      </w:r>
      <w:r w:rsidR="00024AB1">
        <w:rPr>
          <w:szCs w:val="26"/>
        </w:rPr>
        <w:t>rocedures and dates for the 2015</w:t>
      </w:r>
      <w:r w:rsidR="00E90D20">
        <w:rPr>
          <w:szCs w:val="26"/>
        </w:rPr>
        <w:t xml:space="preserve"> filing of annual access </w:t>
      </w:r>
      <w:r w:rsidR="00E90D20">
        <w:rPr>
          <w:szCs w:val="26"/>
        </w:rPr>
        <w:lastRenderedPageBreak/>
        <w:t>charge tariffs.</w:t>
      </w:r>
      <w:r w:rsidR="00E90D20">
        <w:rPr>
          <w:rStyle w:val="FootnoteReference"/>
          <w:szCs w:val="26"/>
        </w:rPr>
        <w:footnoteReference w:id="17"/>
      </w:r>
      <w:r w:rsidR="00E90D20">
        <w:rPr>
          <w:szCs w:val="26"/>
        </w:rPr>
        <w:t xml:space="preserve">  </w:t>
      </w:r>
      <w:r>
        <w:rPr>
          <w:szCs w:val="26"/>
        </w:rPr>
        <w:t xml:space="preserve">The FCC requires LECs to file an annual Access Reduction Tariff Review Plan (TRP) with each rate reduction tariff filing.  </w:t>
      </w:r>
      <w:r>
        <w:t>Based on past practice, we expect the FCC will requ</w:t>
      </w:r>
      <w:r w:rsidR="00024AB1">
        <w:t>ire the TRP for the 2015</w:t>
      </w:r>
      <w:r>
        <w:t xml:space="preserve"> access charge revisions to include supporting calculations.</w:t>
      </w:r>
      <w:r w:rsidR="00B778B0">
        <w:t xml:space="preserve">  </w:t>
      </w:r>
      <w:r w:rsidR="00C91704">
        <w:t>Consequently, ILECs may utilize their</w:t>
      </w:r>
      <w:r>
        <w:t xml:space="preserve"> TRP as supporting informat</w:t>
      </w:r>
      <w:r w:rsidR="00024AB1">
        <w:t xml:space="preserve">ion </w:t>
      </w:r>
      <w:r w:rsidR="00C91704">
        <w:t xml:space="preserve">for </w:t>
      </w:r>
      <w:r w:rsidR="00024AB1">
        <w:t>their intrastate Step 4</w:t>
      </w:r>
      <w:r>
        <w:t xml:space="preserve"> access charge revisions. </w:t>
      </w:r>
    </w:p>
    <w:p w:rsidR="005E753A" w:rsidRDefault="005E753A" w:rsidP="00B778B0">
      <w:pPr>
        <w:pStyle w:val="p3"/>
        <w:widowControl/>
        <w:tabs>
          <w:tab w:val="clear" w:pos="204"/>
          <w:tab w:val="left" w:pos="720"/>
        </w:tabs>
        <w:spacing w:line="240" w:lineRule="auto"/>
      </w:pPr>
    </w:p>
    <w:p w:rsidR="00E90D20" w:rsidRPr="00E90D20" w:rsidRDefault="005E753A" w:rsidP="007C4CD9">
      <w:pPr>
        <w:pStyle w:val="p3"/>
        <w:widowControl/>
        <w:tabs>
          <w:tab w:val="clear" w:pos="204"/>
          <w:tab w:val="left" w:pos="720"/>
        </w:tabs>
        <w:ind w:firstLine="1440"/>
        <w:rPr>
          <w:szCs w:val="26"/>
        </w:rPr>
      </w:pPr>
      <w:r>
        <w:t>Pursuant to 47 C.F.R. § 5</w:t>
      </w:r>
      <w:r w:rsidR="004276AB">
        <w:t>1.911(c), all CLEC Access Reciprocal Compensation rates for switched exchange access service shall be no higher than the Access Reciprocal Compensation rates charged by the competing ILEC, in accordance with the same procedures specified in 47 C.F.R. § 61.26.  Therefore, all CLECs having switched access</w:t>
      </w:r>
      <w:r w:rsidR="00B778B0">
        <w:t xml:space="preserve"> tariffs are also to file Step 4</w:t>
      </w:r>
      <w:r w:rsidR="004276AB">
        <w:t xml:space="preserve"> access charge revisions.</w:t>
      </w:r>
      <w:r w:rsidR="00B778B0">
        <w:t xml:space="preserve">  CLECs may reference the Step 4</w:t>
      </w:r>
      <w:r w:rsidR="004276AB">
        <w:t xml:space="preserve"> access charge revision filing of the underlying ILEC</w:t>
      </w:r>
      <w:r w:rsidR="00C91704">
        <w:t>(s)</w:t>
      </w:r>
      <w:r w:rsidR="004276AB">
        <w:t xml:space="preserve"> as supporting information for the rates included in their filings.</w:t>
      </w:r>
      <w:r w:rsidR="00B778B0">
        <w:t xml:space="preserve">  Any CLEC utilizing blended rates must include supporting documentation demonstrating that its blended rates are at or below the </w:t>
      </w:r>
      <w:r w:rsidR="00B778B0">
        <w:rPr>
          <w:szCs w:val="26"/>
        </w:rPr>
        <w:t>Composite Terminating End Office Access Rate of the underlying ILEC</w:t>
      </w:r>
      <w:r w:rsidR="00C91704">
        <w:rPr>
          <w:szCs w:val="26"/>
        </w:rPr>
        <w:t>(s)</w:t>
      </w:r>
      <w:r w:rsidR="00B778B0">
        <w:rPr>
          <w:szCs w:val="26"/>
        </w:rPr>
        <w:t xml:space="preserve">. </w:t>
      </w:r>
      <w:r w:rsidR="00B778B0">
        <w:t xml:space="preserve">  </w:t>
      </w:r>
      <w:r w:rsidR="004276AB">
        <w:t xml:space="preserve">    </w:t>
      </w:r>
      <w:r w:rsidR="00E90D20" w:rsidRPr="00E90D20">
        <w:rPr>
          <w:szCs w:val="26"/>
        </w:rPr>
        <w:tab/>
      </w:r>
    </w:p>
    <w:p w:rsidR="00FA46FF" w:rsidRDefault="00FA46FF" w:rsidP="00B778B0">
      <w:pPr>
        <w:pStyle w:val="p3"/>
        <w:widowControl/>
        <w:tabs>
          <w:tab w:val="clear" w:pos="204"/>
          <w:tab w:val="left" w:pos="720"/>
        </w:tabs>
        <w:spacing w:line="240" w:lineRule="auto"/>
        <w:rPr>
          <w:b/>
          <w:szCs w:val="26"/>
        </w:rPr>
      </w:pPr>
    </w:p>
    <w:p w:rsidR="001A6447" w:rsidRPr="001A6447" w:rsidRDefault="001A6447" w:rsidP="001A6447">
      <w:pPr>
        <w:pStyle w:val="p3"/>
        <w:widowControl/>
        <w:tabs>
          <w:tab w:val="clear" w:pos="204"/>
          <w:tab w:val="left" w:pos="720"/>
        </w:tabs>
        <w:rPr>
          <w:b/>
          <w:szCs w:val="26"/>
        </w:rPr>
      </w:pPr>
      <w:r w:rsidRPr="001A6447">
        <w:rPr>
          <w:b/>
          <w:szCs w:val="26"/>
        </w:rPr>
        <w:t>Timing and Process for Filing Tariffs</w:t>
      </w:r>
    </w:p>
    <w:p w:rsidR="00765E84" w:rsidRDefault="00765E84" w:rsidP="00B778B0">
      <w:pPr>
        <w:spacing w:line="240" w:lineRule="auto"/>
        <w:ind w:firstLine="720"/>
      </w:pPr>
    </w:p>
    <w:p w:rsidR="001A6447" w:rsidRDefault="00086616" w:rsidP="00F7050F">
      <w:pPr>
        <w:pStyle w:val="p3"/>
        <w:tabs>
          <w:tab w:val="clear" w:pos="204"/>
          <w:tab w:val="left" w:pos="720"/>
        </w:tabs>
        <w:ind w:firstLine="1440"/>
        <w:rPr>
          <w:szCs w:val="26"/>
        </w:rPr>
      </w:pPr>
      <w:r w:rsidRPr="0072320B">
        <w:rPr>
          <w:szCs w:val="26"/>
        </w:rPr>
        <w:t xml:space="preserve">Pursuant to the </w:t>
      </w:r>
      <w:r w:rsidRPr="0072320B">
        <w:rPr>
          <w:i/>
          <w:szCs w:val="26"/>
        </w:rPr>
        <w:t>FCC Order</w:t>
      </w:r>
      <w:r w:rsidR="00D26D2B" w:rsidRPr="0072320B">
        <w:rPr>
          <w:szCs w:val="26"/>
        </w:rPr>
        <w:t xml:space="preserve">, </w:t>
      </w:r>
      <w:r w:rsidR="00681DE1">
        <w:rPr>
          <w:szCs w:val="26"/>
        </w:rPr>
        <w:t>effective July 1, 201</w:t>
      </w:r>
      <w:r w:rsidR="00024AB1">
        <w:rPr>
          <w:szCs w:val="26"/>
        </w:rPr>
        <w:t>5</w:t>
      </w:r>
      <w:r w:rsidR="0072320B" w:rsidRPr="0072320B">
        <w:rPr>
          <w:szCs w:val="26"/>
        </w:rPr>
        <w:t xml:space="preserve">, </w:t>
      </w:r>
      <w:r w:rsidR="00681DE1">
        <w:rPr>
          <w:szCs w:val="26"/>
        </w:rPr>
        <w:t xml:space="preserve">Composite Terminating End Office Access Rate </w:t>
      </w:r>
      <w:r w:rsidR="0072320B" w:rsidRPr="0072320B">
        <w:rPr>
          <w:szCs w:val="26"/>
        </w:rPr>
        <w:t>shall conform to the requirements s</w:t>
      </w:r>
      <w:r w:rsidR="00442425">
        <w:rPr>
          <w:szCs w:val="26"/>
        </w:rPr>
        <w:t>et forth in 47 C.F.R. § </w:t>
      </w:r>
      <w:r w:rsidR="00024AB1">
        <w:rPr>
          <w:szCs w:val="26"/>
        </w:rPr>
        <w:t>51.907(e</w:t>
      </w:r>
      <w:r w:rsidR="0072320B" w:rsidRPr="0072320B">
        <w:rPr>
          <w:szCs w:val="26"/>
        </w:rPr>
        <w:t xml:space="preserve">) for </w:t>
      </w:r>
      <w:r w:rsidR="00F7050F">
        <w:rPr>
          <w:szCs w:val="26"/>
        </w:rPr>
        <w:t xml:space="preserve">federal </w:t>
      </w:r>
      <w:r w:rsidR="0072320B" w:rsidRPr="0072320B">
        <w:rPr>
          <w:szCs w:val="26"/>
        </w:rPr>
        <w:t>pric</w:t>
      </w:r>
      <w:r w:rsidR="00681DE1">
        <w:rPr>
          <w:szCs w:val="26"/>
        </w:rPr>
        <w:t xml:space="preserve">e cap ILECs, 47 </w:t>
      </w:r>
      <w:r w:rsidR="00024AB1">
        <w:rPr>
          <w:szCs w:val="26"/>
        </w:rPr>
        <w:t>C.F.R § 51.909(e</w:t>
      </w:r>
      <w:r w:rsidR="00442425">
        <w:rPr>
          <w:szCs w:val="26"/>
        </w:rPr>
        <w:t xml:space="preserve">) for </w:t>
      </w:r>
      <w:r w:rsidR="00F7050F">
        <w:rPr>
          <w:szCs w:val="26"/>
        </w:rPr>
        <w:t xml:space="preserve">federal </w:t>
      </w:r>
      <w:r w:rsidR="00442425">
        <w:rPr>
          <w:szCs w:val="26"/>
        </w:rPr>
        <w:t>ROR ILECs and § </w:t>
      </w:r>
      <w:r w:rsidR="0072320B" w:rsidRPr="0072320B">
        <w:rPr>
          <w:szCs w:val="26"/>
        </w:rPr>
        <w:t>51.911(c) for CLECs.</w:t>
      </w:r>
      <w:r w:rsidR="0037068D">
        <w:rPr>
          <w:szCs w:val="26"/>
        </w:rPr>
        <w:t xml:space="preserve">  All ILECs and those </w:t>
      </w:r>
      <w:r w:rsidR="001A6447">
        <w:rPr>
          <w:szCs w:val="26"/>
        </w:rPr>
        <w:t xml:space="preserve">CLECs having switched access tariffs are required to file tariff supplements and supporting information </w:t>
      </w:r>
      <w:r w:rsidR="00C91704">
        <w:rPr>
          <w:szCs w:val="26"/>
        </w:rPr>
        <w:t xml:space="preserve">demonstrating </w:t>
      </w:r>
      <w:r w:rsidR="0072494E">
        <w:rPr>
          <w:szCs w:val="26"/>
        </w:rPr>
        <w:t>their</w:t>
      </w:r>
      <w:r w:rsidR="00024AB1">
        <w:rPr>
          <w:szCs w:val="26"/>
        </w:rPr>
        <w:t xml:space="preserve"> compliance with the Step 4</w:t>
      </w:r>
      <w:r w:rsidR="001A6447">
        <w:rPr>
          <w:szCs w:val="26"/>
        </w:rPr>
        <w:t xml:space="preserve"> access charge re</w:t>
      </w:r>
      <w:r w:rsidR="0037068D">
        <w:rPr>
          <w:szCs w:val="26"/>
        </w:rPr>
        <w:t>vision</w:t>
      </w:r>
      <w:r w:rsidR="001A6447">
        <w:rPr>
          <w:szCs w:val="26"/>
        </w:rPr>
        <w:t>s.  In orde</w:t>
      </w:r>
      <w:r w:rsidR="00024AB1">
        <w:rPr>
          <w:szCs w:val="26"/>
        </w:rPr>
        <w:t>r to meet the FCC’s July 1, 2015</w:t>
      </w:r>
      <w:r w:rsidR="001A6447">
        <w:rPr>
          <w:szCs w:val="26"/>
        </w:rPr>
        <w:t xml:space="preserve"> deadline, we shall require carriers to file their tariff supplements and supporting information according to the following schedule: </w:t>
      </w:r>
    </w:p>
    <w:p w:rsidR="005269D8" w:rsidRDefault="005269D8" w:rsidP="00B778B0">
      <w:pPr>
        <w:pStyle w:val="p3"/>
        <w:tabs>
          <w:tab w:val="clear" w:pos="204"/>
          <w:tab w:val="left" w:pos="720"/>
        </w:tabs>
        <w:spacing w:line="240" w:lineRule="auto"/>
        <w:rPr>
          <w:szCs w:val="26"/>
        </w:rPr>
      </w:pPr>
    </w:p>
    <w:p w:rsidR="001A6447" w:rsidRDefault="001A6447" w:rsidP="0037068D">
      <w:pPr>
        <w:pStyle w:val="p3"/>
        <w:numPr>
          <w:ilvl w:val="0"/>
          <w:numId w:val="3"/>
        </w:numPr>
        <w:tabs>
          <w:tab w:val="clear" w:pos="204"/>
          <w:tab w:val="left" w:pos="720"/>
        </w:tabs>
        <w:ind w:left="1440"/>
        <w:rPr>
          <w:szCs w:val="26"/>
        </w:rPr>
      </w:pPr>
      <w:r w:rsidRPr="001A6447">
        <w:rPr>
          <w:szCs w:val="26"/>
        </w:rPr>
        <w:t xml:space="preserve">All ILECs shall file with the Commission tariff supplements and supporting </w:t>
      </w:r>
      <w:r w:rsidR="0072494E">
        <w:rPr>
          <w:szCs w:val="26"/>
        </w:rPr>
        <w:lastRenderedPageBreak/>
        <w:t>information</w:t>
      </w:r>
      <w:r w:rsidR="00024AB1">
        <w:rPr>
          <w:szCs w:val="26"/>
        </w:rPr>
        <w:t xml:space="preserve"> implementing the Step 4</w:t>
      </w:r>
      <w:r w:rsidRPr="001A6447">
        <w:rPr>
          <w:szCs w:val="26"/>
        </w:rPr>
        <w:t xml:space="preserve"> access charge revisions as contemplated by the </w:t>
      </w:r>
      <w:r w:rsidRPr="001A6447">
        <w:rPr>
          <w:i/>
          <w:szCs w:val="26"/>
        </w:rPr>
        <w:t>FCC Order</w:t>
      </w:r>
      <w:r w:rsidR="00B778B0">
        <w:rPr>
          <w:szCs w:val="26"/>
        </w:rPr>
        <w:t xml:space="preserve"> no later than May 18, 2015</w:t>
      </w:r>
      <w:r w:rsidRPr="001A6447">
        <w:rPr>
          <w:szCs w:val="26"/>
        </w:rPr>
        <w:t xml:space="preserve">.  </w:t>
      </w:r>
    </w:p>
    <w:p w:rsidR="001A6447" w:rsidRDefault="001A6447" w:rsidP="00B778B0">
      <w:pPr>
        <w:pStyle w:val="p3"/>
        <w:tabs>
          <w:tab w:val="clear" w:pos="204"/>
          <w:tab w:val="left" w:pos="720"/>
        </w:tabs>
        <w:spacing w:line="240" w:lineRule="auto"/>
        <w:ind w:left="1440"/>
        <w:rPr>
          <w:szCs w:val="26"/>
        </w:rPr>
      </w:pPr>
    </w:p>
    <w:p w:rsidR="009A720E" w:rsidRDefault="001A6447" w:rsidP="0037068D">
      <w:pPr>
        <w:pStyle w:val="p3"/>
        <w:numPr>
          <w:ilvl w:val="0"/>
          <w:numId w:val="3"/>
        </w:numPr>
        <w:tabs>
          <w:tab w:val="clear" w:pos="204"/>
          <w:tab w:val="left" w:pos="720"/>
        </w:tabs>
        <w:ind w:left="1440"/>
        <w:rPr>
          <w:szCs w:val="26"/>
        </w:rPr>
      </w:pPr>
      <w:r w:rsidRPr="001A6447">
        <w:rPr>
          <w:szCs w:val="26"/>
        </w:rPr>
        <w:t xml:space="preserve">All CLECs shall file with the Commission tariff supplements and supporting </w:t>
      </w:r>
      <w:r w:rsidR="0072494E">
        <w:rPr>
          <w:szCs w:val="26"/>
        </w:rPr>
        <w:t>information</w:t>
      </w:r>
      <w:r w:rsidR="00B778B0">
        <w:rPr>
          <w:szCs w:val="26"/>
        </w:rPr>
        <w:t xml:space="preserve"> implementing the Step 4</w:t>
      </w:r>
      <w:r w:rsidRPr="001A6447">
        <w:rPr>
          <w:szCs w:val="26"/>
        </w:rPr>
        <w:t xml:space="preserve"> access charge revisions as contemplated by the </w:t>
      </w:r>
      <w:r w:rsidRPr="001A6447">
        <w:rPr>
          <w:i/>
          <w:szCs w:val="26"/>
        </w:rPr>
        <w:t>FCC Order</w:t>
      </w:r>
      <w:r w:rsidR="00B778B0">
        <w:rPr>
          <w:szCs w:val="26"/>
        </w:rPr>
        <w:t xml:space="preserve"> no later than June 1, 2015</w:t>
      </w:r>
      <w:r w:rsidRPr="001A6447">
        <w:rPr>
          <w:szCs w:val="26"/>
        </w:rPr>
        <w:t>.</w:t>
      </w:r>
    </w:p>
    <w:p w:rsidR="00F7050F" w:rsidRDefault="00F7050F" w:rsidP="00F7050F">
      <w:pPr>
        <w:pStyle w:val="ListParagraph"/>
        <w:spacing w:after="0" w:line="240" w:lineRule="auto"/>
        <w:rPr>
          <w:szCs w:val="26"/>
        </w:rPr>
      </w:pPr>
    </w:p>
    <w:p w:rsidR="00F7050F" w:rsidRDefault="00F7050F" w:rsidP="0037068D">
      <w:pPr>
        <w:pStyle w:val="p3"/>
        <w:numPr>
          <w:ilvl w:val="0"/>
          <w:numId w:val="3"/>
        </w:numPr>
        <w:tabs>
          <w:tab w:val="clear" w:pos="204"/>
          <w:tab w:val="left" w:pos="720"/>
        </w:tabs>
        <w:ind w:left="1440"/>
        <w:rPr>
          <w:szCs w:val="26"/>
        </w:rPr>
      </w:pPr>
      <w:r>
        <w:rPr>
          <w:szCs w:val="26"/>
        </w:rPr>
        <w:t xml:space="preserve">All ILECs and CLECs filing these tariff supplements will clearly delineate the total annual amounts of their respective intrastate carrier access charge </w:t>
      </w:r>
      <w:r w:rsidR="00D11935">
        <w:rPr>
          <w:szCs w:val="26"/>
        </w:rPr>
        <w:t>reductions in the supporting information and data.</w:t>
      </w:r>
    </w:p>
    <w:p w:rsidR="00B778B0" w:rsidRDefault="00B778B0" w:rsidP="00B778B0">
      <w:pPr>
        <w:spacing w:line="240" w:lineRule="auto"/>
      </w:pPr>
    </w:p>
    <w:p w:rsidR="00C267E7" w:rsidRDefault="00C267E7" w:rsidP="007C4CD9">
      <w:pPr>
        <w:ind w:firstLine="1440"/>
      </w:pPr>
      <w:r>
        <w:t xml:space="preserve">LECs may opt to, in accordance with Commission rules, </w:t>
      </w:r>
      <w:proofErr w:type="spellStart"/>
      <w:r>
        <w:t>eFile</w:t>
      </w:r>
      <w:proofErr w:type="spellEnd"/>
      <w:r>
        <w:t xml:space="preserve"> their tariff supplements and supporting information.  Information regarding </w:t>
      </w:r>
      <w:proofErr w:type="spellStart"/>
      <w:r>
        <w:t>eFiling</w:t>
      </w:r>
      <w:proofErr w:type="spellEnd"/>
      <w:r>
        <w:t xml:space="preserve"> is available on the Commission’s website at </w:t>
      </w:r>
      <w:hyperlink r:id="rId9" w:history="1">
        <w:r w:rsidRPr="00187181">
          <w:rPr>
            <w:rStyle w:val="Hyperlink"/>
          </w:rPr>
          <w:t>http://www.puc.pa.gov/efiling/default.aspx</w:t>
        </w:r>
      </w:hyperlink>
      <w:r>
        <w:t>.</w:t>
      </w:r>
    </w:p>
    <w:p w:rsidR="00C267E7" w:rsidRDefault="00C267E7" w:rsidP="00B778B0">
      <w:pPr>
        <w:spacing w:line="240" w:lineRule="auto"/>
      </w:pPr>
    </w:p>
    <w:p w:rsidR="0037068D" w:rsidRDefault="0037068D" w:rsidP="007C4CD9">
      <w:pPr>
        <w:ind w:firstLine="1440"/>
      </w:pPr>
      <w:r w:rsidRPr="00263DFE">
        <w:t>In addition to</w:t>
      </w:r>
      <w:r w:rsidR="00C267E7">
        <w:t xml:space="preserve"> </w:t>
      </w:r>
      <w:proofErr w:type="spellStart"/>
      <w:r w:rsidR="00C267E7">
        <w:t>eFiling</w:t>
      </w:r>
      <w:proofErr w:type="spellEnd"/>
      <w:r w:rsidR="00C267E7">
        <w:t xml:space="preserve"> or submitting</w:t>
      </w:r>
      <w:r w:rsidR="00361AE2">
        <w:t xml:space="preserve"> hard</w:t>
      </w:r>
      <w:r w:rsidR="00072859">
        <w:t xml:space="preserve"> </w:t>
      </w:r>
      <w:r w:rsidRPr="00263DFE">
        <w:t xml:space="preserve">copies of their filings </w:t>
      </w:r>
      <w:r w:rsidR="00C267E7">
        <w:t>to</w:t>
      </w:r>
      <w:r w:rsidRPr="00263DFE">
        <w:t xml:space="preserve"> the Commission’s Secretary’s Bureau, all LECs </w:t>
      </w:r>
      <w:r w:rsidR="00C91704">
        <w:t>must</w:t>
      </w:r>
      <w:r w:rsidRPr="00263DFE">
        <w:t xml:space="preserve"> send </w:t>
      </w:r>
      <w:r>
        <w:t xml:space="preserve">electronic </w:t>
      </w:r>
      <w:r w:rsidRPr="00263DFE">
        <w:t>copies of the</w:t>
      </w:r>
      <w:r w:rsidR="00C267E7">
        <w:t xml:space="preserve"> supporting in</w:t>
      </w:r>
      <w:r w:rsidR="00B75B41">
        <w:t>formation</w:t>
      </w:r>
      <w:r w:rsidR="00C267E7">
        <w:t xml:space="preserve"> </w:t>
      </w:r>
      <w:r w:rsidRPr="00263DFE">
        <w:t xml:space="preserve">to </w:t>
      </w:r>
      <w:hyperlink r:id="rId10" w:history="1">
        <w:r w:rsidRPr="00C267E7">
          <w:rPr>
            <w:color w:val="0000FF"/>
            <w:u w:val="single"/>
          </w:rPr>
          <w:t>RA-PUCTelco@pa.gov</w:t>
        </w:r>
      </w:hyperlink>
      <w:r w:rsidRPr="00263DFE">
        <w:t>.</w:t>
      </w:r>
    </w:p>
    <w:p w:rsidR="00681DE1" w:rsidRDefault="00681DE1" w:rsidP="00B778B0">
      <w:pPr>
        <w:spacing w:line="240" w:lineRule="auto"/>
        <w:ind w:firstLine="720"/>
      </w:pPr>
    </w:p>
    <w:p w:rsidR="00116607" w:rsidRDefault="00116607" w:rsidP="007C4CD9">
      <w:pPr>
        <w:ind w:firstLine="1440"/>
      </w:pPr>
      <w:r>
        <w:t>In addition, we encourage ILECs and CLECs that operate under this Commission’s jurisdiction and 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E26B61" w:rsidRDefault="00E26B61">
      <w:pPr>
        <w:spacing w:after="200" w:line="276" w:lineRule="auto"/>
      </w:pPr>
      <w:r>
        <w:br w:type="page"/>
      </w:r>
    </w:p>
    <w:p w:rsidR="00490E75" w:rsidRDefault="00AA510E" w:rsidP="00D3341B">
      <w:pPr>
        <w:jc w:val="center"/>
        <w:rPr>
          <w:b/>
        </w:rPr>
      </w:pPr>
      <w:r w:rsidRPr="00AA510E">
        <w:rPr>
          <w:b/>
        </w:rPr>
        <w:lastRenderedPageBreak/>
        <w:t>CONCLUSION</w:t>
      </w:r>
    </w:p>
    <w:p w:rsidR="00B778B0" w:rsidRDefault="00B778B0" w:rsidP="00B778B0">
      <w:pPr>
        <w:spacing w:line="240" w:lineRule="auto"/>
        <w:jc w:val="center"/>
        <w:rPr>
          <w:b/>
        </w:rPr>
      </w:pPr>
    </w:p>
    <w:p w:rsidR="00EB58F7" w:rsidRPr="00EB58F7" w:rsidRDefault="00B778B0" w:rsidP="007C4CD9">
      <w:pPr>
        <w:pStyle w:val="p3"/>
        <w:tabs>
          <w:tab w:val="clear" w:pos="204"/>
          <w:tab w:val="left" w:pos="720"/>
        </w:tabs>
        <w:ind w:firstLine="1440"/>
        <w:rPr>
          <w:b/>
          <w:szCs w:val="26"/>
        </w:rPr>
      </w:pPr>
      <w:r>
        <w:rPr>
          <w:szCs w:val="26"/>
        </w:rPr>
        <w:t>The Step 4</w:t>
      </w:r>
      <w:r w:rsidR="005269D8" w:rsidRPr="00FB39EA">
        <w:rPr>
          <w:szCs w:val="26"/>
        </w:rPr>
        <w:t xml:space="preserve"> </w:t>
      </w:r>
      <w:r w:rsidR="0072494E">
        <w:rPr>
          <w:szCs w:val="26"/>
        </w:rPr>
        <w:t xml:space="preserve">access charge revisions </w:t>
      </w:r>
      <w:r w:rsidR="005269D8" w:rsidRPr="00FB39EA">
        <w:rPr>
          <w:szCs w:val="26"/>
        </w:rPr>
        <w:t>are a mandated action outlined by the FCC.</w:t>
      </w:r>
      <w:r w:rsidR="005269D8">
        <w:rPr>
          <w:szCs w:val="26"/>
        </w:rPr>
        <w:t xml:space="preserve">  All ILECs and those CLECs having switched access tariffs are directed to file </w:t>
      </w:r>
      <w:r w:rsidR="00EB58F7">
        <w:rPr>
          <w:szCs w:val="26"/>
        </w:rPr>
        <w:t>tariff supplements</w:t>
      </w:r>
      <w:r w:rsidR="005269D8">
        <w:rPr>
          <w:szCs w:val="26"/>
        </w:rPr>
        <w:t xml:space="preserve"> implementing </w:t>
      </w:r>
      <w:r w:rsidR="0072494E">
        <w:rPr>
          <w:szCs w:val="26"/>
        </w:rPr>
        <w:t xml:space="preserve">the </w:t>
      </w:r>
      <w:r>
        <w:rPr>
          <w:szCs w:val="26"/>
        </w:rPr>
        <w:t>Step 4</w:t>
      </w:r>
      <w:r w:rsidR="005269D8">
        <w:rPr>
          <w:szCs w:val="26"/>
        </w:rPr>
        <w:t xml:space="preserve"> access charge revisions as contemplated by the </w:t>
      </w:r>
      <w:r w:rsidR="005269D8" w:rsidRPr="00B748D8">
        <w:rPr>
          <w:i/>
          <w:szCs w:val="26"/>
        </w:rPr>
        <w:t>FCC Order</w:t>
      </w:r>
      <w:r w:rsidR="005269D8">
        <w:rPr>
          <w:i/>
          <w:szCs w:val="26"/>
        </w:rPr>
        <w:t xml:space="preserve"> </w:t>
      </w:r>
      <w:r w:rsidR="00E97D9C">
        <w:rPr>
          <w:szCs w:val="26"/>
        </w:rPr>
        <w:t xml:space="preserve">along with supporting information </w:t>
      </w:r>
      <w:r w:rsidR="00740E75">
        <w:rPr>
          <w:szCs w:val="26"/>
        </w:rPr>
        <w:t>according to the procedure</w:t>
      </w:r>
      <w:r w:rsidR="0072494E">
        <w:rPr>
          <w:szCs w:val="26"/>
        </w:rPr>
        <w:t>s</w:t>
      </w:r>
      <w:r w:rsidR="00072859">
        <w:rPr>
          <w:szCs w:val="26"/>
        </w:rPr>
        <w:t xml:space="preserve"> set forth in this Order,</w:t>
      </w:r>
      <w:r w:rsidR="00B75B41">
        <w:rPr>
          <w:szCs w:val="26"/>
        </w:rPr>
        <w:t xml:space="preserve"> </w:t>
      </w:r>
      <w:r w:rsidR="001B104E" w:rsidRPr="002F58F8">
        <w:rPr>
          <w:b/>
          <w:szCs w:val="26"/>
        </w:rPr>
        <w:t>THEREFORE</w:t>
      </w:r>
      <w:r w:rsidR="001B104E">
        <w:rPr>
          <w:b/>
          <w:szCs w:val="26"/>
        </w:rPr>
        <w:t>;</w:t>
      </w:r>
    </w:p>
    <w:p w:rsidR="00E26B61" w:rsidRDefault="00E26B61" w:rsidP="00E26B61">
      <w:pPr>
        <w:spacing w:line="240" w:lineRule="auto"/>
        <w:rPr>
          <w:b/>
          <w:bCs/>
        </w:rPr>
      </w:pPr>
    </w:p>
    <w:p w:rsidR="001B104E" w:rsidRDefault="001B104E" w:rsidP="00E26B61">
      <w:pPr>
        <w:spacing w:line="240" w:lineRule="auto"/>
        <w:ind w:left="720" w:firstLine="720"/>
        <w:rPr>
          <w:b/>
          <w:bCs/>
        </w:rPr>
      </w:pPr>
      <w:r w:rsidRPr="002F58F8">
        <w:rPr>
          <w:b/>
          <w:bCs/>
        </w:rPr>
        <w:t>IT IS ORDERED:</w:t>
      </w:r>
    </w:p>
    <w:p w:rsidR="00E90D20" w:rsidRDefault="00E90D20" w:rsidP="001B104E">
      <w:pPr>
        <w:rPr>
          <w:b/>
          <w:bCs/>
        </w:rPr>
      </w:pPr>
    </w:p>
    <w:p w:rsidR="00CF4BD0" w:rsidRPr="007C4CD9" w:rsidRDefault="007C4CD9" w:rsidP="00925E38">
      <w:pPr>
        <w:ind w:firstLine="1440"/>
        <w:rPr>
          <w:rFonts w:eastAsia="Times New Roman"/>
        </w:rPr>
      </w:pPr>
      <w:r>
        <w:rPr>
          <w:rFonts w:eastAsia="Times New Roman"/>
        </w:rPr>
        <w:t xml:space="preserve">1.  </w:t>
      </w:r>
      <w:r w:rsidR="00CF4BD0" w:rsidRPr="007C4CD9">
        <w:rPr>
          <w:rFonts w:eastAsia="Times New Roman"/>
        </w:rPr>
        <w:t xml:space="preserve">That all Incumbent Local Exchange Carriers must file tariff supplements and supporting </w:t>
      </w:r>
      <w:r w:rsidR="0072494E" w:rsidRPr="007C4CD9">
        <w:rPr>
          <w:rFonts w:eastAsia="Times New Roman"/>
        </w:rPr>
        <w:t>information</w:t>
      </w:r>
      <w:r w:rsidR="00B778B0" w:rsidRPr="007C4CD9">
        <w:rPr>
          <w:rFonts w:eastAsia="Times New Roman"/>
        </w:rPr>
        <w:t xml:space="preserve"> implementing Step 4</w:t>
      </w:r>
      <w:r w:rsidR="00041B84" w:rsidRPr="007C4CD9">
        <w:rPr>
          <w:rFonts w:eastAsia="Times New Roman"/>
        </w:rPr>
        <w:t xml:space="preserve"> of the intrastate access charge revisions as contemplated by the </w:t>
      </w:r>
      <w:r w:rsidR="00041B84" w:rsidRPr="007C4CD9">
        <w:rPr>
          <w:rFonts w:eastAsia="Times New Roman"/>
          <w:i/>
        </w:rPr>
        <w:t>FCC Order</w:t>
      </w:r>
      <w:r w:rsidR="00CF4BD0" w:rsidRPr="007C4CD9">
        <w:rPr>
          <w:rFonts w:eastAsia="Times New Roman"/>
        </w:rPr>
        <w:t xml:space="preserve"> by</w:t>
      </w:r>
      <w:r w:rsidR="00B778B0" w:rsidRPr="007C4CD9">
        <w:rPr>
          <w:rFonts w:eastAsia="Times New Roman"/>
        </w:rPr>
        <w:t xml:space="preserve"> May 18, 2015</w:t>
      </w:r>
      <w:r w:rsidR="00C20951" w:rsidRPr="007C4CD9">
        <w:rPr>
          <w:rFonts w:eastAsia="Times New Roman"/>
        </w:rPr>
        <w:t>.</w:t>
      </w:r>
    </w:p>
    <w:p w:rsidR="00CF4BD0" w:rsidRPr="007C4CD9" w:rsidRDefault="007C4CD9" w:rsidP="00925E38">
      <w:pPr>
        <w:spacing w:before="240"/>
        <w:ind w:firstLine="1440"/>
        <w:rPr>
          <w:rFonts w:eastAsia="Times New Roman"/>
        </w:rPr>
      </w:pPr>
      <w:r>
        <w:rPr>
          <w:rFonts w:eastAsia="Times New Roman"/>
        </w:rPr>
        <w:t xml:space="preserve">2.  </w:t>
      </w:r>
      <w:r w:rsidR="00CF4BD0" w:rsidRPr="007C4CD9">
        <w:rPr>
          <w:rFonts w:eastAsia="Times New Roman"/>
        </w:rPr>
        <w:t>That all Competitive Local Exchange Carriers having switched access tariffs</w:t>
      </w:r>
      <w:r w:rsidR="00EB58F7" w:rsidRPr="007C4CD9">
        <w:rPr>
          <w:rFonts w:eastAsia="Times New Roman"/>
        </w:rPr>
        <w:t xml:space="preserve"> must file tariff s</w:t>
      </w:r>
      <w:r w:rsidR="00CF4BD0" w:rsidRPr="007C4CD9">
        <w:rPr>
          <w:rFonts w:eastAsia="Times New Roman"/>
        </w:rPr>
        <w:t xml:space="preserve">upplements and supporting </w:t>
      </w:r>
      <w:r w:rsidR="0072494E" w:rsidRPr="007C4CD9">
        <w:rPr>
          <w:rFonts w:eastAsia="Times New Roman"/>
        </w:rPr>
        <w:t xml:space="preserve">information </w:t>
      </w:r>
      <w:r w:rsidR="00B778B0" w:rsidRPr="007C4CD9">
        <w:rPr>
          <w:rFonts w:eastAsia="Times New Roman"/>
        </w:rPr>
        <w:t>implementing Step 4</w:t>
      </w:r>
      <w:r w:rsidR="002E18B9" w:rsidRPr="007C4CD9">
        <w:rPr>
          <w:rFonts w:eastAsia="Times New Roman"/>
        </w:rPr>
        <w:t xml:space="preserve"> of the intrastate access charge revisions as contemplated by the </w:t>
      </w:r>
      <w:r w:rsidR="002E18B9" w:rsidRPr="007C4CD9">
        <w:rPr>
          <w:rFonts w:eastAsia="Times New Roman"/>
          <w:i/>
        </w:rPr>
        <w:t>FCC Order</w:t>
      </w:r>
      <w:r w:rsidR="00CF4BD0" w:rsidRPr="007C4CD9">
        <w:rPr>
          <w:rFonts w:eastAsia="Times New Roman"/>
        </w:rPr>
        <w:t xml:space="preserve"> by</w:t>
      </w:r>
      <w:r w:rsidR="00B778B0" w:rsidRPr="007C4CD9">
        <w:rPr>
          <w:rFonts w:eastAsia="Times New Roman"/>
        </w:rPr>
        <w:t xml:space="preserve"> June 1</w:t>
      </w:r>
      <w:r w:rsidR="00C91704" w:rsidRPr="007C4CD9">
        <w:rPr>
          <w:rFonts w:eastAsia="Times New Roman"/>
        </w:rPr>
        <w:t>, 2015</w:t>
      </w:r>
      <w:r w:rsidR="00D11935">
        <w:rPr>
          <w:rFonts w:eastAsia="Times New Roman"/>
        </w:rPr>
        <w:t>, and the directives of this Order</w:t>
      </w:r>
      <w:r w:rsidR="00C20951" w:rsidRPr="007C4CD9">
        <w:rPr>
          <w:rFonts w:eastAsia="Times New Roman"/>
        </w:rPr>
        <w:t>.</w:t>
      </w:r>
    </w:p>
    <w:p w:rsidR="00E26B61" w:rsidRDefault="007C4CD9" w:rsidP="00925E38">
      <w:pPr>
        <w:spacing w:before="240"/>
        <w:ind w:firstLine="1440"/>
        <w:rPr>
          <w:rFonts w:eastAsia="Times New Roman"/>
        </w:rPr>
      </w:pPr>
      <w:r>
        <w:rPr>
          <w:rFonts w:eastAsia="Times New Roman"/>
        </w:rPr>
        <w:t xml:space="preserve">3.  </w:t>
      </w:r>
      <w:r w:rsidR="00BF417F" w:rsidRPr="007C4CD9">
        <w:rPr>
          <w:rFonts w:eastAsia="Times New Roman"/>
        </w:rPr>
        <w:t>Tha</w:t>
      </w:r>
      <w:r w:rsidR="00041B84" w:rsidRPr="007C4CD9">
        <w:rPr>
          <w:rFonts w:eastAsia="Times New Roman"/>
        </w:rPr>
        <w:t xml:space="preserve">t the failure to file the required </w:t>
      </w:r>
      <w:r w:rsidR="00EB58F7" w:rsidRPr="007C4CD9">
        <w:rPr>
          <w:rFonts w:eastAsia="Times New Roman"/>
        </w:rPr>
        <w:t>tariff s</w:t>
      </w:r>
      <w:r w:rsidR="00CF4BD0" w:rsidRPr="007C4CD9">
        <w:rPr>
          <w:rFonts w:eastAsia="Times New Roman"/>
        </w:rPr>
        <w:t xml:space="preserve">upplements and supporting </w:t>
      </w:r>
      <w:r w:rsidR="00327F38" w:rsidRPr="007C4CD9">
        <w:rPr>
          <w:rFonts w:eastAsia="Times New Roman"/>
        </w:rPr>
        <w:t>information</w:t>
      </w:r>
      <w:r w:rsidR="00BF417F" w:rsidRPr="007C4CD9">
        <w:rPr>
          <w:rFonts w:eastAsia="Times New Roman"/>
        </w:rPr>
        <w:t xml:space="preserve"> </w:t>
      </w:r>
      <w:r w:rsidR="00041B84" w:rsidRPr="007C4CD9">
        <w:rPr>
          <w:rFonts w:eastAsia="Times New Roman"/>
        </w:rPr>
        <w:t xml:space="preserve">may </w:t>
      </w:r>
      <w:r w:rsidR="00C20951" w:rsidRPr="007C4CD9">
        <w:rPr>
          <w:rFonts w:eastAsia="Times New Roman"/>
        </w:rPr>
        <w:t>result in</w:t>
      </w:r>
      <w:r w:rsidR="005269D8" w:rsidRPr="007C4CD9">
        <w:rPr>
          <w:rFonts w:eastAsia="Times New Roman"/>
        </w:rPr>
        <w:t xml:space="preserve"> the imposition of</w:t>
      </w:r>
      <w:r w:rsidR="00C20951" w:rsidRPr="007C4CD9">
        <w:rPr>
          <w:rFonts w:eastAsia="Times New Roman"/>
        </w:rPr>
        <w:t xml:space="preserve"> </w:t>
      </w:r>
      <w:r w:rsidR="00CF4BD0" w:rsidRPr="007C4CD9">
        <w:rPr>
          <w:rFonts w:eastAsia="Times New Roman"/>
        </w:rPr>
        <w:t>civil penalties of up to $1,000 per violation per day payable to the Commonwealth of Penn</w:t>
      </w:r>
      <w:r w:rsidR="00925E38">
        <w:rPr>
          <w:rFonts w:eastAsia="Times New Roman"/>
        </w:rPr>
        <w:t>sylvania, in accordance with 66 </w:t>
      </w:r>
      <w:r w:rsidR="00CF4BD0" w:rsidRPr="007C4CD9">
        <w:rPr>
          <w:rFonts w:eastAsia="Times New Roman"/>
        </w:rPr>
        <w:t>Pa.</w:t>
      </w:r>
      <w:r w:rsidR="00925E38">
        <w:rPr>
          <w:rFonts w:eastAsia="Times New Roman"/>
        </w:rPr>
        <w:t> </w:t>
      </w:r>
      <w:r w:rsidR="00072859" w:rsidRPr="007C4CD9">
        <w:rPr>
          <w:rFonts w:eastAsia="Times New Roman"/>
        </w:rPr>
        <w:t>C.S.</w:t>
      </w:r>
      <w:r w:rsidR="00925E38">
        <w:rPr>
          <w:rFonts w:eastAsia="Times New Roman"/>
        </w:rPr>
        <w:t> </w:t>
      </w:r>
      <w:r w:rsidR="00072859" w:rsidRPr="007C4CD9">
        <w:rPr>
          <w:rFonts w:eastAsia="Times New Roman"/>
        </w:rPr>
        <w:t>§ </w:t>
      </w:r>
      <w:r w:rsidR="005269D8" w:rsidRPr="007C4CD9">
        <w:rPr>
          <w:rFonts w:eastAsia="Times New Roman"/>
        </w:rPr>
        <w:t xml:space="preserve">3301(a) and </w:t>
      </w:r>
      <w:r w:rsidR="00CF4BD0" w:rsidRPr="007C4CD9">
        <w:rPr>
          <w:rFonts w:eastAsia="Times New Roman"/>
        </w:rPr>
        <w:t>(b).</w:t>
      </w:r>
    </w:p>
    <w:p w:rsidR="00E26B61" w:rsidRDefault="00E26B61">
      <w:pPr>
        <w:spacing w:after="200" w:line="276" w:lineRule="auto"/>
        <w:rPr>
          <w:rFonts w:eastAsia="Times New Roman"/>
        </w:rPr>
      </w:pPr>
      <w:r>
        <w:rPr>
          <w:rFonts w:eastAsia="Times New Roman"/>
        </w:rPr>
        <w:br w:type="page"/>
      </w:r>
    </w:p>
    <w:p w:rsidR="00CF4BD0" w:rsidRPr="002F58F8" w:rsidRDefault="007C4CD9" w:rsidP="00925E38">
      <w:pPr>
        <w:spacing w:before="240"/>
        <w:ind w:firstLine="1440"/>
      </w:pPr>
      <w:r>
        <w:lastRenderedPageBreak/>
        <w:t xml:space="preserve">4.  </w:t>
      </w:r>
      <w:r w:rsidR="00CF4BD0" w:rsidRPr="0004424A">
        <w:t>That this Order be served on all Incumbent Local Exchange Carriers</w:t>
      </w:r>
      <w:r w:rsidR="00CF4BD0">
        <w:t>,</w:t>
      </w:r>
      <w:r w:rsidR="00CF4BD0" w:rsidRPr="0004424A">
        <w:t xml:space="preserve"> those Competitive Local Exchange Carriers having switched access tariffs, the Pennsylvania Telephone Association, the Broadband Cable Association of Pennsylvania, </w:t>
      </w:r>
      <w:r w:rsidR="00CF4BD0">
        <w:t>the Office of Consumer Advocate</w:t>
      </w:r>
      <w:r w:rsidR="00CF4BD0" w:rsidRPr="0004424A">
        <w:t xml:space="preserve"> and the Office of Small Business Advocate.  In addition, this Order shall be posted on the Commission’s website.</w:t>
      </w:r>
    </w:p>
    <w:p w:rsidR="00BC0D4A" w:rsidRDefault="00BC0D4A" w:rsidP="00A95873">
      <w:pPr>
        <w:pStyle w:val="p17"/>
        <w:ind w:left="5057"/>
        <w:rPr>
          <w:b/>
          <w:bCs/>
          <w:szCs w:val="26"/>
        </w:rPr>
      </w:pPr>
    </w:p>
    <w:p w:rsidR="00A95873" w:rsidRDefault="00AC6972" w:rsidP="00A95873">
      <w:pPr>
        <w:pStyle w:val="p17"/>
        <w:ind w:left="5057"/>
        <w:rPr>
          <w:b/>
          <w:bCs/>
          <w:szCs w:val="26"/>
        </w:rPr>
      </w:pPr>
      <w:bookmarkStart w:id="1" w:name="_GoBack"/>
      <w:bookmarkEnd w:id="1"/>
      <w:r>
        <w:rPr>
          <w:noProof/>
        </w:rPr>
        <w:drawing>
          <wp:anchor distT="0" distB="0" distL="114300" distR="114300" simplePos="0" relativeHeight="251659264" behindDoc="1" locked="0" layoutInCell="1" allowOverlap="1" wp14:anchorId="75A244C4" wp14:editId="6D34FDC0">
            <wp:simplePos x="0" y="0"/>
            <wp:positionH relativeFrom="column">
              <wp:posOffset>3162300</wp:posOffset>
            </wp:positionH>
            <wp:positionV relativeFrom="paragraph">
              <wp:posOffset>139065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95873" w:rsidRPr="002F58F8">
        <w:rPr>
          <w:b/>
          <w:bCs/>
          <w:szCs w:val="26"/>
        </w:rPr>
        <w:t>BY THE COMMISSION</w:t>
      </w:r>
    </w:p>
    <w:p w:rsidR="00A95873" w:rsidRPr="002F58F8" w:rsidRDefault="00A95873" w:rsidP="00A95873">
      <w:pPr>
        <w:pStyle w:val="p17"/>
        <w:ind w:left="5057"/>
        <w:rPr>
          <w:b/>
          <w:bCs/>
          <w:szCs w:val="26"/>
        </w:rPr>
      </w:pPr>
    </w:p>
    <w:p w:rsidR="00A95873" w:rsidRPr="002F58F8" w:rsidRDefault="00A95873" w:rsidP="00A95873">
      <w:pPr>
        <w:tabs>
          <w:tab w:val="left" w:pos="5057"/>
        </w:tabs>
        <w:rPr>
          <w:b/>
          <w:bCs/>
        </w:rPr>
      </w:pPr>
    </w:p>
    <w:p w:rsidR="00A95873" w:rsidRPr="002F58F8" w:rsidRDefault="00A95873" w:rsidP="00A95873">
      <w:pPr>
        <w:pStyle w:val="p18"/>
        <w:spacing w:line="240" w:lineRule="auto"/>
        <w:ind w:left="5062"/>
        <w:rPr>
          <w:szCs w:val="26"/>
        </w:rPr>
      </w:pPr>
      <w:r w:rsidRPr="002F58F8">
        <w:rPr>
          <w:szCs w:val="26"/>
        </w:rPr>
        <w:t xml:space="preserve">Rosemary </w:t>
      </w:r>
      <w:proofErr w:type="spellStart"/>
      <w:r w:rsidRPr="002F58F8">
        <w:rPr>
          <w:szCs w:val="26"/>
        </w:rPr>
        <w:t>Chiavetta</w:t>
      </w:r>
      <w:proofErr w:type="spellEnd"/>
    </w:p>
    <w:p w:rsidR="00A95873" w:rsidRPr="002F58F8" w:rsidRDefault="00A95873" w:rsidP="00A95873">
      <w:pPr>
        <w:pStyle w:val="p18"/>
        <w:spacing w:line="240" w:lineRule="auto"/>
        <w:ind w:left="5062"/>
        <w:rPr>
          <w:szCs w:val="26"/>
        </w:rPr>
      </w:pPr>
      <w:r w:rsidRPr="002F58F8">
        <w:rPr>
          <w:szCs w:val="26"/>
        </w:rPr>
        <w:t>Secretary</w:t>
      </w:r>
    </w:p>
    <w:p w:rsidR="00C52BA4" w:rsidRPr="002F58F8" w:rsidRDefault="00C52BA4" w:rsidP="00A95873">
      <w:pPr>
        <w:tabs>
          <w:tab w:val="left" w:pos="5062"/>
        </w:tabs>
      </w:pPr>
    </w:p>
    <w:p w:rsidR="00072859" w:rsidRDefault="00A95873" w:rsidP="00A95873">
      <w:pPr>
        <w:pStyle w:val="p14"/>
        <w:rPr>
          <w:szCs w:val="26"/>
        </w:rPr>
      </w:pPr>
      <w:r w:rsidRPr="002F58F8">
        <w:rPr>
          <w:szCs w:val="26"/>
        </w:rPr>
        <w:t>(SEAL)</w:t>
      </w:r>
    </w:p>
    <w:p w:rsidR="00072859" w:rsidRPr="002F58F8" w:rsidRDefault="00072859" w:rsidP="00A95873">
      <w:pPr>
        <w:pStyle w:val="p14"/>
        <w:rPr>
          <w:szCs w:val="26"/>
        </w:rPr>
      </w:pPr>
    </w:p>
    <w:p w:rsidR="00A95873" w:rsidRDefault="00A95873" w:rsidP="00A95873">
      <w:pPr>
        <w:pStyle w:val="p14"/>
        <w:rPr>
          <w:szCs w:val="26"/>
        </w:rPr>
      </w:pPr>
      <w:r w:rsidRPr="002F58F8">
        <w:rPr>
          <w:szCs w:val="26"/>
        </w:rPr>
        <w:t xml:space="preserve">ORDER ADOPTED:  </w:t>
      </w:r>
      <w:r w:rsidR="009272D6">
        <w:rPr>
          <w:szCs w:val="26"/>
        </w:rPr>
        <w:t>April 23</w:t>
      </w:r>
      <w:r w:rsidR="006D659E">
        <w:rPr>
          <w:szCs w:val="26"/>
        </w:rPr>
        <w:t>, 2015</w:t>
      </w:r>
    </w:p>
    <w:p w:rsidR="00B91805" w:rsidRDefault="00A95873" w:rsidP="00C5521E">
      <w:pPr>
        <w:spacing w:after="200" w:line="276" w:lineRule="auto"/>
      </w:pPr>
      <w:r w:rsidRPr="002F58F8">
        <w:t>ORDER ENTERED:</w:t>
      </w:r>
      <w:r w:rsidR="00AC6972">
        <w:t xml:space="preserve">  April 23, 2015</w:t>
      </w:r>
    </w:p>
    <w:p w:rsidR="00AC6972" w:rsidRPr="00D26D2B" w:rsidRDefault="00AC6972" w:rsidP="00C5521E">
      <w:pPr>
        <w:spacing w:after="200" w:line="276" w:lineRule="auto"/>
      </w:pPr>
    </w:p>
    <w:sectPr w:rsidR="00AC6972" w:rsidRPr="00D26D2B" w:rsidSect="0075536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8B" w:rsidRDefault="00C25F8B" w:rsidP="00B91805">
      <w:pPr>
        <w:spacing w:line="240" w:lineRule="auto"/>
      </w:pPr>
      <w:r>
        <w:separator/>
      </w:r>
    </w:p>
  </w:endnote>
  <w:endnote w:type="continuationSeparator" w:id="0">
    <w:p w:rsidR="00C25F8B" w:rsidRDefault="00C25F8B" w:rsidP="00B9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10394"/>
      <w:docPartObj>
        <w:docPartGallery w:val="Page Numbers (Bottom of Page)"/>
        <w:docPartUnique/>
      </w:docPartObj>
    </w:sdtPr>
    <w:sdtEndPr>
      <w:rPr>
        <w:noProof/>
      </w:rPr>
    </w:sdtEndPr>
    <w:sdtContent>
      <w:p w:rsidR="00755365" w:rsidRPr="00823EAD" w:rsidRDefault="00755365">
        <w:pPr>
          <w:pStyle w:val="Footer"/>
          <w:jc w:val="center"/>
        </w:pPr>
        <w:r w:rsidRPr="00823EAD">
          <w:fldChar w:fldCharType="begin"/>
        </w:r>
        <w:r w:rsidRPr="00823EAD">
          <w:instrText xml:space="preserve"> PAGE   \* MERGEFORMAT </w:instrText>
        </w:r>
        <w:r w:rsidRPr="00823EAD">
          <w:fldChar w:fldCharType="separate"/>
        </w:r>
        <w:r w:rsidR="00AC6972">
          <w:rPr>
            <w:noProof/>
          </w:rPr>
          <w:t>10</w:t>
        </w:r>
        <w:r w:rsidRPr="00823EAD">
          <w:rPr>
            <w:noProof/>
          </w:rPr>
          <w:fldChar w:fldCharType="end"/>
        </w:r>
      </w:p>
    </w:sdtContent>
  </w:sdt>
  <w:p w:rsidR="00755365" w:rsidRDefault="0075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8B" w:rsidRDefault="00C25F8B" w:rsidP="00B91805">
      <w:pPr>
        <w:spacing w:line="240" w:lineRule="auto"/>
      </w:pPr>
      <w:r>
        <w:separator/>
      </w:r>
    </w:p>
  </w:footnote>
  <w:footnote w:type="continuationSeparator" w:id="0">
    <w:p w:rsidR="00C25F8B" w:rsidRDefault="00C25F8B" w:rsidP="00B91805">
      <w:pPr>
        <w:spacing w:line="240" w:lineRule="auto"/>
      </w:pPr>
      <w:r>
        <w:continuationSeparator/>
      </w:r>
    </w:p>
  </w:footnote>
  <w:footnote w:id="1">
    <w:p w:rsidR="00E62B07" w:rsidRDefault="00E62B07" w:rsidP="00350C1E">
      <w:pPr>
        <w:pStyle w:val="FootnoteText"/>
        <w:spacing w:after="60" w:line="240" w:lineRule="auto"/>
      </w:pPr>
      <w:r>
        <w:rPr>
          <w:rStyle w:val="FootnoteReference"/>
        </w:rPr>
        <w:footnoteRef/>
      </w:r>
      <w:r>
        <w:t xml:space="preserve"> </w:t>
      </w:r>
      <w:proofErr w:type="gramStart"/>
      <w:r>
        <w:rPr>
          <w:i/>
        </w:rPr>
        <w:t>Implementation of the Federal Communications Commission’s Order o</w:t>
      </w:r>
      <w:r w:rsidR="006703C1">
        <w:rPr>
          <w:i/>
        </w:rPr>
        <w:t>f November 18, 2011 as Amended or Revised and Coordination w</w:t>
      </w:r>
      <w:r>
        <w:rPr>
          <w:i/>
        </w:rPr>
        <w:t>ith Certain Intrastate Matters</w:t>
      </w:r>
      <w:r>
        <w:t>, Do</w:t>
      </w:r>
      <w:r w:rsidR="00072859">
        <w:t>cket No.</w:t>
      </w:r>
      <w:proofErr w:type="gramEnd"/>
      <w:r w:rsidR="00072859">
        <w:t xml:space="preserve"> M-2012-2291824 (</w:t>
      </w:r>
      <w:r w:rsidR="00597217">
        <w:t>Order e</w:t>
      </w:r>
      <w:r>
        <w:t>ntered March 22, 2012</w:t>
      </w:r>
      <w:r w:rsidR="00072859">
        <w:t>)</w:t>
      </w:r>
      <w:r>
        <w:t xml:space="preserve"> (March 22</w:t>
      </w:r>
      <w:r w:rsidR="00FF09B9">
        <w:t>, 2012</w:t>
      </w:r>
      <w:r>
        <w:t xml:space="preserve"> Order).</w:t>
      </w:r>
    </w:p>
  </w:footnote>
  <w:footnote w:id="2">
    <w:p w:rsidR="00E62B07" w:rsidRDefault="00E62B07" w:rsidP="00350C1E">
      <w:pPr>
        <w:pStyle w:val="FootnoteText"/>
        <w:spacing w:after="60" w:line="240" w:lineRule="auto"/>
      </w:pPr>
      <w:r>
        <w:rPr>
          <w:rStyle w:val="FootnoteReference"/>
        </w:rPr>
        <w:footnoteRef/>
      </w:r>
      <w:r>
        <w:t xml:space="preserve"> </w:t>
      </w:r>
      <w:r w:rsidRPr="00614FDE">
        <w:rPr>
          <w:i/>
        </w:rPr>
        <w:t xml:space="preserve">Investigation Regarding Intrastate Access Charges and </w:t>
      </w:r>
      <w:proofErr w:type="spellStart"/>
      <w:r w:rsidRPr="00614FDE">
        <w:rPr>
          <w:i/>
        </w:rPr>
        <w:t>IntraLATA</w:t>
      </w:r>
      <w:proofErr w:type="spellEnd"/>
      <w:r w:rsidRPr="00614FDE">
        <w:rPr>
          <w:i/>
        </w:rPr>
        <w:t xml:space="preserve"> Toll Rates of Rural Carriers and The Pennsylvania Universal Service Fund</w:t>
      </w:r>
      <w:r w:rsidRPr="00614FDE">
        <w:t xml:space="preserve">, Docket No. I-00040105; </w:t>
      </w:r>
      <w:r w:rsidRPr="00614FDE">
        <w:rPr>
          <w:i/>
        </w:rPr>
        <w:t>AT&amp;T Communications of Pennsylvania, et al. v. Armstrong Telephone Company-Pennsylvania, et al.</w:t>
      </w:r>
      <w:r w:rsidRPr="00614FDE">
        <w:t xml:space="preserve">, Docket No. </w:t>
      </w:r>
      <w:proofErr w:type="gramStart"/>
      <w:r w:rsidRPr="00614FDE">
        <w:t xml:space="preserve">C-2009-2098380, </w:t>
      </w:r>
      <w:r w:rsidRPr="00614FDE">
        <w:rPr>
          <w:i/>
        </w:rPr>
        <w:t>et al.</w:t>
      </w:r>
      <w:r w:rsidRPr="00614FDE">
        <w:t xml:space="preserve">; </w:t>
      </w:r>
      <w:r w:rsidRPr="00614FDE">
        <w:rPr>
          <w:i/>
        </w:rPr>
        <w:t>Implementation of the Federal Communications Commission’s Order o</w:t>
      </w:r>
      <w:r w:rsidR="006703C1">
        <w:rPr>
          <w:i/>
        </w:rPr>
        <w:t>f November 18, 2011 as Amended or Revised and Coordination w</w:t>
      </w:r>
      <w:r w:rsidRPr="00614FDE">
        <w:rPr>
          <w:i/>
        </w:rPr>
        <w:t>ith Certain Intrastate Matters</w:t>
      </w:r>
      <w:r w:rsidRPr="00614FDE">
        <w:t>, Docket No.</w:t>
      </w:r>
      <w:proofErr w:type="gramEnd"/>
      <w:r w:rsidRPr="00614FDE">
        <w:t xml:space="preserve"> M-2012-2291</w:t>
      </w:r>
      <w:r w:rsidR="00072859">
        <w:t>824 (</w:t>
      </w:r>
      <w:r w:rsidR="00597217">
        <w:t>Order e</w:t>
      </w:r>
      <w:r>
        <w:t>ntered May 10, 2012</w:t>
      </w:r>
      <w:r w:rsidR="00072859">
        <w:t>)</w:t>
      </w:r>
      <w:r>
        <w:t xml:space="preserve"> (May 10</w:t>
      </w:r>
      <w:r w:rsidR="00FF09B9">
        <w:t>, 2012</w:t>
      </w:r>
      <w:r>
        <w:t xml:space="preserve"> Order).</w:t>
      </w:r>
    </w:p>
  </w:footnote>
  <w:footnote w:id="3">
    <w:p w:rsidR="00597217" w:rsidRDefault="00597217" w:rsidP="00350C1E">
      <w:pPr>
        <w:pStyle w:val="FootnoteText"/>
        <w:spacing w:after="60" w:line="240" w:lineRule="auto"/>
      </w:pPr>
      <w:r>
        <w:rPr>
          <w:rStyle w:val="FootnoteReference"/>
        </w:rPr>
        <w:footnoteRef/>
      </w:r>
      <w:r>
        <w:t xml:space="preserve"> </w:t>
      </w:r>
      <w:proofErr w:type="gramStart"/>
      <w:r w:rsidRPr="00597217">
        <w:rPr>
          <w:i/>
        </w:rPr>
        <w:t>Implementation of the Federal Communications Commission’s Order of November 18, 2011 as Amended or Revised and Coordination with Certain Intrastate Matters</w:t>
      </w:r>
      <w:r w:rsidRPr="00597217">
        <w:t>, Do</w:t>
      </w:r>
      <w:r w:rsidR="00072859">
        <w:t>cket No.</w:t>
      </w:r>
      <w:proofErr w:type="gramEnd"/>
      <w:r w:rsidR="00072859">
        <w:t xml:space="preserve"> M-2012-2291824 (</w:t>
      </w:r>
      <w:r>
        <w:t>Order e</w:t>
      </w:r>
      <w:r w:rsidRPr="00597217">
        <w:t xml:space="preserve">ntered </w:t>
      </w:r>
      <w:r>
        <w:t>April 18, 2013</w:t>
      </w:r>
      <w:r w:rsidR="00072859">
        <w:t>)</w:t>
      </w:r>
      <w:r>
        <w:t xml:space="preserve"> (April 18</w:t>
      </w:r>
      <w:r w:rsidR="00FF09B9">
        <w:t>, 2013</w:t>
      </w:r>
      <w:r w:rsidRPr="00597217">
        <w:t xml:space="preserve"> Order).</w:t>
      </w:r>
    </w:p>
  </w:footnote>
  <w:footnote w:id="4">
    <w:p w:rsidR="00684A03" w:rsidRDefault="00684A03" w:rsidP="00350C1E">
      <w:pPr>
        <w:pStyle w:val="FootnoteText"/>
        <w:spacing w:after="60" w:line="240" w:lineRule="auto"/>
      </w:pPr>
      <w:r>
        <w:rPr>
          <w:rStyle w:val="FootnoteReference"/>
        </w:rPr>
        <w:footnoteRef/>
      </w:r>
      <w:r>
        <w:t xml:space="preserve"> </w:t>
      </w:r>
      <w:proofErr w:type="gramStart"/>
      <w:r w:rsidRPr="00597217">
        <w:rPr>
          <w:i/>
        </w:rPr>
        <w:t>Implementation of the Federal Communications Commission’s Order of November 18, 2011 as Amended or Revised and Coordination with Certain Intrastate Matters</w:t>
      </w:r>
      <w:r w:rsidRPr="00597217">
        <w:t>, Do</w:t>
      </w:r>
      <w:r>
        <w:t>cket No.</w:t>
      </w:r>
      <w:proofErr w:type="gramEnd"/>
      <w:r>
        <w:t xml:space="preserve"> M-2012-2291824 (Order e</w:t>
      </w:r>
      <w:r w:rsidRPr="00597217">
        <w:t xml:space="preserve">ntered </w:t>
      </w:r>
      <w:r>
        <w:t>April 23, 2014) (April 23</w:t>
      </w:r>
      <w:r w:rsidR="00FF09B9">
        <w:t>, 2014</w:t>
      </w:r>
      <w:r w:rsidRPr="00597217">
        <w:t xml:space="preserve"> Order).</w:t>
      </w:r>
    </w:p>
  </w:footnote>
  <w:footnote w:id="5">
    <w:p w:rsidR="00E62B07" w:rsidRDefault="00E62B07" w:rsidP="00350C1E">
      <w:pPr>
        <w:pStyle w:val="FootnoteText"/>
        <w:spacing w:after="60" w:line="240" w:lineRule="auto"/>
      </w:pPr>
      <w:r>
        <w:rPr>
          <w:rStyle w:val="FootnoteReference"/>
        </w:rPr>
        <w:footnoteRef/>
      </w:r>
      <w:r>
        <w:t xml:space="preserve"> </w:t>
      </w:r>
      <w:r w:rsidRPr="00544A8A">
        <w:t xml:space="preserve">See </w:t>
      </w:r>
      <w:r w:rsidRPr="003921DD">
        <w:rPr>
          <w:i/>
        </w:rPr>
        <w:t>FCC Order</w:t>
      </w:r>
      <w:r w:rsidR="00C145EB">
        <w:t xml:space="preserve"> adopted October 27, 2011, and r</w:t>
      </w:r>
      <w:r w:rsidRPr="00544A8A">
        <w:t>eleased November 18, 2011</w:t>
      </w:r>
      <w:r>
        <w:t>.</w:t>
      </w:r>
      <w:r w:rsidRPr="00544A8A">
        <w:t xml:space="preserve"> </w:t>
      </w:r>
      <w:r>
        <w:t xml:space="preserve"> </w:t>
      </w:r>
      <w:r w:rsidRPr="003921DD">
        <w:rPr>
          <w:i/>
        </w:rPr>
        <w:t>In the Matter of Connect America Fund</w:t>
      </w:r>
      <w:r w:rsidRPr="00544A8A">
        <w:t xml:space="preserve">, WC Docket No. 10-90; </w:t>
      </w:r>
      <w:r w:rsidRPr="003921DD">
        <w:rPr>
          <w:i/>
        </w:rPr>
        <w:t>A National Broadband Plan for Our Future</w:t>
      </w:r>
      <w:r w:rsidRPr="00544A8A">
        <w:t xml:space="preserve">, GN Docket No. 09-51; </w:t>
      </w:r>
      <w:r w:rsidRPr="003921DD">
        <w:rPr>
          <w:i/>
        </w:rPr>
        <w:t>Establishing Just and Reasonable Rates for Local Exchange Carriers</w:t>
      </w:r>
      <w:r w:rsidRPr="00544A8A">
        <w:t>, W</w:t>
      </w:r>
      <w:r w:rsidR="007A2E63">
        <w:t>C</w:t>
      </w:r>
      <w:r w:rsidRPr="00544A8A">
        <w:t xml:space="preserve"> Docket No. 07-135;  </w:t>
      </w:r>
      <w:r w:rsidRPr="003921DD">
        <w:rPr>
          <w:i/>
        </w:rPr>
        <w:t>High-Cost Universal Service Support</w:t>
      </w:r>
      <w:r w:rsidRPr="00544A8A">
        <w:t xml:space="preserve">, WC Docket No. 05-337; </w:t>
      </w:r>
      <w:r w:rsidRPr="003921DD">
        <w:rPr>
          <w:i/>
        </w:rPr>
        <w:t xml:space="preserve">Developing a Unified </w:t>
      </w:r>
      <w:proofErr w:type="spellStart"/>
      <w:r w:rsidRPr="003921DD">
        <w:rPr>
          <w:i/>
        </w:rPr>
        <w:t>Intercarrier</w:t>
      </w:r>
      <w:proofErr w:type="spellEnd"/>
      <w:r w:rsidRPr="003921DD">
        <w:rPr>
          <w:i/>
        </w:rPr>
        <w:t xml:space="preserve"> Compensation Regime</w:t>
      </w:r>
      <w:r w:rsidRPr="00544A8A">
        <w:t xml:space="preserve">, CC Docket No. 01-92; </w:t>
      </w:r>
      <w:r w:rsidRPr="003921DD">
        <w:rPr>
          <w:i/>
        </w:rPr>
        <w:t>Federal-</w:t>
      </w:r>
      <w:r w:rsidR="007A2E63">
        <w:rPr>
          <w:i/>
        </w:rPr>
        <w:t>S</w:t>
      </w:r>
      <w:r w:rsidRPr="003921DD">
        <w:rPr>
          <w:i/>
        </w:rPr>
        <w:t>tate Joint Board on Universal Service</w:t>
      </w:r>
      <w:r w:rsidRPr="00544A8A">
        <w:t xml:space="preserve">, CC Docket No. 96-45; </w:t>
      </w:r>
      <w:r w:rsidRPr="003921DD">
        <w:rPr>
          <w:i/>
        </w:rPr>
        <w:t>Lifeline and Link-Up</w:t>
      </w:r>
      <w:r w:rsidRPr="00544A8A">
        <w:t xml:space="preserve">, WC Docket No. 03-109; </w:t>
      </w:r>
      <w:r w:rsidRPr="003921DD">
        <w:rPr>
          <w:i/>
        </w:rPr>
        <w:t>Universal Service Reform - Mobility Fund</w:t>
      </w:r>
      <w:r w:rsidRPr="00544A8A">
        <w:t>, WT Docket No. 10-208</w:t>
      </w:r>
      <w:r w:rsidR="003F132E">
        <w:t xml:space="preserve">, (FCC, Rel. Nov. 18, 2011), Report and Order and Further Notice of Proposed Rulemaking, 26 FCC </w:t>
      </w:r>
      <w:proofErr w:type="spellStart"/>
      <w:r w:rsidR="003F132E">
        <w:t>Rcd</w:t>
      </w:r>
      <w:proofErr w:type="spellEnd"/>
      <w:r w:rsidR="003F132E">
        <w:t xml:space="preserve"> 17663 (2011), </w:t>
      </w:r>
      <w:r w:rsidR="003F132E">
        <w:rPr>
          <w:i/>
        </w:rPr>
        <w:t>slip op.</w:t>
      </w:r>
      <w:r w:rsidR="003F132E">
        <w:t xml:space="preserve"> FCC 11-161</w:t>
      </w:r>
      <w:r w:rsidRPr="00544A8A">
        <w:t>.</w:t>
      </w:r>
      <w:r>
        <w:t xml:space="preserve">  </w:t>
      </w:r>
      <w:r w:rsidRPr="00CD6642">
        <w:t>The FCC has issued additional reconsideration and clarification Orders in the same proceeding and the issuance of further such FCC rulings is anticipated (</w:t>
      </w:r>
      <w:r w:rsidR="007A2E63">
        <w:t xml:space="preserve">collectively </w:t>
      </w:r>
      <w:r w:rsidRPr="002D6957">
        <w:rPr>
          <w:i/>
        </w:rPr>
        <w:t>FCC Order</w:t>
      </w:r>
      <w:r w:rsidRPr="00CD6642">
        <w:t>).</w:t>
      </w:r>
    </w:p>
  </w:footnote>
  <w:footnote w:id="6">
    <w:p w:rsidR="00E62B07" w:rsidRDefault="00E62B07" w:rsidP="00350C1E">
      <w:pPr>
        <w:pStyle w:val="FootnoteText"/>
        <w:spacing w:after="60" w:line="240" w:lineRule="auto"/>
      </w:pPr>
      <w:r>
        <w:rPr>
          <w:rStyle w:val="FootnoteReference"/>
        </w:rPr>
        <w:footnoteRef/>
      </w:r>
      <w:r>
        <w:t xml:space="preserve"> </w:t>
      </w:r>
      <w:proofErr w:type="gramStart"/>
      <w:r>
        <w:t>March 22</w:t>
      </w:r>
      <w:r w:rsidR="00FC000A">
        <w:t>, 2012</w:t>
      </w:r>
      <w:r>
        <w:t xml:space="preserve"> Order at 1.</w:t>
      </w:r>
      <w:proofErr w:type="gramEnd"/>
    </w:p>
  </w:footnote>
  <w:footnote w:id="7">
    <w:p w:rsidR="00740E75" w:rsidRDefault="00740E75" w:rsidP="00350C1E">
      <w:pPr>
        <w:pStyle w:val="FootnoteText"/>
        <w:spacing w:after="60" w:line="240" w:lineRule="auto"/>
      </w:pPr>
      <w:r>
        <w:rPr>
          <w:rStyle w:val="FootnoteReference"/>
        </w:rPr>
        <w:footnoteRef/>
      </w:r>
      <w:r>
        <w:t xml:space="preserve"> </w:t>
      </w:r>
      <w:r w:rsidR="007A2E63">
        <w:t xml:space="preserve">We note that the </w:t>
      </w:r>
      <w:r w:rsidR="007A2E63">
        <w:rPr>
          <w:i/>
        </w:rPr>
        <w:t xml:space="preserve">FCC Order </w:t>
      </w:r>
      <w:r w:rsidR="007A2E63">
        <w:t>was affirmed by the U.S. Court of Appeals for the 10</w:t>
      </w:r>
      <w:r w:rsidR="007A2E63" w:rsidRPr="007A2E63">
        <w:rPr>
          <w:vertAlign w:val="superscript"/>
        </w:rPr>
        <w:t>th</w:t>
      </w:r>
      <w:r w:rsidR="007A2E63">
        <w:t xml:space="preserve"> Circuit and petitions for certiorari are currently pending before the U.S. Supreme Court.  </w:t>
      </w:r>
      <w:r w:rsidR="007A2E63">
        <w:rPr>
          <w:i/>
        </w:rPr>
        <w:t>In re FCC 11-161</w:t>
      </w:r>
      <w:r w:rsidR="007A2E63">
        <w:t>, 753 F.3d 1015 (10</w:t>
      </w:r>
      <w:r w:rsidR="007A2E63" w:rsidRPr="007A2E63">
        <w:rPr>
          <w:vertAlign w:val="superscript"/>
        </w:rPr>
        <w:t>th</w:t>
      </w:r>
      <w:r w:rsidR="007A2E63">
        <w:t xml:space="preserve"> Cir. 2014),</w:t>
      </w:r>
      <w:r w:rsidR="003F132E">
        <w:t xml:space="preserve"> </w:t>
      </w:r>
      <w:proofErr w:type="spellStart"/>
      <w:r w:rsidR="003F132E">
        <w:rPr>
          <w:i/>
        </w:rPr>
        <w:t>reh’g</w:t>
      </w:r>
      <w:proofErr w:type="spellEnd"/>
      <w:r w:rsidR="003F132E">
        <w:rPr>
          <w:i/>
        </w:rPr>
        <w:t xml:space="preserve"> denied</w:t>
      </w:r>
      <w:r w:rsidR="003F132E">
        <w:t>,</w:t>
      </w:r>
      <w:r w:rsidR="007A2E63">
        <w:t xml:space="preserve"> </w:t>
      </w:r>
      <w:r w:rsidR="003F132E">
        <w:rPr>
          <w:i/>
        </w:rPr>
        <w:t>petitions for certiorari pending National Association of Regulatory Utility Commissioners, et al. v. FCC</w:t>
      </w:r>
      <w:r w:rsidR="003F132E">
        <w:t xml:space="preserve">, </w:t>
      </w:r>
      <w:proofErr w:type="spellStart"/>
      <w:r w:rsidR="003F132E">
        <w:t>S.Ct</w:t>
      </w:r>
      <w:proofErr w:type="spellEnd"/>
      <w:r w:rsidR="003F132E">
        <w:t xml:space="preserve">. No. 14-901, </w:t>
      </w:r>
      <w:r w:rsidR="003F132E">
        <w:rPr>
          <w:i/>
        </w:rPr>
        <w:t>et al.</w:t>
      </w:r>
      <w:r w:rsidR="007A2E63">
        <w:t xml:space="preserve"> </w:t>
      </w:r>
    </w:p>
  </w:footnote>
  <w:footnote w:id="8">
    <w:p w:rsidR="009279B5" w:rsidRDefault="009279B5" w:rsidP="00350C1E">
      <w:pPr>
        <w:pStyle w:val="FootnoteText"/>
        <w:spacing w:after="60" w:line="240" w:lineRule="auto"/>
      </w:pPr>
      <w:r>
        <w:rPr>
          <w:rStyle w:val="FootnoteReference"/>
        </w:rPr>
        <w:footnoteRef/>
      </w:r>
      <w:r>
        <w:t xml:space="preserve"> </w:t>
      </w:r>
      <w:proofErr w:type="gramStart"/>
      <w:r w:rsidR="00B711CB" w:rsidRPr="00B711CB">
        <w:rPr>
          <w:i/>
        </w:rPr>
        <w:t>FCC Order</w:t>
      </w:r>
      <w:r>
        <w:t xml:space="preserve"> ¶ </w:t>
      </w:r>
      <w:r w:rsidR="00B711CB">
        <w:t>801</w:t>
      </w:r>
      <w:r w:rsidR="005C492C">
        <w:t xml:space="preserve">, 26 FCC </w:t>
      </w:r>
      <w:proofErr w:type="spellStart"/>
      <w:r w:rsidR="005C492C">
        <w:t>Rcd</w:t>
      </w:r>
      <w:proofErr w:type="spellEnd"/>
      <w:r w:rsidR="005C492C">
        <w:t xml:space="preserve"> 17934, </w:t>
      </w:r>
      <w:r w:rsidR="005C492C">
        <w:rPr>
          <w:i/>
        </w:rPr>
        <w:t>slip op.</w:t>
      </w:r>
      <w:r w:rsidR="005C492C">
        <w:t xml:space="preserve"> at 271</w:t>
      </w:r>
      <w:r w:rsidR="00B711CB">
        <w:t>.</w:t>
      </w:r>
      <w:proofErr w:type="gramEnd"/>
      <w:r w:rsidR="00B711CB">
        <w:t xml:space="preserve">  </w:t>
      </w:r>
      <w:r>
        <w:t>47 C.F.R. § 51.907(a) and § 51.909(a</w:t>
      </w:r>
      <w:r w:rsidRPr="00544A8A">
        <w:t>)</w:t>
      </w:r>
      <w:r w:rsidR="00495F81">
        <w:t>.</w:t>
      </w:r>
    </w:p>
  </w:footnote>
  <w:footnote w:id="9">
    <w:p w:rsidR="009279B5" w:rsidRDefault="009279B5" w:rsidP="00B778B0">
      <w:pPr>
        <w:pStyle w:val="FootnoteText"/>
        <w:spacing w:after="60" w:line="240" w:lineRule="auto"/>
      </w:pPr>
      <w:r>
        <w:rPr>
          <w:rStyle w:val="FootnoteReference"/>
        </w:rPr>
        <w:footnoteRef/>
      </w:r>
      <w:r>
        <w:t xml:space="preserve"> </w:t>
      </w:r>
      <w:proofErr w:type="gramStart"/>
      <w:r w:rsidR="00B711CB" w:rsidRPr="00B711CB">
        <w:rPr>
          <w:i/>
        </w:rPr>
        <w:t>FCC Order</w:t>
      </w:r>
      <w:r>
        <w:t xml:space="preserve"> </w:t>
      </w:r>
      <w:r w:rsidR="00B711CB">
        <w:t>¶</w:t>
      </w:r>
      <w:r w:rsidR="005C492C">
        <w:t>¶</w:t>
      </w:r>
      <w:r w:rsidR="00B711CB">
        <w:t xml:space="preserve"> 801, </w:t>
      </w:r>
      <w:r>
        <w:t>807</w:t>
      </w:r>
      <w:r w:rsidR="005C492C">
        <w:t xml:space="preserve">, 26 FCC </w:t>
      </w:r>
      <w:proofErr w:type="spellStart"/>
      <w:r w:rsidR="005C492C">
        <w:t>Rcd</w:t>
      </w:r>
      <w:proofErr w:type="spellEnd"/>
      <w:r w:rsidR="005C492C">
        <w:t xml:space="preserve"> 17934, 17938, </w:t>
      </w:r>
      <w:r w:rsidR="005C492C">
        <w:rPr>
          <w:i/>
        </w:rPr>
        <w:t>slip op.</w:t>
      </w:r>
      <w:r w:rsidR="005C492C">
        <w:t xml:space="preserve"> at 271, 274</w:t>
      </w:r>
      <w:r w:rsidR="00B711CB">
        <w:t>.</w:t>
      </w:r>
      <w:proofErr w:type="gramEnd"/>
      <w:r w:rsidR="00B711CB">
        <w:t xml:space="preserve"> </w:t>
      </w:r>
      <w:r>
        <w:rPr>
          <w:caps/>
        </w:rPr>
        <w:t xml:space="preserve"> </w:t>
      </w:r>
      <w:proofErr w:type="gramStart"/>
      <w:r>
        <w:rPr>
          <w:caps/>
        </w:rPr>
        <w:t>47 C.F.R §</w:t>
      </w:r>
      <w:r>
        <w:t xml:space="preserve"> 51.911</w:t>
      </w:r>
      <w:r w:rsidR="00495F81">
        <w:t>.</w:t>
      </w:r>
      <w:proofErr w:type="gramEnd"/>
    </w:p>
  </w:footnote>
  <w:footnote w:id="10">
    <w:p w:rsidR="00430CBA" w:rsidRDefault="00430CBA" w:rsidP="00B778B0">
      <w:pPr>
        <w:pStyle w:val="FootnoteText"/>
        <w:spacing w:after="60" w:line="240" w:lineRule="auto"/>
      </w:pPr>
      <w:r>
        <w:rPr>
          <w:rStyle w:val="FootnoteReference"/>
        </w:rPr>
        <w:footnoteRef/>
      </w:r>
      <w:r w:rsidR="00D01F82">
        <w:t xml:space="preserve"> </w:t>
      </w:r>
      <w:r w:rsidR="00086616">
        <w:t>47 C.F.R. § 51.907(b),</w:t>
      </w:r>
      <w:r w:rsidRPr="00544A8A">
        <w:t xml:space="preserve"> § 51.909(b)</w:t>
      </w:r>
      <w:r w:rsidR="00086616">
        <w:t xml:space="preserve"> and § 51.911(b).</w:t>
      </w:r>
    </w:p>
  </w:footnote>
  <w:footnote w:id="11">
    <w:p w:rsidR="00086616" w:rsidRDefault="00086616" w:rsidP="00B778B0">
      <w:pPr>
        <w:pStyle w:val="FootnoteText"/>
        <w:spacing w:after="60" w:line="240" w:lineRule="auto"/>
      </w:pPr>
      <w:r>
        <w:rPr>
          <w:rStyle w:val="FootnoteReference"/>
        </w:rPr>
        <w:footnoteRef/>
      </w:r>
      <w:r>
        <w:t xml:space="preserve"> 47 C.F.R. § 51.907(c), § 51.909(c</w:t>
      </w:r>
      <w:r w:rsidRPr="00544A8A">
        <w:t>)</w:t>
      </w:r>
      <w:r>
        <w:t xml:space="preserve"> and § 51.911(c).</w:t>
      </w:r>
    </w:p>
  </w:footnote>
  <w:footnote w:id="12">
    <w:p w:rsidR="00597217" w:rsidRDefault="00597217" w:rsidP="00B778B0">
      <w:pPr>
        <w:pStyle w:val="FootnoteText"/>
        <w:spacing w:after="60" w:line="240" w:lineRule="auto"/>
      </w:pPr>
      <w:r>
        <w:rPr>
          <w:rStyle w:val="FootnoteReference"/>
        </w:rPr>
        <w:footnoteRef/>
      </w:r>
      <w:r>
        <w:t xml:space="preserve"> 47 C.F.R. § 51.907(d), § 51.909(d) and § 51.911(c).</w:t>
      </w:r>
    </w:p>
  </w:footnote>
  <w:footnote w:id="13">
    <w:p w:rsidR="00B2257B" w:rsidRDefault="00B2257B" w:rsidP="00B778B0">
      <w:pPr>
        <w:pStyle w:val="FootnoteText"/>
        <w:spacing w:line="240" w:lineRule="auto"/>
      </w:pPr>
      <w:r>
        <w:rPr>
          <w:rStyle w:val="FootnoteReference"/>
        </w:rPr>
        <w:footnoteRef/>
      </w:r>
      <w:r>
        <w:t xml:space="preserve"> 47 C.F.R. § 51.907(e), § 51.909(e) and § 51.911(c).</w:t>
      </w:r>
    </w:p>
  </w:footnote>
  <w:footnote w:id="14">
    <w:p w:rsidR="00765E84" w:rsidRDefault="00765E84" w:rsidP="00F7050F">
      <w:pPr>
        <w:pStyle w:val="FootnoteText"/>
        <w:spacing w:line="240" w:lineRule="auto"/>
      </w:pPr>
      <w:r>
        <w:rPr>
          <w:rStyle w:val="FootnoteReference"/>
        </w:rPr>
        <w:footnoteRef/>
      </w:r>
      <w:r w:rsidR="00571B53">
        <w:t xml:space="preserve"> </w:t>
      </w:r>
      <w:proofErr w:type="gramStart"/>
      <w:r w:rsidR="00571B53" w:rsidRPr="00E56233">
        <w:rPr>
          <w:i/>
        </w:rPr>
        <w:t>FCC Order</w:t>
      </w:r>
      <w:r w:rsidR="00571B53">
        <w:t xml:space="preserve"> ¶ 813</w:t>
      </w:r>
      <w:r w:rsidR="005C492C">
        <w:t xml:space="preserve">, 26 FCC </w:t>
      </w:r>
      <w:proofErr w:type="spellStart"/>
      <w:r w:rsidR="005C492C">
        <w:t>Rcd</w:t>
      </w:r>
      <w:proofErr w:type="spellEnd"/>
      <w:r w:rsidR="005C492C">
        <w:t xml:space="preserve"> 17940, </w:t>
      </w:r>
      <w:r w:rsidR="005C492C">
        <w:rPr>
          <w:i/>
        </w:rPr>
        <w:t>slip op.</w:t>
      </w:r>
      <w:r w:rsidR="005C492C">
        <w:t xml:space="preserve"> at 277 </w:t>
      </w:r>
      <w:r w:rsidR="00072859">
        <w:t>(footnotes omitted)</w:t>
      </w:r>
      <w:r w:rsidR="00571B53">
        <w:t>.</w:t>
      </w:r>
      <w:proofErr w:type="gramEnd"/>
      <w:r w:rsidR="00571B53">
        <w:t xml:space="preserve">  See also ¶ 803</w:t>
      </w:r>
      <w:r w:rsidR="00833511">
        <w:t xml:space="preserve"> and ¶ 880</w:t>
      </w:r>
      <w:r w:rsidR="005C492C">
        <w:t xml:space="preserve">, 26 FCC </w:t>
      </w:r>
      <w:proofErr w:type="spellStart"/>
      <w:r w:rsidR="005C492C">
        <w:t>Rcd</w:t>
      </w:r>
      <w:proofErr w:type="spellEnd"/>
      <w:r w:rsidR="005C492C">
        <w:t xml:space="preserve"> 17936, 17971, </w:t>
      </w:r>
      <w:r w:rsidR="005C492C">
        <w:rPr>
          <w:i/>
        </w:rPr>
        <w:t>slip op.</w:t>
      </w:r>
      <w:r w:rsidR="005C492C">
        <w:t xml:space="preserve"> at </w:t>
      </w:r>
      <w:r w:rsidR="00F7050F">
        <w:t>273, 308</w:t>
      </w:r>
      <w:r>
        <w:t xml:space="preserve">. </w:t>
      </w:r>
    </w:p>
  </w:footnote>
  <w:footnote w:id="15">
    <w:p w:rsidR="00C145EB" w:rsidRDefault="00C145EB" w:rsidP="00B778B0">
      <w:pPr>
        <w:pStyle w:val="FootnoteText"/>
        <w:spacing w:after="60" w:line="240" w:lineRule="auto"/>
      </w:pPr>
      <w:r>
        <w:rPr>
          <w:rStyle w:val="FootnoteReference"/>
        </w:rPr>
        <w:footnoteRef/>
      </w:r>
      <w:r>
        <w:t xml:space="preserve"> </w:t>
      </w:r>
      <w:r w:rsidRPr="00544A8A">
        <w:t xml:space="preserve">See </w:t>
      </w:r>
      <w:r w:rsidRPr="003921DD">
        <w:rPr>
          <w:i/>
        </w:rPr>
        <w:t>FCC Order</w:t>
      </w:r>
      <w:r>
        <w:t xml:space="preserve"> adopted March 31, 2014, and released March 31, 2014.</w:t>
      </w:r>
      <w:r w:rsidRPr="00544A8A">
        <w:t xml:space="preserve"> </w:t>
      </w:r>
      <w:r>
        <w:t xml:space="preserve"> </w:t>
      </w:r>
      <w:r w:rsidRPr="003921DD">
        <w:rPr>
          <w:i/>
        </w:rPr>
        <w:t>In the Matter of Connect America Fund</w:t>
      </w:r>
      <w:r>
        <w:t xml:space="preserve">, WC Docket No. 10-90 and </w:t>
      </w:r>
      <w:r w:rsidRPr="003921DD">
        <w:rPr>
          <w:i/>
        </w:rPr>
        <w:t xml:space="preserve">Developing a Unified </w:t>
      </w:r>
      <w:proofErr w:type="spellStart"/>
      <w:r w:rsidRPr="003921DD">
        <w:rPr>
          <w:i/>
        </w:rPr>
        <w:t>Intercarrier</w:t>
      </w:r>
      <w:proofErr w:type="spellEnd"/>
      <w:r w:rsidRPr="003921DD">
        <w:rPr>
          <w:i/>
        </w:rPr>
        <w:t xml:space="preserve"> Compensation Regime</w:t>
      </w:r>
      <w:r w:rsidRPr="00544A8A">
        <w:t>, CC Docket No. 01-92</w:t>
      </w:r>
      <w:r w:rsidR="00E20D68">
        <w:t xml:space="preserve"> (</w:t>
      </w:r>
      <w:r w:rsidR="00E20D68" w:rsidRPr="00E20D68">
        <w:rPr>
          <w:i/>
        </w:rPr>
        <w:t>March 31 FCC Order</w:t>
      </w:r>
      <w:r w:rsidR="00E20D68">
        <w:t>).</w:t>
      </w:r>
    </w:p>
  </w:footnote>
  <w:footnote w:id="16">
    <w:p w:rsidR="00771EC3" w:rsidRPr="00771EC3" w:rsidRDefault="00771EC3" w:rsidP="00B778B0">
      <w:pPr>
        <w:pStyle w:val="FootnoteText"/>
        <w:spacing w:after="60" w:line="240" w:lineRule="auto"/>
      </w:pPr>
      <w:r>
        <w:rPr>
          <w:rStyle w:val="FootnoteReference"/>
        </w:rPr>
        <w:footnoteRef/>
      </w:r>
      <w:r>
        <w:t xml:space="preserve"> </w:t>
      </w:r>
      <w:r>
        <w:rPr>
          <w:i/>
        </w:rPr>
        <w:t>March 31 FCC Order</w:t>
      </w:r>
      <w:r>
        <w:t xml:space="preserve"> ¶</w:t>
      </w:r>
      <w:r w:rsidR="00072859">
        <w:t xml:space="preserve"> </w:t>
      </w:r>
      <w:r>
        <w:t>5 at 3.</w:t>
      </w:r>
    </w:p>
  </w:footnote>
  <w:footnote w:id="17">
    <w:p w:rsidR="00E90D20" w:rsidRDefault="00E90D20" w:rsidP="00B778B0">
      <w:pPr>
        <w:pStyle w:val="FootnoteText"/>
        <w:spacing w:after="60" w:line="240" w:lineRule="auto"/>
      </w:pPr>
      <w:r>
        <w:rPr>
          <w:rStyle w:val="FootnoteReference"/>
        </w:rPr>
        <w:footnoteRef/>
      </w:r>
      <w:r>
        <w:t xml:space="preserve"> </w:t>
      </w:r>
      <w:r w:rsidRPr="00544A8A">
        <w:t xml:space="preserve">See </w:t>
      </w:r>
      <w:r w:rsidRPr="003921DD">
        <w:rPr>
          <w:i/>
        </w:rPr>
        <w:t>FCC Order</w:t>
      </w:r>
      <w:r w:rsidR="00024AB1">
        <w:t xml:space="preserve"> released March 27, 2015</w:t>
      </w:r>
      <w:r>
        <w:t>.</w:t>
      </w:r>
      <w:r w:rsidRPr="00544A8A">
        <w:t xml:space="preserve"> </w:t>
      </w:r>
      <w:r>
        <w:t xml:space="preserve"> </w:t>
      </w:r>
      <w:r w:rsidRPr="003921DD">
        <w:rPr>
          <w:i/>
        </w:rPr>
        <w:t xml:space="preserve">In the Matter of </w:t>
      </w:r>
      <w:r>
        <w:rPr>
          <w:i/>
        </w:rPr>
        <w:t>Jul</w:t>
      </w:r>
      <w:r w:rsidR="00024AB1">
        <w:rPr>
          <w:i/>
        </w:rPr>
        <w:t>y 1, 2015</w:t>
      </w:r>
      <w:r>
        <w:rPr>
          <w:i/>
        </w:rPr>
        <w:t xml:space="preserve"> Annual Access Charge Tariff Filings, </w:t>
      </w:r>
      <w:r w:rsidR="00024AB1">
        <w:t>WC Docket No. 15-75</w:t>
      </w:r>
      <w:r>
        <w:t xml:space="preserve"> </w:t>
      </w:r>
      <w:r w:rsidRPr="00E90D20">
        <w:t>(</w:t>
      </w:r>
      <w:r w:rsidR="00024AB1">
        <w:rPr>
          <w:i/>
        </w:rPr>
        <w:t>March 27</w:t>
      </w:r>
      <w:r w:rsidRPr="00E90D20">
        <w:rPr>
          <w:i/>
        </w:rPr>
        <w:t xml:space="preserve"> FCC Order</w:t>
      </w:r>
      <w:r w:rsidRPr="00E90D2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962"/>
    <w:multiLevelType w:val="hybridMultilevel"/>
    <w:tmpl w:val="6CCAF522"/>
    <w:lvl w:ilvl="0" w:tplc="9F6EDB0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58C1274"/>
    <w:multiLevelType w:val="hybridMultilevel"/>
    <w:tmpl w:val="337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C13678"/>
    <w:multiLevelType w:val="hybridMultilevel"/>
    <w:tmpl w:val="B70A792C"/>
    <w:lvl w:ilvl="0" w:tplc="EB5E207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C7"/>
    <w:rsid w:val="00000B64"/>
    <w:rsid w:val="00000BB5"/>
    <w:rsid w:val="0000288E"/>
    <w:rsid w:val="000044B5"/>
    <w:rsid w:val="000058F0"/>
    <w:rsid w:val="00006548"/>
    <w:rsid w:val="00011756"/>
    <w:rsid w:val="0001373D"/>
    <w:rsid w:val="00015114"/>
    <w:rsid w:val="00024AB1"/>
    <w:rsid w:val="00030BFF"/>
    <w:rsid w:val="000320E9"/>
    <w:rsid w:val="00034198"/>
    <w:rsid w:val="00034886"/>
    <w:rsid w:val="00036525"/>
    <w:rsid w:val="00041B84"/>
    <w:rsid w:val="0004696A"/>
    <w:rsid w:val="00047232"/>
    <w:rsid w:val="000511AB"/>
    <w:rsid w:val="00053AAD"/>
    <w:rsid w:val="000551C2"/>
    <w:rsid w:val="0005539F"/>
    <w:rsid w:val="00062703"/>
    <w:rsid w:val="00065769"/>
    <w:rsid w:val="00066732"/>
    <w:rsid w:val="00067935"/>
    <w:rsid w:val="00071A7B"/>
    <w:rsid w:val="000720E5"/>
    <w:rsid w:val="00072859"/>
    <w:rsid w:val="000731AF"/>
    <w:rsid w:val="00073B40"/>
    <w:rsid w:val="00077ED4"/>
    <w:rsid w:val="00080661"/>
    <w:rsid w:val="000845F1"/>
    <w:rsid w:val="00085378"/>
    <w:rsid w:val="00086616"/>
    <w:rsid w:val="00087D6C"/>
    <w:rsid w:val="00087DB6"/>
    <w:rsid w:val="00094DF5"/>
    <w:rsid w:val="00097A2D"/>
    <w:rsid w:val="000A089B"/>
    <w:rsid w:val="000A21C2"/>
    <w:rsid w:val="000A2B96"/>
    <w:rsid w:val="000A3A3F"/>
    <w:rsid w:val="000A5A25"/>
    <w:rsid w:val="000A601C"/>
    <w:rsid w:val="000B0A87"/>
    <w:rsid w:val="000B120E"/>
    <w:rsid w:val="000B2F7C"/>
    <w:rsid w:val="000B3FAD"/>
    <w:rsid w:val="000C015B"/>
    <w:rsid w:val="000C0861"/>
    <w:rsid w:val="000C08FA"/>
    <w:rsid w:val="000C167D"/>
    <w:rsid w:val="000C2C43"/>
    <w:rsid w:val="000C31E6"/>
    <w:rsid w:val="000C4B30"/>
    <w:rsid w:val="000C52E0"/>
    <w:rsid w:val="000C5A58"/>
    <w:rsid w:val="000D02C7"/>
    <w:rsid w:val="000D1828"/>
    <w:rsid w:val="000D40B2"/>
    <w:rsid w:val="000D63F0"/>
    <w:rsid w:val="000F0E31"/>
    <w:rsid w:val="000F284F"/>
    <w:rsid w:val="000F3B20"/>
    <w:rsid w:val="000F55B6"/>
    <w:rsid w:val="000F5618"/>
    <w:rsid w:val="000F7DE1"/>
    <w:rsid w:val="00102081"/>
    <w:rsid w:val="001027A0"/>
    <w:rsid w:val="00104959"/>
    <w:rsid w:val="00104CEE"/>
    <w:rsid w:val="00112906"/>
    <w:rsid w:val="00116607"/>
    <w:rsid w:val="00120128"/>
    <w:rsid w:val="00124013"/>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7B6C"/>
    <w:rsid w:val="00170C30"/>
    <w:rsid w:val="001724B4"/>
    <w:rsid w:val="0017564C"/>
    <w:rsid w:val="00177538"/>
    <w:rsid w:val="0018218E"/>
    <w:rsid w:val="001829EF"/>
    <w:rsid w:val="00184B0E"/>
    <w:rsid w:val="00185DBC"/>
    <w:rsid w:val="00190323"/>
    <w:rsid w:val="00191E51"/>
    <w:rsid w:val="001A01E6"/>
    <w:rsid w:val="001A0E8C"/>
    <w:rsid w:val="001A25FA"/>
    <w:rsid w:val="001A5201"/>
    <w:rsid w:val="001A6447"/>
    <w:rsid w:val="001A7265"/>
    <w:rsid w:val="001B104E"/>
    <w:rsid w:val="001B1E17"/>
    <w:rsid w:val="001B34AC"/>
    <w:rsid w:val="001B522D"/>
    <w:rsid w:val="001B5F01"/>
    <w:rsid w:val="001C1E42"/>
    <w:rsid w:val="001D2610"/>
    <w:rsid w:val="001D2C0D"/>
    <w:rsid w:val="001D483E"/>
    <w:rsid w:val="001D6867"/>
    <w:rsid w:val="001D74A1"/>
    <w:rsid w:val="001E057B"/>
    <w:rsid w:val="001E385D"/>
    <w:rsid w:val="001E4697"/>
    <w:rsid w:val="001E655A"/>
    <w:rsid w:val="001E7FE1"/>
    <w:rsid w:val="001F195C"/>
    <w:rsid w:val="001F1C87"/>
    <w:rsid w:val="001F2A83"/>
    <w:rsid w:val="001F7301"/>
    <w:rsid w:val="00200B57"/>
    <w:rsid w:val="00200E59"/>
    <w:rsid w:val="002014F9"/>
    <w:rsid w:val="002016DE"/>
    <w:rsid w:val="0020251D"/>
    <w:rsid w:val="00203C3C"/>
    <w:rsid w:val="0020435F"/>
    <w:rsid w:val="0020499E"/>
    <w:rsid w:val="002065EF"/>
    <w:rsid w:val="002071E6"/>
    <w:rsid w:val="00210E59"/>
    <w:rsid w:val="00211252"/>
    <w:rsid w:val="0021532B"/>
    <w:rsid w:val="00215B80"/>
    <w:rsid w:val="00217F9E"/>
    <w:rsid w:val="00220749"/>
    <w:rsid w:val="0022385E"/>
    <w:rsid w:val="0022531C"/>
    <w:rsid w:val="0022743B"/>
    <w:rsid w:val="00230261"/>
    <w:rsid w:val="002325E8"/>
    <w:rsid w:val="00233160"/>
    <w:rsid w:val="002350B8"/>
    <w:rsid w:val="002352CC"/>
    <w:rsid w:val="0023656C"/>
    <w:rsid w:val="00236F30"/>
    <w:rsid w:val="002375DE"/>
    <w:rsid w:val="00237B8C"/>
    <w:rsid w:val="002409BC"/>
    <w:rsid w:val="0024231F"/>
    <w:rsid w:val="0024385B"/>
    <w:rsid w:val="00243B45"/>
    <w:rsid w:val="002464F2"/>
    <w:rsid w:val="00257DD4"/>
    <w:rsid w:val="00260AE5"/>
    <w:rsid w:val="00261FE9"/>
    <w:rsid w:val="002623A6"/>
    <w:rsid w:val="00264FBD"/>
    <w:rsid w:val="002654CB"/>
    <w:rsid w:val="00267D50"/>
    <w:rsid w:val="0027046D"/>
    <w:rsid w:val="00270C5E"/>
    <w:rsid w:val="002753BB"/>
    <w:rsid w:val="0027716E"/>
    <w:rsid w:val="00281BC0"/>
    <w:rsid w:val="002824AC"/>
    <w:rsid w:val="00283918"/>
    <w:rsid w:val="00285E8B"/>
    <w:rsid w:val="00286CE0"/>
    <w:rsid w:val="002879DB"/>
    <w:rsid w:val="00290E23"/>
    <w:rsid w:val="00291738"/>
    <w:rsid w:val="00292179"/>
    <w:rsid w:val="002921FE"/>
    <w:rsid w:val="002935E4"/>
    <w:rsid w:val="002939AD"/>
    <w:rsid w:val="00294BAA"/>
    <w:rsid w:val="002957CA"/>
    <w:rsid w:val="002A0802"/>
    <w:rsid w:val="002A1F08"/>
    <w:rsid w:val="002A322F"/>
    <w:rsid w:val="002A4126"/>
    <w:rsid w:val="002A43B5"/>
    <w:rsid w:val="002A45B5"/>
    <w:rsid w:val="002A49E9"/>
    <w:rsid w:val="002A5D2F"/>
    <w:rsid w:val="002A60BA"/>
    <w:rsid w:val="002A6C5E"/>
    <w:rsid w:val="002B2D0F"/>
    <w:rsid w:val="002B5459"/>
    <w:rsid w:val="002C05C2"/>
    <w:rsid w:val="002C231A"/>
    <w:rsid w:val="002C4DA8"/>
    <w:rsid w:val="002C7EF4"/>
    <w:rsid w:val="002D22F7"/>
    <w:rsid w:val="002D28B5"/>
    <w:rsid w:val="002D387F"/>
    <w:rsid w:val="002D496B"/>
    <w:rsid w:val="002E0C58"/>
    <w:rsid w:val="002E18B9"/>
    <w:rsid w:val="002E286B"/>
    <w:rsid w:val="002E3867"/>
    <w:rsid w:val="002E48EC"/>
    <w:rsid w:val="002E60AA"/>
    <w:rsid w:val="002E60CB"/>
    <w:rsid w:val="002E685F"/>
    <w:rsid w:val="002E6D2F"/>
    <w:rsid w:val="002F1EF8"/>
    <w:rsid w:val="002F50DB"/>
    <w:rsid w:val="002F56EC"/>
    <w:rsid w:val="002F772E"/>
    <w:rsid w:val="00303061"/>
    <w:rsid w:val="003047E2"/>
    <w:rsid w:val="00305E34"/>
    <w:rsid w:val="00306127"/>
    <w:rsid w:val="00306E90"/>
    <w:rsid w:val="00307453"/>
    <w:rsid w:val="003104BE"/>
    <w:rsid w:val="0031338D"/>
    <w:rsid w:val="00315448"/>
    <w:rsid w:val="00315F63"/>
    <w:rsid w:val="00316F36"/>
    <w:rsid w:val="00320744"/>
    <w:rsid w:val="00322332"/>
    <w:rsid w:val="00324E71"/>
    <w:rsid w:val="0032524F"/>
    <w:rsid w:val="0032546E"/>
    <w:rsid w:val="00326697"/>
    <w:rsid w:val="00327E3D"/>
    <w:rsid w:val="00327F38"/>
    <w:rsid w:val="00330E86"/>
    <w:rsid w:val="00331872"/>
    <w:rsid w:val="00332867"/>
    <w:rsid w:val="0033520D"/>
    <w:rsid w:val="003368D7"/>
    <w:rsid w:val="003373DF"/>
    <w:rsid w:val="0033763D"/>
    <w:rsid w:val="003409C9"/>
    <w:rsid w:val="00341246"/>
    <w:rsid w:val="00341CA5"/>
    <w:rsid w:val="00345501"/>
    <w:rsid w:val="00345FA9"/>
    <w:rsid w:val="0034606D"/>
    <w:rsid w:val="003508DB"/>
    <w:rsid w:val="00350C1E"/>
    <w:rsid w:val="00354CD3"/>
    <w:rsid w:val="00355288"/>
    <w:rsid w:val="003557DC"/>
    <w:rsid w:val="00361678"/>
    <w:rsid w:val="00361AE2"/>
    <w:rsid w:val="003638F0"/>
    <w:rsid w:val="00366F9E"/>
    <w:rsid w:val="003672FE"/>
    <w:rsid w:val="0036748F"/>
    <w:rsid w:val="0037068D"/>
    <w:rsid w:val="00372A56"/>
    <w:rsid w:val="00372D60"/>
    <w:rsid w:val="00373B79"/>
    <w:rsid w:val="0037633A"/>
    <w:rsid w:val="00381720"/>
    <w:rsid w:val="00382DCF"/>
    <w:rsid w:val="00386512"/>
    <w:rsid w:val="00395486"/>
    <w:rsid w:val="00396067"/>
    <w:rsid w:val="003976A9"/>
    <w:rsid w:val="003A0829"/>
    <w:rsid w:val="003A2C1D"/>
    <w:rsid w:val="003A355B"/>
    <w:rsid w:val="003B1F03"/>
    <w:rsid w:val="003B4C90"/>
    <w:rsid w:val="003B51B8"/>
    <w:rsid w:val="003B7C33"/>
    <w:rsid w:val="003C6AE5"/>
    <w:rsid w:val="003D15EF"/>
    <w:rsid w:val="003D2850"/>
    <w:rsid w:val="003D2FED"/>
    <w:rsid w:val="003E09C5"/>
    <w:rsid w:val="003E1B7B"/>
    <w:rsid w:val="003E2584"/>
    <w:rsid w:val="003E3916"/>
    <w:rsid w:val="003E551A"/>
    <w:rsid w:val="003E5AB7"/>
    <w:rsid w:val="003E7827"/>
    <w:rsid w:val="003E7ED3"/>
    <w:rsid w:val="003F0FE5"/>
    <w:rsid w:val="003F132E"/>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276AB"/>
    <w:rsid w:val="00430CBA"/>
    <w:rsid w:val="004331AB"/>
    <w:rsid w:val="00435E78"/>
    <w:rsid w:val="00442425"/>
    <w:rsid w:val="00452EAF"/>
    <w:rsid w:val="00452F0B"/>
    <w:rsid w:val="004539E8"/>
    <w:rsid w:val="004609B3"/>
    <w:rsid w:val="00462330"/>
    <w:rsid w:val="004628F9"/>
    <w:rsid w:val="00467C5B"/>
    <w:rsid w:val="00470C1B"/>
    <w:rsid w:val="004718DC"/>
    <w:rsid w:val="00471E40"/>
    <w:rsid w:val="0047297A"/>
    <w:rsid w:val="00474624"/>
    <w:rsid w:val="004760DC"/>
    <w:rsid w:val="00476A50"/>
    <w:rsid w:val="004835A5"/>
    <w:rsid w:val="00490554"/>
    <w:rsid w:val="004908C4"/>
    <w:rsid w:val="00490E75"/>
    <w:rsid w:val="00493576"/>
    <w:rsid w:val="00495420"/>
    <w:rsid w:val="00495F81"/>
    <w:rsid w:val="00496110"/>
    <w:rsid w:val="00496FA9"/>
    <w:rsid w:val="004A08B9"/>
    <w:rsid w:val="004A2CAB"/>
    <w:rsid w:val="004A55B1"/>
    <w:rsid w:val="004A64A5"/>
    <w:rsid w:val="004B7459"/>
    <w:rsid w:val="004C3CF0"/>
    <w:rsid w:val="004C6D47"/>
    <w:rsid w:val="004D091E"/>
    <w:rsid w:val="004D09C7"/>
    <w:rsid w:val="004D0A7B"/>
    <w:rsid w:val="004D22F4"/>
    <w:rsid w:val="004D30DA"/>
    <w:rsid w:val="004D6A00"/>
    <w:rsid w:val="004E281A"/>
    <w:rsid w:val="004E6702"/>
    <w:rsid w:val="004F0D76"/>
    <w:rsid w:val="004F260B"/>
    <w:rsid w:val="004F47C3"/>
    <w:rsid w:val="004F7695"/>
    <w:rsid w:val="004F7CA9"/>
    <w:rsid w:val="00500A00"/>
    <w:rsid w:val="00500C25"/>
    <w:rsid w:val="00500CE1"/>
    <w:rsid w:val="00500FCC"/>
    <w:rsid w:val="005017C8"/>
    <w:rsid w:val="00503235"/>
    <w:rsid w:val="00513D16"/>
    <w:rsid w:val="00520C0C"/>
    <w:rsid w:val="0052118B"/>
    <w:rsid w:val="005269D8"/>
    <w:rsid w:val="0052746C"/>
    <w:rsid w:val="005335B8"/>
    <w:rsid w:val="00533613"/>
    <w:rsid w:val="00546336"/>
    <w:rsid w:val="00546864"/>
    <w:rsid w:val="00547732"/>
    <w:rsid w:val="00547A05"/>
    <w:rsid w:val="00551B9D"/>
    <w:rsid w:val="00553233"/>
    <w:rsid w:val="005546F8"/>
    <w:rsid w:val="00556170"/>
    <w:rsid w:val="00556C3C"/>
    <w:rsid w:val="00556F2F"/>
    <w:rsid w:val="0056674A"/>
    <w:rsid w:val="005709C7"/>
    <w:rsid w:val="00571B53"/>
    <w:rsid w:val="0057372A"/>
    <w:rsid w:val="00580D05"/>
    <w:rsid w:val="00580E82"/>
    <w:rsid w:val="005831B0"/>
    <w:rsid w:val="00585C8D"/>
    <w:rsid w:val="00586D60"/>
    <w:rsid w:val="005878A6"/>
    <w:rsid w:val="00587B52"/>
    <w:rsid w:val="00590596"/>
    <w:rsid w:val="005911FD"/>
    <w:rsid w:val="00594485"/>
    <w:rsid w:val="00597217"/>
    <w:rsid w:val="005A0CF8"/>
    <w:rsid w:val="005A1D0F"/>
    <w:rsid w:val="005A2D63"/>
    <w:rsid w:val="005A7C8F"/>
    <w:rsid w:val="005B00BE"/>
    <w:rsid w:val="005B1C7F"/>
    <w:rsid w:val="005B2A56"/>
    <w:rsid w:val="005B4735"/>
    <w:rsid w:val="005B52E7"/>
    <w:rsid w:val="005B6348"/>
    <w:rsid w:val="005B7459"/>
    <w:rsid w:val="005C492C"/>
    <w:rsid w:val="005C6CE2"/>
    <w:rsid w:val="005C75EA"/>
    <w:rsid w:val="005D05A9"/>
    <w:rsid w:val="005D322A"/>
    <w:rsid w:val="005D425B"/>
    <w:rsid w:val="005D46E7"/>
    <w:rsid w:val="005D4B33"/>
    <w:rsid w:val="005D6ABE"/>
    <w:rsid w:val="005D6ED6"/>
    <w:rsid w:val="005D6FE2"/>
    <w:rsid w:val="005E1892"/>
    <w:rsid w:val="005E2009"/>
    <w:rsid w:val="005E2140"/>
    <w:rsid w:val="005E2969"/>
    <w:rsid w:val="005E345E"/>
    <w:rsid w:val="005E429E"/>
    <w:rsid w:val="005E4FBE"/>
    <w:rsid w:val="005E6234"/>
    <w:rsid w:val="005E753A"/>
    <w:rsid w:val="005F586C"/>
    <w:rsid w:val="005F7265"/>
    <w:rsid w:val="005F7F8B"/>
    <w:rsid w:val="006036BF"/>
    <w:rsid w:val="006044A8"/>
    <w:rsid w:val="00606FFD"/>
    <w:rsid w:val="00607485"/>
    <w:rsid w:val="006119DD"/>
    <w:rsid w:val="006126CA"/>
    <w:rsid w:val="00613B32"/>
    <w:rsid w:val="006170F1"/>
    <w:rsid w:val="006213D7"/>
    <w:rsid w:val="00622982"/>
    <w:rsid w:val="00623CEA"/>
    <w:rsid w:val="00624B57"/>
    <w:rsid w:val="00624E95"/>
    <w:rsid w:val="0062707F"/>
    <w:rsid w:val="00632FBD"/>
    <w:rsid w:val="0063385D"/>
    <w:rsid w:val="006356F6"/>
    <w:rsid w:val="00636B17"/>
    <w:rsid w:val="00637387"/>
    <w:rsid w:val="006400D6"/>
    <w:rsid w:val="0064045C"/>
    <w:rsid w:val="00644C8C"/>
    <w:rsid w:val="006462EA"/>
    <w:rsid w:val="00646FEE"/>
    <w:rsid w:val="00647B6C"/>
    <w:rsid w:val="006503FD"/>
    <w:rsid w:val="006515DC"/>
    <w:rsid w:val="006519F1"/>
    <w:rsid w:val="006658C5"/>
    <w:rsid w:val="006703C1"/>
    <w:rsid w:val="0067164B"/>
    <w:rsid w:val="00673B03"/>
    <w:rsid w:val="00681DA8"/>
    <w:rsid w:val="00681DE1"/>
    <w:rsid w:val="00683CAA"/>
    <w:rsid w:val="00684A03"/>
    <w:rsid w:val="00685730"/>
    <w:rsid w:val="006923A1"/>
    <w:rsid w:val="00692BEE"/>
    <w:rsid w:val="00696C9D"/>
    <w:rsid w:val="006A12F2"/>
    <w:rsid w:val="006A3951"/>
    <w:rsid w:val="006A77F1"/>
    <w:rsid w:val="006B29A4"/>
    <w:rsid w:val="006B3114"/>
    <w:rsid w:val="006B3138"/>
    <w:rsid w:val="006B5380"/>
    <w:rsid w:val="006C0E40"/>
    <w:rsid w:val="006C3C8B"/>
    <w:rsid w:val="006D0085"/>
    <w:rsid w:val="006D4B47"/>
    <w:rsid w:val="006D596C"/>
    <w:rsid w:val="006D659E"/>
    <w:rsid w:val="006D7691"/>
    <w:rsid w:val="006E02B7"/>
    <w:rsid w:val="006E3AB3"/>
    <w:rsid w:val="006E3E45"/>
    <w:rsid w:val="006F5060"/>
    <w:rsid w:val="007004BD"/>
    <w:rsid w:val="00701FB4"/>
    <w:rsid w:val="00703139"/>
    <w:rsid w:val="0070428C"/>
    <w:rsid w:val="00707FD1"/>
    <w:rsid w:val="00711611"/>
    <w:rsid w:val="00712B88"/>
    <w:rsid w:val="0071399E"/>
    <w:rsid w:val="007170C1"/>
    <w:rsid w:val="00720183"/>
    <w:rsid w:val="00720B0E"/>
    <w:rsid w:val="007222D8"/>
    <w:rsid w:val="0072320B"/>
    <w:rsid w:val="00723475"/>
    <w:rsid w:val="0072494E"/>
    <w:rsid w:val="00726565"/>
    <w:rsid w:val="00731BFC"/>
    <w:rsid w:val="007400B9"/>
    <w:rsid w:val="00740E75"/>
    <w:rsid w:val="0074184D"/>
    <w:rsid w:val="00743E72"/>
    <w:rsid w:val="0074635F"/>
    <w:rsid w:val="00751AA0"/>
    <w:rsid w:val="0075323C"/>
    <w:rsid w:val="00755365"/>
    <w:rsid w:val="007558A9"/>
    <w:rsid w:val="00755C27"/>
    <w:rsid w:val="007614DF"/>
    <w:rsid w:val="00761B3E"/>
    <w:rsid w:val="0076210E"/>
    <w:rsid w:val="00764C16"/>
    <w:rsid w:val="00765AC0"/>
    <w:rsid w:val="00765E84"/>
    <w:rsid w:val="00766DE9"/>
    <w:rsid w:val="00766ECE"/>
    <w:rsid w:val="00770B1C"/>
    <w:rsid w:val="00771EC3"/>
    <w:rsid w:val="0077217A"/>
    <w:rsid w:val="007725EE"/>
    <w:rsid w:val="00775CE8"/>
    <w:rsid w:val="0077683C"/>
    <w:rsid w:val="00777389"/>
    <w:rsid w:val="00785431"/>
    <w:rsid w:val="007868E1"/>
    <w:rsid w:val="00787329"/>
    <w:rsid w:val="00791566"/>
    <w:rsid w:val="00791EA1"/>
    <w:rsid w:val="0079419C"/>
    <w:rsid w:val="007951B2"/>
    <w:rsid w:val="007972D1"/>
    <w:rsid w:val="007A2E63"/>
    <w:rsid w:val="007A3DBC"/>
    <w:rsid w:val="007A4351"/>
    <w:rsid w:val="007A6A33"/>
    <w:rsid w:val="007B1A2F"/>
    <w:rsid w:val="007B3194"/>
    <w:rsid w:val="007B342C"/>
    <w:rsid w:val="007B39BE"/>
    <w:rsid w:val="007B3F8C"/>
    <w:rsid w:val="007B5F9C"/>
    <w:rsid w:val="007B69F8"/>
    <w:rsid w:val="007B6DC4"/>
    <w:rsid w:val="007C1AEB"/>
    <w:rsid w:val="007C3B9C"/>
    <w:rsid w:val="007C44BE"/>
    <w:rsid w:val="007C4CD9"/>
    <w:rsid w:val="007C520A"/>
    <w:rsid w:val="007D009A"/>
    <w:rsid w:val="007D2063"/>
    <w:rsid w:val="007D34D5"/>
    <w:rsid w:val="007E0715"/>
    <w:rsid w:val="007E26DB"/>
    <w:rsid w:val="007E2B74"/>
    <w:rsid w:val="007E3299"/>
    <w:rsid w:val="007E715A"/>
    <w:rsid w:val="007F0495"/>
    <w:rsid w:val="007F3BE6"/>
    <w:rsid w:val="007F4742"/>
    <w:rsid w:val="007F5017"/>
    <w:rsid w:val="007F5AF2"/>
    <w:rsid w:val="007F6D57"/>
    <w:rsid w:val="007F706A"/>
    <w:rsid w:val="007F76C2"/>
    <w:rsid w:val="0080504A"/>
    <w:rsid w:val="00806234"/>
    <w:rsid w:val="00806AF6"/>
    <w:rsid w:val="0081231B"/>
    <w:rsid w:val="008124B7"/>
    <w:rsid w:val="0081400D"/>
    <w:rsid w:val="008143FC"/>
    <w:rsid w:val="0081477C"/>
    <w:rsid w:val="00816940"/>
    <w:rsid w:val="0082207C"/>
    <w:rsid w:val="0082217B"/>
    <w:rsid w:val="00823EAD"/>
    <w:rsid w:val="00830617"/>
    <w:rsid w:val="00832B63"/>
    <w:rsid w:val="00833511"/>
    <w:rsid w:val="00834C8E"/>
    <w:rsid w:val="00834F32"/>
    <w:rsid w:val="00834F3B"/>
    <w:rsid w:val="00835794"/>
    <w:rsid w:val="00841192"/>
    <w:rsid w:val="0084430C"/>
    <w:rsid w:val="0084444E"/>
    <w:rsid w:val="008445A4"/>
    <w:rsid w:val="00844CD8"/>
    <w:rsid w:val="00845A59"/>
    <w:rsid w:val="008469D2"/>
    <w:rsid w:val="00850C44"/>
    <w:rsid w:val="00853ADF"/>
    <w:rsid w:val="00853CD9"/>
    <w:rsid w:val="00855423"/>
    <w:rsid w:val="00857F21"/>
    <w:rsid w:val="00860079"/>
    <w:rsid w:val="00861415"/>
    <w:rsid w:val="00861995"/>
    <w:rsid w:val="0086212E"/>
    <w:rsid w:val="00862C71"/>
    <w:rsid w:val="0086339E"/>
    <w:rsid w:val="00864A51"/>
    <w:rsid w:val="0086600F"/>
    <w:rsid w:val="00866B15"/>
    <w:rsid w:val="00867491"/>
    <w:rsid w:val="00870174"/>
    <w:rsid w:val="00870FFA"/>
    <w:rsid w:val="00871EF7"/>
    <w:rsid w:val="008733F8"/>
    <w:rsid w:val="0087503B"/>
    <w:rsid w:val="008764B5"/>
    <w:rsid w:val="00877475"/>
    <w:rsid w:val="00881BAC"/>
    <w:rsid w:val="0088244E"/>
    <w:rsid w:val="0088290A"/>
    <w:rsid w:val="00882D57"/>
    <w:rsid w:val="0088317F"/>
    <w:rsid w:val="00884B82"/>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743E"/>
    <w:rsid w:val="008B7E39"/>
    <w:rsid w:val="008C126A"/>
    <w:rsid w:val="008C1E63"/>
    <w:rsid w:val="008C2139"/>
    <w:rsid w:val="008C27A0"/>
    <w:rsid w:val="008C3160"/>
    <w:rsid w:val="008C6884"/>
    <w:rsid w:val="008C7608"/>
    <w:rsid w:val="008D0841"/>
    <w:rsid w:val="008D14A2"/>
    <w:rsid w:val="008D4AB2"/>
    <w:rsid w:val="008D64F3"/>
    <w:rsid w:val="008D6D55"/>
    <w:rsid w:val="008E7ADF"/>
    <w:rsid w:val="008F23D6"/>
    <w:rsid w:val="008F2D76"/>
    <w:rsid w:val="008F3162"/>
    <w:rsid w:val="008F385C"/>
    <w:rsid w:val="00900DEF"/>
    <w:rsid w:val="0090181D"/>
    <w:rsid w:val="00901DBE"/>
    <w:rsid w:val="00906385"/>
    <w:rsid w:val="00907F85"/>
    <w:rsid w:val="00910FB9"/>
    <w:rsid w:val="00915549"/>
    <w:rsid w:val="00921578"/>
    <w:rsid w:val="00921921"/>
    <w:rsid w:val="00923181"/>
    <w:rsid w:val="00925E38"/>
    <w:rsid w:val="00926407"/>
    <w:rsid w:val="009272D6"/>
    <w:rsid w:val="00927353"/>
    <w:rsid w:val="0092754E"/>
    <w:rsid w:val="009279B5"/>
    <w:rsid w:val="00927ADE"/>
    <w:rsid w:val="009313B5"/>
    <w:rsid w:val="0093244E"/>
    <w:rsid w:val="0093340F"/>
    <w:rsid w:val="009369A4"/>
    <w:rsid w:val="00937C40"/>
    <w:rsid w:val="00942CEE"/>
    <w:rsid w:val="009445D0"/>
    <w:rsid w:val="009512C4"/>
    <w:rsid w:val="009513FC"/>
    <w:rsid w:val="00953B7E"/>
    <w:rsid w:val="00953C5D"/>
    <w:rsid w:val="00955AD4"/>
    <w:rsid w:val="00964804"/>
    <w:rsid w:val="00966FBC"/>
    <w:rsid w:val="00980F9E"/>
    <w:rsid w:val="0098189B"/>
    <w:rsid w:val="00982512"/>
    <w:rsid w:val="009848A6"/>
    <w:rsid w:val="00984E66"/>
    <w:rsid w:val="009878C6"/>
    <w:rsid w:val="009878EC"/>
    <w:rsid w:val="00987E2C"/>
    <w:rsid w:val="0099031A"/>
    <w:rsid w:val="009916BB"/>
    <w:rsid w:val="009A13AE"/>
    <w:rsid w:val="009A5EE7"/>
    <w:rsid w:val="009A6132"/>
    <w:rsid w:val="009A6B95"/>
    <w:rsid w:val="009A720E"/>
    <w:rsid w:val="009B0B5B"/>
    <w:rsid w:val="009B2CD8"/>
    <w:rsid w:val="009B3EEB"/>
    <w:rsid w:val="009B524C"/>
    <w:rsid w:val="009B58E7"/>
    <w:rsid w:val="009B7542"/>
    <w:rsid w:val="009C1A4B"/>
    <w:rsid w:val="009C1A64"/>
    <w:rsid w:val="009D13C1"/>
    <w:rsid w:val="009D13D2"/>
    <w:rsid w:val="009D24E3"/>
    <w:rsid w:val="009D6045"/>
    <w:rsid w:val="009E04B7"/>
    <w:rsid w:val="009E1D30"/>
    <w:rsid w:val="009E27D1"/>
    <w:rsid w:val="009E5224"/>
    <w:rsid w:val="009E69EB"/>
    <w:rsid w:val="009F0D24"/>
    <w:rsid w:val="009F2357"/>
    <w:rsid w:val="009F4F98"/>
    <w:rsid w:val="009F5148"/>
    <w:rsid w:val="009F5459"/>
    <w:rsid w:val="009F5C33"/>
    <w:rsid w:val="00A01315"/>
    <w:rsid w:val="00A03ADF"/>
    <w:rsid w:val="00A074D5"/>
    <w:rsid w:val="00A11AFE"/>
    <w:rsid w:val="00A16F0A"/>
    <w:rsid w:val="00A21278"/>
    <w:rsid w:val="00A2148C"/>
    <w:rsid w:val="00A23882"/>
    <w:rsid w:val="00A26C38"/>
    <w:rsid w:val="00A277FF"/>
    <w:rsid w:val="00A33854"/>
    <w:rsid w:val="00A33E47"/>
    <w:rsid w:val="00A33F13"/>
    <w:rsid w:val="00A34ED1"/>
    <w:rsid w:val="00A35B98"/>
    <w:rsid w:val="00A45114"/>
    <w:rsid w:val="00A460D3"/>
    <w:rsid w:val="00A502D4"/>
    <w:rsid w:val="00A5033B"/>
    <w:rsid w:val="00A518DE"/>
    <w:rsid w:val="00A565BF"/>
    <w:rsid w:val="00A61047"/>
    <w:rsid w:val="00A6785D"/>
    <w:rsid w:val="00A67A77"/>
    <w:rsid w:val="00A70066"/>
    <w:rsid w:val="00A718D4"/>
    <w:rsid w:val="00A72A86"/>
    <w:rsid w:val="00A74E31"/>
    <w:rsid w:val="00A75915"/>
    <w:rsid w:val="00A81915"/>
    <w:rsid w:val="00A829D7"/>
    <w:rsid w:val="00A878F4"/>
    <w:rsid w:val="00A91410"/>
    <w:rsid w:val="00A91533"/>
    <w:rsid w:val="00A91D2E"/>
    <w:rsid w:val="00A95873"/>
    <w:rsid w:val="00A97086"/>
    <w:rsid w:val="00A9709B"/>
    <w:rsid w:val="00A97C74"/>
    <w:rsid w:val="00AA05B8"/>
    <w:rsid w:val="00AA0EDD"/>
    <w:rsid w:val="00AA1B27"/>
    <w:rsid w:val="00AA25BF"/>
    <w:rsid w:val="00AA2BFA"/>
    <w:rsid w:val="00AA388E"/>
    <w:rsid w:val="00AA50C7"/>
    <w:rsid w:val="00AA510E"/>
    <w:rsid w:val="00AA589D"/>
    <w:rsid w:val="00AA5AEB"/>
    <w:rsid w:val="00AA6BE1"/>
    <w:rsid w:val="00AA6F92"/>
    <w:rsid w:val="00AA78F4"/>
    <w:rsid w:val="00AA795B"/>
    <w:rsid w:val="00AA7CBB"/>
    <w:rsid w:val="00AA7CF7"/>
    <w:rsid w:val="00AB041A"/>
    <w:rsid w:val="00AB2299"/>
    <w:rsid w:val="00AB5864"/>
    <w:rsid w:val="00AB62AB"/>
    <w:rsid w:val="00AB6867"/>
    <w:rsid w:val="00AB6FFD"/>
    <w:rsid w:val="00AB7614"/>
    <w:rsid w:val="00AC1923"/>
    <w:rsid w:val="00AC3228"/>
    <w:rsid w:val="00AC61C1"/>
    <w:rsid w:val="00AC6972"/>
    <w:rsid w:val="00AD0796"/>
    <w:rsid w:val="00AD1CC6"/>
    <w:rsid w:val="00AD3C1F"/>
    <w:rsid w:val="00AD47C5"/>
    <w:rsid w:val="00AD497E"/>
    <w:rsid w:val="00AD4EF8"/>
    <w:rsid w:val="00AD6AB5"/>
    <w:rsid w:val="00AF2F10"/>
    <w:rsid w:val="00AF47D2"/>
    <w:rsid w:val="00AF5561"/>
    <w:rsid w:val="00AF5ABE"/>
    <w:rsid w:val="00AF5E76"/>
    <w:rsid w:val="00AF5ECD"/>
    <w:rsid w:val="00AF7A48"/>
    <w:rsid w:val="00B01189"/>
    <w:rsid w:val="00B0459C"/>
    <w:rsid w:val="00B045C4"/>
    <w:rsid w:val="00B051C4"/>
    <w:rsid w:val="00B05264"/>
    <w:rsid w:val="00B067D0"/>
    <w:rsid w:val="00B07E08"/>
    <w:rsid w:val="00B103F2"/>
    <w:rsid w:val="00B1063D"/>
    <w:rsid w:val="00B10C8B"/>
    <w:rsid w:val="00B13D26"/>
    <w:rsid w:val="00B14286"/>
    <w:rsid w:val="00B150EA"/>
    <w:rsid w:val="00B15239"/>
    <w:rsid w:val="00B178D9"/>
    <w:rsid w:val="00B2257B"/>
    <w:rsid w:val="00B27F3E"/>
    <w:rsid w:val="00B30DFB"/>
    <w:rsid w:val="00B35DB3"/>
    <w:rsid w:val="00B3602F"/>
    <w:rsid w:val="00B36057"/>
    <w:rsid w:val="00B37010"/>
    <w:rsid w:val="00B379E5"/>
    <w:rsid w:val="00B40AC7"/>
    <w:rsid w:val="00B4415E"/>
    <w:rsid w:val="00B445DD"/>
    <w:rsid w:val="00B46C69"/>
    <w:rsid w:val="00B541D7"/>
    <w:rsid w:val="00B5651C"/>
    <w:rsid w:val="00B61072"/>
    <w:rsid w:val="00B62C4D"/>
    <w:rsid w:val="00B65ED7"/>
    <w:rsid w:val="00B66640"/>
    <w:rsid w:val="00B6690B"/>
    <w:rsid w:val="00B67B59"/>
    <w:rsid w:val="00B67F59"/>
    <w:rsid w:val="00B711CB"/>
    <w:rsid w:val="00B7379E"/>
    <w:rsid w:val="00B748D8"/>
    <w:rsid w:val="00B7532F"/>
    <w:rsid w:val="00B75B41"/>
    <w:rsid w:val="00B7665A"/>
    <w:rsid w:val="00B778B0"/>
    <w:rsid w:val="00B81A11"/>
    <w:rsid w:val="00B8207C"/>
    <w:rsid w:val="00B82E20"/>
    <w:rsid w:val="00B83379"/>
    <w:rsid w:val="00B83D67"/>
    <w:rsid w:val="00B84A8E"/>
    <w:rsid w:val="00B91805"/>
    <w:rsid w:val="00B94DDC"/>
    <w:rsid w:val="00BA1A3D"/>
    <w:rsid w:val="00BA2A9E"/>
    <w:rsid w:val="00BA3446"/>
    <w:rsid w:val="00BB026F"/>
    <w:rsid w:val="00BB1979"/>
    <w:rsid w:val="00BB300E"/>
    <w:rsid w:val="00BB3654"/>
    <w:rsid w:val="00BB40DF"/>
    <w:rsid w:val="00BB531C"/>
    <w:rsid w:val="00BC0D4A"/>
    <w:rsid w:val="00BC478B"/>
    <w:rsid w:val="00BC76F8"/>
    <w:rsid w:val="00BD0447"/>
    <w:rsid w:val="00BD5BBB"/>
    <w:rsid w:val="00BE07F0"/>
    <w:rsid w:val="00BE1974"/>
    <w:rsid w:val="00BE313F"/>
    <w:rsid w:val="00BE730A"/>
    <w:rsid w:val="00BE7CAC"/>
    <w:rsid w:val="00BF417F"/>
    <w:rsid w:val="00BF6523"/>
    <w:rsid w:val="00BF65E0"/>
    <w:rsid w:val="00C00A7D"/>
    <w:rsid w:val="00C0218D"/>
    <w:rsid w:val="00C02EB3"/>
    <w:rsid w:val="00C060F1"/>
    <w:rsid w:val="00C10691"/>
    <w:rsid w:val="00C10E63"/>
    <w:rsid w:val="00C12DC2"/>
    <w:rsid w:val="00C14213"/>
    <w:rsid w:val="00C145EB"/>
    <w:rsid w:val="00C20951"/>
    <w:rsid w:val="00C22098"/>
    <w:rsid w:val="00C22159"/>
    <w:rsid w:val="00C222E9"/>
    <w:rsid w:val="00C25F8B"/>
    <w:rsid w:val="00C263CA"/>
    <w:rsid w:val="00C267E7"/>
    <w:rsid w:val="00C26FFF"/>
    <w:rsid w:val="00C3008B"/>
    <w:rsid w:val="00C321DC"/>
    <w:rsid w:val="00C33CE1"/>
    <w:rsid w:val="00C37A7B"/>
    <w:rsid w:val="00C41B47"/>
    <w:rsid w:val="00C42A27"/>
    <w:rsid w:val="00C4445F"/>
    <w:rsid w:val="00C47077"/>
    <w:rsid w:val="00C47576"/>
    <w:rsid w:val="00C47F4A"/>
    <w:rsid w:val="00C50D23"/>
    <w:rsid w:val="00C52BA4"/>
    <w:rsid w:val="00C5521E"/>
    <w:rsid w:val="00C60EDF"/>
    <w:rsid w:val="00C61B6D"/>
    <w:rsid w:val="00C63E66"/>
    <w:rsid w:val="00C63EC9"/>
    <w:rsid w:val="00C643EC"/>
    <w:rsid w:val="00C66474"/>
    <w:rsid w:val="00C70D51"/>
    <w:rsid w:val="00C72608"/>
    <w:rsid w:val="00C73AAE"/>
    <w:rsid w:val="00C76A3B"/>
    <w:rsid w:val="00C77033"/>
    <w:rsid w:val="00C83B40"/>
    <w:rsid w:val="00C84297"/>
    <w:rsid w:val="00C8518C"/>
    <w:rsid w:val="00C852C5"/>
    <w:rsid w:val="00C87ECB"/>
    <w:rsid w:val="00C90A26"/>
    <w:rsid w:val="00C91312"/>
    <w:rsid w:val="00C91704"/>
    <w:rsid w:val="00C91F8F"/>
    <w:rsid w:val="00C91F95"/>
    <w:rsid w:val="00C92D78"/>
    <w:rsid w:val="00C95EB7"/>
    <w:rsid w:val="00C96E60"/>
    <w:rsid w:val="00C9770D"/>
    <w:rsid w:val="00CA079A"/>
    <w:rsid w:val="00CA33EF"/>
    <w:rsid w:val="00CA374D"/>
    <w:rsid w:val="00CA3947"/>
    <w:rsid w:val="00CA3D18"/>
    <w:rsid w:val="00CA3EEE"/>
    <w:rsid w:val="00CA62AE"/>
    <w:rsid w:val="00CA647F"/>
    <w:rsid w:val="00CB4D5B"/>
    <w:rsid w:val="00CB65E1"/>
    <w:rsid w:val="00CB7B18"/>
    <w:rsid w:val="00CC39FE"/>
    <w:rsid w:val="00CC3EF3"/>
    <w:rsid w:val="00CC5EE1"/>
    <w:rsid w:val="00CD0C19"/>
    <w:rsid w:val="00CD0F9C"/>
    <w:rsid w:val="00CD2956"/>
    <w:rsid w:val="00CE2305"/>
    <w:rsid w:val="00CF296D"/>
    <w:rsid w:val="00CF2E02"/>
    <w:rsid w:val="00CF34F6"/>
    <w:rsid w:val="00CF4BD0"/>
    <w:rsid w:val="00CF62EF"/>
    <w:rsid w:val="00D011A3"/>
    <w:rsid w:val="00D01BC4"/>
    <w:rsid w:val="00D01F82"/>
    <w:rsid w:val="00D05636"/>
    <w:rsid w:val="00D07D53"/>
    <w:rsid w:val="00D11935"/>
    <w:rsid w:val="00D138CF"/>
    <w:rsid w:val="00D13FF2"/>
    <w:rsid w:val="00D14F64"/>
    <w:rsid w:val="00D16219"/>
    <w:rsid w:val="00D16CED"/>
    <w:rsid w:val="00D2390F"/>
    <w:rsid w:val="00D26D2B"/>
    <w:rsid w:val="00D270E8"/>
    <w:rsid w:val="00D27FA7"/>
    <w:rsid w:val="00D3341B"/>
    <w:rsid w:val="00D35B63"/>
    <w:rsid w:val="00D37F1C"/>
    <w:rsid w:val="00D41653"/>
    <w:rsid w:val="00D41794"/>
    <w:rsid w:val="00D422F0"/>
    <w:rsid w:val="00D42F3C"/>
    <w:rsid w:val="00D46AC6"/>
    <w:rsid w:val="00D4742D"/>
    <w:rsid w:val="00D5024D"/>
    <w:rsid w:val="00D51085"/>
    <w:rsid w:val="00D521D6"/>
    <w:rsid w:val="00D52E08"/>
    <w:rsid w:val="00D538BB"/>
    <w:rsid w:val="00D5421B"/>
    <w:rsid w:val="00D547B4"/>
    <w:rsid w:val="00D62EC2"/>
    <w:rsid w:val="00D63F5C"/>
    <w:rsid w:val="00D675C6"/>
    <w:rsid w:val="00D703AB"/>
    <w:rsid w:val="00D70919"/>
    <w:rsid w:val="00D70F58"/>
    <w:rsid w:val="00D74430"/>
    <w:rsid w:val="00D74C51"/>
    <w:rsid w:val="00D812ED"/>
    <w:rsid w:val="00D82042"/>
    <w:rsid w:val="00D827EC"/>
    <w:rsid w:val="00D82FDD"/>
    <w:rsid w:val="00D85043"/>
    <w:rsid w:val="00D864BF"/>
    <w:rsid w:val="00D86D82"/>
    <w:rsid w:val="00DA0792"/>
    <w:rsid w:val="00DA2B43"/>
    <w:rsid w:val="00DA3D11"/>
    <w:rsid w:val="00DA44F9"/>
    <w:rsid w:val="00DA6924"/>
    <w:rsid w:val="00DB1CF1"/>
    <w:rsid w:val="00DB1EDF"/>
    <w:rsid w:val="00DB2BC8"/>
    <w:rsid w:val="00DB3766"/>
    <w:rsid w:val="00DB4963"/>
    <w:rsid w:val="00DB5B51"/>
    <w:rsid w:val="00DC011F"/>
    <w:rsid w:val="00DC02CA"/>
    <w:rsid w:val="00DC1D6E"/>
    <w:rsid w:val="00DC5EFD"/>
    <w:rsid w:val="00DC63CD"/>
    <w:rsid w:val="00DD0578"/>
    <w:rsid w:val="00DD1E32"/>
    <w:rsid w:val="00DD2957"/>
    <w:rsid w:val="00DD31BB"/>
    <w:rsid w:val="00DD4703"/>
    <w:rsid w:val="00DD4BDD"/>
    <w:rsid w:val="00DD4E9A"/>
    <w:rsid w:val="00DD62F4"/>
    <w:rsid w:val="00DE191D"/>
    <w:rsid w:val="00DE4F63"/>
    <w:rsid w:val="00DF0CCF"/>
    <w:rsid w:val="00DF30FF"/>
    <w:rsid w:val="00DF430D"/>
    <w:rsid w:val="00DF72D7"/>
    <w:rsid w:val="00DF7CE9"/>
    <w:rsid w:val="00DF7E8F"/>
    <w:rsid w:val="00E01CE6"/>
    <w:rsid w:val="00E02376"/>
    <w:rsid w:val="00E0318B"/>
    <w:rsid w:val="00E049DC"/>
    <w:rsid w:val="00E04B8B"/>
    <w:rsid w:val="00E06B61"/>
    <w:rsid w:val="00E06D2A"/>
    <w:rsid w:val="00E0769E"/>
    <w:rsid w:val="00E07CF3"/>
    <w:rsid w:val="00E1017C"/>
    <w:rsid w:val="00E15111"/>
    <w:rsid w:val="00E1686E"/>
    <w:rsid w:val="00E20D68"/>
    <w:rsid w:val="00E21B95"/>
    <w:rsid w:val="00E25D41"/>
    <w:rsid w:val="00E26B61"/>
    <w:rsid w:val="00E274C6"/>
    <w:rsid w:val="00E275F6"/>
    <w:rsid w:val="00E33A86"/>
    <w:rsid w:val="00E35C74"/>
    <w:rsid w:val="00E3727D"/>
    <w:rsid w:val="00E37F45"/>
    <w:rsid w:val="00E40C3F"/>
    <w:rsid w:val="00E40D0B"/>
    <w:rsid w:val="00E452B4"/>
    <w:rsid w:val="00E465DA"/>
    <w:rsid w:val="00E466B5"/>
    <w:rsid w:val="00E51FA3"/>
    <w:rsid w:val="00E52724"/>
    <w:rsid w:val="00E56233"/>
    <w:rsid w:val="00E56B4E"/>
    <w:rsid w:val="00E60074"/>
    <w:rsid w:val="00E61C21"/>
    <w:rsid w:val="00E62B07"/>
    <w:rsid w:val="00E62BD9"/>
    <w:rsid w:val="00E63538"/>
    <w:rsid w:val="00E66AE9"/>
    <w:rsid w:val="00E70BAF"/>
    <w:rsid w:val="00E732D6"/>
    <w:rsid w:val="00E7373D"/>
    <w:rsid w:val="00E765FB"/>
    <w:rsid w:val="00E77717"/>
    <w:rsid w:val="00E77FDF"/>
    <w:rsid w:val="00E815D7"/>
    <w:rsid w:val="00E830EF"/>
    <w:rsid w:val="00E8441A"/>
    <w:rsid w:val="00E84A9F"/>
    <w:rsid w:val="00E85287"/>
    <w:rsid w:val="00E858DC"/>
    <w:rsid w:val="00E85C15"/>
    <w:rsid w:val="00E85F42"/>
    <w:rsid w:val="00E864E4"/>
    <w:rsid w:val="00E90D20"/>
    <w:rsid w:val="00E911EC"/>
    <w:rsid w:val="00E947FF"/>
    <w:rsid w:val="00E97D9C"/>
    <w:rsid w:val="00EA0538"/>
    <w:rsid w:val="00EA2D5D"/>
    <w:rsid w:val="00EA4D69"/>
    <w:rsid w:val="00EB0688"/>
    <w:rsid w:val="00EB13AE"/>
    <w:rsid w:val="00EB1991"/>
    <w:rsid w:val="00EB1E01"/>
    <w:rsid w:val="00EB3642"/>
    <w:rsid w:val="00EB3C11"/>
    <w:rsid w:val="00EB58F7"/>
    <w:rsid w:val="00EB73ED"/>
    <w:rsid w:val="00EB7882"/>
    <w:rsid w:val="00EC06B5"/>
    <w:rsid w:val="00EC105D"/>
    <w:rsid w:val="00EC4A2F"/>
    <w:rsid w:val="00ED2CE6"/>
    <w:rsid w:val="00ED338B"/>
    <w:rsid w:val="00ED4C75"/>
    <w:rsid w:val="00ED57CD"/>
    <w:rsid w:val="00ED6C83"/>
    <w:rsid w:val="00EE0223"/>
    <w:rsid w:val="00EE14CC"/>
    <w:rsid w:val="00EE16D6"/>
    <w:rsid w:val="00EE2731"/>
    <w:rsid w:val="00EE32A7"/>
    <w:rsid w:val="00EE374D"/>
    <w:rsid w:val="00EE7E81"/>
    <w:rsid w:val="00EF28B9"/>
    <w:rsid w:val="00EF40F6"/>
    <w:rsid w:val="00EF6D3E"/>
    <w:rsid w:val="00EF73D4"/>
    <w:rsid w:val="00F05A10"/>
    <w:rsid w:val="00F06927"/>
    <w:rsid w:val="00F12241"/>
    <w:rsid w:val="00F140AC"/>
    <w:rsid w:val="00F148B4"/>
    <w:rsid w:val="00F165A8"/>
    <w:rsid w:val="00F20C65"/>
    <w:rsid w:val="00F21C96"/>
    <w:rsid w:val="00F22391"/>
    <w:rsid w:val="00F23EA4"/>
    <w:rsid w:val="00F26AAD"/>
    <w:rsid w:val="00F26E15"/>
    <w:rsid w:val="00F30CEB"/>
    <w:rsid w:val="00F31476"/>
    <w:rsid w:val="00F32A53"/>
    <w:rsid w:val="00F37112"/>
    <w:rsid w:val="00F40F73"/>
    <w:rsid w:val="00F41D2E"/>
    <w:rsid w:val="00F4614B"/>
    <w:rsid w:val="00F52069"/>
    <w:rsid w:val="00F57DCF"/>
    <w:rsid w:val="00F6086A"/>
    <w:rsid w:val="00F61006"/>
    <w:rsid w:val="00F623C3"/>
    <w:rsid w:val="00F62A37"/>
    <w:rsid w:val="00F65053"/>
    <w:rsid w:val="00F666AB"/>
    <w:rsid w:val="00F66D85"/>
    <w:rsid w:val="00F67B26"/>
    <w:rsid w:val="00F67BFC"/>
    <w:rsid w:val="00F67D4D"/>
    <w:rsid w:val="00F7050F"/>
    <w:rsid w:val="00F7173D"/>
    <w:rsid w:val="00F74284"/>
    <w:rsid w:val="00F74E42"/>
    <w:rsid w:val="00F752F3"/>
    <w:rsid w:val="00F77B31"/>
    <w:rsid w:val="00F804BA"/>
    <w:rsid w:val="00F84A4B"/>
    <w:rsid w:val="00F85433"/>
    <w:rsid w:val="00F85B34"/>
    <w:rsid w:val="00F86B4B"/>
    <w:rsid w:val="00F8761E"/>
    <w:rsid w:val="00F91FD2"/>
    <w:rsid w:val="00F922E0"/>
    <w:rsid w:val="00F9497A"/>
    <w:rsid w:val="00FA1548"/>
    <w:rsid w:val="00FA324A"/>
    <w:rsid w:val="00FA3E66"/>
    <w:rsid w:val="00FA41AF"/>
    <w:rsid w:val="00FA46FF"/>
    <w:rsid w:val="00FA5EEB"/>
    <w:rsid w:val="00FA6752"/>
    <w:rsid w:val="00FB16B2"/>
    <w:rsid w:val="00FB39EA"/>
    <w:rsid w:val="00FB46EA"/>
    <w:rsid w:val="00FB4A96"/>
    <w:rsid w:val="00FC000A"/>
    <w:rsid w:val="00FC26DE"/>
    <w:rsid w:val="00FC41F3"/>
    <w:rsid w:val="00FC5B6B"/>
    <w:rsid w:val="00FC6651"/>
    <w:rsid w:val="00FD49DE"/>
    <w:rsid w:val="00FE3047"/>
    <w:rsid w:val="00FE3A60"/>
    <w:rsid w:val="00FE53BF"/>
    <w:rsid w:val="00FF09B9"/>
    <w:rsid w:val="00FF1D18"/>
    <w:rsid w:val="00FF209E"/>
    <w:rsid w:val="00FF4A1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398">
      <w:bodyDiv w:val="1"/>
      <w:marLeft w:val="0"/>
      <w:marRight w:val="0"/>
      <w:marTop w:val="0"/>
      <w:marBottom w:val="0"/>
      <w:divBdr>
        <w:top w:val="none" w:sz="0" w:space="0" w:color="auto"/>
        <w:left w:val="none" w:sz="0" w:space="0" w:color="auto"/>
        <w:bottom w:val="none" w:sz="0" w:space="0" w:color="auto"/>
        <w:right w:val="none" w:sz="0" w:space="0" w:color="auto"/>
      </w:divBdr>
    </w:div>
    <w:div w:id="592512043">
      <w:bodyDiv w:val="1"/>
      <w:marLeft w:val="0"/>
      <w:marRight w:val="0"/>
      <w:marTop w:val="0"/>
      <w:marBottom w:val="0"/>
      <w:divBdr>
        <w:top w:val="none" w:sz="0" w:space="0" w:color="auto"/>
        <w:left w:val="none" w:sz="0" w:space="0" w:color="auto"/>
        <w:bottom w:val="none" w:sz="0" w:space="0" w:color="auto"/>
        <w:right w:val="none" w:sz="0" w:space="0" w:color="auto"/>
      </w:divBdr>
    </w:div>
    <w:div w:id="1344169247">
      <w:bodyDiv w:val="1"/>
      <w:marLeft w:val="0"/>
      <w:marRight w:val="0"/>
      <w:marTop w:val="0"/>
      <w:marBottom w:val="0"/>
      <w:divBdr>
        <w:top w:val="none" w:sz="0" w:space="0" w:color="auto"/>
        <w:left w:val="none" w:sz="0" w:space="0" w:color="auto"/>
        <w:bottom w:val="none" w:sz="0" w:space="0" w:color="auto"/>
        <w:right w:val="none" w:sz="0" w:space="0" w:color="auto"/>
      </w:divBdr>
    </w:div>
    <w:div w:id="17010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http://www.puc.pa.gov/efiling/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2BF4-00E9-475F-ABE4-40EAC37E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cp:lastPrinted>2015-04-21T15:37:00Z</cp:lastPrinted>
  <dcterms:created xsi:type="dcterms:W3CDTF">2015-04-21T17:47:00Z</dcterms:created>
  <dcterms:modified xsi:type="dcterms:W3CDTF">2015-04-23T15:29:00Z</dcterms:modified>
</cp:coreProperties>
</file>