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E91F49" w:rsidRPr="00F66C7A" w:rsidTr="00E0055A">
        <w:tc>
          <w:tcPr>
            <w:tcW w:w="2448" w:type="dxa"/>
          </w:tcPr>
          <w:p w:rsidR="00E91F49" w:rsidRPr="00F66C7A" w:rsidRDefault="00E91F49" w:rsidP="00CE520F">
            <w:pPr>
              <w:pStyle w:val="Heading2"/>
            </w:pPr>
          </w:p>
        </w:tc>
        <w:tc>
          <w:tcPr>
            <w:tcW w:w="5130" w:type="dxa"/>
          </w:tcPr>
          <w:p w:rsidR="00E91F49" w:rsidRPr="00FA016E" w:rsidRDefault="00E91F49" w:rsidP="00E0055A">
            <w:pPr>
              <w:jc w:val="center"/>
              <w:rPr>
                <w:rFonts w:cstheme="minorHAnsi"/>
                <w:b/>
                <w:sz w:val="26"/>
                <w:szCs w:val="26"/>
              </w:rPr>
            </w:pPr>
            <w:r w:rsidRPr="00FA016E">
              <w:rPr>
                <w:rFonts w:cstheme="minorHAnsi"/>
                <w:b/>
                <w:sz w:val="26"/>
                <w:szCs w:val="26"/>
              </w:rPr>
              <w:t>PENNSYLVANIA</w:t>
            </w:r>
          </w:p>
          <w:p w:rsidR="00E91F49" w:rsidRPr="00DB7855" w:rsidRDefault="00E91F49" w:rsidP="00E0055A">
            <w:pPr>
              <w:jc w:val="center"/>
              <w:rPr>
                <w:rFonts w:cstheme="minorHAnsi"/>
                <w:b/>
                <w:sz w:val="26"/>
                <w:szCs w:val="26"/>
              </w:rPr>
            </w:pPr>
            <w:r w:rsidRPr="00DB7855">
              <w:rPr>
                <w:rFonts w:cstheme="minorHAnsi"/>
                <w:b/>
                <w:sz w:val="26"/>
                <w:szCs w:val="26"/>
              </w:rPr>
              <w:t>PUBLIC UTILITY COMMISSION</w:t>
            </w:r>
          </w:p>
          <w:p w:rsidR="00E91F49" w:rsidRPr="00F66C7A" w:rsidRDefault="00E91F49" w:rsidP="00E0055A">
            <w:pPr>
              <w:pStyle w:val="StyleCentered"/>
              <w:rPr>
                <w:rFonts w:asciiTheme="minorHAnsi" w:hAnsiTheme="minorHAnsi" w:cstheme="minorHAnsi"/>
                <w:b/>
                <w:sz w:val="26"/>
                <w:szCs w:val="26"/>
              </w:rPr>
            </w:pPr>
            <w:r w:rsidRPr="00F66C7A">
              <w:rPr>
                <w:rFonts w:asciiTheme="minorHAnsi" w:hAnsiTheme="minorHAnsi" w:cstheme="minorHAnsi"/>
                <w:b/>
                <w:sz w:val="26"/>
                <w:szCs w:val="26"/>
              </w:rPr>
              <w:t>Harrisburg, PA  17105-3265</w:t>
            </w:r>
          </w:p>
        </w:tc>
        <w:tc>
          <w:tcPr>
            <w:tcW w:w="2700" w:type="dxa"/>
          </w:tcPr>
          <w:p w:rsidR="00E91F49" w:rsidRPr="00FA016E" w:rsidRDefault="00E91F49" w:rsidP="00E0055A">
            <w:pPr>
              <w:rPr>
                <w:rFonts w:cstheme="minorHAnsi"/>
                <w:sz w:val="26"/>
                <w:szCs w:val="26"/>
              </w:rPr>
            </w:pPr>
          </w:p>
        </w:tc>
      </w:tr>
    </w:tbl>
    <w:p w:rsidR="00E91F49" w:rsidRPr="00F66C7A" w:rsidRDefault="00E91F49" w:rsidP="00E91F49">
      <w:pPr>
        <w:rPr>
          <w:rFonts w:cstheme="minorHAnsi"/>
          <w:sz w:val="26"/>
          <w:szCs w:val="26"/>
        </w:rPr>
      </w:pPr>
    </w:p>
    <w:tbl>
      <w:tblPr>
        <w:tblW w:w="0" w:type="auto"/>
        <w:tblLayout w:type="fixed"/>
        <w:tblLook w:val="0000" w:firstRow="0" w:lastRow="0" w:firstColumn="0" w:lastColumn="0" w:noHBand="0" w:noVBand="0"/>
      </w:tblPr>
      <w:tblGrid>
        <w:gridCol w:w="5148"/>
        <w:gridCol w:w="5148"/>
      </w:tblGrid>
      <w:tr w:rsidR="00E91F49" w:rsidRPr="00F66C7A" w:rsidTr="00E0055A">
        <w:tc>
          <w:tcPr>
            <w:tcW w:w="5148" w:type="dxa"/>
          </w:tcPr>
          <w:p w:rsidR="00E91F49" w:rsidRPr="00F66C7A" w:rsidRDefault="00E91F49" w:rsidP="00E0055A">
            <w:pPr>
              <w:rPr>
                <w:rFonts w:cstheme="minorHAnsi"/>
                <w:sz w:val="26"/>
                <w:szCs w:val="26"/>
              </w:rPr>
            </w:pPr>
          </w:p>
        </w:tc>
        <w:tc>
          <w:tcPr>
            <w:tcW w:w="5148" w:type="dxa"/>
          </w:tcPr>
          <w:p w:rsidR="00E91F49" w:rsidRPr="00F66C7A" w:rsidRDefault="00E91F49" w:rsidP="00FD23AB">
            <w:pPr>
              <w:ind w:firstLine="612"/>
              <w:rPr>
                <w:rFonts w:cstheme="minorHAnsi"/>
                <w:sz w:val="26"/>
                <w:szCs w:val="26"/>
              </w:rPr>
            </w:pPr>
            <w:r w:rsidRPr="00F66C7A">
              <w:rPr>
                <w:rFonts w:cstheme="minorHAnsi"/>
                <w:sz w:val="26"/>
                <w:szCs w:val="26"/>
              </w:rPr>
              <w:t xml:space="preserve">Public Meeting held </w:t>
            </w:r>
            <w:r w:rsidR="0006456E" w:rsidRPr="00B85130">
              <w:rPr>
                <w:rFonts w:cstheme="minorHAnsi"/>
                <w:sz w:val="26"/>
                <w:szCs w:val="26"/>
              </w:rPr>
              <w:t>March</w:t>
            </w:r>
            <w:r w:rsidR="007602B7" w:rsidRPr="00B85130">
              <w:rPr>
                <w:rFonts w:cstheme="minorHAnsi"/>
                <w:sz w:val="26"/>
                <w:szCs w:val="26"/>
              </w:rPr>
              <w:t xml:space="preserve"> 26</w:t>
            </w:r>
            <w:r w:rsidR="0006456E" w:rsidRPr="00B85130">
              <w:rPr>
                <w:rFonts w:cstheme="minorHAnsi"/>
                <w:sz w:val="26"/>
                <w:szCs w:val="26"/>
              </w:rPr>
              <w:t>, 2015</w:t>
            </w:r>
          </w:p>
        </w:tc>
      </w:tr>
      <w:tr w:rsidR="00E91F49" w:rsidRPr="00F66C7A" w:rsidTr="00E0055A">
        <w:tc>
          <w:tcPr>
            <w:tcW w:w="5148" w:type="dxa"/>
          </w:tcPr>
          <w:p w:rsidR="00E91F49" w:rsidRPr="00F66C7A" w:rsidRDefault="00E91F49" w:rsidP="00E0055A">
            <w:pPr>
              <w:rPr>
                <w:rFonts w:cstheme="minorHAnsi"/>
                <w:sz w:val="26"/>
                <w:szCs w:val="26"/>
              </w:rPr>
            </w:pPr>
            <w:r w:rsidRPr="00F66C7A">
              <w:rPr>
                <w:rFonts w:cstheme="minorHAnsi"/>
                <w:sz w:val="26"/>
                <w:szCs w:val="26"/>
              </w:rPr>
              <w:t>Commissioners Present:</w:t>
            </w:r>
          </w:p>
        </w:tc>
        <w:tc>
          <w:tcPr>
            <w:tcW w:w="5148" w:type="dxa"/>
          </w:tcPr>
          <w:p w:rsidR="00E91F49" w:rsidRPr="00F66C7A" w:rsidRDefault="00E91F49" w:rsidP="00E0055A">
            <w:pPr>
              <w:rPr>
                <w:rFonts w:cstheme="minorHAnsi"/>
                <w:sz w:val="26"/>
                <w:szCs w:val="26"/>
              </w:rPr>
            </w:pPr>
          </w:p>
        </w:tc>
      </w:tr>
    </w:tbl>
    <w:p w:rsidR="00E91F49" w:rsidRPr="00F66C7A" w:rsidRDefault="00E91F49" w:rsidP="00E91F49">
      <w:pPr>
        <w:rPr>
          <w:rFonts w:cstheme="minorHAnsi"/>
          <w:sz w:val="26"/>
          <w:szCs w:val="26"/>
        </w:rPr>
      </w:pPr>
    </w:p>
    <w:tbl>
      <w:tblPr>
        <w:tblW w:w="10296" w:type="dxa"/>
        <w:tblLayout w:type="fixed"/>
        <w:tblLook w:val="0000" w:firstRow="0" w:lastRow="0" w:firstColumn="0" w:lastColumn="0" w:noHBand="0" w:noVBand="0"/>
      </w:tblPr>
      <w:tblGrid>
        <w:gridCol w:w="5958"/>
        <w:gridCol w:w="2898"/>
        <w:gridCol w:w="522"/>
        <w:gridCol w:w="180"/>
        <w:gridCol w:w="738"/>
      </w:tblGrid>
      <w:tr w:rsidR="00E91F49" w:rsidRPr="00F66C7A" w:rsidTr="00E0055A">
        <w:tc>
          <w:tcPr>
            <w:tcW w:w="9378" w:type="dxa"/>
            <w:gridSpan w:val="3"/>
          </w:tcPr>
          <w:p w:rsidR="00E91F49" w:rsidRPr="00F66C7A" w:rsidRDefault="00E91F49" w:rsidP="00E0055A">
            <w:pPr>
              <w:ind w:left="720"/>
              <w:rPr>
                <w:rFonts w:cstheme="minorHAnsi"/>
                <w:sz w:val="26"/>
                <w:szCs w:val="26"/>
              </w:rPr>
            </w:pPr>
            <w:r w:rsidRPr="00F66C7A">
              <w:rPr>
                <w:rFonts w:cstheme="minorHAnsi"/>
                <w:sz w:val="26"/>
                <w:szCs w:val="26"/>
              </w:rPr>
              <w:t>Robert F. Powelson, Chairman</w:t>
            </w:r>
          </w:p>
        </w:tc>
        <w:tc>
          <w:tcPr>
            <w:tcW w:w="918" w:type="dxa"/>
            <w:gridSpan w:val="2"/>
          </w:tcPr>
          <w:p w:rsidR="00E91F49" w:rsidRPr="00F66C7A" w:rsidRDefault="00E91F49" w:rsidP="00E0055A">
            <w:pPr>
              <w:rPr>
                <w:rFonts w:cstheme="minorHAnsi"/>
                <w:sz w:val="26"/>
                <w:szCs w:val="26"/>
              </w:rPr>
            </w:pPr>
          </w:p>
        </w:tc>
      </w:tr>
      <w:tr w:rsidR="00E91F49" w:rsidRPr="00F66C7A" w:rsidTr="00E0055A">
        <w:tc>
          <w:tcPr>
            <w:tcW w:w="9378" w:type="dxa"/>
            <w:gridSpan w:val="3"/>
          </w:tcPr>
          <w:p w:rsidR="00E91F49" w:rsidRPr="00F66C7A" w:rsidRDefault="00E91F49" w:rsidP="00E0055A">
            <w:pPr>
              <w:ind w:left="720"/>
              <w:rPr>
                <w:rFonts w:cstheme="minorHAnsi"/>
                <w:sz w:val="26"/>
                <w:szCs w:val="26"/>
              </w:rPr>
            </w:pPr>
            <w:r w:rsidRPr="00F66C7A">
              <w:rPr>
                <w:rFonts w:cstheme="minorHAnsi"/>
                <w:sz w:val="26"/>
                <w:szCs w:val="26"/>
              </w:rPr>
              <w:t>John F. Coleman, Jr., Vice Chairman</w:t>
            </w:r>
          </w:p>
        </w:tc>
        <w:tc>
          <w:tcPr>
            <w:tcW w:w="918" w:type="dxa"/>
            <w:gridSpan w:val="2"/>
          </w:tcPr>
          <w:p w:rsidR="00E91F49" w:rsidRPr="00F66C7A" w:rsidRDefault="00E91F49" w:rsidP="00E0055A">
            <w:pPr>
              <w:rPr>
                <w:rFonts w:cstheme="minorHAnsi"/>
                <w:sz w:val="26"/>
                <w:szCs w:val="26"/>
              </w:rPr>
            </w:pPr>
          </w:p>
        </w:tc>
      </w:tr>
      <w:tr w:rsidR="00E91F49" w:rsidRPr="00F66C7A" w:rsidTr="00E0055A">
        <w:tc>
          <w:tcPr>
            <w:tcW w:w="9378" w:type="dxa"/>
            <w:gridSpan w:val="3"/>
          </w:tcPr>
          <w:p w:rsidR="00E91F49" w:rsidRPr="00F66C7A" w:rsidRDefault="00E91F49" w:rsidP="00E0055A">
            <w:pPr>
              <w:ind w:left="720"/>
              <w:rPr>
                <w:rFonts w:cstheme="minorHAnsi"/>
                <w:sz w:val="26"/>
                <w:szCs w:val="26"/>
              </w:rPr>
            </w:pPr>
            <w:r w:rsidRPr="00F66C7A">
              <w:rPr>
                <w:rFonts w:cstheme="minorHAnsi"/>
                <w:sz w:val="26"/>
                <w:szCs w:val="26"/>
              </w:rPr>
              <w:t xml:space="preserve">James H. </w:t>
            </w:r>
            <w:proofErr w:type="spellStart"/>
            <w:r w:rsidRPr="00F66C7A">
              <w:rPr>
                <w:rFonts w:cstheme="minorHAnsi"/>
                <w:sz w:val="26"/>
                <w:szCs w:val="26"/>
              </w:rPr>
              <w:t>Cawley</w:t>
            </w:r>
            <w:proofErr w:type="spellEnd"/>
          </w:p>
        </w:tc>
        <w:tc>
          <w:tcPr>
            <w:tcW w:w="918" w:type="dxa"/>
            <w:gridSpan w:val="2"/>
          </w:tcPr>
          <w:p w:rsidR="00E91F49" w:rsidRPr="00F66C7A" w:rsidRDefault="00E91F49" w:rsidP="00E0055A">
            <w:pPr>
              <w:rPr>
                <w:rFonts w:cstheme="minorHAnsi"/>
                <w:sz w:val="26"/>
                <w:szCs w:val="26"/>
              </w:rPr>
            </w:pPr>
          </w:p>
        </w:tc>
      </w:tr>
      <w:tr w:rsidR="00E91F49" w:rsidRPr="00F66C7A" w:rsidTr="00E0055A">
        <w:tc>
          <w:tcPr>
            <w:tcW w:w="9378" w:type="dxa"/>
            <w:gridSpan w:val="3"/>
          </w:tcPr>
          <w:p w:rsidR="00E91F49" w:rsidRPr="00F66C7A" w:rsidRDefault="00E91F49" w:rsidP="00E0055A">
            <w:pPr>
              <w:ind w:left="720"/>
              <w:rPr>
                <w:rFonts w:cstheme="minorHAnsi"/>
                <w:sz w:val="26"/>
                <w:szCs w:val="26"/>
              </w:rPr>
            </w:pPr>
            <w:r w:rsidRPr="00F66C7A">
              <w:rPr>
                <w:rFonts w:cstheme="minorHAnsi"/>
                <w:sz w:val="26"/>
                <w:szCs w:val="26"/>
              </w:rPr>
              <w:t xml:space="preserve">Pamela A. </w:t>
            </w:r>
            <w:proofErr w:type="spellStart"/>
            <w:r w:rsidRPr="00F66C7A">
              <w:rPr>
                <w:rFonts w:cstheme="minorHAnsi"/>
                <w:sz w:val="26"/>
                <w:szCs w:val="26"/>
              </w:rPr>
              <w:t>Witmer</w:t>
            </w:r>
            <w:proofErr w:type="spellEnd"/>
          </w:p>
        </w:tc>
        <w:tc>
          <w:tcPr>
            <w:tcW w:w="918" w:type="dxa"/>
            <w:gridSpan w:val="2"/>
          </w:tcPr>
          <w:p w:rsidR="00E91F49" w:rsidRPr="00F66C7A" w:rsidRDefault="00E91F49" w:rsidP="00E0055A">
            <w:pPr>
              <w:rPr>
                <w:rFonts w:cstheme="minorHAnsi"/>
                <w:sz w:val="26"/>
                <w:szCs w:val="26"/>
              </w:rPr>
            </w:pPr>
          </w:p>
        </w:tc>
      </w:tr>
      <w:tr w:rsidR="00E91F49" w:rsidRPr="00F66C7A" w:rsidTr="00E0055A">
        <w:trPr>
          <w:gridAfter w:val="3"/>
          <w:wAfter w:w="1440" w:type="dxa"/>
        </w:trPr>
        <w:tc>
          <w:tcPr>
            <w:tcW w:w="5958" w:type="dxa"/>
          </w:tcPr>
          <w:p w:rsidR="00E91F49" w:rsidRPr="00F66C7A" w:rsidRDefault="00E91F49" w:rsidP="00E0055A">
            <w:pPr>
              <w:ind w:left="720"/>
              <w:rPr>
                <w:rFonts w:cstheme="minorHAnsi"/>
                <w:sz w:val="26"/>
                <w:szCs w:val="26"/>
              </w:rPr>
            </w:pPr>
            <w:r w:rsidRPr="00F66C7A">
              <w:rPr>
                <w:rFonts w:cstheme="minorHAnsi"/>
                <w:sz w:val="26"/>
                <w:szCs w:val="26"/>
              </w:rPr>
              <w:t>Gladys M. Brown</w:t>
            </w:r>
          </w:p>
        </w:tc>
        <w:tc>
          <w:tcPr>
            <w:tcW w:w="2898" w:type="dxa"/>
          </w:tcPr>
          <w:p w:rsidR="00E91F49" w:rsidRPr="00F66C7A" w:rsidRDefault="00E91F49" w:rsidP="00E0055A">
            <w:pPr>
              <w:rPr>
                <w:rFonts w:cstheme="minorHAnsi"/>
                <w:sz w:val="26"/>
                <w:szCs w:val="26"/>
              </w:rPr>
            </w:pPr>
          </w:p>
        </w:tc>
      </w:tr>
      <w:tr w:rsidR="00E91F49" w:rsidRPr="00F66C7A" w:rsidTr="00E0055A">
        <w:trPr>
          <w:gridAfter w:val="3"/>
          <w:wAfter w:w="1440" w:type="dxa"/>
        </w:trPr>
        <w:tc>
          <w:tcPr>
            <w:tcW w:w="5958" w:type="dxa"/>
          </w:tcPr>
          <w:p w:rsidR="00E91F49" w:rsidRPr="00F66C7A" w:rsidRDefault="00E91F49" w:rsidP="00E0055A">
            <w:pPr>
              <w:rPr>
                <w:rFonts w:cstheme="minorHAnsi"/>
                <w:sz w:val="26"/>
                <w:szCs w:val="26"/>
              </w:rPr>
            </w:pPr>
          </w:p>
        </w:tc>
        <w:tc>
          <w:tcPr>
            <w:tcW w:w="2898" w:type="dxa"/>
          </w:tcPr>
          <w:p w:rsidR="00E91F49" w:rsidRPr="00F66C7A" w:rsidRDefault="00E91F49" w:rsidP="00E0055A">
            <w:pPr>
              <w:rPr>
                <w:rFonts w:cstheme="minorHAnsi"/>
                <w:sz w:val="26"/>
                <w:szCs w:val="26"/>
              </w:rPr>
            </w:pPr>
          </w:p>
        </w:tc>
      </w:tr>
      <w:tr w:rsidR="00E91F49" w:rsidRPr="00F66C7A" w:rsidTr="00E0055A">
        <w:trPr>
          <w:gridAfter w:val="3"/>
          <w:wAfter w:w="1440" w:type="dxa"/>
        </w:trPr>
        <w:tc>
          <w:tcPr>
            <w:tcW w:w="5958" w:type="dxa"/>
          </w:tcPr>
          <w:p w:rsidR="00E91F49" w:rsidRPr="00F66C7A" w:rsidRDefault="00E91F49" w:rsidP="00E0055A">
            <w:pPr>
              <w:rPr>
                <w:rFonts w:cstheme="minorHAnsi"/>
                <w:sz w:val="26"/>
                <w:szCs w:val="26"/>
              </w:rPr>
            </w:pPr>
            <w:r w:rsidRPr="00F66C7A">
              <w:rPr>
                <w:rFonts w:cstheme="minorHAnsi"/>
                <w:sz w:val="26"/>
                <w:szCs w:val="26"/>
              </w:rPr>
              <w:t xml:space="preserve"> </w:t>
            </w:r>
          </w:p>
        </w:tc>
        <w:tc>
          <w:tcPr>
            <w:tcW w:w="2898" w:type="dxa"/>
          </w:tcPr>
          <w:p w:rsidR="00E91F49" w:rsidRPr="00F66C7A" w:rsidRDefault="00E91F49" w:rsidP="00E0055A">
            <w:pPr>
              <w:rPr>
                <w:rFonts w:cstheme="minorHAnsi"/>
                <w:sz w:val="26"/>
                <w:szCs w:val="26"/>
              </w:rPr>
            </w:pPr>
          </w:p>
        </w:tc>
      </w:tr>
      <w:tr w:rsidR="00E91F49" w:rsidRPr="002530E7" w:rsidTr="00E0055A">
        <w:trPr>
          <w:gridAfter w:val="1"/>
          <w:wAfter w:w="738" w:type="dxa"/>
        </w:trPr>
        <w:tc>
          <w:tcPr>
            <w:tcW w:w="5958" w:type="dxa"/>
          </w:tcPr>
          <w:p w:rsidR="00E91F49" w:rsidRPr="00D951A6" w:rsidRDefault="00E91F49" w:rsidP="00C53F4F">
            <w:pPr>
              <w:rPr>
                <w:rFonts w:cstheme="minorHAnsi"/>
                <w:sz w:val="26"/>
                <w:szCs w:val="26"/>
              </w:rPr>
            </w:pPr>
            <w:r w:rsidRPr="00F66C7A">
              <w:rPr>
                <w:rFonts w:cstheme="minorHAnsi"/>
                <w:sz w:val="26"/>
                <w:szCs w:val="26"/>
              </w:rPr>
              <w:t>Rulemaking to Amend</w:t>
            </w:r>
            <w:r w:rsidR="00C53F4F">
              <w:rPr>
                <w:rFonts w:cstheme="minorHAnsi"/>
                <w:sz w:val="26"/>
                <w:szCs w:val="26"/>
              </w:rPr>
              <w:t xml:space="preserve"> and Add Regulations</w:t>
            </w:r>
            <w:r w:rsidRPr="00F66C7A">
              <w:rPr>
                <w:rFonts w:cstheme="minorHAnsi"/>
                <w:sz w:val="26"/>
                <w:szCs w:val="26"/>
              </w:rPr>
              <w:t xml:space="preserve"> </w:t>
            </w:r>
            <w:r w:rsidR="00C53F4F">
              <w:rPr>
                <w:rFonts w:cstheme="minorHAnsi"/>
                <w:sz w:val="26"/>
                <w:szCs w:val="26"/>
              </w:rPr>
              <w:t>To</w:t>
            </w:r>
            <w:r w:rsidRPr="00F66C7A">
              <w:rPr>
                <w:rFonts w:cstheme="minorHAnsi"/>
                <w:sz w:val="26"/>
                <w:szCs w:val="26"/>
              </w:rPr>
              <w:t xml:space="preserve"> </w:t>
            </w:r>
            <w:r w:rsidR="00C53F4F">
              <w:rPr>
                <w:rFonts w:cstheme="minorHAnsi"/>
                <w:sz w:val="26"/>
                <w:szCs w:val="26"/>
              </w:rPr>
              <w:t xml:space="preserve">Title </w:t>
            </w:r>
            <w:r w:rsidRPr="00F66C7A">
              <w:rPr>
                <w:rFonts w:cstheme="minorHAnsi"/>
                <w:sz w:val="26"/>
                <w:szCs w:val="26"/>
              </w:rPr>
              <w:t xml:space="preserve">52 </w:t>
            </w:r>
            <w:r w:rsidR="00C53F4F">
              <w:rPr>
                <w:rFonts w:cstheme="minorHAnsi"/>
                <w:sz w:val="26"/>
                <w:szCs w:val="26"/>
              </w:rPr>
              <w:t xml:space="preserve">of the Pennsylvania </w:t>
            </w:r>
            <w:r w:rsidRPr="00F66C7A">
              <w:rPr>
                <w:rFonts w:cstheme="minorHAnsi"/>
                <w:sz w:val="26"/>
                <w:szCs w:val="26"/>
              </w:rPr>
              <w:t xml:space="preserve">Code, </w:t>
            </w:r>
            <w:r w:rsidR="00540676">
              <w:rPr>
                <w:rFonts w:cstheme="minorHAnsi"/>
                <w:sz w:val="26"/>
                <w:szCs w:val="26"/>
              </w:rPr>
              <w:t>Sections 62.72, 62.75</w:t>
            </w:r>
            <w:r w:rsidR="00C53F4F">
              <w:rPr>
                <w:rFonts w:cstheme="minorHAnsi"/>
                <w:sz w:val="26"/>
                <w:szCs w:val="26"/>
              </w:rPr>
              <w:t>, and 62.81</w:t>
            </w:r>
            <w:r w:rsidR="00F330A4" w:rsidRPr="00F66C7A">
              <w:rPr>
                <w:rFonts w:cstheme="minorHAnsi"/>
                <w:sz w:val="26"/>
                <w:szCs w:val="26"/>
              </w:rPr>
              <w:t xml:space="preserve"> </w:t>
            </w:r>
            <w:r w:rsidRPr="00E074DD">
              <w:rPr>
                <w:rFonts w:cstheme="minorHAnsi"/>
                <w:sz w:val="26"/>
                <w:szCs w:val="26"/>
              </w:rPr>
              <w:t xml:space="preserve">Regarding </w:t>
            </w:r>
            <w:r w:rsidR="00C53F4F">
              <w:rPr>
                <w:rFonts w:cstheme="minorHAnsi"/>
                <w:sz w:val="26"/>
                <w:szCs w:val="26"/>
              </w:rPr>
              <w:t xml:space="preserve">Customer Information </w:t>
            </w:r>
            <w:r w:rsidRPr="00E074DD">
              <w:rPr>
                <w:rFonts w:cstheme="minorHAnsi"/>
                <w:sz w:val="26"/>
                <w:szCs w:val="26"/>
              </w:rPr>
              <w:t xml:space="preserve">Disclosure </w:t>
            </w:r>
            <w:r w:rsidR="00C53F4F">
              <w:rPr>
                <w:rFonts w:cstheme="minorHAnsi"/>
                <w:sz w:val="26"/>
                <w:szCs w:val="26"/>
              </w:rPr>
              <w:t>Requirements for Natural Gas Suppliers Providing Natural Gas Supply to</w:t>
            </w:r>
            <w:r w:rsidRPr="00E074DD">
              <w:rPr>
                <w:rFonts w:cstheme="minorHAnsi"/>
                <w:sz w:val="26"/>
                <w:szCs w:val="26"/>
              </w:rPr>
              <w:t xml:space="preserve"> Residential and Small Business Customers</w:t>
            </w:r>
            <w:r w:rsidR="00415DB6" w:rsidRPr="00E074DD">
              <w:rPr>
                <w:rFonts w:cstheme="minorHAnsi"/>
                <w:sz w:val="26"/>
                <w:szCs w:val="26"/>
              </w:rPr>
              <w:t xml:space="preserve"> </w:t>
            </w:r>
          </w:p>
        </w:tc>
        <w:tc>
          <w:tcPr>
            <w:tcW w:w="3600" w:type="dxa"/>
            <w:gridSpan w:val="3"/>
          </w:tcPr>
          <w:p w:rsidR="00E91F49" w:rsidRPr="00BE0FF4" w:rsidRDefault="0006456E" w:rsidP="0006456E">
            <w:pPr>
              <w:jc w:val="right"/>
              <w:rPr>
                <w:rFonts w:cstheme="minorHAnsi"/>
                <w:sz w:val="26"/>
                <w:szCs w:val="26"/>
              </w:rPr>
            </w:pPr>
            <w:r>
              <w:rPr>
                <w:rFonts w:cstheme="minorHAnsi"/>
                <w:sz w:val="26"/>
                <w:szCs w:val="26"/>
              </w:rPr>
              <w:t>L-2015</w:t>
            </w:r>
            <w:r w:rsidR="00E91F49" w:rsidRPr="00D951A6">
              <w:rPr>
                <w:rFonts w:cstheme="minorHAnsi"/>
                <w:color w:val="000000"/>
                <w:sz w:val="26"/>
                <w:szCs w:val="26"/>
              </w:rPr>
              <w:t>-</w:t>
            </w:r>
            <w:r w:rsidR="00540676">
              <w:rPr>
                <w:rFonts w:cstheme="minorHAnsi"/>
                <w:color w:val="000000"/>
                <w:sz w:val="26"/>
                <w:szCs w:val="26"/>
              </w:rPr>
              <w:t>2465942</w:t>
            </w:r>
          </w:p>
        </w:tc>
      </w:tr>
    </w:tbl>
    <w:p w:rsidR="00F330A4" w:rsidRPr="002530E7" w:rsidRDefault="00F330A4" w:rsidP="00E91F49">
      <w:pPr>
        <w:jc w:val="center"/>
        <w:rPr>
          <w:rFonts w:cstheme="minorHAnsi"/>
          <w:b/>
          <w:sz w:val="26"/>
          <w:szCs w:val="26"/>
        </w:rPr>
      </w:pPr>
    </w:p>
    <w:p w:rsidR="00E91F49" w:rsidRPr="002530E7" w:rsidRDefault="0006456E" w:rsidP="00E91F49">
      <w:pPr>
        <w:spacing w:line="360" w:lineRule="auto"/>
        <w:jc w:val="center"/>
        <w:rPr>
          <w:rFonts w:cstheme="minorHAnsi"/>
          <w:b/>
          <w:sz w:val="26"/>
          <w:szCs w:val="26"/>
        </w:rPr>
      </w:pPr>
      <w:r>
        <w:rPr>
          <w:rFonts w:cstheme="minorHAnsi"/>
          <w:b/>
          <w:sz w:val="26"/>
          <w:szCs w:val="26"/>
        </w:rPr>
        <w:t>PROPOSED</w:t>
      </w:r>
      <w:r w:rsidR="00E91F49" w:rsidRPr="002530E7">
        <w:rPr>
          <w:rFonts w:cstheme="minorHAnsi"/>
          <w:b/>
          <w:sz w:val="26"/>
          <w:szCs w:val="26"/>
        </w:rPr>
        <w:t xml:space="preserve"> RULEMAKING ORDER</w:t>
      </w:r>
    </w:p>
    <w:p w:rsidR="00F330A4" w:rsidRPr="002530E7" w:rsidRDefault="00F330A4" w:rsidP="009D3EA0">
      <w:pPr>
        <w:jc w:val="center"/>
        <w:rPr>
          <w:rFonts w:cstheme="minorHAnsi"/>
          <w:b/>
          <w:sz w:val="26"/>
          <w:szCs w:val="26"/>
        </w:rPr>
      </w:pPr>
    </w:p>
    <w:p w:rsidR="009D3EA0" w:rsidRPr="002530E7" w:rsidRDefault="009D3EA0" w:rsidP="009D3EA0">
      <w:pPr>
        <w:rPr>
          <w:rFonts w:cstheme="minorHAnsi"/>
          <w:b/>
          <w:sz w:val="26"/>
          <w:szCs w:val="26"/>
        </w:rPr>
      </w:pPr>
      <w:r w:rsidRPr="002530E7">
        <w:rPr>
          <w:rFonts w:cstheme="minorHAnsi"/>
          <w:b/>
          <w:sz w:val="26"/>
          <w:szCs w:val="26"/>
        </w:rPr>
        <w:t>BY THE COMMISSION:</w:t>
      </w:r>
    </w:p>
    <w:p w:rsidR="00E10378" w:rsidRDefault="00E10378" w:rsidP="009D3EA0">
      <w:pPr>
        <w:pStyle w:val="p3"/>
        <w:tabs>
          <w:tab w:val="clear" w:pos="204"/>
        </w:tabs>
        <w:spacing w:line="360" w:lineRule="auto"/>
        <w:rPr>
          <w:rFonts w:asciiTheme="minorHAnsi" w:hAnsiTheme="minorHAnsi" w:cstheme="minorHAnsi"/>
          <w:sz w:val="26"/>
          <w:szCs w:val="26"/>
        </w:rPr>
      </w:pPr>
    </w:p>
    <w:p w:rsidR="00B92A32" w:rsidRPr="001908BB" w:rsidRDefault="009D3EA0" w:rsidP="00B43972">
      <w:pPr>
        <w:pStyle w:val="p3"/>
        <w:tabs>
          <w:tab w:val="clear" w:pos="204"/>
        </w:tabs>
        <w:spacing w:line="360" w:lineRule="auto"/>
        <w:rPr>
          <w:rFonts w:asciiTheme="minorHAnsi" w:hAnsiTheme="minorHAnsi" w:cstheme="minorHAnsi"/>
          <w:sz w:val="26"/>
          <w:szCs w:val="26"/>
        </w:rPr>
      </w:pPr>
      <w:r w:rsidRPr="001908BB">
        <w:rPr>
          <w:rFonts w:asciiTheme="minorHAnsi" w:hAnsiTheme="minorHAnsi" w:cstheme="minorHAnsi"/>
          <w:sz w:val="26"/>
          <w:szCs w:val="26"/>
        </w:rPr>
        <w:tab/>
      </w:r>
      <w:r w:rsidR="00700F91">
        <w:rPr>
          <w:rFonts w:asciiTheme="minorHAnsi" w:hAnsiTheme="minorHAnsi" w:cstheme="minorHAnsi"/>
          <w:sz w:val="26"/>
          <w:szCs w:val="26"/>
        </w:rPr>
        <w:t xml:space="preserve">The </w:t>
      </w:r>
      <w:r w:rsidR="007E3C35">
        <w:rPr>
          <w:rFonts w:asciiTheme="minorHAnsi" w:hAnsiTheme="minorHAnsi" w:cstheme="minorHAnsi"/>
          <w:sz w:val="26"/>
          <w:szCs w:val="26"/>
        </w:rPr>
        <w:t xml:space="preserve">Pennsylvania Public Utility </w:t>
      </w:r>
      <w:r w:rsidR="00700F91">
        <w:rPr>
          <w:rFonts w:asciiTheme="minorHAnsi" w:hAnsiTheme="minorHAnsi" w:cstheme="minorHAnsi"/>
          <w:sz w:val="26"/>
          <w:szCs w:val="26"/>
        </w:rPr>
        <w:t>Commission</w:t>
      </w:r>
      <w:r w:rsidR="007E3C35">
        <w:rPr>
          <w:rFonts w:asciiTheme="minorHAnsi" w:hAnsiTheme="minorHAnsi" w:cstheme="minorHAnsi"/>
          <w:sz w:val="26"/>
          <w:szCs w:val="26"/>
        </w:rPr>
        <w:t xml:space="preserve"> (Commission)</w:t>
      </w:r>
      <w:r w:rsidR="00700F91">
        <w:rPr>
          <w:rFonts w:asciiTheme="minorHAnsi" w:hAnsiTheme="minorHAnsi" w:cstheme="minorHAnsi"/>
          <w:sz w:val="26"/>
          <w:szCs w:val="26"/>
        </w:rPr>
        <w:t xml:space="preserve"> </w:t>
      </w:r>
      <w:r w:rsidR="00540676">
        <w:rPr>
          <w:rFonts w:asciiTheme="minorHAnsi" w:hAnsiTheme="minorHAnsi" w:cstheme="minorHAnsi"/>
          <w:sz w:val="26"/>
          <w:szCs w:val="26"/>
        </w:rPr>
        <w:t xml:space="preserve">proposes to amend </w:t>
      </w:r>
      <w:r w:rsidR="00AC65DD">
        <w:rPr>
          <w:rFonts w:asciiTheme="minorHAnsi" w:hAnsiTheme="minorHAnsi" w:cstheme="minorHAnsi"/>
          <w:sz w:val="26"/>
          <w:szCs w:val="26"/>
        </w:rPr>
        <w:t>its</w:t>
      </w:r>
      <w:r w:rsidR="00700F91">
        <w:rPr>
          <w:rFonts w:asciiTheme="minorHAnsi" w:hAnsiTheme="minorHAnsi" w:cstheme="minorHAnsi"/>
          <w:sz w:val="26"/>
          <w:szCs w:val="26"/>
        </w:rPr>
        <w:t xml:space="preserve"> </w:t>
      </w:r>
      <w:proofErr w:type="gramStart"/>
      <w:r w:rsidR="00001D53">
        <w:rPr>
          <w:rFonts w:asciiTheme="minorHAnsi" w:hAnsiTheme="minorHAnsi" w:cstheme="minorHAnsi"/>
          <w:sz w:val="26"/>
          <w:szCs w:val="26"/>
        </w:rPr>
        <w:t>customer</w:t>
      </w:r>
      <w:proofErr w:type="gramEnd"/>
      <w:r w:rsidR="00001D53">
        <w:rPr>
          <w:rFonts w:asciiTheme="minorHAnsi" w:hAnsiTheme="minorHAnsi" w:cstheme="minorHAnsi"/>
          <w:sz w:val="26"/>
          <w:szCs w:val="26"/>
        </w:rPr>
        <w:t xml:space="preserve"> information </w:t>
      </w:r>
      <w:r w:rsidR="00AC65DD">
        <w:rPr>
          <w:rFonts w:asciiTheme="minorHAnsi" w:hAnsiTheme="minorHAnsi" w:cstheme="minorHAnsi"/>
          <w:sz w:val="26"/>
          <w:szCs w:val="26"/>
        </w:rPr>
        <w:t xml:space="preserve">disclosure </w:t>
      </w:r>
      <w:r w:rsidR="00700F91">
        <w:rPr>
          <w:rFonts w:asciiTheme="minorHAnsi" w:hAnsiTheme="minorHAnsi" w:cstheme="minorHAnsi"/>
          <w:sz w:val="26"/>
          <w:szCs w:val="26"/>
        </w:rPr>
        <w:t>regul</w:t>
      </w:r>
      <w:r w:rsidR="00990B66">
        <w:rPr>
          <w:rFonts w:asciiTheme="minorHAnsi" w:hAnsiTheme="minorHAnsi" w:cstheme="minorHAnsi"/>
          <w:sz w:val="26"/>
          <w:szCs w:val="26"/>
        </w:rPr>
        <w:t>ations at 52 Pa. Code §</w:t>
      </w:r>
      <w:r w:rsidR="00540676">
        <w:rPr>
          <w:rFonts w:asciiTheme="minorHAnsi" w:hAnsiTheme="minorHAnsi" w:cstheme="minorHAnsi"/>
          <w:sz w:val="26"/>
          <w:szCs w:val="26"/>
        </w:rPr>
        <w:t>§</w:t>
      </w:r>
      <w:r w:rsidR="00990B66">
        <w:rPr>
          <w:rFonts w:asciiTheme="minorHAnsi" w:hAnsiTheme="minorHAnsi" w:cstheme="minorHAnsi"/>
          <w:sz w:val="26"/>
          <w:szCs w:val="26"/>
        </w:rPr>
        <w:t xml:space="preserve"> </w:t>
      </w:r>
      <w:r w:rsidR="00207D03">
        <w:rPr>
          <w:rFonts w:cstheme="minorHAnsi"/>
          <w:sz w:val="26"/>
          <w:szCs w:val="26"/>
        </w:rPr>
        <w:t xml:space="preserve">62.72 and </w:t>
      </w:r>
      <w:r w:rsidR="00540676">
        <w:rPr>
          <w:rFonts w:cstheme="minorHAnsi"/>
          <w:sz w:val="26"/>
          <w:szCs w:val="26"/>
        </w:rPr>
        <w:t>62.75</w:t>
      </w:r>
      <w:r w:rsidR="00AC65DD">
        <w:rPr>
          <w:rFonts w:cstheme="minorHAnsi"/>
          <w:sz w:val="26"/>
          <w:szCs w:val="26"/>
        </w:rPr>
        <w:t xml:space="preserve"> </w:t>
      </w:r>
      <w:r w:rsidR="00700F91">
        <w:rPr>
          <w:rFonts w:asciiTheme="minorHAnsi" w:hAnsiTheme="minorHAnsi" w:cstheme="minorHAnsi"/>
          <w:sz w:val="26"/>
          <w:szCs w:val="26"/>
        </w:rPr>
        <w:t xml:space="preserve">for residential and small business </w:t>
      </w:r>
      <w:r w:rsidR="00AC65DD">
        <w:rPr>
          <w:rFonts w:asciiTheme="minorHAnsi" w:hAnsiTheme="minorHAnsi" w:cstheme="minorHAnsi"/>
          <w:sz w:val="26"/>
          <w:szCs w:val="26"/>
        </w:rPr>
        <w:t xml:space="preserve">natural gas supply </w:t>
      </w:r>
      <w:r w:rsidR="00700F91">
        <w:rPr>
          <w:rFonts w:asciiTheme="minorHAnsi" w:hAnsiTheme="minorHAnsi" w:cstheme="minorHAnsi"/>
          <w:sz w:val="26"/>
          <w:szCs w:val="26"/>
        </w:rPr>
        <w:t xml:space="preserve">customers.  </w:t>
      </w:r>
      <w:r w:rsidR="00AC65DD">
        <w:rPr>
          <w:rFonts w:asciiTheme="minorHAnsi" w:hAnsiTheme="minorHAnsi" w:cstheme="minorHAnsi"/>
          <w:sz w:val="26"/>
          <w:szCs w:val="26"/>
        </w:rPr>
        <w:t>Section 62.72 provides regulatory definitions while Section 62.75 in Title 52 of the Pennsylvania Code discusses the disclosure statement and notice requirements of the natural gas suppl</w:t>
      </w:r>
      <w:r w:rsidR="00B85130">
        <w:rPr>
          <w:rFonts w:asciiTheme="minorHAnsi" w:hAnsiTheme="minorHAnsi" w:cstheme="minorHAnsi"/>
          <w:sz w:val="26"/>
          <w:szCs w:val="26"/>
        </w:rPr>
        <w:t>ier</w:t>
      </w:r>
      <w:r w:rsidR="0077606E">
        <w:rPr>
          <w:rFonts w:asciiTheme="minorHAnsi" w:hAnsiTheme="minorHAnsi" w:cstheme="minorHAnsi"/>
          <w:sz w:val="26"/>
          <w:szCs w:val="26"/>
        </w:rPr>
        <w:t xml:space="preserve"> (NGS)</w:t>
      </w:r>
      <w:r w:rsidR="00AC65DD">
        <w:rPr>
          <w:rFonts w:asciiTheme="minorHAnsi" w:hAnsiTheme="minorHAnsi" w:cstheme="minorHAnsi"/>
          <w:sz w:val="26"/>
          <w:szCs w:val="26"/>
        </w:rPr>
        <w:t xml:space="preserve"> to the customer.</w:t>
      </w:r>
      <w:r w:rsidR="00C53F4F">
        <w:rPr>
          <w:rFonts w:asciiTheme="minorHAnsi" w:hAnsiTheme="minorHAnsi" w:cstheme="minorHAnsi"/>
          <w:sz w:val="26"/>
          <w:szCs w:val="26"/>
        </w:rPr>
        <w:t xml:space="preserve">  The Commission also proposes to add new regulations in Section 62.81 governing notice requirements for NGSs regarding the expiration or change in terms for residential and small business customers.  </w:t>
      </w:r>
      <w:r w:rsidR="00AC65DD">
        <w:rPr>
          <w:rFonts w:asciiTheme="minorHAnsi" w:hAnsiTheme="minorHAnsi" w:cstheme="minorHAnsi"/>
          <w:sz w:val="26"/>
          <w:szCs w:val="26"/>
        </w:rPr>
        <w:t xml:space="preserve">The Commission proposes these enhanced disclosure requirements as part of its broader </w:t>
      </w:r>
      <w:r w:rsidR="00AC65DD">
        <w:rPr>
          <w:rFonts w:asciiTheme="minorHAnsi" w:hAnsiTheme="minorHAnsi" w:cstheme="minorHAnsi"/>
          <w:i/>
          <w:sz w:val="26"/>
          <w:szCs w:val="26"/>
        </w:rPr>
        <w:t>Investigation of Pennsylvania’s Retail Natural Gas Supply Market</w:t>
      </w:r>
      <w:r w:rsidR="003F28B9">
        <w:rPr>
          <w:rFonts w:asciiTheme="minorHAnsi" w:hAnsiTheme="minorHAnsi" w:cstheme="minorHAnsi"/>
          <w:sz w:val="26"/>
          <w:szCs w:val="26"/>
        </w:rPr>
        <w:t xml:space="preserve">.  </w:t>
      </w:r>
      <w:r w:rsidR="003F28B9">
        <w:rPr>
          <w:rFonts w:asciiTheme="minorHAnsi" w:hAnsiTheme="minorHAnsi" w:cstheme="minorHAnsi"/>
          <w:i/>
          <w:sz w:val="26"/>
          <w:szCs w:val="26"/>
        </w:rPr>
        <w:t xml:space="preserve">See </w:t>
      </w:r>
      <w:r w:rsidR="003F28B9">
        <w:rPr>
          <w:rFonts w:asciiTheme="minorHAnsi" w:hAnsiTheme="minorHAnsi" w:cstheme="minorHAnsi"/>
          <w:sz w:val="26"/>
          <w:szCs w:val="26"/>
        </w:rPr>
        <w:t>Docket No.</w:t>
      </w:r>
      <w:r w:rsidR="00AC65DD">
        <w:rPr>
          <w:rFonts w:asciiTheme="minorHAnsi" w:hAnsiTheme="minorHAnsi" w:cstheme="minorHAnsi"/>
          <w:sz w:val="26"/>
          <w:szCs w:val="26"/>
        </w:rPr>
        <w:t xml:space="preserve"> I-2013-2381742</w:t>
      </w:r>
      <w:r w:rsidR="00B85130">
        <w:rPr>
          <w:rFonts w:asciiTheme="minorHAnsi" w:hAnsiTheme="minorHAnsi" w:cstheme="minorHAnsi"/>
          <w:sz w:val="26"/>
          <w:szCs w:val="26"/>
        </w:rPr>
        <w:t xml:space="preserve"> </w:t>
      </w:r>
      <w:r w:rsidR="000F63A4">
        <w:rPr>
          <w:rFonts w:asciiTheme="minorHAnsi" w:hAnsiTheme="minorHAnsi" w:cstheme="minorHAnsi"/>
          <w:sz w:val="26"/>
          <w:szCs w:val="26"/>
        </w:rPr>
        <w:t xml:space="preserve">(Final Order entered December 18, 2014) (hereinafter </w:t>
      </w:r>
      <w:r w:rsidR="000F63A4" w:rsidRPr="00B85130">
        <w:rPr>
          <w:rFonts w:cstheme="minorHAnsi"/>
          <w:i/>
          <w:sz w:val="26"/>
          <w:szCs w:val="26"/>
        </w:rPr>
        <w:t>Gas RMI Final Order</w:t>
      </w:r>
      <w:r w:rsidR="000F63A4">
        <w:rPr>
          <w:rFonts w:asciiTheme="minorHAnsi" w:hAnsiTheme="minorHAnsi" w:cstheme="minorHAnsi"/>
          <w:sz w:val="26"/>
          <w:szCs w:val="26"/>
        </w:rPr>
        <w:t>)</w:t>
      </w:r>
      <w:r w:rsidR="00AC65DD">
        <w:rPr>
          <w:rFonts w:asciiTheme="minorHAnsi" w:hAnsiTheme="minorHAnsi" w:cstheme="minorHAnsi"/>
          <w:sz w:val="26"/>
          <w:szCs w:val="26"/>
        </w:rPr>
        <w:t xml:space="preserve">.  The </w:t>
      </w:r>
      <w:r w:rsidR="000F63A4" w:rsidRPr="00B85130">
        <w:rPr>
          <w:rFonts w:cstheme="minorHAnsi"/>
          <w:i/>
          <w:sz w:val="26"/>
          <w:szCs w:val="26"/>
        </w:rPr>
        <w:t>Gas RMI Final Order</w:t>
      </w:r>
      <w:r w:rsidR="000F63A4">
        <w:rPr>
          <w:rFonts w:asciiTheme="minorHAnsi" w:hAnsiTheme="minorHAnsi" w:cstheme="minorHAnsi"/>
          <w:sz w:val="26"/>
          <w:szCs w:val="26"/>
        </w:rPr>
        <w:t xml:space="preserve"> </w:t>
      </w:r>
      <w:r w:rsidR="003F28B9">
        <w:rPr>
          <w:rFonts w:asciiTheme="minorHAnsi" w:hAnsiTheme="minorHAnsi" w:cstheme="minorHAnsi"/>
          <w:sz w:val="26"/>
          <w:szCs w:val="26"/>
        </w:rPr>
        <w:lastRenderedPageBreak/>
        <w:t>narrow</w:t>
      </w:r>
      <w:r w:rsidR="000F63A4">
        <w:rPr>
          <w:rFonts w:asciiTheme="minorHAnsi" w:hAnsiTheme="minorHAnsi" w:cstheme="minorHAnsi"/>
          <w:sz w:val="26"/>
          <w:szCs w:val="26"/>
        </w:rPr>
        <w:t>ed</w:t>
      </w:r>
      <w:r w:rsidR="003F28B9">
        <w:rPr>
          <w:rFonts w:asciiTheme="minorHAnsi" w:hAnsiTheme="minorHAnsi" w:cstheme="minorHAnsi"/>
          <w:sz w:val="26"/>
          <w:szCs w:val="26"/>
        </w:rPr>
        <w:t xml:space="preserve"> and</w:t>
      </w:r>
      <w:r w:rsidR="00AC65DD">
        <w:rPr>
          <w:rFonts w:asciiTheme="minorHAnsi" w:hAnsiTheme="minorHAnsi" w:cstheme="minorHAnsi"/>
          <w:sz w:val="26"/>
          <w:szCs w:val="26"/>
        </w:rPr>
        <w:t xml:space="preserve"> outlin</w:t>
      </w:r>
      <w:r w:rsidR="000F63A4">
        <w:rPr>
          <w:rFonts w:asciiTheme="minorHAnsi" w:hAnsiTheme="minorHAnsi" w:cstheme="minorHAnsi"/>
          <w:sz w:val="26"/>
          <w:szCs w:val="26"/>
        </w:rPr>
        <w:t>ed the</w:t>
      </w:r>
      <w:r w:rsidR="00AC65DD">
        <w:rPr>
          <w:rFonts w:asciiTheme="minorHAnsi" w:hAnsiTheme="minorHAnsi" w:cstheme="minorHAnsi"/>
          <w:sz w:val="26"/>
          <w:szCs w:val="26"/>
        </w:rPr>
        <w:t xml:space="preserve"> issues to </w:t>
      </w:r>
      <w:r w:rsidR="000F63A4">
        <w:rPr>
          <w:rFonts w:asciiTheme="minorHAnsi" w:hAnsiTheme="minorHAnsi" w:cstheme="minorHAnsi"/>
          <w:sz w:val="26"/>
          <w:szCs w:val="26"/>
        </w:rPr>
        <w:t xml:space="preserve">be </w:t>
      </w:r>
      <w:r w:rsidR="00AC65DD">
        <w:rPr>
          <w:rFonts w:asciiTheme="minorHAnsi" w:hAnsiTheme="minorHAnsi" w:cstheme="minorHAnsi"/>
          <w:sz w:val="26"/>
          <w:szCs w:val="26"/>
        </w:rPr>
        <w:t>explore</w:t>
      </w:r>
      <w:r w:rsidR="000F63A4">
        <w:rPr>
          <w:rFonts w:asciiTheme="minorHAnsi" w:hAnsiTheme="minorHAnsi" w:cstheme="minorHAnsi"/>
          <w:sz w:val="26"/>
          <w:szCs w:val="26"/>
        </w:rPr>
        <w:t>d</w:t>
      </w:r>
      <w:r w:rsidR="00AC65DD">
        <w:rPr>
          <w:rFonts w:asciiTheme="minorHAnsi" w:hAnsiTheme="minorHAnsi" w:cstheme="minorHAnsi"/>
          <w:sz w:val="26"/>
          <w:szCs w:val="26"/>
        </w:rPr>
        <w:t xml:space="preserve"> in the Retail Natural Gas Supply </w:t>
      </w:r>
      <w:r w:rsidR="003F28B9">
        <w:rPr>
          <w:rFonts w:asciiTheme="minorHAnsi" w:hAnsiTheme="minorHAnsi" w:cstheme="minorHAnsi"/>
          <w:sz w:val="26"/>
          <w:szCs w:val="26"/>
        </w:rPr>
        <w:t>Market Investigation</w:t>
      </w:r>
      <w:r w:rsidR="00B85130">
        <w:rPr>
          <w:rFonts w:asciiTheme="minorHAnsi" w:hAnsiTheme="minorHAnsi" w:cstheme="minorHAnsi"/>
          <w:sz w:val="26"/>
          <w:szCs w:val="26"/>
        </w:rPr>
        <w:t>.</w:t>
      </w:r>
      <w:r w:rsidR="003F28B9">
        <w:rPr>
          <w:rFonts w:asciiTheme="minorHAnsi" w:hAnsiTheme="minorHAnsi" w:cstheme="minorHAnsi"/>
          <w:sz w:val="26"/>
          <w:szCs w:val="26"/>
        </w:rPr>
        <w:t xml:space="preserve">  In th</w:t>
      </w:r>
      <w:r w:rsidR="009A3D7A">
        <w:rPr>
          <w:rFonts w:asciiTheme="minorHAnsi" w:hAnsiTheme="minorHAnsi" w:cstheme="minorHAnsi"/>
          <w:sz w:val="26"/>
          <w:szCs w:val="26"/>
        </w:rPr>
        <w:t xml:space="preserve">e </w:t>
      </w:r>
      <w:r w:rsidR="009E0016">
        <w:rPr>
          <w:rFonts w:asciiTheme="minorHAnsi" w:hAnsiTheme="minorHAnsi" w:cstheme="minorHAnsi"/>
          <w:i/>
          <w:sz w:val="26"/>
          <w:szCs w:val="26"/>
        </w:rPr>
        <w:t>Gas RMI</w:t>
      </w:r>
      <w:r w:rsidR="003F28B9">
        <w:rPr>
          <w:rFonts w:asciiTheme="minorHAnsi" w:hAnsiTheme="minorHAnsi" w:cstheme="minorHAnsi"/>
          <w:sz w:val="26"/>
          <w:szCs w:val="26"/>
        </w:rPr>
        <w:t xml:space="preserve"> </w:t>
      </w:r>
      <w:r w:rsidR="003F28B9" w:rsidRPr="009E0016">
        <w:rPr>
          <w:rFonts w:asciiTheme="minorHAnsi" w:hAnsiTheme="minorHAnsi" w:cstheme="minorHAnsi"/>
          <w:i/>
          <w:sz w:val="26"/>
          <w:szCs w:val="26"/>
        </w:rPr>
        <w:t>Final Order</w:t>
      </w:r>
      <w:r w:rsidR="003F28B9">
        <w:rPr>
          <w:rFonts w:asciiTheme="minorHAnsi" w:hAnsiTheme="minorHAnsi" w:cstheme="minorHAnsi"/>
          <w:sz w:val="26"/>
          <w:szCs w:val="26"/>
        </w:rPr>
        <w:t xml:space="preserve">, the Commission specifically sought </w:t>
      </w:r>
      <w:r w:rsidR="009E0016">
        <w:rPr>
          <w:rFonts w:asciiTheme="minorHAnsi" w:hAnsiTheme="minorHAnsi" w:cstheme="minorHAnsi"/>
          <w:sz w:val="26"/>
          <w:szCs w:val="26"/>
        </w:rPr>
        <w:t xml:space="preserve">from stakeholders </w:t>
      </w:r>
      <w:r w:rsidR="003F28B9">
        <w:rPr>
          <w:rFonts w:asciiTheme="minorHAnsi" w:hAnsiTheme="minorHAnsi" w:cstheme="minorHAnsi"/>
          <w:sz w:val="26"/>
          <w:szCs w:val="26"/>
        </w:rPr>
        <w:t xml:space="preserve">comments and recommended revisions </w:t>
      </w:r>
      <w:r w:rsidR="009E0016">
        <w:rPr>
          <w:rFonts w:asciiTheme="minorHAnsi" w:hAnsiTheme="minorHAnsi" w:cstheme="minorHAnsi"/>
          <w:sz w:val="26"/>
          <w:szCs w:val="26"/>
        </w:rPr>
        <w:t>to</w:t>
      </w:r>
      <w:r w:rsidR="003F28B9">
        <w:rPr>
          <w:rFonts w:asciiTheme="minorHAnsi" w:hAnsiTheme="minorHAnsi" w:cstheme="minorHAnsi"/>
          <w:sz w:val="26"/>
          <w:szCs w:val="26"/>
        </w:rPr>
        <w:t xml:space="preserve"> the existing natural gas supplier disclosure requirements in Chapter 62 of our regulations.  </w:t>
      </w:r>
      <w:r w:rsidR="003F28B9">
        <w:rPr>
          <w:rFonts w:asciiTheme="minorHAnsi" w:hAnsiTheme="minorHAnsi" w:cstheme="minorHAnsi"/>
          <w:i/>
          <w:sz w:val="26"/>
          <w:szCs w:val="26"/>
        </w:rPr>
        <w:t xml:space="preserve">See </w:t>
      </w:r>
      <w:r w:rsidR="000152A5">
        <w:rPr>
          <w:rFonts w:asciiTheme="minorHAnsi" w:hAnsiTheme="minorHAnsi" w:cstheme="minorHAnsi"/>
          <w:i/>
          <w:sz w:val="26"/>
          <w:szCs w:val="26"/>
        </w:rPr>
        <w:t>i</w:t>
      </w:r>
      <w:r w:rsidR="003F28B9">
        <w:rPr>
          <w:rFonts w:asciiTheme="minorHAnsi" w:hAnsiTheme="minorHAnsi" w:cstheme="minorHAnsi"/>
          <w:i/>
          <w:sz w:val="26"/>
          <w:szCs w:val="26"/>
        </w:rPr>
        <w:t>d.</w:t>
      </w:r>
      <w:r w:rsidR="003F28B9">
        <w:rPr>
          <w:rFonts w:asciiTheme="minorHAnsi" w:hAnsiTheme="minorHAnsi" w:cstheme="minorHAnsi"/>
          <w:sz w:val="26"/>
          <w:szCs w:val="26"/>
        </w:rPr>
        <w:t xml:space="preserve"> </w:t>
      </w:r>
      <w:proofErr w:type="gramStart"/>
      <w:r w:rsidR="003F28B9">
        <w:rPr>
          <w:rFonts w:asciiTheme="minorHAnsi" w:hAnsiTheme="minorHAnsi" w:cstheme="minorHAnsi"/>
          <w:sz w:val="26"/>
          <w:szCs w:val="26"/>
        </w:rPr>
        <w:t>at</w:t>
      </w:r>
      <w:proofErr w:type="gramEnd"/>
      <w:r w:rsidR="003F28B9">
        <w:rPr>
          <w:rFonts w:asciiTheme="minorHAnsi" w:hAnsiTheme="minorHAnsi" w:cstheme="minorHAnsi"/>
          <w:sz w:val="26"/>
          <w:szCs w:val="26"/>
        </w:rPr>
        <w:t xml:space="preserve"> 37-40.    </w:t>
      </w:r>
      <w:r w:rsidR="00AC65DD">
        <w:rPr>
          <w:rFonts w:asciiTheme="minorHAnsi" w:hAnsiTheme="minorHAnsi" w:cstheme="minorHAnsi"/>
          <w:sz w:val="26"/>
          <w:szCs w:val="26"/>
        </w:rPr>
        <w:t xml:space="preserve"> </w:t>
      </w:r>
    </w:p>
    <w:p w:rsidR="00B85130" w:rsidRDefault="00B85130" w:rsidP="00E10378">
      <w:pPr>
        <w:pStyle w:val="p3"/>
        <w:tabs>
          <w:tab w:val="clear" w:pos="204"/>
          <w:tab w:val="left" w:pos="0"/>
        </w:tabs>
        <w:spacing w:line="360" w:lineRule="auto"/>
        <w:rPr>
          <w:rFonts w:asciiTheme="minorHAnsi" w:hAnsiTheme="minorHAnsi" w:cstheme="minorHAnsi"/>
          <w:b/>
          <w:sz w:val="26"/>
          <w:szCs w:val="26"/>
        </w:rPr>
      </w:pPr>
    </w:p>
    <w:p w:rsidR="00B71C33" w:rsidRDefault="00300FB4" w:rsidP="00E10378">
      <w:pPr>
        <w:pStyle w:val="p3"/>
        <w:tabs>
          <w:tab w:val="clear" w:pos="204"/>
          <w:tab w:val="left" w:pos="0"/>
        </w:tabs>
        <w:spacing w:line="360" w:lineRule="auto"/>
        <w:rPr>
          <w:rFonts w:asciiTheme="minorHAnsi" w:hAnsiTheme="minorHAnsi" w:cstheme="minorHAnsi"/>
          <w:b/>
          <w:sz w:val="26"/>
          <w:szCs w:val="26"/>
        </w:rPr>
      </w:pPr>
      <w:r>
        <w:rPr>
          <w:rFonts w:asciiTheme="minorHAnsi" w:hAnsiTheme="minorHAnsi" w:cstheme="minorHAnsi"/>
          <w:b/>
          <w:sz w:val="26"/>
          <w:szCs w:val="26"/>
        </w:rPr>
        <w:t>BACKGROUND</w:t>
      </w:r>
    </w:p>
    <w:p w:rsidR="00AC65DD" w:rsidRPr="009A4CF6" w:rsidRDefault="00E10378" w:rsidP="00E10378">
      <w:pPr>
        <w:pStyle w:val="p3"/>
        <w:tabs>
          <w:tab w:val="clear" w:pos="204"/>
          <w:tab w:val="left" w:pos="0"/>
        </w:tabs>
        <w:spacing w:line="360" w:lineRule="auto"/>
        <w:rPr>
          <w:sz w:val="26"/>
          <w:szCs w:val="26"/>
        </w:rPr>
      </w:pPr>
      <w:r>
        <w:rPr>
          <w:sz w:val="26"/>
          <w:szCs w:val="26"/>
        </w:rPr>
        <w:tab/>
      </w:r>
      <w:r w:rsidR="00AC65DD" w:rsidRPr="009A4CF6">
        <w:rPr>
          <w:sz w:val="26"/>
          <w:szCs w:val="26"/>
        </w:rPr>
        <w:t>On April 3, 2014, the Commission adopted a Final-Omitted Rulemaking Order,</w:t>
      </w:r>
      <w:r w:rsidR="00AC65DD" w:rsidRPr="009A4CF6">
        <w:rPr>
          <w:sz w:val="26"/>
          <w:szCs w:val="26"/>
          <w:vertAlign w:val="superscript"/>
        </w:rPr>
        <w:footnoteReference w:id="1"/>
      </w:r>
      <w:r w:rsidR="00AC65DD" w:rsidRPr="009A4CF6">
        <w:rPr>
          <w:sz w:val="26"/>
          <w:szCs w:val="26"/>
        </w:rPr>
        <w:t xml:space="preserve"> extensively revising the disclosure regulations in the electric industry, especially in the context of variable </w:t>
      </w:r>
      <w:r>
        <w:rPr>
          <w:sz w:val="26"/>
          <w:szCs w:val="26"/>
        </w:rPr>
        <w:t xml:space="preserve">rate </w:t>
      </w:r>
      <w:r w:rsidR="00AC65DD" w:rsidRPr="009A4CF6">
        <w:rPr>
          <w:sz w:val="26"/>
          <w:szCs w:val="26"/>
        </w:rPr>
        <w:t>pricing.  These new regulations, which became effective July 14, 2014, are now significantly different than the analogous natural gas industry regulations at 52 Pa. Code § 62.75 (Disclosure statement for residential and small business customers).  These natural gas disclosure rules</w:t>
      </w:r>
      <w:r>
        <w:rPr>
          <w:sz w:val="26"/>
          <w:szCs w:val="26"/>
        </w:rPr>
        <w:t xml:space="preserve"> in Section</w:t>
      </w:r>
      <w:r w:rsidR="00AC65DD" w:rsidRPr="009A4CF6">
        <w:rPr>
          <w:sz w:val="26"/>
          <w:szCs w:val="26"/>
        </w:rPr>
        <w:t xml:space="preserve"> 62.75 we</w:t>
      </w:r>
      <w:r>
        <w:rPr>
          <w:sz w:val="26"/>
          <w:szCs w:val="26"/>
        </w:rPr>
        <w:t>re promulgated in</w:t>
      </w:r>
      <w:r w:rsidR="00AC65DD" w:rsidRPr="009A4CF6">
        <w:rPr>
          <w:sz w:val="26"/>
          <w:szCs w:val="26"/>
        </w:rPr>
        <w:t xml:space="preserve"> April 2001 and have not been formally reviewed since.</w:t>
      </w:r>
      <w:r w:rsidR="00AC65DD" w:rsidRPr="009A4CF6">
        <w:rPr>
          <w:rStyle w:val="FootnoteReference"/>
          <w:rFonts w:eastAsiaTheme="majorEastAsia"/>
        </w:rPr>
        <w:footnoteReference w:id="2"/>
      </w:r>
      <w:r w:rsidR="00AC65DD" w:rsidRPr="009A4CF6">
        <w:rPr>
          <w:sz w:val="26"/>
          <w:szCs w:val="26"/>
        </w:rPr>
        <w:t xml:space="preserve">  </w:t>
      </w:r>
      <w:r w:rsidR="008D1C78">
        <w:rPr>
          <w:sz w:val="26"/>
          <w:szCs w:val="26"/>
        </w:rPr>
        <w:t xml:space="preserve">As stated above, in the </w:t>
      </w:r>
      <w:r w:rsidR="008D1C78" w:rsidRPr="00B85130">
        <w:rPr>
          <w:i/>
          <w:sz w:val="26"/>
          <w:szCs w:val="26"/>
        </w:rPr>
        <w:t>Gas RMI Final Order</w:t>
      </w:r>
      <w:r w:rsidR="008D1C78">
        <w:rPr>
          <w:sz w:val="26"/>
          <w:szCs w:val="26"/>
        </w:rPr>
        <w:t xml:space="preserve">, we expressly sought comments on the natural gas disclosure rules and directed our Office of Competitive Market Oversight (OCMO) to review any comments submitted and develop a Notice of Proposed Rulemaking to amend the disclosure provisions for natural gas customers.  </w:t>
      </w:r>
      <w:proofErr w:type="gramStart"/>
      <w:r w:rsidR="008D1C78">
        <w:rPr>
          <w:sz w:val="26"/>
          <w:szCs w:val="26"/>
        </w:rPr>
        <w:t xml:space="preserve">Gas RMI Final Order at </w:t>
      </w:r>
      <w:r w:rsidR="002B0DA1">
        <w:rPr>
          <w:sz w:val="26"/>
          <w:szCs w:val="26"/>
        </w:rPr>
        <w:t>38-40.</w:t>
      </w:r>
      <w:proofErr w:type="gramEnd"/>
      <w:r w:rsidR="002B0DA1">
        <w:rPr>
          <w:sz w:val="26"/>
          <w:szCs w:val="26"/>
        </w:rPr>
        <w:t xml:space="preserve">  This Proposed Rulemaking Order is a result of that directive.</w:t>
      </w:r>
      <w:r w:rsidR="008D1C78">
        <w:rPr>
          <w:sz w:val="26"/>
          <w:szCs w:val="26"/>
        </w:rPr>
        <w:t xml:space="preserve"> </w:t>
      </w:r>
      <w:r w:rsidR="00AC65DD" w:rsidRPr="009A4CF6">
        <w:rPr>
          <w:sz w:val="26"/>
          <w:szCs w:val="26"/>
        </w:rPr>
        <w:t xml:space="preserve">   </w:t>
      </w:r>
    </w:p>
    <w:p w:rsidR="00AC65DD" w:rsidRPr="009A4CF6" w:rsidRDefault="00AC65DD" w:rsidP="00AC65DD">
      <w:pPr>
        <w:spacing w:line="360" w:lineRule="auto"/>
        <w:ind w:firstLine="720"/>
        <w:rPr>
          <w:sz w:val="26"/>
          <w:szCs w:val="26"/>
        </w:rPr>
      </w:pPr>
    </w:p>
    <w:p w:rsidR="00AC65DD" w:rsidRPr="009A4CF6" w:rsidRDefault="009E0016" w:rsidP="00AC65DD">
      <w:pPr>
        <w:spacing w:line="360" w:lineRule="auto"/>
        <w:ind w:firstLine="720"/>
        <w:rPr>
          <w:sz w:val="26"/>
          <w:szCs w:val="26"/>
          <w:u w:val="single"/>
        </w:rPr>
      </w:pPr>
      <w:r>
        <w:rPr>
          <w:sz w:val="26"/>
          <w:szCs w:val="26"/>
        </w:rPr>
        <w:t>We have determined that concerns regarding v</w:t>
      </w:r>
      <w:r w:rsidR="00AC65DD" w:rsidRPr="009A4CF6">
        <w:rPr>
          <w:sz w:val="26"/>
          <w:szCs w:val="26"/>
        </w:rPr>
        <w:t>ariable rates</w:t>
      </w:r>
      <w:r>
        <w:rPr>
          <w:sz w:val="26"/>
          <w:szCs w:val="26"/>
        </w:rPr>
        <w:t xml:space="preserve"> and disclosure statements</w:t>
      </w:r>
      <w:r w:rsidR="00AC65DD" w:rsidRPr="009A4CF6">
        <w:rPr>
          <w:sz w:val="26"/>
          <w:szCs w:val="26"/>
        </w:rPr>
        <w:t xml:space="preserve"> </w:t>
      </w:r>
      <w:r>
        <w:rPr>
          <w:sz w:val="26"/>
          <w:szCs w:val="26"/>
        </w:rPr>
        <w:t xml:space="preserve">in </w:t>
      </w:r>
      <w:r w:rsidR="00AC65DD" w:rsidRPr="009A4CF6">
        <w:rPr>
          <w:sz w:val="26"/>
          <w:szCs w:val="26"/>
        </w:rPr>
        <w:t xml:space="preserve">the electric </w:t>
      </w:r>
      <w:r>
        <w:rPr>
          <w:sz w:val="26"/>
          <w:szCs w:val="26"/>
        </w:rPr>
        <w:t>supply industry are</w:t>
      </w:r>
      <w:r w:rsidR="00AC65DD" w:rsidRPr="009A4CF6">
        <w:rPr>
          <w:sz w:val="26"/>
          <w:szCs w:val="26"/>
        </w:rPr>
        <w:t xml:space="preserve"> relevant to the </w:t>
      </w:r>
      <w:r>
        <w:rPr>
          <w:sz w:val="26"/>
          <w:szCs w:val="26"/>
        </w:rPr>
        <w:t xml:space="preserve">customer disclosure information in the </w:t>
      </w:r>
      <w:r w:rsidR="00AC65DD" w:rsidRPr="009A4CF6">
        <w:rPr>
          <w:sz w:val="26"/>
          <w:szCs w:val="26"/>
        </w:rPr>
        <w:t xml:space="preserve">natural gas industry.  This </w:t>
      </w:r>
      <w:r>
        <w:rPr>
          <w:sz w:val="26"/>
          <w:szCs w:val="26"/>
        </w:rPr>
        <w:t xml:space="preserve">customer disclosure information </w:t>
      </w:r>
      <w:r w:rsidR="00AC65DD" w:rsidRPr="009A4CF6">
        <w:rPr>
          <w:sz w:val="26"/>
          <w:szCs w:val="26"/>
        </w:rPr>
        <w:t>includes the availability of historical pricing information, notice of price changes</w:t>
      </w:r>
      <w:r>
        <w:rPr>
          <w:sz w:val="26"/>
          <w:szCs w:val="26"/>
        </w:rPr>
        <w:t>,</w:t>
      </w:r>
      <w:r w:rsidR="00AC65DD" w:rsidRPr="009A4CF6">
        <w:rPr>
          <w:sz w:val="26"/>
          <w:szCs w:val="26"/>
        </w:rPr>
        <w:t xml:space="preserve"> and explicit disclosure of limits or the lack of limits on price variability. </w:t>
      </w:r>
      <w:r w:rsidR="00BF0604">
        <w:rPr>
          <w:sz w:val="26"/>
          <w:szCs w:val="26"/>
        </w:rPr>
        <w:t xml:space="preserve"> We are also</w:t>
      </w:r>
      <w:r w:rsidR="00AC65DD" w:rsidRPr="009A4CF6">
        <w:rPr>
          <w:sz w:val="26"/>
          <w:szCs w:val="26"/>
        </w:rPr>
        <w:t xml:space="preserve"> examining t</w:t>
      </w:r>
      <w:r w:rsidR="00BF0604">
        <w:rPr>
          <w:sz w:val="26"/>
          <w:szCs w:val="26"/>
        </w:rPr>
        <w:t xml:space="preserve">he </w:t>
      </w:r>
      <w:r w:rsidR="00AC65DD" w:rsidRPr="009A4CF6">
        <w:rPr>
          <w:sz w:val="26"/>
          <w:szCs w:val="26"/>
        </w:rPr>
        <w:lastRenderedPageBreak/>
        <w:t>applicability</w:t>
      </w:r>
      <w:r w:rsidR="00BF0604">
        <w:rPr>
          <w:sz w:val="26"/>
          <w:szCs w:val="26"/>
        </w:rPr>
        <w:t xml:space="preserve"> </w:t>
      </w:r>
      <w:r w:rsidR="001079E4">
        <w:rPr>
          <w:sz w:val="26"/>
          <w:szCs w:val="26"/>
        </w:rPr>
        <w:t xml:space="preserve">to the natural gas industry </w:t>
      </w:r>
      <w:r w:rsidR="00BF0604">
        <w:rPr>
          <w:sz w:val="26"/>
          <w:szCs w:val="26"/>
        </w:rPr>
        <w:t>of</w:t>
      </w:r>
      <w:r w:rsidR="001079E4">
        <w:rPr>
          <w:sz w:val="26"/>
          <w:szCs w:val="26"/>
        </w:rPr>
        <w:t xml:space="preserve"> the electric generation supplier (EGS)</w:t>
      </w:r>
      <w:r w:rsidR="00BF0604">
        <w:rPr>
          <w:sz w:val="26"/>
          <w:szCs w:val="26"/>
        </w:rPr>
        <w:t xml:space="preserve"> contract summary page and supply contract expiration notice </w:t>
      </w:r>
      <w:r w:rsidR="001079E4">
        <w:rPr>
          <w:sz w:val="26"/>
          <w:szCs w:val="26"/>
        </w:rPr>
        <w:t xml:space="preserve">requirements.  </w:t>
      </w:r>
      <w:r w:rsidR="001079E4">
        <w:rPr>
          <w:i/>
          <w:sz w:val="26"/>
          <w:szCs w:val="26"/>
        </w:rPr>
        <w:t xml:space="preserve">See </w:t>
      </w:r>
      <w:r w:rsidR="001079E4">
        <w:rPr>
          <w:sz w:val="26"/>
          <w:szCs w:val="26"/>
        </w:rPr>
        <w:t>52 Pa. Code §</w:t>
      </w:r>
      <w:r w:rsidR="00B71C33">
        <w:rPr>
          <w:sz w:val="26"/>
          <w:szCs w:val="26"/>
        </w:rPr>
        <w:t> </w:t>
      </w:r>
      <w:r w:rsidR="001079E4">
        <w:rPr>
          <w:sz w:val="26"/>
          <w:szCs w:val="26"/>
        </w:rPr>
        <w:t>54.10</w:t>
      </w:r>
      <w:r w:rsidR="00AC65DD" w:rsidRPr="009A4CF6">
        <w:rPr>
          <w:sz w:val="26"/>
          <w:szCs w:val="26"/>
        </w:rPr>
        <w:t xml:space="preserve">.  </w:t>
      </w:r>
      <w:r w:rsidR="00955B48">
        <w:rPr>
          <w:sz w:val="26"/>
          <w:szCs w:val="26"/>
        </w:rPr>
        <w:t>We perceive</w:t>
      </w:r>
      <w:r w:rsidR="00BF0604">
        <w:rPr>
          <w:sz w:val="26"/>
          <w:szCs w:val="26"/>
        </w:rPr>
        <w:t xml:space="preserve"> that both </w:t>
      </w:r>
      <w:r w:rsidR="008E2217">
        <w:rPr>
          <w:sz w:val="26"/>
          <w:szCs w:val="26"/>
        </w:rPr>
        <w:t>customer</w:t>
      </w:r>
      <w:r w:rsidR="00BF0604">
        <w:rPr>
          <w:sz w:val="26"/>
          <w:szCs w:val="26"/>
        </w:rPr>
        <w:t xml:space="preserve">s and suppliers will benefit from </w:t>
      </w:r>
      <w:r w:rsidR="00AC65DD" w:rsidRPr="009A4CF6">
        <w:rPr>
          <w:sz w:val="26"/>
          <w:szCs w:val="26"/>
        </w:rPr>
        <w:t>consistent cross-industry rules.  The current inconsistencies between the two set</w:t>
      </w:r>
      <w:r w:rsidR="00207D03">
        <w:rPr>
          <w:sz w:val="26"/>
          <w:szCs w:val="26"/>
        </w:rPr>
        <w:t>s</w:t>
      </w:r>
      <w:r w:rsidR="00AC65DD" w:rsidRPr="009A4CF6">
        <w:rPr>
          <w:sz w:val="26"/>
          <w:szCs w:val="26"/>
        </w:rPr>
        <w:t xml:space="preserve"> of rules can lead to customer confusion and</w:t>
      </w:r>
      <w:r w:rsidR="00BF0604">
        <w:rPr>
          <w:sz w:val="26"/>
          <w:szCs w:val="26"/>
        </w:rPr>
        <w:t xml:space="preserve"> inefficiencies for suppliers, </w:t>
      </w:r>
      <w:r w:rsidR="00AC65DD" w:rsidRPr="009A4CF6">
        <w:rPr>
          <w:sz w:val="26"/>
          <w:szCs w:val="26"/>
        </w:rPr>
        <w:t>especially for those customers who obtain both gas and electric service from the same supplier.</w:t>
      </w:r>
      <w:r w:rsidR="00AC65DD" w:rsidRPr="009A4CF6">
        <w:rPr>
          <w:sz w:val="26"/>
          <w:szCs w:val="26"/>
          <w:vertAlign w:val="superscript"/>
        </w:rPr>
        <w:footnoteReference w:id="3"/>
      </w:r>
      <w:r w:rsidR="00AC65DD" w:rsidRPr="009A4CF6">
        <w:rPr>
          <w:sz w:val="26"/>
          <w:szCs w:val="26"/>
        </w:rPr>
        <w:t xml:space="preserve">      </w:t>
      </w:r>
    </w:p>
    <w:p w:rsidR="00AC65DD" w:rsidRDefault="00AC65DD" w:rsidP="00AC65DD">
      <w:pPr>
        <w:spacing w:line="360" w:lineRule="auto"/>
        <w:rPr>
          <w:sz w:val="26"/>
          <w:szCs w:val="26"/>
          <w:u w:val="single"/>
        </w:rPr>
      </w:pPr>
    </w:p>
    <w:p w:rsidR="00BF0604" w:rsidRDefault="00BF0604" w:rsidP="00BF0604">
      <w:pPr>
        <w:spacing w:line="360" w:lineRule="auto"/>
        <w:rPr>
          <w:sz w:val="26"/>
          <w:szCs w:val="26"/>
        </w:rPr>
      </w:pPr>
      <w:r>
        <w:rPr>
          <w:sz w:val="26"/>
          <w:szCs w:val="26"/>
        </w:rPr>
        <w:tab/>
        <w:t xml:space="preserve">In our </w:t>
      </w:r>
      <w:r>
        <w:rPr>
          <w:i/>
          <w:sz w:val="26"/>
          <w:szCs w:val="26"/>
        </w:rPr>
        <w:t>Gas RMI Final Order</w:t>
      </w:r>
      <w:r>
        <w:rPr>
          <w:sz w:val="26"/>
          <w:szCs w:val="26"/>
        </w:rPr>
        <w:t xml:space="preserve">, we </w:t>
      </w:r>
      <w:r w:rsidR="000B11EF">
        <w:rPr>
          <w:sz w:val="26"/>
          <w:szCs w:val="26"/>
        </w:rPr>
        <w:t>determined that enhancing the</w:t>
      </w:r>
      <w:r>
        <w:rPr>
          <w:sz w:val="26"/>
          <w:szCs w:val="26"/>
        </w:rPr>
        <w:t xml:space="preserve"> disclosure rules is a high-priority agenda item in t</w:t>
      </w:r>
      <w:r w:rsidR="000B11EF">
        <w:rPr>
          <w:sz w:val="26"/>
          <w:szCs w:val="26"/>
        </w:rPr>
        <w:t>he Gas Retail Markets</w:t>
      </w:r>
      <w:r>
        <w:rPr>
          <w:sz w:val="26"/>
          <w:szCs w:val="26"/>
        </w:rPr>
        <w:t xml:space="preserve"> Investigation</w:t>
      </w:r>
      <w:r>
        <w:rPr>
          <w:rFonts w:cstheme="minorHAnsi"/>
          <w:sz w:val="26"/>
          <w:szCs w:val="26"/>
        </w:rPr>
        <w:t>.  We concluded that a rulemaking would be necessary to effectuate the aforementioned goals of enhanc</w:t>
      </w:r>
      <w:r w:rsidR="000B11EF">
        <w:rPr>
          <w:rFonts w:cstheme="minorHAnsi"/>
          <w:sz w:val="26"/>
          <w:szCs w:val="26"/>
        </w:rPr>
        <w:t>ing notices and</w:t>
      </w:r>
      <w:r>
        <w:rPr>
          <w:rFonts w:cstheme="minorHAnsi"/>
          <w:sz w:val="26"/>
          <w:szCs w:val="26"/>
        </w:rPr>
        <w:t xml:space="preserve"> disclosures</w:t>
      </w:r>
      <w:r w:rsidR="000B11EF">
        <w:rPr>
          <w:rFonts w:cstheme="minorHAnsi"/>
          <w:sz w:val="26"/>
          <w:szCs w:val="26"/>
        </w:rPr>
        <w:t xml:space="preserve"> to customers</w:t>
      </w:r>
      <w:r>
        <w:rPr>
          <w:rFonts w:cstheme="minorHAnsi"/>
          <w:sz w:val="26"/>
          <w:szCs w:val="26"/>
        </w:rPr>
        <w:t>, alleviatin</w:t>
      </w:r>
      <w:r w:rsidR="000B11EF">
        <w:rPr>
          <w:rFonts w:cstheme="minorHAnsi"/>
          <w:sz w:val="26"/>
          <w:szCs w:val="26"/>
        </w:rPr>
        <w:t>g</w:t>
      </w:r>
      <w:r>
        <w:rPr>
          <w:rFonts w:cstheme="minorHAnsi"/>
          <w:sz w:val="26"/>
          <w:szCs w:val="26"/>
        </w:rPr>
        <w:t xml:space="preserve"> customer confusion, and </w:t>
      </w:r>
      <w:r w:rsidR="000B11EF">
        <w:rPr>
          <w:rFonts w:cstheme="minorHAnsi"/>
          <w:sz w:val="26"/>
          <w:szCs w:val="26"/>
        </w:rPr>
        <w:t xml:space="preserve">establishing </w:t>
      </w:r>
      <w:r>
        <w:rPr>
          <w:rFonts w:cstheme="minorHAnsi"/>
          <w:sz w:val="26"/>
          <w:szCs w:val="26"/>
        </w:rPr>
        <w:t xml:space="preserve">consistent cross-industry rules.  In the </w:t>
      </w:r>
      <w:r>
        <w:rPr>
          <w:rFonts w:cstheme="minorHAnsi"/>
          <w:i/>
          <w:sz w:val="26"/>
          <w:szCs w:val="26"/>
        </w:rPr>
        <w:t>Gas RMI Final Order</w:t>
      </w:r>
      <w:r>
        <w:rPr>
          <w:rFonts w:cstheme="minorHAnsi"/>
          <w:sz w:val="26"/>
          <w:szCs w:val="26"/>
        </w:rPr>
        <w:t xml:space="preserve">, we sought from stakeholders comments and recommended revisions to the existing </w:t>
      </w:r>
      <w:r w:rsidR="000152A5">
        <w:rPr>
          <w:rFonts w:cstheme="minorHAnsi"/>
          <w:sz w:val="26"/>
          <w:szCs w:val="26"/>
        </w:rPr>
        <w:t>NGS</w:t>
      </w:r>
      <w:r>
        <w:rPr>
          <w:rFonts w:cstheme="minorHAnsi"/>
          <w:sz w:val="26"/>
          <w:szCs w:val="26"/>
        </w:rPr>
        <w:t xml:space="preserve"> disclosure requirements in Chapter 62 of our regulations.  </w:t>
      </w:r>
      <w:r>
        <w:rPr>
          <w:rFonts w:cstheme="minorHAnsi"/>
          <w:i/>
          <w:sz w:val="26"/>
          <w:szCs w:val="26"/>
        </w:rPr>
        <w:t>See id.</w:t>
      </w:r>
      <w:r>
        <w:rPr>
          <w:rFonts w:cstheme="minorHAnsi"/>
          <w:sz w:val="26"/>
          <w:szCs w:val="26"/>
        </w:rPr>
        <w:t xml:space="preserve"> </w:t>
      </w:r>
      <w:proofErr w:type="gramStart"/>
      <w:r>
        <w:rPr>
          <w:rFonts w:cstheme="minorHAnsi"/>
          <w:sz w:val="26"/>
          <w:szCs w:val="26"/>
        </w:rPr>
        <w:t>at</w:t>
      </w:r>
      <w:proofErr w:type="gramEnd"/>
      <w:r>
        <w:rPr>
          <w:rFonts w:cstheme="minorHAnsi"/>
          <w:sz w:val="26"/>
          <w:szCs w:val="26"/>
        </w:rPr>
        <w:t xml:space="preserve"> 37-40.  Accordingly, the </w:t>
      </w:r>
      <w:r>
        <w:rPr>
          <w:rFonts w:cstheme="minorHAnsi"/>
          <w:i/>
          <w:sz w:val="26"/>
          <w:szCs w:val="26"/>
        </w:rPr>
        <w:t>Gas RMI Final Order</w:t>
      </w:r>
      <w:r>
        <w:rPr>
          <w:rFonts w:cstheme="minorHAnsi"/>
          <w:sz w:val="26"/>
          <w:szCs w:val="26"/>
        </w:rPr>
        <w:t xml:space="preserve"> served</w:t>
      </w:r>
      <w:r w:rsidR="00955B48">
        <w:rPr>
          <w:rFonts w:cstheme="minorHAnsi"/>
          <w:sz w:val="26"/>
          <w:szCs w:val="26"/>
        </w:rPr>
        <w:t>, in essence, as</w:t>
      </w:r>
      <w:r w:rsidR="00AC65DD" w:rsidRPr="009A4CF6">
        <w:rPr>
          <w:sz w:val="26"/>
          <w:szCs w:val="26"/>
        </w:rPr>
        <w:t xml:space="preserve"> an Advanced Notice of Proposed Rulemaking Order (ANOPR), </w:t>
      </w:r>
      <w:r>
        <w:rPr>
          <w:sz w:val="26"/>
          <w:szCs w:val="26"/>
        </w:rPr>
        <w:t xml:space="preserve">enabling us to </w:t>
      </w:r>
      <w:r w:rsidR="00AC65DD" w:rsidRPr="009A4CF6">
        <w:rPr>
          <w:sz w:val="26"/>
          <w:szCs w:val="26"/>
        </w:rPr>
        <w:t xml:space="preserve">solicit comments from all parties and then use those comments to frame the issues in </w:t>
      </w:r>
      <w:r>
        <w:rPr>
          <w:sz w:val="26"/>
          <w:szCs w:val="26"/>
        </w:rPr>
        <w:t xml:space="preserve">this </w:t>
      </w:r>
      <w:r w:rsidR="00AC65DD" w:rsidRPr="009A4CF6">
        <w:rPr>
          <w:sz w:val="26"/>
          <w:szCs w:val="26"/>
        </w:rPr>
        <w:t>Notice of Proposed Rulemaking Order (NOPR)</w:t>
      </w:r>
      <w:r>
        <w:rPr>
          <w:sz w:val="26"/>
          <w:szCs w:val="26"/>
        </w:rPr>
        <w:t>, which we committed to</w:t>
      </w:r>
      <w:r w:rsidR="00AC65DD" w:rsidRPr="009A4CF6">
        <w:rPr>
          <w:sz w:val="26"/>
          <w:szCs w:val="26"/>
        </w:rPr>
        <w:t xml:space="preserve"> issue in early 2015.</w:t>
      </w:r>
      <w:r w:rsidR="00A52D63">
        <w:rPr>
          <w:sz w:val="26"/>
          <w:szCs w:val="26"/>
        </w:rPr>
        <w:t xml:space="preserve">  </w:t>
      </w:r>
      <w:r w:rsidR="00A52D63">
        <w:rPr>
          <w:i/>
          <w:sz w:val="26"/>
          <w:szCs w:val="26"/>
        </w:rPr>
        <w:t>See id.</w:t>
      </w:r>
      <w:r w:rsidR="00AC65DD" w:rsidRPr="009A4CF6">
        <w:rPr>
          <w:sz w:val="26"/>
          <w:szCs w:val="26"/>
        </w:rPr>
        <w:t xml:space="preserve">  </w:t>
      </w:r>
    </w:p>
    <w:p w:rsidR="00BF0604" w:rsidRPr="00056133" w:rsidRDefault="00BF0604" w:rsidP="00BF0604">
      <w:pPr>
        <w:spacing w:line="360" w:lineRule="auto"/>
        <w:rPr>
          <w:sz w:val="26"/>
          <w:szCs w:val="26"/>
        </w:rPr>
      </w:pPr>
    </w:p>
    <w:p w:rsidR="00AC65DD" w:rsidRPr="00056133" w:rsidRDefault="000B11EF" w:rsidP="00AC65DD">
      <w:pPr>
        <w:spacing w:line="360" w:lineRule="auto"/>
        <w:ind w:firstLine="720"/>
        <w:rPr>
          <w:sz w:val="26"/>
          <w:szCs w:val="26"/>
        </w:rPr>
      </w:pPr>
      <w:r w:rsidRPr="00056133">
        <w:rPr>
          <w:sz w:val="26"/>
          <w:szCs w:val="26"/>
        </w:rPr>
        <w:t xml:space="preserve">In the </w:t>
      </w:r>
      <w:r w:rsidRPr="00056133">
        <w:rPr>
          <w:i/>
          <w:sz w:val="26"/>
          <w:szCs w:val="26"/>
        </w:rPr>
        <w:t>Gas RMI Final Order</w:t>
      </w:r>
      <w:r w:rsidRPr="00056133">
        <w:rPr>
          <w:sz w:val="26"/>
          <w:szCs w:val="26"/>
        </w:rPr>
        <w:t>,</w:t>
      </w:r>
      <w:r w:rsidRPr="00056133">
        <w:rPr>
          <w:i/>
          <w:sz w:val="26"/>
          <w:szCs w:val="26"/>
        </w:rPr>
        <w:t xml:space="preserve"> </w:t>
      </w:r>
      <w:r w:rsidR="00AC65DD" w:rsidRPr="00056133">
        <w:rPr>
          <w:sz w:val="26"/>
          <w:szCs w:val="26"/>
        </w:rPr>
        <w:t>we direct</w:t>
      </w:r>
      <w:r w:rsidRPr="00056133">
        <w:rPr>
          <w:sz w:val="26"/>
          <w:szCs w:val="26"/>
        </w:rPr>
        <w:t>ed</w:t>
      </w:r>
      <w:r w:rsidR="00AC65DD" w:rsidRPr="00056133">
        <w:rPr>
          <w:sz w:val="26"/>
          <w:szCs w:val="26"/>
        </w:rPr>
        <w:t xml:space="preserve"> </w:t>
      </w:r>
      <w:r w:rsidRPr="00056133">
        <w:rPr>
          <w:sz w:val="26"/>
          <w:szCs w:val="26"/>
        </w:rPr>
        <w:t xml:space="preserve">parties </w:t>
      </w:r>
      <w:r w:rsidR="00AC65DD" w:rsidRPr="00056133">
        <w:rPr>
          <w:sz w:val="26"/>
          <w:szCs w:val="26"/>
        </w:rPr>
        <w:t xml:space="preserve">to the regulations at 52 Pa. Code § 62.75 (Disclosure statement for residential and small business customers) and to our recent revisions of the analogous rules </w:t>
      </w:r>
      <w:r w:rsidRPr="00056133">
        <w:rPr>
          <w:sz w:val="26"/>
          <w:szCs w:val="26"/>
        </w:rPr>
        <w:t>in the electric industry at 52 Pa. Code §§ 54.5-54.10</w:t>
      </w:r>
      <w:r w:rsidRPr="00056133">
        <w:rPr>
          <w:rStyle w:val="FootnoteReference"/>
          <w:sz w:val="26"/>
          <w:szCs w:val="26"/>
        </w:rPr>
        <w:footnoteReference w:id="4"/>
      </w:r>
      <w:r w:rsidRPr="00056133">
        <w:rPr>
          <w:sz w:val="26"/>
          <w:szCs w:val="26"/>
        </w:rPr>
        <w:t xml:space="preserve"> to assist in the formation of their comments.</w:t>
      </w:r>
      <w:r w:rsidR="00AC65DD" w:rsidRPr="00056133">
        <w:rPr>
          <w:sz w:val="26"/>
          <w:szCs w:val="26"/>
        </w:rPr>
        <w:t xml:space="preserve"> </w:t>
      </w:r>
      <w:r w:rsidRPr="00056133">
        <w:rPr>
          <w:sz w:val="26"/>
          <w:szCs w:val="26"/>
        </w:rPr>
        <w:t xml:space="preserve"> We specifically sought comments in the following areas:</w:t>
      </w:r>
    </w:p>
    <w:p w:rsidR="00AC65DD" w:rsidRPr="00056133" w:rsidRDefault="00AC65DD" w:rsidP="00AC65DD">
      <w:pPr>
        <w:spacing w:line="360" w:lineRule="auto"/>
        <w:ind w:firstLine="720"/>
        <w:rPr>
          <w:sz w:val="26"/>
          <w:szCs w:val="26"/>
        </w:rPr>
      </w:pPr>
    </w:p>
    <w:p w:rsidR="00AC65DD" w:rsidRPr="00056133" w:rsidRDefault="00AC65DD" w:rsidP="00AC65DD">
      <w:pPr>
        <w:pStyle w:val="ListParagraph"/>
        <w:widowControl w:val="0"/>
        <w:numPr>
          <w:ilvl w:val="0"/>
          <w:numId w:val="43"/>
        </w:numPr>
        <w:spacing w:line="360" w:lineRule="auto"/>
        <w:rPr>
          <w:sz w:val="26"/>
          <w:szCs w:val="26"/>
        </w:rPr>
      </w:pPr>
      <w:r w:rsidRPr="00056133">
        <w:rPr>
          <w:sz w:val="26"/>
          <w:szCs w:val="26"/>
        </w:rPr>
        <w:t>Enhanced disclosure concerning variable prices; explanation and disclosure of any limits or caps.</w:t>
      </w:r>
    </w:p>
    <w:p w:rsidR="00AC65DD" w:rsidRPr="00056133" w:rsidRDefault="00AC65DD" w:rsidP="00AC65DD">
      <w:pPr>
        <w:pStyle w:val="ListParagraph"/>
        <w:widowControl w:val="0"/>
        <w:numPr>
          <w:ilvl w:val="0"/>
          <w:numId w:val="43"/>
        </w:numPr>
        <w:spacing w:line="360" w:lineRule="auto"/>
        <w:rPr>
          <w:sz w:val="26"/>
          <w:szCs w:val="26"/>
        </w:rPr>
      </w:pPr>
      <w:r w:rsidRPr="00056133">
        <w:rPr>
          <w:sz w:val="26"/>
          <w:szCs w:val="26"/>
        </w:rPr>
        <w:t>Explicit statement of no limits if there are no limits to a variable price.</w:t>
      </w:r>
    </w:p>
    <w:p w:rsidR="00AC65DD" w:rsidRPr="00056133" w:rsidRDefault="00AC65DD" w:rsidP="00AC65DD">
      <w:pPr>
        <w:pStyle w:val="ListParagraph"/>
        <w:widowControl w:val="0"/>
        <w:numPr>
          <w:ilvl w:val="0"/>
          <w:numId w:val="43"/>
        </w:numPr>
        <w:spacing w:line="360" w:lineRule="auto"/>
        <w:rPr>
          <w:sz w:val="26"/>
          <w:szCs w:val="26"/>
        </w:rPr>
      </w:pPr>
      <w:r w:rsidRPr="00056133">
        <w:rPr>
          <w:sz w:val="26"/>
          <w:szCs w:val="26"/>
        </w:rPr>
        <w:t>The price charged for the first billing period (a “starting price” if the price is variable).</w:t>
      </w:r>
    </w:p>
    <w:p w:rsidR="00AC65DD" w:rsidRPr="00056133" w:rsidRDefault="00AC65DD" w:rsidP="00AC65DD">
      <w:pPr>
        <w:pStyle w:val="ListParagraph"/>
        <w:widowControl w:val="0"/>
        <w:numPr>
          <w:ilvl w:val="0"/>
          <w:numId w:val="43"/>
        </w:numPr>
        <w:spacing w:line="360" w:lineRule="auto"/>
        <w:rPr>
          <w:sz w:val="26"/>
          <w:szCs w:val="26"/>
        </w:rPr>
      </w:pPr>
      <w:r w:rsidRPr="00056133">
        <w:rPr>
          <w:sz w:val="26"/>
          <w:szCs w:val="26"/>
        </w:rPr>
        <w:t>Explanation of when the customer becomes aware of their variable price for the billing period (before the billing period, at the time of billing, etc.).</w:t>
      </w:r>
    </w:p>
    <w:p w:rsidR="00AC65DD" w:rsidRPr="00056133" w:rsidRDefault="00AC65DD" w:rsidP="00AC65DD">
      <w:pPr>
        <w:pStyle w:val="ListParagraph"/>
        <w:widowControl w:val="0"/>
        <w:numPr>
          <w:ilvl w:val="0"/>
          <w:numId w:val="43"/>
        </w:numPr>
        <w:spacing w:line="360" w:lineRule="auto"/>
        <w:rPr>
          <w:sz w:val="26"/>
          <w:szCs w:val="26"/>
        </w:rPr>
      </w:pPr>
      <w:r w:rsidRPr="00056133">
        <w:rPr>
          <w:sz w:val="26"/>
          <w:szCs w:val="26"/>
        </w:rPr>
        <w:t>The provision of historical pricing information</w:t>
      </w:r>
      <w:r w:rsidR="00AF2CB9">
        <w:rPr>
          <w:sz w:val="26"/>
          <w:szCs w:val="26"/>
        </w:rPr>
        <w:t xml:space="preserve"> for variable products.  If so,</w:t>
      </w:r>
      <w:r w:rsidRPr="00056133">
        <w:rPr>
          <w:sz w:val="26"/>
          <w:szCs w:val="26"/>
        </w:rPr>
        <w:t xml:space="preserve"> how much history and how should it be made available to </w:t>
      </w:r>
      <w:r w:rsidR="008E2217">
        <w:rPr>
          <w:sz w:val="26"/>
          <w:szCs w:val="26"/>
        </w:rPr>
        <w:t>customer</w:t>
      </w:r>
      <w:r w:rsidRPr="00056133">
        <w:rPr>
          <w:sz w:val="26"/>
          <w:szCs w:val="26"/>
        </w:rPr>
        <w:t xml:space="preserve">s? </w:t>
      </w:r>
    </w:p>
    <w:p w:rsidR="00AC65DD" w:rsidRPr="00056133" w:rsidRDefault="00AC65DD" w:rsidP="00AC65DD">
      <w:pPr>
        <w:pStyle w:val="ListParagraph"/>
        <w:widowControl w:val="0"/>
        <w:numPr>
          <w:ilvl w:val="0"/>
          <w:numId w:val="43"/>
        </w:numPr>
        <w:spacing w:line="360" w:lineRule="auto"/>
        <w:rPr>
          <w:sz w:val="26"/>
          <w:szCs w:val="26"/>
        </w:rPr>
      </w:pPr>
      <w:r w:rsidRPr="00056133">
        <w:rPr>
          <w:sz w:val="26"/>
          <w:szCs w:val="26"/>
        </w:rPr>
        <w:t>The use of a contract summary that includes</w:t>
      </w:r>
      <w:r w:rsidR="00AF2CB9" w:rsidRPr="00AF2CB9">
        <w:rPr>
          <w:sz w:val="26"/>
          <w:szCs w:val="26"/>
        </w:rPr>
        <w:t xml:space="preserve"> </w:t>
      </w:r>
      <w:r w:rsidR="00AF2CB9" w:rsidRPr="00056133">
        <w:rPr>
          <w:sz w:val="26"/>
          <w:szCs w:val="26"/>
        </w:rPr>
        <w:t>key contract provisions</w:t>
      </w:r>
      <w:r w:rsidRPr="00056133">
        <w:rPr>
          <w:sz w:val="26"/>
          <w:szCs w:val="26"/>
        </w:rPr>
        <w:t xml:space="preserve"> in a simple, easy-to-read format.  If so, what format is needed and what provisions should be included – keeping in mind that a summary, to be effective, has to be brief, in plain language, and prominent?</w:t>
      </w:r>
    </w:p>
    <w:p w:rsidR="00AC65DD" w:rsidRPr="00056133" w:rsidRDefault="00AC65DD" w:rsidP="00AC65DD">
      <w:pPr>
        <w:pStyle w:val="ListParagraph"/>
        <w:widowControl w:val="0"/>
        <w:numPr>
          <w:ilvl w:val="0"/>
          <w:numId w:val="43"/>
        </w:numPr>
        <w:spacing w:line="360" w:lineRule="auto"/>
        <w:rPr>
          <w:sz w:val="26"/>
          <w:szCs w:val="26"/>
        </w:rPr>
      </w:pPr>
      <w:r w:rsidRPr="00056133">
        <w:rPr>
          <w:sz w:val="26"/>
          <w:szCs w:val="26"/>
        </w:rPr>
        <w:t>What changes, if any, are needed to contract expiration notices and the rules that sho</w:t>
      </w:r>
      <w:r w:rsidR="00AF2CB9">
        <w:rPr>
          <w:sz w:val="26"/>
          <w:szCs w:val="26"/>
        </w:rPr>
        <w:t>uld apply if a custo</w:t>
      </w:r>
      <w:r w:rsidRPr="00056133">
        <w:rPr>
          <w:sz w:val="26"/>
          <w:szCs w:val="26"/>
        </w:rPr>
        <w:t>mer fails to respond to the notices?  Please refer specifically to 52 Pa. Code § 62.75(g</w:t>
      </w:r>
      <w:proofErr w:type="gramStart"/>
      <w:r w:rsidRPr="00056133">
        <w:rPr>
          <w:sz w:val="26"/>
          <w:szCs w:val="26"/>
        </w:rPr>
        <w:t>)(</w:t>
      </w:r>
      <w:proofErr w:type="gramEnd"/>
      <w:r w:rsidRPr="00056133">
        <w:rPr>
          <w:sz w:val="26"/>
          <w:szCs w:val="26"/>
        </w:rPr>
        <w:t xml:space="preserve">1) and (2).  Are additional rules needed for those </w:t>
      </w:r>
      <w:r w:rsidR="008E2217">
        <w:rPr>
          <w:sz w:val="26"/>
          <w:szCs w:val="26"/>
        </w:rPr>
        <w:t>customer</w:t>
      </w:r>
      <w:r w:rsidRPr="00056133">
        <w:rPr>
          <w:sz w:val="26"/>
          <w:szCs w:val="26"/>
        </w:rPr>
        <w:t>s that are rolled onto variable-priced products upon expiration of their original contract similar to what is now in place for the electric industry, such as prior notice of price changes?</w:t>
      </w:r>
    </w:p>
    <w:p w:rsidR="000B11EF" w:rsidRPr="00056133" w:rsidRDefault="000B11EF" w:rsidP="00AC65DD">
      <w:pPr>
        <w:spacing w:line="360" w:lineRule="auto"/>
        <w:rPr>
          <w:i/>
          <w:sz w:val="26"/>
          <w:szCs w:val="26"/>
        </w:rPr>
      </w:pPr>
    </w:p>
    <w:p w:rsidR="00AC65DD" w:rsidRDefault="000B11EF" w:rsidP="00AC65DD">
      <w:pPr>
        <w:spacing w:line="360" w:lineRule="auto"/>
        <w:rPr>
          <w:sz w:val="26"/>
          <w:szCs w:val="26"/>
        </w:rPr>
      </w:pPr>
      <w:r w:rsidRPr="00056133">
        <w:rPr>
          <w:i/>
          <w:sz w:val="26"/>
          <w:szCs w:val="26"/>
        </w:rPr>
        <w:t>See</w:t>
      </w:r>
      <w:r w:rsidRPr="00056133">
        <w:rPr>
          <w:sz w:val="26"/>
          <w:szCs w:val="26"/>
        </w:rPr>
        <w:t xml:space="preserve"> </w:t>
      </w:r>
      <w:r w:rsidRPr="00056133">
        <w:rPr>
          <w:i/>
          <w:sz w:val="26"/>
          <w:szCs w:val="26"/>
        </w:rPr>
        <w:t>Gas RMI Final Order</w:t>
      </w:r>
      <w:r w:rsidR="00800FF9" w:rsidRPr="00056133">
        <w:rPr>
          <w:sz w:val="26"/>
          <w:szCs w:val="26"/>
        </w:rPr>
        <w:t>, Docket No. I-2013-2381742</w:t>
      </w:r>
      <w:r w:rsidR="00CE56C0">
        <w:rPr>
          <w:sz w:val="26"/>
          <w:szCs w:val="26"/>
        </w:rPr>
        <w:t>, at p. 39-40</w:t>
      </w:r>
      <w:r w:rsidR="00800FF9" w:rsidRPr="00056133">
        <w:rPr>
          <w:sz w:val="26"/>
          <w:szCs w:val="26"/>
        </w:rPr>
        <w:t>.</w:t>
      </w:r>
    </w:p>
    <w:p w:rsidR="00AE134F" w:rsidRDefault="00AE134F" w:rsidP="004F6751">
      <w:pPr>
        <w:pStyle w:val="p3"/>
        <w:tabs>
          <w:tab w:val="clear" w:pos="204"/>
        </w:tabs>
        <w:spacing w:line="360" w:lineRule="auto"/>
        <w:rPr>
          <w:rFonts w:asciiTheme="minorHAnsi" w:hAnsiTheme="minorHAnsi" w:cstheme="minorHAnsi"/>
          <w:b/>
          <w:sz w:val="26"/>
          <w:szCs w:val="26"/>
        </w:rPr>
      </w:pPr>
    </w:p>
    <w:p w:rsidR="000B11EF" w:rsidRDefault="000B11EF" w:rsidP="004F6751">
      <w:pPr>
        <w:pStyle w:val="p3"/>
        <w:tabs>
          <w:tab w:val="clear" w:pos="204"/>
        </w:tabs>
        <w:spacing w:line="360" w:lineRule="auto"/>
        <w:rPr>
          <w:rFonts w:asciiTheme="minorHAnsi" w:hAnsiTheme="minorHAnsi" w:cstheme="minorHAnsi"/>
          <w:b/>
          <w:sz w:val="26"/>
          <w:szCs w:val="26"/>
        </w:rPr>
      </w:pPr>
      <w:r>
        <w:rPr>
          <w:rFonts w:asciiTheme="minorHAnsi" w:hAnsiTheme="minorHAnsi" w:cstheme="minorHAnsi"/>
          <w:b/>
          <w:sz w:val="26"/>
          <w:szCs w:val="26"/>
        </w:rPr>
        <w:t>DISCUSSION</w:t>
      </w:r>
    </w:p>
    <w:p w:rsidR="00736853" w:rsidRDefault="008B5E6F" w:rsidP="001A1513">
      <w:pPr>
        <w:pStyle w:val="p3"/>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tab/>
        <w:t xml:space="preserve">The </w:t>
      </w:r>
      <w:r w:rsidR="00300FB4">
        <w:rPr>
          <w:rFonts w:asciiTheme="minorHAnsi" w:hAnsiTheme="minorHAnsi" w:cstheme="minorHAnsi"/>
          <w:sz w:val="26"/>
          <w:szCs w:val="26"/>
        </w:rPr>
        <w:t xml:space="preserve">Public Utility Code </w:t>
      </w:r>
      <w:r w:rsidR="008807D6">
        <w:rPr>
          <w:rFonts w:asciiTheme="minorHAnsi" w:hAnsiTheme="minorHAnsi" w:cstheme="minorHAnsi"/>
          <w:sz w:val="26"/>
          <w:szCs w:val="26"/>
        </w:rPr>
        <w:t xml:space="preserve">grants the Commission the power to license natural gas suppliers </w:t>
      </w:r>
      <w:r w:rsidR="00A93B12">
        <w:rPr>
          <w:rFonts w:asciiTheme="minorHAnsi" w:hAnsiTheme="minorHAnsi" w:cstheme="minorHAnsi"/>
          <w:sz w:val="26"/>
          <w:szCs w:val="26"/>
        </w:rPr>
        <w:t>(</w:t>
      </w:r>
      <w:r w:rsidR="008807D6">
        <w:rPr>
          <w:rFonts w:asciiTheme="minorHAnsi" w:hAnsiTheme="minorHAnsi" w:cstheme="minorHAnsi"/>
          <w:sz w:val="26"/>
          <w:szCs w:val="26"/>
        </w:rPr>
        <w:t>NGSs</w:t>
      </w:r>
      <w:r w:rsidR="00A93B12">
        <w:rPr>
          <w:rFonts w:asciiTheme="minorHAnsi" w:hAnsiTheme="minorHAnsi" w:cstheme="minorHAnsi"/>
          <w:sz w:val="26"/>
          <w:szCs w:val="26"/>
        </w:rPr>
        <w:t>)</w:t>
      </w:r>
      <w:r>
        <w:rPr>
          <w:rFonts w:asciiTheme="minorHAnsi" w:hAnsiTheme="minorHAnsi" w:cstheme="minorHAnsi"/>
          <w:sz w:val="26"/>
          <w:szCs w:val="26"/>
        </w:rPr>
        <w:t xml:space="preserve"> </w:t>
      </w:r>
      <w:r w:rsidR="008807D6">
        <w:rPr>
          <w:rFonts w:asciiTheme="minorHAnsi" w:hAnsiTheme="minorHAnsi" w:cstheme="minorHAnsi"/>
          <w:sz w:val="26"/>
          <w:szCs w:val="26"/>
        </w:rPr>
        <w:t xml:space="preserve">and establish standards to govern the conduct of NGSs, including the </w:t>
      </w:r>
      <w:r w:rsidR="008807D6">
        <w:rPr>
          <w:rFonts w:asciiTheme="minorHAnsi" w:hAnsiTheme="minorHAnsi" w:cstheme="minorHAnsi"/>
          <w:sz w:val="26"/>
          <w:szCs w:val="26"/>
        </w:rPr>
        <w:lastRenderedPageBreak/>
        <w:t xml:space="preserve">provision of clear, adequate, </w:t>
      </w:r>
      <w:r>
        <w:rPr>
          <w:rFonts w:asciiTheme="minorHAnsi" w:hAnsiTheme="minorHAnsi" w:cstheme="minorHAnsi"/>
          <w:sz w:val="26"/>
          <w:szCs w:val="26"/>
        </w:rPr>
        <w:t>accurate</w:t>
      </w:r>
      <w:r w:rsidR="008807D6">
        <w:rPr>
          <w:rFonts w:asciiTheme="minorHAnsi" w:hAnsiTheme="minorHAnsi" w:cstheme="minorHAnsi"/>
          <w:sz w:val="26"/>
          <w:szCs w:val="26"/>
        </w:rPr>
        <w:t>, and timely</w:t>
      </w:r>
      <w:r>
        <w:rPr>
          <w:rFonts w:asciiTheme="minorHAnsi" w:hAnsiTheme="minorHAnsi" w:cstheme="minorHAnsi"/>
          <w:sz w:val="26"/>
          <w:szCs w:val="26"/>
        </w:rPr>
        <w:t xml:space="preserve"> </w:t>
      </w:r>
      <w:r w:rsidR="00300FB4">
        <w:rPr>
          <w:rFonts w:asciiTheme="minorHAnsi" w:hAnsiTheme="minorHAnsi" w:cstheme="minorHAnsi"/>
          <w:sz w:val="26"/>
          <w:szCs w:val="26"/>
        </w:rPr>
        <w:t xml:space="preserve">information to </w:t>
      </w:r>
      <w:r>
        <w:rPr>
          <w:rFonts w:asciiTheme="minorHAnsi" w:hAnsiTheme="minorHAnsi" w:cstheme="minorHAnsi"/>
          <w:sz w:val="26"/>
          <w:szCs w:val="26"/>
        </w:rPr>
        <w:t>customer</w:t>
      </w:r>
      <w:r w:rsidR="00300FB4">
        <w:rPr>
          <w:rFonts w:asciiTheme="minorHAnsi" w:hAnsiTheme="minorHAnsi" w:cstheme="minorHAnsi"/>
          <w:sz w:val="26"/>
          <w:szCs w:val="26"/>
        </w:rPr>
        <w:t>s.</w:t>
      </w:r>
      <w:r>
        <w:rPr>
          <w:rFonts w:asciiTheme="minorHAnsi" w:hAnsiTheme="minorHAnsi" w:cstheme="minorHAnsi"/>
          <w:sz w:val="26"/>
          <w:szCs w:val="26"/>
        </w:rPr>
        <w:t xml:space="preserve"> </w:t>
      </w:r>
      <w:r w:rsidR="00574701">
        <w:rPr>
          <w:rFonts w:asciiTheme="minorHAnsi" w:hAnsiTheme="minorHAnsi" w:cstheme="minorHAnsi"/>
          <w:sz w:val="26"/>
          <w:szCs w:val="26"/>
        </w:rPr>
        <w:t xml:space="preserve"> </w:t>
      </w:r>
      <w:r w:rsidR="007E3C35" w:rsidRPr="003176D2">
        <w:rPr>
          <w:rFonts w:asciiTheme="minorHAnsi" w:hAnsiTheme="minorHAnsi" w:cstheme="minorHAnsi"/>
          <w:i/>
          <w:sz w:val="26"/>
          <w:szCs w:val="26"/>
        </w:rPr>
        <w:t>See</w:t>
      </w:r>
      <w:r w:rsidR="007E3C35">
        <w:rPr>
          <w:rFonts w:asciiTheme="minorHAnsi" w:hAnsiTheme="minorHAnsi" w:cstheme="minorHAnsi"/>
          <w:sz w:val="26"/>
          <w:szCs w:val="26"/>
        </w:rPr>
        <w:t xml:space="preserve"> </w:t>
      </w:r>
      <w:r>
        <w:rPr>
          <w:rFonts w:asciiTheme="minorHAnsi" w:hAnsiTheme="minorHAnsi" w:cstheme="minorHAnsi"/>
          <w:sz w:val="26"/>
          <w:szCs w:val="26"/>
        </w:rPr>
        <w:t>66 Pa. C.S. §</w:t>
      </w:r>
      <w:r w:rsidR="00955B48">
        <w:rPr>
          <w:rFonts w:asciiTheme="minorHAnsi" w:hAnsiTheme="minorHAnsi" w:cstheme="minorHAnsi"/>
          <w:sz w:val="26"/>
          <w:szCs w:val="26"/>
        </w:rPr>
        <w:t>§</w:t>
      </w:r>
      <w:r>
        <w:rPr>
          <w:rFonts w:asciiTheme="minorHAnsi" w:hAnsiTheme="minorHAnsi" w:cstheme="minorHAnsi"/>
          <w:sz w:val="26"/>
          <w:szCs w:val="26"/>
        </w:rPr>
        <w:t xml:space="preserve"> 2</w:t>
      </w:r>
      <w:r w:rsidR="008807D6">
        <w:rPr>
          <w:rFonts w:asciiTheme="minorHAnsi" w:hAnsiTheme="minorHAnsi" w:cstheme="minorHAnsi"/>
          <w:sz w:val="26"/>
          <w:szCs w:val="26"/>
        </w:rPr>
        <w:t>208</w:t>
      </w:r>
      <w:r w:rsidR="00955B48">
        <w:rPr>
          <w:rFonts w:asciiTheme="minorHAnsi" w:hAnsiTheme="minorHAnsi" w:cstheme="minorHAnsi"/>
          <w:sz w:val="26"/>
          <w:szCs w:val="26"/>
        </w:rPr>
        <w:t>(a) and 2208</w:t>
      </w:r>
      <w:r w:rsidR="008807D6">
        <w:rPr>
          <w:rFonts w:asciiTheme="minorHAnsi" w:hAnsiTheme="minorHAnsi" w:cstheme="minorHAnsi"/>
          <w:sz w:val="26"/>
          <w:szCs w:val="26"/>
        </w:rPr>
        <w:t>(f</w:t>
      </w:r>
      <w:r>
        <w:rPr>
          <w:rFonts w:asciiTheme="minorHAnsi" w:hAnsiTheme="minorHAnsi" w:cstheme="minorHAnsi"/>
          <w:sz w:val="26"/>
          <w:szCs w:val="26"/>
        </w:rPr>
        <w:t>)</w:t>
      </w:r>
      <w:r w:rsidR="00C241BA">
        <w:rPr>
          <w:rFonts w:asciiTheme="minorHAnsi" w:hAnsiTheme="minorHAnsi" w:cstheme="minorHAnsi"/>
          <w:sz w:val="26"/>
          <w:szCs w:val="26"/>
        </w:rPr>
        <w:t xml:space="preserve"> (citing Chapter 56 of Commission regulations regarding Standards and Billing Practices)</w:t>
      </w:r>
      <w:r>
        <w:rPr>
          <w:rFonts w:asciiTheme="minorHAnsi" w:hAnsiTheme="minorHAnsi" w:cstheme="minorHAnsi"/>
          <w:sz w:val="26"/>
          <w:szCs w:val="26"/>
        </w:rPr>
        <w:t>.</w:t>
      </w:r>
      <w:r w:rsidR="00E101F5">
        <w:rPr>
          <w:rFonts w:asciiTheme="minorHAnsi" w:hAnsiTheme="minorHAnsi" w:cstheme="minorHAnsi"/>
          <w:sz w:val="26"/>
          <w:szCs w:val="26"/>
        </w:rPr>
        <w:t xml:space="preserve">  Section 501</w:t>
      </w:r>
      <w:r w:rsidR="004307F3">
        <w:rPr>
          <w:rFonts w:asciiTheme="minorHAnsi" w:hAnsiTheme="minorHAnsi" w:cstheme="minorHAnsi"/>
          <w:sz w:val="26"/>
          <w:szCs w:val="26"/>
        </w:rPr>
        <w:t xml:space="preserve"> </w:t>
      </w:r>
      <w:r w:rsidR="00E101F5">
        <w:rPr>
          <w:rFonts w:asciiTheme="minorHAnsi" w:hAnsiTheme="minorHAnsi" w:cstheme="minorHAnsi"/>
          <w:sz w:val="26"/>
          <w:szCs w:val="26"/>
        </w:rPr>
        <w:t>of the Public Utility Code empower</w:t>
      </w:r>
      <w:r w:rsidR="004307F3">
        <w:rPr>
          <w:rFonts w:asciiTheme="minorHAnsi" w:hAnsiTheme="minorHAnsi" w:cstheme="minorHAnsi"/>
          <w:sz w:val="26"/>
          <w:szCs w:val="26"/>
        </w:rPr>
        <w:t>s</w:t>
      </w:r>
      <w:r w:rsidR="00E101F5">
        <w:rPr>
          <w:rFonts w:asciiTheme="minorHAnsi" w:hAnsiTheme="minorHAnsi" w:cstheme="minorHAnsi"/>
          <w:sz w:val="26"/>
          <w:szCs w:val="26"/>
        </w:rPr>
        <w:t xml:space="preserve"> the Commission to promulgate regulations that are necessary or proper to exercise its powers and perform its duties.  </w:t>
      </w:r>
      <w:proofErr w:type="gramStart"/>
      <w:r w:rsidR="00E101F5">
        <w:rPr>
          <w:rFonts w:asciiTheme="minorHAnsi" w:hAnsiTheme="minorHAnsi" w:cstheme="minorHAnsi"/>
          <w:sz w:val="26"/>
          <w:szCs w:val="26"/>
        </w:rPr>
        <w:t>66 Pa. C.S. § 501.</w:t>
      </w:r>
      <w:proofErr w:type="gramEnd"/>
      <w:r w:rsidR="00E101F5">
        <w:rPr>
          <w:rFonts w:asciiTheme="minorHAnsi" w:hAnsiTheme="minorHAnsi" w:cstheme="minorHAnsi"/>
          <w:sz w:val="26"/>
          <w:szCs w:val="26"/>
        </w:rPr>
        <w:t xml:space="preserve">  Through this Order, we propose revisions to our </w:t>
      </w:r>
      <w:r w:rsidR="004307F3">
        <w:rPr>
          <w:rFonts w:asciiTheme="minorHAnsi" w:hAnsiTheme="minorHAnsi" w:cstheme="minorHAnsi"/>
          <w:sz w:val="26"/>
          <w:szCs w:val="26"/>
        </w:rPr>
        <w:t xml:space="preserve">existing natural gas customer disclosure information </w:t>
      </w:r>
      <w:r w:rsidR="00E101F5">
        <w:rPr>
          <w:rFonts w:asciiTheme="minorHAnsi" w:hAnsiTheme="minorHAnsi" w:cstheme="minorHAnsi"/>
          <w:sz w:val="26"/>
          <w:szCs w:val="26"/>
        </w:rPr>
        <w:t xml:space="preserve">regulations at </w:t>
      </w:r>
      <w:r w:rsidR="00E101F5" w:rsidRPr="009A4CF6">
        <w:rPr>
          <w:sz w:val="26"/>
          <w:szCs w:val="26"/>
        </w:rPr>
        <w:t>52 Pa. Code §</w:t>
      </w:r>
      <w:r w:rsidR="00102D80">
        <w:rPr>
          <w:sz w:val="26"/>
          <w:szCs w:val="26"/>
        </w:rPr>
        <w:t>§</w:t>
      </w:r>
      <w:r w:rsidR="00B71C33">
        <w:rPr>
          <w:sz w:val="26"/>
          <w:szCs w:val="26"/>
        </w:rPr>
        <w:t> </w:t>
      </w:r>
      <w:r w:rsidR="00102D80">
        <w:rPr>
          <w:sz w:val="26"/>
          <w:szCs w:val="26"/>
        </w:rPr>
        <w:t xml:space="preserve">62.72, </w:t>
      </w:r>
      <w:r w:rsidR="00E101F5" w:rsidRPr="009A4CF6">
        <w:rPr>
          <w:sz w:val="26"/>
          <w:szCs w:val="26"/>
        </w:rPr>
        <w:t>62.75</w:t>
      </w:r>
      <w:r w:rsidR="00E101F5">
        <w:rPr>
          <w:sz w:val="26"/>
          <w:szCs w:val="26"/>
        </w:rPr>
        <w:t xml:space="preserve">.  </w:t>
      </w:r>
      <w:r w:rsidR="00E101F5" w:rsidRPr="009A4CF6">
        <w:rPr>
          <w:sz w:val="26"/>
          <w:szCs w:val="26"/>
        </w:rPr>
        <w:t xml:space="preserve"> </w:t>
      </w:r>
      <w:r w:rsidR="00E101F5">
        <w:rPr>
          <w:rFonts w:asciiTheme="minorHAnsi" w:hAnsiTheme="minorHAnsi" w:cstheme="minorHAnsi"/>
          <w:sz w:val="26"/>
          <w:szCs w:val="26"/>
        </w:rPr>
        <w:t xml:space="preserve"> </w:t>
      </w:r>
      <w:r>
        <w:rPr>
          <w:rFonts w:asciiTheme="minorHAnsi" w:hAnsiTheme="minorHAnsi" w:cstheme="minorHAnsi"/>
          <w:sz w:val="26"/>
          <w:szCs w:val="26"/>
        </w:rPr>
        <w:t xml:space="preserve">  </w:t>
      </w:r>
    </w:p>
    <w:p w:rsidR="001A1513" w:rsidRPr="009A4B5F" w:rsidRDefault="001A1513" w:rsidP="001A1513">
      <w:pPr>
        <w:pStyle w:val="p3"/>
        <w:tabs>
          <w:tab w:val="clear" w:pos="204"/>
        </w:tabs>
        <w:spacing w:line="360" w:lineRule="auto"/>
        <w:rPr>
          <w:rFonts w:asciiTheme="minorHAnsi" w:hAnsiTheme="minorHAnsi" w:cstheme="minorHAnsi"/>
          <w:sz w:val="26"/>
          <w:szCs w:val="26"/>
        </w:rPr>
      </w:pPr>
    </w:p>
    <w:p w:rsidR="00E71986" w:rsidRDefault="008807D6" w:rsidP="00E101F5">
      <w:pPr>
        <w:spacing w:line="360" w:lineRule="auto"/>
        <w:ind w:firstLine="720"/>
        <w:rPr>
          <w:rFonts w:cstheme="minorHAnsi"/>
          <w:sz w:val="26"/>
          <w:szCs w:val="26"/>
        </w:rPr>
      </w:pPr>
      <w:r>
        <w:rPr>
          <w:rFonts w:cstheme="minorHAnsi"/>
          <w:sz w:val="26"/>
          <w:szCs w:val="26"/>
        </w:rPr>
        <w:t xml:space="preserve">The Commission has reviewed the comments filed </w:t>
      </w:r>
      <w:r w:rsidR="00E101F5">
        <w:rPr>
          <w:rFonts w:cstheme="minorHAnsi"/>
          <w:sz w:val="26"/>
          <w:szCs w:val="26"/>
        </w:rPr>
        <w:t xml:space="preserve">in response to the </w:t>
      </w:r>
      <w:r w:rsidR="00E101F5">
        <w:rPr>
          <w:rFonts w:cstheme="minorHAnsi"/>
          <w:i/>
          <w:sz w:val="26"/>
          <w:szCs w:val="26"/>
        </w:rPr>
        <w:t>Gas RMI Final Order</w:t>
      </w:r>
      <w:r>
        <w:rPr>
          <w:rFonts w:cstheme="minorHAnsi"/>
          <w:sz w:val="26"/>
          <w:szCs w:val="26"/>
        </w:rPr>
        <w:t xml:space="preserve">. </w:t>
      </w:r>
      <w:r w:rsidR="00E101F5">
        <w:rPr>
          <w:rFonts w:cstheme="minorHAnsi"/>
          <w:sz w:val="26"/>
          <w:szCs w:val="26"/>
        </w:rPr>
        <w:t xml:space="preserve"> </w:t>
      </w:r>
      <w:r w:rsidR="00E71986">
        <w:rPr>
          <w:rFonts w:cstheme="minorHAnsi"/>
          <w:sz w:val="26"/>
          <w:szCs w:val="26"/>
        </w:rPr>
        <w:t xml:space="preserve">Comments </w:t>
      </w:r>
      <w:r w:rsidR="0049217F">
        <w:rPr>
          <w:rFonts w:cstheme="minorHAnsi"/>
          <w:sz w:val="26"/>
          <w:szCs w:val="26"/>
        </w:rPr>
        <w:t>were</w:t>
      </w:r>
      <w:r w:rsidR="00E71986">
        <w:rPr>
          <w:rFonts w:cstheme="minorHAnsi"/>
          <w:sz w:val="26"/>
          <w:szCs w:val="26"/>
        </w:rPr>
        <w:t xml:space="preserve"> filed by Columbia Gas of PA (Columbia); Dominion Retail, Inc. d/b/a Dominion Energy Solutions, Shipley Choice, LLC d/b/a Shipley Energy,</w:t>
      </w:r>
      <w:r w:rsidR="00A52D63">
        <w:rPr>
          <w:rFonts w:cstheme="minorHAnsi"/>
          <w:sz w:val="26"/>
          <w:szCs w:val="26"/>
        </w:rPr>
        <w:t xml:space="preserve"> Rhoads E</w:t>
      </w:r>
      <w:r w:rsidR="00E71986">
        <w:rPr>
          <w:rFonts w:cstheme="minorHAnsi"/>
          <w:sz w:val="26"/>
          <w:szCs w:val="26"/>
        </w:rPr>
        <w:t xml:space="preserve">nergy Corp. and </w:t>
      </w:r>
      <w:proofErr w:type="spellStart"/>
      <w:r w:rsidR="00E71986">
        <w:rPr>
          <w:rFonts w:cstheme="minorHAnsi"/>
          <w:sz w:val="26"/>
          <w:szCs w:val="26"/>
        </w:rPr>
        <w:t>AMERIgreen</w:t>
      </w:r>
      <w:proofErr w:type="spellEnd"/>
      <w:r w:rsidR="00E71986">
        <w:rPr>
          <w:rFonts w:cstheme="minorHAnsi"/>
          <w:sz w:val="26"/>
          <w:szCs w:val="26"/>
        </w:rPr>
        <w:t xml:space="preserve"> Energy (NGS Parties);</w:t>
      </w:r>
      <w:r w:rsidR="0049217F">
        <w:rPr>
          <w:rFonts w:cstheme="minorHAnsi"/>
          <w:sz w:val="26"/>
          <w:szCs w:val="26"/>
        </w:rPr>
        <w:t xml:space="preserve"> the National Energy Marketers Association (NEM); the Office of Consumer Advocate (OCA); PECO Energy Company (PECO); Peoples Natural Gas Company LLC and Peoples TWP LLC (Peoples); Philadelphia Gas Works (PGW); the Retail Energy Supply Association (RESA); UGI Distribution Companies (UGI); Valley Energy, Inc. (Valley Energy); and WGL Energy Services, Inc. (WGL Energy).  </w:t>
      </w:r>
    </w:p>
    <w:p w:rsidR="00E71986" w:rsidRDefault="00E71986" w:rsidP="00E101F5">
      <w:pPr>
        <w:spacing w:line="360" w:lineRule="auto"/>
        <w:ind w:firstLine="720"/>
        <w:rPr>
          <w:rFonts w:cstheme="minorHAnsi"/>
          <w:sz w:val="26"/>
          <w:szCs w:val="26"/>
        </w:rPr>
      </w:pPr>
    </w:p>
    <w:p w:rsidR="008807D6" w:rsidRDefault="00955B48" w:rsidP="008807D6">
      <w:pPr>
        <w:spacing w:line="360" w:lineRule="auto"/>
        <w:ind w:firstLine="720"/>
        <w:rPr>
          <w:sz w:val="26"/>
          <w:szCs w:val="26"/>
        </w:rPr>
      </w:pPr>
      <w:r>
        <w:rPr>
          <w:rFonts w:cstheme="minorHAnsi"/>
          <w:sz w:val="26"/>
          <w:szCs w:val="26"/>
        </w:rPr>
        <w:t>W</w:t>
      </w:r>
      <w:r w:rsidR="00E101F5">
        <w:rPr>
          <w:rFonts w:cstheme="minorHAnsi"/>
          <w:sz w:val="26"/>
          <w:szCs w:val="26"/>
        </w:rPr>
        <w:t>e</w:t>
      </w:r>
      <w:r w:rsidR="00E101F5">
        <w:rPr>
          <w:sz w:val="26"/>
          <w:szCs w:val="26"/>
        </w:rPr>
        <w:t xml:space="preserve"> will organize our summaries and dispositions of stakeholder comments in our Discussion section in </w:t>
      </w:r>
      <w:r w:rsidR="00A93B12">
        <w:rPr>
          <w:sz w:val="26"/>
          <w:szCs w:val="26"/>
        </w:rPr>
        <w:t xml:space="preserve">four </w:t>
      </w:r>
      <w:r w:rsidR="00E101F5">
        <w:rPr>
          <w:sz w:val="26"/>
          <w:szCs w:val="26"/>
        </w:rPr>
        <w:t xml:space="preserve">main subject areas: 1) </w:t>
      </w:r>
      <w:r w:rsidR="00084821">
        <w:rPr>
          <w:sz w:val="26"/>
          <w:szCs w:val="26"/>
        </w:rPr>
        <w:t xml:space="preserve">Regulation Uniformity, </w:t>
      </w:r>
      <w:r w:rsidR="004307F3">
        <w:rPr>
          <w:sz w:val="26"/>
          <w:szCs w:val="26"/>
        </w:rPr>
        <w:t>V</w:t>
      </w:r>
      <w:r w:rsidR="00D9263A">
        <w:rPr>
          <w:sz w:val="26"/>
          <w:szCs w:val="26"/>
        </w:rPr>
        <w:t xml:space="preserve">ariable </w:t>
      </w:r>
      <w:r w:rsidR="004307F3">
        <w:rPr>
          <w:sz w:val="26"/>
          <w:szCs w:val="26"/>
        </w:rPr>
        <w:t>P</w:t>
      </w:r>
      <w:r w:rsidR="00E101F5">
        <w:rPr>
          <w:sz w:val="26"/>
          <w:szCs w:val="26"/>
        </w:rPr>
        <w:t>ricing</w:t>
      </w:r>
      <w:r w:rsidR="00084821">
        <w:rPr>
          <w:sz w:val="26"/>
          <w:szCs w:val="26"/>
        </w:rPr>
        <w:t>,</w:t>
      </w:r>
      <w:r w:rsidR="00D9263A">
        <w:rPr>
          <w:sz w:val="26"/>
          <w:szCs w:val="26"/>
        </w:rPr>
        <w:t xml:space="preserve"> and Historical Pricing</w:t>
      </w:r>
      <w:r w:rsidR="00E101F5">
        <w:rPr>
          <w:sz w:val="26"/>
          <w:szCs w:val="26"/>
        </w:rPr>
        <w:t xml:space="preserve"> </w:t>
      </w:r>
      <w:r w:rsidR="004307F3">
        <w:rPr>
          <w:sz w:val="26"/>
          <w:szCs w:val="26"/>
        </w:rPr>
        <w:t>I</w:t>
      </w:r>
      <w:r w:rsidR="00E101F5">
        <w:rPr>
          <w:sz w:val="26"/>
          <w:szCs w:val="26"/>
        </w:rPr>
        <w:t>nformation</w:t>
      </w:r>
      <w:r w:rsidR="00012CE3">
        <w:rPr>
          <w:sz w:val="26"/>
          <w:szCs w:val="26"/>
        </w:rPr>
        <w:t>;</w:t>
      </w:r>
      <w:r w:rsidR="00E101F5">
        <w:rPr>
          <w:sz w:val="26"/>
          <w:szCs w:val="26"/>
        </w:rPr>
        <w:t xml:space="preserve"> 2) </w:t>
      </w:r>
      <w:r w:rsidR="004307F3">
        <w:rPr>
          <w:sz w:val="26"/>
          <w:szCs w:val="26"/>
        </w:rPr>
        <w:t>C</w:t>
      </w:r>
      <w:r w:rsidR="00E101F5">
        <w:rPr>
          <w:sz w:val="26"/>
          <w:szCs w:val="26"/>
        </w:rPr>
        <w:t xml:space="preserve">ontract </w:t>
      </w:r>
      <w:r w:rsidR="004307F3">
        <w:rPr>
          <w:sz w:val="26"/>
          <w:szCs w:val="26"/>
        </w:rPr>
        <w:t>S</w:t>
      </w:r>
      <w:r w:rsidR="00E101F5">
        <w:rPr>
          <w:sz w:val="26"/>
          <w:szCs w:val="26"/>
        </w:rPr>
        <w:t>ummaries</w:t>
      </w:r>
      <w:r w:rsidR="00012CE3">
        <w:rPr>
          <w:sz w:val="26"/>
          <w:szCs w:val="26"/>
        </w:rPr>
        <w:t>;</w:t>
      </w:r>
      <w:r w:rsidR="00084821">
        <w:rPr>
          <w:sz w:val="26"/>
          <w:szCs w:val="26"/>
        </w:rPr>
        <w:t xml:space="preserve"> </w:t>
      </w:r>
      <w:r w:rsidR="00E101F5">
        <w:rPr>
          <w:sz w:val="26"/>
          <w:szCs w:val="26"/>
        </w:rPr>
        <w:t xml:space="preserve">3) </w:t>
      </w:r>
      <w:r w:rsidR="004307F3" w:rsidRPr="004307F3">
        <w:rPr>
          <w:rFonts w:ascii="Times New Roman" w:eastAsia="Times New Roman" w:hAnsi="Times New Roman"/>
          <w:color w:val="000000"/>
          <w:spacing w:val="4"/>
          <w:sz w:val="26"/>
          <w:szCs w:val="26"/>
        </w:rPr>
        <w:t>Notices Regarding Contract Expiration or Changes in Terms</w:t>
      </w:r>
      <w:r w:rsidR="00012CE3">
        <w:rPr>
          <w:rFonts w:ascii="Times New Roman" w:eastAsia="Times New Roman" w:hAnsi="Times New Roman"/>
          <w:color w:val="000000"/>
          <w:spacing w:val="4"/>
          <w:sz w:val="26"/>
          <w:szCs w:val="26"/>
        </w:rPr>
        <w:t>;</w:t>
      </w:r>
      <w:r w:rsidR="00084821">
        <w:rPr>
          <w:rFonts w:ascii="Times New Roman" w:eastAsia="Times New Roman" w:hAnsi="Times New Roman"/>
          <w:color w:val="000000"/>
          <w:spacing w:val="4"/>
          <w:sz w:val="26"/>
          <w:szCs w:val="26"/>
        </w:rPr>
        <w:t xml:space="preserve"> and 4) Supplier Requests for Commission Review of Contract Terms</w:t>
      </w:r>
      <w:r w:rsidR="004307F3">
        <w:rPr>
          <w:rFonts w:ascii="Times New Roman" w:eastAsia="Times New Roman" w:hAnsi="Times New Roman"/>
          <w:color w:val="000000"/>
          <w:spacing w:val="4"/>
          <w:sz w:val="26"/>
          <w:szCs w:val="26"/>
        </w:rPr>
        <w:t xml:space="preserve">.  </w:t>
      </w:r>
      <w:r>
        <w:rPr>
          <w:sz w:val="26"/>
          <w:szCs w:val="26"/>
        </w:rPr>
        <w:t>W</w:t>
      </w:r>
      <w:r w:rsidR="00E101F5">
        <w:rPr>
          <w:sz w:val="26"/>
          <w:szCs w:val="26"/>
        </w:rPr>
        <w:t>e will</w:t>
      </w:r>
      <w:r>
        <w:rPr>
          <w:sz w:val="26"/>
          <w:szCs w:val="26"/>
        </w:rPr>
        <w:t xml:space="preserve"> then</w:t>
      </w:r>
      <w:r w:rsidR="00E101F5">
        <w:rPr>
          <w:sz w:val="26"/>
          <w:szCs w:val="26"/>
        </w:rPr>
        <w:t xml:space="preserve"> </w:t>
      </w:r>
      <w:r w:rsidR="004307F3">
        <w:rPr>
          <w:sz w:val="26"/>
          <w:szCs w:val="26"/>
        </w:rPr>
        <w:t xml:space="preserve">discuss specific language changes to our regulations.  </w:t>
      </w:r>
      <w:r w:rsidR="00E101F5">
        <w:rPr>
          <w:sz w:val="26"/>
          <w:szCs w:val="26"/>
        </w:rPr>
        <w:t xml:space="preserve">  </w:t>
      </w:r>
      <w:r w:rsidR="008807D6">
        <w:rPr>
          <w:rFonts w:cstheme="minorHAnsi"/>
          <w:sz w:val="26"/>
          <w:szCs w:val="26"/>
        </w:rPr>
        <w:t xml:space="preserve"> </w:t>
      </w:r>
    </w:p>
    <w:p w:rsidR="008807D6" w:rsidRDefault="008807D6" w:rsidP="008807D6">
      <w:pPr>
        <w:pStyle w:val="p3"/>
        <w:tabs>
          <w:tab w:val="clear" w:pos="204"/>
        </w:tabs>
        <w:spacing w:line="360" w:lineRule="auto"/>
        <w:rPr>
          <w:rFonts w:asciiTheme="minorHAnsi" w:hAnsiTheme="minorHAnsi" w:cstheme="minorHAnsi"/>
          <w:sz w:val="26"/>
          <w:szCs w:val="26"/>
        </w:rPr>
      </w:pPr>
    </w:p>
    <w:p w:rsidR="00B85130" w:rsidRDefault="00B85130" w:rsidP="008807D6">
      <w:pPr>
        <w:pStyle w:val="p3"/>
        <w:tabs>
          <w:tab w:val="clear" w:pos="204"/>
        </w:tabs>
        <w:spacing w:line="360" w:lineRule="auto"/>
        <w:rPr>
          <w:rFonts w:asciiTheme="minorHAnsi" w:hAnsiTheme="minorHAnsi" w:cstheme="minorHAnsi"/>
          <w:sz w:val="26"/>
          <w:szCs w:val="26"/>
        </w:rPr>
      </w:pPr>
    </w:p>
    <w:p w:rsidR="004307F3" w:rsidRDefault="00084821" w:rsidP="004307F3">
      <w:pPr>
        <w:spacing w:line="360" w:lineRule="auto"/>
        <w:rPr>
          <w:rFonts w:ascii="Times New Roman" w:eastAsia="Times New Roman" w:hAnsi="Times New Roman"/>
          <w:b/>
          <w:color w:val="000000"/>
          <w:spacing w:val="4"/>
          <w:sz w:val="26"/>
          <w:szCs w:val="26"/>
        </w:rPr>
      </w:pPr>
      <w:r>
        <w:rPr>
          <w:rFonts w:ascii="Times New Roman" w:eastAsia="Times New Roman" w:hAnsi="Times New Roman"/>
          <w:b/>
          <w:color w:val="000000"/>
          <w:spacing w:val="4"/>
          <w:sz w:val="26"/>
          <w:szCs w:val="26"/>
        </w:rPr>
        <w:t xml:space="preserve">Regulation Uniformity, </w:t>
      </w:r>
      <w:r w:rsidR="004307F3" w:rsidRPr="004307F3">
        <w:rPr>
          <w:rFonts w:ascii="Times New Roman" w:eastAsia="Times New Roman" w:hAnsi="Times New Roman"/>
          <w:b/>
          <w:color w:val="000000"/>
          <w:spacing w:val="4"/>
          <w:sz w:val="26"/>
          <w:szCs w:val="26"/>
        </w:rPr>
        <w:t>Variable Pricing</w:t>
      </w:r>
      <w:r>
        <w:rPr>
          <w:rFonts w:ascii="Times New Roman" w:eastAsia="Times New Roman" w:hAnsi="Times New Roman"/>
          <w:b/>
          <w:color w:val="000000"/>
          <w:spacing w:val="4"/>
          <w:sz w:val="26"/>
          <w:szCs w:val="26"/>
        </w:rPr>
        <w:t>,</w:t>
      </w:r>
      <w:r w:rsidR="00D9263A">
        <w:rPr>
          <w:rFonts w:ascii="Times New Roman" w:eastAsia="Times New Roman" w:hAnsi="Times New Roman"/>
          <w:b/>
          <w:color w:val="000000"/>
          <w:spacing w:val="4"/>
          <w:sz w:val="26"/>
          <w:szCs w:val="26"/>
        </w:rPr>
        <w:t xml:space="preserve"> and Historical Pricing</w:t>
      </w:r>
      <w:r w:rsidR="004307F3" w:rsidRPr="004307F3">
        <w:rPr>
          <w:rFonts w:ascii="Times New Roman" w:eastAsia="Times New Roman" w:hAnsi="Times New Roman"/>
          <w:b/>
          <w:color w:val="000000"/>
          <w:spacing w:val="4"/>
          <w:sz w:val="26"/>
          <w:szCs w:val="26"/>
        </w:rPr>
        <w:t xml:space="preserve"> Information</w:t>
      </w:r>
    </w:p>
    <w:p w:rsidR="001A1513" w:rsidRDefault="004307F3" w:rsidP="004307F3">
      <w:pPr>
        <w:spacing w:line="360" w:lineRule="auto"/>
        <w:rPr>
          <w:rFonts w:ascii="Times New Roman" w:eastAsia="Times New Roman" w:hAnsi="Times New Roman"/>
          <w:color w:val="000000"/>
          <w:spacing w:val="4"/>
          <w:sz w:val="26"/>
          <w:szCs w:val="26"/>
        </w:rPr>
      </w:pPr>
      <w:r w:rsidRPr="004307F3">
        <w:rPr>
          <w:rFonts w:ascii="Times New Roman" w:eastAsia="Times New Roman" w:hAnsi="Times New Roman"/>
          <w:color w:val="000000"/>
          <w:spacing w:val="4"/>
          <w:sz w:val="26"/>
          <w:szCs w:val="26"/>
          <w:u w:val="single"/>
        </w:rPr>
        <w:t>Comments</w:t>
      </w:r>
      <w:r w:rsidRPr="004307F3">
        <w:rPr>
          <w:rFonts w:ascii="Times New Roman" w:eastAsia="Times New Roman" w:hAnsi="Times New Roman"/>
          <w:color w:val="000000"/>
          <w:spacing w:val="4"/>
          <w:sz w:val="26"/>
          <w:szCs w:val="26"/>
        </w:rPr>
        <w:t xml:space="preserve"> </w:t>
      </w:r>
    </w:p>
    <w:p w:rsidR="001A1513" w:rsidRDefault="001A1513" w:rsidP="00084821">
      <w:pPr>
        <w:spacing w:line="360" w:lineRule="auto"/>
        <w:ind w:firstLine="720"/>
        <w:rPr>
          <w:rFonts w:ascii="Times New Roman" w:eastAsia="Times New Roman" w:hAnsi="Times New Roman"/>
          <w:color w:val="000000"/>
          <w:spacing w:val="4"/>
          <w:sz w:val="26"/>
          <w:szCs w:val="26"/>
        </w:rPr>
      </w:pPr>
      <w:r w:rsidRPr="003853FC">
        <w:rPr>
          <w:rFonts w:ascii="Times New Roman" w:eastAsia="Times New Roman" w:hAnsi="Times New Roman"/>
          <w:color w:val="000000"/>
          <w:spacing w:val="4"/>
          <w:sz w:val="26"/>
          <w:szCs w:val="26"/>
        </w:rPr>
        <w:lastRenderedPageBreak/>
        <w:t>RESA s</w:t>
      </w:r>
      <w:r w:rsidR="00AF2CB9">
        <w:rPr>
          <w:rFonts w:ascii="Times New Roman" w:eastAsia="Times New Roman" w:hAnsi="Times New Roman"/>
          <w:color w:val="000000"/>
          <w:spacing w:val="4"/>
          <w:sz w:val="26"/>
          <w:szCs w:val="26"/>
        </w:rPr>
        <w:t>upports</w:t>
      </w:r>
      <w:r w:rsidRPr="003853FC">
        <w:rPr>
          <w:rFonts w:ascii="Times New Roman" w:eastAsia="Times New Roman" w:hAnsi="Times New Roman"/>
          <w:color w:val="000000"/>
          <w:spacing w:val="4"/>
          <w:sz w:val="26"/>
          <w:szCs w:val="26"/>
        </w:rPr>
        <w:t xml:space="preserve"> uniformity between EGS and NGS disclosure requirements and contract renewal notice rules</w:t>
      </w:r>
      <w:r w:rsidR="00AF2CB9">
        <w:rPr>
          <w:rFonts w:ascii="Times New Roman" w:eastAsia="Times New Roman" w:hAnsi="Times New Roman"/>
          <w:color w:val="000000"/>
          <w:spacing w:val="4"/>
          <w:sz w:val="26"/>
          <w:szCs w:val="26"/>
        </w:rPr>
        <w:t>,</w:t>
      </w:r>
      <w:r w:rsidRPr="003853FC">
        <w:rPr>
          <w:rFonts w:ascii="Times New Roman" w:eastAsia="Times New Roman" w:hAnsi="Times New Roman"/>
          <w:color w:val="000000"/>
          <w:spacing w:val="4"/>
          <w:sz w:val="26"/>
          <w:szCs w:val="26"/>
        </w:rPr>
        <w:t xml:space="preserve"> but would prefer to establish acceptable requirements for the natural gas industry and then harmonize any important issues with the electric industry after more retail market experience is gained.</w:t>
      </w:r>
      <w:r w:rsidR="00AF2CB9">
        <w:rPr>
          <w:rFonts w:ascii="Times New Roman" w:eastAsia="Times New Roman" w:hAnsi="Times New Roman"/>
          <w:color w:val="000000"/>
          <w:spacing w:val="4"/>
          <w:sz w:val="26"/>
          <w:szCs w:val="26"/>
        </w:rPr>
        <w:t xml:space="preserve">  </w:t>
      </w:r>
      <w:proofErr w:type="gramStart"/>
      <w:r w:rsidR="00955B48">
        <w:rPr>
          <w:rFonts w:ascii="Times New Roman" w:eastAsia="Times New Roman" w:hAnsi="Times New Roman"/>
          <w:color w:val="000000"/>
          <w:spacing w:val="4"/>
          <w:sz w:val="26"/>
          <w:szCs w:val="26"/>
        </w:rPr>
        <w:t xml:space="preserve">RESA </w:t>
      </w:r>
      <w:r w:rsidR="00AF2CB9">
        <w:rPr>
          <w:rFonts w:ascii="Times New Roman" w:eastAsia="Times New Roman" w:hAnsi="Times New Roman"/>
          <w:color w:val="000000"/>
          <w:spacing w:val="4"/>
          <w:sz w:val="26"/>
          <w:szCs w:val="26"/>
        </w:rPr>
        <w:t>Comments at</w:t>
      </w:r>
      <w:r w:rsidRPr="003853FC">
        <w:rPr>
          <w:rFonts w:ascii="Times New Roman" w:eastAsia="Times New Roman" w:hAnsi="Times New Roman"/>
          <w:color w:val="000000"/>
          <w:spacing w:val="4"/>
          <w:sz w:val="26"/>
          <w:szCs w:val="26"/>
        </w:rPr>
        <w:t xml:space="preserve"> </w:t>
      </w:r>
      <w:r w:rsidR="00AF2CB9">
        <w:rPr>
          <w:rFonts w:ascii="Times New Roman" w:eastAsia="Times New Roman" w:hAnsi="Times New Roman"/>
          <w:color w:val="000000"/>
          <w:spacing w:val="4"/>
          <w:sz w:val="26"/>
          <w:szCs w:val="26"/>
        </w:rPr>
        <w:t>3.</w:t>
      </w:r>
      <w:proofErr w:type="gramEnd"/>
      <w:r w:rsidR="00084821">
        <w:rPr>
          <w:rFonts w:ascii="Times New Roman" w:eastAsia="Times New Roman" w:hAnsi="Times New Roman"/>
          <w:color w:val="000000"/>
          <w:spacing w:val="4"/>
          <w:sz w:val="26"/>
          <w:szCs w:val="26"/>
        </w:rPr>
        <w:t xml:space="preserve">  </w:t>
      </w:r>
      <w:r w:rsidRPr="003853FC">
        <w:rPr>
          <w:rFonts w:ascii="Times New Roman" w:eastAsia="Times New Roman" w:hAnsi="Times New Roman"/>
          <w:color w:val="000000"/>
          <w:spacing w:val="4"/>
          <w:sz w:val="26"/>
          <w:szCs w:val="26"/>
        </w:rPr>
        <w:t>RESA supports inclu</w:t>
      </w:r>
      <w:r w:rsidR="00AF2CB9">
        <w:rPr>
          <w:rFonts w:ascii="Times New Roman" w:eastAsia="Times New Roman" w:hAnsi="Times New Roman"/>
          <w:color w:val="000000"/>
          <w:spacing w:val="4"/>
          <w:sz w:val="26"/>
          <w:szCs w:val="26"/>
        </w:rPr>
        <w:t xml:space="preserve">ding </w:t>
      </w:r>
      <w:r w:rsidR="00AF2CB9" w:rsidRPr="003853FC">
        <w:rPr>
          <w:rFonts w:ascii="Times New Roman" w:eastAsia="Times New Roman" w:hAnsi="Times New Roman"/>
          <w:color w:val="000000"/>
          <w:spacing w:val="4"/>
          <w:sz w:val="26"/>
          <w:szCs w:val="26"/>
        </w:rPr>
        <w:t xml:space="preserve">the initial price and the conditions of price variability </w:t>
      </w:r>
      <w:r w:rsidRPr="003853FC">
        <w:rPr>
          <w:rFonts w:ascii="Times New Roman" w:eastAsia="Times New Roman" w:hAnsi="Times New Roman"/>
          <w:color w:val="000000"/>
          <w:spacing w:val="4"/>
          <w:sz w:val="26"/>
          <w:szCs w:val="26"/>
        </w:rPr>
        <w:t>in the disclosure statements</w:t>
      </w:r>
      <w:r w:rsidR="00AF2CB9">
        <w:rPr>
          <w:rFonts w:ascii="Times New Roman" w:eastAsia="Times New Roman" w:hAnsi="Times New Roman"/>
          <w:color w:val="000000"/>
          <w:spacing w:val="4"/>
          <w:sz w:val="26"/>
          <w:szCs w:val="26"/>
        </w:rPr>
        <w:t>,</w:t>
      </w:r>
      <w:r w:rsidRPr="003853FC">
        <w:rPr>
          <w:rFonts w:ascii="Times New Roman" w:eastAsia="Times New Roman" w:hAnsi="Times New Roman"/>
          <w:color w:val="000000"/>
          <w:spacing w:val="4"/>
          <w:sz w:val="26"/>
          <w:szCs w:val="26"/>
        </w:rPr>
        <w:t xml:space="preserve"> but </w:t>
      </w:r>
      <w:r w:rsidRPr="003853FC">
        <w:rPr>
          <w:rFonts w:ascii="Times New Roman" w:eastAsia="Times New Roman" w:hAnsi="Times New Roman"/>
          <w:color w:val="000000"/>
          <w:sz w:val="26"/>
          <w:szCs w:val="26"/>
        </w:rPr>
        <w:t>opposes any requirement for a limit or cap on a variable price.</w:t>
      </w:r>
      <w:r w:rsidR="00AF2CB9">
        <w:rPr>
          <w:rFonts w:ascii="Times New Roman" w:eastAsia="Times New Roman" w:hAnsi="Times New Roman"/>
          <w:color w:val="000000"/>
          <w:sz w:val="26"/>
          <w:szCs w:val="26"/>
        </w:rPr>
        <w:t xml:space="preserve">  </w:t>
      </w:r>
      <w:r w:rsidR="00AF2CB9">
        <w:rPr>
          <w:rFonts w:ascii="Times New Roman" w:eastAsia="Times New Roman" w:hAnsi="Times New Roman"/>
          <w:i/>
          <w:color w:val="000000"/>
          <w:sz w:val="26"/>
          <w:szCs w:val="26"/>
        </w:rPr>
        <w:t>Id.</w:t>
      </w:r>
      <w:r w:rsidRPr="003853FC">
        <w:rPr>
          <w:rFonts w:ascii="Times New Roman" w:eastAsia="Times New Roman" w:hAnsi="Times New Roman"/>
          <w:color w:val="000000"/>
          <w:sz w:val="26"/>
          <w:szCs w:val="26"/>
        </w:rPr>
        <w:t xml:space="preserve">  </w:t>
      </w:r>
      <w:r w:rsidRPr="003853FC">
        <w:rPr>
          <w:rFonts w:ascii="Times New Roman" w:eastAsia="Times New Roman" w:hAnsi="Times New Roman"/>
          <w:color w:val="000000"/>
          <w:spacing w:val="4"/>
          <w:sz w:val="26"/>
          <w:szCs w:val="26"/>
        </w:rPr>
        <w:t xml:space="preserve">RESA also opposes any requirement for the use of an explicit formula or index, </w:t>
      </w:r>
      <w:r w:rsidR="00E71986">
        <w:rPr>
          <w:rFonts w:ascii="Times New Roman" w:eastAsia="Times New Roman" w:hAnsi="Times New Roman"/>
          <w:color w:val="000000"/>
          <w:spacing w:val="4"/>
          <w:sz w:val="26"/>
          <w:szCs w:val="26"/>
        </w:rPr>
        <w:t>as RESA</w:t>
      </w:r>
      <w:r w:rsidRPr="003853FC">
        <w:rPr>
          <w:rFonts w:ascii="Times New Roman" w:eastAsia="Times New Roman" w:hAnsi="Times New Roman"/>
          <w:color w:val="000000"/>
          <w:spacing w:val="4"/>
          <w:sz w:val="26"/>
          <w:szCs w:val="26"/>
        </w:rPr>
        <w:t xml:space="preserve"> </w:t>
      </w:r>
      <w:r w:rsidR="00E71986">
        <w:rPr>
          <w:rFonts w:ascii="Times New Roman" w:eastAsia="Times New Roman" w:hAnsi="Times New Roman"/>
          <w:color w:val="000000"/>
          <w:spacing w:val="4"/>
          <w:sz w:val="26"/>
          <w:szCs w:val="26"/>
        </w:rPr>
        <w:t>believes this</w:t>
      </w:r>
      <w:r w:rsidRPr="003853FC">
        <w:rPr>
          <w:rFonts w:ascii="Times New Roman" w:eastAsia="Times New Roman" w:hAnsi="Times New Roman"/>
          <w:color w:val="000000"/>
          <w:spacing w:val="4"/>
          <w:sz w:val="26"/>
          <w:szCs w:val="26"/>
        </w:rPr>
        <w:t xml:space="preserve"> would restrict an NGS's flexibility to price its product and could unfairly signal its pricing methodology to competitors.  </w:t>
      </w:r>
      <w:r w:rsidR="00AF2CB9">
        <w:rPr>
          <w:rFonts w:ascii="Times New Roman" w:eastAsia="Times New Roman" w:hAnsi="Times New Roman"/>
          <w:i/>
          <w:color w:val="000000"/>
          <w:spacing w:val="4"/>
          <w:sz w:val="26"/>
          <w:szCs w:val="26"/>
        </w:rPr>
        <w:t>Id</w:t>
      </w:r>
      <w:r w:rsidRPr="003853FC">
        <w:rPr>
          <w:rFonts w:ascii="Times New Roman" w:eastAsia="Times New Roman" w:hAnsi="Times New Roman"/>
          <w:color w:val="000000"/>
          <w:spacing w:val="4"/>
          <w:sz w:val="26"/>
          <w:szCs w:val="26"/>
        </w:rPr>
        <w:t>.</w:t>
      </w:r>
      <w:r w:rsidR="00AF2CB9">
        <w:rPr>
          <w:rFonts w:ascii="Times New Roman" w:eastAsia="Times New Roman" w:hAnsi="Times New Roman"/>
          <w:color w:val="000000"/>
          <w:spacing w:val="4"/>
          <w:sz w:val="26"/>
          <w:szCs w:val="26"/>
        </w:rPr>
        <w:t xml:space="preserve">  </w:t>
      </w:r>
      <w:r w:rsidRPr="003853FC">
        <w:rPr>
          <w:rFonts w:ascii="Times New Roman" w:eastAsia="Times New Roman" w:hAnsi="Times New Roman"/>
          <w:color w:val="000000"/>
          <w:spacing w:val="4"/>
          <w:sz w:val="26"/>
          <w:szCs w:val="26"/>
        </w:rPr>
        <w:t>RESA does not support</w:t>
      </w:r>
      <w:r w:rsidR="00E71986">
        <w:rPr>
          <w:rFonts w:ascii="Times New Roman" w:eastAsia="Times New Roman" w:hAnsi="Times New Roman"/>
          <w:color w:val="000000"/>
          <w:spacing w:val="4"/>
          <w:sz w:val="26"/>
          <w:szCs w:val="26"/>
        </w:rPr>
        <w:t xml:space="preserve"> including 24 m</w:t>
      </w:r>
      <w:r w:rsidR="00E71986" w:rsidRPr="003853FC">
        <w:rPr>
          <w:rFonts w:ascii="Times New Roman" w:eastAsia="Times New Roman" w:hAnsi="Times New Roman"/>
          <w:color w:val="000000"/>
          <w:spacing w:val="4"/>
          <w:sz w:val="26"/>
          <w:szCs w:val="26"/>
        </w:rPr>
        <w:t xml:space="preserve">onths of average historical pricing in connection with variable price contracts </w:t>
      </w:r>
      <w:r w:rsidR="00E71986">
        <w:rPr>
          <w:rFonts w:ascii="Times New Roman" w:eastAsia="Times New Roman" w:hAnsi="Times New Roman"/>
          <w:color w:val="000000"/>
          <w:spacing w:val="4"/>
          <w:sz w:val="26"/>
          <w:szCs w:val="26"/>
        </w:rPr>
        <w:t>i</w:t>
      </w:r>
      <w:r w:rsidRPr="003853FC">
        <w:rPr>
          <w:rFonts w:ascii="Times New Roman" w:eastAsia="Times New Roman" w:hAnsi="Times New Roman"/>
          <w:color w:val="000000"/>
          <w:spacing w:val="4"/>
          <w:sz w:val="26"/>
          <w:szCs w:val="26"/>
        </w:rPr>
        <w:t>n situations where the NGS offers an indexed product that is based on a pre-defined pricing formula or publicly available market indices</w:t>
      </w:r>
      <w:r w:rsidR="00955B48">
        <w:rPr>
          <w:rFonts w:ascii="Times New Roman" w:eastAsia="Times New Roman" w:hAnsi="Times New Roman"/>
          <w:color w:val="000000"/>
          <w:spacing w:val="4"/>
          <w:sz w:val="26"/>
          <w:szCs w:val="26"/>
        </w:rPr>
        <w:t>, provided that an NGS gives the customer the tools necessary to calculate the price independently</w:t>
      </w:r>
      <w:r w:rsidRPr="003853FC">
        <w:rPr>
          <w:rFonts w:ascii="Times New Roman" w:eastAsia="Times New Roman" w:hAnsi="Times New Roman"/>
          <w:color w:val="000000"/>
          <w:spacing w:val="4"/>
          <w:sz w:val="26"/>
          <w:szCs w:val="26"/>
        </w:rPr>
        <w:t xml:space="preserve">. </w:t>
      </w:r>
      <w:r w:rsidR="00E71986">
        <w:rPr>
          <w:rFonts w:ascii="Times New Roman" w:eastAsia="Times New Roman" w:hAnsi="Times New Roman"/>
          <w:color w:val="000000"/>
          <w:spacing w:val="4"/>
          <w:sz w:val="26"/>
          <w:szCs w:val="26"/>
        </w:rPr>
        <w:t xml:space="preserve"> </w:t>
      </w:r>
      <w:proofErr w:type="gramStart"/>
      <w:r w:rsidR="00E71986">
        <w:rPr>
          <w:rFonts w:ascii="Times New Roman" w:eastAsia="Times New Roman" w:hAnsi="Times New Roman"/>
          <w:i/>
          <w:color w:val="000000"/>
          <w:spacing w:val="4"/>
          <w:sz w:val="26"/>
          <w:szCs w:val="26"/>
        </w:rPr>
        <w:t>Id.</w:t>
      </w:r>
      <w:r w:rsidR="00955B48">
        <w:rPr>
          <w:rFonts w:ascii="Times New Roman" w:eastAsia="Times New Roman" w:hAnsi="Times New Roman"/>
          <w:color w:val="000000"/>
          <w:spacing w:val="4"/>
          <w:sz w:val="26"/>
          <w:szCs w:val="26"/>
        </w:rPr>
        <w:t xml:space="preserve"> at 4.</w:t>
      </w:r>
      <w:proofErr w:type="gramEnd"/>
      <w:r w:rsidR="00955B48">
        <w:rPr>
          <w:rFonts w:ascii="Times New Roman" w:eastAsia="Times New Roman" w:hAnsi="Times New Roman"/>
          <w:color w:val="000000"/>
          <w:spacing w:val="4"/>
          <w:sz w:val="26"/>
          <w:szCs w:val="26"/>
        </w:rPr>
        <w:t xml:space="preserve">  </w:t>
      </w:r>
      <w:r w:rsidR="00E71986">
        <w:rPr>
          <w:rFonts w:ascii="Times New Roman" w:eastAsia="Times New Roman" w:hAnsi="Times New Roman"/>
          <w:i/>
          <w:color w:val="000000"/>
          <w:spacing w:val="4"/>
          <w:sz w:val="26"/>
          <w:szCs w:val="26"/>
        </w:rPr>
        <w:t xml:space="preserve"> </w:t>
      </w:r>
      <w:r w:rsidR="00955B48">
        <w:rPr>
          <w:rFonts w:ascii="Times New Roman" w:eastAsia="Times New Roman" w:hAnsi="Times New Roman"/>
          <w:color w:val="000000"/>
          <w:spacing w:val="4"/>
          <w:sz w:val="26"/>
          <w:szCs w:val="26"/>
        </w:rPr>
        <w:t>Otherwise, providing</w:t>
      </w:r>
      <w:r w:rsidR="00E71986">
        <w:rPr>
          <w:rFonts w:ascii="Times New Roman" w:eastAsia="Times New Roman" w:hAnsi="Times New Roman"/>
          <w:color w:val="000000"/>
          <w:spacing w:val="4"/>
          <w:sz w:val="26"/>
          <w:szCs w:val="26"/>
        </w:rPr>
        <w:t xml:space="preserve"> historical pricing information is likely to </w:t>
      </w:r>
      <w:r w:rsidRPr="003853FC">
        <w:rPr>
          <w:rFonts w:ascii="Times New Roman" w:eastAsia="Times New Roman" w:hAnsi="Times New Roman"/>
          <w:color w:val="000000"/>
          <w:spacing w:val="4"/>
          <w:sz w:val="26"/>
          <w:szCs w:val="26"/>
        </w:rPr>
        <w:t xml:space="preserve">create more </w:t>
      </w:r>
      <w:r w:rsidR="00E71986">
        <w:rPr>
          <w:rFonts w:ascii="Times New Roman" w:eastAsia="Times New Roman" w:hAnsi="Times New Roman"/>
          <w:color w:val="000000"/>
          <w:spacing w:val="4"/>
          <w:sz w:val="26"/>
          <w:szCs w:val="26"/>
        </w:rPr>
        <w:t xml:space="preserve">customer </w:t>
      </w:r>
      <w:r w:rsidRPr="003853FC">
        <w:rPr>
          <w:rFonts w:ascii="Times New Roman" w:eastAsia="Times New Roman" w:hAnsi="Times New Roman"/>
          <w:color w:val="000000"/>
          <w:spacing w:val="4"/>
          <w:sz w:val="26"/>
          <w:szCs w:val="26"/>
        </w:rPr>
        <w:t>confusion while increasing costs for the NGS to gather and accurately maintain this</w:t>
      </w:r>
      <w:r w:rsidR="00E71986">
        <w:rPr>
          <w:rFonts w:ascii="Times New Roman" w:eastAsia="Times New Roman" w:hAnsi="Times New Roman"/>
          <w:color w:val="000000"/>
          <w:spacing w:val="4"/>
          <w:sz w:val="26"/>
          <w:szCs w:val="26"/>
        </w:rPr>
        <w:t xml:space="preserve"> information. </w:t>
      </w:r>
      <w:r w:rsidR="00E71986">
        <w:rPr>
          <w:rFonts w:ascii="Times New Roman" w:eastAsia="Times New Roman" w:hAnsi="Times New Roman"/>
          <w:i/>
          <w:color w:val="000000"/>
          <w:spacing w:val="4"/>
          <w:sz w:val="26"/>
          <w:szCs w:val="26"/>
        </w:rPr>
        <w:t>Id</w:t>
      </w:r>
      <w:r w:rsidRPr="003853FC">
        <w:rPr>
          <w:rFonts w:ascii="Times New Roman" w:eastAsia="Times New Roman" w:hAnsi="Times New Roman"/>
          <w:color w:val="000000"/>
          <w:spacing w:val="4"/>
          <w:sz w:val="26"/>
          <w:szCs w:val="26"/>
        </w:rPr>
        <w:t>.</w:t>
      </w:r>
    </w:p>
    <w:p w:rsidR="00AF2CB9" w:rsidRPr="003853FC" w:rsidRDefault="00AF2CB9" w:rsidP="001A1513">
      <w:pPr>
        <w:spacing w:line="360" w:lineRule="auto"/>
        <w:rPr>
          <w:rFonts w:ascii="Times New Roman" w:eastAsia="Times New Roman" w:hAnsi="Times New Roman"/>
          <w:color w:val="000000"/>
          <w:spacing w:val="4"/>
          <w:sz w:val="26"/>
          <w:szCs w:val="26"/>
        </w:rPr>
      </w:pPr>
    </w:p>
    <w:p w:rsidR="001A1513" w:rsidRPr="00066B75" w:rsidRDefault="001A1513" w:rsidP="00071B81">
      <w:pPr>
        <w:spacing w:line="360" w:lineRule="auto"/>
        <w:ind w:firstLine="720"/>
        <w:rPr>
          <w:rFonts w:ascii="Times New Roman" w:eastAsia="Times New Roman" w:hAnsi="Times New Roman"/>
          <w:color w:val="000000"/>
          <w:spacing w:val="2"/>
          <w:sz w:val="26"/>
          <w:szCs w:val="26"/>
        </w:rPr>
      </w:pPr>
      <w:r w:rsidRPr="003853FC">
        <w:rPr>
          <w:rFonts w:ascii="Times New Roman" w:eastAsia="Times New Roman" w:hAnsi="Times New Roman"/>
          <w:color w:val="000000"/>
          <w:spacing w:val="2"/>
          <w:sz w:val="26"/>
          <w:szCs w:val="26"/>
        </w:rPr>
        <w:t xml:space="preserve">The NGS Parties </w:t>
      </w:r>
      <w:r w:rsidR="0049217F">
        <w:rPr>
          <w:rFonts w:ascii="Times New Roman" w:eastAsia="Times New Roman" w:hAnsi="Times New Roman"/>
          <w:color w:val="000000"/>
          <w:spacing w:val="2"/>
          <w:sz w:val="26"/>
          <w:szCs w:val="26"/>
        </w:rPr>
        <w:t xml:space="preserve">do not believe there are any issues </w:t>
      </w:r>
      <w:r w:rsidRPr="003853FC">
        <w:rPr>
          <w:rFonts w:ascii="Times New Roman" w:eastAsia="Times New Roman" w:hAnsi="Times New Roman"/>
          <w:color w:val="000000"/>
          <w:spacing w:val="2"/>
          <w:sz w:val="26"/>
          <w:szCs w:val="26"/>
        </w:rPr>
        <w:t xml:space="preserve">in the natural gas industry </w:t>
      </w:r>
      <w:r w:rsidR="0049217F">
        <w:rPr>
          <w:rFonts w:ascii="Times New Roman" w:eastAsia="Times New Roman" w:hAnsi="Times New Roman"/>
          <w:color w:val="000000"/>
          <w:spacing w:val="2"/>
          <w:sz w:val="26"/>
          <w:szCs w:val="26"/>
        </w:rPr>
        <w:t>regarding variable rates, as were present i</w:t>
      </w:r>
      <w:r w:rsidRPr="003853FC">
        <w:rPr>
          <w:rFonts w:ascii="Times New Roman" w:eastAsia="Times New Roman" w:hAnsi="Times New Roman"/>
          <w:color w:val="000000"/>
          <w:spacing w:val="2"/>
          <w:sz w:val="26"/>
          <w:szCs w:val="26"/>
        </w:rPr>
        <w:t xml:space="preserve">n the electric industry </w:t>
      </w:r>
      <w:r w:rsidR="0049217F">
        <w:rPr>
          <w:rFonts w:ascii="Times New Roman" w:eastAsia="Times New Roman" w:hAnsi="Times New Roman"/>
          <w:color w:val="000000"/>
          <w:spacing w:val="2"/>
          <w:sz w:val="26"/>
          <w:szCs w:val="26"/>
        </w:rPr>
        <w:t xml:space="preserve">during the </w:t>
      </w:r>
      <w:proofErr w:type="gramStart"/>
      <w:r w:rsidR="0049217F">
        <w:rPr>
          <w:rFonts w:ascii="Times New Roman" w:eastAsia="Times New Roman" w:hAnsi="Times New Roman"/>
          <w:color w:val="000000"/>
          <w:spacing w:val="2"/>
          <w:sz w:val="26"/>
          <w:szCs w:val="26"/>
        </w:rPr>
        <w:t>Winter</w:t>
      </w:r>
      <w:proofErr w:type="gramEnd"/>
      <w:r w:rsidR="0049217F">
        <w:rPr>
          <w:rFonts w:ascii="Times New Roman" w:eastAsia="Times New Roman" w:hAnsi="Times New Roman"/>
          <w:color w:val="000000"/>
          <w:spacing w:val="2"/>
          <w:sz w:val="26"/>
          <w:szCs w:val="26"/>
        </w:rPr>
        <w:t xml:space="preserve"> of 2014</w:t>
      </w:r>
      <w:r w:rsidR="00066B75">
        <w:rPr>
          <w:rFonts w:ascii="Times New Roman" w:eastAsia="Times New Roman" w:hAnsi="Times New Roman"/>
          <w:color w:val="000000"/>
          <w:spacing w:val="2"/>
          <w:sz w:val="26"/>
          <w:szCs w:val="26"/>
        </w:rPr>
        <w:t xml:space="preserve">.  </w:t>
      </w:r>
      <w:proofErr w:type="gramStart"/>
      <w:r w:rsidR="00955B48">
        <w:rPr>
          <w:rFonts w:ascii="Times New Roman" w:eastAsia="Times New Roman" w:hAnsi="Times New Roman"/>
          <w:color w:val="000000"/>
          <w:spacing w:val="2"/>
          <w:sz w:val="26"/>
          <w:szCs w:val="26"/>
        </w:rPr>
        <w:t xml:space="preserve">NGS Parties </w:t>
      </w:r>
      <w:r w:rsidR="00066B75">
        <w:rPr>
          <w:rFonts w:ascii="Times New Roman" w:eastAsia="Times New Roman" w:hAnsi="Times New Roman"/>
          <w:color w:val="000000"/>
          <w:spacing w:val="2"/>
          <w:sz w:val="26"/>
          <w:szCs w:val="26"/>
        </w:rPr>
        <w:t>Comments</w:t>
      </w:r>
      <w:r w:rsidRPr="003853FC">
        <w:rPr>
          <w:rFonts w:ascii="Times New Roman" w:eastAsia="Times New Roman" w:hAnsi="Times New Roman"/>
          <w:color w:val="000000"/>
          <w:spacing w:val="2"/>
          <w:sz w:val="26"/>
          <w:szCs w:val="26"/>
        </w:rPr>
        <w:t xml:space="preserve"> at 10.</w:t>
      </w:r>
      <w:proofErr w:type="gramEnd"/>
      <w:r w:rsidRPr="003853FC">
        <w:rPr>
          <w:rFonts w:ascii="Times New Roman" w:eastAsia="Times New Roman" w:hAnsi="Times New Roman"/>
          <w:color w:val="000000"/>
          <w:spacing w:val="2"/>
          <w:sz w:val="26"/>
          <w:szCs w:val="26"/>
        </w:rPr>
        <w:t xml:space="preserve">  However, the NGS Parties </w:t>
      </w:r>
      <w:r w:rsidR="00D9263A">
        <w:rPr>
          <w:rFonts w:ascii="Times New Roman" w:eastAsia="Times New Roman" w:hAnsi="Times New Roman"/>
          <w:color w:val="000000"/>
          <w:spacing w:val="2"/>
          <w:sz w:val="26"/>
          <w:szCs w:val="26"/>
        </w:rPr>
        <w:t xml:space="preserve">still support uniformity between the rules </w:t>
      </w:r>
      <w:r w:rsidRPr="003853FC">
        <w:rPr>
          <w:rFonts w:ascii="Times New Roman" w:eastAsia="Times New Roman" w:hAnsi="Times New Roman"/>
          <w:color w:val="000000"/>
          <w:spacing w:val="2"/>
          <w:sz w:val="26"/>
          <w:szCs w:val="26"/>
        </w:rPr>
        <w:t xml:space="preserve">in the electricity </w:t>
      </w:r>
      <w:r w:rsidR="00A52D63">
        <w:rPr>
          <w:rFonts w:ascii="Times New Roman" w:eastAsia="Times New Roman" w:hAnsi="Times New Roman"/>
          <w:color w:val="000000"/>
          <w:spacing w:val="2"/>
          <w:sz w:val="26"/>
          <w:szCs w:val="26"/>
        </w:rPr>
        <w:t>and</w:t>
      </w:r>
      <w:r w:rsidRPr="003853FC">
        <w:rPr>
          <w:rFonts w:ascii="Times New Roman" w:eastAsia="Times New Roman" w:hAnsi="Times New Roman"/>
          <w:color w:val="000000"/>
          <w:spacing w:val="2"/>
          <w:sz w:val="26"/>
          <w:szCs w:val="26"/>
        </w:rPr>
        <w:t xml:space="preserve"> natural gas market</w:t>
      </w:r>
      <w:r w:rsidR="00A52D63">
        <w:rPr>
          <w:rFonts w:ascii="Times New Roman" w:eastAsia="Times New Roman" w:hAnsi="Times New Roman"/>
          <w:color w:val="000000"/>
          <w:spacing w:val="2"/>
          <w:sz w:val="26"/>
          <w:szCs w:val="26"/>
        </w:rPr>
        <w:t>s</w:t>
      </w:r>
      <w:r w:rsidR="00D9263A">
        <w:rPr>
          <w:rFonts w:ascii="Times New Roman" w:eastAsia="Times New Roman" w:hAnsi="Times New Roman"/>
          <w:color w:val="000000"/>
          <w:spacing w:val="2"/>
          <w:sz w:val="26"/>
          <w:szCs w:val="26"/>
        </w:rPr>
        <w:t xml:space="preserve">.  </w:t>
      </w:r>
      <w:proofErr w:type="gramStart"/>
      <w:r w:rsidR="00066B75">
        <w:rPr>
          <w:rFonts w:ascii="Times New Roman" w:eastAsia="Times New Roman" w:hAnsi="Times New Roman"/>
          <w:i/>
          <w:color w:val="000000"/>
          <w:spacing w:val="2"/>
          <w:sz w:val="26"/>
          <w:szCs w:val="26"/>
        </w:rPr>
        <w:t>Id.</w:t>
      </w:r>
      <w:r w:rsidR="00D9263A">
        <w:rPr>
          <w:rFonts w:ascii="Times New Roman" w:eastAsia="Times New Roman" w:hAnsi="Times New Roman"/>
          <w:color w:val="000000"/>
          <w:spacing w:val="2"/>
          <w:sz w:val="26"/>
          <w:szCs w:val="26"/>
        </w:rPr>
        <w:t xml:space="preserve"> at </w:t>
      </w:r>
      <w:r w:rsidR="00084821">
        <w:rPr>
          <w:rFonts w:ascii="Times New Roman" w:eastAsia="Times New Roman" w:hAnsi="Times New Roman"/>
          <w:color w:val="000000"/>
          <w:spacing w:val="2"/>
          <w:sz w:val="26"/>
          <w:szCs w:val="26"/>
        </w:rPr>
        <w:t xml:space="preserve">1, </w:t>
      </w:r>
      <w:r w:rsidR="00D9263A">
        <w:rPr>
          <w:rFonts w:ascii="Times New Roman" w:eastAsia="Times New Roman" w:hAnsi="Times New Roman"/>
          <w:color w:val="000000"/>
          <w:spacing w:val="2"/>
          <w:sz w:val="26"/>
          <w:szCs w:val="26"/>
        </w:rPr>
        <w:t>3.</w:t>
      </w:r>
      <w:proofErr w:type="gramEnd"/>
      <w:r w:rsidR="00D9263A" w:rsidRPr="003853FC">
        <w:rPr>
          <w:rFonts w:ascii="Times New Roman" w:eastAsia="Times New Roman" w:hAnsi="Times New Roman"/>
          <w:color w:val="000000"/>
          <w:spacing w:val="2"/>
          <w:sz w:val="26"/>
          <w:szCs w:val="26"/>
        </w:rPr>
        <w:t xml:space="preserve">  </w:t>
      </w:r>
      <w:r w:rsidR="00071B81">
        <w:rPr>
          <w:rFonts w:ascii="Times New Roman" w:eastAsia="Times New Roman" w:hAnsi="Times New Roman"/>
          <w:color w:val="000000"/>
          <w:spacing w:val="2"/>
          <w:sz w:val="26"/>
          <w:szCs w:val="26"/>
        </w:rPr>
        <w:t>As to</w:t>
      </w:r>
      <w:r w:rsidRPr="003853FC">
        <w:rPr>
          <w:rFonts w:ascii="Times New Roman" w:eastAsia="Times New Roman" w:hAnsi="Times New Roman"/>
          <w:color w:val="000000"/>
          <w:spacing w:val="2"/>
          <w:sz w:val="26"/>
          <w:szCs w:val="26"/>
        </w:rPr>
        <w:t xml:space="preserve"> the disclosure of variable prices, the NGS Parties </w:t>
      </w:r>
      <w:r w:rsidR="00066B75">
        <w:rPr>
          <w:rFonts w:ascii="Times New Roman" w:eastAsia="Times New Roman" w:hAnsi="Times New Roman"/>
          <w:color w:val="000000"/>
          <w:spacing w:val="2"/>
          <w:sz w:val="26"/>
          <w:szCs w:val="26"/>
        </w:rPr>
        <w:t>believe that the disclosure</w:t>
      </w:r>
      <w:r w:rsidRPr="003853FC">
        <w:rPr>
          <w:rFonts w:ascii="Times New Roman" w:eastAsia="Times New Roman" w:hAnsi="Times New Roman"/>
          <w:color w:val="000000"/>
          <w:spacing w:val="2"/>
          <w:sz w:val="26"/>
          <w:szCs w:val="26"/>
        </w:rPr>
        <w:t xml:space="preserve"> statement</w:t>
      </w:r>
      <w:r w:rsidR="00066B75">
        <w:rPr>
          <w:rFonts w:ascii="Times New Roman" w:eastAsia="Times New Roman" w:hAnsi="Times New Roman"/>
          <w:color w:val="000000"/>
          <w:spacing w:val="2"/>
          <w:sz w:val="26"/>
          <w:szCs w:val="26"/>
        </w:rPr>
        <w:t xml:space="preserve"> should explicitly state that there are no limits to the variable price for those products that do not have limits.  </w:t>
      </w:r>
      <w:proofErr w:type="gramStart"/>
      <w:r w:rsidR="00066B75">
        <w:rPr>
          <w:rFonts w:ascii="Times New Roman" w:eastAsia="Times New Roman" w:hAnsi="Times New Roman"/>
          <w:i/>
          <w:color w:val="000000"/>
          <w:spacing w:val="2"/>
          <w:sz w:val="26"/>
          <w:szCs w:val="26"/>
        </w:rPr>
        <w:t>Id.</w:t>
      </w:r>
      <w:r w:rsidR="00066B75">
        <w:rPr>
          <w:rFonts w:ascii="Times New Roman" w:eastAsia="Times New Roman" w:hAnsi="Times New Roman"/>
          <w:color w:val="000000"/>
          <w:spacing w:val="2"/>
          <w:sz w:val="26"/>
          <w:szCs w:val="26"/>
        </w:rPr>
        <w:t xml:space="preserve"> at 4.</w:t>
      </w:r>
      <w:proofErr w:type="gramEnd"/>
      <w:r w:rsidR="00066B75">
        <w:rPr>
          <w:rFonts w:ascii="Times New Roman" w:eastAsia="Times New Roman" w:hAnsi="Times New Roman"/>
          <w:color w:val="000000"/>
          <w:spacing w:val="2"/>
          <w:sz w:val="26"/>
          <w:szCs w:val="26"/>
        </w:rPr>
        <w:t xml:space="preserve">  Yet, the NGS Parties caution that consumer education is critical here.  </w:t>
      </w:r>
      <w:r w:rsidR="00066B75">
        <w:rPr>
          <w:rFonts w:ascii="Times New Roman" w:eastAsia="Times New Roman" w:hAnsi="Times New Roman"/>
          <w:i/>
          <w:color w:val="000000"/>
          <w:spacing w:val="2"/>
          <w:sz w:val="26"/>
          <w:szCs w:val="26"/>
        </w:rPr>
        <w:t>Id.</w:t>
      </w:r>
      <w:r w:rsidRPr="003853FC">
        <w:rPr>
          <w:rFonts w:ascii="Times New Roman" w:eastAsia="Times New Roman" w:hAnsi="Times New Roman"/>
          <w:color w:val="000000"/>
          <w:spacing w:val="2"/>
          <w:sz w:val="26"/>
          <w:szCs w:val="26"/>
        </w:rPr>
        <w:t xml:space="preserve">  </w:t>
      </w:r>
      <w:r w:rsidR="00066B75">
        <w:rPr>
          <w:rFonts w:ascii="Times New Roman" w:eastAsia="Times New Roman" w:hAnsi="Times New Roman"/>
          <w:color w:val="000000"/>
          <w:spacing w:val="2"/>
          <w:sz w:val="26"/>
          <w:szCs w:val="26"/>
        </w:rPr>
        <w:t xml:space="preserve">The </w:t>
      </w:r>
      <w:r w:rsidRPr="003853FC">
        <w:rPr>
          <w:rFonts w:ascii="Times New Roman" w:eastAsia="Times New Roman" w:hAnsi="Times New Roman"/>
          <w:color w:val="000000"/>
          <w:spacing w:val="2"/>
          <w:sz w:val="26"/>
          <w:szCs w:val="26"/>
        </w:rPr>
        <w:t xml:space="preserve">NGS Parties also point out that the requirement of providing the starting price has proven to be problematic for many suppliers who offer variable rate products because many variable rate products are calculated after-the-fact, based upon the actual costs of serving that customer through the billing cycle. </w:t>
      </w:r>
      <w:r w:rsidR="00066B75">
        <w:rPr>
          <w:rFonts w:ascii="Times New Roman" w:eastAsia="Times New Roman" w:hAnsi="Times New Roman"/>
          <w:color w:val="000000"/>
          <w:spacing w:val="2"/>
          <w:sz w:val="26"/>
          <w:szCs w:val="26"/>
        </w:rPr>
        <w:t xml:space="preserve"> </w:t>
      </w:r>
      <w:r w:rsidR="00066B75">
        <w:rPr>
          <w:rFonts w:ascii="Times New Roman" w:eastAsia="Times New Roman" w:hAnsi="Times New Roman"/>
          <w:i/>
          <w:color w:val="000000"/>
          <w:spacing w:val="2"/>
          <w:sz w:val="26"/>
          <w:szCs w:val="26"/>
        </w:rPr>
        <w:t xml:space="preserve">Id.  </w:t>
      </w:r>
      <w:r w:rsidRPr="003853FC">
        <w:rPr>
          <w:rFonts w:ascii="Times New Roman" w:eastAsia="Times New Roman" w:hAnsi="Times New Roman"/>
          <w:color w:val="000000"/>
          <w:spacing w:val="2"/>
          <w:sz w:val="26"/>
          <w:szCs w:val="26"/>
        </w:rPr>
        <w:t xml:space="preserve">By requiring suppliers to provide a starting price, before those costs are known or </w:t>
      </w:r>
      <w:r w:rsidRPr="003853FC">
        <w:rPr>
          <w:rFonts w:ascii="Times New Roman" w:eastAsia="Times New Roman" w:hAnsi="Times New Roman"/>
          <w:color w:val="000000"/>
          <w:spacing w:val="2"/>
          <w:sz w:val="26"/>
          <w:szCs w:val="26"/>
        </w:rPr>
        <w:lastRenderedPageBreak/>
        <w:t xml:space="preserve">knowable, the Commission would require the supplier to estimate </w:t>
      </w:r>
      <w:r w:rsidR="00066B75">
        <w:rPr>
          <w:rFonts w:ascii="Times New Roman" w:eastAsia="Times New Roman" w:hAnsi="Times New Roman"/>
          <w:color w:val="000000"/>
          <w:spacing w:val="2"/>
          <w:sz w:val="26"/>
          <w:szCs w:val="26"/>
        </w:rPr>
        <w:t xml:space="preserve">future </w:t>
      </w:r>
      <w:r w:rsidRPr="003853FC">
        <w:rPr>
          <w:rFonts w:ascii="Times New Roman" w:eastAsia="Times New Roman" w:hAnsi="Times New Roman"/>
          <w:color w:val="000000"/>
          <w:spacing w:val="2"/>
          <w:sz w:val="26"/>
          <w:szCs w:val="26"/>
        </w:rPr>
        <w:t xml:space="preserve">costs and </w:t>
      </w:r>
      <w:r w:rsidR="00066B75" w:rsidRPr="003853FC">
        <w:rPr>
          <w:rFonts w:ascii="Times New Roman" w:eastAsia="Times New Roman" w:hAnsi="Times New Roman"/>
          <w:color w:val="000000"/>
          <w:spacing w:val="2"/>
          <w:sz w:val="26"/>
          <w:szCs w:val="26"/>
        </w:rPr>
        <w:t>th</w:t>
      </w:r>
      <w:r w:rsidR="00066B75">
        <w:rPr>
          <w:rFonts w:ascii="Times New Roman" w:eastAsia="Times New Roman" w:hAnsi="Times New Roman"/>
          <w:color w:val="000000"/>
          <w:spacing w:val="2"/>
          <w:sz w:val="26"/>
          <w:szCs w:val="26"/>
        </w:rPr>
        <w:t>us</w:t>
      </w:r>
      <w:r w:rsidR="00066B75" w:rsidRPr="003853FC">
        <w:rPr>
          <w:rFonts w:ascii="Times New Roman" w:eastAsia="Times New Roman" w:hAnsi="Times New Roman"/>
          <w:color w:val="000000"/>
          <w:spacing w:val="2"/>
          <w:sz w:val="26"/>
          <w:szCs w:val="26"/>
        </w:rPr>
        <w:t xml:space="preserve"> </w:t>
      </w:r>
      <w:r w:rsidR="00066B75">
        <w:rPr>
          <w:rFonts w:ascii="Times New Roman" w:eastAsia="Times New Roman" w:hAnsi="Times New Roman"/>
          <w:color w:val="000000"/>
          <w:spacing w:val="2"/>
          <w:sz w:val="26"/>
          <w:szCs w:val="26"/>
        </w:rPr>
        <w:t>take</w:t>
      </w:r>
      <w:r w:rsidR="00955B48">
        <w:rPr>
          <w:rFonts w:ascii="Times New Roman" w:eastAsia="Times New Roman" w:hAnsi="Times New Roman"/>
          <w:color w:val="000000"/>
          <w:spacing w:val="2"/>
          <w:sz w:val="26"/>
          <w:szCs w:val="26"/>
        </w:rPr>
        <w:t xml:space="preserve"> on </w:t>
      </w:r>
      <w:r w:rsidRPr="003853FC">
        <w:rPr>
          <w:rFonts w:ascii="Times New Roman" w:eastAsia="Times New Roman" w:hAnsi="Times New Roman"/>
          <w:color w:val="000000"/>
          <w:spacing w:val="2"/>
          <w:sz w:val="26"/>
          <w:szCs w:val="26"/>
        </w:rPr>
        <w:t>risk for at least one billing cycle</w:t>
      </w:r>
      <w:r w:rsidRPr="003853FC">
        <w:rPr>
          <w:rFonts w:ascii="Times New Roman" w:eastAsia="Times New Roman" w:hAnsi="Times New Roman"/>
          <w:noProof/>
          <w:color w:val="000000"/>
          <w:spacing w:val="2"/>
          <w:sz w:val="26"/>
          <w:szCs w:val="26"/>
          <w:lang w:bidi="ar-SA"/>
        </w:rPr>
        <mc:AlternateContent>
          <mc:Choice Requires="wps">
            <w:drawing>
              <wp:anchor distT="0" distB="0" distL="0" distR="0" simplePos="0" relativeHeight="251659264" behindDoc="1" locked="0" layoutInCell="1" allowOverlap="1" wp14:anchorId="26059C6E" wp14:editId="404EDC69">
                <wp:simplePos x="0" y="0"/>
                <wp:positionH relativeFrom="page">
                  <wp:posOffset>3792855</wp:posOffset>
                </wp:positionH>
                <wp:positionV relativeFrom="page">
                  <wp:posOffset>9235440</wp:posOffset>
                </wp:positionV>
                <wp:extent cx="174625" cy="1454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F64" w:rsidRDefault="009D7F64" w:rsidP="001A1513">
                            <w:pPr>
                              <w:spacing w:line="216" w:lineRule="exact"/>
                              <w:textAlignment w:val="baseline"/>
                              <w:rPr>
                                <w:rFonts w:eastAsia="Times New Roman"/>
                                <w:color w:val="0000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8.65pt;margin-top:727.2pt;width:13.75pt;height:11.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9ocqwIAAKgFAAAOAAAAZHJzL2Uyb0RvYy54bWysVG1vmzAQ/j5p/8HydwokzgsopGpDmCZ1&#10;L1K7H+CACdbAZrYT6Kb9951NSNNWk6ZtfLAO+/zcPXePb3XdNzU6MqW5FAkOrwKMmMhlwcU+wV8e&#10;Mm+JkTZUFLSWgiX4kWl8vX77ZtW1MZvIStYFUwhAhI67NsGVMW3s+zqvWEP1lWyZgMNSqoYa+FV7&#10;v1C0A/Sm9idBMPc7qYpWyZxpDbvpcIjXDr8sWW4+laVmBtUJhtyMW5Vbd3b11ysa7xVtK56f0qB/&#10;kUVDuYCgZ6iUGooOir+CaniupJalucpl48uy5DlzHIBNGLxgc1/RljkuUBzdnsuk/x9s/vH4WSFe&#10;JHiKkaANtOiB9Qbdyh5NbXW6VsfgdN+Cm+lhG7rsmOr2TuZfNRJyU1GxZzdKya5itIDsQnvTv7g6&#10;4GgLsus+yALC0IORDqgvVWNLB8VAgA5dejx3xqaS25ALMp/MMMrhKCQzEs5cBBqPl1ulzTsmG2SN&#10;BCtovAOnxzttbDI0Hl1sLCEzXteu+bV4tgGOww6Ehqv2zCbhevkjCqLtcrskHpnMtx4J0tS7yTbE&#10;m2fhYpZO080mDX/auCGJK14UTNgwo65C8md9Oyl8UMRZWVrWvLBwNiWt9rtNrdCRgq4z950KcuHm&#10;P0/DFQG4vKAUTkhwO4m8bL5ceCQjMy9aBEsvCKPbaB6QiKTZc0p3XLB/p4S6BEcz6Kmj81tugfte&#10;c6Nxww1Mjpo3CV6enWhsFbgVhWutobwe7ItS2PSfSgHtHhvt9GolOojV9LseUKyId7J4BOUqCcoC&#10;ecK4A6OS6jtGHYyOBOtvB6oYRvV7Aeq3c2Y01GjsRoOKHK4m2GA0mBszzKNDq/i+AuThfQl5Ay+k&#10;5E69T1mc3hWMA0fiNLrsvLn8d15PA3b9CwAA//8DAFBLAwQUAAYACAAAACEAJqGlf+EAAAANAQAA&#10;DwAAAGRycy9kb3ducmV2LnhtbEyPwU7DMBBE70j8g7VI3KhDSdM2xKkqBCckRBoOPTrJNrEar0Ps&#10;tuHv2Z7guDOj2TfZZrK9OOPojSMFj7MIBFLtGkOtgq/y7WEFwgdNje4doYIf9LDJb28ynTbuQgWe&#10;d6EVXEI+1Qq6EIZUSl93aLWfuQGJvYMbrQ58jq1sRn3hctvLeRQl0mpD/KHTA750WB93J6tgu6fi&#10;1Xx/VJ/FoTBluY7oPTkqdX83bZ9BBJzCXxiu+IwOOTNV7kSNF72CxXr5xFE24kUcg+BIMo95TXWV&#10;lmzKPJP/V+S/AAAA//8DAFBLAQItABQABgAIAAAAIQC2gziS/gAAAOEBAAATAAAAAAAAAAAAAAAA&#10;AAAAAABbQ29udGVudF9UeXBlc10ueG1sUEsBAi0AFAAGAAgAAAAhADj9If/WAAAAlAEAAAsAAAAA&#10;AAAAAAAAAAAALwEAAF9yZWxzLy5yZWxzUEsBAi0AFAAGAAgAAAAhAN5L2hyrAgAAqAUAAA4AAAAA&#10;AAAAAAAAAAAALgIAAGRycy9lMm9Eb2MueG1sUEsBAi0AFAAGAAgAAAAhACahpX/hAAAADQEAAA8A&#10;AAAAAAAAAAAAAAAABQUAAGRycy9kb3ducmV2LnhtbFBLBQYAAAAABAAEAPMAAAATBgAAAAA=&#10;" filled="f" stroked="f">
                <v:textbox inset="0,0,0,0">
                  <w:txbxContent>
                    <w:p w:rsidR="009D7F64" w:rsidRDefault="009D7F64" w:rsidP="001A1513">
                      <w:pPr>
                        <w:spacing w:line="216" w:lineRule="exact"/>
                        <w:textAlignment w:val="baseline"/>
                        <w:rPr>
                          <w:rFonts w:eastAsia="Times New Roman"/>
                          <w:color w:val="000000"/>
                          <w:sz w:val="20"/>
                        </w:rPr>
                      </w:pPr>
                    </w:p>
                  </w:txbxContent>
                </v:textbox>
                <w10:wrap type="square" anchorx="page" anchory="page"/>
              </v:shape>
            </w:pict>
          </mc:Fallback>
        </mc:AlternateContent>
      </w:r>
      <w:r w:rsidRPr="003853FC">
        <w:rPr>
          <w:rFonts w:ascii="Times New Roman" w:eastAsia="Times New Roman" w:hAnsi="Times New Roman"/>
          <w:color w:val="000000"/>
          <w:spacing w:val="2"/>
          <w:sz w:val="26"/>
          <w:szCs w:val="26"/>
        </w:rPr>
        <w:t>.</w:t>
      </w:r>
      <w:r w:rsidR="00066B75">
        <w:rPr>
          <w:rFonts w:ascii="Times New Roman" w:eastAsia="Times New Roman" w:hAnsi="Times New Roman"/>
          <w:color w:val="000000"/>
          <w:spacing w:val="2"/>
          <w:sz w:val="26"/>
          <w:szCs w:val="26"/>
        </w:rPr>
        <w:t xml:space="preserve">  </w:t>
      </w:r>
      <w:r w:rsidR="00066B75">
        <w:rPr>
          <w:rFonts w:ascii="Times New Roman" w:eastAsia="Times New Roman" w:hAnsi="Times New Roman"/>
          <w:i/>
          <w:color w:val="000000"/>
          <w:spacing w:val="2"/>
          <w:sz w:val="26"/>
          <w:szCs w:val="26"/>
        </w:rPr>
        <w:t>Id.</w:t>
      </w:r>
      <w:r w:rsidR="00066B75">
        <w:rPr>
          <w:rFonts w:ascii="Times New Roman" w:eastAsia="Times New Roman" w:hAnsi="Times New Roman"/>
          <w:color w:val="000000"/>
          <w:spacing w:val="2"/>
          <w:sz w:val="26"/>
          <w:szCs w:val="26"/>
        </w:rPr>
        <w:t xml:space="preserve"> at 4-5.</w:t>
      </w:r>
      <w:r w:rsidRPr="003853FC">
        <w:rPr>
          <w:rFonts w:ascii="Times New Roman" w:eastAsia="Times New Roman" w:hAnsi="Times New Roman"/>
          <w:color w:val="000000"/>
          <w:spacing w:val="2"/>
          <w:sz w:val="26"/>
          <w:szCs w:val="26"/>
        </w:rPr>
        <w:t xml:space="preserve">  The NGS Parties understand the customer's need to know the price in order to make accurate comparisons of one supplier's fixed rate offering to another; however, some customers have difficulty understanding that</w:t>
      </w:r>
      <w:r w:rsidR="00066B75">
        <w:rPr>
          <w:rFonts w:ascii="Times New Roman" w:eastAsia="Times New Roman" w:hAnsi="Times New Roman"/>
          <w:color w:val="000000"/>
          <w:spacing w:val="2"/>
          <w:sz w:val="26"/>
          <w:szCs w:val="26"/>
        </w:rPr>
        <w:t xml:space="preserve"> an advance price notification for one billing cycle may not be indicative of prices in future billing cycles.  </w:t>
      </w:r>
      <w:r w:rsidR="00066B75">
        <w:rPr>
          <w:rFonts w:ascii="Times New Roman" w:eastAsia="Times New Roman" w:hAnsi="Times New Roman"/>
          <w:i/>
          <w:color w:val="000000"/>
          <w:spacing w:val="2"/>
          <w:sz w:val="26"/>
          <w:szCs w:val="26"/>
        </w:rPr>
        <w:t>Id.</w:t>
      </w:r>
      <w:r w:rsidR="00066B75">
        <w:rPr>
          <w:rFonts w:ascii="Times New Roman" w:eastAsia="Times New Roman" w:hAnsi="Times New Roman"/>
          <w:color w:val="000000"/>
          <w:spacing w:val="2"/>
          <w:sz w:val="26"/>
          <w:szCs w:val="26"/>
        </w:rPr>
        <w:t xml:space="preserve"> </w:t>
      </w:r>
      <w:r w:rsidRPr="003853FC">
        <w:rPr>
          <w:rFonts w:ascii="Times New Roman" w:eastAsia="Times New Roman" w:hAnsi="Times New Roman"/>
          <w:color w:val="000000"/>
          <w:spacing w:val="2"/>
          <w:sz w:val="26"/>
          <w:szCs w:val="26"/>
        </w:rPr>
        <w:t xml:space="preserve">  The NGS Parties </w:t>
      </w:r>
      <w:r w:rsidR="00066B75">
        <w:rPr>
          <w:rFonts w:ascii="Times New Roman" w:eastAsia="Times New Roman" w:hAnsi="Times New Roman"/>
          <w:color w:val="000000"/>
          <w:spacing w:val="2"/>
          <w:sz w:val="26"/>
          <w:szCs w:val="26"/>
        </w:rPr>
        <w:t xml:space="preserve">contend that it may </w:t>
      </w:r>
      <w:r w:rsidRPr="003853FC">
        <w:rPr>
          <w:rFonts w:ascii="Times New Roman" w:eastAsia="Times New Roman" w:hAnsi="Times New Roman"/>
          <w:color w:val="000000"/>
          <w:spacing w:val="2"/>
          <w:sz w:val="26"/>
          <w:szCs w:val="26"/>
        </w:rPr>
        <w:t xml:space="preserve">be better for </w:t>
      </w:r>
      <w:r w:rsidR="00207D03">
        <w:rPr>
          <w:rFonts w:ascii="Times New Roman" w:eastAsia="Times New Roman" w:hAnsi="Times New Roman"/>
          <w:color w:val="000000"/>
          <w:spacing w:val="2"/>
          <w:sz w:val="26"/>
          <w:szCs w:val="26"/>
        </w:rPr>
        <w:t xml:space="preserve">a </w:t>
      </w:r>
      <w:r w:rsidR="00066B75" w:rsidRPr="003853FC">
        <w:rPr>
          <w:rFonts w:ascii="Times New Roman" w:eastAsia="Times New Roman" w:hAnsi="Times New Roman"/>
          <w:color w:val="000000"/>
          <w:spacing w:val="2"/>
          <w:sz w:val="26"/>
          <w:szCs w:val="26"/>
        </w:rPr>
        <w:t>supplier</w:t>
      </w:r>
      <w:r w:rsidR="00066B75">
        <w:rPr>
          <w:rFonts w:ascii="Times New Roman" w:eastAsia="Times New Roman" w:hAnsi="Times New Roman"/>
          <w:color w:val="000000"/>
          <w:spacing w:val="2"/>
          <w:sz w:val="26"/>
          <w:szCs w:val="26"/>
        </w:rPr>
        <w:t xml:space="preserve"> to </w:t>
      </w:r>
      <w:r w:rsidR="00EC1DB9">
        <w:rPr>
          <w:rFonts w:ascii="Times New Roman" w:eastAsia="Times New Roman" w:hAnsi="Times New Roman"/>
          <w:color w:val="000000"/>
          <w:spacing w:val="2"/>
          <w:sz w:val="26"/>
          <w:szCs w:val="26"/>
        </w:rPr>
        <w:t xml:space="preserve">adequately </w:t>
      </w:r>
      <w:r w:rsidR="00066B75" w:rsidRPr="003853FC">
        <w:rPr>
          <w:rFonts w:ascii="Times New Roman" w:eastAsia="Times New Roman" w:hAnsi="Times New Roman"/>
          <w:color w:val="000000"/>
          <w:spacing w:val="2"/>
          <w:sz w:val="26"/>
          <w:szCs w:val="26"/>
        </w:rPr>
        <w:t>explain</w:t>
      </w:r>
      <w:r w:rsidR="00066B75">
        <w:rPr>
          <w:rFonts w:ascii="Times New Roman" w:eastAsia="Times New Roman" w:hAnsi="Times New Roman"/>
          <w:color w:val="000000"/>
          <w:spacing w:val="2"/>
          <w:sz w:val="26"/>
          <w:szCs w:val="26"/>
        </w:rPr>
        <w:t xml:space="preserve"> </w:t>
      </w:r>
      <w:r w:rsidR="00066B75" w:rsidRPr="003853FC">
        <w:rPr>
          <w:rFonts w:ascii="Times New Roman" w:eastAsia="Times New Roman" w:hAnsi="Times New Roman"/>
          <w:color w:val="000000"/>
          <w:spacing w:val="2"/>
          <w:sz w:val="26"/>
          <w:szCs w:val="26"/>
        </w:rPr>
        <w:t>t</w:t>
      </w:r>
      <w:r w:rsidR="00EC1DB9">
        <w:rPr>
          <w:rFonts w:ascii="Times New Roman" w:eastAsia="Times New Roman" w:hAnsi="Times New Roman"/>
          <w:color w:val="000000"/>
          <w:spacing w:val="2"/>
          <w:sz w:val="26"/>
          <w:szCs w:val="26"/>
        </w:rPr>
        <w:t>his to</w:t>
      </w:r>
      <w:r w:rsidR="00066B75" w:rsidRPr="003853FC">
        <w:rPr>
          <w:rFonts w:ascii="Times New Roman" w:eastAsia="Times New Roman" w:hAnsi="Times New Roman"/>
          <w:color w:val="000000"/>
          <w:spacing w:val="2"/>
          <w:sz w:val="26"/>
          <w:szCs w:val="26"/>
        </w:rPr>
        <w:t xml:space="preserve"> the customer </w:t>
      </w:r>
      <w:r w:rsidRPr="003853FC">
        <w:rPr>
          <w:rFonts w:ascii="Times New Roman" w:eastAsia="Times New Roman" w:hAnsi="Times New Roman"/>
          <w:color w:val="000000"/>
          <w:spacing w:val="2"/>
          <w:sz w:val="26"/>
          <w:szCs w:val="26"/>
        </w:rPr>
        <w:t xml:space="preserve">rather than </w:t>
      </w:r>
      <w:r w:rsidR="00EC1DB9">
        <w:rPr>
          <w:rFonts w:ascii="Times New Roman" w:eastAsia="Times New Roman" w:hAnsi="Times New Roman"/>
          <w:color w:val="000000"/>
          <w:spacing w:val="2"/>
          <w:sz w:val="26"/>
          <w:szCs w:val="26"/>
        </w:rPr>
        <w:t xml:space="preserve">forcing </w:t>
      </w:r>
      <w:r w:rsidRPr="003853FC">
        <w:rPr>
          <w:rFonts w:ascii="Times New Roman" w:eastAsia="Times New Roman" w:hAnsi="Times New Roman"/>
          <w:color w:val="000000"/>
          <w:spacing w:val="2"/>
          <w:sz w:val="26"/>
          <w:szCs w:val="26"/>
        </w:rPr>
        <w:t xml:space="preserve">the supplier </w:t>
      </w:r>
      <w:r w:rsidR="00EC1DB9">
        <w:rPr>
          <w:rFonts w:ascii="Times New Roman" w:eastAsia="Times New Roman" w:hAnsi="Times New Roman"/>
          <w:color w:val="000000"/>
          <w:spacing w:val="2"/>
          <w:sz w:val="26"/>
          <w:szCs w:val="26"/>
        </w:rPr>
        <w:t xml:space="preserve">to </w:t>
      </w:r>
      <w:r w:rsidRPr="003853FC">
        <w:rPr>
          <w:rFonts w:ascii="Times New Roman" w:eastAsia="Times New Roman" w:hAnsi="Times New Roman"/>
          <w:color w:val="000000"/>
          <w:spacing w:val="2"/>
          <w:sz w:val="26"/>
          <w:szCs w:val="26"/>
        </w:rPr>
        <w:t>fix a rate for the first</w:t>
      </w:r>
      <w:r w:rsidR="00066B75">
        <w:rPr>
          <w:rFonts w:ascii="Times New Roman" w:eastAsia="Times New Roman" w:hAnsi="Times New Roman"/>
          <w:color w:val="000000"/>
          <w:spacing w:val="2"/>
          <w:sz w:val="26"/>
          <w:szCs w:val="26"/>
        </w:rPr>
        <w:t xml:space="preserve"> month.  </w:t>
      </w:r>
      <w:r w:rsidR="00066B75">
        <w:rPr>
          <w:rFonts w:ascii="Times New Roman" w:eastAsia="Times New Roman" w:hAnsi="Times New Roman"/>
          <w:i/>
          <w:color w:val="000000"/>
          <w:spacing w:val="2"/>
          <w:sz w:val="26"/>
          <w:szCs w:val="26"/>
        </w:rPr>
        <w:t>Id.</w:t>
      </w:r>
      <w:r w:rsidR="00066B75">
        <w:rPr>
          <w:rFonts w:ascii="Times New Roman" w:eastAsia="Times New Roman" w:hAnsi="Times New Roman"/>
          <w:color w:val="000000"/>
          <w:spacing w:val="2"/>
          <w:sz w:val="26"/>
          <w:szCs w:val="26"/>
        </w:rPr>
        <w:t xml:space="preserve">  </w:t>
      </w:r>
    </w:p>
    <w:p w:rsidR="00D9263A" w:rsidRPr="003853FC" w:rsidRDefault="00D9263A" w:rsidP="001A1513">
      <w:pPr>
        <w:spacing w:line="360" w:lineRule="auto"/>
        <w:rPr>
          <w:rFonts w:ascii="Times New Roman" w:eastAsia="Times New Roman" w:hAnsi="Times New Roman"/>
          <w:color w:val="000000"/>
          <w:spacing w:val="2"/>
          <w:sz w:val="26"/>
          <w:szCs w:val="26"/>
        </w:rPr>
      </w:pPr>
    </w:p>
    <w:p w:rsidR="001A1513" w:rsidRPr="003853FC" w:rsidRDefault="001A1513" w:rsidP="00D9263A">
      <w:pPr>
        <w:spacing w:line="360" w:lineRule="auto"/>
        <w:ind w:firstLine="720"/>
        <w:rPr>
          <w:rFonts w:ascii="Times New Roman" w:eastAsia="Times New Roman" w:hAnsi="Times New Roman"/>
          <w:color w:val="000000"/>
          <w:sz w:val="26"/>
          <w:szCs w:val="26"/>
        </w:rPr>
      </w:pPr>
      <w:r w:rsidRPr="003853FC">
        <w:rPr>
          <w:rFonts w:ascii="Times New Roman" w:eastAsia="Times New Roman" w:hAnsi="Times New Roman"/>
          <w:color w:val="000000"/>
          <w:spacing w:val="2"/>
          <w:sz w:val="26"/>
          <w:szCs w:val="26"/>
        </w:rPr>
        <w:t>Additionally, s</w:t>
      </w:r>
      <w:r w:rsidRPr="003853FC">
        <w:rPr>
          <w:rFonts w:ascii="Times New Roman" w:eastAsia="Times New Roman" w:hAnsi="Times New Roman"/>
          <w:color w:val="000000"/>
          <w:sz w:val="26"/>
          <w:szCs w:val="26"/>
        </w:rPr>
        <w:t xml:space="preserve">o long as the Commission does not seek to regulate when suppliers </w:t>
      </w:r>
      <w:r w:rsidR="00EC1DB9">
        <w:rPr>
          <w:rFonts w:ascii="Times New Roman" w:eastAsia="Times New Roman" w:hAnsi="Times New Roman"/>
          <w:color w:val="000000"/>
          <w:sz w:val="26"/>
          <w:szCs w:val="26"/>
        </w:rPr>
        <w:t>may</w:t>
      </w:r>
      <w:r w:rsidRPr="003853FC">
        <w:rPr>
          <w:rFonts w:ascii="Times New Roman" w:eastAsia="Times New Roman" w:hAnsi="Times New Roman"/>
          <w:color w:val="000000"/>
          <w:sz w:val="26"/>
          <w:szCs w:val="26"/>
        </w:rPr>
        <w:t xml:space="preserve"> calculate a price, the NGS Parties believe that a regulation </w:t>
      </w:r>
      <w:r w:rsidR="00EC1DB9">
        <w:rPr>
          <w:rFonts w:ascii="Times New Roman" w:eastAsia="Times New Roman" w:hAnsi="Times New Roman"/>
          <w:color w:val="000000"/>
          <w:sz w:val="26"/>
          <w:szCs w:val="26"/>
        </w:rPr>
        <w:t>informing</w:t>
      </w:r>
      <w:r w:rsidRPr="003853FC">
        <w:rPr>
          <w:rFonts w:ascii="Times New Roman" w:eastAsia="Times New Roman" w:hAnsi="Times New Roman"/>
          <w:color w:val="000000"/>
          <w:sz w:val="26"/>
          <w:szCs w:val="26"/>
        </w:rPr>
        <w:t xml:space="preserve"> the customer when the </w:t>
      </w:r>
      <w:r w:rsidR="00EC1DB9">
        <w:rPr>
          <w:rFonts w:ascii="Times New Roman" w:eastAsia="Times New Roman" w:hAnsi="Times New Roman"/>
          <w:color w:val="000000"/>
          <w:sz w:val="26"/>
          <w:szCs w:val="26"/>
        </w:rPr>
        <w:t>price will be calculated may effectively educate and empower the customer to know the customer’s</w:t>
      </w:r>
      <w:r w:rsidRPr="003853FC">
        <w:rPr>
          <w:rFonts w:ascii="Times New Roman" w:eastAsia="Times New Roman" w:hAnsi="Times New Roman"/>
          <w:color w:val="000000"/>
          <w:sz w:val="26"/>
          <w:szCs w:val="26"/>
        </w:rPr>
        <w:t xml:space="preserve"> exposure</w:t>
      </w:r>
      <w:r w:rsidR="00EC1DB9">
        <w:rPr>
          <w:rFonts w:ascii="Times New Roman" w:eastAsia="Times New Roman" w:hAnsi="Times New Roman"/>
          <w:color w:val="000000"/>
          <w:sz w:val="26"/>
          <w:szCs w:val="26"/>
        </w:rPr>
        <w:t xml:space="preserve"> to potential market or price volatility</w:t>
      </w:r>
      <w:r w:rsidRPr="003853FC">
        <w:rPr>
          <w:rFonts w:ascii="Times New Roman" w:eastAsia="Times New Roman" w:hAnsi="Times New Roman"/>
          <w:color w:val="000000"/>
          <w:sz w:val="26"/>
          <w:szCs w:val="26"/>
        </w:rPr>
        <w:t xml:space="preserve">.  </w:t>
      </w:r>
      <w:proofErr w:type="gramStart"/>
      <w:r w:rsidR="006B337D">
        <w:rPr>
          <w:rFonts w:ascii="Times New Roman" w:eastAsia="Times New Roman" w:hAnsi="Times New Roman"/>
          <w:i/>
          <w:color w:val="000000"/>
          <w:sz w:val="26"/>
          <w:szCs w:val="26"/>
        </w:rPr>
        <w:t>Id.</w:t>
      </w:r>
      <w:r w:rsidRPr="003853FC">
        <w:rPr>
          <w:rFonts w:ascii="Times New Roman" w:eastAsia="Times New Roman" w:hAnsi="Times New Roman"/>
          <w:color w:val="000000"/>
          <w:sz w:val="26"/>
          <w:szCs w:val="26"/>
        </w:rPr>
        <w:t xml:space="preserve"> at 6.</w:t>
      </w:r>
      <w:proofErr w:type="gramEnd"/>
      <w:r w:rsidRPr="003853FC">
        <w:rPr>
          <w:rFonts w:ascii="Times New Roman" w:eastAsia="Times New Roman" w:hAnsi="Times New Roman"/>
          <w:color w:val="000000"/>
          <w:sz w:val="26"/>
          <w:szCs w:val="26"/>
        </w:rPr>
        <w:t xml:space="preserve">  However, </w:t>
      </w:r>
      <w:r w:rsidR="00EC1DB9">
        <w:rPr>
          <w:rFonts w:ascii="Times New Roman" w:eastAsia="Times New Roman" w:hAnsi="Times New Roman"/>
          <w:color w:val="000000"/>
          <w:sz w:val="26"/>
          <w:szCs w:val="26"/>
        </w:rPr>
        <w:t xml:space="preserve">as to the provision of </w:t>
      </w:r>
      <w:r w:rsidRPr="003853FC">
        <w:rPr>
          <w:rFonts w:ascii="Times New Roman" w:eastAsia="Times New Roman" w:hAnsi="Times New Roman"/>
          <w:color w:val="000000"/>
          <w:sz w:val="26"/>
          <w:szCs w:val="26"/>
        </w:rPr>
        <w:t>historical pricing data, the NGS Parties ask</w:t>
      </w:r>
      <w:r w:rsidR="006B337D">
        <w:rPr>
          <w:rFonts w:ascii="Times New Roman" w:eastAsia="Times New Roman" w:hAnsi="Times New Roman"/>
          <w:color w:val="000000"/>
          <w:sz w:val="26"/>
          <w:szCs w:val="26"/>
        </w:rPr>
        <w:t>:</w:t>
      </w:r>
      <w:r w:rsidRPr="003853FC">
        <w:rPr>
          <w:rFonts w:ascii="Times New Roman" w:eastAsia="Times New Roman" w:hAnsi="Times New Roman"/>
          <w:color w:val="000000"/>
          <w:sz w:val="26"/>
          <w:szCs w:val="26"/>
        </w:rPr>
        <w:t xml:space="preserve"> “why require suppliers to provide information that we all recognize may be of dubious value to customers?”</w:t>
      </w:r>
      <w:r w:rsidR="006B337D">
        <w:rPr>
          <w:rFonts w:ascii="Times New Roman" w:eastAsia="Times New Roman" w:hAnsi="Times New Roman"/>
          <w:color w:val="000000"/>
          <w:sz w:val="26"/>
          <w:szCs w:val="26"/>
        </w:rPr>
        <w:t xml:space="preserve">  </w:t>
      </w:r>
      <w:proofErr w:type="gramStart"/>
      <w:r w:rsidR="006B337D">
        <w:rPr>
          <w:rFonts w:ascii="Times New Roman" w:eastAsia="Times New Roman" w:hAnsi="Times New Roman"/>
          <w:i/>
          <w:color w:val="000000"/>
          <w:sz w:val="26"/>
          <w:szCs w:val="26"/>
        </w:rPr>
        <w:t>Id.</w:t>
      </w:r>
      <w:r w:rsidR="00EC1DB9">
        <w:rPr>
          <w:rFonts w:ascii="Times New Roman" w:eastAsia="Times New Roman" w:hAnsi="Times New Roman"/>
          <w:color w:val="000000"/>
          <w:sz w:val="26"/>
          <w:szCs w:val="26"/>
        </w:rPr>
        <w:t xml:space="preserve"> at 7.</w:t>
      </w:r>
      <w:proofErr w:type="gramEnd"/>
      <w:r w:rsidRPr="003853FC">
        <w:rPr>
          <w:rFonts w:ascii="Times New Roman" w:eastAsia="Times New Roman" w:hAnsi="Times New Roman"/>
          <w:color w:val="000000"/>
          <w:sz w:val="26"/>
          <w:szCs w:val="26"/>
        </w:rPr>
        <w:t xml:space="preserve">  The</w:t>
      </w:r>
      <w:r w:rsidR="00EC1DB9">
        <w:rPr>
          <w:rFonts w:ascii="Times New Roman" w:eastAsia="Times New Roman" w:hAnsi="Times New Roman"/>
          <w:color w:val="000000"/>
          <w:sz w:val="26"/>
          <w:szCs w:val="26"/>
        </w:rPr>
        <w:t xml:space="preserve"> NGS Parties</w:t>
      </w:r>
      <w:r w:rsidRPr="003853FC">
        <w:rPr>
          <w:rFonts w:ascii="Times New Roman" w:eastAsia="Times New Roman" w:hAnsi="Times New Roman"/>
          <w:color w:val="000000"/>
          <w:sz w:val="26"/>
          <w:szCs w:val="26"/>
        </w:rPr>
        <w:t xml:space="preserve"> believe that </w:t>
      </w:r>
      <w:r w:rsidR="00EC1DB9">
        <w:rPr>
          <w:rFonts w:ascii="Times New Roman" w:eastAsia="Times New Roman" w:hAnsi="Times New Roman"/>
          <w:color w:val="000000"/>
          <w:sz w:val="26"/>
          <w:szCs w:val="26"/>
        </w:rPr>
        <w:t>24</w:t>
      </w:r>
      <w:r w:rsidRPr="003853FC">
        <w:rPr>
          <w:rFonts w:ascii="Times New Roman" w:eastAsia="Times New Roman" w:hAnsi="Times New Roman"/>
          <w:color w:val="000000"/>
          <w:sz w:val="26"/>
          <w:szCs w:val="26"/>
        </w:rPr>
        <w:t xml:space="preserve"> months of history may not provide c</w:t>
      </w:r>
      <w:r w:rsidR="006B337D">
        <w:rPr>
          <w:rFonts w:ascii="Times New Roman" w:eastAsia="Times New Roman" w:hAnsi="Times New Roman"/>
          <w:color w:val="000000"/>
          <w:sz w:val="26"/>
          <w:szCs w:val="26"/>
        </w:rPr>
        <w:t xml:space="preserve">ustomers with any real basis for </w:t>
      </w:r>
      <w:r w:rsidRPr="003853FC">
        <w:rPr>
          <w:rFonts w:ascii="Times New Roman" w:eastAsia="Times New Roman" w:hAnsi="Times New Roman"/>
          <w:color w:val="000000"/>
          <w:sz w:val="26"/>
          <w:szCs w:val="26"/>
        </w:rPr>
        <w:t>determi</w:t>
      </w:r>
      <w:r w:rsidR="006B337D">
        <w:rPr>
          <w:rFonts w:ascii="Times New Roman" w:eastAsia="Times New Roman" w:hAnsi="Times New Roman"/>
          <w:color w:val="000000"/>
          <w:sz w:val="26"/>
          <w:szCs w:val="26"/>
        </w:rPr>
        <w:t>ning</w:t>
      </w:r>
      <w:r w:rsidR="00207D03">
        <w:rPr>
          <w:rFonts w:ascii="Times New Roman" w:eastAsia="Times New Roman" w:hAnsi="Times New Roman"/>
          <w:color w:val="000000"/>
          <w:sz w:val="26"/>
          <w:szCs w:val="26"/>
        </w:rPr>
        <w:t xml:space="preserve"> </w:t>
      </w:r>
      <w:r w:rsidR="00EC1DB9">
        <w:rPr>
          <w:rFonts w:ascii="Times New Roman" w:eastAsia="Times New Roman" w:hAnsi="Times New Roman"/>
          <w:color w:val="000000"/>
          <w:sz w:val="26"/>
          <w:szCs w:val="26"/>
        </w:rPr>
        <w:t>future prices</w:t>
      </w:r>
      <w:r w:rsidRPr="003853FC">
        <w:rPr>
          <w:rFonts w:ascii="Times New Roman" w:eastAsia="Times New Roman" w:hAnsi="Times New Roman"/>
          <w:color w:val="000000"/>
          <w:sz w:val="26"/>
          <w:szCs w:val="26"/>
        </w:rPr>
        <w:t xml:space="preserve"> and may result in customers reaching incorrect conclusions.  </w:t>
      </w:r>
      <w:r w:rsidR="00EC1DB9">
        <w:rPr>
          <w:rFonts w:ascii="Times New Roman" w:eastAsia="Times New Roman" w:hAnsi="Times New Roman"/>
          <w:i/>
          <w:color w:val="000000"/>
          <w:sz w:val="26"/>
          <w:szCs w:val="26"/>
        </w:rPr>
        <w:t>Id</w:t>
      </w:r>
      <w:r w:rsidRPr="003853FC">
        <w:rPr>
          <w:rFonts w:ascii="Times New Roman" w:eastAsia="Times New Roman" w:hAnsi="Times New Roman"/>
          <w:color w:val="000000"/>
          <w:sz w:val="26"/>
          <w:szCs w:val="26"/>
        </w:rPr>
        <w:t>.</w:t>
      </w:r>
    </w:p>
    <w:p w:rsidR="00D9263A" w:rsidRDefault="00D9263A" w:rsidP="001A1513">
      <w:pPr>
        <w:spacing w:line="360" w:lineRule="auto"/>
        <w:rPr>
          <w:rFonts w:ascii="Times New Roman" w:eastAsia="Times New Roman" w:hAnsi="Times New Roman"/>
          <w:color w:val="000000"/>
          <w:spacing w:val="2"/>
          <w:sz w:val="26"/>
          <w:szCs w:val="26"/>
        </w:rPr>
      </w:pPr>
    </w:p>
    <w:p w:rsidR="001A1513" w:rsidRDefault="001A1513" w:rsidP="00D9263A">
      <w:pPr>
        <w:spacing w:line="360" w:lineRule="auto"/>
        <w:ind w:firstLine="720"/>
        <w:rPr>
          <w:rFonts w:ascii="Times New Roman" w:eastAsia="Times New Roman" w:hAnsi="Times New Roman"/>
          <w:color w:val="000000"/>
          <w:spacing w:val="2"/>
          <w:sz w:val="26"/>
          <w:szCs w:val="26"/>
        </w:rPr>
      </w:pPr>
      <w:r w:rsidRPr="003853FC">
        <w:rPr>
          <w:rFonts w:ascii="Times New Roman" w:eastAsia="Times New Roman" w:hAnsi="Times New Roman"/>
          <w:color w:val="000000"/>
          <w:spacing w:val="2"/>
          <w:sz w:val="26"/>
          <w:szCs w:val="26"/>
        </w:rPr>
        <w:t>WGL Energy does</w:t>
      </w:r>
      <w:r w:rsidR="009C65AB">
        <w:rPr>
          <w:rFonts w:ascii="Times New Roman" w:eastAsia="Times New Roman" w:hAnsi="Times New Roman"/>
          <w:color w:val="000000"/>
          <w:spacing w:val="2"/>
          <w:sz w:val="26"/>
          <w:szCs w:val="26"/>
        </w:rPr>
        <w:t xml:space="preserve"> </w:t>
      </w:r>
      <w:r w:rsidRPr="003853FC">
        <w:rPr>
          <w:rFonts w:ascii="Times New Roman" w:eastAsia="Times New Roman" w:hAnsi="Times New Roman"/>
          <w:color w:val="000000"/>
          <w:spacing w:val="2"/>
          <w:sz w:val="26"/>
          <w:szCs w:val="26"/>
        </w:rPr>
        <w:t xml:space="preserve">not object </w:t>
      </w:r>
      <w:r w:rsidR="009C65AB">
        <w:rPr>
          <w:rFonts w:ascii="Times New Roman" w:eastAsia="Times New Roman" w:hAnsi="Times New Roman"/>
          <w:color w:val="000000"/>
          <w:spacing w:val="2"/>
          <w:sz w:val="26"/>
          <w:szCs w:val="26"/>
        </w:rPr>
        <w:t xml:space="preserve">to requiring an NGS to affirmatively disclose the limits or caps of a particular variable price product.  </w:t>
      </w:r>
      <w:proofErr w:type="gramStart"/>
      <w:r w:rsidR="006B337D">
        <w:rPr>
          <w:rFonts w:ascii="Times New Roman" w:eastAsia="Times New Roman" w:hAnsi="Times New Roman"/>
          <w:color w:val="000000"/>
          <w:spacing w:val="2"/>
          <w:sz w:val="26"/>
          <w:szCs w:val="26"/>
        </w:rPr>
        <w:t xml:space="preserve">WGL Energy </w:t>
      </w:r>
      <w:r w:rsidR="00EC1DB9">
        <w:rPr>
          <w:rFonts w:ascii="Times New Roman" w:eastAsia="Times New Roman" w:hAnsi="Times New Roman"/>
          <w:color w:val="000000"/>
          <w:spacing w:val="2"/>
          <w:sz w:val="26"/>
          <w:szCs w:val="26"/>
        </w:rPr>
        <w:t xml:space="preserve">Comments </w:t>
      </w:r>
      <w:r w:rsidRPr="003853FC">
        <w:rPr>
          <w:rFonts w:ascii="Times New Roman" w:eastAsia="Times New Roman" w:hAnsi="Times New Roman"/>
          <w:color w:val="000000"/>
          <w:spacing w:val="2"/>
          <w:sz w:val="26"/>
          <w:szCs w:val="26"/>
        </w:rPr>
        <w:t>at 4.</w:t>
      </w:r>
      <w:proofErr w:type="gramEnd"/>
      <w:r w:rsidRPr="003853FC">
        <w:rPr>
          <w:rFonts w:ascii="Times New Roman" w:eastAsia="Times New Roman" w:hAnsi="Times New Roman"/>
          <w:color w:val="000000"/>
          <w:spacing w:val="2"/>
          <w:sz w:val="26"/>
          <w:szCs w:val="26"/>
        </w:rPr>
        <w:t xml:space="preserve">  However, WGL Energy does not believe </w:t>
      </w:r>
      <w:r w:rsidR="009C65AB">
        <w:rPr>
          <w:rFonts w:ascii="Times New Roman" w:eastAsia="Times New Roman" w:hAnsi="Times New Roman"/>
          <w:color w:val="000000"/>
          <w:spacing w:val="2"/>
          <w:sz w:val="26"/>
          <w:szCs w:val="26"/>
        </w:rPr>
        <w:t xml:space="preserve">that an explicit statement </w:t>
      </w:r>
      <w:r w:rsidRPr="003853FC">
        <w:rPr>
          <w:rFonts w:ascii="Times New Roman" w:eastAsia="Times New Roman" w:hAnsi="Times New Roman"/>
          <w:color w:val="000000"/>
          <w:spacing w:val="2"/>
          <w:sz w:val="26"/>
          <w:szCs w:val="26"/>
        </w:rPr>
        <w:t xml:space="preserve">declaring </w:t>
      </w:r>
      <w:r w:rsidR="009C65AB">
        <w:rPr>
          <w:rFonts w:ascii="Times New Roman" w:eastAsia="Times New Roman" w:hAnsi="Times New Roman"/>
          <w:color w:val="000000"/>
          <w:spacing w:val="2"/>
          <w:sz w:val="26"/>
          <w:szCs w:val="26"/>
        </w:rPr>
        <w:t xml:space="preserve">that there are </w:t>
      </w:r>
      <w:r w:rsidR="005E06A7">
        <w:rPr>
          <w:rFonts w:ascii="Times New Roman" w:eastAsia="Times New Roman" w:hAnsi="Times New Roman"/>
          <w:color w:val="000000"/>
          <w:spacing w:val="2"/>
          <w:sz w:val="26"/>
          <w:szCs w:val="26"/>
        </w:rPr>
        <w:t>“</w:t>
      </w:r>
      <w:r w:rsidR="009C65AB">
        <w:rPr>
          <w:rFonts w:ascii="Times New Roman" w:eastAsia="Times New Roman" w:hAnsi="Times New Roman"/>
          <w:color w:val="000000"/>
          <w:spacing w:val="2"/>
          <w:sz w:val="26"/>
          <w:szCs w:val="26"/>
        </w:rPr>
        <w:t xml:space="preserve">no limits to a variable price” adds value to a customer contract.  </w:t>
      </w:r>
      <w:r w:rsidR="009C65AB">
        <w:rPr>
          <w:rFonts w:ascii="Times New Roman" w:eastAsia="Times New Roman" w:hAnsi="Times New Roman"/>
          <w:i/>
          <w:color w:val="000000"/>
          <w:spacing w:val="2"/>
          <w:sz w:val="26"/>
          <w:szCs w:val="26"/>
        </w:rPr>
        <w:t>Id.</w:t>
      </w:r>
      <w:r w:rsidR="00A52D63">
        <w:rPr>
          <w:rFonts w:ascii="Times New Roman" w:eastAsia="Times New Roman" w:hAnsi="Times New Roman"/>
          <w:color w:val="000000"/>
          <w:spacing w:val="2"/>
          <w:sz w:val="26"/>
          <w:szCs w:val="26"/>
        </w:rPr>
        <w:t xml:space="preserve">  WGL</w:t>
      </w:r>
      <w:r w:rsidR="009C65AB">
        <w:rPr>
          <w:rFonts w:ascii="Times New Roman" w:eastAsia="Times New Roman" w:hAnsi="Times New Roman"/>
          <w:color w:val="000000"/>
          <w:spacing w:val="2"/>
          <w:sz w:val="26"/>
          <w:szCs w:val="26"/>
        </w:rPr>
        <w:t xml:space="preserve"> Energy explains that statement could be misleading and discouraging to customers, especially since</w:t>
      </w:r>
      <w:r w:rsidRPr="003853FC">
        <w:rPr>
          <w:rFonts w:ascii="Times New Roman" w:eastAsia="Times New Roman" w:hAnsi="Times New Roman"/>
          <w:color w:val="000000"/>
          <w:spacing w:val="2"/>
          <w:sz w:val="26"/>
          <w:szCs w:val="26"/>
        </w:rPr>
        <w:t xml:space="preserve"> a variable rate contract </w:t>
      </w:r>
      <w:r w:rsidR="009C65AB">
        <w:rPr>
          <w:rFonts w:ascii="Times New Roman" w:eastAsia="Times New Roman" w:hAnsi="Times New Roman"/>
          <w:color w:val="000000"/>
          <w:spacing w:val="2"/>
          <w:sz w:val="26"/>
          <w:szCs w:val="26"/>
        </w:rPr>
        <w:t>may</w:t>
      </w:r>
      <w:r w:rsidRPr="003853FC">
        <w:rPr>
          <w:rFonts w:ascii="Times New Roman" w:eastAsia="Times New Roman" w:hAnsi="Times New Roman"/>
          <w:color w:val="000000"/>
          <w:spacing w:val="2"/>
          <w:sz w:val="26"/>
          <w:szCs w:val="26"/>
        </w:rPr>
        <w:t xml:space="preserve"> provide </w:t>
      </w:r>
      <w:r w:rsidR="009C65AB">
        <w:rPr>
          <w:rFonts w:ascii="Times New Roman" w:eastAsia="Times New Roman" w:hAnsi="Times New Roman"/>
          <w:color w:val="000000"/>
          <w:spacing w:val="2"/>
          <w:sz w:val="26"/>
          <w:szCs w:val="26"/>
        </w:rPr>
        <w:t xml:space="preserve">significant </w:t>
      </w:r>
      <w:r w:rsidRPr="003853FC">
        <w:rPr>
          <w:rFonts w:ascii="Times New Roman" w:eastAsia="Times New Roman" w:hAnsi="Times New Roman"/>
          <w:color w:val="000000"/>
          <w:spacing w:val="2"/>
          <w:sz w:val="26"/>
          <w:szCs w:val="26"/>
        </w:rPr>
        <w:t>savings and benefits</w:t>
      </w:r>
      <w:r w:rsidR="009C65AB">
        <w:rPr>
          <w:rFonts w:ascii="Times New Roman" w:eastAsia="Times New Roman" w:hAnsi="Times New Roman"/>
          <w:color w:val="000000"/>
          <w:spacing w:val="2"/>
          <w:sz w:val="26"/>
          <w:szCs w:val="26"/>
        </w:rPr>
        <w:t xml:space="preserve"> in some situations</w:t>
      </w:r>
      <w:r w:rsidRPr="003853FC">
        <w:rPr>
          <w:rFonts w:ascii="Times New Roman" w:eastAsia="Times New Roman" w:hAnsi="Times New Roman"/>
          <w:color w:val="000000"/>
          <w:spacing w:val="2"/>
          <w:sz w:val="26"/>
          <w:szCs w:val="26"/>
        </w:rPr>
        <w:t xml:space="preserve">, such as during summer or </w:t>
      </w:r>
      <w:r w:rsidR="009C65AB">
        <w:rPr>
          <w:rFonts w:ascii="Times New Roman" w:eastAsia="Times New Roman" w:hAnsi="Times New Roman"/>
          <w:color w:val="000000"/>
          <w:spacing w:val="2"/>
          <w:sz w:val="26"/>
          <w:szCs w:val="26"/>
        </w:rPr>
        <w:t xml:space="preserve">on </w:t>
      </w:r>
      <w:r w:rsidRPr="003853FC">
        <w:rPr>
          <w:rFonts w:ascii="Times New Roman" w:eastAsia="Times New Roman" w:hAnsi="Times New Roman"/>
          <w:color w:val="000000"/>
          <w:spacing w:val="2"/>
          <w:sz w:val="26"/>
          <w:szCs w:val="26"/>
        </w:rPr>
        <w:t xml:space="preserve">warmer </w:t>
      </w:r>
      <w:r w:rsidR="009C65AB">
        <w:rPr>
          <w:rFonts w:ascii="Times New Roman" w:eastAsia="Times New Roman" w:hAnsi="Times New Roman"/>
          <w:color w:val="000000"/>
          <w:spacing w:val="2"/>
          <w:sz w:val="26"/>
          <w:szCs w:val="26"/>
        </w:rPr>
        <w:t xml:space="preserve">winter days.  </w:t>
      </w:r>
      <w:r w:rsidR="009C65AB">
        <w:rPr>
          <w:rFonts w:ascii="Times New Roman" w:eastAsia="Times New Roman" w:hAnsi="Times New Roman"/>
          <w:i/>
          <w:color w:val="000000"/>
          <w:spacing w:val="2"/>
          <w:sz w:val="26"/>
          <w:szCs w:val="26"/>
        </w:rPr>
        <w:t>Id.</w:t>
      </w:r>
      <w:r w:rsidRPr="003853FC">
        <w:rPr>
          <w:rFonts w:ascii="Times New Roman" w:eastAsia="Times New Roman" w:hAnsi="Times New Roman"/>
          <w:color w:val="000000"/>
          <w:spacing w:val="2"/>
          <w:sz w:val="26"/>
          <w:szCs w:val="26"/>
        </w:rPr>
        <w:t xml:space="preserve">  </w:t>
      </w:r>
      <w:r w:rsidR="00952405">
        <w:rPr>
          <w:rFonts w:ascii="Times New Roman" w:eastAsia="Times New Roman" w:hAnsi="Times New Roman"/>
          <w:color w:val="000000"/>
          <w:spacing w:val="2"/>
          <w:sz w:val="26"/>
          <w:szCs w:val="26"/>
        </w:rPr>
        <w:br/>
      </w:r>
    </w:p>
    <w:p w:rsidR="001A1513" w:rsidRPr="003853FC" w:rsidRDefault="009C65AB" w:rsidP="00D9263A">
      <w:pPr>
        <w:spacing w:line="360" w:lineRule="auto"/>
        <w:ind w:firstLine="720"/>
        <w:rPr>
          <w:rFonts w:ascii="Times New Roman" w:eastAsia="Times New Roman" w:hAnsi="Times New Roman"/>
          <w:color w:val="000000"/>
          <w:spacing w:val="4"/>
          <w:sz w:val="26"/>
          <w:szCs w:val="26"/>
        </w:rPr>
      </w:pPr>
      <w:r>
        <w:rPr>
          <w:rFonts w:ascii="Times New Roman" w:eastAsia="Times New Roman" w:hAnsi="Times New Roman"/>
          <w:color w:val="000000"/>
          <w:spacing w:val="4"/>
          <w:sz w:val="26"/>
          <w:szCs w:val="26"/>
        </w:rPr>
        <w:t>Peoples</w:t>
      </w:r>
      <w:r w:rsidR="001A1513" w:rsidRPr="003853FC">
        <w:rPr>
          <w:rFonts w:ascii="Times New Roman" w:eastAsia="Times New Roman" w:hAnsi="Times New Roman"/>
          <w:color w:val="000000"/>
          <w:spacing w:val="4"/>
          <w:sz w:val="26"/>
          <w:szCs w:val="26"/>
        </w:rPr>
        <w:t xml:space="preserve"> expresses support for a comprehensive review of the current rules</w:t>
      </w:r>
      <w:r w:rsidR="00207D03">
        <w:rPr>
          <w:rFonts w:ascii="Times New Roman" w:eastAsia="Times New Roman" w:hAnsi="Times New Roman"/>
          <w:color w:val="000000"/>
          <w:spacing w:val="4"/>
          <w:sz w:val="26"/>
          <w:szCs w:val="26"/>
        </w:rPr>
        <w:t>,</w:t>
      </w:r>
      <w:r w:rsidR="001A1513" w:rsidRPr="003853FC">
        <w:rPr>
          <w:rFonts w:ascii="Times New Roman" w:eastAsia="Times New Roman" w:hAnsi="Times New Roman"/>
          <w:color w:val="000000"/>
          <w:spacing w:val="4"/>
          <w:sz w:val="26"/>
          <w:szCs w:val="26"/>
        </w:rPr>
        <w:t xml:space="preserve"> noting that each year since 1997, at least 86,000 residential customers on the Peo</w:t>
      </w:r>
      <w:r>
        <w:rPr>
          <w:rFonts w:ascii="Times New Roman" w:eastAsia="Times New Roman" w:hAnsi="Times New Roman"/>
          <w:color w:val="000000"/>
          <w:spacing w:val="4"/>
          <w:sz w:val="26"/>
          <w:szCs w:val="26"/>
        </w:rPr>
        <w:t xml:space="preserve">ples </w:t>
      </w:r>
      <w:r>
        <w:rPr>
          <w:rFonts w:ascii="Times New Roman" w:eastAsia="Times New Roman" w:hAnsi="Times New Roman"/>
          <w:color w:val="000000"/>
          <w:spacing w:val="4"/>
          <w:sz w:val="26"/>
          <w:szCs w:val="26"/>
        </w:rPr>
        <w:lastRenderedPageBreak/>
        <w:t xml:space="preserve">system have shopped for an </w:t>
      </w:r>
      <w:r w:rsidR="001A1513" w:rsidRPr="003853FC">
        <w:rPr>
          <w:rFonts w:ascii="Times New Roman" w:eastAsia="Times New Roman" w:hAnsi="Times New Roman"/>
          <w:color w:val="000000"/>
          <w:spacing w:val="4"/>
          <w:sz w:val="26"/>
          <w:szCs w:val="26"/>
        </w:rPr>
        <w:t>alternative gas suppl</w:t>
      </w:r>
      <w:r>
        <w:rPr>
          <w:rFonts w:ascii="Times New Roman" w:eastAsia="Times New Roman" w:hAnsi="Times New Roman"/>
          <w:color w:val="000000"/>
          <w:spacing w:val="4"/>
          <w:sz w:val="26"/>
          <w:szCs w:val="26"/>
        </w:rPr>
        <w:t>ier</w:t>
      </w:r>
      <w:r w:rsidR="001A1513" w:rsidRPr="003853FC">
        <w:rPr>
          <w:rFonts w:ascii="Times New Roman" w:eastAsia="Times New Roman" w:hAnsi="Times New Roman"/>
          <w:color w:val="000000"/>
          <w:spacing w:val="4"/>
          <w:sz w:val="26"/>
          <w:szCs w:val="26"/>
        </w:rPr>
        <w:t>.</w:t>
      </w:r>
      <w:r>
        <w:rPr>
          <w:rFonts w:ascii="Times New Roman" w:eastAsia="Times New Roman" w:hAnsi="Times New Roman"/>
          <w:color w:val="000000"/>
          <w:spacing w:val="4"/>
          <w:sz w:val="26"/>
          <w:szCs w:val="26"/>
        </w:rPr>
        <w:t xml:space="preserve">  </w:t>
      </w:r>
      <w:proofErr w:type="gramStart"/>
      <w:r w:rsidR="006B337D">
        <w:rPr>
          <w:rFonts w:ascii="Times New Roman" w:eastAsia="Times New Roman" w:hAnsi="Times New Roman"/>
          <w:color w:val="000000"/>
          <w:spacing w:val="4"/>
          <w:sz w:val="26"/>
          <w:szCs w:val="26"/>
        </w:rPr>
        <w:t xml:space="preserve">Peoples </w:t>
      </w:r>
      <w:r>
        <w:rPr>
          <w:rFonts w:ascii="Times New Roman" w:eastAsia="Times New Roman" w:hAnsi="Times New Roman"/>
          <w:color w:val="000000"/>
          <w:spacing w:val="4"/>
          <w:sz w:val="26"/>
          <w:szCs w:val="26"/>
        </w:rPr>
        <w:t>Comments at 2.</w:t>
      </w:r>
      <w:proofErr w:type="gramEnd"/>
      <w:r w:rsidR="001A1513" w:rsidRPr="003853FC">
        <w:rPr>
          <w:rFonts w:ascii="Times New Roman" w:eastAsia="Times New Roman" w:hAnsi="Times New Roman"/>
          <w:color w:val="000000"/>
          <w:spacing w:val="4"/>
          <w:sz w:val="26"/>
          <w:szCs w:val="26"/>
        </w:rPr>
        <w:t xml:space="preserve">  </w:t>
      </w:r>
      <w:proofErr w:type="gramStart"/>
      <w:r w:rsidR="001A1513" w:rsidRPr="003853FC">
        <w:rPr>
          <w:rFonts w:ascii="Times New Roman" w:eastAsia="Times New Roman" w:hAnsi="Times New Roman"/>
          <w:color w:val="000000"/>
          <w:spacing w:val="4"/>
          <w:sz w:val="26"/>
          <w:szCs w:val="26"/>
        </w:rPr>
        <w:t>Peoples</w:t>
      </w:r>
      <w:proofErr w:type="gramEnd"/>
      <w:r w:rsidR="001A1513" w:rsidRPr="003853FC">
        <w:rPr>
          <w:rFonts w:ascii="Times New Roman" w:eastAsia="Times New Roman" w:hAnsi="Times New Roman"/>
          <w:color w:val="000000"/>
          <w:spacing w:val="4"/>
          <w:sz w:val="26"/>
          <w:szCs w:val="26"/>
        </w:rPr>
        <w:t xml:space="preserve"> reports that their call center still receives hundreds of calls each year from customers who are confused about who has offered them a supply service or are confused about the </w:t>
      </w:r>
      <w:r>
        <w:rPr>
          <w:rFonts w:ascii="Times New Roman" w:eastAsia="Times New Roman" w:hAnsi="Times New Roman"/>
          <w:color w:val="000000"/>
          <w:spacing w:val="4"/>
          <w:sz w:val="26"/>
          <w:szCs w:val="26"/>
        </w:rPr>
        <w:t>supply service they</w:t>
      </w:r>
      <w:r w:rsidR="00A52D63">
        <w:rPr>
          <w:rFonts w:ascii="Times New Roman" w:eastAsia="Times New Roman" w:hAnsi="Times New Roman"/>
          <w:color w:val="000000"/>
          <w:spacing w:val="4"/>
          <w:sz w:val="26"/>
          <w:szCs w:val="26"/>
        </w:rPr>
        <w:t xml:space="preserve"> have</w:t>
      </w:r>
      <w:r>
        <w:rPr>
          <w:rFonts w:ascii="Times New Roman" w:eastAsia="Times New Roman" w:hAnsi="Times New Roman"/>
          <w:color w:val="000000"/>
          <w:spacing w:val="4"/>
          <w:sz w:val="26"/>
          <w:szCs w:val="26"/>
        </w:rPr>
        <w:t xml:space="preserve"> selected</w:t>
      </w:r>
      <w:r w:rsidR="001A1513" w:rsidRPr="003853FC">
        <w:rPr>
          <w:rFonts w:ascii="Times New Roman" w:eastAsia="Times New Roman" w:hAnsi="Times New Roman"/>
          <w:color w:val="000000"/>
          <w:spacing w:val="4"/>
          <w:sz w:val="26"/>
          <w:szCs w:val="26"/>
        </w:rPr>
        <w:t xml:space="preserve">.  </w:t>
      </w:r>
      <w:r>
        <w:rPr>
          <w:rFonts w:ascii="Times New Roman" w:eastAsia="Times New Roman" w:hAnsi="Times New Roman"/>
          <w:i/>
          <w:color w:val="000000"/>
          <w:spacing w:val="4"/>
          <w:sz w:val="26"/>
          <w:szCs w:val="26"/>
        </w:rPr>
        <w:t>Id.</w:t>
      </w:r>
      <w:r w:rsidR="001A1513" w:rsidRPr="003853FC">
        <w:rPr>
          <w:rFonts w:ascii="Times New Roman" w:eastAsia="Times New Roman" w:hAnsi="Times New Roman"/>
          <w:color w:val="000000"/>
          <w:spacing w:val="4"/>
          <w:sz w:val="26"/>
          <w:szCs w:val="26"/>
        </w:rPr>
        <w:t xml:space="preserve"> at 2-3.  In general, Peoples support</w:t>
      </w:r>
      <w:r w:rsidR="00207D03">
        <w:rPr>
          <w:rFonts w:ascii="Times New Roman" w:eastAsia="Times New Roman" w:hAnsi="Times New Roman"/>
          <w:color w:val="000000"/>
          <w:spacing w:val="4"/>
          <w:sz w:val="26"/>
          <w:szCs w:val="26"/>
        </w:rPr>
        <w:t>s</w:t>
      </w:r>
      <w:r w:rsidR="001A1513" w:rsidRPr="003853FC">
        <w:rPr>
          <w:rFonts w:ascii="Times New Roman" w:eastAsia="Times New Roman" w:hAnsi="Times New Roman"/>
          <w:color w:val="000000"/>
          <w:spacing w:val="4"/>
          <w:sz w:val="26"/>
          <w:szCs w:val="26"/>
        </w:rPr>
        <w:t xml:space="preserve"> </w:t>
      </w:r>
      <w:proofErr w:type="gramStart"/>
      <w:r w:rsidR="001A1513" w:rsidRPr="003853FC">
        <w:rPr>
          <w:rFonts w:ascii="Times New Roman" w:eastAsia="Times New Roman" w:hAnsi="Times New Roman"/>
          <w:color w:val="000000"/>
          <w:spacing w:val="4"/>
          <w:sz w:val="26"/>
          <w:szCs w:val="26"/>
        </w:rPr>
        <w:t>conforming</w:t>
      </w:r>
      <w:proofErr w:type="gramEnd"/>
      <w:r w:rsidR="001A1513" w:rsidRPr="003853FC">
        <w:rPr>
          <w:rFonts w:ascii="Times New Roman" w:eastAsia="Times New Roman" w:hAnsi="Times New Roman"/>
          <w:color w:val="000000"/>
          <w:spacing w:val="4"/>
          <w:sz w:val="26"/>
          <w:szCs w:val="26"/>
        </w:rPr>
        <w:t xml:space="preserve"> the natural gas rules to the rules for the electric industry.  </w:t>
      </w:r>
      <w:r>
        <w:rPr>
          <w:rFonts w:ascii="Times New Roman" w:eastAsia="Times New Roman" w:hAnsi="Times New Roman"/>
          <w:color w:val="000000"/>
          <w:spacing w:val="4"/>
          <w:sz w:val="26"/>
          <w:szCs w:val="26"/>
        </w:rPr>
        <w:t>As to</w:t>
      </w:r>
      <w:r w:rsidR="001A1513" w:rsidRPr="003853FC">
        <w:rPr>
          <w:rFonts w:ascii="Times New Roman" w:eastAsia="Times New Roman" w:hAnsi="Times New Roman"/>
          <w:color w:val="000000"/>
          <w:spacing w:val="4"/>
          <w:sz w:val="26"/>
          <w:szCs w:val="26"/>
        </w:rPr>
        <w:t xml:space="preserve"> variable</w:t>
      </w:r>
      <w:r>
        <w:rPr>
          <w:rFonts w:ascii="Times New Roman" w:eastAsia="Times New Roman" w:hAnsi="Times New Roman"/>
          <w:color w:val="000000"/>
          <w:spacing w:val="4"/>
          <w:sz w:val="26"/>
          <w:szCs w:val="26"/>
        </w:rPr>
        <w:t xml:space="preserve"> price</w:t>
      </w:r>
      <w:r w:rsidR="001A1513" w:rsidRPr="003853FC">
        <w:rPr>
          <w:rFonts w:ascii="Times New Roman" w:eastAsia="Times New Roman" w:hAnsi="Times New Roman"/>
          <w:color w:val="000000"/>
          <w:spacing w:val="4"/>
          <w:sz w:val="26"/>
          <w:szCs w:val="26"/>
        </w:rPr>
        <w:t xml:space="preserve"> products, Peoples thinks that </w:t>
      </w:r>
      <w:r>
        <w:rPr>
          <w:rFonts w:ascii="Times New Roman" w:eastAsia="Times New Roman" w:hAnsi="Times New Roman"/>
          <w:color w:val="000000"/>
          <w:spacing w:val="4"/>
          <w:sz w:val="26"/>
          <w:szCs w:val="26"/>
        </w:rPr>
        <w:t xml:space="preserve">a clear statement of the price </w:t>
      </w:r>
      <w:r w:rsidR="001A1513" w:rsidRPr="003853FC">
        <w:rPr>
          <w:rFonts w:ascii="Times New Roman" w:eastAsia="Times New Roman" w:hAnsi="Times New Roman"/>
          <w:color w:val="000000"/>
          <w:spacing w:val="4"/>
          <w:sz w:val="26"/>
          <w:szCs w:val="26"/>
        </w:rPr>
        <w:t xml:space="preserve">and how often </w:t>
      </w:r>
      <w:r>
        <w:rPr>
          <w:rFonts w:ascii="Times New Roman" w:eastAsia="Times New Roman" w:hAnsi="Times New Roman"/>
          <w:color w:val="000000"/>
          <w:spacing w:val="4"/>
          <w:sz w:val="26"/>
          <w:szCs w:val="26"/>
        </w:rPr>
        <w:t xml:space="preserve">that </w:t>
      </w:r>
      <w:r w:rsidR="001A1513" w:rsidRPr="003853FC">
        <w:rPr>
          <w:rFonts w:ascii="Times New Roman" w:eastAsia="Times New Roman" w:hAnsi="Times New Roman"/>
          <w:color w:val="000000"/>
          <w:spacing w:val="4"/>
          <w:sz w:val="26"/>
          <w:szCs w:val="26"/>
        </w:rPr>
        <w:t>price is subject to change</w:t>
      </w:r>
      <w:r>
        <w:rPr>
          <w:rFonts w:ascii="Times New Roman" w:eastAsia="Times New Roman" w:hAnsi="Times New Roman"/>
          <w:color w:val="000000"/>
          <w:spacing w:val="4"/>
          <w:sz w:val="26"/>
          <w:szCs w:val="26"/>
        </w:rPr>
        <w:t xml:space="preserve"> is important.</w:t>
      </w:r>
      <w:r w:rsidR="008B31D0">
        <w:rPr>
          <w:rFonts w:ascii="Times New Roman" w:eastAsia="Times New Roman" w:hAnsi="Times New Roman"/>
          <w:color w:val="000000"/>
          <w:spacing w:val="4"/>
          <w:sz w:val="26"/>
          <w:szCs w:val="26"/>
        </w:rPr>
        <w:t xml:space="preserve">  </w:t>
      </w:r>
      <w:proofErr w:type="gramStart"/>
      <w:r w:rsidR="008B31D0">
        <w:rPr>
          <w:rFonts w:ascii="Times New Roman" w:eastAsia="Times New Roman" w:hAnsi="Times New Roman"/>
          <w:i/>
          <w:color w:val="000000"/>
          <w:spacing w:val="4"/>
          <w:sz w:val="26"/>
          <w:szCs w:val="26"/>
        </w:rPr>
        <w:t>Id.</w:t>
      </w:r>
      <w:r w:rsidR="008B31D0">
        <w:rPr>
          <w:rFonts w:ascii="Times New Roman" w:eastAsia="Times New Roman" w:hAnsi="Times New Roman"/>
          <w:color w:val="000000"/>
          <w:spacing w:val="4"/>
          <w:sz w:val="26"/>
          <w:szCs w:val="26"/>
        </w:rPr>
        <w:t xml:space="preserve"> at 3.</w:t>
      </w:r>
      <w:proofErr w:type="gramEnd"/>
      <w:r>
        <w:rPr>
          <w:rFonts w:ascii="Times New Roman" w:eastAsia="Times New Roman" w:hAnsi="Times New Roman"/>
          <w:color w:val="000000"/>
          <w:spacing w:val="4"/>
          <w:sz w:val="26"/>
          <w:szCs w:val="26"/>
        </w:rPr>
        <w:t xml:space="preserve">  Instead of a disclosure </w:t>
      </w:r>
      <w:r w:rsidR="001A1513" w:rsidRPr="003853FC">
        <w:rPr>
          <w:rFonts w:ascii="Times New Roman" w:eastAsia="Times New Roman" w:hAnsi="Times New Roman"/>
          <w:color w:val="000000"/>
          <w:spacing w:val="4"/>
          <w:sz w:val="26"/>
          <w:szCs w:val="26"/>
        </w:rPr>
        <w:t>simply stating t</w:t>
      </w:r>
      <w:r w:rsidR="00A52D63">
        <w:rPr>
          <w:rFonts w:ascii="Times New Roman" w:eastAsia="Times New Roman" w:hAnsi="Times New Roman"/>
          <w:color w:val="000000"/>
          <w:spacing w:val="4"/>
          <w:sz w:val="26"/>
          <w:szCs w:val="26"/>
        </w:rPr>
        <w:t>hat t</w:t>
      </w:r>
      <w:r w:rsidR="001A1513" w:rsidRPr="003853FC">
        <w:rPr>
          <w:rFonts w:ascii="Times New Roman" w:eastAsia="Times New Roman" w:hAnsi="Times New Roman"/>
          <w:color w:val="000000"/>
          <w:spacing w:val="4"/>
          <w:sz w:val="26"/>
          <w:szCs w:val="26"/>
        </w:rPr>
        <w:t xml:space="preserve">he variable rate will change monthly, </w:t>
      </w:r>
      <w:r w:rsidR="008B31D0">
        <w:rPr>
          <w:rFonts w:ascii="Times New Roman" w:eastAsia="Times New Roman" w:hAnsi="Times New Roman"/>
          <w:color w:val="000000"/>
          <w:spacing w:val="4"/>
          <w:sz w:val="26"/>
          <w:szCs w:val="26"/>
        </w:rPr>
        <w:t xml:space="preserve">Peoples believes that </w:t>
      </w:r>
      <w:r w:rsidR="001A1513" w:rsidRPr="003853FC">
        <w:rPr>
          <w:rFonts w:ascii="Times New Roman" w:eastAsia="Times New Roman" w:hAnsi="Times New Roman"/>
          <w:color w:val="000000"/>
          <w:spacing w:val="4"/>
          <w:sz w:val="26"/>
          <w:szCs w:val="26"/>
        </w:rPr>
        <w:t xml:space="preserve">the disclosure should </w:t>
      </w:r>
      <w:r w:rsidR="008B31D0" w:rsidRPr="003853FC">
        <w:rPr>
          <w:rFonts w:ascii="Times New Roman" w:eastAsia="Times New Roman" w:hAnsi="Times New Roman"/>
          <w:color w:val="000000"/>
          <w:spacing w:val="4"/>
          <w:sz w:val="26"/>
          <w:szCs w:val="26"/>
        </w:rPr>
        <w:t xml:space="preserve">identify how subsequent pricing changes will </w:t>
      </w:r>
      <w:r w:rsidR="008B31D0">
        <w:rPr>
          <w:rFonts w:ascii="Times New Roman" w:eastAsia="Times New Roman" w:hAnsi="Times New Roman"/>
          <w:color w:val="000000"/>
          <w:spacing w:val="4"/>
          <w:sz w:val="26"/>
          <w:szCs w:val="26"/>
        </w:rPr>
        <w:t>be applied</w:t>
      </w:r>
      <w:r w:rsidR="006B337D">
        <w:rPr>
          <w:rFonts w:ascii="Times New Roman" w:eastAsia="Times New Roman" w:hAnsi="Times New Roman"/>
          <w:color w:val="000000"/>
          <w:spacing w:val="4"/>
          <w:sz w:val="26"/>
          <w:szCs w:val="26"/>
        </w:rPr>
        <w:t xml:space="preserve"> and providing examples</w:t>
      </w:r>
      <w:r w:rsidR="008B31D0">
        <w:rPr>
          <w:rFonts w:ascii="Times New Roman" w:eastAsia="Times New Roman" w:hAnsi="Times New Roman"/>
          <w:color w:val="000000"/>
          <w:spacing w:val="4"/>
          <w:sz w:val="26"/>
          <w:szCs w:val="26"/>
        </w:rPr>
        <w:t xml:space="preserve">.  </w:t>
      </w:r>
      <w:r w:rsidR="008B31D0">
        <w:rPr>
          <w:rFonts w:ascii="Times New Roman" w:eastAsia="Times New Roman" w:hAnsi="Times New Roman"/>
          <w:i/>
          <w:color w:val="000000"/>
          <w:spacing w:val="4"/>
          <w:sz w:val="26"/>
          <w:szCs w:val="26"/>
        </w:rPr>
        <w:t>Id.</w:t>
      </w:r>
      <w:r w:rsidR="008B31D0">
        <w:rPr>
          <w:rFonts w:ascii="Times New Roman" w:eastAsia="Times New Roman" w:hAnsi="Times New Roman"/>
          <w:color w:val="000000"/>
          <w:spacing w:val="4"/>
          <w:sz w:val="26"/>
          <w:szCs w:val="26"/>
        </w:rPr>
        <w:t xml:space="preserve">   </w:t>
      </w:r>
      <w:proofErr w:type="gramStart"/>
      <w:r w:rsidR="006B337D">
        <w:rPr>
          <w:rFonts w:ascii="Times New Roman" w:eastAsia="Times New Roman" w:hAnsi="Times New Roman"/>
          <w:color w:val="000000"/>
          <w:spacing w:val="4"/>
          <w:sz w:val="26"/>
          <w:szCs w:val="26"/>
        </w:rPr>
        <w:t>Peoples suggests</w:t>
      </w:r>
      <w:proofErr w:type="gramEnd"/>
      <w:r w:rsidR="006B337D">
        <w:rPr>
          <w:rFonts w:ascii="Times New Roman" w:eastAsia="Times New Roman" w:hAnsi="Times New Roman"/>
          <w:color w:val="000000"/>
          <w:spacing w:val="4"/>
          <w:sz w:val="26"/>
          <w:szCs w:val="26"/>
        </w:rPr>
        <w:t xml:space="preserve"> that i</w:t>
      </w:r>
      <w:r w:rsidR="008B31D0">
        <w:rPr>
          <w:rFonts w:ascii="Times New Roman" w:eastAsia="Times New Roman" w:hAnsi="Times New Roman"/>
          <w:color w:val="000000"/>
          <w:spacing w:val="4"/>
          <w:sz w:val="26"/>
          <w:szCs w:val="26"/>
        </w:rPr>
        <w:t>f the price is based on a public</w:t>
      </w:r>
      <w:r w:rsidR="006B337D">
        <w:rPr>
          <w:rFonts w:ascii="Times New Roman" w:eastAsia="Times New Roman" w:hAnsi="Times New Roman"/>
          <w:color w:val="000000"/>
          <w:spacing w:val="4"/>
          <w:sz w:val="26"/>
          <w:szCs w:val="26"/>
        </w:rPr>
        <w:t>ly available</w:t>
      </w:r>
      <w:r w:rsidR="008B31D0">
        <w:rPr>
          <w:rFonts w:ascii="Times New Roman" w:eastAsia="Times New Roman" w:hAnsi="Times New Roman"/>
          <w:color w:val="000000"/>
          <w:spacing w:val="4"/>
          <w:sz w:val="26"/>
          <w:szCs w:val="26"/>
        </w:rPr>
        <w:t xml:space="preserve"> industry</w:t>
      </w:r>
      <w:r w:rsidR="001A1513" w:rsidRPr="003853FC">
        <w:rPr>
          <w:rFonts w:ascii="Times New Roman" w:eastAsia="Times New Roman" w:hAnsi="Times New Roman"/>
          <w:color w:val="000000"/>
          <w:spacing w:val="4"/>
          <w:sz w:val="26"/>
          <w:szCs w:val="26"/>
        </w:rPr>
        <w:t xml:space="preserve"> index, </w:t>
      </w:r>
      <w:r w:rsidR="00A52D63">
        <w:rPr>
          <w:rFonts w:ascii="Times New Roman" w:eastAsia="Times New Roman" w:hAnsi="Times New Roman"/>
          <w:color w:val="000000"/>
          <w:spacing w:val="4"/>
          <w:sz w:val="26"/>
          <w:szCs w:val="26"/>
        </w:rPr>
        <w:t>the NGS must identify the</w:t>
      </w:r>
      <w:r w:rsidR="001A1513" w:rsidRPr="003853FC">
        <w:rPr>
          <w:rFonts w:ascii="Times New Roman" w:eastAsia="Times New Roman" w:hAnsi="Times New Roman"/>
          <w:color w:val="000000"/>
          <w:spacing w:val="4"/>
          <w:sz w:val="26"/>
          <w:szCs w:val="26"/>
        </w:rPr>
        <w:t xml:space="preserve"> index and </w:t>
      </w:r>
      <w:r w:rsidR="00EB1606">
        <w:rPr>
          <w:rFonts w:ascii="Times New Roman" w:eastAsia="Times New Roman" w:hAnsi="Times New Roman"/>
          <w:color w:val="000000"/>
          <w:spacing w:val="4"/>
          <w:sz w:val="26"/>
          <w:szCs w:val="26"/>
        </w:rPr>
        <w:t xml:space="preserve">must </w:t>
      </w:r>
      <w:r w:rsidR="00A52D63">
        <w:rPr>
          <w:rFonts w:ascii="Times New Roman" w:eastAsia="Times New Roman" w:hAnsi="Times New Roman"/>
          <w:color w:val="000000"/>
          <w:spacing w:val="4"/>
          <w:sz w:val="26"/>
          <w:szCs w:val="26"/>
        </w:rPr>
        <w:t xml:space="preserve">provide </w:t>
      </w:r>
      <w:r w:rsidR="001A1513" w:rsidRPr="003853FC">
        <w:rPr>
          <w:rFonts w:ascii="Times New Roman" w:eastAsia="Times New Roman" w:hAnsi="Times New Roman"/>
          <w:color w:val="000000"/>
          <w:spacing w:val="4"/>
          <w:sz w:val="26"/>
          <w:szCs w:val="26"/>
        </w:rPr>
        <w:t>historical pricing for the pri</w:t>
      </w:r>
      <w:r w:rsidR="00A52D63">
        <w:rPr>
          <w:rFonts w:ascii="Times New Roman" w:eastAsia="Times New Roman" w:hAnsi="Times New Roman"/>
          <w:color w:val="000000"/>
          <w:spacing w:val="4"/>
          <w:sz w:val="26"/>
          <w:szCs w:val="26"/>
        </w:rPr>
        <w:t>or calendar year or previous 12-</w:t>
      </w:r>
      <w:r w:rsidR="001A1513" w:rsidRPr="003853FC">
        <w:rPr>
          <w:rFonts w:ascii="Times New Roman" w:eastAsia="Times New Roman" w:hAnsi="Times New Roman"/>
          <w:color w:val="000000"/>
          <w:spacing w:val="4"/>
          <w:sz w:val="26"/>
          <w:szCs w:val="26"/>
        </w:rPr>
        <w:t xml:space="preserve">month period. </w:t>
      </w:r>
      <w:r w:rsidR="008B31D0">
        <w:rPr>
          <w:rFonts w:ascii="Times New Roman" w:eastAsia="Times New Roman" w:hAnsi="Times New Roman"/>
          <w:color w:val="000000"/>
          <w:spacing w:val="4"/>
          <w:sz w:val="26"/>
          <w:szCs w:val="26"/>
        </w:rPr>
        <w:t xml:space="preserve"> </w:t>
      </w:r>
      <w:r w:rsidR="008B31D0">
        <w:rPr>
          <w:rFonts w:ascii="Times New Roman" w:eastAsia="Times New Roman" w:hAnsi="Times New Roman"/>
          <w:i/>
          <w:color w:val="000000"/>
          <w:spacing w:val="4"/>
          <w:sz w:val="26"/>
          <w:szCs w:val="26"/>
        </w:rPr>
        <w:t>Id.</w:t>
      </w:r>
      <w:r w:rsidR="001A1513" w:rsidRPr="003853FC">
        <w:rPr>
          <w:rFonts w:ascii="Times New Roman" w:eastAsia="Times New Roman" w:hAnsi="Times New Roman"/>
          <w:color w:val="000000"/>
          <w:spacing w:val="4"/>
          <w:sz w:val="26"/>
          <w:szCs w:val="26"/>
        </w:rPr>
        <w:t xml:space="preserve">  </w:t>
      </w:r>
    </w:p>
    <w:p w:rsidR="00D9263A" w:rsidRDefault="00D9263A" w:rsidP="001A1513">
      <w:pPr>
        <w:spacing w:line="360" w:lineRule="auto"/>
        <w:rPr>
          <w:rFonts w:ascii="Times New Roman" w:eastAsia="Times New Roman" w:hAnsi="Times New Roman"/>
          <w:color w:val="000000"/>
          <w:spacing w:val="4"/>
          <w:sz w:val="26"/>
          <w:szCs w:val="26"/>
        </w:rPr>
      </w:pPr>
    </w:p>
    <w:p w:rsidR="001A1513" w:rsidRPr="003853FC" w:rsidRDefault="001A1513" w:rsidP="00D9263A">
      <w:pPr>
        <w:spacing w:line="360" w:lineRule="auto"/>
        <w:ind w:firstLine="720"/>
        <w:rPr>
          <w:rFonts w:ascii="Times New Roman" w:eastAsia="Times New Roman" w:hAnsi="Times New Roman"/>
          <w:color w:val="000000"/>
          <w:spacing w:val="4"/>
          <w:sz w:val="26"/>
          <w:szCs w:val="26"/>
        </w:rPr>
      </w:pPr>
      <w:r w:rsidRPr="003853FC">
        <w:rPr>
          <w:rFonts w:ascii="Times New Roman" w:eastAsia="Times New Roman" w:hAnsi="Times New Roman"/>
          <w:color w:val="000000"/>
          <w:spacing w:val="4"/>
          <w:sz w:val="26"/>
          <w:szCs w:val="26"/>
        </w:rPr>
        <w:t xml:space="preserve">PECO likewise agrees that, to the greatest extent possible, revisions to the disclosure rules for natural gas customers should mimic the revisions recently adopted for electric customers </w:t>
      </w:r>
      <w:r w:rsidR="006C3720">
        <w:rPr>
          <w:rFonts w:ascii="Times New Roman" w:eastAsia="Times New Roman" w:hAnsi="Times New Roman"/>
          <w:color w:val="000000"/>
          <w:spacing w:val="4"/>
          <w:sz w:val="26"/>
          <w:szCs w:val="26"/>
        </w:rPr>
        <w:t xml:space="preserve">in order to </w:t>
      </w:r>
      <w:r w:rsidRPr="003853FC">
        <w:rPr>
          <w:rFonts w:ascii="Times New Roman" w:eastAsia="Times New Roman" w:hAnsi="Times New Roman"/>
          <w:color w:val="000000"/>
          <w:spacing w:val="4"/>
          <w:sz w:val="26"/>
          <w:szCs w:val="26"/>
        </w:rPr>
        <w:t>avoid customer confusion, especially for those who receive both electric and gas service</w:t>
      </w:r>
      <w:r w:rsidR="006C3720">
        <w:rPr>
          <w:rFonts w:ascii="Times New Roman" w:eastAsia="Times New Roman" w:hAnsi="Times New Roman"/>
          <w:color w:val="000000"/>
          <w:spacing w:val="4"/>
          <w:sz w:val="26"/>
          <w:szCs w:val="26"/>
        </w:rPr>
        <w:t xml:space="preserve"> from the same supplier</w:t>
      </w:r>
      <w:r w:rsidRPr="003853FC">
        <w:rPr>
          <w:rFonts w:ascii="Times New Roman" w:eastAsia="Times New Roman" w:hAnsi="Times New Roman"/>
          <w:color w:val="000000"/>
          <w:spacing w:val="4"/>
          <w:sz w:val="26"/>
          <w:szCs w:val="26"/>
        </w:rPr>
        <w:t xml:space="preserve">.  PECO believes that revisions to the natural gas disclosure rules should: 1) </w:t>
      </w:r>
      <w:r w:rsidR="006C3720">
        <w:rPr>
          <w:rFonts w:ascii="Times New Roman" w:eastAsia="Times New Roman" w:hAnsi="Times New Roman"/>
          <w:color w:val="000000"/>
          <w:spacing w:val="4"/>
          <w:sz w:val="26"/>
          <w:szCs w:val="26"/>
        </w:rPr>
        <w:t>empower</w:t>
      </w:r>
      <w:r w:rsidRPr="003853FC">
        <w:rPr>
          <w:rFonts w:ascii="Times New Roman" w:eastAsia="Times New Roman" w:hAnsi="Times New Roman"/>
          <w:color w:val="000000"/>
          <w:spacing w:val="4"/>
          <w:sz w:val="26"/>
          <w:szCs w:val="26"/>
        </w:rPr>
        <w:t xml:space="preserve"> customers to make knowledgeable and informed decisions about fixed and variable priced products and 2) minimize customer confusion over these types of products.  </w:t>
      </w:r>
      <w:proofErr w:type="gramStart"/>
      <w:r w:rsidR="006B337D">
        <w:rPr>
          <w:rFonts w:ascii="Times New Roman" w:eastAsia="Times New Roman" w:hAnsi="Times New Roman"/>
          <w:color w:val="000000"/>
          <w:spacing w:val="4"/>
          <w:sz w:val="26"/>
          <w:szCs w:val="26"/>
        </w:rPr>
        <w:t xml:space="preserve">PECO </w:t>
      </w:r>
      <w:r w:rsidR="00A52D63">
        <w:rPr>
          <w:rFonts w:ascii="Times New Roman" w:eastAsia="Times New Roman" w:hAnsi="Times New Roman"/>
          <w:color w:val="000000"/>
          <w:spacing w:val="4"/>
          <w:sz w:val="26"/>
          <w:szCs w:val="26"/>
        </w:rPr>
        <w:t>Comments</w:t>
      </w:r>
      <w:r w:rsidRPr="003853FC">
        <w:rPr>
          <w:rFonts w:ascii="Times New Roman" w:eastAsia="Times New Roman" w:hAnsi="Times New Roman"/>
          <w:color w:val="000000"/>
          <w:spacing w:val="4"/>
          <w:sz w:val="26"/>
          <w:szCs w:val="26"/>
        </w:rPr>
        <w:t xml:space="preserve"> at 2.</w:t>
      </w:r>
      <w:proofErr w:type="gramEnd"/>
      <w:r w:rsidRPr="003853FC">
        <w:rPr>
          <w:rFonts w:ascii="Times New Roman" w:eastAsia="Times New Roman" w:hAnsi="Times New Roman"/>
          <w:color w:val="000000"/>
          <w:spacing w:val="4"/>
          <w:sz w:val="26"/>
          <w:szCs w:val="26"/>
        </w:rPr>
        <w:t xml:space="preserve">  </w:t>
      </w:r>
    </w:p>
    <w:p w:rsidR="00D9263A" w:rsidRDefault="00D9263A" w:rsidP="001A1513">
      <w:pPr>
        <w:spacing w:line="360" w:lineRule="auto"/>
        <w:rPr>
          <w:rFonts w:ascii="Times New Roman" w:eastAsia="Times New Roman" w:hAnsi="Times New Roman"/>
          <w:color w:val="000000"/>
          <w:spacing w:val="4"/>
          <w:sz w:val="26"/>
          <w:szCs w:val="26"/>
        </w:rPr>
      </w:pPr>
    </w:p>
    <w:p w:rsidR="001A1513" w:rsidRPr="003853FC" w:rsidRDefault="001A1513" w:rsidP="0087277E">
      <w:pPr>
        <w:spacing w:line="360" w:lineRule="auto"/>
        <w:ind w:firstLine="720"/>
        <w:rPr>
          <w:rFonts w:ascii="Times New Roman" w:eastAsia="Times New Roman" w:hAnsi="Times New Roman"/>
          <w:color w:val="000000"/>
          <w:spacing w:val="4"/>
          <w:sz w:val="26"/>
          <w:szCs w:val="26"/>
        </w:rPr>
      </w:pPr>
      <w:r w:rsidRPr="003853FC">
        <w:rPr>
          <w:rFonts w:ascii="Times New Roman" w:eastAsia="Times New Roman" w:hAnsi="Times New Roman"/>
          <w:color w:val="000000"/>
          <w:spacing w:val="4"/>
          <w:sz w:val="26"/>
          <w:szCs w:val="26"/>
        </w:rPr>
        <w:t>The OCA recommends that, at a minimum, the Commission impose the same disclosure requirements on NGSs that are applicable to EGSs</w:t>
      </w:r>
      <w:r w:rsidR="00207D03">
        <w:rPr>
          <w:rFonts w:ascii="Times New Roman" w:eastAsia="Times New Roman" w:hAnsi="Times New Roman"/>
          <w:color w:val="000000"/>
          <w:spacing w:val="4"/>
          <w:sz w:val="26"/>
          <w:szCs w:val="26"/>
        </w:rPr>
        <w:t xml:space="preserve">.  </w:t>
      </w:r>
      <w:proofErr w:type="gramStart"/>
      <w:r w:rsidR="006B337D">
        <w:rPr>
          <w:rFonts w:ascii="Times New Roman" w:eastAsia="Times New Roman" w:hAnsi="Times New Roman"/>
          <w:color w:val="000000"/>
          <w:spacing w:val="4"/>
          <w:sz w:val="26"/>
          <w:szCs w:val="26"/>
        </w:rPr>
        <w:t xml:space="preserve">OCA </w:t>
      </w:r>
      <w:r w:rsidR="00207D03">
        <w:rPr>
          <w:rFonts w:ascii="Times New Roman" w:eastAsia="Times New Roman" w:hAnsi="Times New Roman"/>
          <w:color w:val="000000"/>
          <w:spacing w:val="4"/>
          <w:sz w:val="26"/>
          <w:szCs w:val="26"/>
        </w:rPr>
        <w:t>Comments at 2.</w:t>
      </w:r>
      <w:proofErr w:type="gramEnd"/>
      <w:r w:rsidR="00207D03">
        <w:rPr>
          <w:rFonts w:ascii="Times New Roman" w:eastAsia="Times New Roman" w:hAnsi="Times New Roman"/>
          <w:color w:val="000000"/>
          <w:spacing w:val="4"/>
          <w:sz w:val="26"/>
          <w:szCs w:val="26"/>
        </w:rPr>
        <w:t xml:space="preserve">  Since </w:t>
      </w:r>
      <w:r w:rsidR="0087277E">
        <w:rPr>
          <w:rFonts w:ascii="Times New Roman" w:eastAsia="Times New Roman" w:hAnsi="Times New Roman"/>
          <w:color w:val="000000"/>
          <w:spacing w:val="4"/>
          <w:sz w:val="26"/>
          <w:szCs w:val="26"/>
        </w:rPr>
        <w:t xml:space="preserve">many suppliers </w:t>
      </w:r>
      <w:r w:rsidR="0087277E" w:rsidRPr="003853FC">
        <w:rPr>
          <w:rFonts w:ascii="Times New Roman" w:eastAsia="Times New Roman" w:hAnsi="Times New Roman"/>
          <w:color w:val="000000"/>
          <w:spacing w:val="4"/>
          <w:sz w:val="26"/>
          <w:szCs w:val="26"/>
        </w:rPr>
        <w:t xml:space="preserve">offer both electric and natural gas service during the same </w:t>
      </w:r>
      <w:r w:rsidR="006B337D">
        <w:rPr>
          <w:rFonts w:ascii="Times New Roman" w:eastAsia="Times New Roman" w:hAnsi="Times New Roman"/>
          <w:color w:val="000000"/>
          <w:spacing w:val="4"/>
          <w:sz w:val="26"/>
          <w:szCs w:val="26"/>
        </w:rPr>
        <w:t xml:space="preserve">customer </w:t>
      </w:r>
      <w:r w:rsidR="0087277E" w:rsidRPr="003853FC">
        <w:rPr>
          <w:rFonts w:ascii="Times New Roman" w:eastAsia="Times New Roman" w:hAnsi="Times New Roman"/>
          <w:color w:val="000000"/>
          <w:spacing w:val="4"/>
          <w:sz w:val="26"/>
          <w:szCs w:val="26"/>
        </w:rPr>
        <w:t>marketing presentations</w:t>
      </w:r>
      <w:r w:rsidR="0087277E">
        <w:rPr>
          <w:rFonts w:ascii="Times New Roman" w:eastAsia="Times New Roman" w:hAnsi="Times New Roman"/>
          <w:color w:val="000000"/>
          <w:spacing w:val="4"/>
          <w:sz w:val="26"/>
          <w:szCs w:val="26"/>
        </w:rPr>
        <w:t>,</w:t>
      </w:r>
      <w:r w:rsidR="0087277E" w:rsidRPr="0087277E">
        <w:rPr>
          <w:rFonts w:ascii="Times New Roman" w:eastAsia="Times New Roman" w:hAnsi="Times New Roman"/>
          <w:color w:val="000000"/>
          <w:spacing w:val="4"/>
          <w:sz w:val="26"/>
          <w:szCs w:val="26"/>
        </w:rPr>
        <w:t xml:space="preserve"> </w:t>
      </w:r>
      <w:r w:rsidR="0087277E" w:rsidRPr="003853FC">
        <w:rPr>
          <w:rFonts w:ascii="Times New Roman" w:eastAsia="Times New Roman" w:hAnsi="Times New Roman"/>
          <w:color w:val="000000"/>
          <w:spacing w:val="4"/>
          <w:sz w:val="26"/>
          <w:szCs w:val="26"/>
        </w:rPr>
        <w:t xml:space="preserve">it would be </w:t>
      </w:r>
      <w:r w:rsidR="0087277E">
        <w:rPr>
          <w:rFonts w:ascii="Times New Roman" w:eastAsia="Times New Roman" w:hAnsi="Times New Roman"/>
          <w:color w:val="000000"/>
          <w:spacing w:val="4"/>
          <w:sz w:val="26"/>
          <w:szCs w:val="26"/>
        </w:rPr>
        <w:t>un</w:t>
      </w:r>
      <w:r w:rsidR="0087277E" w:rsidRPr="003853FC">
        <w:rPr>
          <w:rFonts w:ascii="Times New Roman" w:eastAsia="Times New Roman" w:hAnsi="Times New Roman"/>
          <w:color w:val="000000"/>
          <w:spacing w:val="4"/>
          <w:sz w:val="26"/>
          <w:szCs w:val="26"/>
        </w:rPr>
        <w:t xml:space="preserve">reasonable for </w:t>
      </w:r>
      <w:r w:rsidR="008E2217">
        <w:rPr>
          <w:rFonts w:ascii="Times New Roman" w:eastAsia="Times New Roman" w:hAnsi="Times New Roman"/>
          <w:color w:val="000000"/>
          <w:spacing w:val="4"/>
          <w:sz w:val="26"/>
          <w:szCs w:val="26"/>
        </w:rPr>
        <w:t>customer</w:t>
      </w:r>
      <w:r w:rsidR="0087277E" w:rsidRPr="003853FC">
        <w:rPr>
          <w:rFonts w:ascii="Times New Roman" w:eastAsia="Times New Roman" w:hAnsi="Times New Roman"/>
          <w:color w:val="000000"/>
          <w:spacing w:val="4"/>
          <w:sz w:val="26"/>
          <w:szCs w:val="26"/>
        </w:rPr>
        <w:t>s to experience different disclosures of the material terms of their agreements with NGSs a</w:t>
      </w:r>
      <w:r w:rsidR="0087277E">
        <w:rPr>
          <w:rFonts w:ascii="Times New Roman" w:eastAsia="Times New Roman" w:hAnsi="Times New Roman"/>
          <w:color w:val="000000"/>
          <w:spacing w:val="4"/>
          <w:sz w:val="26"/>
          <w:szCs w:val="26"/>
        </w:rPr>
        <w:t>nd</w:t>
      </w:r>
      <w:r w:rsidR="0087277E" w:rsidRPr="003853FC">
        <w:rPr>
          <w:rFonts w:ascii="Times New Roman" w:eastAsia="Times New Roman" w:hAnsi="Times New Roman"/>
          <w:color w:val="000000"/>
          <w:spacing w:val="4"/>
          <w:sz w:val="26"/>
          <w:szCs w:val="26"/>
        </w:rPr>
        <w:t xml:space="preserve"> EGSs.</w:t>
      </w:r>
      <w:r w:rsidR="0087277E">
        <w:rPr>
          <w:rFonts w:ascii="Times New Roman" w:eastAsia="Times New Roman" w:hAnsi="Times New Roman"/>
          <w:color w:val="000000"/>
          <w:spacing w:val="4"/>
          <w:sz w:val="26"/>
          <w:szCs w:val="26"/>
        </w:rPr>
        <w:t xml:space="preserve">  </w:t>
      </w:r>
      <w:r w:rsidR="0087277E" w:rsidRPr="0087277E">
        <w:rPr>
          <w:rFonts w:ascii="Times New Roman" w:eastAsia="Times New Roman" w:hAnsi="Times New Roman"/>
          <w:i/>
          <w:color w:val="000000"/>
          <w:spacing w:val="4"/>
          <w:sz w:val="26"/>
          <w:szCs w:val="26"/>
        </w:rPr>
        <w:t>Id</w:t>
      </w:r>
      <w:r w:rsidR="0087277E">
        <w:rPr>
          <w:rFonts w:ascii="Times New Roman" w:eastAsia="Times New Roman" w:hAnsi="Times New Roman"/>
          <w:color w:val="000000"/>
          <w:spacing w:val="4"/>
          <w:sz w:val="26"/>
          <w:szCs w:val="26"/>
        </w:rPr>
        <w:t xml:space="preserve">. </w:t>
      </w:r>
      <w:r w:rsidRPr="003853FC">
        <w:rPr>
          <w:rFonts w:ascii="Times New Roman" w:eastAsia="Times New Roman" w:hAnsi="Times New Roman"/>
          <w:color w:val="000000"/>
          <w:spacing w:val="4"/>
          <w:sz w:val="26"/>
          <w:szCs w:val="26"/>
        </w:rPr>
        <w:t xml:space="preserve"> However, the OCA </w:t>
      </w:r>
      <w:r w:rsidR="0087277E">
        <w:rPr>
          <w:rFonts w:ascii="Times New Roman" w:eastAsia="Times New Roman" w:hAnsi="Times New Roman"/>
          <w:color w:val="000000"/>
          <w:spacing w:val="4"/>
          <w:sz w:val="26"/>
          <w:szCs w:val="26"/>
        </w:rPr>
        <w:t>contend</w:t>
      </w:r>
      <w:r w:rsidRPr="003853FC">
        <w:rPr>
          <w:rFonts w:ascii="Times New Roman" w:eastAsia="Times New Roman" w:hAnsi="Times New Roman"/>
          <w:color w:val="000000"/>
          <w:spacing w:val="4"/>
          <w:sz w:val="26"/>
          <w:szCs w:val="26"/>
        </w:rPr>
        <w:t xml:space="preserve">s that the disclosure standards recently adopted in the electric industry have not gone far enough to adequately inform </w:t>
      </w:r>
      <w:r w:rsidR="008E2217">
        <w:rPr>
          <w:rFonts w:ascii="Times New Roman" w:eastAsia="Times New Roman" w:hAnsi="Times New Roman"/>
          <w:color w:val="000000"/>
          <w:spacing w:val="4"/>
          <w:sz w:val="26"/>
          <w:szCs w:val="26"/>
        </w:rPr>
        <w:t>customer</w:t>
      </w:r>
      <w:r w:rsidRPr="003853FC">
        <w:rPr>
          <w:rFonts w:ascii="Times New Roman" w:eastAsia="Times New Roman" w:hAnsi="Times New Roman"/>
          <w:color w:val="000000"/>
          <w:spacing w:val="4"/>
          <w:sz w:val="26"/>
          <w:szCs w:val="26"/>
        </w:rPr>
        <w:t>s, particularly</w:t>
      </w:r>
      <w:r w:rsidR="0087277E">
        <w:rPr>
          <w:rFonts w:ascii="Times New Roman" w:eastAsia="Times New Roman" w:hAnsi="Times New Roman"/>
          <w:color w:val="000000"/>
          <w:spacing w:val="4"/>
          <w:sz w:val="26"/>
          <w:szCs w:val="26"/>
        </w:rPr>
        <w:t xml:space="preserve"> with regard to</w:t>
      </w:r>
      <w:r w:rsidR="00EB1606">
        <w:rPr>
          <w:rFonts w:ascii="Times New Roman" w:eastAsia="Times New Roman" w:hAnsi="Times New Roman"/>
          <w:color w:val="000000"/>
          <w:spacing w:val="4"/>
          <w:sz w:val="26"/>
          <w:szCs w:val="26"/>
        </w:rPr>
        <w:t xml:space="preserve"> variable price</w:t>
      </w:r>
      <w:r w:rsidRPr="003853FC">
        <w:rPr>
          <w:rFonts w:ascii="Times New Roman" w:eastAsia="Times New Roman" w:hAnsi="Times New Roman"/>
          <w:color w:val="000000"/>
          <w:spacing w:val="4"/>
          <w:sz w:val="26"/>
          <w:szCs w:val="26"/>
        </w:rPr>
        <w:t xml:space="preserve"> products.</w:t>
      </w:r>
      <w:r w:rsidR="006C3720">
        <w:rPr>
          <w:rFonts w:ascii="Times New Roman" w:eastAsia="Times New Roman" w:hAnsi="Times New Roman"/>
          <w:color w:val="000000"/>
          <w:spacing w:val="4"/>
          <w:sz w:val="26"/>
          <w:szCs w:val="26"/>
        </w:rPr>
        <w:t xml:space="preserve">  </w:t>
      </w:r>
      <w:proofErr w:type="gramStart"/>
      <w:r w:rsidR="0087277E">
        <w:rPr>
          <w:rFonts w:ascii="Times New Roman" w:eastAsia="Times New Roman" w:hAnsi="Times New Roman"/>
          <w:i/>
          <w:color w:val="000000"/>
          <w:spacing w:val="4"/>
          <w:sz w:val="26"/>
          <w:szCs w:val="26"/>
        </w:rPr>
        <w:t>Id.</w:t>
      </w:r>
      <w:r w:rsidRPr="003853FC">
        <w:rPr>
          <w:rFonts w:ascii="Times New Roman" w:eastAsia="Times New Roman" w:hAnsi="Times New Roman"/>
          <w:color w:val="000000"/>
          <w:spacing w:val="4"/>
          <w:sz w:val="26"/>
          <w:szCs w:val="26"/>
        </w:rPr>
        <w:t xml:space="preserve"> at 3.</w:t>
      </w:r>
      <w:proofErr w:type="gramEnd"/>
      <w:r w:rsidRPr="003853FC">
        <w:rPr>
          <w:rFonts w:ascii="Times New Roman" w:eastAsia="Times New Roman" w:hAnsi="Times New Roman"/>
          <w:color w:val="000000"/>
          <w:spacing w:val="4"/>
          <w:sz w:val="26"/>
          <w:szCs w:val="26"/>
        </w:rPr>
        <w:t xml:space="preserve">  </w:t>
      </w:r>
      <w:r w:rsidR="0087277E">
        <w:rPr>
          <w:rFonts w:ascii="Times New Roman" w:eastAsia="Times New Roman" w:hAnsi="Times New Roman"/>
          <w:color w:val="000000"/>
          <w:spacing w:val="4"/>
          <w:sz w:val="26"/>
          <w:szCs w:val="26"/>
        </w:rPr>
        <w:t>Therefore, t</w:t>
      </w:r>
      <w:r w:rsidRPr="003853FC">
        <w:rPr>
          <w:rFonts w:ascii="Times New Roman" w:eastAsia="Times New Roman" w:hAnsi="Times New Roman"/>
          <w:color w:val="000000"/>
          <w:spacing w:val="4"/>
          <w:sz w:val="26"/>
          <w:szCs w:val="26"/>
        </w:rPr>
        <w:t xml:space="preserve">he </w:t>
      </w:r>
      <w:r w:rsidRPr="003853FC">
        <w:rPr>
          <w:rFonts w:ascii="Times New Roman" w:eastAsia="Times New Roman" w:hAnsi="Times New Roman"/>
          <w:color w:val="000000"/>
          <w:spacing w:val="4"/>
          <w:sz w:val="26"/>
          <w:szCs w:val="26"/>
        </w:rPr>
        <w:lastRenderedPageBreak/>
        <w:t xml:space="preserve">OCA </w:t>
      </w:r>
      <w:r w:rsidR="006B337D">
        <w:rPr>
          <w:rFonts w:ascii="Times New Roman" w:eastAsia="Times New Roman" w:hAnsi="Times New Roman"/>
          <w:color w:val="000000"/>
          <w:spacing w:val="4"/>
          <w:sz w:val="26"/>
          <w:szCs w:val="26"/>
        </w:rPr>
        <w:t>suggests that</w:t>
      </w:r>
      <w:r w:rsidR="0087277E">
        <w:rPr>
          <w:rFonts w:ascii="Times New Roman" w:eastAsia="Times New Roman" w:hAnsi="Times New Roman"/>
          <w:color w:val="000000"/>
          <w:spacing w:val="4"/>
          <w:sz w:val="26"/>
          <w:szCs w:val="26"/>
        </w:rPr>
        <w:t xml:space="preserve"> </w:t>
      </w:r>
      <w:r w:rsidRPr="003853FC">
        <w:rPr>
          <w:rFonts w:ascii="Times New Roman" w:eastAsia="Times New Roman" w:hAnsi="Times New Roman"/>
          <w:color w:val="000000"/>
          <w:spacing w:val="4"/>
          <w:sz w:val="26"/>
          <w:szCs w:val="26"/>
        </w:rPr>
        <w:t>all disclosure statements for variable price products</w:t>
      </w:r>
      <w:r w:rsidR="006B337D">
        <w:rPr>
          <w:rFonts w:ascii="Times New Roman" w:eastAsia="Times New Roman" w:hAnsi="Times New Roman"/>
          <w:color w:val="000000"/>
          <w:spacing w:val="4"/>
          <w:sz w:val="26"/>
          <w:szCs w:val="26"/>
        </w:rPr>
        <w:t xml:space="preserve"> </w:t>
      </w:r>
      <w:r w:rsidRPr="003853FC">
        <w:rPr>
          <w:rFonts w:ascii="Times New Roman" w:eastAsia="Times New Roman" w:hAnsi="Times New Roman"/>
          <w:color w:val="000000"/>
          <w:spacing w:val="4"/>
          <w:sz w:val="26"/>
          <w:szCs w:val="26"/>
        </w:rPr>
        <w:t>inclu</w:t>
      </w:r>
      <w:r w:rsidR="006B337D">
        <w:rPr>
          <w:rFonts w:ascii="Times New Roman" w:eastAsia="Times New Roman" w:hAnsi="Times New Roman"/>
          <w:color w:val="000000"/>
          <w:spacing w:val="4"/>
          <w:sz w:val="26"/>
          <w:szCs w:val="26"/>
        </w:rPr>
        <w:t>de a</w:t>
      </w:r>
      <w:r w:rsidRPr="003853FC">
        <w:rPr>
          <w:rFonts w:ascii="Times New Roman" w:eastAsia="Times New Roman" w:hAnsi="Times New Roman"/>
          <w:color w:val="000000"/>
          <w:spacing w:val="4"/>
          <w:sz w:val="26"/>
          <w:szCs w:val="26"/>
        </w:rPr>
        <w:t xml:space="preserve"> ceiling price.</w:t>
      </w:r>
      <w:r w:rsidR="0087277E">
        <w:rPr>
          <w:rFonts w:ascii="Times New Roman" w:eastAsia="Times New Roman" w:hAnsi="Times New Roman"/>
          <w:color w:val="000000"/>
          <w:spacing w:val="4"/>
          <w:sz w:val="26"/>
          <w:szCs w:val="26"/>
        </w:rPr>
        <w:t xml:space="preserve">  </w:t>
      </w:r>
      <w:proofErr w:type="gramStart"/>
      <w:r w:rsidR="0087277E">
        <w:rPr>
          <w:rFonts w:ascii="Times New Roman" w:eastAsia="Times New Roman" w:hAnsi="Times New Roman"/>
          <w:i/>
          <w:color w:val="000000"/>
          <w:spacing w:val="4"/>
          <w:sz w:val="26"/>
          <w:szCs w:val="26"/>
        </w:rPr>
        <w:t>Id.</w:t>
      </w:r>
      <w:r w:rsidR="0087277E">
        <w:rPr>
          <w:rFonts w:ascii="Times New Roman" w:eastAsia="Times New Roman" w:hAnsi="Times New Roman"/>
          <w:color w:val="000000"/>
          <w:spacing w:val="4"/>
          <w:sz w:val="26"/>
          <w:szCs w:val="26"/>
        </w:rPr>
        <w:t xml:space="preserve"> at 4.</w:t>
      </w:r>
      <w:proofErr w:type="gramEnd"/>
      <w:r w:rsidRPr="003853FC">
        <w:rPr>
          <w:rFonts w:ascii="Times New Roman" w:eastAsia="Times New Roman" w:hAnsi="Times New Roman"/>
          <w:color w:val="000000"/>
          <w:spacing w:val="4"/>
          <w:sz w:val="26"/>
          <w:szCs w:val="26"/>
        </w:rPr>
        <w:t xml:space="preserve">  If, however, the Commission allows there to be no price limit, the OCA submits that a specific statement that there is no price limit should be required.</w:t>
      </w:r>
      <w:r w:rsidR="0087277E">
        <w:rPr>
          <w:rFonts w:ascii="Times New Roman" w:eastAsia="Times New Roman" w:hAnsi="Times New Roman"/>
          <w:color w:val="000000"/>
          <w:spacing w:val="4"/>
          <w:sz w:val="26"/>
          <w:szCs w:val="26"/>
        </w:rPr>
        <w:t xml:space="preserve">  </w:t>
      </w:r>
      <w:r w:rsidR="0087277E">
        <w:rPr>
          <w:rFonts w:ascii="Times New Roman" w:eastAsia="Times New Roman" w:hAnsi="Times New Roman"/>
          <w:i/>
          <w:color w:val="000000"/>
          <w:spacing w:val="4"/>
          <w:sz w:val="26"/>
          <w:szCs w:val="26"/>
        </w:rPr>
        <w:t>Id.</w:t>
      </w:r>
      <w:r w:rsidRPr="003853FC">
        <w:rPr>
          <w:rFonts w:ascii="Times New Roman" w:eastAsia="Times New Roman" w:hAnsi="Times New Roman"/>
          <w:color w:val="000000"/>
          <w:spacing w:val="4"/>
          <w:sz w:val="26"/>
          <w:szCs w:val="26"/>
        </w:rPr>
        <w:t xml:space="preserve">  The OCA believes that this information should be clearly disclosed to residential </w:t>
      </w:r>
      <w:r w:rsidR="008E2217">
        <w:rPr>
          <w:rFonts w:ascii="Times New Roman" w:eastAsia="Times New Roman" w:hAnsi="Times New Roman"/>
          <w:color w:val="000000"/>
          <w:spacing w:val="4"/>
          <w:sz w:val="26"/>
          <w:szCs w:val="26"/>
        </w:rPr>
        <w:t>customer</w:t>
      </w:r>
      <w:r w:rsidRPr="003853FC">
        <w:rPr>
          <w:rFonts w:ascii="Times New Roman" w:eastAsia="Times New Roman" w:hAnsi="Times New Roman"/>
          <w:color w:val="000000"/>
          <w:spacing w:val="4"/>
          <w:sz w:val="26"/>
          <w:szCs w:val="26"/>
        </w:rPr>
        <w:t>s in plain language</w:t>
      </w:r>
      <w:r w:rsidR="00554D6A">
        <w:rPr>
          <w:rFonts w:ascii="Times New Roman" w:eastAsia="Times New Roman" w:hAnsi="Times New Roman"/>
          <w:color w:val="000000"/>
          <w:spacing w:val="4"/>
          <w:sz w:val="26"/>
          <w:szCs w:val="26"/>
        </w:rPr>
        <w:t xml:space="preserve">, as most </w:t>
      </w:r>
      <w:r w:rsidR="008E2217">
        <w:rPr>
          <w:rFonts w:ascii="Times New Roman" w:eastAsia="Times New Roman" w:hAnsi="Times New Roman"/>
          <w:color w:val="000000"/>
          <w:spacing w:val="4"/>
          <w:sz w:val="26"/>
          <w:szCs w:val="26"/>
        </w:rPr>
        <w:t>customer</w:t>
      </w:r>
      <w:r w:rsidRPr="003853FC">
        <w:rPr>
          <w:rFonts w:ascii="Times New Roman" w:eastAsia="Times New Roman" w:hAnsi="Times New Roman"/>
          <w:color w:val="000000"/>
          <w:spacing w:val="4"/>
          <w:sz w:val="26"/>
          <w:szCs w:val="26"/>
        </w:rPr>
        <w:t>s do not understand the unpredictability or pricing methodologies of the wholesale market</w:t>
      </w:r>
      <w:r w:rsidR="00554D6A">
        <w:rPr>
          <w:rFonts w:ascii="Times New Roman" w:eastAsia="Times New Roman" w:hAnsi="Times New Roman"/>
          <w:color w:val="000000"/>
          <w:spacing w:val="4"/>
          <w:sz w:val="26"/>
          <w:szCs w:val="26"/>
        </w:rPr>
        <w:t xml:space="preserve"> and may never be able to make a knowledgeable decision</w:t>
      </w:r>
      <w:r w:rsidR="00554D6A" w:rsidRPr="003853FC">
        <w:rPr>
          <w:rFonts w:ascii="Times New Roman" w:eastAsia="Times New Roman" w:hAnsi="Times New Roman"/>
          <w:color w:val="000000"/>
          <w:spacing w:val="4"/>
          <w:sz w:val="26"/>
          <w:szCs w:val="26"/>
        </w:rPr>
        <w:t xml:space="preserve"> with such limited information</w:t>
      </w:r>
      <w:r w:rsidRPr="003853FC">
        <w:rPr>
          <w:rFonts w:ascii="Times New Roman" w:eastAsia="Times New Roman" w:hAnsi="Times New Roman"/>
          <w:color w:val="000000"/>
          <w:spacing w:val="4"/>
          <w:sz w:val="26"/>
          <w:szCs w:val="26"/>
        </w:rPr>
        <w:t>.</w:t>
      </w:r>
      <w:r w:rsidR="00554D6A">
        <w:rPr>
          <w:rFonts w:ascii="Times New Roman" w:eastAsia="Times New Roman" w:hAnsi="Times New Roman"/>
          <w:color w:val="000000"/>
          <w:spacing w:val="4"/>
          <w:sz w:val="26"/>
          <w:szCs w:val="26"/>
        </w:rPr>
        <w:t xml:space="preserve">  </w:t>
      </w:r>
      <w:r w:rsidR="00554D6A">
        <w:rPr>
          <w:rFonts w:ascii="Times New Roman" w:eastAsia="Times New Roman" w:hAnsi="Times New Roman"/>
          <w:i/>
          <w:color w:val="000000"/>
          <w:spacing w:val="4"/>
          <w:sz w:val="26"/>
          <w:szCs w:val="26"/>
        </w:rPr>
        <w:t>Id.</w:t>
      </w:r>
      <w:r w:rsidRPr="003853FC">
        <w:rPr>
          <w:rFonts w:ascii="Times New Roman" w:eastAsia="Times New Roman" w:hAnsi="Times New Roman"/>
          <w:color w:val="000000"/>
          <w:spacing w:val="4"/>
          <w:sz w:val="26"/>
          <w:szCs w:val="26"/>
        </w:rPr>
        <w:t xml:space="preserve">  </w:t>
      </w:r>
      <w:r w:rsidR="00554D6A">
        <w:rPr>
          <w:rFonts w:ascii="Times New Roman" w:eastAsia="Times New Roman" w:hAnsi="Times New Roman"/>
          <w:color w:val="000000"/>
          <w:spacing w:val="4"/>
          <w:sz w:val="26"/>
          <w:szCs w:val="26"/>
        </w:rPr>
        <w:t xml:space="preserve">The </w:t>
      </w:r>
      <w:r w:rsidRPr="003853FC">
        <w:rPr>
          <w:rFonts w:ascii="Times New Roman" w:eastAsia="Times New Roman" w:hAnsi="Times New Roman"/>
          <w:color w:val="000000"/>
          <w:spacing w:val="4"/>
          <w:sz w:val="26"/>
          <w:szCs w:val="26"/>
        </w:rPr>
        <w:t>OCA recommends that NGSs provide an explanation of the limits on price variability, printed in type size larger than the type size appearing in the terms of service but no less than 12 point</w:t>
      </w:r>
      <w:r w:rsidR="00554D6A">
        <w:rPr>
          <w:rFonts w:ascii="Times New Roman" w:eastAsia="Times New Roman" w:hAnsi="Times New Roman"/>
          <w:color w:val="000000"/>
          <w:spacing w:val="4"/>
          <w:sz w:val="26"/>
          <w:szCs w:val="26"/>
        </w:rPr>
        <w:t xml:space="preserve"> font</w:t>
      </w:r>
      <w:r w:rsidRPr="003853FC">
        <w:rPr>
          <w:rFonts w:ascii="Times New Roman" w:eastAsia="Times New Roman" w:hAnsi="Times New Roman"/>
          <w:color w:val="000000"/>
          <w:spacing w:val="4"/>
          <w:sz w:val="26"/>
          <w:szCs w:val="26"/>
        </w:rPr>
        <w:t xml:space="preserve">.  The OCA objects to any disclosure of a pricing methodology that merely references the </w:t>
      </w:r>
      <w:r w:rsidR="00EB1606">
        <w:rPr>
          <w:rFonts w:ascii="Times New Roman" w:eastAsia="Times New Roman" w:hAnsi="Times New Roman"/>
          <w:color w:val="000000"/>
          <w:spacing w:val="4"/>
          <w:sz w:val="26"/>
          <w:szCs w:val="26"/>
        </w:rPr>
        <w:t>“</w:t>
      </w:r>
      <w:r w:rsidRPr="003853FC">
        <w:rPr>
          <w:rFonts w:ascii="Times New Roman" w:eastAsia="Times New Roman" w:hAnsi="Times New Roman"/>
          <w:color w:val="000000"/>
          <w:spacing w:val="4"/>
          <w:sz w:val="26"/>
          <w:szCs w:val="26"/>
        </w:rPr>
        <w:t>wholesale market" or other vague and unidentified pricing methodology</w:t>
      </w:r>
      <w:r w:rsidR="00554D6A">
        <w:rPr>
          <w:rFonts w:ascii="Times New Roman" w:eastAsia="Times New Roman" w:hAnsi="Times New Roman"/>
          <w:color w:val="000000"/>
          <w:spacing w:val="4"/>
          <w:sz w:val="26"/>
          <w:szCs w:val="26"/>
        </w:rPr>
        <w:t>;</w:t>
      </w:r>
      <w:r w:rsidRPr="003853FC">
        <w:rPr>
          <w:rFonts w:ascii="Times New Roman" w:eastAsia="Times New Roman" w:hAnsi="Times New Roman"/>
          <w:color w:val="000000"/>
          <w:spacing w:val="4"/>
          <w:sz w:val="26"/>
          <w:szCs w:val="26"/>
        </w:rPr>
        <w:t xml:space="preserve"> rather, the NGS should explicitly provide information that the </w:t>
      </w:r>
      <w:r w:rsidR="008E2217">
        <w:rPr>
          <w:rFonts w:ascii="Times New Roman" w:eastAsia="Times New Roman" w:hAnsi="Times New Roman"/>
          <w:color w:val="000000"/>
          <w:spacing w:val="4"/>
          <w:sz w:val="26"/>
          <w:szCs w:val="26"/>
        </w:rPr>
        <w:t>customer</w:t>
      </w:r>
      <w:r w:rsidRPr="003853FC">
        <w:rPr>
          <w:rFonts w:ascii="Times New Roman" w:eastAsia="Times New Roman" w:hAnsi="Times New Roman"/>
          <w:color w:val="000000"/>
          <w:spacing w:val="4"/>
          <w:sz w:val="26"/>
          <w:szCs w:val="26"/>
        </w:rPr>
        <w:t xml:space="preserve"> can publicly review </w:t>
      </w:r>
      <w:r w:rsidR="00EB1606">
        <w:rPr>
          <w:rFonts w:ascii="Times New Roman" w:eastAsia="Times New Roman" w:hAnsi="Times New Roman"/>
          <w:color w:val="000000"/>
          <w:spacing w:val="4"/>
          <w:sz w:val="26"/>
          <w:szCs w:val="26"/>
        </w:rPr>
        <w:t>and</w:t>
      </w:r>
      <w:r w:rsidRPr="003853FC">
        <w:rPr>
          <w:rFonts w:ascii="Times New Roman" w:eastAsia="Times New Roman" w:hAnsi="Times New Roman"/>
          <w:color w:val="000000"/>
          <w:spacing w:val="4"/>
          <w:sz w:val="26"/>
          <w:szCs w:val="26"/>
        </w:rPr>
        <w:t xml:space="preserve"> assess the price charged each month.  </w:t>
      </w:r>
      <w:r w:rsidR="00554D6A">
        <w:rPr>
          <w:rFonts w:ascii="Times New Roman" w:eastAsia="Times New Roman" w:hAnsi="Times New Roman"/>
          <w:i/>
          <w:color w:val="000000"/>
          <w:spacing w:val="4"/>
          <w:sz w:val="26"/>
          <w:szCs w:val="26"/>
        </w:rPr>
        <w:t>Id.</w:t>
      </w:r>
      <w:r w:rsidRPr="003853FC">
        <w:rPr>
          <w:rFonts w:ascii="Times New Roman" w:eastAsia="Times New Roman" w:hAnsi="Times New Roman"/>
          <w:color w:val="000000"/>
          <w:spacing w:val="4"/>
          <w:sz w:val="26"/>
          <w:szCs w:val="26"/>
        </w:rPr>
        <w:t xml:space="preserve"> </w:t>
      </w:r>
      <w:r w:rsidR="00554D6A">
        <w:rPr>
          <w:rFonts w:ascii="Times New Roman" w:eastAsia="Times New Roman" w:hAnsi="Times New Roman"/>
          <w:color w:val="000000"/>
          <w:spacing w:val="4"/>
          <w:sz w:val="26"/>
          <w:szCs w:val="26"/>
        </w:rPr>
        <w:t xml:space="preserve">at </w:t>
      </w:r>
      <w:r w:rsidRPr="003853FC">
        <w:rPr>
          <w:rFonts w:ascii="Times New Roman" w:eastAsia="Times New Roman" w:hAnsi="Times New Roman"/>
          <w:color w:val="000000"/>
          <w:spacing w:val="4"/>
          <w:sz w:val="26"/>
          <w:szCs w:val="26"/>
        </w:rPr>
        <w:t>4-5.</w:t>
      </w:r>
    </w:p>
    <w:p w:rsidR="00554D6A" w:rsidRDefault="00554D6A" w:rsidP="00554D6A">
      <w:pPr>
        <w:spacing w:line="360" w:lineRule="auto"/>
        <w:ind w:firstLine="720"/>
        <w:rPr>
          <w:rFonts w:ascii="Times New Roman" w:eastAsia="Times New Roman" w:hAnsi="Times New Roman"/>
          <w:color w:val="000000"/>
          <w:spacing w:val="4"/>
          <w:sz w:val="26"/>
          <w:szCs w:val="26"/>
        </w:rPr>
      </w:pPr>
    </w:p>
    <w:p w:rsidR="001A1513" w:rsidRPr="003853FC" w:rsidRDefault="001A1513" w:rsidP="00554D6A">
      <w:pPr>
        <w:spacing w:line="360" w:lineRule="auto"/>
        <w:ind w:firstLine="720"/>
        <w:rPr>
          <w:rFonts w:ascii="Times New Roman" w:eastAsia="Times New Roman" w:hAnsi="Times New Roman"/>
          <w:color w:val="000000"/>
          <w:spacing w:val="4"/>
          <w:sz w:val="26"/>
          <w:szCs w:val="26"/>
        </w:rPr>
      </w:pPr>
      <w:r w:rsidRPr="003853FC">
        <w:rPr>
          <w:rFonts w:ascii="Times New Roman" w:eastAsia="Times New Roman" w:hAnsi="Times New Roman"/>
          <w:color w:val="000000"/>
          <w:spacing w:val="4"/>
          <w:sz w:val="26"/>
          <w:szCs w:val="26"/>
        </w:rPr>
        <w:t xml:space="preserve">The OCA </w:t>
      </w:r>
      <w:r w:rsidR="006B337D">
        <w:rPr>
          <w:rFonts w:ascii="Times New Roman" w:eastAsia="Times New Roman" w:hAnsi="Times New Roman"/>
          <w:color w:val="000000"/>
          <w:spacing w:val="4"/>
          <w:sz w:val="26"/>
          <w:szCs w:val="26"/>
        </w:rPr>
        <w:t xml:space="preserve">further </w:t>
      </w:r>
      <w:r w:rsidRPr="003853FC">
        <w:rPr>
          <w:rFonts w:ascii="Times New Roman" w:eastAsia="Times New Roman" w:hAnsi="Times New Roman"/>
          <w:color w:val="000000"/>
          <w:spacing w:val="4"/>
          <w:sz w:val="26"/>
          <w:szCs w:val="26"/>
        </w:rPr>
        <w:t xml:space="preserve">recommends that if the "starting" price is introductory, the disclosure should state that the price is the introductory price, </w:t>
      </w:r>
      <w:r w:rsidR="00554D6A">
        <w:rPr>
          <w:rFonts w:ascii="Times New Roman" w:eastAsia="Times New Roman" w:hAnsi="Times New Roman"/>
          <w:color w:val="000000"/>
          <w:spacing w:val="4"/>
          <w:sz w:val="26"/>
          <w:szCs w:val="26"/>
        </w:rPr>
        <w:t xml:space="preserve">provide </w:t>
      </w:r>
      <w:r w:rsidRPr="003853FC">
        <w:rPr>
          <w:rFonts w:ascii="Times New Roman" w:eastAsia="Times New Roman" w:hAnsi="Times New Roman"/>
          <w:color w:val="000000"/>
          <w:spacing w:val="4"/>
          <w:sz w:val="26"/>
          <w:szCs w:val="26"/>
        </w:rPr>
        <w:t>the length of the introductory period, and</w:t>
      </w:r>
      <w:r w:rsidR="00554D6A">
        <w:rPr>
          <w:rFonts w:ascii="Times New Roman" w:eastAsia="Times New Roman" w:hAnsi="Times New Roman"/>
          <w:color w:val="000000"/>
          <w:spacing w:val="4"/>
          <w:sz w:val="26"/>
          <w:szCs w:val="26"/>
        </w:rPr>
        <w:t xml:space="preserve"> provide </w:t>
      </w:r>
      <w:r w:rsidRPr="003853FC">
        <w:rPr>
          <w:rFonts w:ascii="Times New Roman" w:eastAsia="Times New Roman" w:hAnsi="Times New Roman"/>
          <w:color w:val="000000"/>
          <w:spacing w:val="4"/>
          <w:sz w:val="26"/>
          <w:szCs w:val="26"/>
        </w:rPr>
        <w:t xml:space="preserve">the price for the first month after the introductory period. </w:t>
      </w:r>
      <w:r w:rsidR="00554D6A">
        <w:rPr>
          <w:rFonts w:ascii="Times New Roman" w:eastAsia="Times New Roman" w:hAnsi="Times New Roman"/>
          <w:color w:val="000000"/>
          <w:spacing w:val="4"/>
          <w:sz w:val="26"/>
          <w:szCs w:val="26"/>
        </w:rPr>
        <w:t xml:space="preserve"> </w:t>
      </w:r>
      <w:r w:rsidR="00554D6A">
        <w:rPr>
          <w:rFonts w:ascii="Times New Roman" w:eastAsia="Times New Roman" w:hAnsi="Times New Roman"/>
          <w:i/>
          <w:color w:val="000000"/>
          <w:spacing w:val="4"/>
          <w:sz w:val="26"/>
          <w:szCs w:val="26"/>
        </w:rPr>
        <w:t>Id.</w:t>
      </w:r>
      <w:r w:rsidR="00554D6A">
        <w:rPr>
          <w:rFonts w:ascii="Times New Roman" w:eastAsia="Times New Roman" w:hAnsi="Times New Roman"/>
          <w:color w:val="000000"/>
          <w:spacing w:val="4"/>
          <w:sz w:val="26"/>
          <w:szCs w:val="26"/>
        </w:rPr>
        <w:t xml:space="preserve"> at 5-6.  </w:t>
      </w:r>
      <w:r w:rsidRPr="003853FC">
        <w:rPr>
          <w:rFonts w:ascii="Times New Roman" w:eastAsia="Times New Roman" w:hAnsi="Times New Roman"/>
          <w:color w:val="000000"/>
          <w:spacing w:val="4"/>
          <w:sz w:val="26"/>
          <w:szCs w:val="26"/>
        </w:rPr>
        <w:t>If a price has not been set for the first month after the introductory period, the disclosure should explain how the price will be established</w:t>
      </w:r>
      <w:r w:rsidR="00EB1606">
        <w:rPr>
          <w:rFonts w:ascii="Times New Roman" w:eastAsia="Times New Roman" w:hAnsi="Times New Roman"/>
          <w:color w:val="000000"/>
          <w:spacing w:val="4"/>
          <w:sz w:val="26"/>
          <w:szCs w:val="26"/>
        </w:rPr>
        <w:t xml:space="preserve">.  The disclosure </w:t>
      </w:r>
      <w:r w:rsidRPr="003853FC">
        <w:rPr>
          <w:rFonts w:ascii="Times New Roman" w:eastAsia="Times New Roman" w:hAnsi="Times New Roman"/>
          <w:color w:val="000000"/>
          <w:spacing w:val="4"/>
          <w:sz w:val="26"/>
          <w:szCs w:val="26"/>
        </w:rPr>
        <w:t xml:space="preserve">should also explicitly state that the price to be charged after </w:t>
      </w:r>
      <w:r w:rsidR="006B337D">
        <w:rPr>
          <w:rFonts w:ascii="Times New Roman" w:eastAsia="Times New Roman" w:hAnsi="Times New Roman"/>
          <w:color w:val="000000"/>
          <w:spacing w:val="4"/>
          <w:sz w:val="26"/>
          <w:szCs w:val="26"/>
        </w:rPr>
        <w:t>the introductory perio</w:t>
      </w:r>
      <w:r w:rsidRPr="003853FC">
        <w:rPr>
          <w:rFonts w:ascii="Times New Roman" w:eastAsia="Times New Roman" w:hAnsi="Times New Roman"/>
          <w:color w:val="000000"/>
          <w:spacing w:val="4"/>
          <w:sz w:val="26"/>
          <w:szCs w:val="26"/>
        </w:rPr>
        <w:t xml:space="preserve">d may be higher than the introductory rate and </w:t>
      </w:r>
      <w:r w:rsidR="00EB1606">
        <w:rPr>
          <w:rFonts w:ascii="Times New Roman" w:eastAsia="Times New Roman" w:hAnsi="Times New Roman"/>
          <w:color w:val="000000"/>
          <w:spacing w:val="4"/>
          <w:sz w:val="26"/>
          <w:szCs w:val="26"/>
        </w:rPr>
        <w:t xml:space="preserve">provide information as to </w:t>
      </w:r>
      <w:r w:rsidRPr="003853FC">
        <w:rPr>
          <w:rFonts w:ascii="Times New Roman" w:eastAsia="Times New Roman" w:hAnsi="Times New Roman"/>
          <w:color w:val="000000"/>
          <w:spacing w:val="4"/>
          <w:sz w:val="26"/>
          <w:szCs w:val="26"/>
        </w:rPr>
        <w:t xml:space="preserve">when the new price will be provided to the </w:t>
      </w:r>
      <w:r w:rsidR="008E2217">
        <w:rPr>
          <w:rFonts w:ascii="Times New Roman" w:eastAsia="Times New Roman" w:hAnsi="Times New Roman"/>
          <w:color w:val="000000"/>
          <w:spacing w:val="4"/>
          <w:sz w:val="26"/>
          <w:szCs w:val="26"/>
        </w:rPr>
        <w:t>customer</w:t>
      </w:r>
      <w:r w:rsidRPr="003853FC">
        <w:rPr>
          <w:rFonts w:ascii="Times New Roman" w:eastAsia="Times New Roman" w:hAnsi="Times New Roman"/>
          <w:color w:val="000000"/>
          <w:spacing w:val="4"/>
          <w:sz w:val="26"/>
          <w:szCs w:val="26"/>
        </w:rPr>
        <w:t xml:space="preserve">.  </w:t>
      </w:r>
      <w:r w:rsidR="00554D6A">
        <w:rPr>
          <w:rFonts w:ascii="Times New Roman" w:eastAsia="Times New Roman" w:hAnsi="Times New Roman"/>
          <w:i/>
          <w:color w:val="000000"/>
          <w:spacing w:val="4"/>
          <w:sz w:val="26"/>
          <w:szCs w:val="26"/>
        </w:rPr>
        <w:t>Id.</w:t>
      </w:r>
    </w:p>
    <w:p w:rsidR="00554D6A" w:rsidRDefault="00554D6A" w:rsidP="001A1513">
      <w:pPr>
        <w:spacing w:line="360" w:lineRule="auto"/>
        <w:rPr>
          <w:rFonts w:ascii="Times New Roman" w:eastAsia="Times New Roman" w:hAnsi="Times New Roman"/>
          <w:color w:val="000000"/>
          <w:spacing w:val="4"/>
          <w:sz w:val="26"/>
          <w:szCs w:val="26"/>
        </w:rPr>
      </w:pPr>
    </w:p>
    <w:p w:rsidR="001A1513" w:rsidRPr="003853FC" w:rsidRDefault="001A1513" w:rsidP="00554D6A">
      <w:pPr>
        <w:spacing w:line="360" w:lineRule="auto"/>
        <w:ind w:firstLine="720"/>
        <w:rPr>
          <w:rFonts w:ascii="Times New Roman" w:eastAsia="Times New Roman" w:hAnsi="Times New Roman"/>
          <w:color w:val="000000"/>
          <w:spacing w:val="4"/>
          <w:sz w:val="26"/>
          <w:szCs w:val="26"/>
        </w:rPr>
      </w:pPr>
      <w:r w:rsidRPr="003853FC">
        <w:rPr>
          <w:rFonts w:ascii="Times New Roman" w:eastAsia="Times New Roman" w:hAnsi="Times New Roman"/>
          <w:color w:val="000000"/>
          <w:spacing w:val="4"/>
          <w:sz w:val="26"/>
          <w:szCs w:val="26"/>
        </w:rPr>
        <w:t xml:space="preserve">The OCA </w:t>
      </w:r>
      <w:r w:rsidR="00554D6A">
        <w:rPr>
          <w:rFonts w:ascii="Times New Roman" w:eastAsia="Times New Roman" w:hAnsi="Times New Roman"/>
          <w:color w:val="000000"/>
          <w:spacing w:val="4"/>
          <w:sz w:val="26"/>
          <w:szCs w:val="26"/>
        </w:rPr>
        <w:t>supports</w:t>
      </w:r>
      <w:r w:rsidRPr="003853FC">
        <w:rPr>
          <w:rFonts w:ascii="Times New Roman" w:eastAsia="Times New Roman" w:hAnsi="Times New Roman"/>
          <w:color w:val="000000"/>
          <w:spacing w:val="4"/>
          <w:sz w:val="26"/>
          <w:szCs w:val="26"/>
        </w:rPr>
        <w:t xml:space="preserve"> requir</w:t>
      </w:r>
      <w:r w:rsidR="00554D6A">
        <w:rPr>
          <w:rFonts w:ascii="Times New Roman" w:eastAsia="Times New Roman" w:hAnsi="Times New Roman"/>
          <w:color w:val="000000"/>
          <w:spacing w:val="4"/>
          <w:sz w:val="26"/>
          <w:szCs w:val="26"/>
        </w:rPr>
        <w:t>ing</w:t>
      </w:r>
      <w:r w:rsidRPr="003853FC">
        <w:rPr>
          <w:rFonts w:ascii="Times New Roman" w:eastAsia="Times New Roman" w:hAnsi="Times New Roman"/>
          <w:color w:val="000000"/>
          <w:spacing w:val="4"/>
          <w:sz w:val="26"/>
          <w:szCs w:val="26"/>
        </w:rPr>
        <w:t xml:space="preserve"> NGSs </w:t>
      </w:r>
      <w:r w:rsidR="00554D6A">
        <w:rPr>
          <w:rFonts w:ascii="Times New Roman" w:eastAsia="Times New Roman" w:hAnsi="Times New Roman"/>
          <w:color w:val="000000"/>
          <w:spacing w:val="4"/>
          <w:sz w:val="26"/>
          <w:szCs w:val="26"/>
        </w:rPr>
        <w:t xml:space="preserve">to </w:t>
      </w:r>
      <w:r w:rsidRPr="003853FC">
        <w:rPr>
          <w:rFonts w:ascii="Times New Roman" w:eastAsia="Times New Roman" w:hAnsi="Times New Roman"/>
          <w:color w:val="000000"/>
          <w:spacing w:val="4"/>
          <w:sz w:val="26"/>
          <w:szCs w:val="26"/>
        </w:rPr>
        <w:t xml:space="preserve">provide a historical presentation of prices and </w:t>
      </w:r>
      <w:r w:rsidR="00554D6A">
        <w:rPr>
          <w:rFonts w:ascii="Times New Roman" w:eastAsia="Times New Roman" w:hAnsi="Times New Roman"/>
          <w:color w:val="000000"/>
          <w:spacing w:val="4"/>
          <w:sz w:val="26"/>
          <w:szCs w:val="26"/>
        </w:rPr>
        <w:t xml:space="preserve">to </w:t>
      </w:r>
      <w:r w:rsidRPr="003853FC">
        <w:rPr>
          <w:rFonts w:ascii="Times New Roman" w:eastAsia="Times New Roman" w:hAnsi="Times New Roman"/>
          <w:color w:val="000000"/>
          <w:spacing w:val="4"/>
          <w:sz w:val="26"/>
          <w:szCs w:val="26"/>
        </w:rPr>
        <w:t xml:space="preserve">affirmatively state that a 12-month history of prices </w:t>
      </w:r>
      <w:r w:rsidR="00554D6A">
        <w:rPr>
          <w:rFonts w:ascii="Times New Roman" w:eastAsia="Times New Roman" w:hAnsi="Times New Roman"/>
          <w:color w:val="000000"/>
          <w:spacing w:val="4"/>
          <w:sz w:val="26"/>
          <w:szCs w:val="26"/>
        </w:rPr>
        <w:t>(</w:t>
      </w:r>
      <w:r w:rsidRPr="003853FC">
        <w:rPr>
          <w:rFonts w:ascii="Times New Roman" w:eastAsia="Times New Roman" w:hAnsi="Times New Roman"/>
          <w:color w:val="000000"/>
          <w:spacing w:val="4"/>
          <w:sz w:val="26"/>
          <w:szCs w:val="26"/>
        </w:rPr>
        <w:t xml:space="preserve">charged to similar </w:t>
      </w:r>
      <w:r w:rsidR="008E2217">
        <w:rPr>
          <w:rFonts w:ascii="Times New Roman" w:eastAsia="Times New Roman" w:hAnsi="Times New Roman"/>
          <w:color w:val="000000"/>
          <w:spacing w:val="4"/>
          <w:sz w:val="26"/>
          <w:szCs w:val="26"/>
        </w:rPr>
        <w:t>customer</w:t>
      </w:r>
      <w:r w:rsidRPr="003853FC">
        <w:rPr>
          <w:rFonts w:ascii="Times New Roman" w:eastAsia="Times New Roman" w:hAnsi="Times New Roman"/>
          <w:color w:val="000000"/>
          <w:spacing w:val="4"/>
          <w:sz w:val="26"/>
          <w:szCs w:val="26"/>
        </w:rPr>
        <w:t xml:space="preserve">s in Pennsylvania for the applicable </w:t>
      </w:r>
      <w:r w:rsidR="00290A55">
        <w:rPr>
          <w:rFonts w:ascii="Times New Roman" w:eastAsia="Times New Roman" w:hAnsi="Times New Roman"/>
          <w:color w:val="000000"/>
          <w:spacing w:val="4"/>
          <w:sz w:val="26"/>
          <w:szCs w:val="26"/>
        </w:rPr>
        <w:t xml:space="preserve">natural gas distribution company </w:t>
      </w:r>
      <w:r w:rsidR="00AE134F">
        <w:rPr>
          <w:rFonts w:ascii="Times New Roman" w:eastAsia="Times New Roman" w:hAnsi="Times New Roman"/>
          <w:color w:val="000000"/>
          <w:spacing w:val="4"/>
          <w:sz w:val="26"/>
          <w:szCs w:val="26"/>
        </w:rPr>
        <w:t>(</w:t>
      </w:r>
      <w:r w:rsidRPr="003853FC">
        <w:rPr>
          <w:rFonts w:ascii="Times New Roman" w:eastAsia="Times New Roman" w:hAnsi="Times New Roman"/>
          <w:color w:val="000000"/>
          <w:spacing w:val="4"/>
          <w:sz w:val="26"/>
          <w:szCs w:val="26"/>
        </w:rPr>
        <w:t>NGDC</w:t>
      </w:r>
      <w:r w:rsidR="00AE134F">
        <w:rPr>
          <w:rFonts w:ascii="Times New Roman" w:eastAsia="Times New Roman" w:hAnsi="Times New Roman"/>
          <w:color w:val="000000"/>
          <w:spacing w:val="4"/>
          <w:sz w:val="26"/>
          <w:szCs w:val="26"/>
        </w:rPr>
        <w:t>)</w:t>
      </w:r>
      <w:r w:rsidR="00554D6A">
        <w:rPr>
          <w:rFonts w:ascii="Times New Roman" w:eastAsia="Times New Roman" w:hAnsi="Times New Roman"/>
          <w:color w:val="000000"/>
          <w:spacing w:val="4"/>
          <w:sz w:val="26"/>
          <w:szCs w:val="26"/>
        </w:rPr>
        <w:t>)</w:t>
      </w:r>
      <w:r w:rsidRPr="003853FC">
        <w:rPr>
          <w:rFonts w:ascii="Times New Roman" w:eastAsia="Times New Roman" w:hAnsi="Times New Roman"/>
          <w:color w:val="000000"/>
          <w:spacing w:val="4"/>
          <w:sz w:val="26"/>
          <w:szCs w:val="26"/>
        </w:rPr>
        <w:t xml:space="preserve"> is available </w:t>
      </w:r>
      <w:r w:rsidR="00554D6A">
        <w:rPr>
          <w:rFonts w:ascii="Times New Roman" w:eastAsia="Times New Roman" w:hAnsi="Times New Roman"/>
          <w:color w:val="000000"/>
          <w:spacing w:val="4"/>
          <w:sz w:val="26"/>
          <w:szCs w:val="26"/>
        </w:rPr>
        <w:t xml:space="preserve">on the supplier’s </w:t>
      </w:r>
      <w:r w:rsidRPr="003853FC">
        <w:rPr>
          <w:rFonts w:ascii="Times New Roman" w:eastAsia="Times New Roman" w:hAnsi="Times New Roman"/>
          <w:color w:val="000000"/>
          <w:spacing w:val="4"/>
          <w:sz w:val="26"/>
          <w:szCs w:val="26"/>
        </w:rPr>
        <w:t>website</w:t>
      </w:r>
      <w:r w:rsidR="00554D6A">
        <w:rPr>
          <w:rFonts w:ascii="Times New Roman" w:eastAsia="Times New Roman" w:hAnsi="Times New Roman"/>
          <w:color w:val="000000"/>
          <w:spacing w:val="4"/>
          <w:sz w:val="26"/>
          <w:szCs w:val="26"/>
        </w:rPr>
        <w:t>,</w:t>
      </w:r>
      <w:r w:rsidRPr="003853FC">
        <w:rPr>
          <w:rFonts w:ascii="Times New Roman" w:eastAsia="Times New Roman" w:hAnsi="Times New Roman"/>
          <w:color w:val="000000"/>
          <w:spacing w:val="4"/>
          <w:sz w:val="26"/>
          <w:szCs w:val="26"/>
        </w:rPr>
        <w:t xml:space="preserve"> by calling a toll free telephone number</w:t>
      </w:r>
      <w:r w:rsidR="00554D6A">
        <w:rPr>
          <w:rFonts w:ascii="Times New Roman" w:eastAsia="Times New Roman" w:hAnsi="Times New Roman"/>
          <w:color w:val="000000"/>
          <w:spacing w:val="4"/>
          <w:sz w:val="26"/>
          <w:szCs w:val="26"/>
        </w:rPr>
        <w:t>, and through interactions with sales agents</w:t>
      </w:r>
      <w:r w:rsidRPr="003853FC">
        <w:rPr>
          <w:rFonts w:ascii="Times New Roman" w:eastAsia="Times New Roman" w:hAnsi="Times New Roman"/>
          <w:color w:val="000000"/>
          <w:spacing w:val="4"/>
          <w:sz w:val="26"/>
          <w:szCs w:val="26"/>
        </w:rPr>
        <w:t xml:space="preserve">. </w:t>
      </w:r>
      <w:r w:rsidR="006B337D">
        <w:rPr>
          <w:rFonts w:ascii="Times New Roman" w:eastAsia="Times New Roman" w:hAnsi="Times New Roman"/>
          <w:color w:val="000000"/>
          <w:spacing w:val="4"/>
          <w:sz w:val="26"/>
          <w:szCs w:val="26"/>
        </w:rPr>
        <w:t xml:space="preserve"> </w:t>
      </w:r>
      <w:proofErr w:type="gramStart"/>
      <w:r w:rsidR="006B337D">
        <w:rPr>
          <w:rFonts w:ascii="Times New Roman" w:eastAsia="Times New Roman" w:hAnsi="Times New Roman"/>
          <w:i/>
          <w:color w:val="000000"/>
          <w:spacing w:val="4"/>
          <w:sz w:val="26"/>
          <w:szCs w:val="26"/>
        </w:rPr>
        <w:t>Id.</w:t>
      </w:r>
      <w:r w:rsidR="00554D6A">
        <w:rPr>
          <w:rFonts w:ascii="Times New Roman" w:eastAsia="Times New Roman" w:hAnsi="Times New Roman"/>
          <w:color w:val="000000"/>
          <w:spacing w:val="4"/>
          <w:sz w:val="26"/>
          <w:szCs w:val="26"/>
        </w:rPr>
        <w:t xml:space="preserve"> at 6.</w:t>
      </w:r>
      <w:proofErr w:type="gramEnd"/>
      <w:r w:rsidR="00554D6A">
        <w:rPr>
          <w:rFonts w:ascii="Times New Roman" w:eastAsia="Times New Roman" w:hAnsi="Times New Roman"/>
          <w:color w:val="000000"/>
          <w:spacing w:val="4"/>
          <w:sz w:val="26"/>
          <w:szCs w:val="26"/>
        </w:rPr>
        <w:t xml:space="preserve">  The OCA believes that t</w:t>
      </w:r>
      <w:r w:rsidRPr="003853FC">
        <w:rPr>
          <w:rFonts w:ascii="Times New Roman" w:eastAsia="Times New Roman" w:hAnsi="Times New Roman"/>
          <w:color w:val="000000"/>
          <w:spacing w:val="4"/>
          <w:sz w:val="26"/>
          <w:szCs w:val="26"/>
        </w:rPr>
        <w:t xml:space="preserve">his information should also include the highest and lowest price charged for the </w:t>
      </w:r>
      <w:r w:rsidRPr="003853FC">
        <w:rPr>
          <w:rFonts w:ascii="Times New Roman" w:eastAsia="Times New Roman" w:hAnsi="Times New Roman"/>
          <w:color w:val="000000"/>
          <w:spacing w:val="4"/>
          <w:sz w:val="26"/>
          <w:szCs w:val="26"/>
        </w:rPr>
        <w:lastRenderedPageBreak/>
        <w:t>customer’s rate class and ser</w:t>
      </w:r>
      <w:r w:rsidR="00EB1606">
        <w:rPr>
          <w:rFonts w:ascii="Times New Roman" w:eastAsia="Times New Roman" w:hAnsi="Times New Roman"/>
          <w:color w:val="000000"/>
          <w:spacing w:val="4"/>
          <w:sz w:val="26"/>
          <w:szCs w:val="26"/>
        </w:rPr>
        <w:t xml:space="preserve">vice territory over the last 60 </w:t>
      </w:r>
      <w:r w:rsidRPr="003853FC">
        <w:rPr>
          <w:rFonts w:ascii="Times New Roman" w:eastAsia="Times New Roman" w:hAnsi="Times New Roman"/>
          <w:color w:val="000000"/>
          <w:spacing w:val="4"/>
          <w:sz w:val="26"/>
          <w:szCs w:val="26"/>
        </w:rPr>
        <w:t>months</w:t>
      </w:r>
      <w:r w:rsidR="00554D6A">
        <w:rPr>
          <w:rFonts w:ascii="Times New Roman" w:eastAsia="Times New Roman" w:hAnsi="Times New Roman"/>
          <w:color w:val="000000"/>
          <w:spacing w:val="4"/>
          <w:sz w:val="26"/>
          <w:szCs w:val="26"/>
        </w:rPr>
        <w:t xml:space="preserve"> and </w:t>
      </w:r>
      <w:r w:rsidR="00EB1606">
        <w:rPr>
          <w:rFonts w:ascii="Times New Roman" w:eastAsia="Times New Roman" w:hAnsi="Times New Roman"/>
          <w:color w:val="000000"/>
          <w:spacing w:val="4"/>
          <w:sz w:val="26"/>
          <w:szCs w:val="26"/>
        </w:rPr>
        <w:t xml:space="preserve">that </w:t>
      </w:r>
      <w:r w:rsidR="00554D6A">
        <w:rPr>
          <w:rFonts w:ascii="Times New Roman" w:eastAsia="Times New Roman" w:hAnsi="Times New Roman"/>
          <w:color w:val="000000"/>
          <w:spacing w:val="4"/>
          <w:sz w:val="26"/>
          <w:szCs w:val="26"/>
        </w:rPr>
        <w:t xml:space="preserve">a </w:t>
      </w:r>
      <w:r w:rsidRPr="003853FC">
        <w:rPr>
          <w:rFonts w:ascii="Times New Roman" w:eastAsia="Times New Roman" w:hAnsi="Times New Roman"/>
          <w:noProof/>
          <w:color w:val="000000"/>
          <w:spacing w:val="4"/>
          <w:sz w:val="26"/>
          <w:szCs w:val="26"/>
          <w:lang w:bidi="ar-SA"/>
        </w:rPr>
        <mc:AlternateContent>
          <mc:Choice Requires="wps">
            <w:drawing>
              <wp:anchor distT="0" distB="0" distL="0" distR="0" simplePos="0" relativeHeight="251661312" behindDoc="1" locked="0" layoutInCell="1" allowOverlap="1" wp14:anchorId="2C6A87AE" wp14:editId="0DE3E865">
                <wp:simplePos x="0" y="0"/>
                <wp:positionH relativeFrom="page">
                  <wp:posOffset>3877945</wp:posOffset>
                </wp:positionH>
                <wp:positionV relativeFrom="page">
                  <wp:posOffset>9193530</wp:posOffset>
                </wp:positionV>
                <wp:extent cx="186690" cy="16700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F64" w:rsidRDefault="009D7F64" w:rsidP="001A1513">
                            <w:pPr>
                              <w:spacing w:line="253" w:lineRule="exact"/>
                              <w:textAlignment w:val="baseline"/>
                              <w:rPr>
                                <w:rFonts w:eastAsia="Times New Roman"/>
                                <w:color w:val="000000"/>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05.35pt;margin-top:723.9pt;width:14.7pt;height:13.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GMtrQIAAK8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w4qSDFt3TUaMbMaLAVGfoVQpOdz246RG2ocuWqepvRflNIS7WDeE7ei2lGBpKKsjONzfds6sT&#10;jjIg2+GjqCAM2WthgcZadqZ0UAwE6NClh1NnTCqlCRlHUQInJRz50dLzFjYCSefLvVT6PRUdMkaG&#10;JTTegpPDrdImGZLOLiYWFwVrW9v8lj/bAMdpB0LDVXNmkrC9fEy8ZBNv4tAJg2jjhF6eO9fFOnSi&#10;wl8u8nf5ep37P01cP0wbVlWUmzCzrvzwz/p2VPikiJOylGhZZeBMSkrututWogMBXRf2OxbkzM19&#10;noYtAnB5QckPQu8mSJwiipdOWIQLJ1l6seP5yU0SeWES5sVzSreM03+nhIYMJ4tgMWnpt9w8+73m&#10;RtKOaZgcLesyHJ+cSGoUuOGVba0mrJ3ss1KY9J9KAe2eG231aiQ6iVWP29E+DCtmo+WtqB5AwFKA&#10;wECLMPXAaIT8gdEAEyTD6vueSIpR+4HDIzDjZjbkbGxng/ASrmZYYzSZaz2NpX0v2a4B5OmZcXEN&#10;D6VmVsRPWRyfF0wFy+U4wczYOf+3Xk9zdvULAAD//wMAUEsDBBQABgAIAAAAIQBNO4+94AAAAA0B&#10;AAAPAAAAZHJzL2Rvd25yZXYueG1sTI/BTsMwEETvSPyDtUjcqB0UJTSNU1UITkiINBw4OrGbWI3X&#10;IXbb8PdsT3DcmafZmXK7uJGdzRysRwnJSgAz2HltsZfw2bw+PAELUaFWo0cj4ccE2Fa3N6UqtL9g&#10;bc772DMKwVAoCUOMU8F56AbjVFj5ySB5Bz87Femce65ndaFwN/JHITLulEX6MKjJPA+mO+5PTsLu&#10;C+sX+/3eftSH2jbNWuBbdpTy/m7ZbYBFs8Q/GK71qTpU1Kn1J9SBjRKyROSEkpGmOY0gJEtFAqy9&#10;SnmaAK9K/n9F9QsAAP//AwBQSwECLQAUAAYACAAAACEAtoM4kv4AAADhAQAAEwAAAAAAAAAAAAAA&#10;AAAAAAAAW0NvbnRlbnRfVHlwZXNdLnhtbFBLAQItABQABgAIAAAAIQA4/SH/1gAAAJQBAAALAAAA&#10;AAAAAAAAAAAAAC8BAABfcmVscy8ucmVsc1BLAQItABQABgAIAAAAIQCERGMtrQIAAK8FAAAOAAAA&#10;AAAAAAAAAAAAAC4CAABkcnMvZTJvRG9jLnhtbFBLAQItABQABgAIAAAAIQBNO4+94AAAAA0BAAAP&#10;AAAAAAAAAAAAAAAAAAcFAABkcnMvZG93bnJldi54bWxQSwUGAAAAAAQABADzAAAAFAYAAAAA&#10;" filled="f" stroked="f">
                <v:textbox inset="0,0,0,0">
                  <w:txbxContent>
                    <w:p w:rsidR="009D7F64" w:rsidRDefault="009D7F64" w:rsidP="001A1513">
                      <w:pPr>
                        <w:spacing w:line="253" w:lineRule="exact"/>
                        <w:textAlignment w:val="baseline"/>
                        <w:rPr>
                          <w:rFonts w:eastAsia="Times New Roman"/>
                          <w:color w:val="000000"/>
                          <w:sz w:val="23"/>
                        </w:rPr>
                      </w:pPr>
                    </w:p>
                  </w:txbxContent>
                </v:textbox>
                <w10:wrap type="square" anchorx="page" anchory="page"/>
              </v:shape>
            </w:pict>
          </mc:Fallback>
        </mc:AlternateContent>
      </w:r>
      <w:r w:rsidRPr="003853FC">
        <w:rPr>
          <w:rFonts w:ascii="Times New Roman" w:eastAsia="Times New Roman" w:hAnsi="Times New Roman"/>
          <w:color w:val="000000"/>
          <w:spacing w:val="4"/>
          <w:sz w:val="26"/>
          <w:szCs w:val="26"/>
        </w:rPr>
        <w:t xml:space="preserve">statement that historical prices are not a guarantee of future prices.  </w:t>
      </w:r>
      <w:r w:rsidR="00DD14E4">
        <w:rPr>
          <w:rFonts w:ascii="Times New Roman" w:eastAsia="Times New Roman" w:hAnsi="Times New Roman"/>
          <w:i/>
          <w:color w:val="000000"/>
          <w:spacing w:val="4"/>
          <w:sz w:val="26"/>
          <w:szCs w:val="26"/>
        </w:rPr>
        <w:t>Id.</w:t>
      </w:r>
      <w:r w:rsidR="00EB1606">
        <w:rPr>
          <w:rFonts w:ascii="Times New Roman" w:eastAsia="Times New Roman" w:hAnsi="Times New Roman"/>
          <w:color w:val="000000"/>
          <w:spacing w:val="4"/>
          <w:sz w:val="26"/>
          <w:szCs w:val="26"/>
        </w:rPr>
        <w:t xml:space="preserve"> at</w:t>
      </w:r>
      <w:r w:rsidRPr="003853FC">
        <w:rPr>
          <w:rFonts w:ascii="Times New Roman" w:eastAsia="Times New Roman" w:hAnsi="Times New Roman"/>
          <w:color w:val="000000"/>
          <w:spacing w:val="4"/>
          <w:sz w:val="26"/>
          <w:szCs w:val="26"/>
        </w:rPr>
        <w:t xml:space="preserve"> </w:t>
      </w:r>
      <w:r w:rsidR="00554D6A">
        <w:rPr>
          <w:rFonts w:ascii="Times New Roman" w:eastAsia="Times New Roman" w:hAnsi="Times New Roman"/>
          <w:color w:val="000000"/>
          <w:spacing w:val="4"/>
          <w:sz w:val="26"/>
          <w:szCs w:val="26"/>
        </w:rPr>
        <w:t>6-</w:t>
      </w:r>
      <w:r w:rsidRPr="003853FC">
        <w:rPr>
          <w:rFonts w:ascii="Times New Roman" w:eastAsia="Times New Roman" w:hAnsi="Times New Roman"/>
          <w:color w:val="000000"/>
          <w:spacing w:val="4"/>
          <w:sz w:val="26"/>
          <w:szCs w:val="26"/>
        </w:rPr>
        <w:t xml:space="preserve">7.  </w:t>
      </w:r>
      <w:r w:rsidR="00554D6A">
        <w:rPr>
          <w:rFonts w:ascii="Times New Roman" w:eastAsia="Times New Roman" w:hAnsi="Times New Roman"/>
          <w:color w:val="000000"/>
          <w:spacing w:val="4"/>
          <w:sz w:val="26"/>
          <w:szCs w:val="26"/>
        </w:rPr>
        <w:t>T</w:t>
      </w:r>
      <w:r w:rsidRPr="003853FC">
        <w:rPr>
          <w:rFonts w:ascii="Times New Roman" w:eastAsia="Times New Roman" w:hAnsi="Times New Roman"/>
          <w:color w:val="000000"/>
          <w:spacing w:val="4"/>
          <w:sz w:val="26"/>
          <w:szCs w:val="26"/>
        </w:rPr>
        <w:t xml:space="preserve">he OCA </w:t>
      </w:r>
      <w:r w:rsidR="00554D6A">
        <w:rPr>
          <w:rFonts w:ascii="Times New Roman" w:eastAsia="Times New Roman" w:hAnsi="Times New Roman"/>
          <w:color w:val="000000"/>
          <w:spacing w:val="4"/>
          <w:sz w:val="26"/>
          <w:szCs w:val="26"/>
        </w:rPr>
        <w:t xml:space="preserve">also </w:t>
      </w:r>
      <w:r w:rsidRPr="003853FC">
        <w:rPr>
          <w:rFonts w:ascii="Times New Roman" w:eastAsia="Times New Roman" w:hAnsi="Times New Roman"/>
          <w:color w:val="000000"/>
          <w:spacing w:val="4"/>
          <w:sz w:val="26"/>
          <w:szCs w:val="26"/>
        </w:rPr>
        <w:t xml:space="preserve">urges the Commission to require customers to receive notifications of all changes to a variable price at least 45 days prior to the new price going into effect. </w:t>
      </w:r>
      <w:r w:rsidR="00554D6A">
        <w:rPr>
          <w:rFonts w:ascii="Times New Roman" w:eastAsia="Times New Roman" w:hAnsi="Times New Roman"/>
          <w:color w:val="000000"/>
          <w:spacing w:val="4"/>
          <w:sz w:val="26"/>
          <w:szCs w:val="26"/>
        </w:rPr>
        <w:t xml:space="preserve"> </w:t>
      </w:r>
      <w:proofErr w:type="gramStart"/>
      <w:r w:rsidR="00DC198F">
        <w:rPr>
          <w:rFonts w:ascii="Times New Roman" w:eastAsia="Times New Roman" w:hAnsi="Times New Roman"/>
          <w:i/>
          <w:color w:val="000000"/>
          <w:spacing w:val="4"/>
          <w:sz w:val="26"/>
          <w:szCs w:val="26"/>
        </w:rPr>
        <w:t xml:space="preserve">Id. </w:t>
      </w:r>
      <w:r w:rsidR="00DC198F">
        <w:rPr>
          <w:rFonts w:ascii="Times New Roman" w:eastAsia="Times New Roman" w:hAnsi="Times New Roman"/>
          <w:color w:val="000000"/>
          <w:spacing w:val="4"/>
          <w:sz w:val="26"/>
          <w:szCs w:val="26"/>
        </w:rPr>
        <w:t>at 12.</w:t>
      </w:r>
      <w:proofErr w:type="gramEnd"/>
      <w:r w:rsidR="00DC198F">
        <w:rPr>
          <w:rFonts w:ascii="Times New Roman" w:eastAsia="Times New Roman" w:hAnsi="Times New Roman"/>
          <w:color w:val="000000"/>
          <w:spacing w:val="4"/>
          <w:sz w:val="26"/>
          <w:szCs w:val="26"/>
        </w:rPr>
        <w:t xml:space="preserve">  </w:t>
      </w:r>
      <w:r w:rsidR="00823E50">
        <w:rPr>
          <w:rFonts w:ascii="Times New Roman" w:eastAsia="Times New Roman" w:hAnsi="Times New Roman"/>
          <w:color w:val="000000"/>
          <w:spacing w:val="4"/>
          <w:sz w:val="26"/>
          <w:szCs w:val="26"/>
        </w:rPr>
        <w:t xml:space="preserve">The </w:t>
      </w:r>
      <w:r w:rsidRPr="003853FC">
        <w:rPr>
          <w:rFonts w:ascii="Times New Roman" w:eastAsia="Times New Roman" w:hAnsi="Times New Roman"/>
          <w:color w:val="000000"/>
          <w:spacing w:val="4"/>
          <w:sz w:val="26"/>
          <w:szCs w:val="26"/>
        </w:rPr>
        <w:t>OCA believes that the price to be charged should be known before the customer uses the energy</w:t>
      </w:r>
      <w:r w:rsidR="00823E50">
        <w:rPr>
          <w:rFonts w:ascii="Times New Roman" w:eastAsia="Times New Roman" w:hAnsi="Times New Roman"/>
          <w:color w:val="000000"/>
          <w:spacing w:val="4"/>
          <w:sz w:val="26"/>
          <w:szCs w:val="26"/>
        </w:rPr>
        <w:t>, asserting that unless customers are provided with advance notice of the new price to be charged,</w:t>
      </w:r>
      <w:r w:rsidRPr="003853FC">
        <w:rPr>
          <w:rFonts w:ascii="Times New Roman" w:eastAsia="Times New Roman" w:hAnsi="Times New Roman"/>
          <w:color w:val="000000"/>
          <w:spacing w:val="4"/>
          <w:sz w:val="26"/>
          <w:szCs w:val="26"/>
        </w:rPr>
        <w:t xml:space="preserve"> customers will continue to receiv</w:t>
      </w:r>
      <w:r w:rsidR="00DC198F">
        <w:rPr>
          <w:rFonts w:ascii="Times New Roman" w:eastAsia="Times New Roman" w:hAnsi="Times New Roman"/>
          <w:color w:val="000000"/>
          <w:spacing w:val="4"/>
          <w:sz w:val="26"/>
          <w:szCs w:val="26"/>
        </w:rPr>
        <w:t xml:space="preserve">e unanticipated high bills.  </w:t>
      </w:r>
      <w:r w:rsidR="00DC198F">
        <w:rPr>
          <w:rFonts w:ascii="Times New Roman" w:eastAsia="Times New Roman" w:hAnsi="Times New Roman"/>
          <w:i/>
          <w:color w:val="000000"/>
          <w:spacing w:val="4"/>
          <w:sz w:val="26"/>
          <w:szCs w:val="26"/>
        </w:rPr>
        <w:t>Id.</w:t>
      </w:r>
      <w:r w:rsidRPr="003853FC">
        <w:rPr>
          <w:rFonts w:ascii="Times New Roman" w:eastAsia="Times New Roman" w:hAnsi="Times New Roman"/>
          <w:color w:val="000000"/>
          <w:spacing w:val="4"/>
          <w:sz w:val="26"/>
          <w:szCs w:val="26"/>
        </w:rPr>
        <w:t xml:space="preserve"> at 11-12.</w:t>
      </w:r>
    </w:p>
    <w:p w:rsidR="00554D6A" w:rsidRDefault="00554D6A" w:rsidP="001A1513">
      <w:pPr>
        <w:spacing w:line="360" w:lineRule="auto"/>
        <w:rPr>
          <w:rFonts w:ascii="Times New Roman" w:eastAsia="Times New Roman" w:hAnsi="Times New Roman"/>
          <w:color w:val="000000"/>
          <w:spacing w:val="4"/>
          <w:sz w:val="26"/>
          <w:szCs w:val="26"/>
        </w:rPr>
      </w:pPr>
    </w:p>
    <w:p w:rsidR="001A1513" w:rsidRPr="003853FC" w:rsidRDefault="00554D6A" w:rsidP="00554D6A">
      <w:pPr>
        <w:spacing w:line="360" w:lineRule="auto"/>
        <w:ind w:firstLine="720"/>
        <w:rPr>
          <w:rFonts w:ascii="Times New Roman" w:eastAsia="Times New Roman" w:hAnsi="Times New Roman"/>
          <w:color w:val="000000"/>
          <w:spacing w:val="4"/>
          <w:sz w:val="26"/>
          <w:szCs w:val="26"/>
        </w:rPr>
      </w:pPr>
      <w:r>
        <w:rPr>
          <w:rFonts w:ascii="Times New Roman" w:eastAsia="Times New Roman" w:hAnsi="Times New Roman"/>
          <w:color w:val="000000"/>
          <w:spacing w:val="4"/>
          <w:sz w:val="26"/>
          <w:szCs w:val="26"/>
        </w:rPr>
        <w:t xml:space="preserve">Finally, the </w:t>
      </w:r>
      <w:r w:rsidR="001A1513" w:rsidRPr="003853FC">
        <w:rPr>
          <w:rFonts w:ascii="Times New Roman" w:eastAsia="Times New Roman" w:hAnsi="Times New Roman"/>
          <w:color w:val="000000"/>
          <w:spacing w:val="4"/>
          <w:sz w:val="26"/>
          <w:szCs w:val="26"/>
        </w:rPr>
        <w:t xml:space="preserve">OCA asks that the Commission, </w:t>
      </w:r>
      <w:r w:rsidR="00DC198F">
        <w:rPr>
          <w:rFonts w:ascii="Times New Roman" w:eastAsia="Times New Roman" w:hAnsi="Times New Roman"/>
          <w:color w:val="000000"/>
          <w:spacing w:val="4"/>
          <w:sz w:val="26"/>
          <w:szCs w:val="26"/>
        </w:rPr>
        <w:t xml:space="preserve">upon promulgation of </w:t>
      </w:r>
      <w:r w:rsidR="001A1513" w:rsidRPr="003853FC">
        <w:rPr>
          <w:rFonts w:ascii="Times New Roman" w:eastAsia="Times New Roman" w:hAnsi="Times New Roman"/>
          <w:color w:val="000000"/>
          <w:spacing w:val="4"/>
          <w:sz w:val="26"/>
          <w:szCs w:val="26"/>
        </w:rPr>
        <w:t>the new disclosure rules, consider requiring NGSs to issue new disclosures to their current customers t</w:t>
      </w:r>
      <w:r w:rsidR="00EB1606">
        <w:rPr>
          <w:rFonts w:ascii="Times New Roman" w:eastAsia="Times New Roman" w:hAnsi="Times New Roman"/>
          <w:color w:val="000000"/>
          <w:spacing w:val="4"/>
          <w:sz w:val="26"/>
          <w:szCs w:val="26"/>
        </w:rPr>
        <w:t>hat</w:t>
      </w:r>
      <w:r w:rsidR="001A1513" w:rsidRPr="003853FC">
        <w:rPr>
          <w:rFonts w:ascii="Times New Roman" w:eastAsia="Times New Roman" w:hAnsi="Times New Roman"/>
          <w:color w:val="000000"/>
          <w:spacing w:val="4"/>
          <w:sz w:val="26"/>
          <w:szCs w:val="26"/>
        </w:rPr>
        <w:t xml:space="preserve"> set forth the terms of their current agreement and pricing plans</w:t>
      </w:r>
      <w:r w:rsidR="00DC198F">
        <w:rPr>
          <w:rFonts w:ascii="Times New Roman" w:eastAsia="Times New Roman" w:hAnsi="Times New Roman"/>
          <w:color w:val="000000"/>
          <w:spacing w:val="4"/>
          <w:sz w:val="26"/>
          <w:szCs w:val="26"/>
        </w:rPr>
        <w:t xml:space="preserve"> in order to </w:t>
      </w:r>
      <w:r w:rsidR="001A1513" w:rsidRPr="003853FC">
        <w:rPr>
          <w:rFonts w:ascii="Times New Roman" w:eastAsia="Times New Roman" w:hAnsi="Times New Roman"/>
          <w:color w:val="000000"/>
          <w:spacing w:val="4"/>
          <w:sz w:val="26"/>
          <w:szCs w:val="26"/>
        </w:rPr>
        <w:t>educa</w:t>
      </w:r>
      <w:r w:rsidR="00DC198F">
        <w:rPr>
          <w:rFonts w:ascii="Times New Roman" w:eastAsia="Times New Roman" w:hAnsi="Times New Roman"/>
          <w:color w:val="000000"/>
          <w:spacing w:val="4"/>
          <w:sz w:val="26"/>
          <w:szCs w:val="26"/>
        </w:rPr>
        <w:t>te</w:t>
      </w:r>
      <w:r w:rsidR="001A1513" w:rsidRPr="003853FC">
        <w:rPr>
          <w:rFonts w:ascii="Times New Roman" w:eastAsia="Times New Roman" w:hAnsi="Times New Roman"/>
          <w:color w:val="000000"/>
          <w:spacing w:val="4"/>
          <w:sz w:val="26"/>
          <w:szCs w:val="26"/>
        </w:rPr>
        <w:t xml:space="preserve"> customers about their current plans and pricing terms.  </w:t>
      </w:r>
      <w:proofErr w:type="gramStart"/>
      <w:r w:rsidR="00DC198F">
        <w:rPr>
          <w:rFonts w:ascii="Times New Roman" w:eastAsia="Times New Roman" w:hAnsi="Times New Roman"/>
          <w:i/>
          <w:color w:val="000000"/>
          <w:spacing w:val="4"/>
          <w:sz w:val="26"/>
          <w:szCs w:val="26"/>
        </w:rPr>
        <w:t>Id.</w:t>
      </w:r>
      <w:r w:rsidR="00DC198F">
        <w:rPr>
          <w:rFonts w:ascii="Times New Roman" w:eastAsia="Times New Roman" w:hAnsi="Times New Roman"/>
          <w:color w:val="000000"/>
          <w:spacing w:val="4"/>
          <w:sz w:val="26"/>
          <w:szCs w:val="26"/>
        </w:rPr>
        <w:t xml:space="preserve"> </w:t>
      </w:r>
      <w:r w:rsidR="001A1513" w:rsidRPr="003853FC">
        <w:rPr>
          <w:rFonts w:ascii="Times New Roman" w:eastAsia="Times New Roman" w:hAnsi="Times New Roman"/>
          <w:color w:val="000000"/>
          <w:spacing w:val="4"/>
          <w:sz w:val="26"/>
          <w:szCs w:val="26"/>
        </w:rPr>
        <w:t>at 11.</w:t>
      </w:r>
      <w:proofErr w:type="gramEnd"/>
      <w:r w:rsidR="001A1513" w:rsidRPr="003853FC">
        <w:rPr>
          <w:rFonts w:ascii="Times New Roman" w:eastAsia="Times New Roman" w:hAnsi="Times New Roman"/>
          <w:color w:val="000000"/>
          <w:spacing w:val="4"/>
          <w:sz w:val="26"/>
          <w:szCs w:val="26"/>
        </w:rPr>
        <w:t xml:space="preserve">   </w:t>
      </w:r>
    </w:p>
    <w:p w:rsidR="001A1513" w:rsidRDefault="001A1513" w:rsidP="001A1513">
      <w:pPr>
        <w:spacing w:line="360" w:lineRule="auto"/>
        <w:rPr>
          <w:rFonts w:ascii="Times New Roman" w:eastAsia="Times New Roman" w:hAnsi="Times New Roman"/>
          <w:b/>
          <w:color w:val="000000"/>
          <w:spacing w:val="4"/>
          <w:sz w:val="26"/>
          <w:szCs w:val="26"/>
        </w:rPr>
      </w:pPr>
    </w:p>
    <w:p w:rsidR="001A1513" w:rsidRDefault="001A1513" w:rsidP="001A1513">
      <w:pPr>
        <w:spacing w:line="360" w:lineRule="auto"/>
        <w:rPr>
          <w:rFonts w:ascii="Times New Roman" w:eastAsia="Times New Roman" w:hAnsi="Times New Roman"/>
          <w:color w:val="000000"/>
          <w:spacing w:val="4"/>
          <w:sz w:val="26"/>
          <w:szCs w:val="26"/>
          <w:u w:val="single"/>
        </w:rPr>
      </w:pPr>
      <w:r w:rsidRPr="004307F3">
        <w:rPr>
          <w:rFonts w:ascii="Times New Roman" w:eastAsia="Times New Roman" w:hAnsi="Times New Roman"/>
          <w:color w:val="000000"/>
          <w:spacing w:val="4"/>
          <w:sz w:val="26"/>
          <w:szCs w:val="26"/>
          <w:u w:val="single"/>
        </w:rPr>
        <w:t>Disposition</w:t>
      </w:r>
    </w:p>
    <w:p w:rsidR="001A1513" w:rsidRDefault="001A1513" w:rsidP="00DC198F">
      <w:pPr>
        <w:spacing w:line="360" w:lineRule="auto"/>
        <w:ind w:firstLine="720"/>
        <w:rPr>
          <w:rFonts w:ascii="Times New Roman" w:eastAsia="Times New Roman" w:hAnsi="Times New Roman"/>
          <w:color w:val="000000"/>
          <w:spacing w:val="4"/>
          <w:sz w:val="26"/>
          <w:szCs w:val="26"/>
        </w:rPr>
      </w:pPr>
      <w:r w:rsidRPr="003853FC">
        <w:rPr>
          <w:rFonts w:ascii="Times New Roman" w:eastAsia="Times New Roman" w:hAnsi="Times New Roman"/>
          <w:color w:val="000000"/>
          <w:spacing w:val="4"/>
          <w:sz w:val="26"/>
          <w:szCs w:val="26"/>
        </w:rPr>
        <w:t xml:space="preserve">We agree with RESA, </w:t>
      </w:r>
      <w:r w:rsidR="00DC198F">
        <w:rPr>
          <w:rFonts w:ascii="Times New Roman" w:eastAsia="Times New Roman" w:hAnsi="Times New Roman"/>
          <w:color w:val="000000"/>
          <w:spacing w:val="4"/>
          <w:sz w:val="26"/>
          <w:szCs w:val="26"/>
        </w:rPr>
        <w:t xml:space="preserve">the </w:t>
      </w:r>
      <w:r w:rsidRPr="003853FC">
        <w:rPr>
          <w:rFonts w:ascii="Times New Roman" w:eastAsia="Times New Roman" w:hAnsi="Times New Roman"/>
          <w:color w:val="000000"/>
          <w:spacing w:val="4"/>
          <w:sz w:val="26"/>
          <w:szCs w:val="26"/>
        </w:rPr>
        <w:t xml:space="preserve">NGS Parties, Peoples, and PECO that consistency between the electric and </w:t>
      </w:r>
      <w:r w:rsidR="00EB1606">
        <w:rPr>
          <w:rFonts w:ascii="Times New Roman" w:eastAsia="Times New Roman" w:hAnsi="Times New Roman"/>
          <w:color w:val="000000"/>
          <w:spacing w:val="4"/>
          <w:sz w:val="26"/>
          <w:szCs w:val="26"/>
        </w:rPr>
        <w:t xml:space="preserve">natural </w:t>
      </w:r>
      <w:r w:rsidRPr="003853FC">
        <w:rPr>
          <w:rFonts w:ascii="Times New Roman" w:eastAsia="Times New Roman" w:hAnsi="Times New Roman"/>
          <w:color w:val="000000"/>
          <w:spacing w:val="4"/>
          <w:sz w:val="26"/>
          <w:szCs w:val="26"/>
        </w:rPr>
        <w:t>gas industry disclosure rules is important</w:t>
      </w:r>
      <w:r w:rsidR="00DC198F">
        <w:rPr>
          <w:rFonts w:ascii="Times New Roman" w:eastAsia="Times New Roman" w:hAnsi="Times New Roman"/>
          <w:color w:val="000000"/>
          <w:spacing w:val="4"/>
          <w:sz w:val="26"/>
          <w:szCs w:val="26"/>
        </w:rPr>
        <w:t>, as</w:t>
      </w:r>
      <w:r w:rsidRPr="003853FC">
        <w:rPr>
          <w:rFonts w:ascii="Times New Roman" w:eastAsia="Times New Roman" w:hAnsi="Times New Roman"/>
          <w:color w:val="000000"/>
          <w:spacing w:val="4"/>
          <w:sz w:val="26"/>
          <w:szCs w:val="26"/>
        </w:rPr>
        <w:t xml:space="preserve"> unnecessary differences </w:t>
      </w:r>
      <w:r w:rsidR="00DC198F">
        <w:rPr>
          <w:rFonts w:ascii="Times New Roman" w:eastAsia="Times New Roman" w:hAnsi="Times New Roman"/>
          <w:color w:val="000000"/>
          <w:spacing w:val="4"/>
          <w:sz w:val="26"/>
          <w:szCs w:val="26"/>
        </w:rPr>
        <w:t xml:space="preserve">may confuse </w:t>
      </w:r>
      <w:r w:rsidRPr="003853FC">
        <w:rPr>
          <w:rFonts w:ascii="Times New Roman" w:eastAsia="Times New Roman" w:hAnsi="Times New Roman"/>
          <w:color w:val="000000"/>
          <w:spacing w:val="4"/>
          <w:sz w:val="26"/>
          <w:szCs w:val="26"/>
        </w:rPr>
        <w:t>customer</w:t>
      </w:r>
      <w:r w:rsidR="00DC198F">
        <w:rPr>
          <w:rFonts w:ascii="Times New Roman" w:eastAsia="Times New Roman" w:hAnsi="Times New Roman"/>
          <w:color w:val="000000"/>
          <w:spacing w:val="4"/>
          <w:sz w:val="26"/>
          <w:szCs w:val="26"/>
        </w:rPr>
        <w:t>s</w:t>
      </w:r>
      <w:r w:rsidRPr="003853FC">
        <w:rPr>
          <w:rFonts w:ascii="Times New Roman" w:eastAsia="Times New Roman" w:hAnsi="Times New Roman"/>
          <w:color w:val="000000"/>
          <w:spacing w:val="4"/>
          <w:sz w:val="26"/>
          <w:szCs w:val="26"/>
        </w:rPr>
        <w:t xml:space="preserve"> </w:t>
      </w:r>
      <w:r w:rsidR="00DC198F">
        <w:rPr>
          <w:rFonts w:ascii="Times New Roman" w:eastAsia="Times New Roman" w:hAnsi="Times New Roman"/>
          <w:color w:val="000000"/>
          <w:spacing w:val="4"/>
          <w:sz w:val="26"/>
          <w:szCs w:val="26"/>
        </w:rPr>
        <w:t>and burden suppliers’ operations</w:t>
      </w:r>
      <w:r w:rsidRPr="003853FC">
        <w:rPr>
          <w:rFonts w:ascii="Times New Roman" w:eastAsia="Times New Roman" w:hAnsi="Times New Roman"/>
          <w:color w:val="000000"/>
          <w:spacing w:val="4"/>
          <w:sz w:val="26"/>
          <w:szCs w:val="26"/>
        </w:rPr>
        <w:t>.  However, consistency</w:t>
      </w:r>
      <w:r w:rsidR="00DC198F">
        <w:rPr>
          <w:rFonts w:ascii="Times New Roman" w:eastAsia="Times New Roman" w:hAnsi="Times New Roman"/>
          <w:color w:val="000000"/>
          <w:spacing w:val="4"/>
          <w:sz w:val="26"/>
          <w:szCs w:val="26"/>
        </w:rPr>
        <w:t xml:space="preserve"> alone will not be our focal point in rendering a determination, as our primary consideration in amending these regulations will be </w:t>
      </w:r>
      <w:r w:rsidRPr="003853FC">
        <w:rPr>
          <w:rFonts w:ascii="Times New Roman" w:eastAsia="Times New Roman" w:hAnsi="Times New Roman"/>
          <w:color w:val="000000"/>
          <w:spacing w:val="4"/>
          <w:sz w:val="26"/>
          <w:szCs w:val="26"/>
        </w:rPr>
        <w:t xml:space="preserve">protecting consumers and </w:t>
      </w:r>
      <w:r w:rsidR="00DC198F">
        <w:rPr>
          <w:rFonts w:ascii="Times New Roman" w:eastAsia="Times New Roman" w:hAnsi="Times New Roman"/>
          <w:color w:val="000000"/>
          <w:spacing w:val="4"/>
          <w:sz w:val="26"/>
          <w:szCs w:val="26"/>
        </w:rPr>
        <w:t xml:space="preserve">empowering </w:t>
      </w:r>
      <w:r w:rsidR="00823E50">
        <w:rPr>
          <w:rFonts w:ascii="Times New Roman" w:eastAsia="Times New Roman" w:hAnsi="Times New Roman"/>
          <w:color w:val="000000"/>
          <w:spacing w:val="4"/>
          <w:sz w:val="26"/>
          <w:szCs w:val="26"/>
        </w:rPr>
        <w:t>them by ensuring they receive the</w:t>
      </w:r>
      <w:r w:rsidRPr="003853FC">
        <w:rPr>
          <w:rFonts w:ascii="Times New Roman" w:eastAsia="Times New Roman" w:hAnsi="Times New Roman"/>
          <w:color w:val="000000"/>
          <w:spacing w:val="4"/>
          <w:sz w:val="26"/>
          <w:szCs w:val="26"/>
        </w:rPr>
        <w:t xml:space="preserve"> information necessary </w:t>
      </w:r>
      <w:r w:rsidR="00DC198F">
        <w:rPr>
          <w:rFonts w:ascii="Times New Roman" w:eastAsia="Times New Roman" w:hAnsi="Times New Roman"/>
          <w:color w:val="000000"/>
          <w:spacing w:val="4"/>
          <w:sz w:val="26"/>
          <w:szCs w:val="26"/>
        </w:rPr>
        <w:t>t</w:t>
      </w:r>
      <w:r w:rsidRPr="003853FC">
        <w:rPr>
          <w:rFonts w:ascii="Times New Roman" w:eastAsia="Times New Roman" w:hAnsi="Times New Roman"/>
          <w:color w:val="000000"/>
          <w:spacing w:val="4"/>
          <w:sz w:val="26"/>
          <w:szCs w:val="26"/>
        </w:rPr>
        <w:t>o</w:t>
      </w:r>
      <w:r w:rsidR="00DC198F">
        <w:rPr>
          <w:rFonts w:ascii="Times New Roman" w:eastAsia="Times New Roman" w:hAnsi="Times New Roman"/>
          <w:color w:val="000000"/>
          <w:spacing w:val="4"/>
          <w:sz w:val="26"/>
          <w:szCs w:val="26"/>
        </w:rPr>
        <w:t xml:space="preserve"> make</w:t>
      </w:r>
      <w:r w:rsidRPr="003853FC">
        <w:rPr>
          <w:rFonts w:ascii="Times New Roman" w:eastAsia="Times New Roman" w:hAnsi="Times New Roman"/>
          <w:color w:val="000000"/>
          <w:spacing w:val="4"/>
          <w:sz w:val="26"/>
          <w:szCs w:val="26"/>
        </w:rPr>
        <w:t xml:space="preserve"> informed decision</w:t>
      </w:r>
      <w:r w:rsidR="00823E50">
        <w:rPr>
          <w:rFonts w:ascii="Times New Roman" w:eastAsia="Times New Roman" w:hAnsi="Times New Roman"/>
          <w:color w:val="000000"/>
          <w:spacing w:val="4"/>
          <w:sz w:val="26"/>
          <w:szCs w:val="26"/>
        </w:rPr>
        <w:t>s, especially when consider</w:t>
      </w:r>
      <w:r w:rsidR="00DC198F">
        <w:rPr>
          <w:rFonts w:ascii="Times New Roman" w:eastAsia="Times New Roman" w:hAnsi="Times New Roman"/>
          <w:color w:val="000000"/>
          <w:spacing w:val="4"/>
          <w:sz w:val="26"/>
          <w:szCs w:val="26"/>
        </w:rPr>
        <w:t xml:space="preserve">ing </w:t>
      </w:r>
      <w:r w:rsidRPr="003853FC">
        <w:rPr>
          <w:rFonts w:ascii="Times New Roman" w:eastAsia="Times New Roman" w:hAnsi="Times New Roman"/>
          <w:color w:val="000000"/>
          <w:spacing w:val="4"/>
          <w:sz w:val="26"/>
          <w:szCs w:val="26"/>
        </w:rPr>
        <w:t xml:space="preserve">variable-price products.  </w:t>
      </w:r>
      <w:r w:rsidR="00823E50">
        <w:rPr>
          <w:rFonts w:ascii="Times New Roman" w:eastAsia="Times New Roman" w:hAnsi="Times New Roman"/>
          <w:color w:val="000000"/>
          <w:spacing w:val="4"/>
          <w:sz w:val="26"/>
          <w:szCs w:val="26"/>
        </w:rPr>
        <w:t>Notab</w:t>
      </w:r>
      <w:r w:rsidR="00DC198F">
        <w:rPr>
          <w:rFonts w:ascii="Times New Roman" w:eastAsia="Times New Roman" w:hAnsi="Times New Roman"/>
          <w:color w:val="000000"/>
          <w:spacing w:val="4"/>
          <w:sz w:val="26"/>
          <w:szCs w:val="26"/>
        </w:rPr>
        <w:t xml:space="preserve">ly, </w:t>
      </w:r>
      <w:r w:rsidR="00A37C38">
        <w:rPr>
          <w:rFonts w:ascii="Times New Roman" w:eastAsia="Times New Roman" w:hAnsi="Times New Roman"/>
          <w:color w:val="000000"/>
          <w:spacing w:val="4"/>
          <w:sz w:val="26"/>
          <w:szCs w:val="26"/>
        </w:rPr>
        <w:t xml:space="preserve">we </w:t>
      </w:r>
      <w:r w:rsidRPr="003853FC">
        <w:rPr>
          <w:rFonts w:ascii="Times New Roman" w:eastAsia="Times New Roman" w:hAnsi="Times New Roman"/>
          <w:color w:val="000000"/>
          <w:spacing w:val="4"/>
          <w:sz w:val="26"/>
          <w:szCs w:val="26"/>
        </w:rPr>
        <w:t xml:space="preserve">can always revisit the electric rules and </w:t>
      </w:r>
      <w:r w:rsidR="00DC198F">
        <w:rPr>
          <w:rFonts w:ascii="Times New Roman" w:eastAsia="Times New Roman" w:hAnsi="Times New Roman"/>
          <w:color w:val="000000"/>
          <w:spacing w:val="4"/>
          <w:sz w:val="26"/>
          <w:szCs w:val="26"/>
        </w:rPr>
        <w:t xml:space="preserve">later </w:t>
      </w:r>
      <w:r w:rsidRPr="003853FC">
        <w:rPr>
          <w:rFonts w:ascii="Times New Roman" w:eastAsia="Times New Roman" w:hAnsi="Times New Roman"/>
          <w:color w:val="000000"/>
          <w:spacing w:val="4"/>
          <w:sz w:val="26"/>
          <w:szCs w:val="26"/>
        </w:rPr>
        <w:t>align th</w:t>
      </w:r>
      <w:r w:rsidR="00DC198F">
        <w:rPr>
          <w:rFonts w:ascii="Times New Roman" w:eastAsia="Times New Roman" w:hAnsi="Times New Roman"/>
          <w:color w:val="000000"/>
          <w:spacing w:val="4"/>
          <w:sz w:val="26"/>
          <w:szCs w:val="26"/>
        </w:rPr>
        <w:t xml:space="preserve">ose rules, as necessary </w:t>
      </w:r>
      <w:r w:rsidRPr="003853FC">
        <w:rPr>
          <w:rFonts w:ascii="Times New Roman" w:eastAsia="Times New Roman" w:hAnsi="Times New Roman"/>
          <w:color w:val="000000"/>
          <w:spacing w:val="4"/>
          <w:sz w:val="26"/>
          <w:szCs w:val="26"/>
        </w:rPr>
        <w:t xml:space="preserve">with </w:t>
      </w:r>
      <w:r w:rsidR="00823E50">
        <w:rPr>
          <w:rFonts w:ascii="Times New Roman" w:eastAsia="Times New Roman" w:hAnsi="Times New Roman"/>
          <w:color w:val="000000"/>
          <w:spacing w:val="4"/>
          <w:sz w:val="26"/>
          <w:szCs w:val="26"/>
        </w:rPr>
        <w:t>our final</w:t>
      </w:r>
      <w:r w:rsidR="006C55C1">
        <w:rPr>
          <w:rFonts w:ascii="Times New Roman" w:eastAsia="Times New Roman" w:hAnsi="Times New Roman"/>
          <w:color w:val="000000"/>
          <w:spacing w:val="4"/>
          <w:sz w:val="26"/>
          <w:szCs w:val="26"/>
        </w:rPr>
        <w:t xml:space="preserve"> </w:t>
      </w:r>
      <w:r w:rsidR="00823E50">
        <w:rPr>
          <w:rFonts w:ascii="Times New Roman" w:eastAsia="Times New Roman" w:hAnsi="Times New Roman"/>
          <w:color w:val="000000"/>
          <w:spacing w:val="4"/>
          <w:sz w:val="26"/>
          <w:szCs w:val="26"/>
        </w:rPr>
        <w:t>determination in this rulemaking</w:t>
      </w:r>
      <w:r w:rsidR="006C55C1">
        <w:rPr>
          <w:rFonts w:ascii="Times New Roman" w:eastAsia="Times New Roman" w:hAnsi="Times New Roman"/>
          <w:color w:val="000000"/>
          <w:spacing w:val="4"/>
          <w:sz w:val="26"/>
          <w:szCs w:val="26"/>
        </w:rPr>
        <w:t xml:space="preserve">.  </w:t>
      </w:r>
      <w:r w:rsidR="006C55C1">
        <w:rPr>
          <w:rFonts w:ascii="Times New Roman" w:eastAsia="Times New Roman" w:hAnsi="Times New Roman"/>
          <w:i/>
          <w:color w:val="000000"/>
          <w:spacing w:val="4"/>
          <w:sz w:val="26"/>
          <w:szCs w:val="26"/>
        </w:rPr>
        <w:t>See</w:t>
      </w:r>
      <w:r w:rsidR="006C55C1">
        <w:rPr>
          <w:rFonts w:ascii="Times New Roman" w:eastAsia="Times New Roman" w:hAnsi="Times New Roman"/>
          <w:color w:val="000000"/>
          <w:spacing w:val="4"/>
          <w:sz w:val="26"/>
          <w:szCs w:val="26"/>
        </w:rPr>
        <w:t xml:space="preserve"> RESA Comments at 3</w:t>
      </w:r>
      <w:r w:rsidRPr="003853FC">
        <w:rPr>
          <w:rFonts w:ascii="Times New Roman" w:eastAsia="Times New Roman" w:hAnsi="Times New Roman"/>
          <w:color w:val="000000"/>
          <w:spacing w:val="4"/>
          <w:sz w:val="26"/>
          <w:szCs w:val="26"/>
        </w:rPr>
        <w:t xml:space="preserve">.  Since the implementation of the electric disclosure rules in July 2014, </w:t>
      </w:r>
      <w:r w:rsidR="006C55C1">
        <w:rPr>
          <w:rFonts w:ascii="Times New Roman" w:eastAsia="Times New Roman" w:hAnsi="Times New Roman"/>
          <w:color w:val="000000"/>
          <w:spacing w:val="4"/>
          <w:sz w:val="26"/>
          <w:szCs w:val="26"/>
        </w:rPr>
        <w:t>the Commission and stakeholders</w:t>
      </w:r>
      <w:r w:rsidRPr="003853FC">
        <w:rPr>
          <w:rFonts w:ascii="Times New Roman" w:eastAsia="Times New Roman" w:hAnsi="Times New Roman"/>
          <w:color w:val="000000"/>
          <w:spacing w:val="4"/>
          <w:sz w:val="26"/>
          <w:szCs w:val="26"/>
        </w:rPr>
        <w:t xml:space="preserve"> have gained experience </w:t>
      </w:r>
      <w:r w:rsidR="006C55C1">
        <w:rPr>
          <w:rFonts w:ascii="Times New Roman" w:eastAsia="Times New Roman" w:hAnsi="Times New Roman"/>
          <w:color w:val="000000"/>
          <w:spacing w:val="4"/>
          <w:sz w:val="26"/>
          <w:szCs w:val="26"/>
        </w:rPr>
        <w:t>under those regulations</w:t>
      </w:r>
      <w:r w:rsidRPr="003853FC">
        <w:rPr>
          <w:rFonts w:ascii="Times New Roman" w:eastAsia="Times New Roman" w:hAnsi="Times New Roman"/>
          <w:color w:val="000000"/>
          <w:spacing w:val="4"/>
          <w:sz w:val="26"/>
          <w:szCs w:val="26"/>
        </w:rPr>
        <w:t xml:space="preserve"> and we </w:t>
      </w:r>
      <w:r w:rsidR="00823E50">
        <w:rPr>
          <w:rFonts w:ascii="Times New Roman" w:eastAsia="Times New Roman" w:hAnsi="Times New Roman"/>
          <w:color w:val="000000"/>
          <w:spacing w:val="4"/>
          <w:sz w:val="26"/>
          <w:szCs w:val="26"/>
        </w:rPr>
        <w:t>look forward to comments from these stakeholders on their experiences to help us deve</w:t>
      </w:r>
      <w:r w:rsidRPr="003853FC">
        <w:rPr>
          <w:rFonts w:ascii="Times New Roman" w:eastAsia="Times New Roman" w:hAnsi="Times New Roman"/>
          <w:color w:val="000000"/>
          <w:spacing w:val="4"/>
          <w:sz w:val="26"/>
          <w:szCs w:val="26"/>
        </w:rPr>
        <w:t xml:space="preserve">lop the rules for the natural gas industry.  </w:t>
      </w:r>
    </w:p>
    <w:p w:rsidR="0041659F" w:rsidRPr="003853FC" w:rsidRDefault="0041659F" w:rsidP="00DC198F">
      <w:pPr>
        <w:spacing w:line="360" w:lineRule="auto"/>
        <w:ind w:firstLine="720"/>
        <w:rPr>
          <w:rFonts w:ascii="Times New Roman" w:eastAsia="Times New Roman" w:hAnsi="Times New Roman"/>
          <w:color w:val="000000"/>
          <w:spacing w:val="4"/>
          <w:sz w:val="26"/>
          <w:szCs w:val="26"/>
        </w:rPr>
      </w:pPr>
    </w:p>
    <w:p w:rsidR="001A1513" w:rsidRPr="003853FC" w:rsidRDefault="001A1513" w:rsidP="006C55C1">
      <w:pPr>
        <w:spacing w:line="360" w:lineRule="auto"/>
        <w:ind w:firstLine="720"/>
        <w:rPr>
          <w:rFonts w:ascii="Times New Roman" w:eastAsia="Times New Roman" w:hAnsi="Times New Roman"/>
          <w:color w:val="000000"/>
          <w:spacing w:val="4"/>
          <w:sz w:val="26"/>
          <w:szCs w:val="26"/>
        </w:rPr>
      </w:pPr>
      <w:r w:rsidRPr="003853FC">
        <w:rPr>
          <w:rFonts w:ascii="Times New Roman" w:eastAsia="Times New Roman" w:hAnsi="Times New Roman"/>
          <w:color w:val="000000"/>
          <w:spacing w:val="4"/>
          <w:sz w:val="26"/>
          <w:szCs w:val="26"/>
        </w:rPr>
        <w:lastRenderedPageBreak/>
        <w:t xml:space="preserve">In general, we agree with </w:t>
      </w:r>
      <w:r w:rsidR="009254A7">
        <w:rPr>
          <w:rFonts w:ascii="Times New Roman" w:eastAsia="Times New Roman" w:hAnsi="Times New Roman"/>
          <w:color w:val="000000"/>
          <w:spacing w:val="4"/>
          <w:sz w:val="26"/>
          <w:szCs w:val="26"/>
        </w:rPr>
        <w:t xml:space="preserve">the </w:t>
      </w:r>
      <w:r w:rsidRPr="003853FC">
        <w:rPr>
          <w:rFonts w:ascii="Times New Roman" w:eastAsia="Times New Roman" w:hAnsi="Times New Roman"/>
          <w:color w:val="000000"/>
          <w:spacing w:val="4"/>
          <w:sz w:val="26"/>
          <w:szCs w:val="26"/>
        </w:rPr>
        <w:t xml:space="preserve">NGS Parties, Peoples, PECO, and </w:t>
      </w:r>
      <w:r w:rsidR="00A37C38">
        <w:rPr>
          <w:rFonts w:ascii="Times New Roman" w:eastAsia="Times New Roman" w:hAnsi="Times New Roman"/>
          <w:color w:val="000000"/>
          <w:spacing w:val="4"/>
          <w:sz w:val="26"/>
          <w:szCs w:val="26"/>
        </w:rPr>
        <w:t xml:space="preserve">the </w:t>
      </w:r>
      <w:r w:rsidRPr="003853FC">
        <w:rPr>
          <w:rFonts w:ascii="Times New Roman" w:eastAsia="Times New Roman" w:hAnsi="Times New Roman"/>
          <w:color w:val="000000"/>
          <w:spacing w:val="4"/>
          <w:sz w:val="26"/>
          <w:szCs w:val="26"/>
        </w:rPr>
        <w:t>OCA</w:t>
      </w:r>
      <w:r w:rsidR="00823E50">
        <w:rPr>
          <w:rFonts w:ascii="Times New Roman" w:eastAsia="Times New Roman" w:hAnsi="Times New Roman"/>
          <w:color w:val="000000"/>
          <w:spacing w:val="4"/>
          <w:sz w:val="26"/>
          <w:szCs w:val="26"/>
        </w:rPr>
        <w:t xml:space="preserve"> </w:t>
      </w:r>
      <w:r w:rsidR="00A37C38">
        <w:rPr>
          <w:rFonts w:ascii="Times New Roman" w:eastAsia="Times New Roman" w:hAnsi="Times New Roman"/>
          <w:color w:val="000000"/>
          <w:spacing w:val="4"/>
          <w:sz w:val="26"/>
          <w:szCs w:val="26"/>
        </w:rPr>
        <w:t>that our revised</w:t>
      </w:r>
      <w:r w:rsidRPr="003853FC">
        <w:rPr>
          <w:rFonts w:ascii="Times New Roman" w:eastAsia="Times New Roman" w:hAnsi="Times New Roman"/>
          <w:color w:val="000000"/>
          <w:spacing w:val="4"/>
          <w:sz w:val="26"/>
          <w:szCs w:val="26"/>
        </w:rPr>
        <w:t xml:space="preserve"> electric rules regarding variable pricing </w:t>
      </w:r>
      <w:r w:rsidR="00823E50">
        <w:rPr>
          <w:rFonts w:ascii="Times New Roman" w:eastAsia="Times New Roman" w:hAnsi="Times New Roman"/>
          <w:color w:val="000000"/>
          <w:spacing w:val="4"/>
          <w:sz w:val="26"/>
          <w:szCs w:val="26"/>
        </w:rPr>
        <w:t xml:space="preserve">should be applied </w:t>
      </w:r>
      <w:r w:rsidRPr="003853FC">
        <w:rPr>
          <w:rFonts w:ascii="Times New Roman" w:eastAsia="Times New Roman" w:hAnsi="Times New Roman"/>
          <w:color w:val="000000"/>
          <w:spacing w:val="4"/>
          <w:sz w:val="26"/>
          <w:szCs w:val="26"/>
        </w:rPr>
        <w:t>to the natural gas market, with some modification</w:t>
      </w:r>
      <w:r w:rsidR="00823E50">
        <w:rPr>
          <w:rFonts w:ascii="Times New Roman" w:eastAsia="Times New Roman" w:hAnsi="Times New Roman"/>
          <w:color w:val="000000"/>
          <w:spacing w:val="4"/>
          <w:sz w:val="26"/>
          <w:szCs w:val="26"/>
        </w:rPr>
        <w:t>s</w:t>
      </w:r>
      <w:r w:rsidRPr="003853FC">
        <w:rPr>
          <w:rFonts w:ascii="Times New Roman" w:eastAsia="Times New Roman" w:hAnsi="Times New Roman"/>
          <w:color w:val="000000"/>
          <w:spacing w:val="4"/>
          <w:sz w:val="26"/>
          <w:szCs w:val="26"/>
        </w:rPr>
        <w:t xml:space="preserve"> to reflect “lessons learned” </w:t>
      </w:r>
      <w:r w:rsidR="00823E50">
        <w:rPr>
          <w:rFonts w:ascii="Times New Roman" w:eastAsia="Times New Roman" w:hAnsi="Times New Roman"/>
          <w:color w:val="000000"/>
          <w:spacing w:val="4"/>
          <w:sz w:val="26"/>
          <w:szCs w:val="26"/>
        </w:rPr>
        <w:t>from</w:t>
      </w:r>
      <w:r w:rsidR="00A37C38">
        <w:rPr>
          <w:rFonts w:ascii="Times New Roman" w:eastAsia="Times New Roman" w:hAnsi="Times New Roman"/>
          <w:color w:val="000000"/>
          <w:spacing w:val="4"/>
          <w:sz w:val="26"/>
          <w:szCs w:val="26"/>
        </w:rPr>
        <w:t xml:space="preserve"> </w:t>
      </w:r>
      <w:r w:rsidRPr="003853FC">
        <w:rPr>
          <w:rFonts w:ascii="Times New Roman" w:eastAsia="Times New Roman" w:hAnsi="Times New Roman"/>
          <w:color w:val="000000"/>
          <w:spacing w:val="4"/>
          <w:sz w:val="26"/>
          <w:szCs w:val="26"/>
        </w:rPr>
        <w:t>the</w:t>
      </w:r>
      <w:r w:rsidR="00823E50">
        <w:rPr>
          <w:rFonts w:ascii="Times New Roman" w:eastAsia="Times New Roman" w:hAnsi="Times New Roman"/>
          <w:color w:val="000000"/>
          <w:spacing w:val="4"/>
          <w:sz w:val="26"/>
          <w:szCs w:val="26"/>
        </w:rPr>
        <w:t xml:space="preserve"> </w:t>
      </w:r>
      <w:r w:rsidRPr="003853FC">
        <w:rPr>
          <w:rFonts w:ascii="Times New Roman" w:eastAsia="Times New Roman" w:hAnsi="Times New Roman"/>
          <w:color w:val="000000"/>
          <w:spacing w:val="4"/>
          <w:sz w:val="26"/>
          <w:szCs w:val="26"/>
        </w:rPr>
        <w:t>implementation of the electric rules.  We first note that the natural gas disclosure rules have always required that the ceiling price</w:t>
      </w:r>
      <w:r w:rsidR="00A37C38">
        <w:rPr>
          <w:rFonts w:ascii="Times New Roman" w:eastAsia="Times New Roman" w:hAnsi="Times New Roman"/>
          <w:color w:val="000000"/>
          <w:spacing w:val="4"/>
          <w:sz w:val="26"/>
          <w:szCs w:val="26"/>
        </w:rPr>
        <w:t>, if applicable,</w:t>
      </w:r>
      <w:r w:rsidRPr="003853FC">
        <w:rPr>
          <w:rFonts w:ascii="Times New Roman" w:eastAsia="Times New Roman" w:hAnsi="Times New Roman"/>
          <w:color w:val="000000"/>
          <w:spacing w:val="4"/>
          <w:sz w:val="26"/>
          <w:szCs w:val="26"/>
        </w:rPr>
        <w:t xml:space="preserve"> be disclosed.  </w:t>
      </w:r>
      <w:r w:rsidR="00823E50">
        <w:rPr>
          <w:rFonts w:ascii="Times New Roman" w:eastAsia="Times New Roman" w:hAnsi="Times New Roman"/>
          <w:i/>
          <w:color w:val="000000"/>
          <w:spacing w:val="4"/>
          <w:sz w:val="26"/>
          <w:szCs w:val="26"/>
        </w:rPr>
        <w:t xml:space="preserve">See </w:t>
      </w:r>
      <w:r w:rsidR="00823E50">
        <w:rPr>
          <w:rFonts w:ascii="Times New Roman" w:eastAsia="Times New Roman" w:hAnsi="Times New Roman"/>
          <w:color w:val="000000"/>
          <w:spacing w:val="4"/>
          <w:sz w:val="26"/>
          <w:szCs w:val="26"/>
        </w:rPr>
        <w:t xml:space="preserve">52 Pa. Code </w:t>
      </w:r>
      <w:r w:rsidR="00823E50">
        <w:rPr>
          <w:rFonts w:cstheme="minorHAnsi"/>
          <w:sz w:val="26"/>
          <w:szCs w:val="26"/>
        </w:rPr>
        <w:t>§ 62.75(c</w:t>
      </w:r>
      <w:proofErr w:type="gramStart"/>
      <w:r w:rsidR="00823E50">
        <w:rPr>
          <w:rFonts w:cstheme="minorHAnsi"/>
          <w:sz w:val="26"/>
          <w:szCs w:val="26"/>
        </w:rPr>
        <w:t>)(</w:t>
      </w:r>
      <w:proofErr w:type="gramEnd"/>
      <w:r w:rsidR="00823E50">
        <w:rPr>
          <w:rFonts w:cstheme="minorHAnsi"/>
          <w:sz w:val="26"/>
          <w:szCs w:val="26"/>
        </w:rPr>
        <w:t xml:space="preserve">2)(ii).  </w:t>
      </w:r>
      <w:r w:rsidRPr="003853FC">
        <w:rPr>
          <w:rFonts w:ascii="Times New Roman" w:eastAsia="Times New Roman" w:hAnsi="Times New Roman"/>
          <w:color w:val="000000"/>
          <w:spacing w:val="4"/>
          <w:sz w:val="26"/>
          <w:szCs w:val="26"/>
        </w:rPr>
        <w:t xml:space="preserve">While </w:t>
      </w:r>
      <w:r w:rsidR="00A37C38">
        <w:rPr>
          <w:rFonts w:ascii="Times New Roman" w:eastAsia="Times New Roman" w:hAnsi="Times New Roman"/>
          <w:color w:val="000000"/>
          <w:spacing w:val="4"/>
          <w:sz w:val="26"/>
          <w:szCs w:val="26"/>
        </w:rPr>
        <w:t>the</w:t>
      </w:r>
      <w:r w:rsidRPr="003853FC">
        <w:rPr>
          <w:rFonts w:ascii="Times New Roman" w:eastAsia="Times New Roman" w:hAnsi="Times New Roman"/>
          <w:color w:val="000000"/>
          <w:spacing w:val="4"/>
          <w:sz w:val="26"/>
          <w:szCs w:val="26"/>
        </w:rPr>
        <w:t xml:space="preserve"> OCA asks that we require NGSs to have a ceiling price, we </w:t>
      </w:r>
      <w:r w:rsidR="00A37C38">
        <w:rPr>
          <w:rFonts w:ascii="Times New Roman" w:eastAsia="Times New Roman" w:hAnsi="Times New Roman"/>
          <w:color w:val="000000"/>
          <w:spacing w:val="4"/>
          <w:sz w:val="26"/>
          <w:szCs w:val="26"/>
        </w:rPr>
        <w:t>have never required a ceiling price in our regulations</w:t>
      </w:r>
      <w:r w:rsidR="00DF731B">
        <w:rPr>
          <w:rFonts w:ascii="Times New Roman" w:eastAsia="Times New Roman" w:hAnsi="Times New Roman"/>
          <w:color w:val="000000"/>
          <w:spacing w:val="4"/>
          <w:sz w:val="26"/>
          <w:szCs w:val="26"/>
        </w:rPr>
        <w:t xml:space="preserve"> and </w:t>
      </w:r>
      <w:r w:rsidR="00DF731B" w:rsidRPr="003853FC">
        <w:rPr>
          <w:rFonts w:ascii="Times New Roman" w:eastAsia="Times New Roman" w:hAnsi="Times New Roman"/>
          <w:color w:val="000000"/>
          <w:spacing w:val="4"/>
          <w:sz w:val="26"/>
          <w:szCs w:val="26"/>
        </w:rPr>
        <w:t xml:space="preserve">we </w:t>
      </w:r>
      <w:r w:rsidR="00DF731B">
        <w:rPr>
          <w:rFonts w:ascii="Times New Roman" w:eastAsia="Times New Roman" w:hAnsi="Times New Roman"/>
          <w:color w:val="000000"/>
          <w:spacing w:val="4"/>
          <w:sz w:val="26"/>
          <w:szCs w:val="26"/>
        </w:rPr>
        <w:t xml:space="preserve">do not believe </w:t>
      </w:r>
      <w:r w:rsidR="00DF731B" w:rsidRPr="003853FC">
        <w:rPr>
          <w:rFonts w:ascii="Times New Roman" w:eastAsia="Times New Roman" w:hAnsi="Times New Roman"/>
          <w:color w:val="000000"/>
          <w:spacing w:val="4"/>
          <w:sz w:val="26"/>
          <w:szCs w:val="26"/>
        </w:rPr>
        <w:t>the Natural Gas Choice and Competition Act</w:t>
      </w:r>
      <w:r w:rsidR="004303CF">
        <w:rPr>
          <w:rFonts w:ascii="Times New Roman" w:eastAsia="Times New Roman" w:hAnsi="Times New Roman"/>
          <w:color w:val="000000"/>
          <w:spacing w:val="4"/>
          <w:sz w:val="26"/>
          <w:szCs w:val="26"/>
        </w:rPr>
        <w:t xml:space="preserve">, 66 Pa. C.S. §§ 2201 </w:t>
      </w:r>
      <w:r w:rsidR="004303CF">
        <w:rPr>
          <w:rFonts w:ascii="Times New Roman" w:eastAsia="Times New Roman" w:hAnsi="Times New Roman"/>
          <w:i/>
          <w:color w:val="000000"/>
          <w:spacing w:val="4"/>
          <w:sz w:val="26"/>
          <w:szCs w:val="26"/>
        </w:rPr>
        <w:t>et seq.</w:t>
      </w:r>
      <w:r w:rsidR="004303CF">
        <w:rPr>
          <w:rFonts w:ascii="Times New Roman" w:eastAsia="Times New Roman" w:hAnsi="Times New Roman"/>
          <w:color w:val="000000"/>
          <w:spacing w:val="4"/>
          <w:sz w:val="26"/>
          <w:szCs w:val="26"/>
        </w:rPr>
        <w:t>,</w:t>
      </w:r>
      <w:r w:rsidR="00DF731B" w:rsidRPr="003853FC">
        <w:rPr>
          <w:rFonts w:ascii="Times New Roman" w:eastAsia="Times New Roman" w:hAnsi="Times New Roman"/>
          <w:color w:val="000000"/>
          <w:spacing w:val="4"/>
          <w:sz w:val="26"/>
          <w:szCs w:val="26"/>
        </w:rPr>
        <w:t xml:space="preserve"> gives the Co</w:t>
      </w:r>
      <w:r w:rsidR="00823E50">
        <w:rPr>
          <w:rFonts w:ascii="Times New Roman" w:eastAsia="Times New Roman" w:hAnsi="Times New Roman"/>
          <w:color w:val="000000"/>
          <w:spacing w:val="4"/>
          <w:sz w:val="26"/>
          <w:szCs w:val="26"/>
        </w:rPr>
        <w:t xml:space="preserve">mmission the authority to cap prices charged by </w:t>
      </w:r>
      <w:r w:rsidR="00DF731B" w:rsidRPr="003853FC">
        <w:rPr>
          <w:rFonts w:ascii="Times New Roman" w:eastAsia="Times New Roman" w:hAnsi="Times New Roman"/>
          <w:color w:val="000000"/>
          <w:spacing w:val="4"/>
          <w:sz w:val="26"/>
          <w:szCs w:val="26"/>
        </w:rPr>
        <w:t>NGSs</w:t>
      </w:r>
      <w:r w:rsidR="00DF731B">
        <w:rPr>
          <w:rFonts w:ascii="Times New Roman" w:eastAsia="Times New Roman" w:hAnsi="Times New Roman"/>
          <w:color w:val="000000"/>
          <w:spacing w:val="4"/>
          <w:sz w:val="26"/>
          <w:szCs w:val="26"/>
        </w:rPr>
        <w:t>.</w:t>
      </w:r>
      <w:r w:rsidRPr="003853FC">
        <w:rPr>
          <w:rFonts w:ascii="Times New Roman" w:eastAsia="Times New Roman" w:hAnsi="Times New Roman"/>
          <w:color w:val="000000"/>
          <w:spacing w:val="4"/>
          <w:sz w:val="26"/>
          <w:szCs w:val="26"/>
        </w:rPr>
        <w:t xml:space="preserve"> </w:t>
      </w:r>
      <w:r w:rsidR="00DF731B">
        <w:rPr>
          <w:rFonts w:ascii="Times New Roman" w:eastAsia="Times New Roman" w:hAnsi="Times New Roman"/>
          <w:color w:val="000000"/>
          <w:spacing w:val="4"/>
          <w:sz w:val="26"/>
          <w:szCs w:val="26"/>
        </w:rPr>
        <w:t xml:space="preserve"> </w:t>
      </w:r>
      <w:r w:rsidR="009254A7">
        <w:rPr>
          <w:rFonts w:ascii="Times New Roman" w:eastAsia="Times New Roman" w:hAnsi="Times New Roman"/>
          <w:color w:val="000000"/>
          <w:spacing w:val="4"/>
          <w:sz w:val="26"/>
          <w:szCs w:val="26"/>
        </w:rPr>
        <w:t>Under t</w:t>
      </w:r>
      <w:r w:rsidR="00DA7CAE">
        <w:rPr>
          <w:rFonts w:ascii="Times New Roman" w:eastAsia="Times New Roman" w:hAnsi="Times New Roman"/>
          <w:color w:val="000000"/>
          <w:spacing w:val="4"/>
          <w:sz w:val="26"/>
          <w:szCs w:val="26"/>
        </w:rPr>
        <w:t>he</w:t>
      </w:r>
      <w:r w:rsidR="009254A7">
        <w:rPr>
          <w:rFonts w:ascii="Times New Roman" w:eastAsia="Times New Roman" w:hAnsi="Times New Roman"/>
          <w:color w:val="000000"/>
          <w:spacing w:val="4"/>
          <w:sz w:val="26"/>
          <w:szCs w:val="26"/>
        </w:rPr>
        <w:t xml:space="preserve"> Public Utility Code, the</w:t>
      </w:r>
      <w:r w:rsidRPr="003853FC">
        <w:rPr>
          <w:rFonts w:ascii="Times New Roman" w:eastAsia="Times New Roman" w:hAnsi="Times New Roman"/>
          <w:color w:val="000000"/>
          <w:spacing w:val="4"/>
          <w:sz w:val="26"/>
          <w:szCs w:val="26"/>
        </w:rPr>
        <w:t xml:space="preserve"> Commission does not have traditional ratemaking authority over </w:t>
      </w:r>
      <w:r w:rsidR="0041659F">
        <w:rPr>
          <w:rFonts w:ascii="Times New Roman" w:eastAsia="Times New Roman" w:hAnsi="Times New Roman"/>
          <w:color w:val="000000"/>
          <w:spacing w:val="4"/>
          <w:sz w:val="26"/>
          <w:szCs w:val="26"/>
        </w:rPr>
        <w:t>EGSs</w:t>
      </w:r>
      <w:r w:rsidRPr="003853FC">
        <w:rPr>
          <w:rFonts w:ascii="Times New Roman" w:eastAsia="Times New Roman" w:hAnsi="Times New Roman"/>
          <w:color w:val="000000"/>
          <w:spacing w:val="4"/>
          <w:sz w:val="26"/>
          <w:szCs w:val="26"/>
        </w:rPr>
        <w:t xml:space="preserve"> and cannot regulate competitive </w:t>
      </w:r>
      <w:r w:rsidR="00DF731B">
        <w:rPr>
          <w:rFonts w:ascii="Times New Roman" w:eastAsia="Times New Roman" w:hAnsi="Times New Roman"/>
          <w:color w:val="000000"/>
          <w:spacing w:val="4"/>
          <w:sz w:val="26"/>
          <w:szCs w:val="26"/>
        </w:rPr>
        <w:t>electric</w:t>
      </w:r>
      <w:r w:rsidR="009254A7">
        <w:rPr>
          <w:rFonts w:ascii="Times New Roman" w:eastAsia="Times New Roman" w:hAnsi="Times New Roman"/>
          <w:color w:val="000000"/>
          <w:spacing w:val="4"/>
          <w:sz w:val="26"/>
          <w:szCs w:val="26"/>
        </w:rPr>
        <w:t xml:space="preserve"> supply rates.  </w:t>
      </w:r>
      <w:proofErr w:type="gramStart"/>
      <w:r w:rsidR="00DA7CAE">
        <w:rPr>
          <w:rFonts w:ascii="Times New Roman" w:eastAsia="Times New Roman" w:hAnsi="Times New Roman"/>
          <w:color w:val="000000"/>
          <w:spacing w:val="4"/>
          <w:sz w:val="26"/>
          <w:szCs w:val="26"/>
        </w:rPr>
        <w:t>66 Pa. C.S. §</w:t>
      </w:r>
      <w:r w:rsidR="009254A7">
        <w:rPr>
          <w:rFonts w:ascii="Times New Roman" w:eastAsia="Times New Roman" w:hAnsi="Times New Roman"/>
          <w:color w:val="000000"/>
          <w:spacing w:val="4"/>
          <w:sz w:val="26"/>
          <w:szCs w:val="26"/>
        </w:rPr>
        <w:t>§ 102, 2802, 2806(a), 2809(e), 28</w:t>
      </w:r>
      <w:r w:rsidR="00DA7CAE">
        <w:rPr>
          <w:rFonts w:ascii="Times New Roman" w:eastAsia="Times New Roman" w:hAnsi="Times New Roman"/>
          <w:color w:val="000000"/>
          <w:spacing w:val="4"/>
          <w:sz w:val="26"/>
          <w:szCs w:val="26"/>
        </w:rPr>
        <w:t xml:space="preserve">10; </w:t>
      </w:r>
      <w:r w:rsidR="00DA7CAE">
        <w:rPr>
          <w:rFonts w:ascii="Times New Roman" w:eastAsia="Times New Roman" w:hAnsi="Times New Roman"/>
          <w:i/>
          <w:color w:val="000000"/>
          <w:spacing w:val="4"/>
          <w:sz w:val="26"/>
          <w:szCs w:val="26"/>
        </w:rPr>
        <w:t>s</w:t>
      </w:r>
      <w:r w:rsidRPr="003853FC">
        <w:rPr>
          <w:rFonts w:ascii="Times New Roman" w:eastAsia="Times New Roman" w:hAnsi="Times New Roman"/>
          <w:i/>
          <w:color w:val="000000"/>
          <w:spacing w:val="4"/>
          <w:sz w:val="26"/>
          <w:szCs w:val="26"/>
        </w:rPr>
        <w:t xml:space="preserve">ee, e.g., </w:t>
      </w:r>
      <w:proofErr w:type="spellStart"/>
      <w:r w:rsidRPr="003853FC">
        <w:rPr>
          <w:rFonts w:ascii="Times New Roman" w:eastAsia="Times New Roman" w:hAnsi="Times New Roman"/>
          <w:i/>
          <w:color w:val="000000"/>
          <w:spacing w:val="4"/>
          <w:sz w:val="26"/>
          <w:szCs w:val="26"/>
        </w:rPr>
        <w:t>Nadav</w:t>
      </w:r>
      <w:proofErr w:type="spellEnd"/>
      <w:r w:rsidRPr="003853FC">
        <w:rPr>
          <w:rFonts w:ascii="Times New Roman" w:eastAsia="Times New Roman" w:hAnsi="Times New Roman"/>
          <w:i/>
          <w:color w:val="000000"/>
          <w:spacing w:val="4"/>
          <w:sz w:val="26"/>
          <w:szCs w:val="26"/>
        </w:rPr>
        <w:t xml:space="preserve"> v. Respond Power, LLC, </w:t>
      </w:r>
      <w:r w:rsidRPr="003853FC">
        <w:rPr>
          <w:rFonts w:ascii="Times New Roman" w:eastAsia="Times New Roman" w:hAnsi="Times New Roman"/>
          <w:color w:val="000000"/>
          <w:spacing w:val="4"/>
          <w:sz w:val="26"/>
          <w:szCs w:val="26"/>
        </w:rPr>
        <w:t>Docket No.</w:t>
      </w:r>
      <w:proofErr w:type="gramEnd"/>
      <w:r w:rsidRPr="003853FC">
        <w:rPr>
          <w:rFonts w:ascii="Times New Roman" w:eastAsia="Times New Roman" w:hAnsi="Times New Roman"/>
          <w:color w:val="000000"/>
          <w:spacing w:val="4"/>
          <w:sz w:val="26"/>
          <w:szCs w:val="26"/>
        </w:rPr>
        <w:t xml:space="preserve"> C-2014-2429159, </w:t>
      </w:r>
      <w:r w:rsidR="00A37C38">
        <w:rPr>
          <w:rFonts w:ascii="Times New Roman" w:eastAsia="Times New Roman" w:hAnsi="Times New Roman"/>
          <w:color w:val="000000"/>
          <w:spacing w:val="4"/>
          <w:sz w:val="26"/>
          <w:szCs w:val="26"/>
        </w:rPr>
        <w:t xml:space="preserve">at p. 7 </w:t>
      </w:r>
      <w:r w:rsidRPr="003853FC">
        <w:rPr>
          <w:rFonts w:ascii="Times New Roman" w:eastAsia="Times New Roman" w:hAnsi="Times New Roman"/>
          <w:color w:val="000000"/>
          <w:spacing w:val="4"/>
          <w:sz w:val="26"/>
          <w:szCs w:val="26"/>
        </w:rPr>
        <w:t>(Opinion and Order entered Dec</w:t>
      </w:r>
      <w:r w:rsidR="00A37C38">
        <w:rPr>
          <w:rFonts w:ascii="Times New Roman" w:eastAsia="Times New Roman" w:hAnsi="Times New Roman"/>
          <w:color w:val="000000"/>
          <w:spacing w:val="4"/>
          <w:sz w:val="26"/>
          <w:szCs w:val="26"/>
        </w:rPr>
        <w:t>.</w:t>
      </w:r>
      <w:r w:rsidR="009254A7">
        <w:rPr>
          <w:rFonts w:ascii="Times New Roman" w:eastAsia="Times New Roman" w:hAnsi="Times New Roman"/>
          <w:color w:val="000000"/>
          <w:spacing w:val="4"/>
          <w:sz w:val="26"/>
          <w:szCs w:val="26"/>
        </w:rPr>
        <w:t xml:space="preserve"> 19, 2014), </w:t>
      </w:r>
      <w:r w:rsidR="009254A7">
        <w:rPr>
          <w:rFonts w:ascii="Times New Roman" w:eastAsia="Times New Roman" w:hAnsi="Times New Roman"/>
          <w:i/>
          <w:color w:val="000000"/>
          <w:spacing w:val="4"/>
          <w:sz w:val="26"/>
          <w:szCs w:val="26"/>
        </w:rPr>
        <w:t>s</w:t>
      </w:r>
      <w:r w:rsidRPr="003853FC">
        <w:rPr>
          <w:rFonts w:ascii="Times New Roman" w:eastAsia="Times New Roman" w:hAnsi="Times New Roman"/>
          <w:i/>
          <w:color w:val="000000"/>
          <w:spacing w:val="4"/>
          <w:sz w:val="26"/>
          <w:szCs w:val="26"/>
        </w:rPr>
        <w:t>ee</w:t>
      </w:r>
      <w:r w:rsidR="009254A7">
        <w:rPr>
          <w:rFonts w:ascii="Times New Roman" w:eastAsia="Times New Roman" w:hAnsi="Times New Roman"/>
          <w:i/>
          <w:color w:val="000000"/>
          <w:spacing w:val="4"/>
          <w:sz w:val="26"/>
          <w:szCs w:val="26"/>
        </w:rPr>
        <w:t xml:space="preserve"> also</w:t>
      </w:r>
      <w:r w:rsidRPr="003853FC">
        <w:rPr>
          <w:rFonts w:ascii="Times New Roman" w:eastAsia="Times New Roman" w:hAnsi="Times New Roman"/>
          <w:i/>
          <w:color w:val="000000"/>
          <w:spacing w:val="4"/>
          <w:sz w:val="26"/>
          <w:szCs w:val="26"/>
        </w:rPr>
        <w:t xml:space="preserve">, e.g., Commonwealth of Pennsylvania, et al. v. Blue Pilot Energy, LLC, </w:t>
      </w:r>
      <w:r w:rsidRPr="003853FC">
        <w:rPr>
          <w:rFonts w:ascii="Times New Roman" w:eastAsia="Times New Roman" w:hAnsi="Times New Roman"/>
          <w:color w:val="000000"/>
          <w:spacing w:val="4"/>
          <w:sz w:val="26"/>
          <w:szCs w:val="26"/>
        </w:rPr>
        <w:t>Docket No. C-2014-2427655, (Order entered December 11, 2014), p. 18.</w:t>
      </w:r>
      <w:r w:rsidR="00DF731B">
        <w:rPr>
          <w:rFonts w:ascii="Times New Roman" w:eastAsia="Times New Roman" w:hAnsi="Times New Roman"/>
          <w:color w:val="000000"/>
          <w:spacing w:val="4"/>
          <w:sz w:val="26"/>
          <w:szCs w:val="26"/>
        </w:rPr>
        <w:t xml:space="preserve">  Similarly, the Commission does not </w:t>
      </w:r>
      <w:r w:rsidR="00DF731B" w:rsidRPr="003853FC">
        <w:rPr>
          <w:rFonts w:ascii="Times New Roman" w:eastAsia="Times New Roman" w:hAnsi="Times New Roman"/>
          <w:color w:val="000000"/>
          <w:spacing w:val="4"/>
          <w:sz w:val="26"/>
          <w:szCs w:val="26"/>
        </w:rPr>
        <w:t xml:space="preserve">have traditional ratemaking authority over </w:t>
      </w:r>
      <w:r w:rsidR="0041659F">
        <w:rPr>
          <w:rFonts w:ascii="Times New Roman" w:eastAsia="Times New Roman" w:hAnsi="Times New Roman"/>
          <w:color w:val="000000"/>
          <w:spacing w:val="4"/>
          <w:sz w:val="26"/>
          <w:szCs w:val="26"/>
        </w:rPr>
        <w:t>NGSs</w:t>
      </w:r>
      <w:r w:rsidR="00DF731B" w:rsidRPr="003853FC">
        <w:rPr>
          <w:rFonts w:ascii="Times New Roman" w:eastAsia="Times New Roman" w:hAnsi="Times New Roman"/>
          <w:color w:val="000000"/>
          <w:spacing w:val="4"/>
          <w:sz w:val="26"/>
          <w:szCs w:val="26"/>
        </w:rPr>
        <w:t xml:space="preserve"> and cannot regulate competitive </w:t>
      </w:r>
      <w:r w:rsidR="00DF731B">
        <w:rPr>
          <w:rFonts w:ascii="Times New Roman" w:eastAsia="Times New Roman" w:hAnsi="Times New Roman"/>
          <w:color w:val="000000"/>
          <w:spacing w:val="4"/>
          <w:sz w:val="26"/>
          <w:szCs w:val="26"/>
        </w:rPr>
        <w:t xml:space="preserve">gas supply rates.  </w:t>
      </w:r>
      <w:proofErr w:type="gramStart"/>
      <w:r w:rsidR="00DF731B">
        <w:rPr>
          <w:rFonts w:ascii="Times New Roman" w:eastAsia="Times New Roman" w:hAnsi="Times New Roman"/>
          <w:color w:val="000000"/>
          <w:spacing w:val="4"/>
          <w:sz w:val="26"/>
          <w:szCs w:val="26"/>
        </w:rPr>
        <w:t xml:space="preserve">66 Pa. C.S. §§ 102, </w:t>
      </w:r>
      <w:r w:rsidR="004303CF">
        <w:rPr>
          <w:rFonts w:ascii="Times New Roman" w:eastAsia="Times New Roman" w:hAnsi="Times New Roman"/>
          <w:color w:val="000000"/>
          <w:spacing w:val="4"/>
          <w:sz w:val="26"/>
          <w:szCs w:val="26"/>
        </w:rPr>
        <w:t xml:space="preserve">2202, </w:t>
      </w:r>
      <w:r w:rsidR="00DF731B">
        <w:rPr>
          <w:rFonts w:ascii="Times New Roman" w:eastAsia="Times New Roman" w:hAnsi="Times New Roman"/>
          <w:color w:val="000000"/>
          <w:spacing w:val="4"/>
          <w:sz w:val="26"/>
          <w:szCs w:val="26"/>
        </w:rPr>
        <w:t>22</w:t>
      </w:r>
      <w:r w:rsidR="004303CF">
        <w:rPr>
          <w:rFonts w:ascii="Times New Roman" w:eastAsia="Times New Roman" w:hAnsi="Times New Roman"/>
          <w:color w:val="000000"/>
          <w:spacing w:val="4"/>
          <w:sz w:val="26"/>
          <w:szCs w:val="26"/>
        </w:rPr>
        <w:t>08(e)</w:t>
      </w:r>
      <w:r w:rsidR="002E442A">
        <w:rPr>
          <w:rFonts w:ascii="Times New Roman" w:eastAsia="Times New Roman" w:hAnsi="Times New Roman"/>
          <w:color w:val="000000"/>
          <w:spacing w:val="4"/>
          <w:sz w:val="26"/>
          <w:szCs w:val="26"/>
        </w:rPr>
        <w:t>.</w:t>
      </w:r>
      <w:proofErr w:type="gramEnd"/>
      <w:r w:rsidR="00686E23">
        <w:rPr>
          <w:rFonts w:ascii="Times New Roman" w:eastAsia="Times New Roman" w:hAnsi="Times New Roman"/>
          <w:color w:val="000000"/>
          <w:spacing w:val="4"/>
          <w:sz w:val="26"/>
          <w:szCs w:val="26"/>
        </w:rPr>
        <w:t xml:space="preserve">  However, the Public Utility Code empowers the Commission to promulgate regulations over the licensing, marketing, and sales practices of NGSs.  </w:t>
      </w:r>
      <w:r w:rsidR="00686E23">
        <w:rPr>
          <w:rFonts w:ascii="Times New Roman" w:eastAsia="Times New Roman" w:hAnsi="Times New Roman"/>
          <w:i/>
          <w:color w:val="000000"/>
          <w:spacing w:val="4"/>
          <w:sz w:val="26"/>
          <w:szCs w:val="26"/>
        </w:rPr>
        <w:t>See</w:t>
      </w:r>
      <w:r w:rsidR="00686E23">
        <w:rPr>
          <w:rFonts w:ascii="Times New Roman" w:eastAsia="Times New Roman" w:hAnsi="Times New Roman"/>
          <w:color w:val="000000"/>
          <w:spacing w:val="4"/>
          <w:sz w:val="26"/>
          <w:szCs w:val="26"/>
        </w:rPr>
        <w:t xml:space="preserve"> 66 Pa. C.S. </w:t>
      </w:r>
      <w:r w:rsidR="00686E23">
        <w:rPr>
          <w:rFonts w:cstheme="minorHAnsi"/>
          <w:sz w:val="26"/>
          <w:szCs w:val="26"/>
        </w:rPr>
        <w:t>§</w:t>
      </w:r>
      <w:r w:rsidR="00686E23">
        <w:rPr>
          <w:rFonts w:ascii="Times New Roman" w:eastAsia="Times New Roman" w:hAnsi="Times New Roman"/>
          <w:color w:val="000000"/>
          <w:spacing w:val="4"/>
          <w:sz w:val="26"/>
          <w:szCs w:val="26"/>
        </w:rPr>
        <w:t xml:space="preserve"> 2208.  </w:t>
      </w:r>
      <w:r w:rsidR="00DF731B">
        <w:rPr>
          <w:rFonts w:ascii="Times New Roman" w:eastAsia="Times New Roman" w:hAnsi="Times New Roman"/>
          <w:color w:val="000000"/>
          <w:spacing w:val="4"/>
          <w:sz w:val="26"/>
          <w:szCs w:val="26"/>
        </w:rPr>
        <w:t xml:space="preserve"> </w:t>
      </w:r>
      <w:r w:rsidRPr="003853FC">
        <w:rPr>
          <w:rFonts w:ascii="Times New Roman" w:eastAsia="Times New Roman" w:hAnsi="Times New Roman"/>
          <w:color w:val="000000"/>
          <w:spacing w:val="4"/>
          <w:sz w:val="26"/>
          <w:szCs w:val="26"/>
        </w:rPr>
        <w:t xml:space="preserve"> </w:t>
      </w:r>
    </w:p>
    <w:p w:rsidR="006C55C1" w:rsidRDefault="006C55C1" w:rsidP="001A1513">
      <w:pPr>
        <w:spacing w:line="360" w:lineRule="auto"/>
        <w:rPr>
          <w:rFonts w:ascii="Times New Roman" w:eastAsia="Times New Roman" w:hAnsi="Times New Roman"/>
          <w:color w:val="000000"/>
          <w:spacing w:val="4"/>
          <w:sz w:val="26"/>
          <w:szCs w:val="26"/>
        </w:rPr>
      </w:pPr>
    </w:p>
    <w:p w:rsidR="001A1513" w:rsidRDefault="00A37C38" w:rsidP="006C55C1">
      <w:pPr>
        <w:spacing w:line="360" w:lineRule="auto"/>
        <w:ind w:firstLine="720"/>
        <w:rPr>
          <w:rFonts w:ascii="Times New Roman" w:eastAsia="Times New Roman" w:hAnsi="Times New Roman"/>
          <w:color w:val="000000"/>
          <w:spacing w:val="4"/>
          <w:sz w:val="26"/>
          <w:szCs w:val="26"/>
        </w:rPr>
      </w:pPr>
      <w:r>
        <w:rPr>
          <w:rFonts w:ascii="Times New Roman" w:eastAsia="Times New Roman" w:hAnsi="Times New Roman"/>
          <w:color w:val="000000"/>
          <w:spacing w:val="4"/>
          <w:sz w:val="26"/>
          <w:szCs w:val="26"/>
        </w:rPr>
        <w:t>We</w:t>
      </w:r>
      <w:r w:rsidR="001A1513" w:rsidRPr="003853FC">
        <w:rPr>
          <w:rFonts w:ascii="Times New Roman" w:eastAsia="Times New Roman" w:hAnsi="Times New Roman"/>
          <w:color w:val="000000"/>
          <w:spacing w:val="4"/>
          <w:sz w:val="26"/>
          <w:szCs w:val="26"/>
        </w:rPr>
        <w:t xml:space="preserve"> agree with </w:t>
      </w:r>
      <w:r>
        <w:rPr>
          <w:rFonts w:ascii="Times New Roman" w:eastAsia="Times New Roman" w:hAnsi="Times New Roman"/>
          <w:color w:val="000000"/>
          <w:spacing w:val="4"/>
          <w:sz w:val="26"/>
          <w:szCs w:val="26"/>
        </w:rPr>
        <w:t xml:space="preserve">the </w:t>
      </w:r>
      <w:r w:rsidR="001A1513" w:rsidRPr="003853FC">
        <w:rPr>
          <w:rFonts w:ascii="Times New Roman" w:eastAsia="Times New Roman" w:hAnsi="Times New Roman"/>
          <w:color w:val="000000"/>
          <w:spacing w:val="4"/>
          <w:sz w:val="26"/>
          <w:szCs w:val="26"/>
        </w:rPr>
        <w:t>OCA</w:t>
      </w:r>
      <w:r>
        <w:rPr>
          <w:rFonts w:ascii="Times New Roman" w:eastAsia="Times New Roman" w:hAnsi="Times New Roman"/>
          <w:color w:val="000000"/>
          <w:spacing w:val="4"/>
          <w:sz w:val="26"/>
          <w:szCs w:val="26"/>
        </w:rPr>
        <w:t>’s assertion</w:t>
      </w:r>
      <w:r w:rsidR="001A1513" w:rsidRPr="003853FC">
        <w:rPr>
          <w:rFonts w:ascii="Times New Roman" w:eastAsia="Times New Roman" w:hAnsi="Times New Roman"/>
          <w:color w:val="000000"/>
          <w:spacing w:val="4"/>
          <w:sz w:val="26"/>
          <w:szCs w:val="26"/>
        </w:rPr>
        <w:t xml:space="preserve"> that if there is no ceiling on the variable price, a specific statement to that effect should be required. </w:t>
      </w:r>
      <w:r>
        <w:rPr>
          <w:rFonts w:ascii="Times New Roman" w:eastAsia="Times New Roman" w:hAnsi="Times New Roman"/>
          <w:color w:val="000000"/>
          <w:spacing w:val="4"/>
          <w:sz w:val="26"/>
          <w:szCs w:val="26"/>
        </w:rPr>
        <w:t xml:space="preserve"> </w:t>
      </w:r>
      <w:r w:rsidR="00D25EF9">
        <w:rPr>
          <w:rFonts w:ascii="Times New Roman" w:eastAsia="Times New Roman" w:hAnsi="Times New Roman"/>
          <w:color w:val="000000"/>
          <w:spacing w:val="4"/>
          <w:sz w:val="26"/>
          <w:szCs w:val="26"/>
        </w:rPr>
        <w:t>Since t</w:t>
      </w:r>
      <w:r>
        <w:rPr>
          <w:rFonts w:ascii="Times New Roman" w:eastAsia="Times New Roman" w:hAnsi="Times New Roman"/>
          <w:color w:val="000000"/>
          <w:spacing w:val="4"/>
          <w:sz w:val="26"/>
          <w:szCs w:val="26"/>
        </w:rPr>
        <w:t xml:space="preserve">his explicit statement provides </w:t>
      </w:r>
      <w:r w:rsidR="001A1513" w:rsidRPr="003853FC">
        <w:rPr>
          <w:rFonts w:ascii="Times New Roman" w:eastAsia="Times New Roman" w:hAnsi="Times New Roman"/>
          <w:color w:val="000000"/>
          <w:spacing w:val="4"/>
          <w:sz w:val="26"/>
          <w:szCs w:val="26"/>
        </w:rPr>
        <w:t xml:space="preserve">vital information </w:t>
      </w:r>
      <w:r w:rsidR="00D25EF9">
        <w:rPr>
          <w:rFonts w:ascii="Times New Roman" w:eastAsia="Times New Roman" w:hAnsi="Times New Roman"/>
          <w:color w:val="000000"/>
          <w:spacing w:val="4"/>
          <w:sz w:val="26"/>
          <w:szCs w:val="26"/>
        </w:rPr>
        <w:t xml:space="preserve">for </w:t>
      </w:r>
      <w:r w:rsidR="001A1513" w:rsidRPr="003853FC">
        <w:rPr>
          <w:rFonts w:ascii="Times New Roman" w:eastAsia="Times New Roman" w:hAnsi="Times New Roman"/>
          <w:color w:val="000000"/>
          <w:spacing w:val="4"/>
          <w:sz w:val="26"/>
          <w:szCs w:val="26"/>
        </w:rPr>
        <w:t>a potential customer considering a variable-priced product, we propose including a requirement analogous to the same requirement in the electric rules</w:t>
      </w:r>
      <w:r w:rsidR="00D25EF9">
        <w:rPr>
          <w:rFonts w:ascii="Times New Roman" w:eastAsia="Times New Roman" w:hAnsi="Times New Roman"/>
          <w:color w:val="000000"/>
          <w:spacing w:val="4"/>
          <w:sz w:val="26"/>
          <w:szCs w:val="26"/>
        </w:rPr>
        <w:t xml:space="preserve"> at 52 Pa. Code § 54.10</w:t>
      </w:r>
      <w:r w:rsidR="001A1513" w:rsidRPr="003853FC">
        <w:rPr>
          <w:rFonts w:ascii="Times New Roman" w:eastAsia="Times New Roman" w:hAnsi="Times New Roman"/>
          <w:color w:val="000000"/>
          <w:spacing w:val="4"/>
          <w:sz w:val="26"/>
          <w:szCs w:val="26"/>
        </w:rPr>
        <w:t>.  The information concerning limits</w:t>
      </w:r>
      <w:r w:rsidR="00D25EF9">
        <w:rPr>
          <w:rFonts w:ascii="Times New Roman" w:eastAsia="Times New Roman" w:hAnsi="Times New Roman"/>
          <w:color w:val="000000"/>
          <w:spacing w:val="4"/>
          <w:sz w:val="26"/>
          <w:szCs w:val="26"/>
        </w:rPr>
        <w:t>,</w:t>
      </w:r>
      <w:r w:rsidR="001A1513" w:rsidRPr="003853FC">
        <w:rPr>
          <w:rFonts w:ascii="Times New Roman" w:eastAsia="Times New Roman" w:hAnsi="Times New Roman"/>
          <w:color w:val="000000"/>
          <w:spacing w:val="4"/>
          <w:sz w:val="26"/>
          <w:szCs w:val="26"/>
        </w:rPr>
        <w:t xml:space="preserve"> or lack thereof</w:t>
      </w:r>
      <w:r w:rsidR="00D25EF9">
        <w:rPr>
          <w:rFonts w:ascii="Times New Roman" w:eastAsia="Times New Roman" w:hAnsi="Times New Roman"/>
          <w:color w:val="000000"/>
          <w:spacing w:val="4"/>
          <w:sz w:val="26"/>
          <w:szCs w:val="26"/>
        </w:rPr>
        <w:t>,</w:t>
      </w:r>
      <w:r w:rsidR="001A1513" w:rsidRPr="003853FC">
        <w:rPr>
          <w:rFonts w:ascii="Times New Roman" w:eastAsia="Times New Roman" w:hAnsi="Times New Roman"/>
          <w:color w:val="000000"/>
          <w:spacing w:val="4"/>
          <w:sz w:val="26"/>
          <w:szCs w:val="26"/>
        </w:rPr>
        <w:t xml:space="preserve"> should also be highlighted in</w:t>
      </w:r>
      <w:r w:rsidR="00DA7CAE">
        <w:rPr>
          <w:rFonts w:ascii="Times New Roman" w:eastAsia="Times New Roman" w:hAnsi="Times New Roman"/>
          <w:color w:val="000000"/>
          <w:spacing w:val="4"/>
          <w:sz w:val="26"/>
          <w:szCs w:val="26"/>
        </w:rPr>
        <w:t xml:space="preserve"> a larger type size that stands </w:t>
      </w:r>
      <w:r w:rsidR="001A1513" w:rsidRPr="003853FC">
        <w:rPr>
          <w:rFonts w:ascii="Times New Roman" w:eastAsia="Times New Roman" w:hAnsi="Times New Roman"/>
          <w:color w:val="000000"/>
          <w:spacing w:val="4"/>
          <w:sz w:val="26"/>
          <w:szCs w:val="26"/>
        </w:rPr>
        <w:t>out to the customer.</w:t>
      </w:r>
      <w:r w:rsidR="009811F4">
        <w:rPr>
          <w:rFonts w:ascii="Times New Roman" w:eastAsia="Times New Roman" w:hAnsi="Times New Roman"/>
          <w:color w:val="000000"/>
          <w:spacing w:val="4"/>
          <w:sz w:val="26"/>
          <w:szCs w:val="26"/>
        </w:rPr>
        <w:t xml:space="preserve">  </w:t>
      </w:r>
      <w:r w:rsidR="009811F4">
        <w:rPr>
          <w:rFonts w:ascii="Times New Roman" w:eastAsia="Times New Roman" w:hAnsi="Times New Roman"/>
          <w:i/>
          <w:color w:val="000000"/>
          <w:spacing w:val="4"/>
          <w:sz w:val="26"/>
          <w:szCs w:val="26"/>
        </w:rPr>
        <w:t>See</w:t>
      </w:r>
      <w:r w:rsidR="009811F4">
        <w:rPr>
          <w:rFonts w:ascii="Times New Roman" w:eastAsia="Times New Roman" w:hAnsi="Times New Roman"/>
          <w:color w:val="000000"/>
          <w:spacing w:val="4"/>
          <w:sz w:val="26"/>
          <w:szCs w:val="26"/>
        </w:rPr>
        <w:t xml:space="preserve"> Annex A, Section 62.75(c</w:t>
      </w:r>
      <w:proofErr w:type="gramStart"/>
      <w:r w:rsidR="009811F4">
        <w:rPr>
          <w:rFonts w:ascii="Times New Roman" w:eastAsia="Times New Roman" w:hAnsi="Times New Roman"/>
          <w:color w:val="000000"/>
          <w:spacing w:val="4"/>
          <w:sz w:val="26"/>
          <w:szCs w:val="26"/>
        </w:rPr>
        <w:t>)(</w:t>
      </w:r>
      <w:proofErr w:type="gramEnd"/>
      <w:r w:rsidR="009811F4">
        <w:rPr>
          <w:rFonts w:ascii="Times New Roman" w:eastAsia="Times New Roman" w:hAnsi="Times New Roman"/>
          <w:color w:val="000000"/>
          <w:spacing w:val="4"/>
          <w:sz w:val="26"/>
          <w:szCs w:val="26"/>
        </w:rPr>
        <w:t xml:space="preserve">2)(iii).  </w:t>
      </w:r>
      <w:r w:rsidR="001A1513" w:rsidRPr="003853FC">
        <w:rPr>
          <w:rFonts w:ascii="Times New Roman" w:eastAsia="Times New Roman" w:hAnsi="Times New Roman"/>
          <w:color w:val="000000"/>
          <w:spacing w:val="4"/>
          <w:sz w:val="26"/>
          <w:szCs w:val="26"/>
        </w:rPr>
        <w:t xml:space="preserve">  </w:t>
      </w:r>
    </w:p>
    <w:p w:rsidR="00B80182" w:rsidRPr="003853FC" w:rsidRDefault="00B80182" w:rsidP="006C55C1">
      <w:pPr>
        <w:spacing w:line="360" w:lineRule="auto"/>
        <w:ind w:firstLine="720"/>
        <w:rPr>
          <w:rFonts w:ascii="Times New Roman" w:eastAsia="Times New Roman" w:hAnsi="Times New Roman"/>
          <w:color w:val="000000"/>
          <w:spacing w:val="4"/>
          <w:sz w:val="26"/>
          <w:szCs w:val="26"/>
        </w:rPr>
      </w:pPr>
    </w:p>
    <w:p w:rsidR="001A1513" w:rsidRPr="00213616" w:rsidRDefault="001A1513" w:rsidP="00B80182">
      <w:pPr>
        <w:spacing w:line="360" w:lineRule="auto"/>
        <w:ind w:firstLine="720"/>
        <w:rPr>
          <w:rFonts w:eastAsia="Times New Roman" w:cstheme="minorHAnsi"/>
          <w:color w:val="000000"/>
          <w:spacing w:val="4"/>
          <w:sz w:val="26"/>
          <w:szCs w:val="26"/>
        </w:rPr>
      </w:pPr>
      <w:r w:rsidRPr="00DA7CAE">
        <w:rPr>
          <w:rFonts w:ascii="Times New Roman" w:eastAsia="Times New Roman" w:hAnsi="Times New Roman"/>
          <w:color w:val="000000"/>
          <w:spacing w:val="4"/>
          <w:sz w:val="26"/>
          <w:szCs w:val="26"/>
        </w:rPr>
        <w:lastRenderedPageBreak/>
        <w:t>We</w:t>
      </w:r>
      <w:r w:rsidR="005A7A52">
        <w:rPr>
          <w:rFonts w:ascii="Times New Roman" w:eastAsia="Times New Roman" w:hAnsi="Times New Roman"/>
          <w:color w:val="000000"/>
          <w:spacing w:val="4"/>
          <w:sz w:val="26"/>
          <w:szCs w:val="26"/>
        </w:rPr>
        <w:t xml:space="preserve"> also propose </w:t>
      </w:r>
      <w:r w:rsidR="00DA7CAE">
        <w:rPr>
          <w:rFonts w:ascii="Times New Roman" w:eastAsia="Times New Roman" w:hAnsi="Times New Roman"/>
          <w:color w:val="000000"/>
          <w:spacing w:val="4"/>
          <w:sz w:val="26"/>
          <w:szCs w:val="26"/>
        </w:rPr>
        <w:t>requir</w:t>
      </w:r>
      <w:r w:rsidR="005A7A52">
        <w:rPr>
          <w:rFonts w:ascii="Times New Roman" w:eastAsia="Times New Roman" w:hAnsi="Times New Roman"/>
          <w:color w:val="000000"/>
          <w:spacing w:val="4"/>
          <w:sz w:val="26"/>
          <w:szCs w:val="26"/>
        </w:rPr>
        <w:t>ing</w:t>
      </w:r>
      <w:r w:rsidR="00DA7CAE">
        <w:rPr>
          <w:rFonts w:ascii="Times New Roman" w:eastAsia="Times New Roman" w:hAnsi="Times New Roman"/>
          <w:color w:val="000000"/>
          <w:spacing w:val="4"/>
          <w:sz w:val="26"/>
          <w:szCs w:val="26"/>
        </w:rPr>
        <w:t xml:space="preserve"> </w:t>
      </w:r>
      <w:r w:rsidRPr="003853FC">
        <w:rPr>
          <w:rFonts w:ascii="Times New Roman" w:eastAsia="Times New Roman" w:hAnsi="Times New Roman"/>
          <w:color w:val="000000"/>
          <w:spacing w:val="4"/>
          <w:sz w:val="26"/>
          <w:szCs w:val="26"/>
        </w:rPr>
        <w:t xml:space="preserve">an NGS </w:t>
      </w:r>
      <w:r w:rsidR="00DA7CAE">
        <w:rPr>
          <w:rFonts w:ascii="Times New Roman" w:eastAsia="Times New Roman" w:hAnsi="Times New Roman"/>
          <w:color w:val="000000"/>
          <w:spacing w:val="4"/>
          <w:sz w:val="26"/>
          <w:szCs w:val="26"/>
        </w:rPr>
        <w:t>to</w:t>
      </w:r>
      <w:r w:rsidRPr="003853FC">
        <w:rPr>
          <w:rFonts w:ascii="Times New Roman" w:eastAsia="Times New Roman" w:hAnsi="Times New Roman"/>
          <w:color w:val="000000"/>
          <w:spacing w:val="4"/>
          <w:sz w:val="26"/>
          <w:szCs w:val="26"/>
        </w:rPr>
        <w:t xml:space="preserve"> disclose the initial, starting price.  While we understand the concerns expressed by </w:t>
      </w:r>
      <w:r w:rsidR="004303CF">
        <w:rPr>
          <w:rFonts w:ascii="Times New Roman" w:eastAsia="Times New Roman" w:hAnsi="Times New Roman"/>
          <w:color w:val="000000"/>
          <w:spacing w:val="4"/>
          <w:sz w:val="26"/>
          <w:szCs w:val="26"/>
        </w:rPr>
        <w:t xml:space="preserve">the </w:t>
      </w:r>
      <w:r w:rsidRPr="003853FC">
        <w:rPr>
          <w:rFonts w:ascii="Times New Roman" w:eastAsia="Times New Roman" w:hAnsi="Times New Roman"/>
          <w:color w:val="000000"/>
          <w:spacing w:val="4"/>
          <w:sz w:val="26"/>
          <w:szCs w:val="26"/>
        </w:rPr>
        <w:t xml:space="preserve">NGS Parties about this requirement, we </w:t>
      </w:r>
      <w:r w:rsidR="00D93048">
        <w:rPr>
          <w:rFonts w:ascii="Times New Roman" w:eastAsia="Times New Roman" w:hAnsi="Times New Roman"/>
          <w:color w:val="000000"/>
          <w:spacing w:val="4"/>
          <w:sz w:val="26"/>
          <w:szCs w:val="26"/>
        </w:rPr>
        <w:t>think a cu</w:t>
      </w:r>
      <w:r w:rsidR="005A7A52">
        <w:rPr>
          <w:rFonts w:ascii="Times New Roman" w:eastAsia="Times New Roman" w:hAnsi="Times New Roman"/>
          <w:color w:val="000000"/>
          <w:spacing w:val="4"/>
          <w:sz w:val="26"/>
          <w:szCs w:val="26"/>
        </w:rPr>
        <w:t>sto</w:t>
      </w:r>
      <w:r w:rsidR="00D93048">
        <w:rPr>
          <w:rFonts w:ascii="Times New Roman" w:eastAsia="Times New Roman" w:hAnsi="Times New Roman"/>
          <w:color w:val="000000"/>
          <w:spacing w:val="4"/>
          <w:sz w:val="26"/>
          <w:szCs w:val="26"/>
        </w:rPr>
        <w:t xml:space="preserve">mer should have specific pricing information that allows the </w:t>
      </w:r>
      <w:r w:rsidR="008E2217">
        <w:rPr>
          <w:rFonts w:ascii="Times New Roman" w:eastAsia="Times New Roman" w:hAnsi="Times New Roman"/>
          <w:color w:val="000000"/>
          <w:spacing w:val="4"/>
          <w:sz w:val="26"/>
          <w:szCs w:val="26"/>
        </w:rPr>
        <w:t>customer</w:t>
      </w:r>
      <w:r w:rsidR="00D93048">
        <w:rPr>
          <w:rFonts w:ascii="Times New Roman" w:eastAsia="Times New Roman" w:hAnsi="Times New Roman"/>
          <w:color w:val="000000"/>
          <w:spacing w:val="4"/>
          <w:sz w:val="26"/>
          <w:szCs w:val="26"/>
        </w:rPr>
        <w:t xml:space="preserve"> to compare NGS offers before entering into a contract.</w:t>
      </w:r>
      <w:r w:rsidRPr="003853FC">
        <w:rPr>
          <w:rFonts w:ascii="Times New Roman" w:eastAsia="Times New Roman" w:hAnsi="Times New Roman"/>
          <w:color w:val="000000"/>
          <w:spacing w:val="4"/>
          <w:sz w:val="26"/>
          <w:szCs w:val="26"/>
        </w:rPr>
        <w:t xml:space="preserve"> </w:t>
      </w:r>
      <w:r w:rsidR="00D93048">
        <w:rPr>
          <w:rFonts w:ascii="Times New Roman" w:eastAsia="Times New Roman" w:hAnsi="Times New Roman"/>
          <w:color w:val="000000"/>
          <w:spacing w:val="4"/>
          <w:sz w:val="26"/>
          <w:szCs w:val="26"/>
        </w:rPr>
        <w:t xml:space="preserve"> </w:t>
      </w:r>
      <w:r w:rsidRPr="003853FC">
        <w:rPr>
          <w:rFonts w:ascii="Times New Roman" w:eastAsia="Times New Roman" w:hAnsi="Times New Roman"/>
          <w:color w:val="000000"/>
          <w:spacing w:val="4"/>
          <w:sz w:val="26"/>
          <w:szCs w:val="26"/>
        </w:rPr>
        <w:t>A</w:t>
      </w:r>
      <w:r w:rsidR="005A7A52">
        <w:rPr>
          <w:rFonts w:ascii="Times New Roman" w:eastAsia="Times New Roman" w:hAnsi="Times New Roman"/>
          <w:color w:val="000000"/>
          <w:spacing w:val="4"/>
          <w:sz w:val="26"/>
          <w:szCs w:val="26"/>
        </w:rPr>
        <w:t>gain</w:t>
      </w:r>
      <w:r w:rsidRPr="003853FC">
        <w:rPr>
          <w:rFonts w:ascii="Times New Roman" w:eastAsia="Times New Roman" w:hAnsi="Times New Roman"/>
          <w:color w:val="000000"/>
          <w:spacing w:val="4"/>
          <w:sz w:val="26"/>
          <w:szCs w:val="26"/>
        </w:rPr>
        <w:t xml:space="preserve">, this requirement was </w:t>
      </w:r>
      <w:r w:rsidR="005A7A52">
        <w:rPr>
          <w:rFonts w:ascii="Times New Roman" w:eastAsia="Times New Roman" w:hAnsi="Times New Roman"/>
          <w:color w:val="000000"/>
          <w:spacing w:val="4"/>
          <w:sz w:val="26"/>
          <w:szCs w:val="26"/>
        </w:rPr>
        <w:t>a</w:t>
      </w:r>
      <w:r w:rsidRPr="003853FC">
        <w:rPr>
          <w:rFonts w:ascii="Times New Roman" w:eastAsia="Times New Roman" w:hAnsi="Times New Roman"/>
          <w:color w:val="000000"/>
          <w:spacing w:val="4"/>
          <w:sz w:val="26"/>
          <w:szCs w:val="26"/>
        </w:rPr>
        <w:t xml:space="preserve"> vital reform we </w:t>
      </w:r>
      <w:r w:rsidR="005A7A52">
        <w:rPr>
          <w:rFonts w:ascii="Times New Roman" w:eastAsia="Times New Roman" w:hAnsi="Times New Roman"/>
          <w:color w:val="000000"/>
          <w:spacing w:val="4"/>
          <w:sz w:val="26"/>
          <w:szCs w:val="26"/>
        </w:rPr>
        <w:t>implemented</w:t>
      </w:r>
      <w:r w:rsidRPr="003853FC">
        <w:rPr>
          <w:rFonts w:ascii="Times New Roman" w:eastAsia="Times New Roman" w:hAnsi="Times New Roman"/>
          <w:color w:val="000000"/>
          <w:spacing w:val="4"/>
          <w:sz w:val="26"/>
          <w:szCs w:val="26"/>
        </w:rPr>
        <w:t xml:space="preserve"> in 2014 for the electric industry.</w:t>
      </w:r>
      <w:r w:rsidR="00D93048">
        <w:rPr>
          <w:rFonts w:ascii="Times New Roman" w:eastAsia="Times New Roman" w:hAnsi="Times New Roman"/>
          <w:color w:val="000000"/>
          <w:spacing w:val="4"/>
          <w:sz w:val="26"/>
          <w:szCs w:val="26"/>
        </w:rPr>
        <w:t xml:space="preserve">  </w:t>
      </w:r>
      <w:r w:rsidR="00D93048">
        <w:rPr>
          <w:rFonts w:ascii="Times New Roman" w:eastAsia="Times New Roman" w:hAnsi="Times New Roman"/>
          <w:i/>
          <w:color w:val="000000"/>
          <w:spacing w:val="4"/>
          <w:sz w:val="26"/>
          <w:szCs w:val="26"/>
        </w:rPr>
        <w:t>See</w:t>
      </w:r>
      <w:r w:rsidR="00D93048">
        <w:rPr>
          <w:rFonts w:ascii="Times New Roman" w:eastAsia="Times New Roman" w:hAnsi="Times New Roman"/>
          <w:color w:val="000000"/>
          <w:spacing w:val="4"/>
          <w:sz w:val="26"/>
          <w:szCs w:val="26"/>
        </w:rPr>
        <w:t xml:space="preserve"> 52 Pa. Code </w:t>
      </w:r>
      <w:r w:rsidR="00775484">
        <w:rPr>
          <w:rFonts w:ascii="Times New Roman" w:eastAsia="Times New Roman" w:hAnsi="Times New Roman"/>
          <w:color w:val="000000"/>
          <w:spacing w:val="4"/>
          <w:sz w:val="26"/>
          <w:szCs w:val="26"/>
        </w:rPr>
        <w:t xml:space="preserve">§ </w:t>
      </w:r>
      <w:r w:rsidR="00775484" w:rsidRPr="00775484">
        <w:rPr>
          <w:rFonts w:cstheme="minorHAnsi"/>
          <w:sz w:val="26"/>
          <w:szCs w:val="26"/>
        </w:rPr>
        <w:t>54.5 (c</w:t>
      </w:r>
      <w:proofErr w:type="gramStart"/>
      <w:r w:rsidR="00775484" w:rsidRPr="00775484">
        <w:rPr>
          <w:rFonts w:cstheme="minorHAnsi"/>
          <w:sz w:val="26"/>
          <w:szCs w:val="26"/>
        </w:rPr>
        <w:t>)(</w:t>
      </w:r>
      <w:proofErr w:type="gramEnd"/>
      <w:r w:rsidR="00775484" w:rsidRPr="00775484">
        <w:rPr>
          <w:rFonts w:cstheme="minorHAnsi"/>
          <w:sz w:val="26"/>
          <w:szCs w:val="26"/>
        </w:rPr>
        <w:t>2)(iii)</w:t>
      </w:r>
      <w:r w:rsidR="00D93048">
        <w:rPr>
          <w:rFonts w:ascii="Times New Roman" w:eastAsia="Times New Roman" w:hAnsi="Times New Roman"/>
          <w:color w:val="000000"/>
          <w:spacing w:val="4"/>
          <w:sz w:val="26"/>
          <w:szCs w:val="26"/>
        </w:rPr>
        <w:t xml:space="preserve">. </w:t>
      </w:r>
      <w:r w:rsidRPr="003853FC">
        <w:rPr>
          <w:rFonts w:ascii="Times New Roman" w:eastAsia="Times New Roman" w:hAnsi="Times New Roman"/>
          <w:color w:val="000000"/>
          <w:spacing w:val="4"/>
          <w:sz w:val="26"/>
          <w:szCs w:val="26"/>
        </w:rPr>
        <w:t xml:space="preserve"> However, subsequent experience with the impleme</w:t>
      </w:r>
      <w:r w:rsidR="005A7A52">
        <w:rPr>
          <w:rFonts w:ascii="Times New Roman" w:eastAsia="Times New Roman" w:hAnsi="Times New Roman"/>
          <w:color w:val="000000"/>
          <w:spacing w:val="4"/>
          <w:sz w:val="26"/>
          <w:szCs w:val="26"/>
        </w:rPr>
        <w:t>ntation of this regulation</w:t>
      </w:r>
      <w:r w:rsidRPr="003853FC">
        <w:rPr>
          <w:rFonts w:ascii="Times New Roman" w:eastAsia="Times New Roman" w:hAnsi="Times New Roman"/>
          <w:color w:val="000000"/>
          <w:spacing w:val="4"/>
          <w:sz w:val="26"/>
          <w:szCs w:val="26"/>
        </w:rPr>
        <w:t xml:space="preserve"> has raised a question about this requirement. The r</w:t>
      </w:r>
      <w:r w:rsidR="00775484">
        <w:rPr>
          <w:rFonts w:ascii="Times New Roman" w:eastAsia="Times New Roman" w:hAnsi="Times New Roman"/>
          <w:color w:val="000000"/>
          <w:spacing w:val="4"/>
          <w:sz w:val="26"/>
          <w:szCs w:val="26"/>
        </w:rPr>
        <w:t>egulation</w:t>
      </w:r>
      <w:r w:rsidRPr="003853FC">
        <w:rPr>
          <w:rFonts w:ascii="Times New Roman" w:eastAsia="Times New Roman" w:hAnsi="Times New Roman"/>
          <w:color w:val="000000"/>
          <w:spacing w:val="4"/>
          <w:sz w:val="26"/>
          <w:szCs w:val="26"/>
        </w:rPr>
        <w:t xml:space="preserve"> </w:t>
      </w:r>
      <w:r w:rsidR="00775484">
        <w:rPr>
          <w:rFonts w:ascii="Times New Roman" w:eastAsia="Times New Roman" w:hAnsi="Times New Roman"/>
          <w:color w:val="000000"/>
          <w:spacing w:val="4"/>
          <w:sz w:val="26"/>
          <w:szCs w:val="26"/>
        </w:rPr>
        <w:t>fo</w:t>
      </w:r>
      <w:r w:rsidRPr="003853FC">
        <w:rPr>
          <w:rFonts w:ascii="Times New Roman" w:eastAsia="Times New Roman" w:hAnsi="Times New Roman"/>
          <w:color w:val="000000"/>
          <w:spacing w:val="4"/>
          <w:sz w:val="26"/>
          <w:szCs w:val="26"/>
        </w:rPr>
        <w:t xml:space="preserve">r the electric industry specifies “The price to be charged, per kilowatt-hour, for the first billing cycle of generation service.” </w:t>
      </w:r>
      <w:r w:rsidR="00775484">
        <w:rPr>
          <w:rFonts w:ascii="Times New Roman" w:eastAsia="Times New Roman" w:hAnsi="Times New Roman"/>
          <w:color w:val="000000"/>
          <w:spacing w:val="4"/>
          <w:sz w:val="26"/>
          <w:szCs w:val="26"/>
        </w:rPr>
        <w:t xml:space="preserve"> </w:t>
      </w:r>
      <w:r w:rsidRPr="003853FC">
        <w:rPr>
          <w:rFonts w:ascii="Times New Roman" w:eastAsia="Times New Roman" w:hAnsi="Times New Roman"/>
          <w:color w:val="000000"/>
          <w:spacing w:val="4"/>
          <w:sz w:val="26"/>
          <w:szCs w:val="26"/>
        </w:rPr>
        <w:t>52 Pa. Code § 54.5(c</w:t>
      </w:r>
      <w:proofErr w:type="gramStart"/>
      <w:r w:rsidRPr="003853FC">
        <w:rPr>
          <w:rFonts w:ascii="Times New Roman" w:eastAsia="Times New Roman" w:hAnsi="Times New Roman"/>
          <w:color w:val="000000"/>
          <w:spacing w:val="4"/>
          <w:sz w:val="26"/>
          <w:szCs w:val="26"/>
        </w:rPr>
        <w:t>)(</w:t>
      </w:r>
      <w:proofErr w:type="gramEnd"/>
      <w:r w:rsidRPr="003853FC">
        <w:rPr>
          <w:rFonts w:ascii="Times New Roman" w:eastAsia="Times New Roman" w:hAnsi="Times New Roman"/>
          <w:color w:val="000000"/>
          <w:spacing w:val="4"/>
          <w:sz w:val="26"/>
          <w:szCs w:val="26"/>
        </w:rPr>
        <w:t xml:space="preserve">2)(iii).  </w:t>
      </w:r>
      <w:r w:rsidR="00775484">
        <w:rPr>
          <w:rFonts w:ascii="Times New Roman" w:eastAsia="Times New Roman" w:hAnsi="Times New Roman"/>
          <w:color w:val="000000"/>
          <w:spacing w:val="4"/>
          <w:sz w:val="26"/>
          <w:szCs w:val="26"/>
        </w:rPr>
        <w:t>Due to the</w:t>
      </w:r>
      <w:r w:rsidRPr="003853FC">
        <w:rPr>
          <w:rFonts w:ascii="Times New Roman" w:eastAsia="Times New Roman" w:hAnsi="Times New Roman"/>
          <w:color w:val="000000"/>
          <w:spacing w:val="4"/>
          <w:sz w:val="26"/>
          <w:szCs w:val="26"/>
        </w:rPr>
        <w:t xml:space="preserve"> advent of accelerated, </w:t>
      </w:r>
      <w:r w:rsidR="0000088A">
        <w:rPr>
          <w:rFonts w:ascii="Times New Roman" w:eastAsia="Times New Roman" w:hAnsi="Times New Roman"/>
          <w:color w:val="000000"/>
          <w:spacing w:val="4"/>
          <w:sz w:val="26"/>
          <w:szCs w:val="26"/>
        </w:rPr>
        <w:t>three</w:t>
      </w:r>
      <w:r w:rsidRPr="003853FC">
        <w:rPr>
          <w:rFonts w:ascii="Times New Roman" w:eastAsia="Times New Roman" w:hAnsi="Times New Roman"/>
          <w:color w:val="000000"/>
          <w:spacing w:val="4"/>
          <w:sz w:val="26"/>
          <w:szCs w:val="26"/>
        </w:rPr>
        <w:t xml:space="preserve">-day off-cycle switching in the electric industry, the “first billing cycle of generation service” </w:t>
      </w:r>
      <w:r w:rsidR="00775484">
        <w:rPr>
          <w:rFonts w:ascii="Times New Roman" w:eastAsia="Times New Roman" w:hAnsi="Times New Roman"/>
          <w:color w:val="000000"/>
          <w:spacing w:val="4"/>
          <w:sz w:val="26"/>
          <w:szCs w:val="26"/>
        </w:rPr>
        <w:t xml:space="preserve">may only consist of a few </w:t>
      </w:r>
      <w:r w:rsidRPr="003853FC">
        <w:rPr>
          <w:rFonts w:ascii="Times New Roman" w:eastAsia="Times New Roman" w:hAnsi="Times New Roman"/>
          <w:color w:val="000000"/>
          <w:spacing w:val="4"/>
          <w:sz w:val="26"/>
          <w:szCs w:val="26"/>
        </w:rPr>
        <w:t xml:space="preserve">days.  </w:t>
      </w:r>
      <w:r w:rsidR="00775484">
        <w:rPr>
          <w:rFonts w:ascii="Times New Roman" w:eastAsia="Times New Roman" w:hAnsi="Times New Roman"/>
          <w:color w:val="000000"/>
          <w:spacing w:val="4"/>
          <w:sz w:val="26"/>
          <w:szCs w:val="26"/>
        </w:rPr>
        <w:t>Accordingly, t</w:t>
      </w:r>
      <w:r w:rsidRPr="003853FC">
        <w:rPr>
          <w:rFonts w:ascii="Times New Roman" w:eastAsia="Times New Roman" w:hAnsi="Times New Roman"/>
          <w:color w:val="000000"/>
          <w:spacing w:val="4"/>
          <w:sz w:val="26"/>
          <w:szCs w:val="26"/>
        </w:rPr>
        <w:t xml:space="preserve">he change in supplier switching timeframes has possibly diminished the value of this particular reform.  </w:t>
      </w:r>
      <w:r w:rsidR="0085788A" w:rsidRPr="00BD1EBB">
        <w:rPr>
          <w:rFonts w:eastAsia="Times New Roman" w:cstheme="minorHAnsi"/>
          <w:color w:val="000000"/>
          <w:spacing w:val="4"/>
          <w:sz w:val="26"/>
          <w:szCs w:val="26"/>
        </w:rPr>
        <w:t xml:space="preserve">Since accelerated switching may occur at some future point in the gas industry, we will propose a rule that requires </w:t>
      </w:r>
      <w:r w:rsidRPr="00BD1EBB">
        <w:rPr>
          <w:rFonts w:eastAsia="Times New Roman" w:cstheme="minorHAnsi"/>
          <w:color w:val="000000"/>
          <w:spacing w:val="4"/>
          <w:sz w:val="26"/>
          <w:szCs w:val="26"/>
        </w:rPr>
        <w:t xml:space="preserve">that the initial, starting price must be in effect for at least the first </w:t>
      </w:r>
      <w:r w:rsidR="00686E23">
        <w:rPr>
          <w:rFonts w:eastAsia="Times New Roman" w:cstheme="minorHAnsi"/>
          <w:color w:val="000000"/>
          <w:spacing w:val="4"/>
          <w:sz w:val="26"/>
          <w:szCs w:val="26"/>
        </w:rPr>
        <w:t xml:space="preserve">full </w:t>
      </w:r>
      <w:r w:rsidRPr="00BD1EBB">
        <w:rPr>
          <w:rFonts w:eastAsia="Times New Roman" w:cstheme="minorHAnsi"/>
          <w:color w:val="000000"/>
          <w:spacing w:val="4"/>
          <w:sz w:val="26"/>
          <w:szCs w:val="26"/>
        </w:rPr>
        <w:t xml:space="preserve">billing </w:t>
      </w:r>
      <w:r w:rsidRPr="00BD1EBB">
        <w:rPr>
          <w:rFonts w:eastAsia="Times New Roman" w:cstheme="minorHAnsi"/>
          <w:i/>
          <w:color w:val="000000"/>
          <w:spacing w:val="4"/>
          <w:sz w:val="26"/>
          <w:szCs w:val="26"/>
        </w:rPr>
        <w:t>month</w:t>
      </w:r>
      <w:r w:rsidRPr="00BD1EBB">
        <w:rPr>
          <w:rFonts w:eastAsia="Times New Roman" w:cstheme="minorHAnsi"/>
          <w:color w:val="000000"/>
          <w:spacing w:val="4"/>
          <w:sz w:val="26"/>
          <w:szCs w:val="26"/>
        </w:rPr>
        <w:t xml:space="preserve"> as opposed to </w:t>
      </w:r>
      <w:r w:rsidR="00BD1EBB" w:rsidRPr="00BD1EBB">
        <w:rPr>
          <w:rFonts w:eastAsia="Times New Roman" w:cstheme="minorHAnsi"/>
          <w:color w:val="000000"/>
          <w:spacing w:val="4"/>
          <w:sz w:val="26"/>
          <w:szCs w:val="26"/>
        </w:rPr>
        <w:t xml:space="preserve">first </w:t>
      </w:r>
      <w:r w:rsidRPr="00BD1EBB">
        <w:rPr>
          <w:rFonts w:eastAsia="Times New Roman" w:cstheme="minorHAnsi"/>
          <w:color w:val="000000"/>
          <w:spacing w:val="4"/>
          <w:sz w:val="26"/>
          <w:szCs w:val="26"/>
        </w:rPr>
        <w:t xml:space="preserve">billing </w:t>
      </w:r>
      <w:r w:rsidRPr="00BD1EBB">
        <w:rPr>
          <w:rFonts w:eastAsia="Times New Roman" w:cstheme="minorHAnsi"/>
          <w:i/>
          <w:color w:val="000000"/>
          <w:spacing w:val="4"/>
          <w:sz w:val="26"/>
          <w:szCs w:val="26"/>
        </w:rPr>
        <w:t>cycle</w:t>
      </w:r>
      <w:r w:rsidR="0085788A" w:rsidRPr="00BD1EBB">
        <w:rPr>
          <w:rFonts w:eastAsia="Times New Roman" w:cstheme="minorHAnsi"/>
          <w:color w:val="000000"/>
          <w:spacing w:val="4"/>
          <w:sz w:val="26"/>
          <w:szCs w:val="26"/>
        </w:rPr>
        <w:t>.</w:t>
      </w:r>
      <w:r w:rsidRPr="00BD1EBB">
        <w:rPr>
          <w:rFonts w:eastAsia="Times New Roman" w:cstheme="minorHAnsi"/>
          <w:color w:val="000000"/>
          <w:spacing w:val="4"/>
          <w:sz w:val="26"/>
          <w:szCs w:val="26"/>
        </w:rPr>
        <w:t xml:space="preserve"> </w:t>
      </w:r>
      <w:r w:rsidR="0085788A" w:rsidRPr="00BD1EBB">
        <w:rPr>
          <w:rFonts w:eastAsia="Times New Roman" w:cstheme="minorHAnsi"/>
          <w:color w:val="000000"/>
          <w:spacing w:val="4"/>
          <w:sz w:val="26"/>
          <w:szCs w:val="26"/>
        </w:rPr>
        <w:t xml:space="preserve"> We will define </w:t>
      </w:r>
      <w:r w:rsidR="0085788A" w:rsidRPr="00BD1EBB">
        <w:rPr>
          <w:rFonts w:eastAsia="Times New Roman" w:cstheme="minorHAnsi"/>
          <w:i/>
          <w:color w:val="000000"/>
          <w:spacing w:val="4"/>
          <w:sz w:val="26"/>
          <w:szCs w:val="26"/>
        </w:rPr>
        <w:t xml:space="preserve">billing month </w:t>
      </w:r>
      <w:r w:rsidR="0085788A" w:rsidRPr="00BD1EBB">
        <w:rPr>
          <w:rFonts w:eastAsia="Times New Roman" w:cstheme="minorHAnsi"/>
          <w:color w:val="000000"/>
          <w:spacing w:val="4"/>
          <w:sz w:val="26"/>
          <w:szCs w:val="26"/>
        </w:rPr>
        <w:t xml:space="preserve">as “a period of not less than 26 days and not more than 35 days,” borrowing from the definition of billing month in Chapter 56 of our regulations.  </w:t>
      </w:r>
      <w:r w:rsidR="0085788A" w:rsidRPr="00BD1EBB">
        <w:rPr>
          <w:rFonts w:eastAsia="Times New Roman" w:cstheme="minorHAnsi"/>
          <w:i/>
          <w:color w:val="000000"/>
          <w:spacing w:val="4"/>
          <w:sz w:val="26"/>
          <w:szCs w:val="26"/>
        </w:rPr>
        <w:t>See</w:t>
      </w:r>
      <w:r w:rsidR="0085788A" w:rsidRPr="00BD1EBB">
        <w:rPr>
          <w:rFonts w:eastAsia="Times New Roman" w:cstheme="minorHAnsi"/>
          <w:color w:val="000000"/>
          <w:spacing w:val="4"/>
          <w:sz w:val="26"/>
          <w:szCs w:val="26"/>
        </w:rPr>
        <w:t xml:space="preserve"> 52 Pa. Code § 56.2.</w:t>
      </w:r>
      <w:r w:rsidR="0085788A" w:rsidRPr="00BD1EBB">
        <w:rPr>
          <w:rStyle w:val="FootnoteReference"/>
          <w:rFonts w:eastAsia="Times New Roman" w:cstheme="minorHAnsi"/>
          <w:color w:val="000000"/>
          <w:spacing w:val="4"/>
          <w:sz w:val="26"/>
          <w:szCs w:val="26"/>
        </w:rPr>
        <w:footnoteReference w:id="5"/>
      </w:r>
      <w:r w:rsidR="0085788A" w:rsidRPr="00BD1EBB">
        <w:rPr>
          <w:rFonts w:eastAsia="Times New Roman" w:cstheme="minorHAnsi"/>
          <w:color w:val="000000"/>
          <w:spacing w:val="4"/>
          <w:sz w:val="26"/>
          <w:szCs w:val="26"/>
        </w:rPr>
        <w:t xml:space="preserve">  </w:t>
      </w:r>
      <w:r w:rsidR="00C01D7D">
        <w:rPr>
          <w:rFonts w:ascii="Times New Roman" w:eastAsia="Times New Roman" w:hAnsi="Times New Roman"/>
          <w:i/>
          <w:color w:val="000000"/>
          <w:sz w:val="26"/>
          <w:szCs w:val="26"/>
        </w:rPr>
        <w:t>See</w:t>
      </w:r>
      <w:r w:rsidR="00C01D7D">
        <w:rPr>
          <w:rFonts w:ascii="Times New Roman" w:eastAsia="Times New Roman" w:hAnsi="Times New Roman"/>
          <w:color w:val="000000"/>
          <w:sz w:val="26"/>
          <w:szCs w:val="26"/>
        </w:rPr>
        <w:t xml:space="preserve"> Annex A, Proposed Section 62.72</w:t>
      </w:r>
      <w:r w:rsidR="007921C7">
        <w:rPr>
          <w:rFonts w:ascii="Times New Roman" w:eastAsia="Times New Roman" w:hAnsi="Times New Roman"/>
          <w:color w:val="000000"/>
          <w:sz w:val="26"/>
          <w:szCs w:val="26"/>
        </w:rPr>
        <w:t>.</w:t>
      </w:r>
      <w:r w:rsidR="00C01D7D" w:rsidRPr="003853FC">
        <w:rPr>
          <w:rFonts w:ascii="Times New Roman" w:eastAsia="Times New Roman" w:hAnsi="Times New Roman"/>
          <w:color w:val="000000"/>
          <w:sz w:val="26"/>
          <w:szCs w:val="26"/>
        </w:rPr>
        <w:t xml:space="preserve">  </w:t>
      </w:r>
      <w:r w:rsidR="00C01D7D">
        <w:rPr>
          <w:rFonts w:ascii="Times New Roman" w:eastAsia="Times New Roman" w:hAnsi="Times New Roman"/>
          <w:color w:val="000000"/>
          <w:sz w:val="26"/>
          <w:szCs w:val="26"/>
        </w:rPr>
        <w:t xml:space="preserve"> </w:t>
      </w:r>
      <w:r w:rsidR="00295AF5">
        <w:rPr>
          <w:rFonts w:ascii="Times New Roman" w:eastAsia="Times New Roman" w:hAnsi="Times New Roman"/>
          <w:color w:val="000000"/>
          <w:sz w:val="26"/>
          <w:szCs w:val="26"/>
        </w:rPr>
        <w:t xml:space="preserve">We solicit comments on whether a formulaic contract price that enables a customer to calculate its bill using the </w:t>
      </w:r>
      <w:r w:rsidR="00295AF5">
        <w:rPr>
          <w:rFonts w:ascii="Times New Roman" w:eastAsia="Times New Roman" w:hAnsi="Times New Roman"/>
          <w:color w:val="000000"/>
          <w:sz w:val="26"/>
          <w:szCs w:val="26"/>
        </w:rPr>
        <w:lastRenderedPageBreak/>
        <w:t>contract</w:t>
      </w:r>
      <w:r w:rsidR="0082421C">
        <w:rPr>
          <w:rFonts w:ascii="Times New Roman" w:eastAsia="Times New Roman" w:hAnsi="Times New Roman"/>
          <w:color w:val="000000"/>
          <w:sz w:val="26"/>
          <w:szCs w:val="26"/>
        </w:rPr>
        <w:t>,</w:t>
      </w:r>
      <w:r w:rsidR="00DF3FC3">
        <w:rPr>
          <w:rFonts w:ascii="Times New Roman" w:eastAsia="Times New Roman" w:hAnsi="Times New Roman"/>
          <w:color w:val="000000"/>
          <w:sz w:val="26"/>
          <w:szCs w:val="26"/>
        </w:rPr>
        <w:t xml:space="preserve"> </w:t>
      </w:r>
      <w:r w:rsidR="0082421C">
        <w:rPr>
          <w:rFonts w:ascii="Times New Roman" w:eastAsia="Times New Roman" w:hAnsi="Times New Roman"/>
          <w:color w:val="000000"/>
          <w:sz w:val="26"/>
          <w:szCs w:val="26"/>
        </w:rPr>
        <w:t>publicly</w:t>
      </w:r>
      <w:r w:rsidR="00295AF5">
        <w:rPr>
          <w:rFonts w:ascii="Times New Roman" w:eastAsia="Times New Roman" w:hAnsi="Times New Roman"/>
          <w:color w:val="000000"/>
          <w:sz w:val="26"/>
          <w:szCs w:val="26"/>
        </w:rPr>
        <w:t xml:space="preserve"> available rates or price indices should be considered in compliance</w:t>
      </w:r>
      <w:r w:rsidR="0082421C">
        <w:rPr>
          <w:rFonts w:ascii="Times New Roman" w:eastAsia="Times New Roman" w:hAnsi="Times New Roman"/>
          <w:color w:val="000000"/>
          <w:sz w:val="26"/>
          <w:szCs w:val="26"/>
        </w:rPr>
        <w:t xml:space="preserve"> with</w:t>
      </w:r>
      <w:r w:rsidR="00295AF5">
        <w:rPr>
          <w:rFonts w:ascii="Times New Roman" w:eastAsia="Times New Roman" w:hAnsi="Times New Roman"/>
          <w:color w:val="000000"/>
          <w:sz w:val="26"/>
          <w:szCs w:val="26"/>
        </w:rPr>
        <w:t xml:space="preserve"> the provision of adequate disclosure of price for the first billing cycle.  </w:t>
      </w:r>
    </w:p>
    <w:p w:rsidR="001A1513" w:rsidRPr="003853FC" w:rsidRDefault="00AE2EA8" w:rsidP="006C55C1">
      <w:pPr>
        <w:spacing w:line="360" w:lineRule="auto"/>
        <w:ind w:firstLine="720"/>
        <w:rPr>
          <w:rFonts w:ascii="Times New Roman" w:eastAsia="Times New Roman" w:hAnsi="Times New Roman"/>
          <w:color w:val="000000"/>
          <w:spacing w:val="4"/>
          <w:sz w:val="26"/>
          <w:szCs w:val="26"/>
        </w:rPr>
      </w:pPr>
      <w:r>
        <w:rPr>
          <w:rFonts w:ascii="Times New Roman" w:eastAsia="Times New Roman" w:hAnsi="Times New Roman"/>
          <w:color w:val="000000"/>
          <w:spacing w:val="4"/>
          <w:sz w:val="26"/>
          <w:szCs w:val="26"/>
        </w:rPr>
        <w:t>Similar to a</w:t>
      </w:r>
      <w:r w:rsidR="001A1513" w:rsidRPr="003853FC">
        <w:rPr>
          <w:rFonts w:ascii="Times New Roman" w:eastAsia="Times New Roman" w:hAnsi="Times New Roman"/>
          <w:color w:val="000000"/>
          <w:spacing w:val="4"/>
          <w:sz w:val="26"/>
          <w:szCs w:val="26"/>
        </w:rPr>
        <w:t xml:space="preserve">nother key reform </w:t>
      </w:r>
      <w:r>
        <w:rPr>
          <w:rFonts w:ascii="Times New Roman" w:eastAsia="Times New Roman" w:hAnsi="Times New Roman"/>
          <w:color w:val="000000"/>
          <w:spacing w:val="4"/>
          <w:sz w:val="26"/>
          <w:szCs w:val="26"/>
        </w:rPr>
        <w:t xml:space="preserve">in </w:t>
      </w:r>
      <w:r w:rsidR="001A1513" w:rsidRPr="003853FC">
        <w:rPr>
          <w:rFonts w:ascii="Times New Roman" w:eastAsia="Times New Roman" w:hAnsi="Times New Roman"/>
          <w:color w:val="000000"/>
          <w:spacing w:val="4"/>
          <w:sz w:val="26"/>
          <w:szCs w:val="26"/>
        </w:rPr>
        <w:t>the 2014 electric rules</w:t>
      </w:r>
      <w:r>
        <w:rPr>
          <w:rFonts w:ascii="Times New Roman" w:eastAsia="Times New Roman" w:hAnsi="Times New Roman"/>
          <w:color w:val="000000"/>
          <w:spacing w:val="4"/>
          <w:sz w:val="26"/>
          <w:szCs w:val="26"/>
        </w:rPr>
        <w:t>, we also propose</w:t>
      </w:r>
      <w:r w:rsidRPr="003853FC">
        <w:rPr>
          <w:rFonts w:ascii="Times New Roman" w:eastAsia="Times New Roman" w:hAnsi="Times New Roman"/>
          <w:color w:val="000000"/>
          <w:spacing w:val="4"/>
          <w:sz w:val="26"/>
          <w:szCs w:val="26"/>
        </w:rPr>
        <w:t xml:space="preserve"> requiring</w:t>
      </w:r>
      <w:r w:rsidR="001A1513" w:rsidRPr="003853FC">
        <w:rPr>
          <w:rFonts w:ascii="Times New Roman" w:eastAsia="Times New Roman" w:hAnsi="Times New Roman"/>
          <w:color w:val="000000"/>
          <w:spacing w:val="4"/>
          <w:sz w:val="26"/>
          <w:szCs w:val="26"/>
        </w:rPr>
        <w:t xml:space="preserve"> </w:t>
      </w:r>
      <w:r>
        <w:rPr>
          <w:rFonts w:ascii="Times New Roman" w:eastAsia="Times New Roman" w:hAnsi="Times New Roman"/>
          <w:color w:val="000000"/>
          <w:spacing w:val="4"/>
          <w:sz w:val="26"/>
          <w:szCs w:val="26"/>
        </w:rPr>
        <w:t xml:space="preserve">an NGS </w:t>
      </w:r>
      <w:r w:rsidR="001A1513" w:rsidRPr="003853FC">
        <w:rPr>
          <w:rFonts w:ascii="Times New Roman" w:eastAsia="Times New Roman" w:hAnsi="Times New Roman"/>
          <w:color w:val="000000"/>
          <w:spacing w:val="4"/>
          <w:sz w:val="26"/>
          <w:szCs w:val="26"/>
        </w:rPr>
        <w:t xml:space="preserve">to notify the customer when the customer will be informed of future price changes.  We </w:t>
      </w:r>
      <w:r>
        <w:rPr>
          <w:rFonts w:ascii="Times New Roman" w:eastAsia="Times New Roman" w:hAnsi="Times New Roman"/>
          <w:color w:val="000000"/>
          <w:spacing w:val="4"/>
          <w:sz w:val="26"/>
          <w:szCs w:val="26"/>
        </w:rPr>
        <w:t xml:space="preserve">find that </w:t>
      </w:r>
      <w:r w:rsidR="00961B47">
        <w:rPr>
          <w:rFonts w:ascii="Times New Roman" w:eastAsia="Times New Roman" w:hAnsi="Times New Roman"/>
          <w:color w:val="000000"/>
          <w:spacing w:val="4"/>
          <w:sz w:val="26"/>
          <w:szCs w:val="26"/>
        </w:rPr>
        <w:t xml:space="preserve">the </w:t>
      </w:r>
      <w:r w:rsidR="001A1513" w:rsidRPr="003853FC">
        <w:rPr>
          <w:rFonts w:ascii="Times New Roman" w:eastAsia="Times New Roman" w:hAnsi="Times New Roman"/>
          <w:color w:val="000000"/>
          <w:spacing w:val="4"/>
          <w:sz w:val="26"/>
          <w:szCs w:val="26"/>
        </w:rPr>
        <w:t>OCA</w:t>
      </w:r>
      <w:r>
        <w:rPr>
          <w:rFonts w:ascii="Times New Roman" w:eastAsia="Times New Roman" w:hAnsi="Times New Roman"/>
          <w:color w:val="000000"/>
          <w:spacing w:val="4"/>
          <w:sz w:val="26"/>
          <w:szCs w:val="26"/>
        </w:rPr>
        <w:t>’s</w:t>
      </w:r>
      <w:r w:rsidR="001A1513" w:rsidRPr="003853FC">
        <w:rPr>
          <w:rFonts w:ascii="Times New Roman" w:eastAsia="Times New Roman" w:hAnsi="Times New Roman"/>
          <w:color w:val="000000"/>
          <w:spacing w:val="4"/>
          <w:sz w:val="26"/>
          <w:szCs w:val="26"/>
        </w:rPr>
        <w:t xml:space="preserve"> request </w:t>
      </w:r>
      <w:r>
        <w:rPr>
          <w:rFonts w:ascii="Times New Roman" w:eastAsia="Times New Roman" w:hAnsi="Times New Roman"/>
          <w:color w:val="000000"/>
          <w:spacing w:val="4"/>
          <w:sz w:val="26"/>
          <w:szCs w:val="26"/>
        </w:rPr>
        <w:t>to</w:t>
      </w:r>
      <w:r w:rsidR="001A1513" w:rsidRPr="003853FC">
        <w:rPr>
          <w:rFonts w:ascii="Times New Roman" w:eastAsia="Times New Roman" w:hAnsi="Times New Roman"/>
          <w:color w:val="000000"/>
          <w:spacing w:val="4"/>
          <w:sz w:val="26"/>
          <w:szCs w:val="26"/>
        </w:rPr>
        <w:t xml:space="preserve"> require advanc</w:t>
      </w:r>
      <w:r w:rsidR="00686E23">
        <w:rPr>
          <w:rFonts w:ascii="Times New Roman" w:eastAsia="Times New Roman" w:hAnsi="Times New Roman"/>
          <w:color w:val="000000"/>
          <w:spacing w:val="4"/>
          <w:sz w:val="26"/>
          <w:szCs w:val="26"/>
        </w:rPr>
        <w:t>e notice of all price changes may be</w:t>
      </w:r>
      <w:r w:rsidR="001A1513" w:rsidRPr="003853FC">
        <w:rPr>
          <w:rFonts w:ascii="Times New Roman" w:eastAsia="Times New Roman" w:hAnsi="Times New Roman"/>
          <w:color w:val="000000"/>
          <w:spacing w:val="4"/>
          <w:sz w:val="26"/>
          <w:szCs w:val="26"/>
        </w:rPr>
        <w:t xml:space="preserve"> </w:t>
      </w:r>
      <w:r>
        <w:rPr>
          <w:rFonts w:ascii="Times New Roman" w:eastAsia="Times New Roman" w:hAnsi="Times New Roman"/>
          <w:color w:val="000000"/>
          <w:spacing w:val="4"/>
          <w:sz w:val="26"/>
          <w:szCs w:val="26"/>
        </w:rPr>
        <w:t xml:space="preserve">overly </w:t>
      </w:r>
      <w:r w:rsidR="001A1513" w:rsidRPr="003853FC">
        <w:rPr>
          <w:rFonts w:ascii="Times New Roman" w:eastAsia="Times New Roman" w:hAnsi="Times New Roman"/>
          <w:color w:val="000000"/>
          <w:spacing w:val="4"/>
          <w:sz w:val="26"/>
          <w:szCs w:val="26"/>
        </w:rPr>
        <w:t>burdensome</w:t>
      </w:r>
      <w:r>
        <w:rPr>
          <w:rFonts w:ascii="Times New Roman" w:eastAsia="Times New Roman" w:hAnsi="Times New Roman"/>
          <w:color w:val="000000"/>
          <w:spacing w:val="4"/>
          <w:sz w:val="26"/>
          <w:szCs w:val="26"/>
        </w:rPr>
        <w:t xml:space="preserve"> on NGSs</w:t>
      </w:r>
      <w:r w:rsidR="001A1513" w:rsidRPr="003853FC">
        <w:rPr>
          <w:rFonts w:ascii="Times New Roman" w:eastAsia="Times New Roman" w:hAnsi="Times New Roman"/>
          <w:color w:val="000000"/>
          <w:spacing w:val="4"/>
          <w:sz w:val="26"/>
          <w:szCs w:val="26"/>
        </w:rPr>
        <w:t>.  Instead, we agree with Peoples and</w:t>
      </w:r>
      <w:r>
        <w:rPr>
          <w:rFonts w:ascii="Times New Roman" w:eastAsia="Times New Roman" w:hAnsi="Times New Roman"/>
          <w:color w:val="000000"/>
          <w:spacing w:val="4"/>
          <w:sz w:val="26"/>
          <w:szCs w:val="26"/>
        </w:rPr>
        <w:t xml:space="preserve"> the</w:t>
      </w:r>
      <w:r w:rsidR="001A1513" w:rsidRPr="003853FC">
        <w:rPr>
          <w:rFonts w:ascii="Times New Roman" w:eastAsia="Times New Roman" w:hAnsi="Times New Roman"/>
          <w:color w:val="000000"/>
          <w:spacing w:val="4"/>
          <w:sz w:val="26"/>
          <w:szCs w:val="26"/>
        </w:rPr>
        <w:t xml:space="preserve"> NGS Parties and </w:t>
      </w:r>
      <w:r w:rsidR="008B7FE1">
        <w:rPr>
          <w:rFonts w:ascii="Times New Roman" w:eastAsia="Times New Roman" w:hAnsi="Times New Roman"/>
          <w:color w:val="000000"/>
          <w:spacing w:val="4"/>
          <w:sz w:val="26"/>
          <w:szCs w:val="26"/>
        </w:rPr>
        <w:t>believe</w:t>
      </w:r>
      <w:r w:rsidR="001A1513" w:rsidRPr="003853FC">
        <w:rPr>
          <w:rFonts w:ascii="Times New Roman" w:eastAsia="Times New Roman" w:hAnsi="Times New Roman"/>
          <w:color w:val="000000"/>
          <w:spacing w:val="4"/>
          <w:sz w:val="26"/>
          <w:szCs w:val="26"/>
        </w:rPr>
        <w:t xml:space="preserve"> that the key </w:t>
      </w:r>
      <w:r>
        <w:rPr>
          <w:rFonts w:ascii="Times New Roman" w:eastAsia="Times New Roman" w:hAnsi="Times New Roman"/>
          <w:color w:val="000000"/>
          <w:spacing w:val="4"/>
          <w:sz w:val="26"/>
          <w:szCs w:val="26"/>
        </w:rPr>
        <w:t xml:space="preserve">piece of information for a customer is knowledge as to </w:t>
      </w:r>
      <w:r w:rsidRPr="008B7FE1">
        <w:rPr>
          <w:rFonts w:ascii="Times New Roman" w:eastAsia="Times New Roman" w:hAnsi="Times New Roman"/>
          <w:i/>
          <w:color w:val="000000"/>
          <w:spacing w:val="4"/>
          <w:sz w:val="26"/>
          <w:szCs w:val="26"/>
        </w:rPr>
        <w:t>when</w:t>
      </w:r>
      <w:r>
        <w:rPr>
          <w:rFonts w:ascii="Times New Roman" w:eastAsia="Times New Roman" w:hAnsi="Times New Roman"/>
          <w:color w:val="000000"/>
          <w:spacing w:val="4"/>
          <w:sz w:val="26"/>
          <w:szCs w:val="26"/>
        </w:rPr>
        <w:t xml:space="preserve"> and </w:t>
      </w:r>
      <w:r w:rsidRPr="008B7FE1">
        <w:rPr>
          <w:rFonts w:ascii="Times New Roman" w:eastAsia="Times New Roman" w:hAnsi="Times New Roman"/>
          <w:i/>
          <w:color w:val="000000"/>
          <w:spacing w:val="4"/>
          <w:sz w:val="26"/>
          <w:szCs w:val="26"/>
        </w:rPr>
        <w:t>how</w:t>
      </w:r>
      <w:r>
        <w:rPr>
          <w:rFonts w:ascii="Times New Roman" w:eastAsia="Times New Roman" w:hAnsi="Times New Roman"/>
          <w:color w:val="000000"/>
          <w:spacing w:val="4"/>
          <w:sz w:val="26"/>
          <w:szCs w:val="26"/>
        </w:rPr>
        <w:t xml:space="preserve"> the</w:t>
      </w:r>
      <w:r w:rsidR="001A1513" w:rsidRPr="003853FC">
        <w:rPr>
          <w:rFonts w:ascii="Times New Roman" w:eastAsia="Times New Roman" w:hAnsi="Times New Roman"/>
          <w:color w:val="000000"/>
          <w:spacing w:val="4"/>
          <w:sz w:val="26"/>
          <w:szCs w:val="26"/>
        </w:rPr>
        <w:t xml:space="preserve"> customer </w:t>
      </w:r>
      <w:r>
        <w:rPr>
          <w:rFonts w:ascii="Times New Roman" w:eastAsia="Times New Roman" w:hAnsi="Times New Roman"/>
          <w:color w:val="000000"/>
          <w:spacing w:val="4"/>
          <w:sz w:val="26"/>
          <w:szCs w:val="26"/>
        </w:rPr>
        <w:t>w</w:t>
      </w:r>
      <w:r w:rsidR="00686E23">
        <w:rPr>
          <w:rFonts w:ascii="Times New Roman" w:eastAsia="Times New Roman" w:hAnsi="Times New Roman"/>
          <w:color w:val="000000"/>
          <w:spacing w:val="4"/>
          <w:sz w:val="26"/>
          <w:szCs w:val="26"/>
        </w:rPr>
        <w:t>ill know the</w:t>
      </w:r>
      <w:r w:rsidR="001A1513" w:rsidRPr="003853FC">
        <w:rPr>
          <w:rFonts w:ascii="Times New Roman" w:eastAsia="Times New Roman" w:hAnsi="Times New Roman"/>
          <w:color w:val="000000"/>
          <w:spacing w:val="4"/>
          <w:sz w:val="26"/>
          <w:szCs w:val="26"/>
        </w:rPr>
        <w:t xml:space="preserve"> price</w:t>
      </w:r>
      <w:r w:rsidR="00686E23">
        <w:rPr>
          <w:rFonts w:ascii="Times New Roman" w:eastAsia="Times New Roman" w:hAnsi="Times New Roman"/>
          <w:color w:val="000000"/>
          <w:spacing w:val="4"/>
          <w:sz w:val="26"/>
          <w:szCs w:val="26"/>
        </w:rPr>
        <w:t xml:space="preserve"> the customer will pay for natural gas supply</w:t>
      </w:r>
      <w:r w:rsidR="001A1513" w:rsidRPr="003853FC">
        <w:rPr>
          <w:rFonts w:ascii="Times New Roman" w:eastAsia="Times New Roman" w:hAnsi="Times New Roman"/>
          <w:color w:val="000000"/>
          <w:spacing w:val="4"/>
          <w:sz w:val="26"/>
          <w:szCs w:val="26"/>
        </w:rPr>
        <w:t>.  For the electric industry, we did not imbed this requirement</w:t>
      </w:r>
      <w:r>
        <w:rPr>
          <w:rFonts w:ascii="Times New Roman" w:eastAsia="Times New Roman" w:hAnsi="Times New Roman"/>
          <w:color w:val="000000"/>
          <w:spacing w:val="4"/>
          <w:sz w:val="26"/>
          <w:szCs w:val="26"/>
        </w:rPr>
        <w:t xml:space="preserve"> in the disclosure regulation; </w:t>
      </w:r>
      <w:r w:rsidR="001A1513" w:rsidRPr="003853FC">
        <w:rPr>
          <w:rFonts w:ascii="Times New Roman" w:eastAsia="Times New Roman" w:hAnsi="Times New Roman"/>
          <w:color w:val="000000"/>
          <w:spacing w:val="4"/>
          <w:sz w:val="26"/>
          <w:szCs w:val="26"/>
        </w:rPr>
        <w:t xml:space="preserve">instead we incorporated it into the contract summary.  </w:t>
      </w:r>
      <w:proofErr w:type="gramStart"/>
      <w:r w:rsidR="001A1513" w:rsidRPr="003853FC">
        <w:rPr>
          <w:rFonts w:ascii="Times New Roman" w:eastAsia="Times New Roman" w:hAnsi="Times New Roman"/>
          <w:color w:val="000000"/>
          <w:spacing w:val="4"/>
          <w:sz w:val="26"/>
          <w:szCs w:val="26"/>
        </w:rPr>
        <w:t>52 Pa. Code § 54.5(</w:t>
      </w:r>
      <w:proofErr w:type="spellStart"/>
      <w:r w:rsidR="001A1513" w:rsidRPr="003853FC">
        <w:rPr>
          <w:rFonts w:ascii="Times New Roman" w:eastAsia="Times New Roman" w:hAnsi="Times New Roman"/>
          <w:color w:val="000000"/>
          <w:spacing w:val="4"/>
          <w:sz w:val="26"/>
          <w:szCs w:val="26"/>
        </w:rPr>
        <w:t>i</w:t>
      </w:r>
      <w:proofErr w:type="spellEnd"/>
      <w:r w:rsidR="001A1513" w:rsidRPr="003853FC">
        <w:rPr>
          <w:rFonts w:ascii="Times New Roman" w:eastAsia="Times New Roman" w:hAnsi="Times New Roman"/>
          <w:color w:val="000000"/>
          <w:spacing w:val="4"/>
          <w:sz w:val="26"/>
          <w:szCs w:val="26"/>
        </w:rPr>
        <w:t>).</w:t>
      </w:r>
      <w:proofErr w:type="gramEnd"/>
      <w:r w:rsidR="001A1513" w:rsidRPr="003853FC">
        <w:rPr>
          <w:rFonts w:ascii="Times New Roman" w:eastAsia="Times New Roman" w:hAnsi="Times New Roman"/>
          <w:color w:val="000000"/>
          <w:spacing w:val="4"/>
          <w:sz w:val="26"/>
          <w:szCs w:val="26"/>
        </w:rPr>
        <w:t xml:space="preserve">  </w:t>
      </w:r>
      <w:r>
        <w:rPr>
          <w:rFonts w:ascii="Times New Roman" w:eastAsia="Times New Roman" w:hAnsi="Times New Roman"/>
          <w:color w:val="000000"/>
          <w:spacing w:val="4"/>
          <w:sz w:val="26"/>
          <w:szCs w:val="26"/>
        </w:rPr>
        <w:t>Here, we want to strength</w:t>
      </w:r>
      <w:r w:rsidR="009811F4">
        <w:rPr>
          <w:rFonts w:ascii="Times New Roman" w:eastAsia="Times New Roman" w:hAnsi="Times New Roman"/>
          <w:color w:val="000000"/>
          <w:spacing w:val="4"/>
          <w:sz w:val="26"/>
          <w:szCs w:val="26"/>
        </w:rPr>
        <w:t>en</w:t>
      </w:r>
      <w:r>
        <w:rPr>
          <w:rFonts w:ascii="Times New Roman" w:eastAsia="Times New Roman" w:hAnsi="Times New Roman"/>
          <w:color w:val="000000"/>
          <w:spacing w:val="4"/>
          <w:sz w:val="26"/>
          <w:szCs w:val="26"/>
        </w:rPr>
        <w:t xml:space="preserve"> this reform</w:t>
      </w:r>
      <w:r w:rsidR="00110CB4">
        <w:rPr>
          <w:rFonts w:ascii="Times New Roman" w:eastAsia="Times New Roman" w:hAnsi="Times New Roman"/>
          <w:color w:val="000000"/>
          <w:spacing w:val="4"/>
          <w:sz w:val="26"/>
          <w:szCs w:val="26"/>
        </w:rPr>
        <w:t>, and will therefore</w:t>
      </w:r>
      <w:r w:rsidR="001A1513" w:rsidRPr="003853FC">
        <w:rPr>
          <w:rFonts w:ascii="Times New Roman" w:eastAsia="Times New Roman" w:hAnsi="Times New Roman"/>
          <w:color w:val="000000"/>
          <w:spacing w:val="4"/>
          <w:sz w:val="26"/>
          <w:szCs w:val="26"/>
        </w:rPr>
        <w:t xml:space="preserve"> </w:t>
      </w:r>
      <w:r w:rsidR="00110CB4" w:rsidRPr="003853FC">
        <w:rPr>
          <w:rFonts w:ascii="Times New Roman" w:eastAsia="Times New Roman" w:hAnsi="Times New Roman"/>
          <w:color w:val="000000"/>
          <w:spacing w:val="4"/>
          <w:sz w:val="26"/>
          <w:szCs w:val="26"/>
        </w:rPr>
        <w:t xml:space="preserve">propose imbedding this important requirement into the disclosure regulation </w:t>
      </w:r>
      <w:r w:rsidR="008B7FE1">
        <w:rPr>
          <w:rFonts w:ascii="Times New Roman" w:eastAsia="Times New Roman" w:hAnsi="Times New Roman"/>
          <w:color w:val="000000"/>
          <w:spacing w:val="4"/>
          <w:sz w:val="26"/>
          <w:szCs w:val="26"/>
        </w:rPr>
        <w:t>at 52 Pa. Code §</w:t>
      </w:r>
      <w:r w:rsidR="0041659F">
        <w:rPr>
          <w:rFonts w:ascii="Times New Roman" w:eastAsia="Times New Roman" w:hAnsi="Times New Roman"/>
          <w:color w:val="000000"/>
          <w:spacing w:val="4"/>
          <w:sz w:val="26"/>
          <w:szCs w:val="26"/>
        </w:rPr>
        <w:t> </w:t>
      </w:r>
      <w:r w:rsidR="008B7FE1">
        <w:rPr>
          <w:rFonts w:ascii="Times New Roman" w:eastAsia="Times New Roman" w:hAnsi="Times New Roman"/>
          <w:color w:val="000000"/>
          <w:spacing w:val="4"/>
          <w:sz w:val="26"/>
          <w:szCs w:val="26"/>
        </w:rPr>
        <w:t>62.75</w:t>
      </w:r>
      <w:r w:rsidR="001A1513" w:rsidRPr="003853FC">
        <w:rPr>
          <w:rFonts w:ascii="Times New Roman" w:eastAsia="Times New Roman" w:hAnsi="Times New Roman"/>
          <w:color w:val="000000"/>
          <w:spacing w:val="4"/>
          <w:sz w:val="26"/>
          <w:szCs w:val="26"/>
        </w:rPr>
        <w:t xml:space="preserve">, </w:t>
      </w:r>
      <w:r w:rsidR="00110CB4">
        <w:rPr>
          <w:rFonts w:ascii="Times New Roman" w:eastAsia="Times New Roman" w:hAnsi="Times New Roman"/>
          <w:color w:val="000000"/>
          <w:spacing w:val="4"/>
          <w:sz w:val="26"/>
          <w:szCs w:val="26"/>
        </w:rPr>
        <w:t xml:space="preserve">as well as in </w:t>
      </w:r>
      <w:r w:rsidR="001A1513" w:rsidRPr="003853FC">
        <w:rPr>
          <w:rFonts w:ascii="Times New Roman" w:eastAsia="Times New Roman" w:hAnsi="Times New Roman"/>
          <w:color w:val="000000"/>
          <w:spacing w:val="4"/>
          <w:sz w:val="26"/>
          <w:szCs w:val="26"/>
        </w:rPr>
        <w:t>the contract summary</w:t>
      </w:r>
      <w:r w:rsidR="008B7FE1">
        <w:rPr>
          <w:rFonts w:ascii="Times New Roman" w:eastAsia="Times New Roman" w:hAnsi="Times New Roman"/>
          <w:color w:val="000000"/>
          <w:spacing w:val="4"/>
          <w:sz w:val="26"/>
          <w:szCs w:val="26"/>
        </w:rPr>
        <w:t xml:space="preserve">. </w:t>
      </w:r>
      <w:r w:rsidR="008B7FE1">
        <w:rPr>
          <w:rFonts w:ascii="Times New Roman" w:eastAsia="Times New Roman" w:hAnsi="Times New Roman"/>
          <w:i/>
          <w:color w:val="000000"/>
          <w:spacing w:val="4"/>
          <w:sz w:val="26"/>
          <w:szCs w:val="26"/>
        </w:rPr>
        <w:t>See</w:t>
      </w:r>
      <w:r w:rsidR="008B7FE1">
        <w:rPr>
          <w:rFonts w:ascii="Times New Roman" w:eastAsia="Times New Roman" w:hAnsi="Times New Roman"/>
          <w:color w:val="000000"/>
          <w:spacing w:val="4"/>
          <w:sz w:val="26"/>
          <w:szCs w:val="26"/>
        </w:rPr>
        <w:t xml:space="preserve"> </w:t>
      </w:r>
      <w:r w:rsidR="009811F4">
        <w:rPr>
          <w:rFonts w:ascii="Times New Roman" w:eastAsia="Times New Roman" w:hAnsi="Times New Roman"/>
          <w:color w:val="000000"/>
          <w:spacing w:val="4"/>
          <w:sz w:val="26"/>
          <w:szCs w:val="26"/>
        </w:rPr>
        <w:t>Annex A, Section 62.75(c</w:t>
      </w:r>
      <w:proofErr w:type="gramStart"/>
      <w:r w:rsidR="009811F4">
        <w:rPr>
          <w:rFonts w:ascii="Times New Roman" w:eastAsia="Times New Roman" w:hAnsi="Times New Roman"/>
          <w:color w:val="000000"/>
          <w:spacing w:val="4"/>
          <w:sz w:val="26"/>
          <w:szCs w:val="26"/>
        </w:rPr>
        <w:t>)(</w:t>
      </w:r>
      <w:proofErr w:type="gramEnd"/>
      <w:r w:rsidR="009811F4">
        <w:rPr>
          <w:rFonts w:ascii="Times New Roman" w:eastAsia="Times New Roman" w:hAnsi="Times New Roman"/>
          <w:color w:val="000000"/>
          <w:spacing w:val="4"/>
          <w:sz w:val="26"/>
          <w:szCs w:val="26"/>
        </w:rPr>
        <w:t xml:space="preserve">2); </w:t>
      </w:r>
      <w:r w:rsidR="009811F4">
        <w:rPr>
          <w:rFonts w:ascii="Times New Roman" w:eastAsia="Times New Roman" w:hAnsi="Times New Roman"/>
          <w:i/>
          <w:color w:val="000000"/>
          <w:spacing w:val="4"/>
          <w:sz w:val="26"/>
          <w:szCs w:val="26"/>
        </w:rPr>
        <w:t xml:space="preserve">see </w:t>
      </w:r>
      <w:r w:rsidR="008B7FE1">
        <w:rPr>
          <w:rFonts w:ascii="Times New Roman" w:eastAsia="Times New Roman" w:hAnsi="Times New Roman"/>
          <w:color w:val="000000"/>
          <w:spacing w:val="4"/>
          <w:sz w:val="26"/>
          <w:szCs w:val="26"/>
        </w:rPr>
        <w:t>Attachment A</w:t>
      </w:r>
      <w:r w:rsidR="009811F4">
        <w:rPr>
          <w:rFonts w:ascii="Times New Roman" w:eastAsia="Times New Roman" w:hAnsi="Times New Roman"/>
          <w:color w:val="000000"/>
          <w:spacing w:val="4"/>
          <w:sz w:val="26"/>
          <w:szCs w:val="26"/>
        </w:rPr>
        <w:t xml:space="preserve"> of this Order</w:t>
      </w:r>
      <w:r w:rsidR="008B7FE1">
        <w:rPr>
          <w:rFonts w:ascii="Times New Roman" w:eastAsia="Times New Roman" w:hAnsi="Times New Roman"/>
          <w:color w:val="000000"/>
          <w:spacing w:val="4"/>
          <w:sz w:val="26"/>
          <w:szCs w:val="26"/>
        </w:rPr>
        <w:t>.</w:t>
      </w:r>
      <w:r w:rsidR="001A1513" w:rsidRPr="003853FC">
        <w:rPr>
          <w:rFonts w:ascii="Times New Roman" w:eastAsia="Times New Roman" w:hAnsi="Times New Roman"/>
          <w:color w:val="000000"/>
          <w:spacing w:val="4"/>
          <w:sz w:val="26"/>
          <w:szCs w:val="26"/>
        </w:rPr>
        <w:t xml:space="preserve">       </w:t>
      </w:r>
    </w:p>
    <w:p w:rsidR="006C55C1" w:rsidRDefault="006C55C1" w:rsidP="001A1513">
      <w:pPr>
        <w:spacing w:line="360" w:lineRule="auto"/>
        <w:rPr>
          <w:rFonts w:ascii="Times New Roman" w:eastAsia="Times New Roman" w:hAnsi="Times New Roman"/>
          <w:color w:val="000000"/>
          <w:spacing w:val="4"/>
          <w:sz w:val="26"/>
          <w:szCs w:val="26"/>
        </w:rPr>
      </w:pPr>
    </w:p>
    <w:p w:rsidR="00084821" w:rsidRDefault="001A1513" w:rsidP="00103974">
      <w:pPr>
        <w:spacing w:line="360" w:lineRule="auto"/>
        <w:ind w:firstLine="720"/>
        <w:rPr>
          <w:rFonts w:ascii="Times New Roman" w:eastAsia="Times New Roman" w:hAnsi="Times New Roman"/>
          <w:color w:val="000000"/>
          <w:spacing w:val="4"/>
          <w:sz w:val="26"/>
          <w:szCs w:val="26"/>
        </w:rPr>
      </w:pPr>
      <w:r w:rsidRPr="003853FC">
        <w:rPr>
          <w:rFonts w:ascii="Times New Roman" w:eastAsia="Times New Roman" w:hAnsi="Times New Roman"/>
          <w:color w:val="000000"/>
          <w:spacing w:val="4"/>
          <w:sz w:val="26"/>
          <w:szCs w:val="26"/>
        </w:rPr>
        <w:t xml:space="preserve">We acknowledge, based upon the comments of RESA and the NGS Parties, that one of our more controversial electric reforms was requiring those suppliers selling variable-price products to provide potential customers with a 24-month price history of the product.  We understand the concerns with this requirement and agree that it does not always provide meaningful information to </w:t>
      </w:r>
      <w:r w:rsidR="008E2217">
        <w:rPr>
          <w:rFonts w:ascii="Times New Roman" w:eastAsia="Times New Roman" w:hAnsi="Times New Roman"/>
          <w:color w:val="000000"/>
          <w:spacing w:val="4"/>
          <w:sz w:val="26"/>
          <w:szCs w:val="26"/>
        </w:rPr>
        <w:t>customer</w:t>
      </w:r>
      <w:r w:rsidRPr="003853FC">
        <w:rPr>
          <w:rFonts w:ascii="Times New Roman" w:eastAsia="Times New Roman" w:hAnsi="Times New Roman"/>
          <w:color w:val="000000"/>
          <w:spacing w:val="4"/>
          <w:sz w:val="26"/>
          <w:szCs w:val="26"/>
        </w:rPr>
        <w:t xml:space="preserve">s </w:t>
      </w:r>
      <w:r w:rsidR="005A7A52">
        <w:rPr>
          <w:rFonts w:ascii="Times New Roman" w:eastAsia="Times New Roman" w:hAnsi="Times New Roman"/>
          <w:color w:val="000000"/>
          <w:spacing w:val="4"/>
          <w:sz w:val="26"/>
          <w:szCs w:val="26"/>
        </w:rPr>
        <w:t xml:space="preserve">and </w:t>
      </w:r>
      <w:r w:rsidR="008B7FE1">
        <w:rPr>
          <w:rFonts w:ascii="Times New Roman" w:eastAsia="Times New Roman" w:hAnsi="Times New Roman"/>
          <w:color w:val="000000"/>
          <w:spacing w:val="4"/>
          <w:sz w:val="26"/>
          <w:szCs w:val="26"/>
        </w:rPr>
        <w:t xml:space="preserve">could sometimes be construed as </w:t>
      </w:r>
      <w:r w:rsidRPr="003853FC">
        <w:rPr>
          <w:rFonts w:ascii="Times New Roman" w:eastAsia="Times New Roman" w:hAnsi="Times New Roman"/>
          <w:color w:val="000000"/>
          <w:spacing w:val="4"/>
          <w:sz w:val="26"/>
          <w:szCs w:val="26"/>
        </w:rPr>
        <w:t xml:space="preserve">misleading. </w:t>
      </w:r>
      <w:r w:rsidR="008B7FE1">
        <w:rPr>
          <w:rFonts w:ascii="Times New Roman" w:eastAsia="Times New Roman" w:hAnsi="Times New Roman"/>
          <w:color w:val="000000"/>
          <w:spacing w:val="4"/>
          <w:sz w:val="26"/>
          <w:szCs w:val="26"/>
        </w:rPr>
        <w:t xml:space="preserve"> Accordingly, we</w:t>
      </w:r>
      <w:r w:rsidRPr="003853FC">
        <w:rPr>
          <w:rFonts w:ascii="Times New Roman" w:eastAsia="Times New Roman" w:hAnsi="Times New Roman"/>
          <w:color w:val="000000"/>
          <w:spacing w:val="4"/>
          <w:sz w:val="26"/>
          <w:szCs w:val="26"/>
        </w:rPr>
        <w:t xml:space="preserve"> required </w:t>
      </w:r>
      <w:r w:rsidR="008B7FE1">
        <w:rPr>
          <w:rFonts w:ascii="Times New Roman" w:eastAsia="Times New Roman" w:hAnsi="Times New Roman"/>
          <w:color w:val="000000"/>
          <w:spacing w:val="4"/>
          <w:sz w:val="26"/>
          <w:szCs w:val="26"/>
        </w:rPr>
        <w:t>the 24-month price history to be acco</w:t>
      </w:r>
      <w:r w:rsidRPr="003853FC">
        <w:rPr>
          <w:rFonts w:ascii="Times New Roman" w:eastAsia="Times New Roman" w:hAnsi="Times New Roman"/>
          <w:color w:val="000000"/>
          <w:spacing w:val="4"/>
          <w:sz w:val="26"/>
          <w:szCs w:val="26"/>
        </w:rPr>
        <w:t>mpanied by a disclaimer noting that historical pricing is not indicative of present or future pricing.</w:t>
      </w:r>
      <w:r w:rsidR="00103974">
        <w:rPr>
          <w:rFonts w:ascii="Times New Roman" w:eastAsia="Times New Roman" w:hAnsi="Times New Roman"/>
          <w:color w:val="000000"/>
          <w:spacing w:val="4"/>
          <w:sz w:val="26"/>
          <w:szCs w:val="26"/>
        </w:rPr>
        <w:t xml:space="preserve">  </w:t>
      </w:r>
      <w:r w:rsidR="00103974">
        <w:rPr>
          <w:rFonts w:ascii="Times New Roman" w:eastAsia="Times New Roman" w:hAnsi="Times New Roman"/>
          <w:i/>
          <w:color w:val="000000"/>
          <w:spacing w:val="4"/>
          <w:sz w:val="26"/>
          <w:szCs w:val="26"/>
        </w:rPr>
        <w:t>See</w:t>
      </w:r>
      <w:r w:rsidR="00103974">
        <w:rPr>
          <w:rFonts w:ascii="Times New Roman" w:eastAsia="Times New Roman" w:hAnsi="Times New Roman"/>
          <w:color w:val="000000"/>
          <w:spacing w:val="4"/>
          <w:sz w:val="26"/>
          <w:szCs w:val="26"/>
        </w:rPr>
        <w:t xml:space="preserve"> </w:t>
      </w:r>
      <w:r w:rsidR="00AE6439">
        <w:rPr>
          <w:rFonts w:ascii="Times New Roman" w:eastAsia="Times New Roman" w:hAnsi="Times New Roman"/>
          <w:color w:val="000000"/>
          <w:spacing w:val="4"/>
          <w:sz w:val="26"/>
          <w:szCs w:val="26"/>
        </w:rPr>
        <w:t>52 Pa. Code § 54.5(c</w:t>
      </w:r>
      <w:proofErr w:type="gramStart"/>
      <w:r w:rsidR="00AE6439">
        <w:rPr>
          <w:rFonts w:ascii="Times New Roman" w:eastAsia="Times New Roman" w:hAnsi="Times New Roman"/>
          <w:color w:val="000000"/>
          <w:spacing w:val="4"/>
          <w:sz w:val="26"/>
          <w:szCs w:val="26"/>
        </w:rPr>
        <w:t>)(</w:t>
      </w:r>
      <w:proofErr w:type="gramEnd"/>
      <w:r w:rsidR="00AE6439">
        <w:rPr>
          <w:rFonts w:ascii="Times New Roman" w:eastAsia="Times New Roman" w:hAnsi="Times New Roman"/>
          <w:color w:val="000000"/>
          <w:spacing w:val="4"/>
          <w:sz w:val="26"/>
          <w:szCs w:val="26"/>
        </w:rPr>
        <w:t>14)(</w:t>
      </w:r>
      <w:proofErr w:type="spellStart"/>
      <w:r w:rsidR="00AE6439">
        <w:rPr>
          <w:rFonts w:ascii="Times New Roman" w:eastAsia="Times New Roman" w:hAnsi="Times New Roman"/>
          <w:color w:val="000000"/>
          <w:spacing w:val="4"/>
          <w:sz w:val="26"/>
          <w:szCs w:val="26"/>
        </w:rPr>
        <w:t>i</w:t>
      </w:r>
      <w:proofErr w:type="spellEnd"/>
      <w:r w:rsidR="00AE6439">
        <w:rPr>
          <w:rFonts w:ascii="Times New Roman" w:eastAsia="Times New Roman" w:hAnsi="Times New Roman"/>
          <w:color w:val="000000"/>
          <w:spacing w:val="4"/>
          <w:sz w:val="26"/>
          <w:szCs w:val="26"/>
        </w:rPr>
        <w:t>).</w:t>
      </w:r>
      <w:r w:rsidR="008B7FE1">
        <w:rPr>
          <w:rFonts w:ascii="Times New Roman" w:eastAsia="Times New Roman" w:hAnsi="Times New Roman"/>
          <w:color w:val="000000"/>
          <w:spacing w:val="4"/>
          <w:sz w:val="26"/>
          <w:szCs w:val="26"/>
        </w:rPr>
        <w:t xml:space="preserve">  W</w:t>
      </w:r>
      <w:r w:rsidRPr="003853FC">
        <w:rPr>
          <w:rFonts w:ascii="Times New Roman" w:eastAsia="Times New Roman" w:hAnsi="Times New Roman"/>
          <w:color w:val="000000"/>
          <w:spacing w:val="4"/>
          <w:sz w:val="26"/>
          <w:szCs w:val="26"/>
        </w:rPr>
        <w:t xml:space="preserve">e agree with </w:t>
      </w:r>
      <w:r w:rsidR="00961B47">
        <w:rPr>
          <w:rFonts w:ascii="Times New Roman" w:eastAsia="Times New Roman" w:hAnsi="Times New Roman"/>
          <w:color w:val="000000"/>
          <w:spacing w:val="4"/>
          <w:sz w:val="26"/>
          <w:szCs w:val="26"/>
        </w:rPr>
        <w:t xml:space="preserve">the </w:t>
      </w:r>
      <w:r w:rsidRPr="003853FC">
        <w:rPr>
          <w:rFonts w:ascii="Times New Roman" w:eastAsia="Times New Roman" w:hAnsi="Times New Roman"/>
          <w:color w:val="000000"/>
          <w:spacing w:val="4"/>
          <w:sz w:val="26"/>
          <w:szCs w:val="26"/>
        </w:rPr>
        <w:t xml:space="preserve">OCA and continue to think that the provision of this information has value, especially in educating </w:t>
      </w:r>
      <w:r w:rsidR="008E2217">
        <w:rPr>
          <w:rFonts w:ascii="Times New Roman" w:eastAsia="Times New Roman" w:hAnsi="Times New Roman"/>
          <w:color w:val="000000"/>
          <w:spacing w:val="4"/>
          <w:sz w:val="26"/>
          <w:szCs w:val="26"/>
        </w:rPr>
        <w:t>customer</w:t>
      </w:r>
      <w:r w:rsidRPr="003853FC">
        <w:rPr>
          <w:rFonts w:ascii="Times New Roman" w:eastAsia="Times New Roman" w:hAnsi="Times New Roman"/>
          <w:color w:val="000000"/>
          <w:spacing w:val="4"/>
          <w:sz w:val="26"/>
          <w:szCs w:val="26"/>
        </w:rPr>
        <w:t>s about the seasonal variability</w:t>
      </w:r>
      <w:r w:rsidR="00B202BE">
        <w:rPr>
          <w:rFonts w:ascii="Times New Roman" w:eastAsia="Times New Roman" w:hAnsi="Times New Roman"/>
          <w:color w:val="000000"/>
          <w:spacing w:val="4"/>
          <w:sz w:val="26"/>
          <w:szCs w:val="26"/>
        </w:rPr>
        <w:t xml:space="preserve"> and magnitude of volatility</w:t>
      </w:r>
      <w:r w:rsidRPr="003853FC">
        <w:rPr>
          <w:rFonts w:ascii="Times New Roman" w:eastAsia="Times New Roman" w:hAnsi="Times New Roman"/>
          <w:color w:val="000000"/>
          <w:spacing w:val="4"/>
          <w:sz w:val="26"/>
          <w:szCs w:val="26"/>
        </w:rPr>
        <w:t xml:space="preserve"> in </w:t>
      </w:r>
      <w:r w:rsidR="00B202BE">
        <w:rPr>
          <w:rFonts w:ascii="Times New Roman" w:eastAsia="Times New Roman" w:hAnsi="Times New Roman"/>
          <w:color w:val="000000"/>
          <w:spacing w:val="4"/>
          <w:sz w:val="26"/>
          <w:szCs w:val="26"/>
        </w:rPr>
        <w:t xml:space="preserve">monthly </w:t>
      </w:r>
      <w:r w:rsidRPr="003853FC">
        <w:rPr>
          <w:rFonts w:ascii="Times New Roman" w:eastAsia="Times New Roman" w:hAnsi="Times New Roman"/>
          <w:color w:val="000000"/>
          <w:spacing w:val="4"/>
          <w:sz w:val="26"/>
          <w:szCs w:val="26"/>
        </w:rPr>
        <w:t xml:space="preserve">energy prices. </w:t>
      </w:r>
      <w:r w:rsidR="008B7FE1">
        <w:rPr>
          <w:rFonts w:ascii="Times New Roman" w:eastAsia="Times New Roman" w:hAnsi="Times New Roman"/>
          <w:color w:val="000000"/>
          <w:spacing w:val="4"/>
          <w:sz w:val="26"/>
          <w:szCs w:val="26"/>
        </w:rPr>
        <w:t xml:space="preserve"> </w:t>
      </w:r>
      <w:r w:rsidR="00B202BE">
        <w:rPr>
          <w:rFonts w:ascii="Times New Roman" w:eastAsia="Times New Roman" w:hAnsi="Times New Roman"/>
          <w:color w:val="000000"/>
          <w:spacing w:val="4"/>
          <w:sz w:val="26"/>
          <w:szCs w:val="26"/>
        </w:rPr>
        <w:t xml:space="preserve">Accordingly, we </w:t>
      </w:r>
      <w:r w:rsidRPr="003853FC">
        <w:rPr>
          <w:rFonts w:ascii="Times New Roman" w:eastAsia="Times New Roman" w:hAnsi="Times New Roman"/>
          <w:color w:val="000000"/>
          <w:spacing w:val="4"/>
          <w:sz w:val="26"/>
          <w:szCs w:val="26"/>
        </w:rPr>
        <w:t>propose the same rule for the natural gas industry</w:t>
      </w:r>
      <w:r w:rsidR="00103974">
        <w:rPr>
          <w:rFonts w:ascii="Times New Roman" w:eastAsia="Times New Roman" w:hAnsi="Times New Roman"/>
          <w:color w:val="000000"/>
          <w:spacing w:val="4"/>
          <w:sz w:val="26"/>
          <w:szCs w:val="26"/>
        </w:rPr>
        <w:t xml:space="preserve"> and seek specific comments on</w:t>
      </w:r>
      <w:r w:rsidRPr="003853FC">
        <w:rPr>
          <w:rFonts w:ascii="Times New Roman" w:eastAsia="Times New Roman" w:hAnsi="Times New Roman"/>
          <w:color w:val="000000"/>
          <w:spacing w:val="4"/>
          <w:sz w:val="26"/>
          <w:szCs w:val="26"/>
        </w:rPr>
        <w:t xml:space="preserve"> how this requirement shou</w:t>
      </w:r>
      <w:r w:rsidR="00B202BE">
        <w:rPr>
          <w:rFonts w:ascii="Times New Roman" w:eastAsia="Times New Roman" w:hAnsi="Times New Roman"/>
          <w:color w:val="000000"/>
          <w:spacing w:val="4"/>
          <w:sz w:val="26"/>
          <w:szCs w:val="26"/>
        </w:rPr>
        <w:t>ld be fulfilled by new NGSs</w:t>
      </w:r>
      <w:r w:rsidRPr="003853FC">
        <w:rPr>
          <w:rFonts w:ascii="Times New Roman" w:eastAsia="Times New Roman" w:hAnsi="Times New Roman"/>
          <w:color w:val="000000"/>
          <w:spacing w:val="4"/>
          <w:sz w:val="26"/>
          <w:szCs w:val="26"/>
        </w:rPr>
        <w:t xml:space="preserve"> entering the market and/or NGSs introducing a new p</w:t>
      </w:r>
      <w:r w:rsidR="00B202BE">
        <w:rPr>
          <w:rFonts w:ascii="Times New Roman" w:eastAsia="Times New Roman" w:hAnsi="Times New Roman"/>
          <w:color w:val="000000"/>
          <w:spacing w:val="4"/>
          <w:sz w:val="26"/>
          <w:szCs w:val="26"/>
        </w:rPr>
        <w:t>roduct in the Commonwealth</w:t>
      </w:r>
      <w:r w:rsidRPr="003853FC">
        <w:rPr>
          <w:rFonts w:ascii="Times New Roman" w:eastAsia="Times New Roman" w:hAnsi="Times New Roman"/>
          <w:color w:val="000000"/>
          <w:spacing w:val="4"/>
          <w:sz w:val="26"/>
          <w:szCs w:val="26"/>
        </w:rPr>
        <w:t>.</w:t>
      </w:r>
      <w:r w:rsidR="00103974">
        <w:rPr>
          <w:rFonts w:ascii="Times New Roman" w:eastAsia="Times New Roman" w:hAnsi="Times New Roman"/>
          <w:color w:val="000000"/>
          <w:spacing w:val="4"/>
          <w:sz w:val="26"/>
          <w:szCs w:val="26"/>
        </w:rPr>
        <w:t xml:space="preserve">  </w:t>
      </w:r>
      <w:r w:rsidR="00B202BE">
        <w:rPr>
          <w:rFonts w:ascii="Times New Roman" w:eastAsia="Times New Roman" w:hAnsi="Times New Roman"/>
          <w:color w:val="000000"/>
          <w:spacing w:val="4"/>
          <w:sz w:val="26"/>
          <w:szCs w:val="26"/>
        </w:rPr>
        <w:t xml:space="preserve"> </w:t>
      </w:r>
      <w:r w:rsidRPr="003853FC">
        <w:rPr>
          <w:rFonts w:ascii="Times New Roman" w:eastAsia="Times New Roman" w:hAnsi="Times New Roman"/>
          <w:color w:val="000000"/>
          <w:spacing w:val="4"/>
          <w:sz w:val="26"/>
          <w:szCs w:val="26"/>
        </w:rPr>
        <w:t xml:space="preserve">We reject </w:t>
      </w:r>
      <w:r w:rsidR="00961B47">
        <w:rPr>
          <w:rFonts w:ascii="Times New Roman" w:eastAsia="Times New Roman" w:hAnsi="Times New Roman"/>
          <w:color w:val="000000"/>
          <w:spacing w:val="4"/>
          <w:sz w:val="26"/>
          <w:szCs w:val="26"/>
        </w:rPr>
        <w:t xml:space="preserve">the </w:t>
      </w:r>
      <w:r w:rsidRPr="003853FC">
        <w:rPr>
          <w:rFonts w:ascii="Times New Roman" w:eastAsia="Times New Roman" w:hAnsi="Times New Roman"/>
          <w:color w:val="000000"/>
          <w:spacing w:val="4"/>
          <w:sz w:val="26"/>
          <w:szCs w:val="26"/>
        </w:rPr>
        <w:t xml:space="preserve">OCA’s suggestion </w:t>
      </w:r>
      <w:r w:rsidR="00103974">
        <w:rPr>
          <w:rFonts w:ascii="Times New Roman" w:eastAsia="Times New Roman" w:hAnsi="Times New Roman"/>
          <w:color w:val="000000"/>
          <w:spacing w:val="4"/>
          <w:sz w:val="26"/>
          <w:szCs w:val="26"/>
        </w:rPr>
        <w:t>to</w:t>
      </w:r>
      <w:r w:rsidRPr="003853FC">
        <w:rPr>
          <w:rFonts w:ascii="Times New Roman" w:eastAsia="Times New Roman" w:hAnsi="Times New Roman"/>
          <w:color w:val="000000"/>
          <w:spacing w:val="4"/>
          <w:sz w:val="26"/>
          <w:szCs w:val="26"/>
        </w:rPr>
        <w:t xml:space="preserve"> require NGSs to issue new </w:t>
      </w:r>
      <w:r w:rsidRPr="003853FC">
        <w:rPr>
          <w:rFonts w:ascii="Times New Roman" w:eastAsia="Times New Roman" w:hAnsi="Times New Roman"/>
          <w:color w:val="000000"/>
          <w:spacing w:val="4"/>
          <w:sz w:val="26"/>
          <w:szCs w:val="26"/>
        </w:rPr>
        <w:lastRenderedPageBreak/>
        <w:t>disclosures to their current customers</w:t>
      </w:r>
      <w:r w:rsidR="00103974">
        <w:rPr>
          <w:rFonts w:ascii="Times New Roman" w:eastAsia="Times New Roman" w:hAnsi="Times New Roman"/>
          <w:color w:val="000000"/>
          <w:spacing w:val="4"/>
          <w:sz w:val="26"/>
          <w:szCs w:val="26"/>
        </w:rPr>
        <w:t>, as this</w:t>
      </w:r>
      <w:r w:rsidRPr="003853FC">
        <w:rPr>
          <w:rFonts w:ascii="Times New Roman" w:eastAsia="Times New Roman" w:hAnsi="Times New Roman"/>
          <w:color w:val="000000"/>
          <w:spacing w:val="4"/>
          <w:sz w:val="26"/>
          <w:szCs w:val="26"/>
        </w:rPr>
        <w:t xml:space="preserve"> would possibly risk inappropriate interference with existing contracts.  </w:t>
      </w:r>
    </w:p>
    <w:p w:rsidR="00775484" w:rsidRDefault="00775484" w:rsidP="004307F3">
      <w:pPr>
        <w:spacing w:line="360" w:lineRule="auto"/>
        <w:rPr>
          <w:rFonts w:ascii="Times New Roman" w:eastAsia="Times New Roman" w:hAnsi="Times New Roman"/>
          <w:b/>
          <w:color w:val="000000"/>
          <w:spacing w:val="4"/>
          <w:sz w:val="26"/>
          <w:szCs w:val="26"/>
        </w:rPr>
      </w:pPr>
    </w:p>
    <w:p w:rsidR="001A1513" w:rsidRDefault="004307F3" w:rsidP="004307F3">
      <w:pPr>
        <w:spacing w:line="360" w:lineRule="auto"/>
        <w:rPr>
          <w:rFonts w:ascii="Times New Roman" w:eastAsia="Times New Roman" w:hAnsi="Times New Roman"/>
          <w:b/>
          <w:color w:val="000000"/>
          <w:spacing w:val="4"/>
          <w:sz w:val="26"/>
          <w:szCs w:val="26"/>
        </w:rPr>
      </w:pPr>
      <w:r>
        <w:rPr>
          <w:rFonts w:ascii="Times New Roman" w:eastAsia="Times New Roman" w:hAnsi="Times New Roman"/>
          <w:b/>
          <w:color w:val="000000"/>
          <w:spacing w:val="4"/>
          <w:sz w:val="26"/>
          <w:szCs w:val="26"/>
        </w:rPr>
        <w:t>Contract Summaries</w:t>
      </w:r>
    </w:p>
    <w:p w:rsidR="004307F3" w:rsidRDefault="004307F3" w:rsidP="004307F3">
      <w:pPr>
        <w:spacing w:line="360" w:lineRule="auto"/>
        <w:rPr>
          <w:rFonts w:ascii="Times New Roman" w:eastAsia="Times New Roman" w:hAnsi="Times New Roman"/>
          <w:color w:val="000000"/>
          <w:spacing w:val="4"/>
          <w:sz w:val="26"/>
          <w:szCs w:val="26"/>
          <w:u w:val="single"/>
        </w:rPr>
      </w:pPr>
      <w:r>
        <w:rPr>
          <w:rFonts w:ascii="Times New Roman" w:eastAsia="Times New Roman" w:hAnsi="Times New Roman"/>
          <w:color w:val="000000"/>
          <w:spacing w:val="4"/>
          <w:sz w:val="26"/>
          <w:szCs w:val="26"/>
          <w:u w:val="single"/>
        </w:rPr>
        <w:t>Comments</w:t>
      </w:r>
    </w:p>
    <w:p w:rsidR="001A1513" w:rsidRPr="003853FC" w:rsidRDefault="001A1513" w:rsidP="001A1513">
      <w:pPr>
        <w:spacing w:line="360" w:lineRule="auto"/>
        <w:ind w:firstLine="720"/>
        <w:rPr>
          <w:rFonts w:ascii="Times New Roman" w:eastAsia="Times New Roman" w:hAnsi="Times New Roman"/>
          <w:color w:val="000000"/>
          <w:spacing w:val="4"/>
          <w:sz w:val="26"/>
          <w:szCs w:val="26"/>
        </w:rPr>
      </w:pPr>
      <w:r w:rsidRPr="003853FC">
        <w:rPr>
          <w:rFonts w:ascii="Times New Roman" w:eastAsia="Times New Roman" w:hAnsi="Times New Roman"/>
          <w:color w:val="000000"/>
          <w:spacing w:val="4"/>
          <w:sz w:val="26"/>
          <w:szCs w:val="26"/>
        </w:rPr>
        <w:t xml:space="preserve">RESA stresses that if </w:t>
      </w:r>
      <w:r w:rsidR="009811F4">
        <w:rPr>
          <w:rFonts w:ascii="Times New Roman" w:eastAsia="Times New Roman" w:hAnsi="Times New Roman"/>
          <w:color w:val="000000"/>
          <w:spacing w:val="4"/>
          <w:sz w:val="26"/>
          <w:szCs w:val="26"/>
        </w:rPr>
        <w:t xml:space="preserve">an </w:t>
      </w:r>
      <w:r w:rsidR="00AE6439">
        <w:rPr>
          <w:rFonts w:ascii="Times New Roman" w:eastAsia="Times New Roman" w:hAnsi="Times New Roman"/>
          <w:color w:val="000000"/>
          <w:spacing w:val="4"/>
          <w:sz w:val="26"/>
          <w:szCs w:val="26"/>
        </w:rPr>
        <w:t xml:space="preserve">NGS </w:t>
      </w:r>
      <w:r w:rsidR="009811F4">
        <w:rPr>
          <w:rFonts w:ascii="Times New Roman" w:eastAsia="Times New Roman" w:hAnsi="Times New Roman"/>
          <w:color w:val="000000"/>
          <w:spacing w:val="4"/>
          <w:sz w:val="26"/>
          <w:szCs w:val="26"/>
        </w:rPr>
        <w:t>is</w:t>
      </w:r>
      <w:r w:rsidR="00AE6439">
        <w:rPr>
          <w:rFonts w:ascii="Times New Roman" w:eastAsia="Times New Roman" w:hAnsi="Times New Roman"/>
          <w:color w:val="000000"/>
          <w:spacing w:val="4"/>
          <w:sz w:val="26"/>
          <w:szCs w:val="26"/>
        </w:rPr>
        <w:t xml:space="preserve"> ordered to provide </w:t>
      </w:r>
      <w:r w:rsidR="009811F4">
        <w:rPr>
          <w:rFonts w:ascii="Times New Roman" w:eastAsia="Times New Roman" w:hAnsi="Times New Roman"/>
          <w:color w:val="000000"/>
          <w:spacing w:val="4"/>
          <w:sz w:val="26"/>
          <w:szCs w:val="26"/>
        </w:rPr>
        <w:t xml:space="preserve">a </w:t>
      </w:r>
      <w:r w:rsidRPr="003853FC">
        <w:rPr>
          <w:rFonts w:ascii="Times New Roman" w:eastAsia="Times New Roman" w:hAnsi="Times New Roman"/>
          <w:color w:val="000000"/>
          <w:spacing w:val="4"/>
          <w:sz w:val="26"/>
          <w:szCs w:val="26"/>
        </w:rPr>
        <w:t>contract summar</w:t>
      </w:r>
      <w:r w:rsidR="009811F4">
        <w:rPr>
          <w:rFonts w:ascii="Times New Roman" w:eastAsia="Times New Roman" w:hAnsi="Times New Roman"/>
          <w:color w:val="000000"/>
          <w:spacing w:val="4"/>
          <w:sz w:val="26"/>
          <w:szCs w:val="26"/>
        </w:rPr>
        <w:t>y</w:t>
      </w:r>
      <w:r w:rsidR="00AE6439">
        <w:rPr>
          <w:rFonts w:ascii="Times New Roman" w:eastAsia="Times New Roman" w:hAnsi="Times New Roman"/>
          <w:color w:val="000000"/>
          <w:spacing w:val="4"/>
          <w:sz w:val="26"/>
          <w:szCs w:val="26"/>
        </w:rPr>
        <w:t>, then</w:t>
      </w:r>
      <w:r w:rsidRPr="003853FC">
        <w:rPr>
          <w:rFonts w:ascii="Times New Roman" w:eastAsia="Times New Roman" w:hAnsi="Times New Roman"/>
          <w:color w:val="000000"/>
          <w:spacing w:val="4"/>
          <w:sz w:val="26"/>
          <w:szCs w:val="26"/>
        </w:rPr>
        <w:t xml:space="preserve"> the information therein should be expressed plainly and simply so as to not confuse customer</w:t>
      </w:r>
      <w:r w:rsidR="00AE6439">
        <w:rPr>
          <w:rFonts w:ascii="Times New Roman" w:eastAsia="Times New Roman" w:hAnsi="Times New Roman"/>
          <w:color w:val="000000"/>
          <w:spacing w:val="4"/>
          <w:sz w:val="26"/>
          <w:szCs w:val="26"/>
        </w:rPr>
        <w:t>s</w:t>
      </w:r>
      <w:r w:rsidRPr="003853FC">
        <w:rPr>
          <w:rFonts w:ascii="Times New Roman" w:eastAsia="Times New Roman" w:hAnsi="Times New Roman"/>
          <w:color w:val="000000"/>
          <w:spacing w:val="4"/>
          <w:sz w:val="26"/>
          <w:szCs w:val="26"/>
        </w:rPr>
        <w:t>.</w:t>
      </w:r>
      <w:r w:rsidR="00180008">
        <w:rPr>
          <w:rFonts w:ascii="Times New Roman" w:eastAsia="Times New Roman" w:hAnsi="Times New Roman"/>
          <w:color w:val="000000"/>
          <w:spacing w:val="4"/>
          <w:sz w:val="26"/>
          <w:szCs w:val="26"/>
        </w:rPr>
        <w:t xml:space="preserve">  </w:t>
      </w:r>
      <w:r w:rsidR="00B202BE">
        <w:rPr>
          <w:rFonts w:ascii="Times New Roman" w:eastAsia="Times New Roman" w:hAnsi="Times New Roman"/>
          <w:color w:val="000000"/>
          <w:spacing w:val="4"/>
          <w:sz w:val="26"/>
          <w:szCs w:val="26"/>
        </w:rPr>
        <w:t xml:space="preserve">RESA </w:t>
      </w:r>
      <w:r w:rsidR="00180008">
        <w:rPr>
          <w:rFonts w:ascii="Times New Roman" w:eastAsia="Times New Roman" w:hAnsi="Times New Roman"/>
          <w:color w:val="000000"/>
          <w:spacing w:val="4"/>
          <w:sz w:val="26"/>
          <w:szCs w:val="26"/>
        </w:rPr>
        <w:t xml:space="preserve">Comments at </w:t>
      </w:r>
      <w:r w:rsidR="00F55F9F">
        <w:rPr>
          <w:rFonts w:ascii="Times New Roman" w:eastAsia="Times New Roman" w:hAnsi="Times New Roman"/>
          <w:color w:val="000000"/>
          <w:spacing w:val="4"/>
          <w:sz w:val="26"/>
          <w:szCs w:val="26"/>
        </w:rPr>
        <w:t>4-5.</w:t>
      </w:r>
      <w:r w:rsidRPr="003853FC">
        <w:rPr>
          <w:rFonts w:ascii="Times New Roman" w:eastAsia="Times New Roman" w:hAnsi="Times New Roman"/>
          <w:color w:val="000000"/>
          <w:spacing w:val="4"/>
          <w:sz w:val="26"/>
          <w:szCs w:val="26"/>
        </w:rPr>
        <w:t xml:space="preserve"> </w:t>
      </w:r>
      <w:r w:rsidR="00180008">
        <w:rPr>
          <w:rFonts w:ascii="Times New Roman" w:eastAsia="Times New Roman" w:hAnsi="Times New Roman"/>
          <w:color w:val="000000"/>
          <w:spacing w:val="4"/>
          <w:sz w:val="26"/>
          <w:szCs w:val="26"/>
        </w:rPr>
        <w:t xml:space="preserve"> </w:t>
      </w:r>
      <w:r w:rsidRPr="003853FC">
        <w:rPr>
          <w:rFonts w:ascii="Times New Roman" w:eastAsia="Times New Roman" w:hAnsi="Times New Roman"/>
          <w:color w:val="000000"/>
          <w:spacing w:val="4"/>
          <w:sz w:val="26"/>
          <w:szCs w:val="26"/>
        </w:rPr>
        <w:t xml:space="preserve">RESA points out that </w:t>
      </w:r>
      <w:r w:rsidR="00F55F9F" w:rsidRPr="003853FC">
        <w:rPr>
          <w:rFonts w:ascii="Times New Roman" w:eastAsia="Times New Roman" w:hAnsi="Times New Roman"/>
          <w:color w:val="000000"/>
          <w:spacing w:val="4"/>
          <w:sz w:val="26"/>
          <w:szCs w:val="26"/>
        </w:rPr>
        <w:t>requiring suppliers to complete fields</w:t>
      </w:r>
      <w:r w:rsidR="00F55F9F">
        <w:rPr>
          <w:rFonts w:ascii="Times New Roman" w:eastAsia="Times New Roman" w:hAnsi="Times New Roman"/>
          <w:color w:val="000000"/>
          <w:spacing w:val="4"/>
          <w:sz w:val="26"/>
          <w:szCs w:val="26"/>
        </w:rPr>
        <w:t xml:space="preserve"> for both contract terms and renewal terms, as in the template for EGS contract summaries,</w:t>
      </w:r>
      <w:r w:rsidR="00F55F9F" w:rsidRPr="003853FC">
        <w:rPr>
          <w:rFonts w:ascii="Times New Roman" w:eastAsia="Times New Roman" w:hAnsi="Times New Roman"/>
          <w:color w:val="000000"/>
          <w:spacing w:val="4"/>
          <w:sz w:val="26"/>
          <w:szCs w:val="26"/>
        </w:rPr>
        <w:t xml:space="preserve"> may confuse </w:t>
      </w:r>
      <w:r w:rsidR="00AE6439">
        <w:rPr>
          <w:rFonts w:ascii="Times New Roman" w:eastAsia="Times New Roman" w:hAnsi="Times New Roman"/>
          <w:color w:val="000000"/>
          <w:spacing w:val="4"/>
          <w:sz w:val="26"/>
          <w:szCs w:val="26"/>
        </w:rPr>
        <w:t>a</w:t>
      </w:r>
      <w:r w:rsidR="00F55F9F" w:rsidRPr="003853FC">
        <w:rPr>
          <w:rFonts w:ascii="Times New Roman" w:eastAsia="Times New Roman" w:hAnsi="Times New Roman"/>
          <w:color w:val="000000"/>
          <w:spacing w:val="4"/>
          <w:sz w:val="26"/>
          <w:szCs w:val="26"/>
        </w:rPr>
        <w:t xml:space="preserve"> customer</w:t>
      </w:r>
      <w:r w:rsidR="00F55F9F">
        <w:rPr>
          <w:rFonts w:ascii="Times New Roman" w:eastAsia="Times New Roman" w:hAnsi="Times New Roman"/>
          <w:color w:val="000000"/>
          <w:spacing w:val="4"/>
          <w:sz w:val="26"/>
          <w:szCs w:val="26"/>
        </w:rPr>
        <w:t xml:space="preserve"> </w:t>
      </w:r>
      <w:r w:rsidR="00AE6439">
        <w:rPr>
          <w:rFonts w:ascii="Times New Roman" w:eastAsia="Times New Roman" w:hAnsi="Times New Roman"/>
          <w:color w:val="000000"/>
          <w:spacing w:val="4"/>
          <w:sz w:val="26"/>
          <w:szCs w:val="26"/>
        </w:rPr>
        <w:t>in a</w:t>
      </w:r>
      <w:r w:rsidR="00F55F9F">
        <w:rPr>
          <w:rFonts w:ascii="Times New Roman" w:eastAsia="Times New Roman" w:hAnsi="Times New Roman"/>
          <w:color w:val="000000"/>
          <w:spacing w:val="4"/>
          <w:sz w:val="26"/>
          <w:szCs w:val="26"/>
        </w:rPr>
        <w:t xml:space="preserve"> month-to-month variable contract.  </w:t>
      </w:r>
      <w:r w:rsidR="00AE6439">
        <w:rPr>
          <w:rFonts w:ascii="Times New Roman" w:eastAsia="Times New Roman" w:hAnsi="Times New Roman"/>
          <w:i/>
          <w:color w:val="000000"/>
          <w:spacing w:val="4"/>
          <w:sz w:val="26"/>
          <w:szCs w:val="26"/>
        </w:rPr>
        <w:t>Id.</w:t>
      </w:r>
      <w:r w:rsidRPr="003853FC">
        <w:rPr>
          <w:rFonts w:ascii="Times New Roman" w:eastAsia="Times New Roman" w:hAnsi="Times New Roman"/>
          <w:color w:val="000000"/>
          <w:spacing w:val="4"/>
          <w:sz w:val="26"/>
          <w:szCs w:val="26"/>
        </w:rPr>
        <w:t xml:space="preserve"> at 4-5.</w:t>
      </w:r>
    </w:p>
    <w:p w:rsidR="008B7FE1" w:rsidRDefault="008B7FE1" w:rsidP="001A1513">
      <w:pPr>
        <w:spacing w:line="360" w:lineRule="auto"/>
        <w:rPr>
          <w:rFonts w:ascii="Times New Roman" w:eastAsia="Times New Roman" w:hAnsi="Times New Roman"/>
          <w:color w:val="000000"/>
          <w:spacing w:val="4"/>
          <w:sz w:val="26"/>
          <w:szCs w:val="26"/>
        </w:rPr>
      </w:pPr>
    </w:p>
    <w:p w:rsidR="001A1513" w:rsidRPr="008E5D14" w:rsidRDefault="001A1513" w:rsidP="008B7FE1">
      <w:pPr>
        <w:spacing w:line="360" w:lineRule="auto"/>
        <w:ind w:firstLine="720"/>
        <w:rPr>
          <w:rFonts w:ascii="Times New Roman" w:eastAsia="Times New Roman" w:hAnsi="Times New Roman"/>
          <w:color w:val="000000"/>
          <w:spacing w:val="4"/>
          <w:sz w:val="26"/>
          <w:szCs w:val="26"/>
        </w:rPr>
      </w:pPr>
      <w:r w:rsidRPr="003853FC">
        <w:rPr>
          <w:rFonts w:ascii="Times New Roman" w:eastAsia="Times New Roman" w:hAnsi="Times New Roman"/>
          <w:color w:val="000000"/>
          <w:spacing w:val="4"/>
          <w:sz w:val="26"/>
          <w:szCs w:val="26"/>
        </w:rPr>
        <w:t xml:space="preserve">The NGS Parties suggest that </w:t>
      </w:r>
      <w:r w:rsidR="00AE6439">
        <w:rPr>
          <w:rFonts w:ascii="Times New Roman" w:eastAsia="Times New Roman" w:hAnsi="Times New Roman"/>
          <w:color w:val="000000"/>
          <w:spacing w:val="4"/>
          <w:sz w:val="26"/>
          <w:szCs w:val="26"/>
        </w:rPr>
        <w:t>a “useful”</w:t>
      </w:r>
      <w:r w:rsidR="009811F4">
        <w:rPr>
          <w:rFonts w:ascii="Times New Roman" w:eastAsia="Times New Roman" w:hAnsi="Times New Roman"/>
          <w:color w:val="000000"/>
          <w:spacing w:val="4"/>
          <w:sz w:val="26"/>
          <w:szCs w:val="26"/>
        </w:rPr>
        <w:t xml:space="preserve"> contract summary</w:t>
      </w:r>
      <w:r w:rsidRPr="003853FC">
        <w:rPr>
          <w:rFonts w:ascii="Times New Roman" w:eastAsia="Times New Roman" w:hAnsi="Times New Roman"/>
          <w:color w:val="000000"/>
          <w:spacing w:val="4"/>
          <w:sz w:val="26"/>
          <w:szCs w:val="26"/>
        </w:rPr>
        <w:t xml:space="preserve"> must </w:t>
      </w:r>
      <w:r w:rsidR="00AE6439">
        <w:rPr>
          <w:rFonts w:ascii="Times New Roman" w:eastAsia="Times New Roman" w:hAnsi="Times New Roman"/>
          <w:color w:val="000000"/>
          <w:spacing w:val="4"/>
          <w:sz w:val="26"/>
          <w:szCs w:val="26"/>
        </w:rPr>
        <w:t>only include</w:t>
      </w:r>
      <w:r w:rsidRPr="003853FC">
        <w:rPr>
          <w:rFonts w:ascii="Times New Roman" w:eastAsia="Times New Roman" w:hAnsi="Times New Roman"/>
          <w:color w:val="000000"/>
          <w:spacing w:val="4"/>
          <w:sz w:val="26"/>
          <w:szCs w:val="26"/>
        </w:rPr>
        <w:t xml:space="preserve"> relevant contract terms</w:t>
      </w:r>
      <w:r w:rsidR="00AE6439">
        <w:rPr>
          <w:rFonts w:ascii="Times New Roman" w:eastAsia="Times New Roman" w:hAnsi="Times New Roman"/>
          <w:color w:val="000000"/>
          <w:spacing w:val="4"/>
          <w:sz w:val="26"/>
          <w:szCs w:val="26"/>
        </w:rPr>
        <w:t>, as</w:t>
      </w:r>
      <w:r w:rsidRPr="003853FC">
        <w:rPr>
          <w:rFonts w:ascii="Times New Roman" w:eastAsia="Times New Roman" w:hAnsi="Times New Roman"/>
          <w:noProof/>
          <w:color w:val="000000"/>
          <w:spacing w:val="4"/>
          <w:sz w:val="26"/>
          <w:szCs w:val="26"/>
          <w:lang w:bidi="ar-SA"/>
        </w:rPr>
        <mc:AlternateContent>
          <mc:Choice Requires="wps">
            <w:drawing>
              <wp:anchor distT="0" distB="0" distL="0" distR="0" simplePos="0" relativeHeight="251660288" behindDoc="1" locked="0" layoutInCell="1" allowOverlap="1" wp14:anchorId="57079D9B" wp14:editId="5A3621DE">
                <wp:simplePos x="0" y="0"/>
                <wp:positionH relativeFrom="page">
                  <wp:posOffset>3780790</wp:posOffset>
                </wp:positionH>
                <wp:positionV relativeFrom="page">
                  <wp:posOffset>9231630</wp:posOffset>
                </wp:positionV>
                <wp:extent cx="171450" cy="13843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F64" w:rsidRDefault="009D7F64" w:rsidP="001A1513">
                            <w:pPr>
                              <w:spacing w:line="207" w:lineRule="exact"/>
                              <w:textAlignment w:val="baseline"/>
                              <w:rPr>
                                <w:rFonts w:eastAsia="Times New Roman"/>
                                <w:color w:val="000000"/>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297.7pt;margin-top:726.9pt;width:13.5pt;height:10.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OsQIAAK8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I4w46aBFD3TU6FaMKDLVGXqVgtF9D2Z6hGvoss1U9Xei/K4QF+uG8B29kVIMDSUVROebl+6zpxOO&#10;MiDb4ZOowA3Za2GBxlp2pnRQDATo0KXHU2dMKKVxufTDCDQlqPzLOLy0nXNJOj/updIfqOiQETIs&#10;ofEWnBzulDbBkHQ2Mb64KFjb2ua3/MUFGE434BqeGp0JwvbyKfGSTbyJQycMFhsn9PLcuSnWobMo&#10;/GWUX+brde7/Mn79MG1YVVFu3My88sM/69uR4RMjTsxSomWVgTMhKbnbrluJDgR4XdjPlhw0ZzP3&#10;ZRi2CJDLq5T8IPRug8QpFvHSCYswcpKlFzuen9wmCy9Mwrx4mdId4/TfU0JDhpMoiCYunYN+lZtn&#10;v7e5kbRjGjZHy7oMxycjkhoGbnhlW6sJayf5WSlM+OdSQLvnRlu+GopOZNXjdrSDEcxjsBXVIxBY&#10;CiAYcBG2HgiNkD8xGmCDZFj92BNJMWo/chgCs25mQc7CdhYIL+FphjVGk7jW01ra95LtGkCexoyL&#10;GxiUmlkSm4maojiOF2wFm8txg5m18/zfWp337Oo3AAAA//8DAFBLAwQUAAYACAAAACEA41raUOAA&#10;AAANAQAADwAAAGRycy9kb3ducmV2LnhtbEyPQU+DQBCF7yb+h82YeLOLWNAiS9MYPZmYUjx4XNgp&#10;kLKzyG5b/PdOT3qc9768eS9fz3YQJ5x870jB/SICgdQ401Or4LN6u3sC4YMmowdHqOAHPayL66tc&#10;Z8adqcTTLrSCQ8hnWkEXwphJ6ZsOrfYLNyKxt3eT1YHPqZVm0mcOt4OMoyiVVvfEHzo94kuHzWF3&#10;tAo2X1S+9t8f9bbcl31VrSJ6Tw9K3d7Mm2cQAefwB8OlPleHgjvV7kjGi0FBskqWjLKxTB54BCNp&#10;HLNUX6THJAVZ5PL/iuIXAAD//wMAUEsBAi0AFAAGAAgAAAAhALaDOJL+AAAA4QEAABMAAAAAAAAA&#10;AAAAAAAAAAAAAFtDb250ZW50X1R5cGVzXS54bWxQSwECLQAUAAYACAAAACEAOP0h/9YAAACUAQAA&#10;CwAAAAAAAAAAAAAAAAAvAQAAX3JlbHMvLnJlbHNQSwECLQAUAAYACAAAACEA5PzrjrECAACvBQAA&#10;DgAAAAAAAAAAAAAAAAAuAgAAZHJzL2Uyb0RvYy54bWxQSwECLQAUAAYACAAAACEA41raUOAAAAAN&#10;AQAADwAAAAAAAAAAAAAAAAALBQAAZHJzL2Rvd25yZXYueG1sUEsFBgAAAAAEAAQA8wAAABgGAAAA&#10;AA==&#10;" filled="f" stroked="f">
                <v:textbox inset="0,0,0,0">
                  <w:txbxContent>
                    <w:p w:rsidR="009D7F64" w:rsidRDefault="009D7F64" w:rsidP="001A1513">
                      <w:pPr>
                        <w:spacing w:line="207" w:lineRule="exact"/>
                        <w:textAlignment w:val="baseline"/>
                        <w:rPr>
                          <w:rFonts w:eastAsia="Times New Roman"/>
                          <w:color w:val="000000"/>
                          <w:sz w:val="19"/>
                        </w:rPr>
                      </w:pPr>
                    </w:p>
                  </w:txbxContent>
                </v:textbox>
                <w10:wrap type="square" anchorx="page" anchory="page"/>
              </v:shape>
            </w:pict>
          </mc:Fallback>
        </mc:AlternateContent>
      </w:r>
      <w:r w:rsidR="00AE6439">
        <w:rPr>
          <w:rFonts w:ascii="Times New Roman" w:eastAsia="Times New Roman" w:hAnsi="Times New Roman"/>
          <w:color w:val="000000"/>
          <w:spacing w:val="4"/>
          <w:sz w:val="26"/>
          <w:szCs w:val="26"/>
        </w:rPr>
        <w:t xml:space="preserve"> </w:t>
      </w:r>
      <w:r w:rsidR="00B202BE">
        <w:rPr>
          <w:rFonts w:ascii="Times New Roman" w:eastAsia="Times New Roman" w:hAnsi="Times New Roman"/>
          <w:color w:val="000000"/>
          <w:spacing w:val="4"/>
          <w:sz w:val="26"/>
          <w:szCs w:val="26"/>
        </w:rPr>
        <w:t>a regurgitation</w:t>
      </w:r>
      <w:r w:rsidRPr="003853FC">
        <w:rPr>
          <w:rFonts w:ascii="Times New Roman" w:eastAsia="Times New Roman" w:hAnsi="Times New Roman"/>
          <w:color w:val="000000"/>
          <w:spacing w:val="4"/>
          <w:sz w:val="26"/>
          <w:szCs w:val="26"/>
        </w:rPr>
        <w:t xml:space="preserve"> of the entire contract in the guise of a summary </w:t>
      </w:r>
      <w:r w:rsidR="00AE6439">
        <w:rPr>
          <w:rFonts w:ascii="Times New Roman" w:eastAsia="Times New Roman" w:hAnsi="Times New Roman"/>
          <w:color w:val="000000"/>
          <w:spacing w:val="4"/>
          <w:sz w:val="26"/>
          <w:szCs w:val="26"/>
        </w:rPr>
        <w:t>is unhelpful and superfluous</w:t>
      </w:r>
      <w:r w:rsidRPr="003853FC">
        <w:rPr>
          <w:rFonts w:ascii="Times New Roman" w:eastAsia="Times New Roman" w:hAnsi="Times New Roman"/>
          <w:color w:val="000000"/>
          <w:spacing w:val="4"/>
          <w:sz w:val="26"/>
          <w:szCs w:val="26"/>
        </w:rPr>
        <w:t>.</w:t>
      </w:r>
      <w:r w:rsidR="00AE6439">
        <w:rPr>
          <w:rFonts w:ascii="Times New Roman" w:eastAsia="Times New Roman" w:hAnsi="Times New Roman"/>
          <w:color w:val="000000"/>
          <w:spacing w:val="4"/>
          <w:sz w:val="26"/>
          <w:szCs w:val="26"/>
        </w:rPr>
        <w:t xml:space="preserve">  </w:t>
      </w:r>
      <w:r w:rsidR="00B202BE">
        <w:rPr>
          <w:rFonts w:ascii="Times New Roman" w:eastAsia="Times New Roman" w:hAnsi="Times New Roman"/>
          <w:color w:val="000000"/>
          <w:spacing w:val="4"/>
          <w:sz w:val="26"/>
          <w:szCs w:val="26"/>
        </w:rPr>
        <w:t xml:space="preserve">NGS Parties </w:t>
      </w:r>
      <w:r w:rsidR="00AE6439">
        <w:rPr>
          <w:rFonts w:ascii="Times New Roman" w:eastAsia="Times New Roman" w:hAnsi="Times New Roman"/>
          <w:color w:val="000000"/>
          <w:spacing w:val="4"/>
          <w:sz w:val="26"/>
          <w:szCs w:val="26"/>
        </w:rPr>
        <w:t xml:space="preserve">Comments at </w:t>
      </w:r>
      <w:r w:rsidR="008E5D14">
        <w:rPr>
          <w:rFonts w:ascii="Times New Roman" w:eastAsia="Times New Roman" w:hAnsi="Times New Roman"/>
          <w:color w:val="000000"/>
          <w:spacing w:val="4"/>
          <w:sz w:val="26"/>
          <w:szCs w:val="26"/>
        </w:rPr>
        <w:t>7-8.</w:t>
      </w:r>
      <w:r w:rsidR="00AE6439">
        <w:rPr>
          <w:rFonts w:ascii="Times New Roman" w:eastAsia="Times New Roman" w:hAnsi="Times New Roman"/>
          <w:color w:val="000000"/>
          <w:spacing w:val="4"/>
          <w:sz w:val="26"/>
          <w:szCs w:val="26"/>
        </w:rPr>
        <w:t xml:space="preserve"> </w:t>
      </w:r>
      <w:r w:rsidRPr="003853FC">
        <w:rPr>
          <w:rFonts w:ascii="Times New Roman" w:eastAsia="Times New Roman" w:hAnsi="Times New Roman"/>
          <w:color w:val="000000"/>
          <w:spacing w:val="4"/>
          <w:sz w:val="26"/>
          <w:szCs w:val="26"/>
        </w:rPr>
        <w:t xml:space="preserve"> The NGS Parties </w:t>
      </w:r>
      <w:r w:rsidR="008E5D14">
        <w:rPr>
          <w:rFonts w:ascii="Times New Roman" w:eastAsia="Times New Roman" w:hAnsi="Times New Roman"/>
          <w:color w:val="000000"/>
          <w:spacing w:val="4"/>
          <w:sz w:val="26"/>
          <w:szCs w:val="26"/>
        </w:rPr>
        <w:t>assert</w:t>
      </w:r>
      <w:r w:rsidRPr="003853FC">
        <w:rPr>
          <w:rFonts w:ascii="Times New Roman" w:eastAsia="Times New Roman" w:hAnsi="Times New Roman"/>
          <w:color w:val="000000"/>
          <w:spacing w:val="4"/>
          <w:sz w:val="26"/>
          <w:szCs w:val="26"/>
        </w:rPr>
        <w:t xml:space="preserve"> the essential </w:t>
      </w:r>
      <w:r w:rsidR="008E5D14">
        <w:rPr>
          <w:rFonts w:ascii="Times New Roman" w:eastAsia="Times New Roman" w:hAnsi="Times New Roman"/>
          <w:color w:val="000000"/>
          <w:spacing w:val="4"/>
          <w:sz w:val="26"/>
          <w:szCs w:val="26"/>
        </w:rPr>
        <w:t xml:space="preserve">summary </w:t>
      </w:r>
      <w:r w:rsidRPr="003853FC">
        <w:rPr>
          <w:rFonts w:ascii="Times New Roman" w:eastAsia="Times New Roman" w:hAnsi="Times New Roman"/>
          <w:color w:val="000000"/>
          <w:spacing w:val="4"/>
          <w:sz w:val="26"/>
          <w:szCs w:val="26"/>
        </w:rPr>
        <w:t xml:space="preserve">elements </w:t>
      </w:r>
      <w:r w:rsidR="00B202BE">
        <w:rPr>
          <w:rFonts w:ascii="Times New Roman" w:eastAsia="Times New Roman" w:hAnsi="Times New Roman"/>
          <w:color w:val="000000"/>
          <w:spacing w:val="4"/>
          <w:sz w:val="26"/>
          <w:szCs w:val="26"/>
        </w:rPr>
        <w:t xml:space="preserve">should </w:t>
      </w:r>
      <w:r w:rsidR="008E5D14">
        <w:rPr>
          <w:rFonts w:ascii="Times New Roman" w:eastAsia="Times New Roman" w:hAnsi="Times New Roman"/>
          <w:color w:val="000000"/>
          <w:spacing w:val="4"/>
          <w:sz w:val="26"/>
          <w:szCs w:val="26"/>
        </w:rPr>
        <w:t>include</w:t>
      </w:r>
      <w:r w:rsidRPr="003853FC">
        <w:rPr>
          <w:rFonts w:ascii="Times New Roman" w:eastAsia="Times New Roman" w:hAnsi="Times New Roman"/>
          <w:color w:val="000000"/>
          <w:spacing w:val="4"/>
          <w:sz w:val="26"/>
          <w:szCs w:val="26"/>
        </w:rPr>
        <w:t xml:space="preserve">: 1) </w:t>
      </w:r>
      <w:r w:rsidR="00B202BE">
        <w:rPr>
          <w:rFonts w:ascii="Times New Roman" w:eastAsia="Times New Roman" w:hAnsi="Times New Roman"/>
          <w:color w:val="000000"/>
          <w:spacing w:val="4"/>
          <w:sz w:val="26"/>
          <w:szCs w:val="26"/>
        </w:rPr>
        <w:t xml:space="preserve">the </w:t>
      </w:r>
      <w:r w:rsidRPr="003853FC">
        <w:rPr>
          <w:rFonts w:ascii="Times New Roman" w:eastAsia="Times New Roman" w:hAnsi="Times New Roman"/>
          <w:color w:val="000000"/>
          <w:spacing w:val="4"/>
          <w:sz w:val="26"/>
          <w:szCs w:val="26"/>
        </w:rPr>
        <w:t>type of contract (</w:t>
      </w:r>
      <w:r w:rsidR="008E5D14">
        <w:rPr>
          <w:rFonts w:ascii="Times New Roman" w:eastAsia="Times New Roman" w:hAnsi="Times New Roman"/>
          <w:color w:val="000000"/>
          <w:spacing w:val="4"/>
          <w:sz w:val="26"/>
          <w:szCs w:val="26"/>
        </w:rPr>
        <w:t>f</w:t>
      </w:r>
      <w:r w:rsidRPr="003853FC">
        <w:rPr>
          <w:rFonts w:ascii="Times New Roman" w:eastAsia="Times New Roman" w:hAnsi="Times New Roman"/>
          <w:color w:val="000000"/>
          <w:spacing w:val="4"/>
          <w:sz w:val="26"/>
          <w:szCs w:val="26"/>
        </w:rPr>
        <w:t xml:space="preserve">ixed or </w:t>
      </w:r>
      <w:r w:rsidR="008E5D14">
        <w:rPr>
          <w:rFonts w:ascii="Times New Roman" w:eastAsia="Times New Roman" w:hAnsi="Times New Roman"/>
          <w:color w:val="000000"/>
          <w:spacing w:val="4"/>
          <w:sz w:val="26"/>
          <w:szCs w:val="26"/>
        </w:rPr>
        <w:t>v</w:t>
      </w:r>
      <w:r w:rsidR="00B202BE">
        <w:rPr>
          <w:rFonts w:ascii="Times New Roman" w:eastAsia="Times New Roman" w:hAnsi="Times New Roman"/>
          <w:color w:val="000000"/>
          <w:spacing w:val="4"/>
          <w:sz w:val="26"/>
          <w:szCs w:val="26"/>
        </w:rPr>
        <w:t xml:space="preserve">ariable) and if variable when and </w:t>
      </w:r>
      <w:r w:rsidRPr="003853FC">
        <w:rPr>
          <w:rFonts w:ascii="Times New Roman" w:eastAsia="Times New Roman" w:hAnsi="Times New Roman"/>
          <w:color w:val="000000"/>
          <w:spacing w:val="4"/>
          <w:sz w:val="26"/>
          <w:szCs w:val="26"/>
        </w:rPr>
        <w:t xml:space="preserve">how </w:t>
      </w:r>
      <w:r w:rsidR="00B202BE">
        <w:rPr>
          <w:rFonts w:ascii="Times New Roman" w:eastAsia="Times New Roman" w:hAnsi="Times New Roman"/>
          <w:color w:val="000000"/>
          <w:spacing w:val="4"/>
          <w:sz w:val="26"/>
          <w:szCs w:val="26"/>
        </w:rPr>
        <w:t xml:space="preserve">the </w:t>
      </w:r>
      <w:r w:rsidRPr="003853FC">
        <w:rPr>
          <w:rFonts w:ascii="Times New Roman" w:eastAsia="Times New Roman" w:hAnsi="Times New Roman"/>
          <w:color w:val="000000"/>
          <w:spacing w:val="4"/>
          <w:sz w:val="26"/>
          <w:szCs w:val="26"/>
        </w:rPr>
        <w:t xml:space="preserve">price will be determined; 2) the price to be charged the first month; 3) whether the quoted price is an introductory price; 4) </w:t>
      </w:r>
      <w:r w:rsidR="008E5D14">
        <w:rPr>
          <w:rFonts w:ascii="Times New Roman" w:eastAsia="Times New Roman" w:hAnsi="Times New Roman"/>
          <w:color w:val="000000"/>
          <w:spacing w:val="4"/>
          <w:sz w:val="26"/>
          <w:szCs w:val="26"/>
        </w:rPr>
        <w:t>i</w:t>
      </w:r>
      <w:r w:rsidRPr="003853FC">
        <w:rPr>
          <w:rFonts w:ascii="Times New Roman" w:eastAsia="Times New Roman" w:hAnsi="Times New Roman"/>
          <w:color w:val="000000"/>
          <w:spacing w:val="4"/>
          <w:sz w:val="26"/>
          <w:szCs w:val="26"/>
        </w:rPr>
        <w:t xml:space="preserve">f </w:t>
      </w:r>
      <w:r w:rsidR="008E5D14">
        <w:rPr>
          <w:rFonts w:ascii="Times New Roman" w:eastAsia="Times New Roman" w:hAnsi="Times New Roman"/>
          <w:color w:val="000000"/>
          <w:spacing w:val="4"/>
          <w:sz w:val="26"/>
          <w:szCs w:val="26"/>
        </w:rPr>
        <w:t>an introductory</w:t>
      </w:r>
      <w:r w:rsidRPr="003853FC">
        <w:rPr>
          <w:rFonts w:ascii="Times New Roman" w:eastAsia="Times New Roman" w:hAnsi="Times New Roman"/>
          <w:color w:val="000000"/>
          <w:spacing w:val="4"/>
          <w:sz w:val="26"/>
          <w:szCs w:val="26"/>
        </w:rPr>
        <w:t xml:space="preserve"> price, how many months </w:t>
      </w:r>
      <w:r w:rsidR="008E5D14">
        <w:rPr>
          <w:rFonts w:ascii="Times New Roman" w:eastAsia="Times New Roman" w:hAnsi="Times New Roman"/>
          <w:color w:val="000000"/>
          <w:spacing w:val="4"/>
          <w:sz w:val="26"/>
          <w:szCs w:val="26"/>
        </w:rPr>
        <w:t xml:space="preserve">it </w:t>
      </w:r>
      <w:r w:rsidRPr="003853FC">
        <w:rPr>
          <w:rFonts w:ascii="Times New Roman" w:eastAsia="Times New Roman" w:hAnsi="Times New Roman"/>
          <w:color w:val="000000"/>
          <w:spacing w:val="4"/>
          <w:sz w:val="26"/>
          <w:szCs w:val="26"/>
        </w:rPr>
        <w:t>wil</w:t>
      </w:r>
      <w:r w:rsidR="008E5D14">
        <w:rPr>
          <w:rFonts w:ascii="Times New Roman" w:eastAsia="Times New Roman" w:hAnsi="Times New Roman"/>
          <w:color w:val="000000"/>
          <w:spacing w:val="4"/>
          <w:sz w:val="26"/>
          <w:szCs w:val="26"/>
        </w:rPr>
        <w:t>l</w:t>
      </w:r>
      <w:r w:rsidRPr="003853FC">
        <w:rPr>
          <w:rFonts w:ascii="Times New Roman" w:eastAsia="Times New Roman" w:hAnsi="Times New Roman"/>
          <w:color w:val="000000"/>
          <w:spacing w:val="4"/>
          <w:sz w:val="26"/>
          <w:szCs w:val="26"/>
        </w:rPr>
        <w:t xml:space="preserve"> be charged; 5) if </w:t>
      </w:r>
      <w:r w:rsidR="00B202BE">
        <w:rPr>
          <w:rFonts w:ascii="Times New Roman" w:eastAsia="Times New Roman" w:hAnsi="Times New Roman"/>
          <w:color w:val="000000"/>
          <w:spacing w:val="4"/>
          <w:sz w:val="26"/>
          <w:szCs w:val="26"/>
        </w:rPr>
        <w:t xml:space="preserve">an introductory price, how the </w:t>
      </w:r>
      <w:r w:rsidRPr="003853FC">
        <w:rPr>
          <w:rFonts w:ascii="Times New Roman" w:eastAsia="Times New Roman" w:hAnsi="Times New Roman"/>
          <w:color w:val="000000"/>
          <w:spacing w:val="4"/>
          <w:sz w:val="26"/>
          <w:szCs w:val="26"/>
        </w:rPr>
        <w:t xml:space="preserve">price </w:t>
      </w:r>
      <w:r w:rsidR="00B202BE">
        <w:rPr>
          <w:rFonts w:ascii="Times New Roman" w:eastAsia="Times New Roman" w:hAnsi="Times New Roman"/>
          <w:color w:val="000000"/>
          <w:spacing w:val="4"/>
          <w:sz w:val="26"/>
          <w:szCs w:val="26"/>
        </w:rPr>
        <w:t xml:space="preserve">will </w:t>
      </w:r>
      <w:r w:rsidRPr="003853FC">
        <w:rPr>
          <w:rFonts w:ascii="Times New Roman" w:eastAsia="Times New Roman" w:hAnsi="Times New Roman"/>
          <w:color w:val="000000"/>
          <w:spacing w:val="4"/>
          <w:sz w:val="26"/>
          <w:szCs w:val="26"/>
        </w:rPr>
        <w:t xml:space="preserve">be set after the introductory period; 6) the term in months; 7) </w:t>
      </w:r>
      <w:r w:rsidR="00B202BE">
        <w:rPr>
          <w:rFonts w:ascii="Times New Roman" w:eastAsia="Times New Roman" w:hAnsi="Times New Roman"/>
          <w:color w:val="000000"/>
          <w:spacing w:val="4"/>
          <w:sz w:val="26"/>
          <w:szCs w:val="26"/>
        </w:rPr>
        <w:t>the</w:t>
      </w:r>
      <w:r w:rsidR="008E5D14">
        <w:rPr>
          <w:rFonts w:ascii="Times New Roman" w:eastAsia="Times New Roman" w:hAnsi="Times New Roman"/>
          <w:color w:val="000000"/>
          <w:spacing w:val="4"/>
          <w:sz w:val="26"/>
          <w:szCs w:val="26"/>
        </w:rPr>
        <w:t xml:space="preserve"> exist</w:t>
      </w:r>
      <w:r w:rsidR="00B202BE">
        <w:rPr>
          <w:rFonts w:ascii="Times New Roman" w:eastAsia="Times New Roman" w:hAnsi="Times New Roman"/>
          <w:color w:val="000000"/>
          <w:spacing w:val="4"/>
          <w:sz w:val="26"/>
          <w:szCs w:val="26"/>
        </w:rPr>
        <w:t>ence of</w:t>
      </w:r>
      <w:r w:rsidRPr="003853FC">
        <w:rPr>
          <w:rFonts w:ascii="Times New Roman" w:eastAsia="Times New Roman" w:hAnsi="Times New Roman"/>
          <w:color w:val="000000"/>
          <w:spacing w:val="4"/>
          <w:sz w:val="26"/>
          <w:szCs w:val="26"/>
        </w:rPr>
        <w:t xml:space="preserve"> an early termination or cancellation fee</w:t>
      </w:r>
      <w:r w:rsidR="008E5D14">
        <w:rPr>
          <w:rFonts w:ascii="Times New Roman" w:eastAsia="Times New Roman" w:hAnsi="Times New Roman"/>
          <w:color w:val="000000"/>
          <w:spacing w:val="4"/>
          <w:sz w:val="26"/>
          <w:szCs w:val="26"/>
        </w:rPr>
        <w:t>;</w:t>
      </w:r>
      <w:r w:rsidRPr="003853FC">
        <w:rPr>
          <w:rFonts w:ascii="Times New Roman" w:eastAsia="Times New Roman" w:hAnsi="Times New Roman"/>
          <w:color w:val="000000"/>
          <w:spacing w:val="4"/>
          <w:sz w:val="26"/>
          <w:szCs w:val="26"/>
        </w:rPr>
        <w:t xml:space="preserve"> and 8) </w:t>
      </w:r>
      <w:r w:rsidR="00B202BE">
        <w:rPr>
          <w:rFonts w:ascii="Times New Roman" w:eastAsia="Times New Roman" w:hAnsi="Times New Roman"/>
          <w:color w:val="000000"/>
          <w:spacing w:val="4"/>
          <w:sz w:val="26"/>
          <w:szCs w:val="26"/>
        </w:rPr>
        <w:t xml:space="preserve">if so, </w:t>
      </w:r>
      <w:r w:rsidRPr="003853FC">
        <w:rPr>
          <w:rFonts w:ascii="Times New Roman" w:eastAsia="Times New Roman" w:hAnsi="Times New Roman"/>
          <w:color w:val="000000"/>
          <w:spacing w:val="4"/>
          <w:sz w:val="26"/>
          <w:szCs w:val="26"/>
        </w:rPr>
        <w:t xml:space="preserve">the amount of </w:t>
      </w:r>
      <w:r w:rsidR="008E5D14">
        <w:rPr>
          <w:rFonts w:ascii="Times New Roman" w:eastAsia="Times New Roman" w:hAnsi="Times New Roman"/>
          <w:color w:val="000000"/>
          <w:spacing w:val="4"/>
          <w:sz w:val="26"/>
          <w:szCs w:val="26"/>
        </w:rPr>
        <w:t xml:space="preserve">any applicable </w:t>
      </w:r>
      <w:r w:rsidRPr="003853FC">
        <w:rPr>
          <w:rFonts w:ascii="Times New Roman" w:eastAsia="Times New Roman" w:hAnsi="Times New Roman"/>
          <w:color w:val="000000"/>
          <w:spacing w:val="4"/>
          <w:sz w:val="26"/>
          <w:szCs w:val="26"/>
        </w:rPr>
        <w:t>early termination fee.</w:t>
      </w:r>
      <w:r w:rsidR="008E5D14">
        <w:rPr>
          <w:rFonts w:ascii="Times New Roman" w:eastAsia="Times New Roman" w:hAnsi="Times New Roman"/>
          <w:color w:val="000000"/>
          <w:spacing w:val="4"/>
          <w:sz w:val="26"/>
          <w:szCs w:val="26"/>
        </w:rPr>
        <w:t xml:space="preserve">  </w:t>
      </w:r>
      <w:proofErr w:type="gramStart"/>
      <w:r w:rsidR="008E5D14">
        <w:rPr>
          <w:rFonts w:ascii="Times New Roman" w:eastAsia="Times New Roman" w:hAnsi="Times New Roman"/>
          <w:i/>
          <w:color w:val="000000"/>
          <w:spacing w:val="4"/>
          <w:sz w:val="26"/>
          <w:szCs w:val="26"/>
        </w:rPr>
        <w:t>Id.</w:t>
      </w:r>
      <w:r w:rsidR="008E5D14">
        <w:rPr>
          <w:rFonts w:ascii="Times New Roman" w:eastAsia="Times New Roman" w:hAnsi="Times New Roman"/>
          <w:color w:val="000000"/>
          <w:spacing w:val="4"/>
          <w:sz w:val="26"/>
          <w:szCs w:val="26"/>
        </w:rPr>
        <w:t xml:space="preserve"> at 8.</w:t>
      </w:r>
      <w:proofErr w:type="gramEnd"/>
      <w:r w:rsidRPr="003853FC">
        <w:rPr>
          <w:rFonts w:ascii="Times New Roman" w:eastAsia="Times New Roman" w:hAnsi="Times New Roman"/>
          <w:color w:val="000000"/>
          <w:spacing w:val="4"/>
          <w:sz w:val="26"/>
          <w:szCs w:val="26"/>
        </w:rPr>
        <w:t xml:space="preserve"> </w:t>
      </w:r>
      <w:r w:rsidR="008E5D14">
        <w:rPr>
          <w:rFonts w:ascii="Times New Roman" w:eastAsia="Times New Roman" w:hAnsi="Times New Roman"/>
          <w:color w:val="000000"/>
          <w:spacing w:val="4"/>
          <w:sz w:val="26"/>
          <w:szCs w:val="26"/>
        </w:rPr>
        <w:t xml:space="preserve"> Furthermore, </w:t>
      </w:r>
      <w:r w:rsidRPr="003853FC">
        <w:rPr>
          <w:rFonts w:ascii="Times New Roman" w:eastAsia="Times New Roman" w:hAnsi="Times New Roman"/>
          <w:color w:val="000000"/>
          <w:spacing w:val="4"/>
          <w:sz w:val="26"/>
          <w:szCs w:val="26"/>
        </w:rPr>
        <w:t xml:space="preserve">an uncapped variable rate </w:t>
      </w:r>
      <w:r w:rsidR="008E5D14">
        <w:rPr>
          <w:rFonts w:ascii="Times New Roman" w:eastAsia="Times New Roman" w:hAnsi="Times New Roman"/>
          <w:color w:val="000000"/>
          <w:spacing w:val="4"/>
          <w:sz w:val="26"/>
          <w:szCs w:val="26"/>
        </w:rPr>
        <w:t>s</w:t>
      </w:r>
      <w:r w:rsidRPr="003853FC">
        <w:rPr>
          <w:rFonts w:ascii="Times New Roman" w:eastAsia="Times New Roman" w:hAnsi="Times New Roman"/>
          <w:color w:val="000000"/>
          <w:spacing w:val="4"/>
          <w:sz w:val="26"/>
          <w:szCs w:val="26"/>
        </w:rPr>
        <w:t xml:space="preserve">hould </w:t>
      </w:r>
      <w:r w:rsidR="008E5D14">
        <w:rPr>
          <w:rFonts w:ascii="Times New Roman" w:eastAsia="Times New Roman" w:hAnsi="Times New Roman"/>
          <w:color w:val="000000"/>
          <w:spacing w:val="4"/>
          <w:sz w:val="26"/>
          <w:szCs w:val="26"/>
        </w:rPr>
        <w:t>include</w:t>
      </w:r>
      <w:r w:rsidRPr="003853FC">
        <w:rPr>
          <w:rFonts w:ascii="Times New Roman" w:eastAsia="Times New Roman" w:hAnsi="Times New Roman"/>
          <w:color w:val="000000"/>
          <w:spacing w:val="4"/>
          <w:sz w:val="26"/>
          <w:szCs w:val="26"/>
        </w:rPr>
        <w:t xml:space="preserve"> a statement at </w:t>
      </w:r>
      <w:r w:rsidR="008E5D14">
        <w:rPr>
          <w:rFonts w:ascii="Times New Roman" w:eastAsia="Times New Roman" w:hAnsi="Times New Roman"/>
          <w:color w:val="000000"/>
          <w:spacing w:val="4"/>
          <w:sz w:val="26"/>
          <w:szCs w:val="26"/>
        </w:rPr>
        <w:t>a</w:t>
      </w:r>
      <w:r w:rsidRPr="003853FC">
        <w:rPr>
          <w:rFonts w:ascii="Times New Roman" w:eastAsia="Times New Roman" w:hAnsi="Times New Roman"/>
          <w:color w:val="000000"/>
          <w:spacing w:val="4"/>
          <w:sz w:val="26"/>
          <w:szCs w:val="26"/>
        </w:rPr>
        <w:t xml:space="preserve"> conspicuous spot on the page</w:t>
      </w:r>
      <w:r w:rsidR="008E5D14">
        <w:rPr>
          <w:rFonts w:ascii="Times New Roman" w:eastAsia="Times New Roman" w:hAnsi="Times New Roman"/>
          <w:color w:val="000000"/>
          <w:spacing w:val="4"/>
          <w:sz w:val="26"/>
          <w:szCs w:val="26"/>
        </w:rPr>
        <w:t xml:space="preserve"> stating</w:t>
      </w:r>
      <w:r w:rsidRPr="003853FC">
        <w:rPr>
          <w:rFonts w:ascii="Times New Roman" w:eastAsia="Times New Roman" w:hAnsi="Times New Roman"/>
          <w:color w:val="000000"/>
          <w:spacing w:val="4"/>
          <w:sz w:val="26"/>
          <w:szCs w:val="26"/>
        </w:rPr>
        <w:t xml:space="preserve"> that there is no limit o</w:t>
      </w:r>
      <w:r w:rsidR="008E5D14">
        <w:rPr>
          <w:rFonts w:ascii="Times New Roman" w:eastAsia="Times New Roman" w:hAnsi="Times New Roman"/>
          <w:color w:val="000000"/>
          <w:spacing w:val="4"/>
          <w:sz w:val="26"/>
          <w:szCs w:val="26"/>
        </w:rPr>
        <w:t xml:space="preserve">n the rate.  </w:t>
      </w:r>
      <w:r w:rsidR="008E5D14">
        <w:rPr>
          <w:rFonts w:ascii="Times New Roman" w:eastAsia="Times New Roman" w:hAnsi="Times New Roman"/>
          <w:i/>
          <w:color w:val="000000"/>
          <w:spacing w:val="4"/>
          <w:sz w:val="26"/>
          <w:szCs w:val="26"/>
        </w:rPr>
        <w:t>Id.</w:t>
      </w:r>
    </w:p>
    <w:p w:rsidR="006C55C1" w:rsidRDefault="006C55C1" w:rsidP="001A1513">
      <w:pPr>
        <w:spacing w:line="360" w:lineRule="auto"/>
        <w:rPr>
          <w:rFonts w:ascii="Times New Roman" w:eastAsia="Times New Roman" w:hAnsi="Times New Roman"/>
          <w:color w:val="000000"/>
          <w:spacing w:val="4"/>
          <w:sz w:val="26"/>
          <w:szCs w:val="26"/>
        </w:rPr>
      </w:pPr>
    </w:p>
    <w:p w:rsidR="001A1513" w:rsidRPr="003853FC" w:rsidRDefault="001A1513" w:rsidP="006C55C1">
      <w:pPr>
        <w:spacing w:line="360" w:lineRule="auto"/>
        <w:ind w:firstLine="720"/>
        <w:rPr>
          <w:rFonts w:ascii="Times New Roman" w:eastAsia="Times New Roman" w:hAnsi="Times New Roman"/>
          <w:color w:val="000000"/>
          <w:spacing w:val="4"/>
          <w:sz w:val="26"/>
          <w:szCs w:val="26"/>
        </w:rPr>
      </w:pPr>
      <w:proofErr w:type="gramStart"/>
      <w:r w:rsidRPr="003853FC">
        <w:rPr>
          <w:rFonts w:ascii="Times New Roman" w:eastAsia="Times New Roman" w:hAnsi="Times New Roman"/>
          <w:color w:val="000000"/>
          <w:spacing w:val="4"/>
          <w:sz w:val="26"/>
          <w:szCs w:val="26"/>
        </w:rPr>
        <w:t>Peoples thinks</w:t>
      </w:r>
      <w:proofErr w:type="gramEnd"/>
      <w:r w:rsidRPr="003853FC">
        <w:rPr>
          <w:rFonts w:ascii="Times New Roman" w:eastAsia="Times New Roman" w:hAnsi="Times New Roman"/>
          <w:color w:val="000000"/>
          <w:spacing w:val="4"/>
          <w:sz w:val="26"/>
          <w:szCs w:val="26"/>
        </w:rPr>
        <w:t xml:space="preserve"> that an abbreviated contract summary will encourage customers to learn more about the important provisions of their NGS contract.</w:t>
      </w:r>
      <w:r w:rsidR="008E5D14">
        <w:rPr>
          <w:rFonts w:ascii="Times New Roman" w:eastAsia="Times New Roman" w:hAnsi="Times New Roman"/>
          <w:color w:val="000000"/>
          <w:spacing w:val="4"/>
          <w:sz w:val="26"/>
          <w:szCs w:val="26"/>
        </w:rPr>
        <w:t xml:space="preserve">  </w:t>
      </w:r>
      <w:proofErr w:type="gramStart"/>
      <w:r w:rsidR="00B202BE">
        <w:rPr>
          <w:rFonts w:ascii="Times New Roman" w:eastAsia="Times New Roman" w:hAnsi="Times New Roman"/>
          <w:color w:val="000000"/>
          <w:spacing w:val="4"/>
          <w:sz w:val="26"/>
          <w:szCs w:val="26"/>
        </w:rPr>
        <w:t xml:space="preserve">Peoples </w:t>
      </w:r>
      <w:r w:rsidR="008E5D14">
        <w:rPr>
          <w:rFonts w:ascii="Times New Roman" w:eastAsia="Times New Roman" w:hAnsi="Times New Roman"/>
          <w:color w:val="000000"/>
          <w:spacing w:val="4"/>
          <w:sz w:val="26"/>
          <w:szCs w:val="26"/>
        </w:rPr>
        <w:t>Comments at 4.</w:t>
      </w:r>
      <w:proofErr w:type="gramEnd"/>
      <w:r w:rsidR="008E5D14">
        <w:rPr>
          <w:rFonts w:ascii="Times New Roman" w:eastAsia="Times New Roman" w:hAnsi="Times New Roman"/>
          <w:color w:val="000000"/>
          <w:spacing w:val="4"/>
          <w:sz w:val="26"/>
          <w:szCs w:val="26"/>
        </w:rPr>
        <w:t xml:space="preserve">  </w:t>
      </w:r>
      <w:r w:rsidRPr="003853FC">
        <w:rPr>
          <w:rFonts w:ascii="Times New Roman" w:eastAsia="Times New Roman" w:hAnsi="Times New Roman"/>
          <w:color w:val="000000"/>
          <w:spacing w:val="4"/>
          <w:sz w:val="26"/>
          <w:szCs w:val="26"/>
        </w:rPr>
        <w:t>The contract summary should identify the billing method (</w:t>
      </w:r>
      <w:r w:rsidRPr="00B202BE">
        <w:rPr>
          <w:rFonts w:ascii="Times New Roman" w:eastAsia="Times New Roman" w:hAnsi="Times New Roman"/>
          <w:i/>
          <w:color w:val="000000"/>
          <w:spacing w:val="4"/>
          <w:sz w:val="26"/>
          <w:szCs w:val="26"/>
        </w:rPr>
        <w:t>i.e</w:t>
      </w:r>
      <w:r w:rsidRPr="003853FC">
        <w:rPr>
          <w:rFonts w:ascii="Times New Roman" w:eastAsia="Times New Roman" w:hAnsi="Times New Roman"/>
          <w:color w:val="000000"/>
          <w:spacing w:val="4"/>
          <w:sz w:val="26"/>
          <w:szCs w:val="26"/>
        </w:rPr>
        <w:t>., dual</w:t>
      </w:r>
      <w:r w:rsidRPr="003853FC">
        <w:rPr>
          <w:rFonts w:ascii="Times New Roman" w:eastAsia="Times New Roman" w:hAnsi="Times New Roman"/>
          <w:b/>
          <w:color w:val="000000"/>
          <w:spacing w:val="4"/>
          <w:sz w:val="26"/>
          <w:szCs w:val="26"/>
        </w:rPr>
        <w:t xml:space="preserve"> </w:t>
      </w:r>
      <w:r w:rsidRPr="003853FC">
        <w:rPr>
          <w:rFonts w:ascii="Times New Roman" w:eastAsia="Times New Roman" w:hAnsi="Times New Roman"/>
          <w:color w:val="000000"/>
          <w:spacing w:val="4"/>
          <w:sz w:val="26"/>
          <w:szCs w:val="26"/>
        </w:rPr>
        <w:t xml:space="preserve">billing, NGDC combined billing, or NGS combined billing) and all pricing should be </w:t>
      </w:r>
      <w:r w:rsidRPr="003853FC">
        <w:rPr>
          <w:rFonts w:ascii="Times New Roman" w:eastAsia="Times New Roman" w:hAnsi="Times New Roman"/>
          <w:color w:val="000000"/>
          <w:spacing w:val="4"/>
          <w:sz w:val="26"/>
          <w:szCs w:val="26"/>
        </w:rPr>
        <w:lastRenderedPageBreak/>
        <w:t>in the unit of measurement that will be used in billing, with pricing questions di</w:t>
      </w:r>
      <w:r w:rsidR="008E5D14">
        <w:rPr>
          <w:rFonts w:ascii="Times New Roman" w:eastAsia="Times New Roman" w:hAnsi="Times New Roman"/>
          <w:color w:val="000000"/>
          <w:spacing w:val="4"/>
          <w:sz w:val="26"/>
          <w:szCs w:val="26"/>
        </w:rPr>
        <w:t xml:space="preserve">rected to the NGS.  </w:t>
      </w:r>
      <w:r w:rsidR="008E5D14">
        <w:rPr>
          <w:rFonts w:ascii="Times New Roman" w:eastAsia="Times New Roman" w:hAnsi="Times New Roman"/>
          <w:i/>
          <w:color w:val="000000"/>
          <w:spacing w:val="4"/>
          <w:sz w:val="26"/>
          <w:szCs w:val="26"/>
        </w:rPr>
        <w:t>Id</w:t>
      </w:r>
      <w:r w:rsidRPr="003853FC">
        <w:rPr>
          <w:rFonts w:ascii="Times New Roman" w:eastAsia="Times New Roman" w:hAnsi="Times New Roman"/>
          <w:color w:val="000000"/>
          <w:spacing w:val="4"/>
          <w:sz w:val="26"/>
          <w:szCs w:val="26"/>
        </w:rPr>
        <w:t xml:space="preserve">. </w:t>
      </w:r>
    </w:p>
    <w:p w:rsidR="006C55C1" w:rsidRDefault="006C55C1" w:rsidP="001A1513">
      <w:pPr>
        <w:spacing w:line="360" w:lineRule="auto"/>
        <w:rPr>
          <w:rFonts w:ascii="Times New Roman" w:eastAsia="Times New Roman" w:hAnsi="Times New Roman"/>
          <w:color w:val="000000"/>
          <w:spacing w:val="4"/>
          <w:sz w:val="26"/>
          <w:szCs w:val="26"/>
        </w:rPr>
      </w:pPr>
    </w:p>
    <w:p w:rsidR="001A1513" w:rsidRPr="003853FC" w:rsidRDefault="00B202BE" w:rsidP="006C55C1">
      <w:pPr>
        <w:spacing w:line="360" w:lineRule="auto"/>
        <w:ind w:firstLine="720"/>
        <w:rPr>
          <w:rFonts w:ascii="Times New Roman" w:eastAsia="Times New Roman" w:hAnsi="Times New Roman"/>
          <w:color w:val="000000"/>
          <w:spacing w:val="4"/>
          <w:sz w:val="26"/>
          <w:szCs w:val="26"/>
        </w:rPr>
      </w:pPr>
      <w:r>
        <w:rPr>
          <w:rFonts w:ascii="Times New Roman" w:eastAsia="Times New Roman" w:hAnsi="Times New Roman"/>
          <w:color w:val="000000"/>
          <w:spacing w:val="4"/>
          <w:sz w:val="26"/>
          <w:szCs w:val="26"/>
        </w:rPr>
        <w:t xml:space="preserve">The </w:t>
      </w:r>
      <w:r w:rsidR="001A1513" w:rsidRPr="003853FC">
        <w:rPr>
          <w:rFonts w:ascii="Times New Roman" w:eastAsia="Times New Roman" w:hAnsi="Times New Roman"/>
          <w:color w:val="000000"/>
          <w:spacing w:val="4"/>
          <w:sz w:val="26"/>
          <w:szCs w:val="26"/>
        </w:rPr>
        <w:t xml:space="preserve">OCA suggests that the Commission adopt a contract summary similar to the electric </w:t>
      </w:r>
      <w:r w:rsidR="008E5D14">
        <w:rPr>
          <w:rFonts w:ascii="Times New Roman" w:eastAsia="Times New Roman" w:hAnsi="Times New Roman"/>
          <w:color w:val="000000"/>
          <w:spacing w:val="4"/>
          <w:sz w:val="26"/>
          <w:szCs w:val="26"/>
        </w:rPr>
        <w:t xml:space="preserve">industry </w:t>
      </w:r>
      <w:r w:rsidR="001A1513" w:rsidRPr="003853FC">
        <w:rPr>
          <w:rFonts w:ascii="Times New Roman" w:eastAsia="Times New Roman" w:hAnsi="Times New Roman"/>
          <w:color w:val="000000"/>
          <w:spacing w:val="4"/>
          <w:sz w:val="26"/>
          <w:szCs w:val="26"/>
        </w:rPr>
        <w:t>version</w:t>
      </w:r>
      <w:r w:rsidR="008E5D14">
        <w:rPr>
          <w:rFonts w:ascii="Times New Roman" w:eastAsia="Times New Roman" w:hAnsi="Times New Roman"/>
          <w:color w:val="000000"/>
          <w:spacing w:val="4"/>
          <w:sz w:val="26"/>
          <w:szCs w:val="26"/>
        </w:rPr>
        <w:t xml:space="preserve">, </w:t>
      </w:r>
      <w:r w:rsidR="00010A57">
        <w:rPr>
          <w:rFonts w:ascii="Times New Roman" w:eastAsia="Times New Roman" w:hAnsi="Times New Roman"/>
          <w:color w:val="000000"/>
          <w:spacing w:val="4"/>
          <w:sz w:val="26"/>
          <w:szCs w:val="26"/>
        </w:rPr>
        <w:t>incorporating any</w:t>
      </w:r>
      <w:r w:rsidR="001A1513" w:rsidRPr="003853FC">
        <w:rPr>
          <w:rFonts w:ascii="Times New Roman" w:eastAsia="Times New Roman" w:hAnsi="Times New Roman"/>
          <w:color w:val="000000"/>
          <w:spacing w:val="4"/>
          <w:sz w:val="26"/>
          <w:szCs w:val="26"/>
        </w:rPr>
        <w:t xml:space="preserve"> recommended changes </w:t>
      </w:r>
      <w:r w:rsidR="00010A57">
        <w:rPr>
          <w:rFonts w:ascii="Times New Roman" w:eastAsia="Times New Roman" w:hAnsi="Times New Roman"/>
          <w:color w:val="000000"/>
          <w:spacing w:val="4"/>
          <w:sz w:val="26"/>
          <w:szCs w:val="26"/>
        </w:rPr>
        <w:t>resulting from this rulemaking proceeding</w:t>
      </w:r>
      <w:r w:rsidR="001A1513" w:rsidRPr="003853FC">
        <w:rPr>
          <w:rFonts w:ascii="Times New Roman" w:eastAsia="Times New Roman" w:hAnsi="Times New Roman"/>
          <w:color w:val="000000"/>
          <w:spacing w:val="4"/>
          <w:sz w:val="26"/>
          <w:szCs w:val="26"/>
        </w:rPr>
        <w:t xml:space="preserve">.  </w:t>
      </w:r>
      <w:r>
        <w:rPr>
          <w:rFonts w:ascii="Times New Roman" w:eastAsia="Times New Roman" w:hAnsi="Times New Roman"/>
          <w:color w:val="000000"/>
          <w:spacing w:val="4"/>
          <w:sz w:val="26"/>
          <w:szCs w:val="26"/>
        </w:rPr>
        <w:t xml:space="preserve">OCA </w:t>
      </w:r>
      <w:r w:rsidR="00010A57">
        <w:rPr>
          <w:rFonts w:ascii="Times New Roman" w:eastAsia="Times New Roman" w:hAnsi="Times New Roman"/>
          <w:color w:val="000000"/>
          <w:spacing w:val="4"/>
          <w:sz w:val="26"/>
          <w:szCs w:val="26"/>
        </w:rPr>
        <w:t xml:space="preserve">Comments </w:t>
      </w:r>
      <w:r w:rsidR="001A1513" w:rsidRPr="003853FC">
        <w:rPr>
          <w:rFonts w:ascii="Times New Roman" w:eastAsia="Times New Roman" w:hAnsi="Times New Roman"/>
          <w:color w:val="000000"/>
          <w:spacing w:val="4"/>
          <w:sz w:val="26"/>
          <w:szCs w:val="26"/>
        </w:rPr>
        <w:t xml:space="preserve">at 7-9.  </w:t>
      </w:r>
      <w:r>
        <w:rPr>
          <w:rFonts w:ascii="Times New Roman" w:eastAsia="Times New Roman" w:hAnsi="Times New Roman"/>
          <w:color w:val="000000"/>
          <w:spacing w:val="4"/>
          <w:sz w:val="26"/>
          <w:szCs w:val="26"/>
        </w:rPr>
        <w:t xml:space="preserve">The </w:t>
      </w:r>
      <w:r w:rsidR="001A1513" w:rsidRPr="003853FC">
        <w:rPr>
          <w:rFonts w:ascii="Times New Roman" w:eastAsia="Times New Roman" w:hAnsi="Times New Roman"/>
          <w:color w:val="000000"/>
          <w:spacing w:val="4"/>
          <w:sz w:val="26"/>
          <w:szCs w:val="26"/>
        </w:rPr>
        <w:t xml:space="preserve">OCA thinks that the Commission should consider requiring NGSs to issue new contract summaries </w:t>
      </w:r>
      <w:r w:rsidR="00010A57">
        <w:rPr>
          <w:rFonts w:ascii="Times New Roman" w:eastAsia="Times New Roman" w:hAnsi="Times New Roman"/>
          <w:color w:val="000000"/>
          <w:spacing w:val="4"/>
          <w:sz w:val="26"/>
          <w:szCs w:val="26"/>
        </w:rPr>
        <w:t xml:space="preserve">to their current customers.  </w:t>
      </w:r>
      <w:proofErr w:type="gramStart"/>
      <w:r w:rsidR="00010A57">
        <w:rPr>
          <w:rFonts w:ascii="Times New Roman" w:eastAsia="Times New Roman" w:hAnsi="Times New Roman"/>
          <w:i/>
          <w:color w:val="000000"/>
          <w:spacing w:val="4"/>
          <w:sz w:val="26"/>
          <w:szCs w:val="26"/>
        </w:rPr>
        <w:t>Id.</w:t>
      </w:r>
      <w:r w:rsidR="001A1513" w:rsidRPr="003853FC">
        <w:rPr>
          <w:rFonts w:ascii="Times New Roman" w:eastAsia="Times New Roman" w:hAnsi="Times New Roman"/>
          <w:color w:val="000000"/>
          <w:spacing w:val="4"/>
          <w:sz w:val="26"/>
          <w:szCs w:val="26"/>
        </w:rPr>
        <w:t xml:space="preserve"> at 11.</w:t>
      </w:r>
      <w:proofErr w:type="gramEnd"/>
      <w:r w:rsidR="001A1513" w:rsidRPr="003853FC">
        <w:rPr>
          <w:rFonts w:ascii="Times New Roman" w:eastAsia="Times New Roman" w:hAnsi="Times New Roman"/>
          <w:color w:val="000000"/>
          <w:spacing w:val="4"/>
          <w:sz w:val="26"/>
          <w:szCs w:val="26"/>
        </w:rPr>
        <w:t xml:space="preserve">  Further, the OCA endorses the development of a uniform disclo</w:t>
      </w:r>
      <w:r>
        <w:rPr>
          <w:rFonts w:ascii="Times New Roman" w:eastAsia="Times New Roman" w:hAnsi="Times New Roman"/>
          <w:color w:val="000000"/>
          <w:spacing w:val="4"/>
          <w:sz w:val="26"/>
          <w:szCs w:val="26"/>
        </w:rPr>
        <w:t xml:space="preserve">sure statement for variable price plans.  </w:t>
      </w:r>
      <w:proofErr w:type="gramStart"/>
      <w:r>
        <w:rPr>
          <w:rFonts w:ascii="Times New Roman" w:eastAsia="Times New Roman" w:hAnsi="Times New Roman"/>
          <w:i/>
          <w:color w:val="000000"/>
          <w:spacing w:val="4"/>
          <w:sz w:val="26"/>
          <w:szCs w:val="26"/>
        </w:rPr>
        <w:t>Id.</w:t>
      </w:r>
      <w:r w:rsidR="001A1513" w:rsidRPr="003853FC">
        <w:rPr>
          <w:rFonts w:ascii="Times New Roman" w:eastAsia="Times New Roman" w:hAnsi="Times New Roman"/>
          <w:color w:val="000000"/>
          <w:spacing w:val="4"/>
          <w:sz w:val="26"/>
          <w:szCs w:val="26"/>
        </w:rPr>
        <w:t xml:space="preserve"> at 9.</w:t>
      </w:r>
      <w:proofErr w:type="gramEnd"/>
      <w:r w:rsidR="001A1513" w:rsidRPr="003853FC">
        <w:rPr>
          <w:rFonts w:ascii="Times New Roman" w:eastAsia="Times New Roman" w:hAnsi="Times New Roman"/>
          <w:color w:val="000000"/>
          <w:spacing w:val="4"/>
          <w:sz w:val="26"/>
          <w:szCs w:val="26"/>
        </w:rPr>
        <w:t xml:space="preserve">  </w:t>
      </w:r>
    </w:p>
    <w:p w:rsidR="001A1513" w:rsidRDefault="001A1513" w:rsidP="001A1513">
      <w:pPr>
        <w:spacing w:line="360" w:lineRule="auto"/>
        <w:rPr>
          <w:rFonts w:ascii="Times New Roman" w:eastAsia="Times New Roman" w:hAnsi="Times New Roman"/>
          <w:b/>
          <w:color w:val="000000"/>
          <w:spacing w:val="4"/>
          <w:sz w:val="26"/>
          <w:szCs w:val="26"/>
        </w:rPr>
      </w:pPr>
    </w:p>
    <w:p w:rsidR="001A1513" w:rsidRPr="004307F3" w:rsidRDefault="001A1513" w:rsidP="001A1513">
      <w:pPr>
        <w:spacing w:line="360" w:lineRule="auto"/>
        <w:rPr>
          <w:rFonts w:ascii="Times New Roman" w:eastAsia="Times New Roman" w:hAnsi="Times New Roman"/>
          <w:color w:val="000000"/>
          <w:spacing w:val="4"/>
          <w:sz w:val="26"/>
          <w:szCs w:val="26"/>
          <w:u w:val="single"/>
        </w:rPr>
      </w:pPr>
      <w:r w:rsidRPr="004307F3">
        <w:rPr>
          <w:rFonts w:ascii="Times New Roman" w:eastAsia="Times New Roman" w:hAnsi="Times New Roman"/>
          <w:color w:val="000000"/>
          <w:spacing w:val="4"/>
          <w:sz w:val="26"/>
          <w:szCs w:val="26"/>
          <w:u w:val="single"/>
        </w:rPr>
        <w:t>Disposition</w:t>
      </w:r>
    </w:p>
    <w:p w:rsidR="001A1513" w:rsidRDefault="001A1513" w:rsidP="001A1513">
      <w:pPr>
        <w:spacing w:line="360" w:lineRule="auto"/>
        <w:rPr>
          <w:rFonts w:ascii="Times New Roman" w:eastAsia="Times New Roman" w:hAnsi="Times New Roman"/>
          <w:color w:val="000000"/>
          <w:spacing w:val="4"/>
          <w:sz w:val="26"/>
          <w:szCs w:val="26"/>
        </w:rPr>
      </w:pPr>
      <w:r w:rsidRPr="003853FC">
        <w:rPr>
          <w:rFonts w:ascii="Times New Roman" w:eastAsia="Times New Roman" w:hAnsi="Times New Roman"/>
          <w:color w:val="000000"/>
          <w:spacing w:val="4"/>
          <w:sz w:val="26"/>
          <w:szCs w:val="26"/>
        </w:rPr>
        <w:tab/>
        <w:t xml:space="preserve">We agree with </w:t>
      </w:r>
      <w:r w:rsidR="00010A57">
        <w:rPr>
          <w:rFonts w:ascii="Times New Roman" w:eastAsia="Times New Roman" w:hAnsi="Times New Roman"/>
          <w:color w:val="000000"/>
          <w:spacing w:val="4"/>
          <w:sz w:val="26"/>
          <w:szCs w:val="26"/>
        </w:rPr>
        <w:t xml:space="preserve">the </w:t>
      </w:r>
      <w:r w:rsidRPr="003853FC">
        <w:rPr>
          <w:rFonts w:ascii="Times New Roman" w:eastAsia="Times New Roman" w:hAnsi="Times New Roman"/>
          <w:color w:val="000000"/>
          <w:spacing w:val="4"/>
          <w:sz w:val="26"/>
          <w:szCs w:val="26"/>
        </w:rPr>
        <w:t>OCA and Peoples about the importance of contract summaries.  Th</w:t>
      </w:r>
      <w:r w:rsidR="00010A57">
        <w:rPr>
          <w:rFonts w:ascii="Times New Roman" w:eastAsia="Times New Roman" w:hAnsi="Times New Roman"/>
          <w:color w:val="000000"/>
          <w:spacing w:val="4"/>
          <w:sz w:val="26"/>
          <w:szCs w:val="26"/>
        </w:rPr>
        <w:t xml:space="preserve">e </w:t>
      </w:r>
      <w:r w:rsidR="00B202BE">
        <w:rPr>
          <w:rFonts w:ascii="Times New Roman" w:eastAsia="Times New Roman" w:hAnsi="Times New Roman"/>
          <w:color w:val="000000"/>
          <w:spacing w:val="4"/>
          <w:sz w:val="26"/>
          <w:szCs w:val="26"/>
        </w:rPr>
        <w:t>Commission</w:t>
      </w:r>
      <w:r w:rsidRPr="003853FC">
        <w:rPr>
          <w:rFonts w:ascii="Times New Roman" w:eastAsia="Times New Roman" w:hAnsi="Times New Roman"/>
          <w:color w:val="000000"/>
          <w:spacing w:val="4"/>
          <w:sz w:val="26"/>
          <w:szCs w:val="26"/>
        </w:rPr>
        <w:t xml:space="preserve"> recognize</w:t>
      </w:r>
      <w:r w:rsidR="00010A57">
        <w:rPr>
          <w:rFonts w:ascii="Times New Roman" w:eastAsia="Times New Roman" w:hAnsi="Times New Roman"/>
          <w:color w:val="000000"/>
          <w:spacing w:val="4"/>
          <w:sz w:val="26"/>
          <w:szCs w:val="26"/>
        </w:rPr>
        <w:t>s</w:t>
      </w:r>
      <w:r w:rsidRPr="003853FC">
        <w:rPr>
          <w:rFonts w:ascii="Times New Roman" w:eastAsia="Times New Roman" w:hAnsi="Times New Roman"/>
          <w:color w:val="000000"/>
          <w:spacing w:val="4"/>
          <w:sz w:val="26"/>
          <w:szCs w:val="26"/>
        </w:rPr>
        <w:t xml:space="preserve"> the reality that not all </w:t>
      </w:r>
      <w:r w:rsidR="008E2217">
        <w:rPr>
          <w:rFonts w:ascii="Times New Roman" w:eastAsia="Times New Roman" w:hAnsi="Times New Roman"/>
          <w:color w:val="000000"/>
          <w:spacing w:val="4"/>
          <w:sz w:val="26"/>
          <w:szCs w:val="26"/>
        </w:rPr>
        <w:t>customer</w:t>
      </w:r>
      <w:r w:rsidRPr="003853FC">
        <w:rPr>
          <w:rFonts w:ascii="Times New Roman" w:eastAsia="Times New Roman" w:hAnsi="Times New Roman"/>
          <w:color w:val="000000"/>
          <w:spacing w:val="4"/>
          <w:sz w:val="26"/>
          <w:szCs w:val="26"/>
        </w:rPr>
        <w:t>s will read a multi-page disclosure</w:t>
      </w:r>
      <w:r w:rsidR="00010A57">
        <w:rPr>
          <w:rFonts w:ascii="Times New Roman" w:eastAsia="Times New Roman" w:hAnsi="Times New Roman"/>
          <w:color w:val="000000"/>
          <w:spacing w:val="4"/>
          <w:sz w:val="26"/>
          <w:szCs w:val="26"/>
        </w:rPr>
        <w:t>,</w:t>
      </w:r>
      <w:r w:rsidRPr="003853FC">
        <w:rPr>
          <w:rFonts w:ascii="Times New Roman" w:eastAsia="Times New Roman" w:hAnsi="Times New Roman"/>
          <w:color w:val="000000"/>
          <w:spacing w:val="4"/>
          <w:sz w:val="26"/>
          <w:szCs w:val="26"/>
        </w:rPr>
        <w:t xml:space="preserve"> but may read a brief, single-page document in a graphic/box format.  We agree with the NGS Parties that a </w:t>
      </w:r>
      <w:r w:rsidR="00010A57">
        <w:rPr>
          <w:rFonts w:ascii="Times New Roman" w:eastAsia="Times New Roman" w:hAnsi="Times New Roman"/>
          <w:color w:val="000000"/>
          <w:spacing w:val="4"/>
          <w:sz w:val="26"/>
          <w:szCs w:val="26"/>
        </w:rPr>
        <w:t xml:space="preserve">useful </w:t>
      </w:r>
      <w:r w:rsidRPr="003853FC">
        <w:rPr>
          <w:rFonts w:ascii="Times New Roman" w:eastAsia="Times New Roman" w:hAnsi="Times New Roman"/>
          <w:color w:val="000000"/>
          <w:spacing w:val="4"/>
          <w:sz w:val="26"/>
          <w:szCs w:val="26"/>
        </w:rPr>
        <w:t xml:space="preserve">contract summary must </w:t>
      </w:r>
      <w:r w:rsidR="00010A57">
        <w:rPr>
          <w:rFonts w:ascii="Times New Roman" w:eastAsia="Times New Roman" w:hAnsi="Times New Roman"/>
          <w:color w:val="000000"/>
          <w:spacing w:val="4"/>
          <w:sz w:val="26"/>
          <w:szCs w:val="26"/>
        </w:rPr>
        <w:t>only summarize the key</w:t>
      </w:r>
      <w:r w:rsidRPr="003853FC">
        <w:rPr>
          <w:rFonts w:ascii="Times New Roman" w:eastAsia="Times New Roman" w:hAnsi="Times New Roman"/>
          <w:color w:val="000000"/>
          <w:spacing w:val="4"/>
          <w:sz w:val="26"/>
          <w:szCs w:val="26"/>
        </w:rPr>
        <w:t xml:space="preserve"> contract terms </w:t>
      </w:r>
      <w:r w:rsidR="00010A57">
        <w:rPr>
          <w:rFonts w:ascii="Times New Roman" w:eastAsia="Times New Roman" w:hAnsi="Times New Roman"/>
          <w:color w:val="000000"/>
          <w:spacing w:val="4"/>
          <w:sz w:val="26"/>
          <w:szCs w:val="26"/>
        </w:rPr>
        <w:t xml:space="preserve">necessary </w:t>
      </w:r>
      <w:r w:rsidRPr="003853FC">
        <w:rPr>
          <w:rFonts w:ascii="Times New Roman" w:eastAsia="Times New Roman" w:hAnsi="Times New Roman"/>
          <w:color w:val="000000"/>
          <w:spacing w:val="4"/>
          <w:sz w:val="26"/>
          <w:szCs w:val="26"/>
        </w:rPr>
        <w:t>t</w:t>
      </w:r>
      <w:r w:rsidR="00010A57">
        <w:rPr>
          <w:rFonts w:ascii="Times New Roman" w:eastAsia="Times New Roman" w:hAnsi="Times New Roman"/>
          <w:color w:val="000000"/>
          <w:spacing w:val="4"/>
          <w:sz w:val="26"/>
          <w:szCs w:val="26"/>
        </w:rPr>
        <w:t>o assist</w:t>
      </w:r>
      <w:r w:rsidRPr="003853FC">
        <w:rPr>
          <w:rFonts w:ascii="Times New Roman" w:eastAsia="Times New Roman" w:hAnsi="Times New Roman"/>
          <w:color w:val="000000"/>
          <w:spacing w:val="4"/>
          <w:sz w:val="26"/>
          <w:szCs w:val="26"/>
        </w:rPr>
        <w:t xml:space="preserve"> </w:t>
      </w:r>
      <w:r w:rsidR="00010A57">
        <w:rPr>
          <w:rFonts w:ascii="Times New Roman" w:eastAsia="Times New Roman" w:hAnsi="Times New Roman"/>
          <w:color w:val="000000"/>
          <w:spacing w:val="4"/>
          <w:sz w:val="26"/>
          <w:szCs w:val="26"/>
        </w:rPr>
        <w:t>a</w:t>
      </w:r>
      <w:r w:rsidRPr="003853FC">
        <w:rPr>
          <w:rFonts w:ascii="Times New Roman" w:eastAsia="Times New Roman" w:hAnsi="Times New Roman"/>
          <w:color w:val="000000"/>
          <w:spacing w:val="4"/>
          <w:sz w:val="26"/>
          <w:szCs w:val="26"/>
        </w:rPr>
        <w:t xml:space="preserve"> customer </w:t>
      </w:r>
      <w:r w:rsidR="00010A57">
        <w:rPr>
          <w:rFonts w:ascii="Times New Roman" w:eastAsia="Times New Roman" w:hAnsi="Times New Roman"/>
          <w:color w:val="000000"/>
          <w:spacing w:val="4"/>
          <w:sz w:val="26"/>
          <w:szCs w:val="26"/>
        </w:rPr>
        <w:t>when</w:t>
      </w:r>
      <w:r w:rsidRPr="003853FC">
        <w:rPr>
          <w:rFonts w:ascii="Times New Roman" w:eastAsia="Times New Roman" w:hAnsi="Times New Roman"/>
          <w:color w:val="000000"/>
          <w:spacing w:val="4"/>
          <w:sz w:val="26"/>
          <w:szCs w:val="26"/>
        </w:rPr>
        <w:t xml:space="preserve"> comparison-shop</w:t>
      </w:r>
      <w:r w:rsidR="00010A57">
        <w:rPr>
          <w:rFonts w:ascii="Times New Roman" w:eastAsia="Times New Roman" w:hAnsi="Times New Roman"/>
          <w:color w:val="000000"/>
          <w:spacing w:val="4"/>
          <w:sz w:val="26"/>
          <w:szCs w:val="26"/>
        </w:rPr>
        <w:t>ping</w:t>
      </w:r>
      <w:r w:rsidR="00581163">
        <w:rPr>
          <w:rFonts w:ascii="Times New Roman" w:eastAsia="Times New Roman" w:hAnsi="Times New Roman"/>
          <w:color w:val="000000"/>
          <w:spacing w:val="4"/>
          <w:sz w:val="26"/>
          <w:szCs w:val="26"/>
        </w:rPr>
        <w:t>.  A recit</w:t>
      </w:r>
      <w:r w:rsidR="00871ED5">
        <w:rPr>
          <w:rFonts w:ascii="Times New Roman" w:eastAsia="Times New Roman" w:hAnsi="Times New Roman"/>
          <w:color w:val="000000"/>
          <w:spacing w:val="4"/>
          <w:sz w:val="26"/>
          <w:szCs w:val="26"/>
        </w:rPr>
        <w:t>ation</w:t>
      </w:r>
      <w:r w:rsidRPr="003853FC">
        <w:rPr>
          <w:rFonts w:ascii="Times New Roman" w:eastAsia="Times New Roman" w:hAnsi="Times New Roman"/>
          <w:color w:val="000000"/>
          <w:spacing w:val="4"/>
          <w:sz w:val="26"/>
          <w:szCs w:val="26"/>
        </w:rPr>
        <w:t xml:space="preserve"> of the entire contract </w:t>
      </w:r>
      <w:r w:rsidR="00010A57">
        <w:rPr>
          <w:rFonts w:ascii="Times New Roman" w:eastAsia="Times New Roman" w:hAnsi="Times New Roman"/>
          <w:color w:val="000000"/>
          <w:spacing w:val="4"/>
          <w:sz w:val="26"/>
          <w:szCs w:val="26"/>
        </w:rPr>
        <w:t>is superfluous and</w:t>
      </w:r>
      <w:r w:rsidRPr="003853FC">
        <w:rPr>
          <w:rFonts w:ascii="Times New Roman" w:eastAsia="Times New Roman" w:hAnsi="Times New Roman"/>
          <w:color w:val="000000"/>
          <w:spacing w:val="4"/>
          <w:sz w:val="26"/>
          <w:szCs w:val="26"/>
        </w:rPr>
        <w:t xml:space="preserve"> defeats the purpose of the summary.  </w:t>
      </w:r>
      <w:r w:rsidR="00010A57">
        <w:rPr>
          <w:rFonts w:ascii="Times New Roman" w:eastAsia="Times New Roman" w:hAnsi="Times New Roman"/>
          <w:color w:val="000000"/>
          <w:spacing w:val="4"/>
          <w:sz w:val="26"/>
          <w:szCs w:val="26"/>
        </w:rPr>
        <w:t>T</w:t>
      </w:r>
      <w:r w:rsidRPr="003853FC">
        <w:rPr>
          <w:rFonts w:ascii="Times New Roman" w:eastAsia="Times New Roman" w:hAnsi="Times New Roman"/>
          <w:color w:val="000000"/>
          <w:spacing w:val="4"/>
          <w:sz w:val="26"/>
          <w:szCs w:val="26"/>
        </w:rPr>
        <w:t xml:space="preserve">he summary </w:t>
      </w:r>
      <w:r w:rsidR="00010A57">
        <w:rPr>
          <w:rFonts w:ascii="Times New Roman" w:eastAsia="Times New Roman" w:hAnsi="Times New Roman"/>
          <w:color w:val="000000"/>
          <w:spacing w:val="4"/>
          <w:sz w:val="26"/>
          <w:szCs w:val="26"/>
        </w:rPr>
        <w:t xml:space="preserve">should </w:t>
      </w:r>
      <w:r w:rsidRPr="003853FC">
        <w:rPr>
          <w:rFonts w:ascii="Times New Roman" w:eastAsia="Times New Roman" w:hAnsi="Times New Roman"/>
          <w:color w:val="000000"/>
          <w:spacing w:val="4"/>
          <w:sz w:val="26"/>
          <w:szCs w:val="26"/>
        </w:rPr>
        <w:t xml:space="preserve">fit </w:t>
      </w:r>
      <w:r w:rsidR="00010A57">
        <w:rPr>
          <w:rFonts w:ascii="Times New Roman" w:eastAsia="Times New Roman" w:hAnsi="Times New Roman"/>
          <w:color w:val="000000"/>
          <w:spacing w:val="4"/>
          <w:sz w:val="26"/>
          <w:szCs w:val="26"/>
        </w:rPr>
        <w:t xml:space="preserve">on </w:t>
      </w:r>
      <w:r w:rsidRPr="003853FC">
        <w:rPr>
          <w:rFonts w:ascii="Times New Roman" w:eastAsia="Times New Roman" w:hAnsi="Times New Roman"/>
          <w:color w:val="000000"/>
          <w:spacing w:val="4"/>
          <w:sz w:val="26"/>
          <w:szCs w:val="26"/>
        </w:rPr>
        <w:t>one page</w:t>
      </w:r>
      <w:r w:rsidR="00010A57">
        <w:rPr>
          <w:rFonts w:ascii="Times New Roman" w:eastAsia="Times New Roman" w:hAnsi="Times New Roman"/>
          <w:color w:val="000000"/>
          <w:spacing w:val="4"/>
          <w:sz w:val="26"/>
          <w:szCs w:val="26"/>
        </w:rPr>
        <w:t>.  The font should be readable and reasonably-sized, as a</w:t>
      </w:r>
      <w:r w:rsidRPr="003853FC">
        <w:rPr>
          <w:rFonts w:ascii="Times New Roman" w:eastAsia="Times New Roman" w:hAnsi="Times New Roman"/>
          <w:color w:val="000000"/>
          <w:spacing w:val="4"/>
          <w:sz w:val="26"/>
          <w:szCs w:val="26"/>
        </w:rPr>
        <w:t xml:space="preserve"> summary in “fine-print” again defeats the purpose of the summary.  We also think that the summary should be distinct and separate</w:t>
      </w:r>
      <w:r w:rsidR="00010A57">
        <w:rPr>
          <w:rFonts w:ascii="Times New Roman" w:eastAsia="Times New Roman" w:hAnsi="Times New Roman"/>
          <w:color w:val="000000"/>
          <w:spacing w:val="4"/>
          <w:sz w:val="26"/>
          <w:szCs w:val="26"/>
        </w:rPr>
        <w:t>,</w:t>
      </w:r>
      <w:r w:rsidRPr="003853FC">
        <w:rPr>
          <w:rFonts w:ascii="Times New Roman" w:eastAsia="Times New Roman" w:hAnsi="Times New Roman"/>
          <w:color w:val="000000"/>
          <w:spacing w:val="4"/>
          <w:sz w:val="26"/>
          <w:szCs w:val="26"/>
        </w:rPr>
        <w:t xml:space="preserve"> not buried or hidden amidst other marketing or disclosure materials.</w:t>
      </w:r>
      <w:r w:rsidR="0097189D">
        <w:rPr>
          <w:rFonts w:ascii="Times New Roman" w:eastAsia="Times New Roman" w:hAnsi="Times New Roman"/>
          <w:color w:val="000000"/>
          <w:spacing w:val="4"/>
          <w:sz w:val="26"/>
          <w:szCs w:val="26"/>
        </w:rPr>
        <w:t xml:space="preserve">  </w:t>
      </w:r>
      <w:r w:rsidR="0097189D">
        <w:rPr>
          <w:rFonts w:ascii="Times New Roman" w:eastAsia="Times New Roman" w:hAnsi="Times New Roman"/>
          <w:i/>
          <w:color w:val="000000"/>
          <w:spacing w:val="4"/>
          <w:sz w:val="26"/>
          <w:szCs w:val="26"/>
        </w:rPr>
        <w:t xml:space="preserve">See </w:t>
      </w:r>
      <w:r w:rsidR="0097189D">
        <w:rPr>
          <w:rFonts w:ascii="Times New Roman" w:eastAsia="Times New Roman" w:hAnsi="Times New Roman"/>
          <w:color w:val="000000"/>
          <w:spacing w:val="4"/>
          <w:sz w:val="26"/>
          <w:szCs w:val="26"/>
        </w:rPr>
        <w:t xml:space="preserve">Attachment A.  </w:t>
      </w:r>
      <w:r w:rsidRPr="003853FC">
        <w:rPr>
          <w:rFonts w:ascii="Times New Roman" w:eastAsia="Times New Roman" w:hAnsi="Times New Roman"/>
          <w:color w:val="000000"/>
          <w:spacing w:val="4"/>
          <w:sz w:val="26"/>
          <w:szCs w:val="26"/>
        </w:rPr>
        <w:t xml:space="preserve">  </w:t>
      </w:r>
    </w:p>
    <w:p w:rsidR="004307F3" w:rsidRPr="003853FC" w:rsidRDefault="004307F3" w:rsidP="001A1513">
      <w:pPr>
        <w:spacing w:line="360" w:lineRule="auto"/>
        <w:rPr>
          <w:rFonts w:ascii="Times New Roman" w:eastAsia="Times New Roman" w:hAnsi="Times New Roman"/>
          <w:color w:val="000000"/>
          <w:spacing w:val="4"/>
          <w:sz w:val="26"/>
          <w:szCs w:val="26"/>
        </w:rPr>
      </w:pPr>
    </w:p>
    <w:p w:rsidR="001A1513" w:rsidRPr="003853FC" w:rsidRDefault="001A1513" w:rsidP="001A1513">
      <w:pPr>
        <w:spacing w:line="360" w:lineRule="auto"/>
        <w:rPr>
          <w:rFonts w:ascii="Times New Roman" w:eastAsia="Times New Roman" w:hAnsi="Times New Roman"/>
          <w:color w:val="000000"/>
          <w:spacing w:val="4"/>
          <w:sz w:val="26"/>
          <w:szCs w:val="26"/>
        </w:rPr>
      </w:pPr>
      <w:r w:rsidRPr="003853FC">
        <w:rPr>
          <w:rFonts w:ascii="Times New Roman" w:eastAsia="Times New Roman" w:hAnsi="Times New Roman"/>
          <w:color w:val="000000"/>
          <w:spacing w:val="4"/>
          <w:sz w:val="26"/>
          <w:szCs w:val="26"/>
        </w:rPr>
        <w:tab/>
      </w:r>
      <w:r w:rsidR="00871ED5">
        <w:rPr>
          <w:rFonts w:ascii="Times New Roman" w:eastAsia="Times New Roman" w:hAnsi="Times New Roman"/>
          <w:color w:val="000000"/>
          <w:spacing w:val="4"/>
          <w:sz w:val="26"/>
          <w:szCs w:val="26"/>
        </w:rPr>
        <w:t>While we propose the above requirements</w:t>
      </w:r>
      <w:r w:rsidRPr="003853FC">
        <w:rPr>
          <w:rFonts w:ascii="Times New Roman" w:eastAsia="Times New Roman" w:hAnsi="Times New Roman"/>
          <w:color w:val="000000"/>
          <w:spacing w:val="4"/>
          <w:sz w:val="26"/>
          <w:szCs w:val="26"/>
        </w:rPr>
        <w:t>, we recognize that we must carefully limit the inf</w:t>
      </w:r>
      <w:r w:rsidR="00F86139">
        <w:rPr>
          <w:rFonts w:ascii="Times New Roman" w:eastAsia="Times New Roman" w:hAnsi="Times New Roman"/>
          <w:color w:val="000000"/>
          <w:spacing w:val="4"/>
          <w:sz w:val="26"/>
          <w:szCs w:val="26"/>
        </w:rPr>
        <w:t>ormation required i</w:t>
      </w:r>
      <w:r w:rsidRPr="003853FC">
        <w:rPr>
          <w:rFonts w:ascii="Times New Roman" w:eastAsia="Times New Roman" w:hAnsi="Times New Roman"/>
          <w:color w:val="000000"/>
          <w:spacing w:val="4"/>
          <w:sz w:val="26"/>
          <w:szCs w:val="26"/>
        </w:rPr>
        <w:t xml:space="preserve">n the summary.  </w:t>
      </w:r>
      <w:r w:rsidR="00871ED5">
        <w:rPr>
          <w:rFonts w:ascii="Times New Roman" w:eastAsia="Times New Roman" w:hAnsi="Times New Roman"/>
          <w:color w:val="000000"/>
          <w:spacing w:val="4"/>
          <w:sz w:val="26"/>
          <w:szCs w:val="26"/>
        </w:rPr>
        <w:t>T</w:t>
      </w:r>
      <w:r w:rsidRPr="003853FC">
        <w:rPr>
          <w:rFonts w:ascii="Times New Roman" w:eastAsia="Times New Roman" w:hAnsi="Times New Roman"/>
          <w:color w:val="000000"/>
          <w:spacing w:val="4"/>
          <w:sz w:val="26"/>
          <w:szCs w:val="26"/>
        </w:rPr>
        <w:t xml:space="preserve">he electric </w:t>
      </w:r>
      <w:r w:rsidR="00F86139">
        <w:rPr>
          <w:rFonts w:ascii="Times New Roman" w:eastAsia="Times New Roman" w:hAnsi="Times New Roman"/>
          <w:color w:val="000000"/>
          <w:spacing w:val="4"/>
          <w:sz w:val="26"/>
          <w:szCs w:val="26"/>
        </w:rPr>
        <w:t xml:space="preserve">industry </w:t>
      </w:r>
      <w:r w:rsidRPr="003853FC">
        <w:rPr>
          <w:rFonts w:ascii="Times New Roman" w:eastAsia="Times New Roman" w:hAnsi="Times New Roman"/>
          <w:color w:val="000000"/>
          <w:spacing w:val="4"/>
          <w:sz w:val="26"/>
          <w:szCs w:val="26"/>
        </w:rPr>
        <w:t>summary is a helpful</w:t>
      </w:r>
      <w:r w:rsidR="00581163">
        <w:rPr>
          <w:rFonts w:ascii="Times New Roman" w:eastAsia="Times New Roman" w:hAnsi="Times New Roman"/>
          <w:color w:val="000000"/>
          <w:spacing w:val="4"/>
          <w:sz w:val="26"/>
          <w:szCs w:val="26"/>
        </w:rPr>
        <w:t xml:space="preserve"> reference</w:t>
      </w:r>
      <w:r w:rsidR="00B85130">
        <w:rPr>
          <w:rFonts w:ascii="Times New Roman" w:eastAsia="Times New Roman" w:hAnsi="Times New Roman"/>
          <w:color w:val="000000"/>
          <w:spacing w:val="4"/>
          <w:sz w:val="26"/>
          <w:szCs w:val="26"/>
        </w:rPr>
        <w:t>;</w:t>
      </w:r>
      <w:r w:rsidR="00871ED5">
        <w:rPr>
          <w:rFonts w:ascii="Times New Roman" w:eastAsia="Times New Roman" w:hAnsi="Times New Roman"/>
          <w:color w:val="000000"/>
          <w:spacing w:val="4"/>
          <w:sz w:val="26"/>
          <w:szCs w:val="26"/>
        </w:rPr>
        <w:t xml:space="preserve"> however, </w:t>
      </w:r>
      <w:r w:rsidRPr="003853FC">
        <w:rPr>
          <w:rFonts w:ascii="Times New Roman" w:eastAsia="Times New Roman" w:hAnsi="Times New Roman"/>
          <w:color w:val="000000"/>
          <w:spacing w:val="4"/>
          <w:sz w:val="26"/>
          <w:szCs w:val="26"/>
        </w:rPr>
        <w:t>we want</w:t>
      </w:r>
      <w:r w:rsidR="00F86139">
        <w:rPr>
          <w:rFonts w:ascii="Times New Roman" w:eastAsia="Times New Roman" w:hAnsi="Times New Roman"/>
          <w:color w:val="000000"/>
          <w:spacing w:val="4"/>
          <w:sz w:val="26"/>
          <w:szCs w:val="26"/>
        </w:rPr>
        <w:t xml:space="preserve"> to make </w:t>
      </w:r>
      <w:r w:rsidRPr="003853FC">
        <w:rPr>
          <w:rFonts w:ascii="Times New Roman" w:eastAsia="Times New Roman" w:hAnsi="Times New Roman"/>
          <w:color w:val="000000"/>
          <w:spacing w:val="4"/>
          <w:sz w:val="26"/>
          <w:szCs w:val="26"/>
        </w:rPr>
        <w:t xml:space="preserve">the gas summary </w:t>
      </w:r>
      <w:r w:rsidR="00F86139">
        <w:rPr>
          <w:rFonts w:ascii="Times New Roman" w:eastAsia="Times New Roman" w:hAnsi="Times New Roman"/>
          <w:color w:val="000000"/>
          <w:spacing w:val="4"/>
          <w:sz w:val="26"/>
          <w:szCs w:val="26"/>
        </w:rPr>
        <w:t>more condense</w:t>
      </w:r>
      <w:r w:rsidR="00581163">
        <w:rPr>
          <w:rFonts w:ascii="Times New Roman" w:eastAsia="Times New Roman" w:hAnsi="Times New Roman"/>
          <w:color w:val="000000"/>
          <w:spacing w:val="4"/>
          <w:sz w:val="26"/>
          <w:szCs w:val="26"/>
        </w:rPr>
        <w:t>d</w:t>
      </w:r>
      <w:r w:rsidR="00F86139">
        <w:rPr>
          <w:rFonts w:ascii="Times New Roman" w:eastAsia="Times New Roman" w:hAnsi="Times New Roman"/>
          <w:color w:val="000000"/>
          <w:spacing w:val="4"/>
          <w:sz w:val="26"/>
          <w:szCs w:val="26"/>
        </w:rPr>
        <w:t xml:space="preserve">, so as to only maintain the vital terms and information in a summary fashion to assist </w:t>
      </w:r>
      <w:r w:rsidRPr="003853FC">
        <w:rPr>
          <w:rFonts w:ascii="Times New Roman" w:eastAsia="Times New Roman" w:hAnsi="Times New Roman"/>
          <w:color w:val="000000"/>
          <w:spacing w:val="4"/>
          <w:sz w:val="26"/>
          <w:szCs w:val="26"/>
        </w:rPr>
        <w:t xml:space="preserve">a customer </w:t>
      </w:r>
      <w:r w:rsidR="00F86139">
        <w:rPr>
          <w:rFonts w:ascii="Times New Roman" w:eastAsia="Times New Roman" w:hAnsi="Times New Roman"/>
          <w:color w:val="000000"/>
          <w:spacing w:val="4"/>
          <w:sz w:val="26"/>
          <w:szCs w:val="26"/>
        </w:rPr>
        <w:t>when</w:t>
      </w:r>
      <w:r w:rsidRPr="003853FC">
        <w:rPr>
          <w:rFonts w:ascii="Times New Roman" w:eastAsia="Times New Roman" w:hAnsi="Times New Roman"/>
          <w:color w:val="000000"/>
          <w:spacing w:val="4"/>
          <w:sz w:val="26"/>
          <w:szCs w:val="26"/>
        </w:rPr>
        <w:t xml:space="preserve"> comparison-shop</w:t>
      </w:r>
      <w:r w:rsidR="00F86139">
        <w:rPr>
          <w:rFonts w:ascii="Times New Roman" w:eastAsia="Times New Roman" w:hAnsi="Times New Roman"/>
          <w:color w:val="000000"/>
          <w:spacing w:val="4"/>
          <w:sz w:val="26"/>
          <w:szCs w:val="26"/>
        </w:rPr>
        <w:t>ping</w:t>
      </w:r>
      <w:r w:rsidRPr="003853FC">
        <w:rPr>
          <w:rFonts w:ascii="Times New Roman" w:eastAsia="Times New Roman" w:hAnsi="Times New Roman"/>
          <w:color w:val="000000"/>
          <w:spacing w:val="4"/>
          <w:sz w:val="26"/>
          <w:szCs w:val="26"/>
        </w:rPr>
        <w:t xml:space="preserve">.  </w:t>
      </w:r>
      <w:r w:rsidR="00871ED5">
        <w:rPr>
          <w:rFonts w:ascii="Times New Roman" w:eastAsia="Times New Roman" w:hAnsi="Times New Roman"/>
          <w:color w:val="000000"/>
          <w:spacing w:val="4"/>
          <w:sz w:val="26"/>
          <w:szCs w:val="26"/>
        </w:rPr>
        <w:t>W</w:t>
      </w:r>
      <w:r w:rsidRPr="003853FC">
        <w:rPr>
          <w:rFonts w:ascii="Times New Roman" w:eastAsia="Times New Roman" w:hAnsi="Times New Roman"/>
          <w:color w:val="000000"/>
          <w:spacing w:val="4"/>
          <w:sz w:val="26"/>
          <w:szCs w:val="26"/>
        </w:rPr>
        <w:t xml:space="preserve">e </w:t>
      </w:r>
      <w:r w:rsidR="00871ED5">
        <w:rPr>
          <w:rFonts w:ascii="Times New Roman" w:eastAsia="Times New Roman" w:hAnsi="Times New Roman"/>
          <w:color w:val="000000"/>
          <w:spacing w:val="4"/>
          <w:sz w:val="26"/>
          <w:szCs w:val="26"/>
        </w:rPr>
        <w:t>believe</w:t>
      </w:r>
      <w:r w:rsidR="00F86139">
        <w:rPr>
          <w:rFonts w:ascii="Times New Roman" w:eastAsia="Times New Roman" w:hAnsi="Times New Roman"/>
          <w:color w:val="000000"/>
          <w:spacing w:val="4"/>
          <w:sz w:val="26"/>
          <w:szCs w:val="26"/>
        </w:rPr>
        <w:t xml:space="preserve"> that</w:t>
      </w:r>
      <w:r w:rsidRPr="003853FC">
        <w:rPr>
          <w:rFonts w:ascii="Times New Roman" w:eastAsia="Times New Roman" w:hAnsi="Times New Roman"/>
          <w:color w:val="000000"/>
          <w:spacing w:val="4"/>
          <w:sz w:val="26"/>
          <w:szCs w:val="26"/>
        </w:rPr>
        <w:t xml:space="preserve"> the inclusion of utility</w:t>
      </w:r>
      <w:r w:rsidR="00581163">
        <w:rPr>
          <w:rFonts w:ascii="Times New Roman" w:eastAsia="Times New Roman" w:hAnsi="Times New Roman"/>
          <w:color w:val="000000"/>
          <w:spacing w:val="4"/>
          <w:sz w:val="26"/>
          <w:szCs w:val="26"/>
        </w:rPr>
        <w:t xml:space="preserve"> (NGDC)</w:t>
      </w:r>
      <w:r w:rsidRPr="003853FC">
        <w:rPr>
          <w:rFonts w:ascii="Times New Roman" w:eastAsia="Times New Roman" w:hAnsi="Times New Roman"/>
          <w:color w:val="000000"/>
          <w:spacing w:val="4"/>
          <w:sz w:val="26"/>
          <w:szCs w:val="26"/>
        </w:rPr>
        <w:t xml:space="preserve"> contact information is </w:t>
      </w:r>
      <w:r w:rsidR="00F86139">
        <w:rPr>
          <w:rFonts w:ascii="Times New Roman" w:eastAsia="Times New Roman" w:hAnsi="Times New Roman"/>
          <w:color w:val="000000"/>
          <w:spacing w:val="4"/>
          <w:sz w:val="26"/>
          <w:szCs w:val="26"/>
        </w:rPr>
        <w:t>unnecessary and lacks relevance to</w:t>
      </w:r>
      <w:r w:rsidRPr="003853FC">
        <w:rPr>
          <w:rFonts w:ascii="Times New Roman" w:eastAsia="Times New Roman" w:hAnsi="Times New Roman"/>
          <w:color w:val="000000"/>
          <w:spacing w:val="4"/>
          <w:sz w:val="26"/>
          <w:szCs w:val="26"/>
        </w:rPr>
        <w:t xml:space="preserve"> </w:t>
      </w:r>
      <w:r w:rsidR="00F86139">
        <w:rPr>
          <w:rFonts w:ascii="Times New Roman" w:eastAsia="Times New Roman" w:hAnsi="Times New Roman"/>
          <w:color w:val="000000"/>
          <w:spacing w:val="4"/>
          <w:sz w:val="26"/>
          <w:szCs w:val="26"/>
        </w:rPr>
        <w:t xml:space="preserve">the </w:t>
      </w:r>
      <w:r w:rsidRPr="003853FC">
        <w:rPr>
          <w:rFonts w:ascii="Times New Roman" w:eastAsia="Times New Roman" w:hAnsi="Times New Roman"/>
          <w:color w:val="000000"/>
          <w:spacing w:val="4"/>
          <w:sz w:val="26"/>
          <w:szCs w:val="26"/>
        </w:rPr>
        <w:t>customer when shopping</w:t>
      </w:r>
      <w:r w:rsidR="00F86139">
        <w:rPr>
          <w:rFonts w:ascii="Times New Roman" w:eastAsia="Times New Roman" w:hAnsi="Times New Roman"/>
          <w:color w:val="000000"/>
          <w:spacing w:val="4"/>
          <w:sz w:val="26"/>
          <w:szCs w:val="26"/>
        </w:rPr>
        <w:t>.  We have found t</w:t>
      </w:r>
      <w:r w:rsidR="00581163">
        <w:rPr>
          <w:rFonts w:ascii="Times New Roman" w:eastAsia="Times New Roman" w:hAnsi="Times New Roman"/>
          <w:color w:val="000000"/>
          <w:spacing w:val="4"/>
          <w:sz w:val="26"/>
          <w:szCs w:val="26"/>
        </w:rPr>
        <w:t>hat inclusion of NGDC</w:t>
      </w:r>
      <w:r w:rsidR="00F86139">
        <w:rPr>
          <w:rFonts w:ascii="Times New Roman" w:eastAsia="Times New Roman" w:hAnsi="Times New Roman"/>
          <w:color w:val="000000"/>
          <w:spacing w:val="4"/>
          <w:sz w:val="26"/>
          <w:szCs w:val="26"/>
        </w:rPr>
        <w:t xml:space="preserve"> information leads some customers </w:t>
      </w:r>
      <w:r w:rsidR="00F86139">
        <w:rPr>
          <w:rFonts w:ascii="Times New Roman" w:eastAsia="Times New Roman" w:hAnsi="Times New Roman"/>
          <w:color w:val="000000"/>
          <w:spacing w:val="4"/>
          <w:sz w:val="26"/>
          <w:szCs w:val="26"/>
        </w:rPr>
        <w:lastRenderedPageBreak/>
        <w:t>to wrongly believe</w:t>
      </w:r>
      <w:r w:rsidRPr="003853FC">
        <w:rPr>
          <w:rFonts w:ascii="Times New Roman" w:eastAsia="Times New Roman" w:hAnsi="Times New Roman"/>
          <w:color w:val="000000"/>
          <w:spacing w:val="4"/>
          <w:sz w:val="26"/>
          <w:szCs w:val="26"/>
        </w:rPr>
        <w:t xml:space="preserve"> </w:t>
      </w:r>
      <w:r w:rsidR="00F86139">
        <w:rPr>
          <w:rFonts w:ascii="Times New Roman" w:eastAsia="Times New Roman" w:hAnsi="Times New Roman"/>
          <w:color w:val="000000"/>
          <w:spacing w:val="4"/>
          <w:sz w:val="26"/>
          <w:szCs w:val="26"/>
        </w:rPr>
        <w:t xml:space="preserve">that a </w:t>
      </w:r>
      <w:r w:rsidRPr="003853FC">
        <w:rPr>
          <w:rFonts w:ascii="Times New Roman" w:eastAsia="Times New Roman" w:hAnsi="Times New Roman"/>
          <w:color w:val="000000"/>
          <w:spacing w:val="4"/>
          <w:sz w:val="26"/>
          <w:szCs w:val="26"/>
        </w:rPr>
        <w:t>utility endorsement or affiliation with the supplier</w:t>
      </w:r>
      <w:r w:rsidR="00F86139">
        <w:rPr>
          <w:rFonts w:ascii="Times New Roman" w:eastAsia="Times New Roman" w:hAnsi="Times New Roman"/>
          <w:color w:val="000000"/>
          <w:spacing w:val="4"/>
          <w:sz w:val="26"/>
          <w:szCs w:val="26"/>
        </w:rPr>
        <w:t xml:space="preserve"> exists.</w:t>
      </w:r>
      <w:r w:rsidRPr="003853FC">
        <w:rPr>
          <w:rFonts w:ascii="Times New Roman" w:eastAsia="Times New Roman" w:hAnsi="Times New Roman"/>
          <w:color w:val="000000"/>
          <w:spacing w:val="4"/>
          <w:sz w:val="26"/>
          <w:szCs w:val="26"/>
        </w:rPr>
        <w:t xml:space="preserve">  </w:t>
      </w:r>
      <w:r w:rsidR="004373F0">
        <w:rPr>
          <w:rFonts w:ascii="Times New Roman" w:eastAsia="Times New Roman" w:hAnsi="Times New Roman"/>
          <w:color w:val="000000"/>
          <w:spacing w:val="4"/>
          <w:sz w:val="26"/>
          <w:szCs w:val="26"/>
        </w:rPr>
        <w:t>While we included in the electric contract summary information regarding the renewal/change of terms notices, l</w:t>
      </w:r>
      <w:r w:rsidRPr="003853FC">
        <w:rPr>
          <w:rFonts w:ascii="Times New Roman" w:eastAsia="Times New Roman" w:hAnsi="Times New Roman"/>
          <w:color w:val="000000"/>
          <w:spacing w:val="4"/>
          <w:sz w:val="26"/>
          <w:szCs w:val="26"/>
        </w:rPr>
        <w:t xml:space="preserve">ike RESA, </w:t>
      </w:r>
      <w:r w:rsidR="00581163">
        <w:rPr>
          <w:rFonts w:ascii="Times New Roman" w:eastAsia="Times New Roman" w:hAnsi="Times New Roman"/>
          <w:color w:val="000000"/>
          <w:spacing w:val="4"/>
          <w:sz w:val="26"/>
          <w:szCs w:val="26"/>
        </w:rPr>
        <w:t>we</w:t>
      </w:r>
      <w:r w:rsidR="004373F0">
        <w:rPr>
          <w:rFonts w:ascii="Times New Roman" w:eastAsia="Times New Roman" w:hAnsi="Times New Roman"/>
          <w:color w:val="000000"/>
          <w:spacing w:val="4"/>
          <w:sz w:val="26"/>
          <w:szCs w:val="26"/>
        </w:rPr>
        <w:t xml:space="preserve"> now believe that</w:t>
      </w:r>
      <w:r w:rsidR="00581163">
        <w:rPr>
          <w:rFonts w:ascii="Times New Roman" w:eastAsia="Times New Roman" w:hAnsi="Times New Roman"/>
          <w:color w:val="000000"/>
          <w:spacing w:val="4"/>
          <w:sz w:val="26"/>
          <w:szCs w:val="26"/>
        </w:rPr>
        <w:t xml:space="preserve"> </w:t>
      </w:r>
      <w:r w:rsidR="00F86139">
        <w:rPr>
          <w:rFonts w:ascii="Times New Roman" w:eastAsia="Times New Roman" w:hAnsi="Times New Roman"/>
          <w:color w:val="000000"/>
          <w:spacing w:val="4"/>
          <w:sz w:val="26"/>
          <w:szCs w:val="26"/>
        </w:rPr>
        <w:t>inclu</w:t>
      </w:r>
      <w:r w:rsidR="009E4D70">
        <w:rPr>
          <w:rFonts w:ascii="Times New Roman" w:eastAsia="Times New Roman" w:hAnsi="Times New Roman"/>
          <w:color w:val="000000"/>
          <w:spacing w:val="4"/>
          <w:sz w:val="26"/>
          <w:szCs w:val="26"/>
        </w:rPr>
        <w:t xml:space="preserve">ding </w:t>
      </w:r>
      <w:r w:rsidR="004373F0">
        <w:rPr>
          <w:rFonts w:ascii="Times New Roman" w:eastAsia="Times New Roman" w:hAnsi="Times New Roman"/>
          <w:color w:val="000000"/>
          <w:spacing w:val="4"/>
          <w:sz w:val="26"/>
          <w:szCs w:val="26"/>
        </w:rPr>
        <w:t xml:space="preserve">this </w:t>
      </w:r>
      <w:r w:rsidRPr="003853FC">
        <w:rPr>
          <w:rFonts w:ascii="Times New Roman" w:eastAsia="Times New Roman" w:hAnsi="Times New Roman"/>
          <w:color w:val="000000"/>
          <w:spacing w:val="4"/>
          <w:sz w:val="26"/>
          <w:szCs w:val="26"/>
        </w:rPr>
        <w:t xml:space="preserve">information </w:t>
      </w:r>
      <w:r w:rsidR="00581163">
        <w:rPr>
          <w:rFonts w:ascii="Times New Roman" w:eastAsia="Times New Roman" w:hAnsi="Times New Roman"/>
          <w:color w:val="000000"/>
          <w:spacing w:val="4"/>
          <w:sz w:val="26"/>
          <w:szCs w:val="26"/>
        </w:rPr>
        <w:t>i</w:t>
      </w:r>
      <w:r w:rsidR="009E4D70">
        <w:rPr>
          <w:rFonts w:ascii="Times New Roman" w:eastAsia="Times New Roman" w:hAnsi="Times New Roman"/>
          <w:color w:val="000000"/>
          <w:spacing w:val="4"/>
          <w:sz w:val="26"/>
          <w:szCs w:val="26"/>
        </w:rPr>
        <w:t>n</w:t>
      </w:r>
      <w:r w:rsidR="00F86139">
        <w:rPr>
          <w:rFonts w:ascii="Times New Roman" w:eastAsia="Times New Roman" w:hAnsi="Times New Roman"/>
          <w:color w:val="000000"/>
          <w:spacing w:val="4"/>
          <w:sz w:val="26"/>
          <w:szCs w:val="26"/>
        </w:rPr>
        <w:t xml:space="preserve"> </w:t>
      </w:r>
      <w:r w:rsidR="009E4D70">
        <w:rPr>
          <w:rFonts w:ascii="Times New Roman" w:eastAsia="Times New Roman" w:hAnsi="Times New Roman"/>
          <w:color w:val="000000"/>
          <w:spacing w:val="4"/>
          <w:sz w:val="26"/>
          <w:szCs w:val="26"/>
        </w:rPr>
        <w:t>the contract summary may confuse customers</w:t>
      </w:r>
      <w:r w:rsidR="00581163">
        <w:rPr>
          <w:rFonts w:ascii="Times New Roman" w:eastAsia="Times New Roman" w:hAnsi="Times New Roman"/>
          <w:color w:val="000000"/>
          <w:spacing w:val="4"/>
          <w:sz w:val="26"/>
          <w:szCs w:val="26"/>
        </w:rPr>
        <w:t>.</w:t>
      </w:r>
      <w:r w:rsidR="00295AF5">
        <w:rPr>
          <w:rFonts w:ascii="Times New Roman" w:eastAsia="Times New Roman" w:hAnsi="Times New Roman"/>
          <w:color w:val="000000"/>
          <w:spacing w:val="4"/>
          <w:sz w:val="26"/>
          <w:szCs w:val="26"/>
        </w:rPr>
        <w:t xml:space="preserve">  We invite further comment on this renewal/change of terms issue.</w:t>
      </w:r>
      <w:r w:rsidR="00581163">
        <w:rPr>
          <w:rFonts w:ascii="Times New Roman" w:eastAsia="Times New Roman" w:hAnsi="Times New Roman"/>
          <w:color w:val="000000"/>
          <w:spacing w:val="4"/>
          <w:sz w:val="26"/>
          <w:szCs w:val="26"/>
        </w:rPr>
        <w:t xml:space="preserve">  We</w:t>
      </w:r>
      <w:r w:rsidR="00295AF5">
        <w:rPr>
          <w:rFonts w:ascii="Times New Roman" w:eastAsia="Times New Roman" w:hAnsi="Times New Roman"/>
          <w:color w:val="000000"/>
          <w:spacing w:val="4"/>
          <w:sz w:val="26"/>
          <w:szCs w:val="26"/>
        </w:rPr>
        <w:t xml:space="preserve"> also</w:t>
      </w:r>
      <w:r w:rsidR="00581163">
        <w:rPr>
          <w:rFonts w:ascii="Times New Roman" w:eastAsia="Times New Roman" w:hAnsi="Times New Roman"/>
          <w:color w:val="000000"/>
          <w:spacing w:val="4"/>
          <w:sz w:val="26"/>
          <w:szCs w:val="26"/>
        </w:rPr>
        <w:t xml:space="preserve"> </w:t>
      </w:r>
      <w:r w:rsidRPr="003853FC">
        <w:rPr>
          <w:rFonts w:ascii="Times New Roman" w:eastAsia="Times New Roman" w:hAnsi="Times New Roman"/>
          <w:color w:val="000000"/>
          <w:spacing w:val="4"/>
          <w:sz w:val="26"/>
          <w:szCs w:val="26"/>
        </w:rPr>
        <w:t>invite comments on the usefulness of specifying a “contract start date</w:t>
      </w:r>
      <w:r w:rsidR="00E35A57">
        <w:rPr>
          <w:rFonts w:ascii="Times New Roman" w:eastAsia="Times New Roman" w:hAnsi="Times New Roman"/>
          <w:color w:val="000000"/>
          <w:spacing w:val="4"/>
          <w:sz w:val="26"/>
          <w:szCs w:val="26"/>
        </w:rPr>
        <w:t>,</w:t>
      </w:r>
      <w:r w:rsidRPr="003853FC">
        <w:rPr>
          <w:rFonts w:ascii="Times New Roman" w:eastAsia="Times New Roman" w:hAnsi="Times New Roman"/>
          <w:color w:val="000000"/>
          <w:spacing w:val="4"/>
          <w:sz w:val="26"/>
          <w:szCs w:val="26"/>
        </w:rPr>
        <w:t xml:space="preserve">” </w:t>
      </w:r>
      <w:r w:rsidR="00E35A57">
        <w:rPr>
          <w:rFonts w:ascii="Times New Roman" w:eastAsia="Times New Roman" w:hAnsi="Times New Roman"/>
          <w:color w:val="000000"/>
          <w:spacing w:val="4"/>
          <w:sz w:val="26"/>
          <w:szCs w:val="26"/>
        </w:rPr>
        <w:t>as</w:t>
      </w:r>
      <w:r w:rsidRPr="003853FC">
        <w:rPr>
          <w:rFonts w:ascii="Times New Roman" w:eastAsia="Times New Roman" w:hAnsi="Times New Roman"/>
          <w:color w:val="000000"/>
          <w:spacing w:val="4"/>
          <w:sz w:val="26"/>
          <w:szCs w:val="26"/>
        </w:rPr>
        <w:t xml:space="preserve"> this may </w:t>
      </w:r>
      <w:r w:rsidR="00E35A57">
        <w:rPr>
          <w:rFonts w:ascii="Times New Roman" w:eastAsia="Times New Roman" w:hAnsi="Times New Roman"/>
          <w:color w:val="000000"/>
          <w:spacing w:val="4"/>
          <w:sz w:val="26"/>
          <w:szCs w:val="26"/>
        </w:rPr>
        <w:t xml:space="preserve">often </w:t>
      </w:r>
      <w:r w:rsidRPr="003853FC">
        <w:rPr>
          <w:rFonts w:ascii="Times New Roman" w:eastAsia="Times New Roman" w:hAnsi="Times New Roman"/>
          <w:color w:val="000000"/>
          <w:spacing w:val="4"/>
          <w:sz w:val="26"/>
          <w:szCs w:val="26"/>
        </w:rPr>
        <w:t>be a</w:t>
      </w:r>
      <w:r w:rsidR="00E35A57">
        <w:rPr>
          <w:rFonts w:ascii="Times New Roman" w:eastAsia="Times New Roman" w:hAnsi="Times New Roman"/>
          <w:color w:val="000000"/>
          <w:spacing w:val="4"/>
          <w:sz w:val="26"/>
          <w:szCs w:val="26"/>
        </w:rPr>
        <w:t xml:space="preserve"> situation-specific</w:t>
      </w:r>
      <w:r w:rsidRPr="003853FC">
        <w:rPr>
          <w:rFonts w:ascii="Times New Roman" w:eastAsia="Times New Roman" w:hAnsi="Times New Roman"/>
          <w:color w:val="000000"/>
          <w:spacing w:val="4"/>
          <w:sz w:val="26"/>
          <w:szCs w:val="26"/>
        </w:rPr>
        <w:t xml:space="preserve"> matter negotiated </w:t>
      </w:r>
      <w:r w:rsidR="00E35A57">
        <w:rPr>
          <w:rFonts w:ascii="Times New Roman" w:eastAsia="Times New Roman" w:hAnsi="Times New Roman"/>
          <w:color w:val="000000"/>
          <w:spacing w:val="4"/>
          <w:sz w:val="26"/>
          <w:szCs w:val="26"/>
        </w:rPr>
        <w:t>and agreed upon</w:t>
      </w:r>
      <w:r w:rsidRPr="003853FC">
        <w:rPr>
          <w:rFonts w:ascii="Times New Roman" w:eastAsia="Times New Roman" w:hAnsi="Times New Roman"/>
          <w:color w:val="000000"/>
          <w:spacing w:val="4"/>
          <w:sz w:val="26"/>
          <w:szCs w:val="26"/>
        </w:rPr>
        <w:t xml:space="preserve"> b</w:t>
      </w:r>
      <w:r w:rsidR="00E35A57">
        <w:rPr>
          <w:rFonts w:ascii="Times New Roman" w:eastAsia="Times New Roman" w:hAnsi="Times New Roman"/>
          <w:color w:val="000000"/>
          <w:spacing w:val="4"/>
          <w:sz w:val="26"/>
          <w:szCs w:val="26"/>
        </w:rPr>
        <w:t>y</w:t>
      </w:r>
      <w:r w:rsidRPr="003853FC">
        <w:rPr>
          <w:rFonts w:ascii="Times New Roman" w:eastAsia="Times New Roman" w:hAnsi="Times New Roman"/>
          <w:color w:val="000000"/>
          <w:spacing w:val="4"/>
          <w:sz w:val="26"/>
          <w:szCs w:val="26"/>
        </w:rPr>
        <w:t xml:space="preserve"> the supplier and the customer</w:t>
      </w:r>
      <w:r w:rsidR="00E35A57">
        <w:rPr>
          <w:rFonts w:ascii="Times New Roman" w:eastAsia="Times New Roman" w:hAnsi="Times New Roman"/>
          <w:color w:val="000000"/>
          <w:spacing w:val="4"/>
          <w:sz w:val="26"/>
          <w:szCs w:val="26"/>
        </w:rPr>
        <w:t>.</w:t>
      </w:r>
      <w:r w:rsidR="00581163">
        <w:rPr>
          <w:rFonts w:ascii="Times New Roman" w:eastAsia="Times New Roman" w:hAnsi="Times New Roman"/>
          <w:color w:val="000000"/>
          <w:spacing w:val="4"/>
          <w:sz w:val="26"/>
          <w:szCs w:val="26"/>
        </w:rPr>
        <w:t xml:space="preserve">  </w:t>
      </w:r>
      <w:r w:rsidR="00817CEF">
        <w:rPr>
          <w:rFonts w:ascii="Times New Roman" w:eastAsia="Times New Roman" w:hAnsi="Times New Roman"/>
          <w:color w:val="000000"/>
          <w:spacing w:val="4"/>
          <w:sz w:val="26"/>
          <w:szCs w:val="26"/>
        </w:rPr>
        <w:t>Lastly, w</w:t>
      </w:r>
      <w:r w:rsidR="00581163">
        <w:rPr>
          <w:rFonts w:ascii="Times New Roman" w:eastAsia="Times New Roman" w:hAnsi="Times New Roman"/>
          <w:color w:val="000000"/>
          <w:spacing w:val="4"/>
          <w:sz w:val="26"/>
          <w:szCs w:val="26"/>
        </w:rPr>
        <w:t>e invite comment on whether the Commission should, as we did with the electric industry, informally review sample contract summaries for all NGSs before they are implemented.</w:t>
      </w:r>
      <w:r w:rsidRPr="003853FC">
        <w:rPr>
          <w:rFonts w:ascii="Times New Roman" w:eastAsia="Times New Roman" w:hAnsi="Times New Roman"/>
          <w:color w:val="000000"/>
          <w:spacing w:val="4"/>
          <w:sz w:val="26"/>
          <w:szCs w:val="26"/>
        </w:rPr>
        <w:t xml:space="preserve">                 </w:t>
      </w:r>
    </w:p>
    <w:p w:rsidR="00F86139" w:rsidRDefault="00F86139" w:rsidP="001A1513">
      <w:pPr>
        <w:spacing w:line="360" w:lineRule="auto"/>
        <w:rPr>
          <w:rFonts w:ascii="Times New Roman" w:eastAsia="Times New Roman" w:hAnsi="Times New Roman"/>
          <w:color w:val="000000"/>
          <w:spacing w:val="4"/>
          <w:sz w:val="26"/>
          <w:szCs w:val="26"/>
        </w:rPr>
      </w:pPr>
    </w:p>
    <w:p w:rsidR="00BA5583" w:rsidRDefault="00E35A57" w:rsidP="00F86139">
      <w:pPr>
        <w:spacing w:line="360" w:lineRule="auto"/>
        <w:ind w:firstLine="720"/>
        <w:rPr>
          <w:rFonts w:ascii="Times New Roman" w:eastAsia="Times New Roman" w:hAnsi="Times New Roman"/>
          <w:color w:val="000000"/>
          <w:spacing w:val="4"/>
          <w:sz w:val="26"/>
          <w:szCs w:val="26"/>
        </w:rPr>
      </w:pPr>
      <w:r>
        <w:rPr>
          <w:rFonts w:ascii="Times New Roman" w:eastAsia="Times New Roman" w:hAnsi="Times New Roman"/>
          <w:color w:val="000000"/>
          <w:spacing w:val="4"/>
          <w:sz w:val="26"/>
          <w:szCs w:val="26"/>
        </w:rPr>
        <w:t xml:space="preserve">Notwithstanding </w:t>
      </w:r>
      <w:r w:rsidR="00871ED5">
        <w:rPr>
          <w:rFonts w:ascii="Times New Roman" w:eastAsia="Times New Roman" w:hAnsi="Times New Roman"/>
          <w:color w:val="000000"/>
          <w:spacing w:val="4"/>
          <w:sz w:val="26"/>
          <w:szCs w:val="26"/>
        </w:rPr>
        <w:t>the foregoing</w:t>
      </w:r>
      <w:r>
        <w:rPr>
          <w:rFonts w:ascii="Times New Roman" w:eastAsia="Times New Roman" w:hAnsi="Times New Roman"/>
          <w:color w:val="000000"/>
          <w:spacing w:val="4"/>
          <w:sz w:val="26"/>
          <w:szCs w:val="26"/>
        </w:rPr>
        <w:t>,</w:t>
      </w:r>
      <w:r w:rsidR="001A1513" w:rsidRPr="003853FC">
        <w:rPr>
          <w:rFonts w:ascii="Times New Roman" w:eastAsia="Times New Roman" w:hAnsi="Times New Roman"/>
          <w:color w:val="000000"/>
          <w:spacing w:val="4"/>
          <w:sz w:val="26"/>
          <w:szCs w:val="26"/>
        </w:rPr>
        <w:t xml:space="preserve"> we propose adopting the same practice with the natural gas industry that we adopted with the electric industry</w:t>
      </w:r>
      <w:r w:rsidR="00581163">
        <w:rPr>
          <w:rFonts w:ascii="Times New Roman" w:eastAsia="Times New Roman" w:hAnsi="Times New Roman"/>
          <w:color w:val="000000"/>
          <w:spacing w:val="4"/>
          <w:sz w:val="26"/>
          <w:szCs w:val="26"/>
        </w:rPr>
        <w:t xml:space="preserve"> regarding guidance on contract summary specifics.  W</w:t>
      </w:r>
      <w:r w:rsidR="001A1513" w:rsidRPr="003853FC">
        <w:rPr>
          <w:rFonts w:ascii="Times New Roman" w:eastAsia="Times New Roman" w:hAnsi="Times New Roman"/>
          <w:color w:val="000000"/>
          <w:spacing w:val="4"/>
          <w:sz w:val="26"/>
          <w:szCs w:val="26"/>
        </w:rPr>
        <w:t>e will refer to a contract summary in the regulations</w:t>
      </w:r>
      <w:r w:rsidR="00A82621">
        <w:rPr>
          <w:rFonts w:ascii="Times New Roman" w:eastAsia="Times New Roman" w:hAnsi="Times New Roman"/>
          <w:color w:val="000000"/>
          <w:spacing w:val="4"/>
          <w:sz w:val="26"/>
          <w:szCs w:val="26"/>
        </w:rPr>
        <w:t xml:space="preserve"> at Section 62.75(</w:t>
      </w:r>
      <w:proofErr w:type="spellStart"/>
      <w:r w:rsidR="00A82621">
        <w:rPr>
          <w:rFonts w:ascii="Times New Roman" w:eastAsia="Times New Roman" w:hAnsi="Times New Roman"/>
          <w:color w:val="000000"/>
          <w:spacing w:val="4"/>
          <w:sz w:val="26"/>
          <w:szCs w:val="26"/>
        </w:rPr>
        <w:t>i</w:t>
      </w:r>
      <w:proofErr w:type="spellEnd"/>
      <w:r w:rsidR="00A82621">
        <w:rPr>
          <w:rFonts w:ascii="Times New Roman" w:eastAsia="Times New Roman" w:hAnsi="Times New Roman"/>
          <w:color w:val="000000"/>
          <w:spacing w:val="4"/>
          <w:sz w:val="26"/>
          <w:szCs w:val="26"/>
        </w:rPr>
        <w:t>)</w:t>
      </w:r>
      <w:r w:rsidR="009C27C5">
        <w:rPr>
          <w:rFonts w:ascii="Times New Roman" w:eastAsia="Times New Roman" w:hAnsi="Times New Roman"/>
          <w:color w:val="000000"/>
          <w:spacing w:val="4"/>
          <w:sz w:val="26"/>
          <w:szCs w:val="26"/>
        </w:rPr>
        <w:t xml:space="preserve">, but the contract summary will not be embedded in the </w:t>
      </w:r>
      <w:r w:rsidR="009C27C5" w:rsidRPr="003853FC">
        <w:rPr>
          <w:rFonts w:ascii="Times New Roman" w:eastAsia="Times New Roman" w:hAnsi="Times New Roman"/>
          <w:color w:val="000000"/>
          <w:spacing w:val="4"/>
          <w:sz w:val="26"/>
          <w:szCs w:val="26"/>
        </w:rPr>
        <w:t>regulation</w:t>
      </w:r>
      <w:r w:rsidR="009C27C5">
        <w:rPr>
          <w:rFonts w:ascii="Times New Roman" w:eastAsia="Times New Roman" w:hAnsi="Times New Roman"/>
          <w:color w:val="000000"/>
          <w:spacing w:val="4"/>
          <w:sz w:val="26"/>
          <w:szCs w:val="26"/>
        </w:rPr>
        <w:t>s</w:t>
      </w:r>
      <w:r w:rsidR="009C27C5" w:rsidRPr="003853FC">
        <w:rPr>
          <w:rFonts w:ascii="Times New Roman" w:eastAsia="Times New Roman" w:hAnsi="Times New Roman"/>
          <w:color w:val="000000"/>
          <w:spacing w:val="4"/>
          <w:sz w:val="26"/>
          <w:szCs w:val="26"/>
        </w:rPr>
        <w:t>.</w:t>
      </w:r>
      <w:r w:rsidR="009C27C5">
        <w:rPr>
          <w:rFonts w:ascii="Times New Roman" w:eastAsia="Times New Roman" w:hAnsi="Times New Roman"/>
          <w:color w:val="000000"/>
          <w:spacing w:val="4"/>
          <w:sz w:val="26"/>
          <w:szCs w:val="26"/>
        </w:rPr>
        <w:t xml:space="preserve">  </w:t>
      </w:r>
      <w:r w:rsidR="009C27C5">
        <w:rPr>
          <w:rFonts w:ascii="Times New Roman" w:eastAsia="Times New Roman" w:hAnsi="Times New Roman"/>
          <w:i/>
          <w:color w:val="000000"/>
          <w:spacing w:val="4"/>
          <w:sz w:val="26"/>
          <w:szCs w:val="26"/>
        </w:rPr>
        <w:t>See</w:t>
      </w:r>
      <w:r w:rsidR="009C27C5">
        <w:rPr>
          <w:rFonts w:ascii="Times New Roman" w:eastAsia="Times New Roman" w:hAnsi="Times New Roman"/>
          <w:color w:val="000000"/>
          <w:spacing w:val="4"/>
          <w:sz w:val="26"/>
          <w:szCs w:val="26"/>
        </w:rPr>
        <w:t xml:space="preserve"> Annex A.</w:t>
      </w:r>
      <w:r w:rsidR="009C27C5" w:rsidRPr="003853FC">
        <w:rPr>
          <w:rFonts w:ascii="Times New Roman" w:eastAsia="Times New Roman" w:hAnsi="Times New Roman"/>
          <w:color w:val="000000"/>
          <w:spacing w:val="4"/>
          <w:sz w:val="26"/>
          <w:szCs w:val="26"/>
        </w:rPr>
        <w:t xml:space="preserve">  </w:t>
      </w:r>
      <w:r w:rsidR="00581163">
        <w:rPr>
          <w:rFonts w:ascii="Times New Roman" w:eastAsia="Times New Roman" w:hAnsi="Times New Roman"/>
          <w:color w:val="000000"/>
          <w:spacing w:val="4"/>
          <w:sz w:val="26"/>
          <w:szCs w:val="26"/>
        </w:rPr>
        <w:t>However,</w:t>
      </w:r>
      <w:r>
        <w:rPr>
          <w:rFonts w:ascii="Times New Roman" w:eastAsia="Times New Roman" w:hAnsi="Times New Roman"/>
          <w:color w:val="000000"/>
          <w:spacing w:val="4"/>
          <w:sz w:val="26"/>
          <w:szCs w:val="26"/>
        </w:rPr>
        <w:t xml:space="preserve"> </w:t>
      </w:r>
      <w:r w:rsidR="009C27C5">
        <w:rPr>
          <w:rFonts w:ascii="Times New Roman" w:eastAsia="Times New Roman" w:hAnsi="Times New Roman"/>
          <w:color w:val="000000"/>
          <w:spacing w:val="4"/>
          <w:sz w:val="26"/>
          <w:szCs w:val="26"/>
        </w:rPr>
        <w:t xml:space="preserve">we will provide </w:t>
      </w:r>
      <w:r w:rsidR="001A1513" w:rsidRPr="003853FC">
        <w:rPr>
          <w:rFonts w:ascii="Times New Roman" w:eastAsia="Times New Roman" w:hAnsi="Times New Roman"/>
          <w:color w:val="000000"/>
          <w:spacing w:val="4"/>
          <w:sz w:val="26"/>
          <w:szCs w:val="26"/>
        </w:rPr>
        <w:t xml:space="preserve">the </w:t>
      </w:r>
      <w:r w:rsidR="00581163">
        <w:rPr>
          <w:rFonts w:ascii="Times New Roman" w:eastAsia="Times New Roman" w:hAnsi="Times New Roman"/>
          <w:color w:val="000000"/>
          <w:spacing w:val="4"/>
          <w:sz w:val="26"/>
          <w:szCs w:val="26"/>
        </w:rPr>
        <w:t xml:space="preserve">specific </w:t>
      </w:r>
      <w:r w:rsidR="001A1513" w:rsidRPr="003853FC">
        <w:rPr>
          <w:rFonts w:ascii="Times New Roman" w:eastAsia="Times New Roman" w:hAnsi="Times New Roman"/>
          <w:color w:val="000000"/>
          <w:spacing w:val="4"/>
          <w:sz w:val="26"/>
          <w:szCs w:val="26"/>
        </w:rPr>
        <w:t>req</w:t>
      </w:r>
      <w:r w:rsidR="00581163">
        <w:rPr>
          <w:rFonts w:ascii="Times New Roman" w:eastAsia="Times New Roman" w:hAnsi="Times New Roman"/>
          <w:color w:val="000000"/>
          <w:spacing w:val="4"/>
          <w:sz w:val="26"/>
          <w:szCs w:val="26"/>
        </w:rPr>
        <w:t xml:space="preserve">uirements of the </w:t>
      </w:r>
      <w:r w:rsidR="009C27C5">
        <w:rPr>
          <w:rFonts w:ascii="Times New Roman" w:eastAsia="Times New Roman" w:hAnsi="Times New Roman"/>
          <w:color w:val="000000"/>
          <w:spacing w:val="4"/>
          <w:sz w:val="26"/>
          <w:szCs w:val="26"/>
        </w:rPr>
        <w:t xml:space="preserve">contract </w:t>
      </w:r>
      <w:r w:rsidR="00581163">
        <w:rPr>
          <w:rFonts w:ascii="Times New Roman" w:eastAsia="Times New Roman" w:hAnsi="Times New Roman"/>
          <w:color w:val="000000"/>
          <w:spacing w:val="4"/>
          <w:sz w:val="26"/>
          <w:szCs w:val="26"/>
        </w:rPr>
        <w:t xml:space="preserve">summary </w:t>
      </w:r>
      <w:r w:rsidR="009C27C5">
        <w:rPr>
          <w:rFonts w:ascii="Times New Roman" w:eastAsia="Times New Roman" w:hAnsi="Times New Roman"/>
          <w:color w:val="000000"/>
          <w:spacing w:val="4"/>
          <w:sz w:val="26"/>
          <w:szCs w:val="26"/>
        </w:rPr>
        <w:t>in</w:t>
      </w:r>
      <w:r w:rsidR="00BA5583">
        <w:rPr>
          <w:rFonts w:ascii="Times New Roman" w:eastAsia="Times New Roman" w:hAnsi="Times New Roman"/>
          <w:color w:val="000000"/>
          <w:spacing w:val="4"/>
          <w:sz w:val="26"/>
          <w:szCs w:val="26"/>
        </w:rPr>
        <w:t xml:space="preserve"> an attachment to this order and the Final Rulemaking Order</w:t>
      </w:r>
      <w:r w:rsidR="009C27C5">
        <w:rPr>
          <w:rFonts w:ascii="Times New Roman" w:eastAsia="Times New Roman" w:hAnsi="Times New Roman"/>
          <w:color w:val="000000"/>
          <w:spacing w:val="4"/>
          <w:sz w:val="26"/>
          <w:szCs w:val="26"/>
        </w:rPr>
        <w:t>.</w:t>
      </w:r>
      <w:r w:rsidR="009D7F64">
        <w:rPr>
          <w:rFonts w:ascii="Times New Roman" w:eastAsia="Times New Roman" w:hAnsi="Times New Roman"/>
          <w:color w:val="000000"/>
          <w:spacing w:val="4"/>
          <w:sz w:val="26"/>
          <w:szCs w:val="26"/>
        </w:rPr>
        <w:t xml:space="preserve"> </w:t>
      </w:r>
      <w:r w:rsidR="009C27C5">
        <w:rPr>
          <w:rFonts w:ascii="Times New Roman" w:eastAsia="Times New Roman" w:hAnsi="Times New Roman"/>
          <w:color w:val="000000"/>
          <w:spacing w:val="4"/>
          <w:sz w:val="26"/>
          <w:szCs w:val="26"/>
        </w:rPr>
        <w:t xml:space="preserve"> </w:t>
      </w:r>
      <w:r w:rsidR="009C27C5">
        <w:rPr>
          <w:rFonts w:ascii="Times New Roman" w:eastAsia="Times New Roman" w:hAnsi="Times New Roman"/>
          <w:i/>
          <w:color w:val="000000"/>
          <w:spacing w:val="4"/>
          <w:sz w:val="26"/>
          <w:szCs w:val="26"/>
        </w:rPr>
        <w:t>See</w:t>
      </w:r>
      <w:r w:rsidR="009C27C5">
        <w:rPr>
          <w:rFonts w:ascii="Times New Roman" w:eastAsia="Times New Roman" w:hAnsi="Times New Roman"/>
          <w:color w:val="000000"/>
          <w:spacing w:val="4"/>
          <w:sz w:val="26"/>
          <w:szCs w:val="26"/>
        </w:rPr>
        <w:t xml:space="preserve"> Attachment A.  </w:t>
      </w:r>
      <w:r w:rsidR="001A1513" w:rsidRPr="003853FC">
        <w:rPr>
          <w:rFonts w:ascii="Times New Roman" w:eastAsia="Times New Roman" w:hAnsi="Times New Roman"/>
          <w:color w:val="000000"/>
          <w:spacing w:val="4"/>
          <w:sz w:val="26"/>
          <w:szCs w:val="26"/>
        </w:rPr>
        <w:t>This</w:t>
      </w:r>
      <w:r>
        <w:rPr>
          <w:rFonts w:ascii="Times New Roman" w:eastAsia="Times New Roman" w:hAnsi="Times New Roman"/>
          <w:color w:val="000000"/>
          <w:spacing w:val="4"/>
          <w:sz w:val="26"/>
          <w:szCs w:val="26"/>
        </w:rPr>
        <w:t xml:space="preserve"> approach</w:t>
      </w:r>
      <w:r w:rsidR="001A1513" w:rsidRPr="003853FC">
        <w:rPr>
          <w:rFonts w:ascii="Times New Roman" w:eastAsia="Times New Roman" w:hAnsi="Times New Roman"/>
          <w:color w:val="000000"/>
          <w:spacing w:val="4"/>
          <w:sz w:val="26"/>
          <w:szCs w:val="26"/>
        </w:rPr>
        <w:t xml:space="preserve"> will permit us the flexibility to </w:t>
      </w:r>
      <w:r>
        <w:rPr>
          <w:rFonts w:ascii="Times New Roman" w:eastAsia="Times New Roman" w:hAnsi="Times New Roman"/>
          <w:color w:val="000000"/>
          <w:spacing w:val="4"/>
          <w:sz w:val="26"/>
          <w:szCs w:val="26"/>
        </w:rPr>
        <w:t xml:space="preserve">more easily and readily </w:t>
      </w:r>
      <w:r w:rsidR="001A1513" w:rsidRPr="003853FC">
        <w:rPr>
          <w:rFonts w:ascii="Times New Roman" w:eastAsia="Times New Roman" w:hAnsi="Times New Roman"/>
          <w:color w:val="000000"/>
          <w:spacing w:val="4"/>
          <w:sz w:val="26"/>
          <w:szCs w:val="26"/>
        </w:rPr>
        <w:t xml:space="preserve">revise the contract summary in the future to reflect the evolving energy markets without </w:t>
      </w:r>
      <w:r>
        <w:rPr>
          <w:rFonts w:ascii="Times New Roman" w:eastAsia="Times New Roman" w:hAnsi="Times New Roman"/>
          <w:color w:val="000000"/>
          <w:spacing w:val="4"/>
          <w:sz w:val="26"/>
          <w:szCs w:val="26"/>
        </w:rPr>
        <w:t>initiating</w:t>
      </w:r>
      <w:r w:rsidR="001A1513" w:rsidRPr="003853FC">
        <w:rPr>
          <w:rFonts w:ascii="Times New Roman" w:eastAsia="Times New Roman" w:hAnsi="Times New Roman"/>
          <w:color w:val="000000"/>
          <w:spacing w:val="4"/>
          <w:sz w:val="26"/>
          <w:szCs w:val="26"/>
        </w:rPr>
        <w:t xml:space="preserve"> a formal rulemaking.  </w:t>
      </w:r>
    </w:p>
    <w:p w:rsidR="001A1513" w:rsidRDefault="00952405" w:rsidP="009D7F64">
      <w:pPr>
        <w:spacing w:line="360" w:lineRule="auto"/>
        <w:rPr>
          <w:rFonts w:ascii="Times New Roman" w:eastAsia="Times New Roman" w:hAnsi="Times New Roman"/>
          <w:color w:val="000000"/>
          <w:spacing w:val="4"/>
          <w:sz w:val="26"/>
          <w:szCs w:val="26"/>
        </w:rPr>
      </w:pPr>
      <w:r>
        <w:rPr>
          <w:rFonts w:ascii="Times New Roman" w:eastAsia="Times New Roman" w:hAnsi="Times New Roman"/>
          <w:color w:val="000000"/>
          <w:spacing w:val="4"/>
          <w:sz w:val="26"/>
          <w:szCs w:val="26"/>
        </w:rPr>
        <w:br/>
      </w:r>
    </w:p>
    <w:p w:rsidR="001A1513" w:rsidRDefault="004307F3" w:rsidP="001A1513">
      <w:pPr>
        <w:spacing w:line="360" w:lineRule="auto"/>
        <w:rPr>
          <w:rFonts w:ascii="Times New Roman" w:eastAsia="Times New Roman" w:hAnsi="Times New Roman"/>
          <w:b/>
          <w:color w:val="000000"/>
          <w:spacing w:val="4"/>
          <w:sz w:val="26"/>
          <w:szCs w:val="26"/>
        </w:rPr>
      </w:pPr>
      <w:r>
        <w:rPr>
          <w:rFonts w:ascii="Times New Roman" w:eastAsia="Times New Roman" w:hAnsi="Times New Roman"/>
          <w:b/>
          <w:color w:val="000000"/>
          <w:spacing w:val="4"/>
          <w:sz w:val="26"/>
          <w:szCs w:val="26"/>
        </w:rPr>
        <w:t>Notices Regarding Contract Expiration or Changes in Terms</w:t>
      </w:r>
    </w:p>
    <w:p w:rsidR="008B31D0" w:rsidRDefault="008B31D0" w:rsidP="008B31D0">
      <w:pPr>
        <w:spacing w:line="360" w:lineRule="auto"/>
        <w:rPr>
          <w:rFonts w:ascii="Times New Roman" w:eastAsia="Times New Roman" w:hAnsi="Times New Roman"/>
          <w:color w:val="000000"/>
          <w:spacing w:val="4"/>
          <w:sz w:val="26"/>
          <w:szCs w:val="26"/>
          <w:u w:val="single"/>
        </w:rPr>
      </w:pPr>
      <w:r>
        <w:rPr>
          <w:rFonts w:ascii="Times New Roman" w:eastAsia="Times New Roman" w:hAnsi="Times New Roman"/>
          <w:color w:val="000000"/>
          <w:spacing w:val="4"/>
          <w:sz w:val="26"/>
          <w:szCs w:val="26"/>
          <w:u w:val="single"/>
        </w:rPr>
        <w:t>Comments</w:t>
      </w:r>
    </w:p>
    <w:p w:rsidR="001A1513" w:rsidRPr="003853FC" w:rsidRDefault="001A1513" w:rsidP="001A1513">
      <w:pPr>
        <w:spacing w:line="360" w:lineRule="auto"/>
        <w:ind w:firstLine="720"/>
        <w:rPr>
          <w:rFonts w:ascii="Times New Roman" w:eastAsia="Times New Roman" w:hAnsi="Times New Roman"/>
          <w:color w:val="000000"/>
          <w:spacing w:val="4"/>
          <w:sz w:val="26"/>
          <w:szCs w:val="26"/>
        </w:rPr>
      </w:pPr>
      <w:r w:rsidRPr="003853FC">
        <w:rPr>
          <w:rFonts w:ascii="Times New Roman" w:eastAsia="Times New Roman" w:hAnsi="Times New Roman"/>
          <w:color w:val="000000"/>
          <w:spacing w:val="4"/>
          <w:sz w:val="26"/>
          <w:szCs w:val="26"/>
        </w:rPr>
        <w:t>RESA supports shorter time periods for sending out initial notices and options notices</w:t>
      </w:r>
      <w:r w:rsidR="00E35A57">
        <w:rPr>
          <w:rFonts w:ascii="Times New Roman" w:eastAsia="Times New Roman" w:hAnsi="Times New Roman"/>
          <w:color w:val="000000"/>
          <w:spacing w:val="4"/>
          <w:sz w:val="26"/>
          <w:szCs w:val="26"/>
        </w:rPr>
        <w:t xml:space="preserve">, concluding that </w:t>
      </w:r>
      <w:r w:rsidRPr="003853FC">
        <w:rPr>
          <w:rFonts w:ascii="Times New Roman" w:eastAsia="Times New Roman" w:hAnsi="Times New Roman"/>
          <w:color w:val="000000"/>
          <w:spacing w:val="4"/>
          <w:sz w:val="26"/>
          <w:szCs w:val="26"/>
        </w:rPr>
        <w:t xml:space="preserve">these time periods should mirror the requirements in the electric industry.  </w:t>
      </w:r>
      <w:proofErr w:type="gramStart"/>
      <w:r w:rsidR="009D7F64">
        <w:rPr>
          <w:rFonts w:ascii="Times New Roman" w:eastAsia="Times New Roman" w:hAnsi="Times New Roman"/>
          <w:color w:val="000000"/>
          <w:spacing w:val="4"/>
          <w:sz w:val="26"/>
          <w:szCs w:val="26"/>
        </w:rPr>
        <w:t xml:space="preserve">RESA </w:t>
      </w:r>
      <w:r w:rsidR="00E35A57">
        <w:rPr>
          <w:rFonts w:ascii="Times New Roman" w:eastAsia="Times New Roman" w:hAnsi="Times New Roman"/>
          <w:color w:val="000000"/>
          <w:spacing w:val="4"/>
          <w:sz w:val="26"/>
          <w:szCs w:val="26"/>
        </w:rPr>
        <w:t>C</w:t>
      </w:r>
      <w:r w:rsidRPr="003853FC">
        <w:rPr>
          <w:rFonts w:ascii="Times New Roman" w:eastAsia="Times New Roman" w:hAnsi="Times New Roman"/>
          <w:color w:val="000000"/>
          <w:spacing w:val="4"/>
          <w:sz w:val="26"/>
          <w:szCs w:val="26"/>
        </w:rPr>
        <w:t>omments at 5.</w:t>
      </w:r>
      <w:proofErr w:type="gramEnd"/>
      <w:r w:rsidRPr="003853FC">
        <w:rPr>
          <w:rFonts w:ascii="Times New Roman" w:eastAsia="Times New Roman" w:hAnsi="Times New Roman"/>
          <w:color w:val="000000"/>
          <w:spacing w:val="4"/>
          <w:sz w:val="26"/>
          <w:szCs w:val="26"/>
        </w:rPr>
        <w:t xml:space="preserve">  RESA urges the Commission to allow NGS</w:t>
      </w:r>
      <w:r w:rsidR="00432499">
        <w:rPr>
          <w:rFonts w:ascii="Times New Roman" w:eastAsia="Times New Roman" w:hAnsi="Times New Roman"/>
          <w:color w:val="000000"/>
          <w:spacing w:val="4"/>
          <w:sz w:val="26"/>
          <w:szCs w:val="26"/>
        </w:rPr>
        <w:t>s to send</w:t>
      </w:r>
      <w:r w:rsidRPr="003853FC">
        <w:rPr>
          <w:rFonts w:ascii="Times New Roman" w:eastAsia="Times New Roman" w:hAnsi="Times New Roman"/>
          <w:color w:val="000000"/>
          <w:spacing w:val="4"/>
          <w:sz w:val="26"/>
          <w:szCs w:val="26"/>
        </w:rPr>
        <w:t xml:space="preserve"> options notices electronically</w:t>
      </w:r>
      <w:r w:rsidR="00432499">
        <w:rPr>
          <w:rFonts w:ascii="Times New Roman" w:eastAsia="Times New Roman" w:hAnsi="Times New Roman"/>
          <w:color w:val="000000"/>
          <w:spacing w:val="4"/>
          <w:sz w:val="26"/>
          <w:szCs w:val="26"/>
        </w:rPr>
        <w:t>, as</w:t>
      </w:r>
      <w:r w:rsidRPr="003853FC">
        <w:rPr>
          <w:rFonts w:ascii="Times New Roman" w:eastAsia="Times New Roman" w:hAnsi="Times New Roman"/>
          <w:color w:val="000000"/>
          <w:spacing w:val="4"/>
          <w:sz w:val="26"/>
          <w:szCs w:val="26"/>
        </w:rPr>
        <w:t xml:space="preserve"> embedding in regulations a "first class mail" requirement </w:t>
      </w:r>
      <w:r w:rsidR="00432499">
        <w:rPr>
          <w:rFonts w:ascii="Times New Roman" w:eastAsia="Times New Roman" w:hAnsi="Times New Roman"/>
          <w:color w:val="000000"/>
          <w:spacing w:val="4"/>
          <w:sz w:val="26"/>
          <w:szCs w:val="26"/>
        </w:rPr>
        <w:t>will</w:t>
      </w:r>
      <w:r w:rsidRPr="003853FC">
        <w:rPr>
          <w:rFonts w:ascii="Times New Roman" w:eastAsia="Times New Roman" w:hAnsi="Times New Roman"/>
          <w:color w:val="000000"/>
          <w:spacing w:val="4"/>
          <w:sz w:val="26"/>
          <w:szCs w:val="26"/>
        </w:rPr>
        <w:t xml:space="preserve"> likely </w:t>
      </w:r>
      <w:r w:rsidR="00432499">
        <w:rPr>
          <w:rFonts w:ascii="Times New Roman" w:eastAsia="Times New Roman" w:hAnsi="Times New Roman"/>
          <w:color w:val="000000"/>
          <w:spacing w:val="4"/>
          <w:sz w:val="26"/>
          <w:szCs w:val="26"/>
        </w:rPr>
        <w:t>b</w:t>
      </w:r>
      <w:r w:rsidRPr="003853FC">
        <w:rPr>
          <w:rFonts w:ascii="Times New Roman" w:eastAsia="Times New Roman" w:hAnsi="Times New Roman"/>
          <w:color w:val="000000"/>
          <w:spacing w:val="4"/>
          <w:sz w:val="26"/>
          <w:szCs w:val="26"/>
        </w:rPr>
        <w:t>e</w:t>
      </w:r>
      <w:r w:rsidR="00432499">
        <w:rPr>
          <w:rFonts w:ascii="Times New Roman" w:eastAsia="Times New Roman" w:hAnsi="Times New Roman"/>
          <w:color w:val="000000"/>
          <w:spacing w:val="4"/>
          <w:sz w:val="26"/>
          <w:szCs w:val="26"/>
        </w:rPr>
        <w:t>come</w:t>
      </w:r>
      <w:r w:rsidRPr="003853FC">
        <w:rPr>
          <w:rFonts w:ascii="Times New Roman" w:eastAsia="Times New Roman" w:hAnsi="Times New Roman"/>
          <w:color w:val="000000"/>
          <w:spacing w:val="4"/>
          <w:sz w:val="26"/>
          <w:szCs w:val="26"/>
        </w:rPr>
        <w:t xml:space="preserve"> outdated in the very near future.</w:t>
      </w:r>
      <w:r w:rsidR="00432499">
        <w:rPr>
          <w:rFonts w:ascii="Times New Roman" w:eastAsia="Times New Roman" w:hAnsi="Times New Roman"/>
          <w:color w:val="000000"/>
          <w:spacing w:val="4"/>
          <w:sz w:val="26"/>
          <w:szCs w:val="26"/>
        </w:rPr>
        <w:t xml:space="preserve">  </w:t>
      </w:r>
      <w:proofErr w:type="gramStart"/>
      <w:r w:rsidR="00432499">
        <w:rPr>
          <w:rFonts w:ascii="Times New Roman" w:eastAsia="Times New Roman" w:hAnsi="Times New Roman"/>
          <w:i/>
          <w:color w:val="000000"/>
          <w:spacing w:val="4"/>
          <w:sz w:val="26"/>
          <w:szCs w:val="26"/>
        </w:rPr>
        <w:t>Id.</w:t>
      </w:r>
      <w:r w:rsidR="00432499">
        <w:rPr>
          <w:rFonts w:ascii="Times New Roman" w:eastAsia="Times New Roman" w:hAnsi="Times New Roman"/>
          <w:color w:val="000000"/>
          <w:spacing w:val="4"/>
          <w:sz w:val="26"/>
          <w:szCs w:val="26"/>
        </w:rPr>
        <w:t xml:space="preserve"> at 6.</w:t>
      </w:r>
      <w:proofErr w:type="gramEnd"/>
      <w:r w:rsidRPr="003853FC">
        <w:rPr>
          <w:rFonts w:ascii="Times New Roman" w:eastAsia="Times New Roman" w:hAnsi="Times New Roman"/>
          <w:color w:val="000000"/>
          <w:spacing w:val="4"/>
          <w:sz w:val="26"/>
          <w:szCs w:val="26"/>
        </w:rPr>
        <w:t xml:space="preserve"> </w:t>
      </w:r>
      <w:r w:rsidR="00432499">
        <w:rPr>
          <w:rFonts w:ascii="Times New Roman" w:eastAsia="Times New Roman" w:hAnsi="Times New Roman"/>
          <w:color w:val="000000"/>
          <w:spacing w:val="4"/>
          <w:sz w:val="26"/>
          <w:szCs w:val="26"/>
        </w:rPr>
        <w:t xml:space="preserve"> </w:t>
      </w:r>
      <w:r w:rsidRPr="003853FC">
        <w:rPr>
          <w:rFonts w:ascii="Times New Roman" w:eastAsia="Times New Roman" w:hAnsi="Times New Roman"/>
          <w:color w:val="000000"/>
          <w:spacing w:val="4"/>
          <w:sz w:val="26"/>
          <w:szCs w:val="26"/>
        </w:rPr>
        <w:t xml:space="preserve">RESA </w:t>
      </w:r>
      <w:r w:rsidRPr="003853FC">
        <w:rPr>
          <w:rFonts w:ascii="Times New Roman" w:eastAsia="Times New Roman" w:hAnsi="Times New Roman"/>
          <w:color w:val="000000"/>
          <w:spacing w:val="4"/>
          <w:sz w:val="26"/>
          <w:szCs w:val="26"/>
        </w:rPr>
        <w:lastRenderedPageBreak/>
        <w:t xml:space="preserve">argues that first class mail is already less effective than electronic notices for many customers who </w:t>
      </w:r>
      <w:r w:rsidR="00432499">
        <w:rPr>
          <w:rFonts w:ascii="Times New Roman" w:eastAsia="Times New Roman" w:hAnsi="Times New Roman"/>
          <w:color w:val="000000"/>
          <w:spacing w:val="4"/>
          <w:sz w:val="26"/>
          <w:szCs w:val="26"/>
        </w:rPr>
        <w:t xml:space="preserve">frequently </w:t>
      </w:r>
      <w:r w:rsidRPr="003853FC">
        <w:rPr>
          <w:rFonts w:ascii="Times New Roman" w:eastAsia="Times New Roman" w:hAnsi="Times New Roman"/>
          <w:color w:val="000000"/>
          <w:spacing w:val="4"/>
          <w:sz w:val="26"/>
          <w:szCs w:val="26"/>
        </w:rPr>
        <w:t xml:space="preserve">use smartphones and other </w:t>
      </w:r>
      <w:r w:rsidR="00432499">
        <w:rPr>
          <w:rFonts w:ascii="Times New Roman" w:eastAsia="Times New Roman" w:hAnsi="Times New Roman"/>
          <w:color w:val="000000"/>
          <w:spacing w:val="4"/>
          <w:sz w:val="26"/>
          <w:szCs w:val="26"/>
        </w:rPr>
        <w:t xml:space="preserve">electronic </w:t>
      </w:r>
      <w:r w:rsidRPr="003853FC">
        <w:rPr>
          <w:rFonts w:ascii="Times New Roman" w:eastAsia="Times New Roman" w:hAnsi="Times New Roman"/>
          <w:color w:val="000000"/>
          <w:spacing w:val="4"/>
          <w:sz w:val="26"/>
          <w:szCs w:val="26"/>
        </w:rPr>
        <w:t>devices.</w:t>
      </w:r>
      <w:r w:rsidR="00432499">
        <w:rPr>
          <w:rFonts w:ascii="Times New Roman" w:eastAsia="Times New Roman" w:hAnsi="Times New Roman"/>
          <w:color w:val="000000"/>
          <w:spacing w:val="4"/>
          <w:sz w:val="26"/>
          <w:szCs w:val="26"/>
        </w:rPr>
        <w:t xml:space="preserve">  </w:t>
      </w:r>
      <w:r w:rsidR="00432499">
        <w:rPr>
          <w:rFonts w:ascii="Times New Roman" w:eastAsia="Times New Roman" w:hAnsi="Times New Roman"/>
          <w:i/>
          <w:color w:val="000000"/>
          <w:spacing w:val="4"/>
          <w:sz w:val="26"/>
          <w:szCs w:val="26"/>
        </w:rPr>
        <w:t>Id.</w:t>
      </w:r>
      <w:r w:rsidRPr="003853FC">
        <w:rPr>
          <w:rFonts w:ascii="Times New Roman" w:eastAsia="Times New Roman" w:hAnsi="Times New Roman"/>
          <w:color w:val="000000"/>
          <w:spacing w:val="4"/>
          <w:sz w:val="26"/>
          <w:szCs w:val="26"/>
        </w:rPr>
        <w:t xml:space="preserve">  As to the content of the notices, RESA generally support</w:t>
      </w:r>
      <w:r w:rsidR="00432499">
        <w:rPr>
          <w:rFonts w:ascii="Times New Roman" w:eastAsia="Times New Roman" w:hAnsi="Times New Roman"/>
          <w:color w:val="000000"/>
          <w:spacing w:val="4"/>
          <w:sz w:val="26"/>
          <w:szCs w:val="26"/>
        </w:rPr>
        <w:t xml:space="preserve">s </w:t>
      </w:r>
      <w:r w:rsidRPr="003853FC">
        <w:rPr>
          <w:rFonts w:ascii="Times New Roman" w:eastAsia="Times New Roman" w:hAnsi="Times New Roman"/>
          <w:color w:val="000000"/>
          <w:spacing w:val="4"/>
          <w:sz w:val="26"/>
          <w:szCs w:val="26"/>
        </w:rPr>
        <w:t xml:space="preserve">the electric regulations, </w:t>
      </w:r>
      <w:r w:rsidR="00432499">
        <w:rPr>
          <w:rFonts w:ascii="Times New Roman" w:eastAsia="Times New Roman" w:hAnsi="Times New Roman"/>
          <w:color w:val="000000"/>
          <w:spacing w:val="4"/>
          <w:sz w:val="26"/>
          <w:szCs w:val="26"/>
        </w:rPr>
        <w:t xml:space="preserve">except </w:t>
      </w:r>
      <w:r w:rsidRPr="003853FC">
        <w:rPr>
          <w:rFonts w:ascii="Times New Roman" w:eastAsia="Times New Roman" w:hAnsi="Times New Roman"/>
          <w:color w:val="000000"/>
          <w:spacing w:val="4"/>
          <w:sz w:val="26"/>
          <w:szCs w:val="26"/>
        </w:rPr>
        <w:t>the requirement for a 30-day advance notice of a price change to a customer who is on a fixed price contract that automatically renews to a month-to-month product, where the price is potentially changing every month.</w:t>
      </w:r>
      <w:r w:rsidR="00432499">
        <w:rPr>
          <w:rFonts w:ascii="Times New Roman" w:eastAsia="Times New Roman" w:hAnsi="Times New Roman"/>
          <w:color w:val="000000"/>
          <w:spacing w:val="4"/>
          <w:sz w:val="26"/>
          <w:szCs w:val="26"/>
        </w:rPr>
        <w:t xml:space="preserve">  </w:t>
      </w:r>
      <w:r w:rsidR="00432499">
        <w:rPr>
          <w:rFonts w:ascii="Times New Roman" w:eastAsia="Times New Roman" w:hAnsi="Times New Roman"/>
          <w:i/>
          <w:color w:val="000000"/>
          <w:spacing w:val="4"/>
          <w:sz w:val="26"/>
          <w:szCs w:val="26"/>
        </w:rPr>
        <w:t>Id.</w:t>
      </w:r>
      <w:r w:rsidR="00432499">
        <w:rPr>
          <w:rFonts w:ascii="Times New Roman" w:eastAsia="Times New Roman" w:hAnsi="Times New Roman"/>
          <w:color w:val="000000"/>
          <w:spacing w:val="4"/>
          <w:sz w:val="26"/>
          <w:szCs w:val="26"/>
        </w:rPr>
        <w:t xml:space="preserve"> at 6-7.</w:t>
      </w:r>
      <w:r w:rsidRPr="003853FC">
        <w:rPr>
          <w:rFonts w:ascii="Times New Roman" w:eastAsia="Times New Roman" w:hAnsi="Times New Roman"/>
          <w:color w:val="000000"/>
          <w:spacing w:val="4"/>
          <w:sz w:val="26"/>
          <w:szCs w:val="26"/>
        </w:rPr>
        <w:t xml:space="preserve">  RESA contends that even if NGSs </w:t>
      </w:r>
      <w:r w:rsidR="00432499">
        <w:rPr>
          <w:rFonts w:ascii="Times New Roman" w:eastAsia="Times New Roman" w:hAnsi="Times New Roman"/>
          <w:color w:val="000000"/>
          <w:spacing w:val="4"/>
          <w:sz w:val="26"/>
          <w:szCs w:val="26"/>
        </w:rPr>
        <w:t>could</w:t>
      </w:r>
      <w:r w:rsidRPr="003853FC">
        <w:rPr>
          <w:rFonts w:ascii="Times New Roman" w:eastAsia="Times New Roman" w:hAnsi="Times New Roman"/>
          <w:color w:val="000000"/>
          <w:spacing w:val="4"/>
          <w:sz w:val="26"/>
          <w:szCs w:val="26"/>
        </w:rPr>
        <w:t xml:space="preserve"> accurately forecast index prices far enough in advance to satisfy the 30-day notice requirement, the </w:t>
      </w:r>
      <w:r w:rsidR="00432499">
        <w:rPr>
          <w:rFonts w:ascii="Times New Roman" w:eastAsia="Times New Roman" w:hAnsi="Times New Roman"/>
          <w:color w:val="000000"/>
          <w:spacing w:val="4"/>
          <w:sz w:val="26"/>
          <w:szCs w:val="26"/>
        </w:rPr>
        <w:t xml:space="preserve">mailing </w:t>
      </w:r>
      <w:r w:rsidRPr="003853FC">
        <w:rPr>
          <w:rFonts w:ascii="Times New Roman" w:eastAsia="Times New Roman" w:hAnsi="Times New Roman"/>
          <w:color w:val="000000"/>
          <w:spacing w:val="4"/>
          <w:sz w:val="26"/>
          <w:szCs w:val="26"/>
        </w:rPr>
        <w:t>cost</w:t>
      </w:r>
      <w:r w:rsidR="00432499">
        <w:rPr>
          <w:rFonts w:ascii="Times New Roman" w:eastAsia="Times New Roman" w:hAnsi="Times New Roman"/>
          <w:color w:val="000000"/>
          <w:spacing w:val="4"/>
          <w:sz w:val="26"/>
          <w:szCs w:val="26"/>
        </w:rPr>
        <w:t>s</w:t>
      </w:r>
      <w:r w:rsidRPr="003853FC">
        <w:rPr>
          <w:rFonts w:ascii="Times New Roman" w:eastAsia="Times New Roman" w:hAnsi="Times New Roman"/>
          <w:color w:val="000000"/>
          <w:spacing w:val="4"/>
          <w:sz w:val="26"/>
          <w:szCs w:val="26"/>
        </w:rPr>
        <w:t xml:space="preserve"> would be extremely high</w:t>
      </w:r>
      <w:r w:rsidR="00432499">
        <w:rPr>
          <w:rFonts w:ascii="Times New Roman" w:eastAsia="Times New Roman" w:hAnsi="Times New Roman"/>
          <w:color w:val="000000"/>
          <w:spacing w:val="4"/>
          <w:sz w:val="26"/>
          <w:szCs w:val="26"/>
        </w:rPr>
        <w:t>, and the mailing itself</w:t>
      </w:r>
      <w:r w:rsidRPr="003853FC">
        <w:rPr>
          <w:rFonts w:ascii="Times New Roman" w:eastAsia="Times New Roman" w:hAnsi="Times New Roman"/>
          <w:color w:val="000000"/>
          <w:spacing w:val="4"/>
          <w:sz w:val="26"/>
          <w:szCs w:val="26"/>
        </w:rPr>
        <w:t xml:space="preserve"> would confuse </w:t>
      </w:r>
      <w:r w:rsidR="00432499">
        <w:rPr>
          <w:rFonts w:ascii="Times New Roman" w:eastAsia="Times New Roman" w:hAnsi="Times New Roman"/>
          <w:color w:val="000000"/>
          <w:spacing w:val="4"/>
          <w:sz w:val="26"/>
          <w:szCs w:val="26"/>
        </w:rPr>
        <w:t xml:space="preserve">and inundate the customer with information </w:t>
      </w:r>
      <w:r w:rsidRPr="003853FC">
        <w:rPr>
          <w:rFonts w:ascii="Times New Roman" w:eastAsia="Times New Roman" w:hAnsi="Times New Roman"/>
          <w:color w:val="000000"/>
          <w:spacing w:val="4"/>
          <w:sz w:val="26"/>
          <w:szCs w:val="26"/>
        </w:rPr>
        <w:t>on a regular basis.</w:t>
      </w:r>
      <w:r w:rsidR="00432499">
        <w:rPr>
          <w:rFonts w:ascii="Times New Roman" w:eastAsia="Times New Roman" w:hAnsi="Times New Roman"/>
          <w:color w:val="000000"/>
          <w:spacing w:val="4"/>
          <w:sz w:val="26"/>
          <w:szCs w:val="26"/>
        </w:rPr>
        <w:t xml:space="preserve">  </w:t>
      </w:r>
      <w:r w:rsidR="00432499">
        <w:rPr>
          <w:rFonts w:ascii="Times New Roman" w:eastAsia="Times New Roman" w:hAnsi="Times New Roman"/>
          <w:i/>
          <w:color w:val="000000"/>
          <w:spacing w:val="4"/>
          <w:sz w:val="26"/>
          <w:szCs w:val="26"/>
        </w:rPr>
        <w:t>Id.</w:t>
      </w:r>
      <w:r w:rsidRPr="003853FC">
        <w:rPr>
          <w:rFonts w:ascii="Times New Roman" w:eastAsia="Times New Roman" w:hAnsi="Times New Roman"/>
          <w:color w:val="000000"/>
          <w:spacing w:val="4"/>
          <w:sz w:val="26"/>
          <w:szCs w:val="26"/>
        </w:rPr>
        <w:t xml:space="preserve">  Regarding the rules that should be implemented to address the situation when a customer fails to respond to either the initial or options notice, RESA supports the approach adopted by the Commission for the e</w:t>
      </w:r>
      <w:r w:rsidR="00432499">
        <w:rPr>
          <w:rFonts w:ascii="Times New Roman" w:eastAsia="Times New Roman" w:hAnsi="Times New Roman"/>
          <w:color w:val="000000"/>
          <w:spacing w:val="4"/>
          <w:sz w:val="26"/>
          <w:szCs w:val="26"/>
        </w:rPr>
        <w:t xml:space="preserve">lectric industry.  </w:t>
      </w:r>
      <w:proofErr w:type="gramStart"/>
      <w:r w:rsidR="00432499">
        <w:rPr>
          <w:rFonts w:ascii="Times New Roman" w:eastAsia="Times New Roman" w:hAnsi="Times New Roman"/>
          <w:i/>
          <w:color w:val="000000"/>
          <w:spacing w:val="4"/>
          <w:sz w:val="26"/>
          <w:szCs w:val="26"/>
        </w:rPr>
        <w:t>Id.</w:t>
      </w:r>
      <w:r w:rsidRPr="003853FC">
        <w:rPr>
          <w:rFonts w:ascii="Times New Roman" w:eastAsia="Times New Roman" w:hAnsi="Times New Roman"/>
          <w:color w:val="000000"/>
          <w:spacing w:val="4"/>
          <w:sz w:val="26"/>
          <w:szCs w:val="26"/>
        </w:rPr>
        <w:t xml:space="preserve"> at 7.</w:t>
      </w:r>
      <w:proofErr w:type="gramEnd"/>
    </w:p>
    <w:p w:rsidR="006C55C1" w:rsidRDefault="006C55C1" w:rsidP="001A1513">
      <w:pPr>
        <w:spacing w:line="360" w:lineRule="auto"/>
        <w:rPr>
          <w:rFonts w:ascii="Times New Roman" w:eastAsia="Times New Roman" w:hAnsi="Times New Roman"/>
          <w:color w:val="000000"/>
          <w:spacing w:val="4"/>
          <w:sz w:val="26"/>
          <w:szCs w:val="26"/>
        </w:rPr>
      </w:pPr>
    </w:p>
    <w:p w:rsidR="001A1513" w:rsidRDefault="009D7F64" w:rsidP="006C55C1">
      <w:pPr>
        <w:spacing w:line="360" w:lineRule="auto"/>
        <w:ind w:firstLine="720"/>
        <w:rPr>
          <w:rFonts w:ascii="Times New Roman" w:eastAsia="Times New Roman" w:hAnsi="Times New Roman"/>
          <w:color w:val="000000"/>
          <w:sz w:val="26"/>
          <w:szCs w:val="26"/>
        </w:rPr>
      </w:pPr>
      <w:r>
        <w:rPr>
          <w:rFonts w:ascii="Times New Roman" w:eastAsia="Times New Roman" w:hAnsi="Times New Roman"/>
          <w:color w:val="000000"/>
          <w:spacing w:val="4"/>
          <w:sz w:val="26"/>
          <w:szCs w:val="26"/>
        </w:rPr>
        <w:t>The NGS P</w:t>
      </w:r>
      <w:r w:rsidR="00432499">
        <w:rPr>
          <w:rFonts w:ascii="Times New Roman" w:eastAsia="Times New Roman" w:hAnsi="Times New Roman"/>
          <w:color w:val="000000"/>
          <w:spacing w:val="4"/>
          <w:sz w:val="26"/>
          <w:szCs w:val="26"/>
        </w:rPr>
        <w:t>arties</w:t>
      </w:r>
      <w:r>
        <w:rPr>
          <w:rFonts w:ascii="Times New Roman" w:eastAsia="Times New Roman" w:hAnsi="Times New Roman"/>
          <w:color w:val="000000"/>
          <w:spacing w:val="4"/>
          <w:sz w:val="26"/>
          <w:szCs w:val="26"/>
        </w:rPr>
        <w:t xml:space="preserve"> believe the provision of two notices in scenarios where a supplier is not proposing a change can be burdensome to customers and suppliers</w:t>
      </w:r>
      <w:r w:rsidR="001A1513" w:rsidRPr="003853FC">
        <w:rPr>
          <w:rFonts w:ascii="Times New Roman" w:eastAsia="Times New Roman" w:hAnsi="Times New Roman"/>
          <w:color w:val="000000"/>
          <w:spacing w:val="4"/>
          <w:sz w:val="26"/>
          <w:szCs w:val="26"/>
        </w:rPr>
        <w:t>.</w:t>
      </w:r>
      <w:r w:rsidR="00432499">
        <w:rPr>
          <w:rFonts w:ascii="Times New Roman" w:eastAsia="Times New Roman" w:hAnsi="Times New Roman"/>
          <w:color w:val="000000"/>
          <w:spacing w:val="4"/>
          <w:sz w:val="26"/>
          <w:szCs w:val="26"/>
        </w:rPr>
        <w:t xml:space="preserve">  </w:t>
      </w:r>
      <w:proofErr w:type="gramStart"/>
      <w:r>
        <w:rPr>
          <w:rFonts w:ascii="Times New Roman" w:eastAsia="Times New Roman" w:hAnsi="Times New Roman"/>
          <w:color w:val="000000"/>
          <w:spacing w:val="4"/>
          <w:sz w:val="26"/>
          <w:szCs w:val="26"/>
        </w:rPr>
        <w:t xml:space="preserve">NGS Parties </w:t>
      </w:r>
      <w:r w:rsidR="00432499">
        <w:rPr>
          <w:rFonts w:ascii="Times New Roman" w:eastAsia="Times New Roman" w:hAnsi="Times New Roman"/>
          <w:color w:val="000000"/>
          <w:spacing w:val="4"/>
          <w:sz w:val="26"/>
          <w:szCs w:val="26"/>
        </w:rPr>
        <w:t>Comments at</w:t>
      </w:r>
      <w:r w:rsidR="001273B3">
        <w:rPr>
          <w:rFonts w:ascii="Times New Roman" w:eastAsia="Times New Roman" w:hAnsi="Times New Roman"/>
          <w:color w:val="000000"/>
          <w:spacing w:val="4"/>
          <w:sz w:val="26"/>
          <w:szCs w:val="26"/>
        </w:rPr>
        <w:t xml:space="preserve"> 9.</w:t>
      </w:r>
      <w:proofErr w:type="gramEnd"/>
      <w:r w:rsidR="001A1513" w:rsidRPr="003853FC">
        <w:rPr>
          <w:rFonts w:ascii="Times New Roman" w:eastAsia="Times New Roman" w:hAnsi="Times New Roman"/>
          <w:color w:val="000000"/>
          <w:spacing w:val="4"/>
          <w:sz w:val="26"/>
          <w:szCs w:val="26"/>
        </w:rPr>
        <w:t xml:space="preserve">  In general, the NGS Parties </w:t>
      </w:r>
      <w:r w:rsidR="00F56F14">
        <w:rPr>
          <w:rFonts w:ascii="Times New Roman" w:eastAsia="Times New Roman" w:hAnsi="Times New Roman"/>
          <w:color w:val="000000"/>
          <w:spacing w:val="4"/>
          <w:sz w:val="26"/>
          <w:szCs w:val="26"/>
        </w:rPr>
        <w:t>do not oppose</w:t>
      </w:r>
      <w:r w:rsidR="001A1513" w:rsidRPr="003853FC">
        <w:rPr>
          <w:rFonts w:ascii="Times New Roman" w:eastAsia="Times New Roman" w:hAnsi="Times New Roman"/>
          <w:color w:val="000000"/>
          <w:spacing w:val="4"/>
          <w:sz w:val="26"/>
          <w:szCs w:val="26"/>
        </w:rPr>
        <w:t xml:space="preserve"> the recent revisions to the regulations for EGSs</w:t>
      </w:r>
      <w:r w:rsidR="001273B3">
        <w:rPr>
          <w:rFonts w:ascii="Times New Roman" w:eastAsia="Times New Roman" w:hAnsi="Times New Roman"/>
          <w:color w:val="000000"/>
          <w:spacing w:val="4"/>
          <w:sz w:val="26"/>
          <w:szCs w:val="26"/>
        </w:rPr>
        <w:t xml:space="preserve"> in the electric industry</w:t>
      </w:r>
      <w:r w:rsidR="001A1513" w:rsidRPr="003853FC">
        <w:rPr>
          <w:rFonts w:ascii="Times New Roman" w:eastAsia="Times New Roman" w:hAnsi="Times New Roman"/>
          <w:color w:val="000000"/>
          <w:spacing w:val="4"/>
          <w:sz w:val="26"/>
          <w:szCs w:val="26"/>
        </w:rPr>
        <w:t xml:space="preserve">.  </w:t>
      </w:r>
      <w:r w:rsidR="001273B3">
        <w:rPr>
          <w:rFonts w:ascii="Times New Roman" w:eastAsia="Times New Roman" w:hAnsi="Times New Roman"/>
          <w:i/>
          <w:color w:val="000000"/>
          <w:spacing w:val="4"/>
          <w:sz w:val="26"/>
          <w:szCs w:val="26"/>
        </w:rPr>
        <w:t>See id</w:t>
      </w:r>
      <w:r w:rsidR="001A1513" w:rsidRPr="003853FC">
        <w:rPr>
          <w:rFonts w:ascii="Times New Roman" w:eastAsia="Times New Roman" w:hAnsi="Times New Roman"/>
          <w:color w:val="000000"/>
          <w:spacing w:val="4"/>
          <w:sz w:val="26"/>
          <w:szCs w:val="26"/>
        </w:rPr>
        <w:t xml:space="preserve">.  However, like RESA, the NGS Parties </w:t>
      </w:r>
      <w:r w:rsidR="001273B3">
        <w:rPr>
          <w:rFonts w:ascii="Times New Roman" w:eastAsia="Times New Roman" w:hAnsi="Times New Roman"/>
          <w:color w:val="000000"/>
          <w:spacing w:val="4"/>
          <w:sz w:val="26"/>
          <w:szCs w:val="26"/>
        </w:rPr>
        <w:t xml:space="preserve">find fault in </w:t>
      </w:r>
      <w:r w:rsidR="001A1513" w:rsidRPr="003853FC">
        <w:rPr>
          <w:rFonts w:ascii="Times New Roman" w:eastAsia="Times New Roman" w:hAnsi="Times New Roman"/>
          <w:color w:val="000000"/>
          <w:spacing w:val="4"/>
          <w:sz w:val="26"/>
          <w:szCs w:val="26"/>
        </w:rPr>
        <w:t xml:space="preserve">the requirement for </w:t>
      </w:r>
      <w:r w:rsidR="001A1513" w:rsidRPr="003853FC">
        <w:rPr>
          <w:rFonts w:ascii="Times New Roman" w:eastAsia="Times New Roman" w:hAnsi="Times New Roman"/>
          <w:color w:val="000000"/>
          <w:sz w:val="26"/>
          <w:szCs w:val="26"/>
        </w:rPr>
        <w:t>30-days</w:t>
      </w:r>
      <w:r w:rsidR="00FC61D7">
        <w:rPr>
          <w:rFonts w:ascii="Times New Roman" w:eastAsia="Times New Roman" w:hAnsi="Times New Roman"/>
          <w:color w:val="000000"/>
          <w:sz w:val="26"/>
          <w:szCs w:val="26"/>
        </w:rPr>
        <w:t>’</w:t>
      </w:r>
      <w:r w:rsidR="001A1513" w:rsidRPr="003853FC">
        <w:rPr>
          <w:rFonts w:ascii="Times New Roman" w:eastAsia="Times New Roman" w:hAnsi="Times New Roman"/>
          <w:color w:val="000000"/>
          <w:sz w:val="26"/>
          <w:szCs w:val="26"/>
        </w:rPr>
        <w:t xml:space="preserve"> advance notice of price changes</w:t>
      </w:r>
      <w:r w:rsidR="001273B3">
        <w:rPr>
          <w:rFonts w:ascii="Times New Roman" w:eastAsia="Times New Roman" w:hAnsi="Times New Roman"/>
          <w:color w:val="000000"/>
          <w:sz w:val="26"/>
          <w:szCs w:val="26"/>
        </w:rPr>
        <w:t xml:space="preserve">, opining that this requirement essentially </w:t>
      </w:r>
      <w:r w:rsidR="001A1513" w:rsidRPr="003853FC">
        <w:rPr>
          <w:rFonts w:ascii="Times New Roman" w:eastAsia="Times New Roman" w:hAnsi="Times New Roman"/>
          <w:color w:val="000000"/>
          <w:sz w:val="26"/>
          <w:szCs w:val="26"/>
        </w:rPr>
        <w:t xml:space="preserve">eliminates the opportunity for </w:t>
      </w:r>
      <w:r>
        <w:rPr>
          <w:rFonts w:ascii="Times New Roman" w:eastAsia="Times New Roman" w:hAnsi="Times New Roman"/>
          <w:color w:val="000000"/>
          <w:sz w:val="26"/>
          <w:szCs w:val="26"/>
        </w:rPr>
        <w:t>suppliers to provide any market-</w:t>
      </w:r>
      <w:r w:rsidR="001A1513" w:rsidRPr="003853FC">
        <w:rPr>
          <w:rFonts w:ascii="Times New Roman" w:eastAsia="Times New Roman" w:hAnsi="Times New Roman"/>
          <w:color w:val="000000"/>
          <w:sz w:val="26"/>
          <w:szCs w:val="26"/>
        </w:rPr>
        <w:t>sensitive variable rate to customers</w:t>
      </w:r>
      <w:r w:rsidR="001273B3">
        <w:rPr>
          <w:rFonts w:ascii="Times New Roman" w:eastAsia="Times New Roman" w:hAnsi="Times New Roman"/>
          <w:color w:val="000000"/>
          <w:sz w:val="26"/>
          <w:szCs w:val="26"/>
        </w:rPr>
        <w:t>, meaning that</w:t>
      </w:r>
      <w:r w:rsidR="001A1513" w:rsidRPr="003853FC">
        <w:rPr>
          <w:rFonts w:ascii="Times New Roman" w:eastAsia="Times New Roman" w:hAnsi="Times New Roman"/>
          <w:color w:val="000000"/>
          <w:sz w:val="26"/>
          <w:szCs w:val="26"/>
        </w:rPr>
        <w:t xml:space="preserve"> suppliers will have to hedge or purchase supply well in advance.</w:t>
      </w:r>
      <w:r w:rsidR="001273B3">
        <w:rPr>
          <w:rFonts w:ascii="Times New Roman" w:eastAsia="Times New Roman" w:hAnsi="Times New Roman"/>
          <w:color w:val="000000"/>
          <w:sz w:val="26"/>
          <w:szCs w:val="26"/>
        </w:rPr>
        <w:t xml:space="preserve">  </w:t>
      </w:r>
      <w:r w:rsidR="001273B3">
        <w:rPr>
          <w:rFonts w:ascii="Times New Roman" w:eastAsia="Times New Roman" w:hAnsi="Times New Roman"/>
          <w:i/>
          <w:color w:val="000000"/>
          <w:sz w:val="26"/>
          <w:szCs w:val="26"/>
        </w:rPr>
        <w:t>Id.</w:t>
      </w:r>
      <w:r w:rsidR="001273B3">
        <w:rPr>
          <w:rFonts w:ascii="Times New Roman" w:eastAsia="Times New Roman" w:hAnsi="Times New Roman"/>
          <w:color w:val="000000"/>
          <w:sz w:val="26"/>
          <w:szCs w:val="26"/>
        </w:rPr>
        <w:t xml:space="preserve"> at 9-10.</w:t>
      </w:r>
      <w:r w:rsidR="001A1513" w:rsidRPr="003853FC">
        <w:rPr>
          <w:rFonts w:ascii="Times New Roman" w:eastAsia="Times New Roman" w:hAnsi="Times New Roman"/>
          <w:color w:val="000000"/>
          <w:sz w:val="26"/>
          <w:szCs w:val="26"/>
        </w:rPr>
        <w:t xml:space="preserve">  The NGS Parties </w:t>
      </w:r>
      <w:r w:rsidR="001273B3">
        <w:rPr>
          <w:rFonts w:ascii="Times New Roman" w:eastAsia="Times New Roman" w:hAnsi="Times New Roman"/>
          <w:color w:val="000000"/>
          <w:sz w:val="26"/>
          <w:szCs w:val="26"/>
        </w:rPr>
        <w:t>predict</w:t>
      </w:r>
      <w:r w:rsidR="001A1513" w:rsidRPr="003853FC">
        <w:rPr>
          <w:rFonts w:ascii="Times New Roman" w:eastAsia="Times New Roman" w:hAnsi="Times New Roman"/>
          <w:color w:val="000000"/>
          <w:sz w:val="26"/>
          <w:szCs w:val="26"/>
        </w:rPr>
        <w:t xml:space="preserve"> that this “will eliminate the sort of flexibility that some customers may fi</w:t>
      </w:r>
      <w:r w:rsidR="001273B3">
        <w:rPr>
          <w:rFonts w:ascii="Times New Roman" w:eastAsia="Times New Roman" w:hAnsi="Times New Roman"/>
          <w:color w:val="000000"/>
          <w:sz w:val="26"/>
          <w:szCs w:val="26"/>
        </w:rPr>
        <w:t xml:space="preserve">nd useful.”  </w:t>
      </w:r>
      <w:proofErr w:type="gramStart"/>
      <w:r w:rsidR="001273B3">
        <w:rPr>
          <w:rFonts w:ascii="Times New Roman" w:eastAsia="Times New Roman" w:hAnsi="Times New Roman"/>
          <w:i/>
          <w:color w:val="000000"/>
          <w:sz w:val="26"/>
          <w:szCs w:val="26"/>
        </w:rPr>
        <w:t xml:space="preserve">Id. </w:t>
      </w:r>
      <w:r w:rsidR="001A1513" w:rsidRPr="003853FC">
        <w:rPr>
          <w:rFonts w:ascii="Times New Roman" w:eastAsia="Times New Roman" w:hAnsi="Times New Roman"/>
          <w:color w:val="000000"/>
          <w:sz w:val="26"/>
          <w:szCs w:val="26"/>
        </w:rPr>
        <w:t>at 10.</w:t>
      </w:r>
      <w:proofErr w:type="gramEnd"/>
      <w:r w:rsidR="001A1513" w:rsidRPr="003853FC">
        <w:rPr>
          <w:rFonts w:ascii="Times New Roman" w:eastAsia="Times New Roman" w:hAnsi="Times New Roman"/>
          <w:color w:val="000000"/>
          <w:sz w:val="26"/>
          <w:szCs w:val="26"/>
        </w:rPr>
        <w:t xml:space="preserve">  </w:t>
      </w:r>
    </w:p>
    <w:p w:rsidR="009D7F64" w:rsidRPr="003853FC" w:rsidRDefault="009D7F64" w:rsidP="006C55C1">
      <w:pPr>
        <w:spacing w:line="360" w:lineRule="auto"/>
        <w:ind w:firstLine="720"/>
        <w:rPr>
          <w:rFonts w:ascii="Times New Roman" w:eastAsia="Times New Roman" w:hAnsi="Times New Roman"/>
          <w:color w:val="000000"/>
          <w:sz w:val="26"/>
          <w:szCs w:val="26"/>
        </w:rPr>
      </w:pPr>
    </w:p>
    <w:p w:rsidR="001A1513" w:rsidRPr="003853FC" w:rsidRDefault="001A1513" w:rsidP="006C55C1">
      <w:pPr>
        <w:spacing w:line="360" w:lineRule="auto"/>
        <w:ind w:firstLine="720"/>
        <w:rPr>
          <w:rFonts w:ascii="Times New Roman" w:eastAsia="Times New Roman" w:hAnsi="Times New Roman"/>
          <w:color w:val="000000"/>
          <w:sz w:val="26"/>
          <w:szCs w:val="26"/>
        </w:rPr>
      </w:pPr>
      <w:r w:rsidRPr="003853FC">
        <w:rPr>
          <w:rFonts w:ascii="Times New Roman" w:eastAsia="Times New Roman" w:hAnsi="Times New Roman"/>
          <w:color w:val="000000"/>
          <w:sz w:val="26"/>
          <w:szCs w:val="26"/>
        </w:rPr>
        <w:t xml:space="preserve">WGL </w:t>
      </w:r>
      <w:r w:rsidR="001273B3">
        <w:rPr>
          <w:rFonts w:ascii="Times New Roman" w:eastAsia="Times New Roman" w:hAnsi="Times New Roman"/>
          <w:color w:val="000000"/>
          <w:sz w:val="26"/>
          <w:szCs w:val="26"/>
        </w:rPr>
        <w:t>Energy submits that the rules in 52 Pa. Code</w:t>
      </w:r>
      <w:r w:rsidRPr="003853FC">
        <w:rPr>
          <w:rFonts w:ascii="Times New Roman" w:eastAsia="Times New Roman" w:hAnsi="Times New Roman"/>
          <w:color w:val="000000"/>
          <w:sz w:val="26"/>
          <w:szCs w:val="26"/>
        </w:rPr>
        <w:t xml:space="preserve"> § 54.10 pertaining to the two </w:t>
      </w:r>
      <w:r w:rsidR="001273B3">
        <w:rPr>
          <w:rFonts w:ascii="Times New Roman" w:eastAsia="Times New Roman" w:hAnsi="Times New Roman"/>
          <w:color w:val="000000"/>
          <w:sz w:val="26"/>
          <w:szCs w:val="26"/>
        </w:rPr>
        <w:t xml:space="preserve">required </w:t>
      </w:r>
      <w:r w:rsidRPr="003853FC">
        <w:rPr>
          <w:rFonts w:ascii="Times New Roman" w:eastAsia="Times New Roman" w:hAnsi="Times New Roman"/>
          <w:color w:val="000000"/>
          <w:sz w:val="26"/>
          <w:szCs w:val="26"/>
        </w:rPr>
        <w:t xml:space="preserve">notices </w:t>
      </w:r>
      <w:r w:rsidR="001273B3">
        <w:rPr>
          <w:rFonts w:ascii="Times New Roman" w:eastAsia="Times New Roman" w:hAnsi="Times New Roman"/>
          <w:color w:val="000000"/>
          <w:sz w:val="26"/>
          <w:szCs w:val="26"/>
        </w:rPr>
        <w:t>(</w:t>
      </w:r>
      <w:r w:rsidRPr="003853FC">
        <w:rPr>
          <w:rFonts w:ascii="Times New Roman" w:eastAsia="Times New Roman" w:hAnsi="Times New Roman"/>
          <w:color w:val="000000"/>
          <w:sz w:val="26"/>
          <w:szCs w:val="26"/>
        </w:rPr>
        <w:t xml:space="preserve">that </w:t>
      </w:r>
      <w:r w:rsidR="001273B3">
        <w:rPr>
          <w:rFonts w:ascii="Times New Roman" w:eastAsia="Times New Roman" w:hAnsi="Times New Roman"/>
          <w:color w:val="000000"/>
          <w:sz w:val="26"/>
          <w:szCs w:val="26"/>
        </w:rPr>
        <w:t xml:space="preserve">an EGS must provide to an electric </w:t>
      </w:r>
      <w:r w:rsidRPr="003853FC">
        <w:rPr>
          <w:rFonts w:ascii="Times New Roman" w:eastAsia="Times New Roman" w:hAnsi="Times New Roman"/>
          <w:color w:val="000000"/>
          <w:sz w:val="26"/>
          <w:szCs w:val="26"/>
        </w:rPr>
        <w:t>customer with an expiring contract</w:t>
      </w:r>
      <w:r w:rsidR="001273B3">
        <w:rPr>
          <w:rFonts w:ascii="Times New Roman" w:eastAsia="Times New Roman" w:hAnsi="Times New Roman"/>
          <w:color w:val="000000"/>
          <w:sz w:val="26"/>
          <w:szCs w:val="26"/>
        </w:rPr>
        <w:t xml:space="preserve">) </w:t>
      </w:r>
      <w:r w:rsidRPr="003853FC">
        <w:rPr>
          <w:rFonts w:ascii="Times New Roman" w:eastAsia="Times New Roman" w:hAnsi="Times New Roman"/>
          <w:color w:val="000000"/>
          <w:sz w:val="26"/>
          <w:szCs w:val="26"/>
        </w:rPr>
        <w:t xml:space="preserve">should not be adopted in </w:t>
      </w:r>
      <w:r w:rsidR="001273B3">
        <w:rPr>
          <w:rFonts w:ascii="Times New Roman" w:eastAsia="Times New Roman" w:hAnsi="Times New Roman"/>
          <w:color w:val="000000"/>
          <w:sz w:val="26"/>
          <w:szCs w:val="26"/>
        </w:rPr>
        <w:t xml:space="preserve">the </w:t>
      </w:r>
      <w:r w:rsidRPr="003853FC">
        <w:rPr>
          <w:rFonts w:ascii="Times New Roman" w:eastAsia="Times New Roman" w:hAnsi="Times New Roman"/>
          <w:color w:val="000000"/>
          <w:sz w:val="26"/>
          <w:szCs w:val="26"/>
        </w:rPr>
        <w:t xml:space="preserve">revised gas supplier disclosure regulations because these regulations are very difficult to interpret.   </w:t>
      </w:r>
      <w:r w:rsidR="009D7F64">
        <w:rPr>
          <w:rFonts w:ascii="Times New Roman" w:eastAsia="Times New Roman" w:hAnsi="Times New Roman"/>
          <w:color w:val="000000"/>
          <w:sz w:val="26"/>
          <w:szCs w:val="26"/>
        </w:rPr>
        <w:t xml:space="preserve">WGL Energy </w:t>
      </w:r>
      <w:r w:rsidR="001273B3">
        <w:rPr>
          <w:rFonts w:ascii="Times New Roman" w:eastAsia="Times New Roman" w:hAnsi="Times New Roman"/>
          <w:color w:val="000000"/>
          <w:sz w:val="26"/>
          <w:szCs w:val="26"/>
        </w:rPr>
        <w:t>Comments</w:t>
      </w:r>
      <w:r w:rsidRPr="003853FC">
        <w:rPr>
          <w:rFonts w:ascii="Times New Roman" w:eastAsia="Times New Roman" w:hAnsi="Times New Roman"/>
          <w:color w:val="000000"/>
          <w:sz w:val="26"/>
          <w:szCs w:val="26"/>
        </w:rPr>
        <w:t xml:space="preserve"> at 5-6.  WGL </w:t>
      </w:r>
      <w:r w:rsidR="001273B3">
        <w:rPr>
          <w:rFonts w:ascii="Times New Roman" w:eastAsia="Times New Roman" w:hAnsi="Times New Roman"/>
          <w:color w:val="000000"/>
          <w:sz w:val="26"/>
          <w:szCs w:val="26"/>
        </w:rPr>
        <w:t xml:space="preserve">Energy </w:t>
      </w:r>
      <w:r w:rsidRPr="003853FC">
        <w:rPr>
          <w:rFonts w:ascii="Times New Roman" w:eastAsia="Times New Roman" w:hAnsi="Times New Roman"/>
          <w:color w:val="000000"/>
          <w:sz w:val="26"/>
          <w:szCs w:val="26"/>
        </w:rPr>
        <w:t xml:space="preserve">contends that a better rule </w:t>
      </w:r>
      <w:r w:rsidR="00653510">
        <w:rPr>
          <w:rFonts w:ascii="Times New Roman" w:eastAsia="Times New Roman" w:hAnsi="Times New Roman"/>
          <w:color w:val="000000"/>
          <w:sz w:val="26"/>
          <w:szCs w:val="26"/>
        </w:rPr>
        <w:t>to facilitate</w:t>
      </w:r>
      <w:r w:rsidRPr="003853FC">
        <w:rPr>
          <w:rFonts w:ascii="Times New Roman" w:eastAsia="Times New Roman" w:hAnsi="Times New Roman"/>
          <w:color w:val="000000"/>
          <w:sz w:val="26"/>
          <w:szCs w:val="26"/>
        </w:rPr>
        <w:t xml:space="preserve"> improvement </w:t>
      </w:r>
      <w:r w:rsidR="00653510">
        <w:rPr>
          <w:rFonts w:ascii="Times New Roman" w:eastAsia="Times New Roman" w:hAnsi="Times New Roman"/>
          <w:color w:val="000000"/>
          <w:sz w:val="26"/>
          <w:szCs w:val="26"/>
        </w:rPr>
        <w:t>in</w:t>
      </w:r>
      <w:r w:rsidRPr="003853FC">
        <w:rPr>
          <w:rFonts w:ascii="Times New Roman" w:eastAsia="Times New Roman" w:hAnsi="Times New Roman"/>
          <w:color w:val="000000"/>
          <w:sz w:val="26"/>
          <w:szCs w:val="26"/>
        </w:rPr>
        <w:t xml:space="preserve"> </w:t>
      </w:r>
      <w:r w:rsidR="00494824">
        <w:rPr>
          <w:rFonts w:ascii="Times New Roman" w:eastAsia="Times New Roman" w:hAnsi="Times New Roman"/>
          <w:color w:val="000000"/>
          <w:sz w:val="26"/>
          <w:szCs w:val="26"/>
        </w:rPr>
        <w:t xml:space="preserve">the </w:t>
      </w:r>
      <w:r w:rsidRPr="003853FC">
        <w:rPr>
          <w:rFonts w:ascii="Times New Roman" w:eastAsia="Times New Roman" w:hAnsi="Times New Roman"/>
          <w:color w:val="000000"/>
          <w:sz w:val="26"/>
          <w:szCs w:val="26"/>
        </w:rPr>
        <w:t xml:space="preserve">competitive natural gas </w:t>
      </w:r>
      <w:r w:rsidRPr="003853FC">
        <w:rPr>
          <w:rFonts w:ascii="Times New Roman" w:eastAsia="Times New Roman" w:hAnsi="Times New Roman"/>
          <w:color w:val="000000"/>
          <w:sz w:val="26"/>
          <w:szCs w:val="26"/>
        </w:rPr>
        <w:lastRenderedPageBreak/>
        <w:t xml:space="preserve">market </w:t>
      </w:r>
      <w:r w:rsidR="00653510">
        <w:rPr>
          <w:rFonts w:ascii="Times New Roman" w:eastAsia="Times New Roman" w:hAnsi="Times New Roman"/>
          <w:color w:val="000000"/>
          <w:sz w:val="26"/>
          <w:szCs w:val="26"/>
        </w:rPr>
        <w:t>would</w:t>
      </w:r>
      <w:r w:rsidRPr="003853FC">
        <w:rPr>
          <w:rFonts w:ascii="Times New Roman" w:eastAsia="Times New Roman" w:hAnsi="Times New Roman"/>
          <w:color w:val="000000"/>
          <w:sz w:val="26"/>
          <w:szCs w:val="26"/>
        </w:rPr>
        <w:t xml:space="preserve"> </w:t>
      </w:r>
      <w:r w:rsidR="00494824">
        <w:rPr>
          <w:rFonts w:ascii="Times New Roman" w:eastAsia="Times New Roman" w:hAnsi="Times New Roman"/>
          <w:color w:val="000000"/>
          <w:sz w:val="26"/>
          <w:szCs w:val="26"/>
        </w:rPr>
        <w:t xml:space="preserve">be to </w:t>
      </w:r>
      <w:r w:rsidRPr="003853FC">
        <w:rPr>
          <w:rFonts w:ascii="Times New Roman" w:eastAsia="Times New Roman" w:hAnsi="Times New Roman"/>
          <w:color w:val="000000"/>
          <w:sz w:val="26"/>
          <w:szCs w:val="26"/>
        </w:rPr>
        <w:t>authorize workable auto-renewal contract processes with reasonable cancellation fees</w:t>
      </w:r>
      <w:r w:rsidR="00653510">
        <w:rPr>
          <w:rFonts w:ascii="Times New Roman" w:eastAsia="Times New Roman" w:hAnsi="Times New Roman"/>
          <w:color w:val="000000"/>
          <w:sz w:val="26"/>
          <w:szCs w:val="26"/>
        </w:rPr>
        <w:t>, which</w:t>
      </w:r>
      <w:r w:rsidRPr="003853FC">
        <w:rPr>
          <w:rFonts w:ascii="Times New Roman" w:eastAsia="Times New Roman" w:hAnsi="Times New Roman"/>
          <w:color w:val="000000"/>
          <w:sz w:val="26"/>
          <w:szCs w:val="26"/>
        </w:rPr>
        <w:t xml:space="preserve"> provide some protection to suppliers for hedging costs</w:t>
      </w:r>
      <w:r w:rsidR="009D7F64">
        <w:rPr>
          <w:rFonts w:ascii="Times New Roman" w:eastAsia="Times New Roman" w:hAnsi="Times New Roman"/>
          <w:color w:val="000000"/>
          <w:sz w:val="26"/>
          <w:szCs w:val="26"/>
        </w:rPr>
        <w:t xml:space="preserve"> and further asserting that </w:t>
      </w:r>
      <w:r w:rsidR="00653510">
        <w:rPr>
          <w:rFonts w:ascii="Times New Roman" w:eastAsia="Times New Roman" w:hAnsi="Times New Roman"/>
          <w:color w:val="000000"/>
          <w:sz w:val="26"/>
          <w:szCs w:val="26"/>
        </w:rPr>
        <w:t>this would en</w:t>
      </w:r>
      <w:r w:rsidRPr="003853FC">
        <w:rPr>
          <w:rFonts w:ascii="Times New Roman" w:eastAsia="Times New Roman" w:hAnsi="Times New Roman"/>
          <w:color w:val="000000"/>
          <w:sz w:val="26"/>
          <w:szCs w:val="26"/>
        </w:rPr>
        <w:t>sure that c</w:t>
      </w:r>
      <w:r w:rsidR="00653510">
        <w:rPr>
          <w:rFonts w:ascii="Times New Roman" w:eastAsia="Times New Roman" w:hAnsi="Times New Roman"/>
          <w:color w:val="000000"/>
          <w:sz w:val="26"/>
          <w:szCs w:val="26"/>
        </w:rPr>
        <w:t>u</w:t>
      </w:r>
      <w:r w:rsidRPr="003853FC">
        <w:rPr>
          <w:rFonts w:ascii="Times New Roman" w:eastAsia="Times New Roman" w:hAnsi="Times New Roman"/>
          <w:color w:val="000000"/>
          <w:sz w:val="26"/>
          <w:szCs w:val="26"/>
        </w:rPr>
        <w:t>s</w:t>
      </w:r>
      <w:r w:rsidR="00653510">
        <w:rPr>
          <w:rFonts w:ascii="Times New Roman" w:eastAsia="Times New Roman" w:hAnsi="Times New Roman"/>
          <w:color w:val="000000"/>
          <w:sz w:val="26"/>
          <w:szCs w:val="26"/>
        </w:rPr>
        <w:t>to</w:t>
      </w:r>
      <w:r w:rsidRPr="003853FC">
        <w:rPr>
          <w:rFonts w:ascii="Times New Roman" w:eastAsia="Times New Roman" w:hAnsi="Times New Roman"/>
          <w:color w:val="000000"/>
          <w:sz w:val="26"/>
          <w:szCs w:val="26"/>
        </w:rPr>
        <w:t xml:space="preserve">mers understand their renewal options and can opt out of a renewal contract.  </w:t>
      </w:r>
      <w:proofErr w:type="gramStart"/>
      <w:r w:rsidR="00EB49CF">
        <w:rPr>
          <w:rFonts w:ascii="Times New Roman" w:eastAsia="Times New Roman" w:hAnsi="Times New Roman"/>
          <w:i/>
          <w:color w:val="000000"/>
          <w:sz w:val="26"/>
          <w:szCs w:val="26"/>
        </w:rPr>
        <w:t>Id.</w:t>
      </w:r>
      <w:r w:rsidR="00EB49CF">
        <w:rPr>
          <w:rFonts w:ascii="Times New Roman" w:eastAsia="Times New Roman" w:hAnsi="Times New Roman"/>
          <w:color w:val="000000"/>
          <w:sz w:val="26"/>
          <w:szCs w:val="26"/>
        </w:rPr>
        <w:t xml:space="preserve"> </w:t>
      </w:r>
      <w:r w:rsidRPr="003853FC">
        <w:rPr>
          <w:rFonts w:ascii="Times New Roman" w:eastAsia="Times New Roman" w:hAnsi="Times New Roman"/>
          <w:color w:val="000000"/>
          <w:sz w:val="26"/>
          <w:szCs w:val="26"/>
        </w:rPr>
        <w:t>at 6.</w:t>
      </w:r>
      <w:proofErr w:type="gramEnd"/>
      <w:r w:rsidRPr="003853FC">
        <w:rPr>
          <w:rFonts w:ascii="Times New Roman" w:eastAsia="Times New Roman" w:hAnsi="Times New Roman"/>
          <w:color w:val="000000"/>
          <w:sz w:val="26"/>
          <w:szCs w:val="26"/>
        </w:rPr>
        <w:t xml:space="preserve">  </w:t>
      </w:r>
    </w:p>
    <w:p w:rsidR="001273B3" w:rsidRDefault="001273B3" w:rsidP="001A1513">
      <w:pPr>
        <w:spacing w:line="360" w:lineRule="auto"/>
        <w:rPr>
          <w:rFonts w:ascii="Times New Roman" w:eastAsia="Times New Roman" w:hAnsi="Times New Roman"/>
          <w:color w:val="000000"/>
          <w:spacing w:val="4"/>
          <w:sz w:val="26"/>
          <w:szCs w:val="26"/>
        </w:rPr>
      </w:pPr>
    </w:p>
    <w:p w:rsidR="001A1513" w:rsidRPr="003853FC" w:rsidRDefault="009D7F64" w:rsidP="001273B3">
      <w:pPr>
        <w:spacing w:line="360" w:lineRule="auto"/>
        <w:ind w:firstLine="720"/>
        <w:rPr>
          <w:rFonts w:ascii="Times New Roman" w:eastAsia="Times New Roman" w:hAnsi="Times New Roman"/>
          <w:color w:val="000000"/>
          <w:spacing w:val="4"/>
          <w:sz w:val="26"/>
          <w:szCs w:val="26"/>
        </w:rPr>
      </w:pPr>
      <w:r>
        <w:rPr>
          <w:rFonts w:ascii="Times New Roman" w:eastAsia="Times New Roman" w:hAnsi="Times New Roman"/>
          <w:color w:val="000000"/>
          <w:spacing w:val="4"/>
          <w:sz w:val="26"/>
          <w:szCs w:val="26"/>
        </w:rPr>
        <w:t xml:space="preserve">The </w:t>
      </w:r>
      <w:r w:rsidR="001A1513" w:rsidRPr="003853FC">
        <w:rPr>
          <w:rFonts w:ascii="Times New Roman" w:eastAsia="Times New Roman" w:hAnsi="Times New Roman"/>
          <w:color w:val="000000"/>
          <w:spacing w:val="4"/>
          <w:sz w:val="26"/>
          <w:szCs w:val="26"/>
        </w:rPr>
        <w:t xml:space="preserve">OCA </w:t>
      </w:r>
      <w:r w:rsidR="00EB49CF">
        <w:rPr>
          <w:rFonts w:ascii="Times New Roman" w:eastAsia="Times New Roman" w:hAnsi="Times New Roman"/>
          <w:color w:val="000000"/>
          <w:spacing w:val="4"/>
          <w:sz w:val="26"/>
          <w:szCs w:val="26"/>
        </w:rPr>
        <w:t>contends</w:t>
      </w:r>
      <w:r w:rsidR="001A1513" w:rsidRPr="003853FC">
        <w:rPr>
          <w:rFonts w:ascii="Times New Roman" w:eastAsia="Times New Roman" w:hAnsi="Times New Roman"/>
          <w:color w:val="000000"/>
          <w:spacing w:val="4"/>
          <w:sz w:val="26"/>
          <w:szCs w:val="26"/>
        </w:rPr>
        <w:t xml:space="preserve"> that the regulations should be revised to specifically prohibit NGSs from converting a </w:t>
      </w:r>
      <w:r w:rsidR="008E2217">
        <w:rPr>
          <w:rFonts w:ascii="Times New Roman" w:eastAsia="Times New Roman" w:hAnsi="Times New Roman"/>
          <w:color w:val="000000"/>
          <w:spacing w:val="4"/>
          <w:sz w:val="26"/>
          <w:szCs w:val="26"/>
        </w:rPr>
        <w:t>customer</w:t>
      </w:r>
      <w:r w:rsidR="001A1513" w:rsidRPr="003853FC">
        <w:rPr>
          <w:rFonts w:ascii="Times New Roman" w:eastAsia="Times New Roman" w:hAnsi="Times New Roman"/>
          <w:color w:val="000000"/>
          <w:spacing w:val="4"/>
          <w:sz w:val="26"/>
          <w:szCs w:val="26"/>
        </w:rPr>
        <w:t xml:space="preserve"> with a fixed rate plan to a variable rate plan without affirmative </w:t>
      </w:r>
      <w:r w:rsidR="008E2217">
        <w:rPr>
          <w:rFonts w:ascii="Times New Roman" w:eastAsia="Times New Roman" w:hAnsi="Times New Roman"/>
          <w:color w:val="000000"/>
          <w:spacing w:val="4"/>
          <w:sz w:val="26"/>
          <w:szCs w:val="26"/>
        </w:rPr>
        <w:t>customer</w:t>
      </w:r>
      <w:r w:rsidR="001A1513" w:rsidRPr="003853FC">
        <w:rPr>
          <w:rFonts w:ascii="Times New Roman" w:eastAsia="Times New Roman" w:hAnsi="Times New Roman"/>
          <w:color w:val="000000"/>
          <w:spacing w:val="4"/>
          <w:sz w:val="26"/>
          <w:szCs w:val="26"/>
        </w:rPr>
        <w:t xml:space="preserve"> consent.</w:t>
      </w:r>
      <w:r w:rsidR="00EB49CF">
        <w:rPr>
          <w:rFonts w:ascii="Times New Roman" w:eastAsia="Times New Roman" w:hAnsi="Times New Roman"/>
          <w:color w:val="000000"/>
          <w:spacing w:val="4"/>
          <w:sz w:val="26"/>
          <w:szCs w:val="26"/>
        </w:rPr>
        <w:t xml:space="preserve">  </w:t>
      </w:r>
      <w:proofErr w:type="gramStart"/>
      <w:r>
        <w:rPr>
          <w:rFonts w:ascii="Times New Roman" w:eastAsia="Times New Roman" w:hAnsi="Times New Roman"/>
          <w:color w:val="000000"/>
          <w:spacing w:val="4"/>
          <w:sz w:val="26"/>
          <w:szCs w:val="26"/>
        </w:rPr>
        <w:t xml:space="preserve">OCA </w:t>
      </w:r>
      <w:r w:rsidR="00EB49CF">
        <w:rPr>
          <w:rFonts w:ascii="Times New Roman" w:eastAsia="Times New Roman" w:hAnsi="Times New Roman"/>
          <w:color w:val="000000"/>
          <w:spacing w:val="4"/>
          <w:sz w:val="26"/>
          <w:szCs w:val="26"/>
        </w:rPr>
        <w:t>Comments at 10.</w:t>
      </w:r>
      <w:proofErr w:type="gramEnd"/>
      <w:r w:rsidR="001A1513" w:rsidRPr="003853FC">
        <w:rPr>
          <w:rFonts w:ascii="Times New Roman" w:eastAsia="Times New Roman" w:hAnsi="Times New Roman"/>
          <w:color w:val="000000"/>
          <w:spacing w:val="4"/>
          <w:sz w:val="26"/>
          <w:szCs w:val="26"/>
        </w:rPr>
        <w:t xml:space="preserve">  </w:t>
      </w:r>
      <w:r>
        <w:rPr>
          <w:rFonts w:ascii="Times New Roman" w:eastAsia="Times New Roman" w:hAnsi="Times New Roman"/>
          <w:color w:val="000000"/>
          <w:spacing w:val="4"/>
          <w:sz w:val="26"/>
          <w:szCs w:val="26"/>
        </w:rPr>
        <w:t xml:space="preserve">The </w:t>
      </w:r>
      <w:r w:rsidR="001A1513" w:rsidRPr="003853FC">
        <w:rPr>
          <w:rFonts w:ascii="Times New Roman" w:eastAsia="Times New Roman" w:hAnsi="Times New Roman"/>
          <w:color w:val="000000"/>
          <w:spacing w:val="4"/>
          <w:sz w:val="26"/>
          <w:szCs w:val="26"/>
        </w:rPr>
        <w:t xml:space="preserve">OCA opines that allowing this type of material change to terms without affirmative </w:t>
      </w:r>
      <w:r w:rsidR="008E2217">
        <w:rPr>
          <w:rFonts w:ascii="Times New Roman" w:eastAsia="Times New Roman" w:hAnsi="Times New Roman"/>
          <w:color w:val="000000"/>
          <w:spacing w:val="4"/>
          <w:sz w:val="26"/>
          <w:szCs w:val="26"/>
        </w:rPr>
        <w:t>customer</w:t>
      </w:r>
      <w:r w:rsidR="001A1513" w:rsidRPr="003853FC">
        <w:rPr>
          <w:rFonts w:ascii="Times New Roman" w:eastAsia="Times New Roman" w:hAnsi="Times New Roman"/>
          <w:color w:val="000000"/>
          <w:spacing w:val="4"/>
          <w:sz w:val="26"/>
          <w:szCs w:val="26"/>
        </w:rPr>
        <w:t xml:space="preserve"> consent is unreasonable and exposes </w:t>
      </w:r>
      <w:r w:rsidR="008E2217">
        <w:rPr>
          <w:rFonts w:ascii="Times New Roman" w:eastAsia="Times New Roman" w:hAnsi="Times New Roman"/>
          <w:color w:val="000000"/>
          <w:spacing w:val="4"/>
          <w:sz w:val="26"/>
          <w:szCs w:val="26"/>
        </w:rPr>
        <w:t>customer</w:t>
      </w:r>
      <w:r w:rsidR="001A1513" w:rsidRPr="003853FC">
        <w:rPr>
          <w:rFonts w:ascii="Times New Roman" w:eastAsia="Times New Roman" w:hAnsi="Times New Roman"/>
          <w:color w:val="000000"/>
          <w:spacing w:val="4"/>
          <w:sz w:val="26"/>
          <w:szCs w:val="26"/>
        </w:rPr>
        <w:t>s to significant risk.</w:t>
      </w:r>
      <w:r w:rsidR="00EB49CF">
        <w:rPr>
          <w:rFonts w:ascii="Times New Roman" w:eastAsia="Times New Roman" w:hAnsi="Times New Roman"/>
          <w:color w:val="000000"/>
          <w:spacing w:val="4"/>
          <w:sz w:val="26"/>
          <w:szCs w:val="26"/>
        </w:rPr>
        <w:t xml:space="preserve">  </w:t>
      </w:r>
      <w:r w:rsidR="00EB49CF">
        <w:rPr>
          <w:rFonts w:ascii="Times New Roman" w:eastAsia="Times New Roman" w:hAnsi="Times New Roman"/>
          <w:i/>
          <w:color w:val="000000"/>
          <w:spacing w:val="4"/>
          <w:sz w:val="26"/>
          <w:szCs w:val="26"/>
        </w:rPr>
        <w:t>Id.</w:t>
      </w:r>
      <w:r w:rsidR="001A1513" w:rsidRPr="003853FC">
        <w:rPr>
          <w:rFonts w:ascii="Times New Roman" w:eastAsia="Times New Roman" w:hAnsi="Times New Roman"/>
          <w:color w:val="000000"/>
          <w:spacing w:val="4"/>
          <w:sz w:val="26"/>
          <w:szCs w:val="26"/>
        </w:rPr>
        <w:t xml:space="preserve">  </w:t>
      </w:r>
      <w:r>
        <w:rPr>
          <w:rFonts w:ascii="Times New Roman" w:eastAsia="Times New Roman" w:hAnsi="Times New Roman"/>
          <w:color w:val="000000"/>
          <w:spacing w:val="4"/>
          <w:sz w:val="26"/>
          <w:szCs w:val="26"/>
        </w:rPr>
        <w:t xml:space="preserve">The </w:t>
      </w:r>
      <w:r w:rsidR="001A1513" w:rsidRPr="003853FC">
        <w:rPr>
          <w:rFonts w:ascii="Times New Roman" w:eastAsia="Times New Roman" w:hAnsi="Times New Roman"/>
          <w:color w:val="000000"/>
          <w:spacing w:val="4"/>
          <w:sz w:val="26"/>
          <w:szCs w:val="26"/>
        </w:rPr>
        <w:t xml:space="preserve">OCA believes that if the NGS does not wish to serve the </w:t>
      </w:r>
      <w:r w:rsidR="008E2217">
        <w:rPr>
          <w:rFonts w:ascii="Times New Roman" w:eastAsia="Times New Roman" w:hAnsi="Times New Roman"/>
          <w:color w:val="000000"/>
          <w:spacing w:val="4"/>
          <w:sz w:val="26"/>
          <w:szCs w:val="26"/>
        </w:rPr>
        <w:t>customer</w:t>
      </w:r>
      <w:r w:rsidR="001A1513" w:rsidRPr="003853FC">
        <w:rPr>
          <w:rFonts w:ascii="Times New Roman" w:eastAsia="Times New Roman" w:hAnsi="Times New Roman"/>
          <w:color w:val="000000"/>
          <w:spacing w:val="4"/>
          <w:sz w:val="26"/>
          <w:szCs w:val="26"/>
        </w:rPr>
        <w:t xml:space="preserve"> with a fixed price, the NGS should return the </w:t>
      </w:r>
      <w:r w:rsidR="008E2217">
        <w:rPr>
          <w:rFonts w:ascii="Times New Roman" w:eastAsia="Times New Roman" w:hAnsi="Times New Roman"/>
          <w:color w:val="000000"/>
          <w:spacing w:val="4"/>
          <w:sz w:val="26"/>
          <w:szCs w:val="26"/>
        </w:rPr>
        <w:t>customer</w:t>
      </w:r>
      <w:r w:rsidR="00B92A32">
        <w:rPr>
          <w:rFonts w:ascii="Times New Roman" w:eastAsia="Times New Roman" w:hAnsi="Times New Roman"/>
          <w:color w:val="000000"/>
          <w:spacing w:val="4"/>
          <w:sz w:val="26"/>
          <w:szCs w:val="26"/>
        </w:rPr>
        <w:t xml:space="preserve"> to the NGDC as supplier of last resort</w:t>
      </w:r>
      <w:r w:rsidR="001A1513" w:rsidRPr="003853FC">
        <w:rPr>
          <w:rFonts w:ascii="Times New Roman" w:eastAsia="Times New Roman" w:hAnsi="Times New Roman"/>
          <w:color w:val="000000"/>
          <w:spacing w:val="4"/>
          <w:sz w:val="26"/>
          <w:szCs w:val="26"/>
        </w:rPr>
        <w:t xml:space="preserve">.  </w:t>
      </w:r>
      <w:r w:rsidR="00EB49CF">
        <w:rPr>
          <w:rFonts w:ascii="Times New Roman" w:eastAsia="Times New Roman" w:hAnsi="Times New Roman"/>
          <w:i/>
          <w:color w:val="000000"/>
          <w:spacing w:val="4"/>
          <w:sz w:val="26"/>
          <w:szCs w:val="26"/>
        </w:rPr>
        <w:t>Id</w:t>
      </w:r>
      <w:r w:rsidR="00B92A32">
        <w:rPr>
          <w:rFonts w:ascii="Times New Roman" w:eastAsia="Times New Roman" w:hAnsi="Times New Roman"/>
          <w:color w:val="000000"/>
          <w:spacing w:val="4"/>
          <w:sz w:val="26"/>
          <w:szCs w:val="26"/>
        </w:rPr>
        <w:t xml:space="preserve">.; </w:t>
      </w:r>
      <w:r w:rsidR="00B92A32">
        <w:rPr>
          <w:rFonts w:ascii="Times New Roman" w:eastAsia="Times New Roman" w:hAnsi="Times New Roman"/>
          <w:i/>
          <w:color w:val="000000"/>
          <w:spacing w:val="4"/>
          <w:sz w:val="26"/>
          <w:szCs w:val="26"/>
        </w:rPr>
        <w:t>see</w:t>
      </w:r>
      <w:r w:rsidR="00B92A32">
        <w:rPr>
          <w:rFonts w:ascii="Times New Roman" w:eastAsia="Times New Roman" w:hAnsi="Times New Roman"/>
          <w:color w:val="000000"/>
          <w:spacing w:val="4"/>
          <w:sz w:val="26"/>
          <w:szCs w:val="26"/>
        </w:rPr>
        <w:t xml:space="preserve"> 66 Pa. C.S. § 2207.</w:t>
      </w:r>
      <w:r w:rsidR="001A1513" w:rsidRPr="003853FC">
        <w:rPr>
          <w:rFonts w:ascii="Times New Roman" w:eastAsia="Times New Roman" w:hAnsi="Times New Roman"/>
          <w:color w:val="000000"/>
          <w:spacing w:val="4"/>
          <w:sz w:val="26"/>
          <w:szCs w:val="26"/>
        </w:rPr>
        <w:t xml:space="preserve">  The OCA endorses adopting for the gas industry the more</w:t>
      </w:r>
      <w:r>
        <w:rPr>
          <w:rFonts w:ascii="Times New Roman" w:eastAsia="Times New Roman" w:hAnsi="Times New Roman"/>
          <w:color w:val="000000"/>
          <w:spacing w:val="4"/>
          <w:sz w:val="26"/>
          <w:szCs w:val="26"/>
        </w:rPr>
        <w:t xml:space="preserve"> clearly defined requirements f</w:t>
      </w:r>
      <w:r w:rsidR="001A1513" w:rsidRPr="003853FC">
        <w:rPr>
          <w:rFonts w:ascii="Times New Roman" w:eastAsia="Times New Roman" w:hAnsi="Times New Roman"/>
          <w:color w:val="000000"/>
          <w:spacing w:val="4"/>
          <w:sz w:val="26"/>
          <w:szCs w:val="26"/>
        </w:rPr>
        <w:t>r</w:t>
      </w:r>
      <w:r>
        <w:rPr>
          <w:rFonts w:ascii="Times New Roman" w:eastAsia="Times New Roman" w:hAnsi="Times New Roman"/>
          <w:color w:val="000000"/>
          <w:spacing w:val="4"/>
          <w:sz w:val="26"/>
          <w:szCs w:val="26"/>
        </w:rPr>
        <w:t>om</w:t>
      </w:r>
      <w:r w:rsidR="001A1513" w:rsidRPr="003853FC">
        <w:rPr>
          <w:rFonts w:ascii="Times New Roman" w:eastAsia="Times New Roman" w:hAnsi="Times New Roman"/>
          <w:color w:val="000000"/>
          <w:spacing w:val="4"/>
          <w:sz w:val="26"/>
          <w:szCs w:val="26"/>
        </w:rPr>
        <w:t xml:space="preserve"> the electric industry set forth in </w:t>
      </w:r>
      <w:r w:rsidR="00EB49CF">
        <w:rPr>
          <w:rFonts w:ascii="Times New Roman" w:eastAsia="Times New Roman" w:hAnsi="Times New Roman"/>
          <w:color w:val="000000"/>
          <w:spacing w:val="4"/>
          <w:sz w:val="26"/>
          <w:szCs w:val="26"/>
        </w:rPr>
        <w:t>52 Pa. Code §</w:t>
      </w:r>
      <w:r w:rsidR="001A1513" w:rsidRPr="003853FC">
        <w:rPr>
          <w:rFonts w:ascii="Times New Roman" w:eastAsia="Times New Roman" w:hAnsi="Times New Roman"/>
          <w:color w:val="000000"/>
          <w:spacing w:val="4"/>
          <w:sz w:val="26"/>
          <w:szCs w:val="26"/>
        </w:rPr>
        <w:t xml:space="preserve"> 54.10</w:t>
      </w:r>
      <w:r w:rsidR="00EB49CF">
        <w:rPr>
          <w:rFonts w:ascii="Times New Roman" w:eastAsia="Times New Roman" w:hAnsi="Times New Roman"/>
          <w:color w:val="000000"/>
          <w:spacing w:val="4"/>
          <w:sz w:val="26"/>
          <w:szCs w:val="26"/>
        </w:rPr>
        <w:t>, which</w:t>
      </w:r>
      <w:r w:rsidR="001A1513" w:rsidRPr="003853FC">
        <w:rPr>
          <w:rFonts w:ascii="Times New Roman" w:eastAsia="Times New Roman" w:hAnsi="Times New Roman"/>
          <w:color w:val="000000"/>
          <w:spacing w:val="4"/>
          <w:sz w:val="26"/>
          <w:szCs w:val="26"/>
        </w:rPr>
        <w:t xml:space="preserve"> provide</w:t>
      </w:r>
      <w:r w:rsidR="00EB49CF">
        <w:rPr>
          <w:rFonts w:ascii="Times New Roman" w:eastAsia="Times New Roman" w:hAnsi="Times New Roman"/>
          <w:color w:val="000000"/>
          <w:spacing w:val="4"/>
          <w:sz w:val="26"/>
          <w:szCs w:val="26"/>
        </w:rPr>
        <w:t>s</w:t>
      </w:r>
      <w:r w:rsidR="001A1513" w:rsidRPr="003853FC">
        <w:rPr>
          <w:rFonts w:ascii="Times New Roman" w:eastAsia="Times New Roman" w:hAnsi="Times New Roman"/>
          <w:color w:val="000000"/>
          <w:spacing w:val="4"/>
          <w:sz w:val="26"/>
          <w:szCs w:val="26"/>
        </w:rPr>
        <w:t xml:space="preserve"> that </w:t>
      </w:r>
      <w:r w:rsidR="008E2217">
        <w:rPr>
          <w:rFonts w:ascii="Times New Roman" w:eastAsia="Times New Roman" w:hAnsi="Times New Roman"/>
          <w:color w:val="000000"/>
          <w:spacing w:val="4"/>
          <w:sz w:val="26"/>
          <w:szCs w:val="26"/>
        </w:rPr>
        <w:t>customer</w:t>
      </w:r>
      <w:r w:rsidR="001A1513" w:rsidRPr="003853FC">
        <w:rPr>
          <w:rFonts w:ascii="Times New Roman" w:eastAsia="Times New Roman" w:hAnsi="Times New Roman"/>
          <w:color w:val="000000"/>
          <w:spacing w:val="4"/>
          <w:sz w:val="26"/>
          <w:szCs w:val="26"/>
        </w:rPr>
        <w:t xml:space="preserve">s </w:t>
      </w:r>
      <w:r w:rsidR="00EB49CF">
        <w:rPr>
          <w:rFonts w:ascii="Times New Roman" w:eastAsia="Times New Roman" w:hAnsi="Times New Roman"/>
          <w:color w:val="000000"/>
          <w:spacing w:val="4"/>
          <w:sz w:val="26"/>
          <w:szCs w:val="26"/>
        </w:rPr>
        <w:t>placed on</w:t>
      </w:r>
      <w:r w:rsidR="00EB49CF" w:rsidRPr="003853FC">
        <w:rPr>
          <w:rFonts w:ascii="Times New Roman" w:eastAsia="Times New Roman" w:hAnsi="Times New Roman"/>
          <w:color w:val="000000"/>
          <w:spacing w:val="4"/>
          <w:sz w:val="26"/>
          <w:szCs w:val="26"/>
        </w:rPr>
        <w:t xml:space="preserve"> month-to-month agreements </w:t>
      </w:r>
      <w:r w:rsidR="00EB49CF">
        <w:rPr>
          <w:rFonts w:ascii="Times New Roman" w:eastAsia="Times New Roman" w:hAnsi="Times New Roman"/>
          <w:color w:val="000000"/>
          <w:spacing w:val="4"/>
          <w:sz w:val="26"/>
          <w:szCs w:val="26"/>
        </w:rPr>
        <w:t>due to non-response</w:t>
      </w:r>
      <w:r w:rsidR="001A1513" w:rsidRPr="003853FC">
        <w:rPr>
          <w:rFonts w:ascii="Times New Roman" w:eastAsia="Times New Roman" w:hAnsi="Times New Roman"/>
          <w:color w:val="000000"/>
          <w:spacing w:val="4"/>
          <w:sz w:val="26"/>
          <w:szCs w:val="26"/>
        </w:rPr>
        <w:t xml:space="preserve"> to a renewal notice </w:t>
      </w:r>
      <w:r w:rsidR="00EB49CF">
        <w:rPr>
          <w:rFonts w:ascii="Times New Roman" w:eastAsia="Times New Roman" w:hAnsi="Times New Roman"/>
          <w:color w:val="000000"/>
          <w:spacing w:val="4"/>
          <w:sz w:val="26"/>
          <w:szCs w:val="26"/>
        </w:rPr>
        <w:t>should</w:t>
      </w:r>
      <w:r w:rsidR="001A1513" w:rsidRPr="003853FC">
        <w:rPr>
          <w:rFonts w:ascii="Times New Roman" w:eastAsia="Times New Roman" w:hAnsi="Times New Roman"/>
          <w:color w:val="000000"/>
          <w:spacing w:val="4"/>
          <w:sz w:val="26"/>
          <w:szCs w:val="26"/>
        </w:rPr>
        <w:t xml:space="preserve"> be provided 30-day</w:t>
      </w:r>
      <w:r>
        <w:rPr>
          <w:rFonts w:ascii="Times New Roman" w:eastAsia="Times New Roman" w:hAnsi="Times New Roman"/>
          <w:color w:val="000000"/>
          <w:spacing w:val="4"/>
          <w:sz w:val="26"/>
          <w:szCs w:val="26"/>
        </w:rPr>
        <w:t>s</w:t>
      </w:r>
      <w:r w:rsidR="00FC61D7">
        <w:rPr>
          <w:rFonts w:ascii="Times New Roman" w:eastAsia="Times New Roman" w:hAnsi="Times New Roman"/>
          <w:color w:val="000000"/>
          <w:spacing w:val="4"/>
          <w:sz w:val="26"/>
          <w:szCs w:val="26"/>
        </w:rPr>
        <w:t>’</w:t>
      </w:r>
      <w:r w:rsidR="001A1513" w:rsidRPr="003853FC">
        <w:rPr>
          <w:rFonts w:ascii="Times New Roman" w:eastAsia="Times New Roman" w:hAnsi="Times New Roman"/>
          <w:color w:val="000000"/>
          <w:spacing w:val="4"/>
          <w:sz w:val="26"/>
          <w:szCs w:val="26"/>
        </w:rPr>
        <w:t xml:space="preserve"> advance notice of any price changes.  </w:t>
      </w:r>
      <w:r w:rsidR="00EB49CF">
        <w:rPr>
          <w:rFonts w:ascii="Times New Roman" w:eastAsia="Times New Roman" w:hAnsi="Times New Roman"/>
          <w:i/>
          <w:color w:val="000000"/>
          <w:spacing w:val="4"/>
          <w:sz w:val="26"/>
          <w:szCs w:val="26"/>
        </w:rPr>
        <w:t>Id.</w:t>
      </w:r>
      <w:r w:rsidR="00EB49CF">
        <w:rPr>
          <w:rFonts w:ascii="Times New Roman" w:eastAsia="Times New Roman" w:hAnsi="Times New Roman"/>
          <w:color w:val="000000"/>
          <w:spacing w:val="4"/>
          <w:sz w:val="26"/>
          <w:szCs w:val="26"/>
        </w:rPr>
        <w:t xml:space="preserve"> </w:t>
      </w:r>
    </w:p>
    <w:p w:rsidR="001A1513" w:rsidRDefault="001A1513" w:rsidP="001A1513">
      <w:pPr>
        <w:spacing w:line="360" w:lineRule="auto"/>
        <w:rPr>
          <w:rFonts w:ascii="Times New Roman" w:eastAsia="Times New Roman" w:hAnsi="Times New Roman"/>
          <w:b/>
          <w:color w:val="000000"/>
          <w:spacing w:val="4"/>
          <w:sz w:val="26"/>
          <w:szCs w:val="26"/>
        </w:rPr>
      </w:pPr>
    </w:p>
    <w:p w:rsidR="001A1513" w:rsidRDefault="001A1513" w:rsidP="001A1513">
      <w:pPr>
        <w:spacing w:line="360" w:lineRule="auto"/>
        <w:rPr>
          <w:rFonts w:ascii="Times New Roman" w:eastAsia="Times New Roman" w:hAnsi="Times New Roman"/>
          <w:color w:val="000000"/>
          <w:spacing w:val="4"/>
          <w:sz w:val="26"/>
          <w:szCs w:val="26"/>
          <w:u w:val="single"/>
        </w:rPr>
      </w:pPr>
      <w:r w:rsidRPr="008B31D0">
        <w:rPr>
          <w:rFonts w:ascii="Times New Roman" w:eastAsia="Times New Roman" w:hAnsi="Times New Roman"/>
          <w:color w:val="000000"/>
          <w:spacing w:val="4"/>
          <w:sz w:val="26"/>
          <w:szCs w:val="26"/>
          <w:u w:val="single"/>
        </w:rPr>
        <w:t>Disposition</w:t>
      </w:r>
    </w:p>
    <w:p w:rsidR="009D7F64" w:rsidRDefault="00F56F14" w:rsidP="001A1513">
      <w:pPr>
        <w:spacing w:line="360" w:lineRule="auto"/>
        <w:ind w:firstLine="720"/>
        <w:rPr>
          <w:rFonts w:ascii="Times New Roman" w:eastAsia="Times New Roman" w:hAnsi="Times New Roman"/>
          <w:color w:val="000000"/>
          <w:spacing w:val="4"/>
          <w:sz w:val="26"/>
          <w:szCs w:val="26"/>
        </w:rPr>
      </w:pPr>
      <w:r>
        <w:rPr>
          <w:rFonts w:ascii="Times New Roman" w:eastAsia="Times New Roman" w:hAnsi="Times New Roman"/>
          <w:color w:val="000000"/>
          <w:spacing w:val="4"/>
          <w:sz w:val="26"/>
          <w:szCs w:val="26"/>
        </w:rPr>
        <w:t>An</w:t>
      </w:r>
      <w:r w:rsidR="001A1513" w:rsidRPr="003853FC">
        <w:rPr>
          <w:rFonts w:ascii="Times New Roman" w:eastAsia="Times New Roman" w:hAnsi="Times New Roman"/>
          <w:color w:val="000000"/>
          <w:spacing w:val="4"/>
          <w:sz w:val="26"/>
          <w:szCs w:val="26"/>
        </w:rPr>
        <w:t xml:space="preserve"> important reform in the electric industry in 2014 </w:t>
      </w:r>
      <w:r w:rsidR="00EB49CF">
        <w:rPr>
          <w:rFonts w:ascii="Times New Roman" w:eastAsia="Times New Roman" w:hAnsi="Times New Roman"/>
          <w:color w:val="000000"/>
          <w:spacing w:val="4"/>
          <w:sz w:val="26"/>
          <w:szCs w:val="26"/>
        </w:rPr>
        <w:t>included the</w:t>
      </w:r>
      <w:r w:rsidR="001A1513" w:rsidRPr="003853FC">
        <w:rPr>
          <w:rFonts w:ascii="Times New Roman" w:eastAsia="Times New Roman" w:hAnsi="Times New Roman"/>
          <w:color w:val="000000"/>
          <w:spacing w:val="4"/>
          <w:sz w:val="26"/>
          <w:szCs w:val="26"/>
        </w:rPr>
        <w:t xml:space="preserve"> clarifi</w:t>
      </w:r>
      <w:r w:rsidR="00EB49CF">
        <w:rPr>
          <w:rFonts w:ascii="Times New Roman" w:eastAsia="Times New Roman" w:hAnsi="Times New Roman"/>
          <w:color w:val="000000"/>
          <w:spacing w:val="4"/>
          <w:sz w:val="26"/>
          <w:szCs w:val="26"/>
        </w:rPr>
        <w:t>cation of</w:t>
      </w:r>
      <w:r w:rsidR="001A1513" w:rsidRPr="003853FC">
        <w:rPr>
          <w:rFonts w:ascii="Times New Roman" w:eastAsia="Times New Roman" w:hAnsi="Times New Roman"/>
          <w:color w:val="000000"/>
          <w:spacing w:val="4"/>
          <w:sz w:val="26"/>
          <w:szCs w:val="26"/>
        </w:rPr>
        <w:t xml:space="preserve"> the process and notices that </w:t>
      </w:r>
      <w:r w:rsidR="008E2217">
        <w:rPr>
          <w:rFonts w:ascii="Times New Roman" w:eastAsia="Times New Roman" w:hAnsi="Times New Roman"/>
          <w:color w:val="000000"/>
          <w:spacing w:val="4"/>
          <w:sz w:val="26"/>
          <w:szCs w:val="26"/>
        </w:rPr>
        <w:t>customers</w:t>
      </w:r>
      <w:r w:rsidR="001A1513" w:rsidRPr="003853FC">
        <w:rPr>
          <w:rFonts w:ascii="Times New Roman" w:eastAsia="Times New Roman" w:hAnsi="Times New Roman"/>
          <w:color w:val="000000"/>
          <w:spacing w:val="4"/>
          <w:sz w:val="26"/>
          <w:szCs w:val="26"/>
        </w:rPr>
        <w:t xml:space="preserve"> should receive from a supplier</w:t>
      </w:r>
      <w:r w:rsidR="00EB49CF">
        <w:rPr>
          <w:rFonts w:ascii="Times New Roman" w:eastAsia="Times New Roman" w:hAnsi="Times New Roman"/>
          <w:color w:val="000000"/>
          <w:spacing w:val="4"/>
          <w:sz w:val="26"/>
          <w:szCs w:val="26"/>
        </w:rPr>
        <w:t xml:space="preserve"> – </w:t>
      </w:r>
      <w:r w:rsidR="001A1513" w:rsidRPr="003853FC">
        <w:rPr>
          <w:rFonts w:ascii="Times New Roman" w:eastAsia="Times New Roman" w:hAnsi="Times New Roman"/>
          <w:color w:val="000000"/>
          <w:spacing w:val="4"/>
          <w:sz w:val="26"/>
          <w:szCs w:val="26"/>
        </w:rPr>
        <w:t xml:space="preserve">either </w:t>
      </w:r>
      <w:r w:rsidR="00EB49CF">
        <w:rPr>
          <w:rFonts w:ascii="Times New Roman" w:eastAsia="Times New Roman" w:hAnsi="Times New Roman"/>
          <w:color w:val="000000"/>
          <w:spacing w:val="4"/>
          <w:sz w:val="26"/>
          <w:szCs w:val="26"/>
        </w:rPr>
        <w:t xml:space="preserve">as </w:t>
      </w:r>
      <w:r w:rsidR="001A1513" w:rsidRPr="003853FC">
        <w:rPr>
          <w:rFonts w:ascii="Times New Roman" w:eastAsia="Times New Roman" w:hAnsi="Times New Roman"/>
          <w:color w:val="000000"/>
          <w:spacing w:val="4"/>
          <w:sz w:val="26"/>
          <w:szCs w:val="26"/>
        </w:rPr>
        <w:t xml:space="preserve">their fixed-term contract approaches its end or </w:t>
      </w:r>
      <w:r w:rsidR="00EB49CF">
        <w:rPr>
          <w:rFonts w:ascii="Times New Roman" w:eastAsia="Times New Roman" w:hAnsi="Times New Roman"/>
          <w:color w:val="000000"/>
          <w:spacing w:val="4"/>
          <w:sz w:val="26"/>
          <w:szCs w:val="26"/>
        </w:rPr>
        <w:t xml:space="preserve">when </w:t>
      </w:r>
      <w:r w:rsidR="001A1513" w:rsidRPr="003853FC">
        <w:rPr>
          <w:rFonts w:ascii="Times New Roman" w:eastAsia="Times New Roman" w:hAnsi="Times New Roman"/>
          <w:color w:val="000000"/>
          <w:spacing w:val="4"/>
          <w:sz w:val="26"/>
          <w:szCs w:val="26"/>
        </w:rPr>
        <w:t>the supplier proposes a change in terms.</w:t>
      </w:r>
      <w:r w:rsidR="00EB49CF">
        <w:rPr>
          <w:rFonts w:ascii="Times New Roman" w:eastAsia="Times New Roman" w:hAnsi="Times New Roman"/>
          <w:color w:val="000000"/>
          <w:spacing w:val="4"/>
          <w:sz w:val="26"/>
          <w:szCs w:val="26"/>
        </w:rPr>
        <w:t xml:space="preserve">  </w:t>
      </w:r>
      <w:r w:rsidR="00EB49CF">
        <w:rPr>
          <w:rFonts w:ascii="Times New Roman" w:eastAsia="Times New Roman" w:hAnsi="Times New Roman"/>
          <w:i/>
          <w:color w:val="000000"/>
          <w:spacing w:val="4"/>
          <w:sz w:val="26"/>
          <w:szCs w:val="26"/>
        </w:rPr>
        <w:t>See</w:t>
      </w:r>
      <w:r w:rsidR="00EB49CF">
        <w:rPr>
          <w:rFonts w:ascii="Times New Roman" w:eastAsia="Times New Roman" w:hAnsi="Times New Roman"/>
          <w:color w:val="000000"/>
          <w:spacing w:val="4"/>
          <w:sz w:val="26"/>
          <w:szCs w:val="26"/>
        </w:rPr>
        <w:t xml:space="preserve"> 52 Pa. Code §§ 54.5, 54.10.</w:t>
      </w:r>
      <w:r w:rsidR="001A1513" w:rsidRPr="003853FC">
        <w:rPr>
          <w:rFonts w:ascii="Times New Roman" w:eastAsia="Times New Roman" w:hAnsi="Times New Roman"/>
          <w:color w:val="000000"/>
          <w:spacing w:val="4"/>
          <w:sz w:val="26"/>
          <w:szCs w:val="26"/>
        </w:rPr>
        <w:t xml:space="preserve">  </w:t>
      </w:r>
      <w:r w:rsidR="00EB49CF">
        <w:rPr>
          <w:rFonts w:ascii="Times New Roman" w:eastAsia="Times New Roman" w:hAnsi="Times New Roman"/>
          <w:color w:val="000000"/>
          <w:spacing w:val="4"/>
          <w:sz w:val="26"/>
          <w:szCs w:val="26"/>
        </w:rPr>
        <w:t>Historically, t</w:t>
      </w:r>
      <w:r w:rsidR="001A1513" w:rsidRPr="003853FC">
        <w:rPr>
          <w:rFonts w:ascii="Times New Roman" w:eastAsia="Times New Roman" w:hAnsi="Times New Roman"/>
          <w:color w:val="000000"/>
          <w:spacing w:val="4"/>
          <w:sz w:val="26"/>
          <w:szCs w:val="26"/>
        </w:rPr>
        <w:t xml:space="preserve">hese rules </w:t>
      </w:r>
      <w:r w:rsidR="00EB49CF">
        <w:rPr>
          <w:rFonts w:ascii="Times New Roman" w:eastAsia="Times New Roman" w:hAnsi="Times New Roman"/>
          <w:color w:val="000000"/>
          <w:spacing w:val="4"/>
          <w:sz w:val="26"/>
          <w:szCs w:val="26"/>
        </w:rPr>
        <w:t xml:space="preserve">were </w:t>
      </w:r>
      <w:r w:rsidR="001A1513" w:rsidRPr="003853FC">
        <w:rPr>
          <w:rFonts w:ascii="Times New Roman" w:eastAsia="Times New Roman" w:hAnsi="Times New Roman"/>
          <w:color w:val="000000"/>
          <w:spacing w:val="4"/>
          <w:sz w:val="26"/>
          <w:szCs w:val="26"/>
        </w:rPr>
        <w:t>combin</w:t>
      </w:r>
      <w:r w:rsidR="00EB49CF">
        <w:rPr>
          <w:rFonts w:ascii="Times New Roman" w:eastAsia="Times New Roman" w:hAnsi="Times New Roman"/>
          <w:color w:val="000000"/>
          <w:spacing w:val="4"/>
          <w:sz w:val="26"/>
          <w:szCs w:val="26"/>
        </w:rPr>
        <w:t>ed in</w:t>
      </w:r>
      <w:r w:rsidR="001A1513" w:rsidRPr="003853FC">
        <w:rPr>
          <w:rFonts w:ascii="Times New Roman" w:eastAsia="Times New Roman" w:hAnsi="Times New Roman"/>
          <w:color w:val="000000"/>
          <w:spacing w:val="4"/>
          <w:sz w:val="26"/>
          <w:szCs w:val="26"/>
        </w:rPr>
        <w:t xml:space="preserve"> disclosure r</w:t>
      </w:r>
      <w:r w:rsidR="00EB49CF">
        <w:rPr>
          <w:rFonts w:ascii="Times New Roman" w:eastAsia="Times New Roman" w:hAnsi="Times New Roman"/>
          <w:color w:val="000000"/>
          <w:spacing w:val="4"/>
          <w:sz w:val="26"/>
          <w:szCs w:val="26"/>
        </w:rPr>
        <w:t>egulations</w:t>
      </w:r>
      <w:r w:rsidR="001A1513" w:rsidRPr="003853FC">
        <w:rPr>
          <w:rFonts w:ascii="Times New Roman" w:eastAsia="Times New Roman" w:hAnsi="Times New Roman"/>
          <w:color w:val="000000"/>
          <w:spacing w:val="4"/>
          <w:sz w:val="26"/>
          <w:szCs w:val="26"/>
        </w:rPr>
        <w:t xml:space="preserve"> and guidelines</w:t>
      </w:r>
      <w:r w:rsidR="009D7F64">
        <w:rPr>
          <w:rFonts w:ascii="Times New Roman" w:eastAsia="Times New Roman" w:hAnsi="Times New Roman"/>
          <w:color w:val="000000"/>
          <w:spacing w:val="4"/>
          <w:sz w:val="26"/>
          <w:szCs w:val="26"/>
        </w:rPr>
        <w:t>. The Commission decided</w:t>
      </w:r>
      <w:r w:rsidR="001A1513" w:rsidRPr="003853FC">
        <w:rPr>
          <w:rFonts w:ascii="Times New Roman" w:eastAsia="Times New Roman" w:hAnsi="Times New Roman"/>
          <w:color w:val="000000"/>
          <w:spacing w:val="4"/>
          <w:sz w:val="26"/>
          <w:szCs w:val="26"/>
        </w:rPr>
        <w:t xml:space="preserve"> that the electric industry </w:t>
      </w:r>
      <w:r w:rsidR="008E2217">
        <w:rPr>
          <w:rFonts w:ascii="Times New Roman" w:eastAsia="Times New Roman" w:hAnsi="Times New Roman"/>
          <w:color w:val="000000"/>
          <w:spacing w:val="4"/>
          <w:sz w:val="26"/>
          <w:szCs w:val="26"/>
        </w:rPr>
        <w:t xml:space="preserve">supplier-to-customer </w:t>
      </w:r>
      <w:r w:rsidR="001A1513" w:rsidRPr="003853FC">
        <w:rPr>
          <w:rFonts w:ascii="Times New Roman" w:eastAsia="Times New Roman" w:hAnsi="Times New Roman"/>
          <w:color w:val="000000"/>
          <w:spacing w:val="4"/>
          <w:sz w:val="26"/>
          <w:szCs w:val="26"/>
        </w:rPr>
        <w:t xml:space="preserve">notice procedures </w:t>
      </w:r>
      <w:r w:rsidR="008E2217">
        <w:rPr>
          <w:rFonts w:ascii="Times New Roman" w:eastAsia="Times New Roman" w:hAnsi="Times New Roman"/>
          <w:color w:val="000000"/>
          <w:spacing w:val="4"/>
          <w:sz w:val="26"/>
          <w:szCs w:val="26"/>
        </w:rPr>
        <w:t>constituted</w:t>
      </w:r>
      <w:r w:rsidR="001A1513" w:rsidRPr="003853FC">
        <w:rPr>
          <w:rFonts w:ascii="Times New Roman" w:eastAsia="Times New Roman" w:hAnsi="Times New Roman"/>
          <w:color w:val="000000"/>
          <w:spacing w:val="4"/>
          <w:sz w:val="26"/>
          <w:szCs w:val="26"/>
        </w:rPr>
        <w:t xml:space="preserve"> </w:t>
      </w:r>
      <w:r w:rsidR="008E2217">
        <w:rPr>
          <w:rFonts w:ascii="Times New Roman" w:eastAsia="Times New Roman" w:hAnsi="Times New Roman"/>
          <w:color w:val="000000"/>
          <w:spacing w:val="4"/>
          <w:sz w:val="26"/>
          <w:szCs w:val="26"/>
        </w:rPr>
        <w:t>sufficient</w:t>
      </w:r>
      <w:r w:rsidR="001A1513" w:rsidRPr="003853FC">
        <w:rPr>
          <w:rFonts w:ascii="Times New Roman" w:eastAsia="Times New Roman" w:hAnsi="Times New Roman"/>
          <w:color w:val="000000"/>
          <w:spacing w:val="4"/>
          <w:sz w:val="26"/>
          <w:szCs w:val="26"/>
        </w:rPr>
        <w:t xml:space="preserve"> importance to warrant </w:t>
      </w:r>
      <w:r w:rsidR="008E2217">
        <w:rPr>
          <w:rFonts w:ascii="Times New Roman" w:eastAsia="Times New Roman" w:hAnsi="Times New Roman"/>
          <w:color w:val="000000"/>
          <w:spacing w:val="4"/>
          <w:sz w:val="26"/>
          <w:szCs w:val="26"/>
        </w:rPr>
        <w:t>the creation of a</w:t>
      </w:r>
      <w:r w:rsidR="009D7F64">
        <w:rPr>
          <w:rFonts w:ascii="Times New Roman" w:eastAsia="Times New Roman" w:hAnsi="Times New Roman"/>
          <w:color w:val="000000"/>
          <w:spacing w:val="4"/>
          <w:sz w:val="26"/>
          <w:szCs w:val="26"/>
        </w:rPr>
        <w:t xml:space="preserve"> separate section in our</w:t>
      </w:r>
      <w:r w:rsidR="001A1513" w:rsidRPr="003853FC">
        <w:rPr>
          <w:rFonts w:ascii="Times New Roman" w:eastAsia="Times New Roman" w:hAnsi="Times New Roman"/>
          <w:color w:val="000000"/>
          <w:spacing w:val="4"/>
          <w:sz w:val="26"/>
          <w:szCs w:val="26"/>
        </w:rPr>
        <w:t xml:space="preserve"> regulation</w:t>
      </w:r>
      <w:r w:rsidR="008E2217">
        <w:rPr>
          <w:rFonts w:ascii="Times New Roman" w:eastAsia="Times New Roman" w:hAnsi="Times New Roman"/>
          <w:color w:val="000000"/>
          <w:spacing w:val="4"/>
          <w:sz w:val="26"/>
          <w:szCs w:val="26"/>
        </w:rPr>
        <w:t>s</w:t>
      </w:r>
      <w:r w:rsidR="001A1513" w:rsidRPr="003853FC">
        <w:rPr>
          <w:rFonts w:ascii="Times New Roman" w:eastAsia="Times New Roman" w:hAnsi="Times New Roman"/>
          <w:color w:val="000000"/>
          <w:spacing w:val="4"/>
          <w:sz w:val="26"/>
          <w:szCs w:val="26"/>
        </w:rPr>
        <w:t xml:space="preserve">.  </w:t>
      </w:r>
      <w:r w:rsidR="001A1513" w:rsidRPr="008E2217">
        <w:rPr>
          <w:rFonts w:ascii="Times New Roman" w:eastAsia="Times New Roman" w:hAnsi="Times New Roman"/>
          <w:i/>
          <w:color w:val="000000"/>
          <w:spacing w:val="4"/>
          <w:sz w:val="26"/>
          <w:szCs w:val="26"/>
        </w:rPr>
        <w:t>See</w:t>
      </w:r>
      <w:r w:rsidR="001A1513" w:rsidRPr="003853FC">
        <w:rPr>
          <w:rFonts w:ascii="Times New Roman" w:eastAsia="Times New Roman" w:hAnsi="Times New Roman"/>
          <w:color w:val="000000"/>
          <w:spacing w:val="4"/>
          <w:sz w:val="26"/>
          <w:szCs w:val="26"/>
        </w:rPr>
        <w:t xml:space="preserve"> 52 Pa. Code § 54.10.  </w:t>
      </w:r>
      <w:r w:rsidR="008E2217">
        <w:rPr>
          <w:rFonts w:ascii="Times New Roman" w:eastAsia="Times New Roman" w:hAnsi="Times New Roman"/>
          <w:color w:val="000000"/>
          <w:spacing w:val="4"/>
          <w:sz w:val="26"/>
          <w:szCs w:val="26"/>
        </w:rPr>
        <w:t>L</w:t>
      </w:r>
      <w:r w:rsidR="001A1513" w:rsidRPr="003853FC">
        <w:rPr>
          <w:rFonts w:ascii="Times New Roman" w:eastAsia="Times New Roman" w:hAnsi="Times New Roman"/>
          <w:color w:val="000000"/>
          <w:spacing w:val="4"/>
          <w:sz w:val="26"/>
          <w:szCs w:val="26"/>
        </w:rPr>
        <w:t>ikewise</w:t>
      </w:r>
      <w:r w:rsidR="008E2217">
        <w:rPr>
          <w:rFonts w:ascii="Times New Roman" w:eastAsia="Times New Roman" w:hAnsi="Times New Roman"/>
          <w:color w:val="000000"/>
          <w:spacing w:val="4"/>
          <w:sz w:val="26"/>
          <w:szCs w:val="26"/>
        </w:rPr>
        <w:t>, we</w:t>
      </w:r>
      <w:r w:rsidR="009D7F64">
        <w:rPr>
          <w:rFonts w:ascii="Times New Roman" w:eastAsia="Times New Roman" w:hAnsi="Times New Roman"/>
          <w:color w:val="000000"/>
          <w:spacing w:val="4"/>
          <w:sz w:val="26"/>
          <w:szCs w:val="26"/>
        </w:rPr>
        <w:t xml:space="preserve"> believe</w:t>
      </w:r>
      <w:r w:rsidR="001A1513" w:rsidRPr="003853FC">
        <w:rPr>
          <w:rFonts w:ascii="Times New Roman" w:eastAsia="Times New Roman" w:hAnsi="Times New Roman"/>
          <w:color w:val="000000"/>
          <w:spacing w:val="4"/>
          <w:sz w:val="26"/>
          <w:szCs w:val="26"/>
        </w:rPr>
        <w:t xml:space="preserve"> that the </w:t>
      </w:r>
      <w:r w:rsidR="008E2217">
        <w:rPr>
          <w:rFonts w:ascii="Times New Roman" w:eastAsia="Times New Roman" w:hAnsi="Times New Roman"/>
          <w:color w:val="000000"/>
          <w:spacing w:val="4"/>
          <w:sz w:val="26"/>
          <w:szCs w:val="26"/>
        </w:rPr>
        <w:t xml:space="preserve">supplier-to-customer </w:t>
      </w:r>
      <w:r w:rsidR="001A1513" w:rsidRPr="003853FC">
        <w:rPr>
          <w:rFonts w:ascii="Times New Roman" w:eastAsia="Times New Roman" w:hAnsi="Times New Roman"/>
          <w:color w:val="000000"/>
          <w:spacing w:val="4"/>
          <w:sz w:val="26"/>
          <w:szCs w:val="26"/>
        </w:rPr>
        <w:t xml:space="preserve">notice requirements for the gas industry warrant a new section; </w:t>
      </w:r>
      <w:r w:rsidR="008E2217">
        <w:rPr>
          <w:rFonts w:ascii="Times New Roman" w:eastAsia="Times New Roman" w:hAnsi="Times New Roman"/>
          <w:color w:val="000000"/>
          <w:spacing w:val="4"/>
          <w:sz w:val="26"/>
          <w:szCs w:val="26"/>
        </w:rPr>
        <w:t>therefore, we will propose adding</w:t>
      </w:r>
      <w:r w:rsidR="001A1513" w:rsidRPr="003853FC">
        <w:rPr>
          <w:rFonts w:ascii="Times New Roman" w:eastAsia="Times New Roman" w:hAnsi="Times New Roman"/>
          <w:color w:val="000000"/>
          <w:spacing w:val="4"/>
          <w:sz w:val="26"/>
          <w:szCs w:val="26"/>
        </w:rPr>
        <w:t xml:space="preserve"> Section 62.81</w:t>
      </w:r>
      <w:r w:rsidR="008E2217">
        <w:rPr>
          <w:rFonts w:ascii="Times New Roman" w:eastAsia="Times New Roman" w:hAnsi="Times New Roman"/>
          <w:color w:val="000000"/>
          <w:spacing w:val="4"/>
          <w:sz w:val="26"/>
          <w:szCs w:val="26"/>
        </w:rPr>
        <w:t xml:space="preserve">, which </w:t>
      </w:r>
      <w:r w:rsidR="001A1513" w:rsidRPr="003853FC">
        <w:rPr>
          <w:rFonts w:ascii="Times New Roman" w:eastAsia="Times New Roman" w:hAnsi="Times New Roman"/>
          <w:color w:val="000000"/>
          <w:spacing w:val="4"/>
          <w:sz w:val="26"/>
          <w:szCs w:val="26"/>
        </w:rPr>
        <w:t xml:space="preserve">will replace the </w:t>
      </w:r>
      <w:r w:rsidR="008E2217">
        <w:rPr>
          <w:rFonts w:ascii="Times New Roman" w:eastAsia="Times New Roman" w:hAnsi="Times New Roman"/>
          <w:color w:val="000000"/>
          <w:spacing w:val="4"/>
          <w:sz w:val="26"/>
          <w:szCs w:val="26"/>
        </w:rPr>
        <w:t xml:space="preserve">current </w:t>
      </w:r>
      <w:r w:rsidR="001A1513" w:rsidRPr="003853FC">
        <w:rPr>
          <w:rFonts w:ascii="Times New Roman" w:eastAsia="Times New Roman" w:hAnsi="Times New Roman"/>
          <w:color w:val="000000"/>
          <w:spacing w:val="4"/>
          <w:sz w:val="26"/>
          <w:szCs w:val="26"/>
        </w:rPr>
        <w:t xml:space="preserve">notice provisions </w:t>
      </w:r>
      <w:r w:rsidR="008E2217">
        <w:rPr>
          <w:rFonts w:ascii="Times New Roman" w:eastAsia="Times New Roman" w:hAnsi="Times New Roman"/>
          <w:color w:val="000000"/>
          <w:spacing w:val="4"/>
          <w:sz w:val="26"/>
          <w:szCs w:val="26"/>
        </w:rPr>
        <w:t>in</w:t>
      </w:r>
      <w:r w:rsidR="001A1513" w:rsidRPr="003853FC">
        <w:rPr>
          <w:rFonts w:ascii="Times New Roman" w:eastAsia="Times New Roman" w:hAnsi="Times New Roman"/>
          <w:color w:val="000000"/>
          <w:spacing w:val="4"/>
          <w:sz w:val="26"/>
          <w:szCs w:val="26"/>
        </w:rPr>
        <w:t xml:space="preserve"> 52 Pa. Code § 62.75(g).  For the </w:t>
      </w:r>
      <w:r w:rsidR="001A1513" w:rsidRPr="003853FC">
        <w:rPr>
          <w:rFonts w:ascii="Times New Roman" w:eastAsia="Times New Roman" w:hAnsi="Times New Roman"/>
          <w:color w:val="000000"/>
          <w:spacing w:val="4"/>
          <w:sz w:val="26"/>
          <w:szCs w:val="26"/>
        </w:rPr>
        <w:lastRenderedPageBreak/>
        <w:t xml:space="preserve">sake of consistency, especially for those customers who obtain both electric and gas supply from the same supplier, the proposed new section will </w:t>
      </w:r>
      <w:r w:rsidR="00B560DE">
        <w:rPr>
          <w:rFonts w:ascii="Times New Roman" w:eastAsia="Times New Roman" w:hAnsi="Times New Roman"/>
          <w:color w:val="000000"/>
          <w:spacing w:val="4"/>
          <w:sz w:val="26"/>
          <w:szCs w:val="26"/>
        </w:rPr>
        <w:t xml:space="preserve">be substantially similar to </w:t>
      </w:r>
      <w:r w:rsidR="001A1513" w:rsidRPr="003853FC">
        <w:rPr>
          <w:rFonts w:ascii="Times New Roman" w:eastAsia="Times New Roman" w:hAnsi="Times New Roman"/>
          <w:color w:val="000000"/>
          <w:spacing w:val="4"/>
          <w:sz w:val="26"/>
          <w:szCs w:val="26"/>
        </w:rPr>
        <w:t xml:space="preserve">the electric rules.  </w:t>
      </w:r>
    </w:p>
    <w:p w:rsidR="009D7F64" w:rsidRDefault="009D7F64" w:rsidP="001A1513">
      <w:pPr>
        <w:spacing w:line="360" w:lineRule="auto"/>
        <w:ind w:firstLine="720"/>
        <w:rPr>
          <w:rFonts w:ascii="Times New Roman" w:eastAsia="Times New Roman" w:hAnsi="Times New Roman"/>
          <w:color w:val="000000"/>
          <w:spacing w:val="4"/>
          <w:sz w:val="26"/>
          <w:szCs w:val="26"/>
        </w:rPr>
      </w:pPr>
    </w:p>
    <w:p w:rsidR="001A1513" w:rsidRPr="003853FC" w:rsidRDefault="001A1513" w:rsidP="001A1513">
      <w:pPr>
        <w:spacing w:line="360" w:lineRule="auto"/>
        <w:ind w:firstLine="720"/>
        <w:rPr>
          <w:rFonts w:ascii="Times New Roman" w:eastAsia="Times New Roman" w:hAnsi="Times New Roman"/>
          <w:color w:val="000000"/>
          <w:spacing w:val="4"/>
          <w:sz w:val="26"/>
          <w:szCs w:val="26"/>
        </w:rPr>
      </w:pPr>
      <w:r w:rsidRPr="003853FC">
        <w:rPr>
          <w:rFonts w:ascii="Times New Roman" w:eastAsia="Times New Roman" w:hAnsi="Times New Roman"/>
          <w:color w:val="000000"/>
          <w:spacing w:val="4"/>
          <w:sz w:val="26"/>
          <w:szCs w:val="26"/>
        </w:rPr>
        <w:t>We note that the Commission has already issue</w:t>
      </w:r>
      <w:r w:rsidR="008E2217">
        <w:rPr>
          <w:rFonts w:ascii="Times New Roman" w:eastAsia="Times New Roman" w:hAnsi="Times New Roman"/>
          <w:color w:val="000000"/>
          <w:spacing w:val="4"/>
          <w:sz w:val="26"/>
          <w:szCs w:val="26"/>
        </w:rPr>
        <w:t>d</w:t>
      </w:r>
      <w:r w:rsidRPr="003853FC">
        <w:rPr>
          <w:rFonts w:ascii="Times New Roman" w:eastAsia="Times New Roman" w:hAnsi="Times New Roman"/>
          <w:color w:val="000000"/>
          <w:spacing w:val="4"/>
          <w:sz w:val="26"/>
          <w:szCs w:val="26"/>
        </w:rPr>
        <w:t xml:space="preserve"> guidelines addressing the current inconsistency between the </w:t>
      </w:r>
      <w:proofErr w:type="gramStart"/>
      <w:r w:rsidRPr="003853FC">
        <w:rPr>
          <w:rFonts w:ascii="Times New Roman" w:eastAsia="Times New Roman" w:hAnsi="Times New Roman"/>
          <w:color w:val="000000"/>
          <w:spacing w:val="4"/>
          <w:sz w:val="26"/>
          <w:szCs w:val="26"/>
        </w:rPr>
        <w:t>notice</w:t>
      </w:r>
      <w:proofErr w:type="gramEnd"/>
      <w:r w:rsidRPr="003853FC">
        <w:rPr>
          <w:rFonts w:ascii="Times New Roman" w:eastAsia="Times New Roman" w:hAnsi="Times New Roman"/>
          <w:color w:val="000000"/>
          <w:spacing w:val="4"/>
          <w:sz w:val="26"/>
          <w:szCs w:val="26"/>
        </w:rPr>
        <w:t xml:space="preserve"> timeframes found in the two sets of rules for those dual-energy supplier customers.</w:t>
      </w:r>
      <w:r w:rsidRPr="003853FC">
        <w:rPr>
          <w:rStyle w:val="FootnoteReference"/>
          <w:rFonts w:ascii="Times New Roman" w:eastAsia="Times New Roman" w:hAnsi="Times New Roman"/>
          <w:color w:val="000000"/>
          <w:spacing w:val="4"/>
          <w:sz w:val="26"/>
          <w:szCs w:val="26"/>
        </w:rPr>
        <w:footnoteReference w:id="6"/>
      </w:r>
      <w:r w:rsidRPr="003853FC">
        <w:rPr>
          <w:rFonts w:ascii="Times New Roman" w:eastAsia="Times New Roman" w:hAnsi="Times New Roman"/>
          <w:color w:val="000000"/>
          <w:spacing w:val="4"/>
          <w:sz w:val="26"/>
          <w:szCs w:val="26"/>
        </w:rPr>
        <w:t xml:space="preserve">  </w:t>
      </w:r>
      <w:r w:rsidR="00B560DE">
        <w:rPr>
          <w:rFonts w:ascii="Times New Roman" w:eastAsia="Times New Roman" w:hAnsi="Times New Roman"/>
          <w:color w:val="000000"/>
          <w:spacing w:val="4"/>
          <w:sz w:val="26"/>
          <w:szCs w:val="26"/>
        </w:rPr>
        <w:t>Notably</w:t>
      </w:r>
      <w:r w:rsidRPr="003853FC">
        <w:rPr>
          <w:rFonts w:ascii="Times New Roman" w:eastAsia="Times New Roman" w:hAnsi="Times New Roman"/>
          <w:color w:val="000000"/>
          <w:spacing w:val="4"/>
          <w:sz w:val="26"/>
          <w:szCs w:val="26"/>
        </w:rPr>
        <w:t xml:space="preserve">, </w:t>
      </w:r>
      <w:r w:rsidR="009820D9">
        <w:rPr>
          <w:rFonts w:ascii="Times New Roman" w:eastAsia="Times New Roman" w:hAnsi="Times New Roman"/>
          <w:color w:val="000000"/>
          <w:spacing w:val="4"/>
          <w:sz w:val="26"/>
          <w:szCs w:val="26"/>
        </w:rPr>
        <w:t xml:space="preserve">achieving </w:t>
      </w:r>
      <w:r w:rsidRPr="003853FC">
        <w:rPr>
          <w:rFonts w:ascii="Times New Roman" w:eastAsia="Times New Roman" w:hAnsi="Times New Roman"/>
          <w:color w:val="000000"/>
          <w:spacing w:val="4"/>
          <w:sz w:val="26"/>
          <w:szCs w:val="26"/>
        </w:rPr>
        <w:t xml:space="preserve">consistency </w:t>
      </w:r>
      <w:r w:rsidR="009820D9">
        <w:rPr>
          <w:rFonts w:ascii="Times New Roman" w:eastAsia="Times New Roman" w:hAnsi="Times New Roman"/>
          <w:color w:val="000000"/>
          <w:spacing w:val="4"/>
          <w:sz w:val="26"/>
          <w:szCs w:val="26"/>
        </w:rPr>
        <w:t>in</w:t>
      </w:r>
      <w:r w:rsidRPr="003853FC">
        <w:rPr>
          <w:rFonts w:ascii="Times New Roman" w:eastAsia="Times New Roman" w:hAnsi="Times New Roman"/>
          <w:color w:val="000000"/>
          <w:spacing w:val="4"/>
          <w:sz w:val="26"/>
          <w:szCs w:val="26"/>
        </w:rPr>
        <w:t xml:space="preserve"> the electric and gas industries is complicated by the significantly different supplier switching timeframes presently in place.  Supplier switching in the electric indu</w:t>
      </w:r>
      <w:r w:rsidR="009D7F64">
        <w:rPr>
          <w:rFonts w:ascii="Times New Roman" w:eastAsia="Times New Roman" w:hAnsi="Times New Roman"/>
          <w:color w:val="000000"/>
          <w:spacing w:val="4"/>
          <w:sz w:val="26"/>
          <w:szCs w:val="26"/>
        </w:rPr>
        <w:t>stry can occur in as little as three</w:t>
      </w:r>
      <w:r w:rsidRPr="003853FC">
        <w:rPr>
          <w:rFonts w:ascii="Times New Roman" w:eastAsia="Times New Roman" w:hAnsi="Times New Roman"/>
          <w:color w:val="000000"/>
          <w:spacing w:val="4"/>
          <w:sz w:val="26"/>
          <w:szCs w:val="26"/>
        </w:rPr>
        <w:t xml:space="preserve"> business days.</w:t>
      </w:r>
      <w:r w:rsidR="009820D9">
        <w:rPr>
          <w:rFonts w:ascii="Times New Roman" w:eastAsia="Times New Roman" w:hAnsi="Times New Roman"/>
          <w:color w:val="000000"/>
          <w:spacing w:val="4"/>
          <w:sz w:val="26"/>
          <w:szCs w:val="26"/>
        </w:rPr>
        <w:t xml:space="preserve">  </w:t>
      </w:r>
      <w:r w:rsidR="009820D9">
        <w:rPr>
          <w:rFonts w:ascii="Times New Roman" w:eastAsia="Times New Roman" w:hAnsi="Times New Roman"/>
          <w:i/>
          <w:color w:val="000000"/>
          <w:spacing w:val="4"/>
          <w:sz w:val="26"/>
          <w:szCs w:val="26"/>
        </w:rPr>
        <w:t>See</w:t>
      </w:r>
      <w:r w:rsidR="009820D9">
        <w:rPr>
          <w:rFonts w:ascii="Times New Roman" w:eastAsia="Times New Roman" w:hAnsi="Times New Roman"/>
          <w:color w:val="000000"/>
          <w:spacing w:val="4"/>
          <w:sz w:val="26"/>
          <w:szCs w:val="26"/>
        </w:rPr>
        <w:t xml:space="preserve"> 52 Pa. Code § 57.174.</w:t>
      </w:r>
      <w:r w:rsidRPr="003853FC">
        <w:rPr>
          <w:rFonts w:ascii="Times New Roman" w:eastAsia="Times New Roman" w:hAnsi="Times New Roman"/>
          <w:color w:val="000000"/>
          <w:spacing w:val="4"/>
          <w:sz w:val="26"/>
          <w:szCs w:val="26"/>
        </w:rPr>
        <w:t xml:space="preserve">  However, supplier switching in the gas industry can take several weeks.  While we </w:t>
      </w:r>
      <w:r w:rsidR="00FC3D03">
        <w:rPr>
          <w:rFonts w:ascii="Times New Roman" w:eastAsia="Times New Roman" w:hAnsi="Times New Roman"/>
          <w:color w:val="000000"/>
          <w:spacing w:val="4"/>
          <w:sz w:val="26"/>
          <w:szCs w:val="26"/>
        </w:rPr>
        <w:t>intend to</w:t>
      </w:r>
      <w:r w:rsidRPr="003853FC">
        <w:rPr>
          <w:rFonts w:ascii="Times New Roman" w:eastAsia="Times New Roman" w:hAnsi="Times New Roman"/>
          <w:color w:val="000000"/>
          <w:spacing w:val="4"/>
          <w:sz w:val="26"/>
          <w:szCs w:val="26"/>
        </w:rPr>
        <w:t xml:space="preserve"> explor</w:t>
      </w:r>
      <w:r w:rsidR="00FC3D03">
        <w:rPr>
          <w:rFonts w:ascii="Times New Roman" w:eastAsia="Times New Roman" w:hAnsi="Times New Roman"/>
          <w:color w:val="000000"/>
          <w:spacing w:val="4"/>
          <w:sz w:val="26"/>
          <w:szCs w:val="26"/>
        </w:rPr>
        <w:t>e</w:t>
      </w:r>
      <w:r w:rsidRPr="003853FC">
        <w:rPr>
          <w:rFonts w:ascii="Times New Roman" w:eastAsia="Times New Roman" w:hAnsi="Times New Roman"/>
          <w:color w:val="000000"/>
          <w:spacing w:val="4"/>
          <w:sz w:val="26"/>
          <w:szCs w:val="26"/>
        </w:rPr>
        <w:t xml:space="preserve"> the possibility of accelerating gas supplier sw</w:t>
      </w:r>
      <w:r w:rsidR="009D7F64">
        <w:rPr>
          <w:rFonts w:ascii="Times New Roman" w:eastAsia="Times New Roman" w:hAnsi="Times New Roman"/>
          <w:color w:val="000000"/>
          <w:spacing w:val="4"/>
          <w:sz w:val="26"/>
          <w:szCs w:val="26"/>
        </w:rPr>
        <w:t xml:space="preserve">itching in the coming months, </w:t>
      </w:r>
      <w:r w:rsidR="00F56F14">
        <w:rPr>
          <w:rFonts w:ascii="Times New Roman" w:eastAsia="Times New Roman" w:hAnsi="Times New Roman"/>
          <w:color w:val="000000"/>
          <w:spacing w:val="4"/>
          <w:sz w:val="26"/>
          <w:szCs w:val="26"/>
        </w:rPr>
        <w:t xml:space="preserve">the achievable </w:t>
      </w:r>
      <w:r w:rsidRPr="003853FC">
        <w:rPr>
          <w:rFonts w:ascii="Times New Roman" w:eastAsia="Times New Roman" w:hAnsi="Times New Roman"/>
          <w:color w:val="000000"/>
          <w:spacing w:val="4"/>
          <w:sz w:val="26"/>
          <w:szCs w:val="26"/>
        </w:rPr>
        <w:t xml:space="preserve">switching </w:t>
      </w:r>
      <w:r w:rsidR="00F56F14">
        <w:rPr>
          <w:rFonts w:ascii="Times New Roman" w:eastAsia="Times New Roman" w:hAnsi="Times New Roman"/>
          <w:color w:val="000000"/>
          <w:spacing w:val="4"/>
          <w:sz w:val="26"/>
          <w:szCs w:val="26"/>
        </w:rPr>
        <w:t xml:space="preserve">timeframes </w:t>
      </w:r>
      <w:r w:rsidR="009820D9">
        <w:rPr>
          <w:rFonts w:ascii="Times New Roman" w:eastAsia="Times New Roman" w:hAnsi="Times New Roman"/>
          <w:color w:val="000000"/>
          <w:spacing w:val="4"/>
          <w:sz w:val="26"/>
          <w:szCs w:val="26"/>
        </w:rPr>
        <w:t xml:space="preserve">in the gas industry </w:t>
      </w:r>
      <w:r w:rsidR="00F56F14">
        <w:rPr>
          <w:rFonts w:ascii="Times New Roman" w:eastAsia="Times New Roman" w:hAnsi="Times New Roman"/>
          <w:color w:val="000000"/>
          <w:spacing w:val="4"/>
          <w:sz w:val="26"/>
          <w:szCs w:val="26"/>
        </w:rPr>
        <w:t xml:space="preserve">remain unclear at this time.  </w:t>
      </w:r>
      <w:r w:rsidR="00B560DE" w:rsidRPr="00BA5583">
        <w:rPr>
          <w:rFonts w:ascii="Times New Roman" w:eastAsia="Times New Roman" w:hAnsi="Times New Roman"/>
          <w:color w:val="000000"/>
          <w:spacing w:val="4"/>
          <w:sz w:val="26"/>
          <w:szCs w:val="26"/>
        </w:rPr>
        <w:t>Therefore, w</w:t>
      </w:r>
      <w:r w:rsidR="009820D9" w:rsidRPr="00BA5583">
        <w:rPr>
          <w:rFonts w:ascii="Times New Roman" w:eastAsia="Times New Roman" w:hAnsi="Times New Roman"/>
          <w:color w:val="000000"/>
          <w:spacing w:val="4"/>
          <w:sz w:val="26"/>
          <w:szCs w:val="26"/>
        </w:rPr>
        <w:t xml:space="preserve">e seek comments from utilities and suppliers </w:t>
      </w:r>
      <w:r w:rsidR="00B560DE" w:rsidRPr="00BA5583">
        <w:rPr>
          <w:rFonts w:ascii="Times New Roman" w:eastAsia="Times New Roman" w:hAnsi="Times New Roman"/>
          <w:color w:val="000000"/>
          <w:spacing w:val="4"/>
          <w:sz w:val="26"/>
          <w:szCs w:val="26"/>
        </w:rPr>
        <w:t>as to</w:t>
      </w:r>
      <w:r w:rsidR="009820D9" w:rsidRPr="00BA5583">
        <w:rPr>
          <w:rFonts w:ascii="Times New Roman" w:eastAsia="Times New Roman" w:hAnsi="Times New Roman"/>
          <w:color w:val="000000"/>
          <w:spacing w:val="4"/>
          <w:sz w:val="26"/>
          <w:szCs w:val="26"/>
        </w:rPr>
        <w:t xml:space="preserve"> whether the 60-day and 30-day time</w:t>
      </w:r>
      <w:r w:rsidR="009D7F64">
        <w:rPr>
          <w:rFonts w:ascii="Times New Roman" w:eastAsia="Times New Roman" w:hAnsi="Times New Roman"/>
          <w:color w:val="000000"/>
          <w:spacing w:val="4"/>
          <w:sz w:val="26"/>
          <w:szCs w:val="26"/>
        </w:rPr>
        <w:t>frames in the electric rules can</w:t>
      </w:r>
      <w:r w:rsidR="009820D9" w:rsidRPr="00BA5583">
        <w:rPr>
          <w:rFonts w:ascii="Times New Roman" w:eastAsia="Times New Roman" w:hAnsi="Times New Roman"/>
          <w:color w:val="000000"/>
          <w:spacing w:val="4"/>
          <w:sz w:val="26"/>
          <w:szCs w:val="26"/>
        </w:rPr>
        <w:t>, at this time, be applied in the gas industry.  If not, we seek comments on the notice requirements that would be appropriate in the gas industry</w:t>
      </w:r>
      <w:r w:rsidR="00B560DE" w:rsidRPr="00BA5583">
        <w:rPr>
          <w:rFonts w:ascii="Times New Roman" w:eastAsia="Times New Roman" w:hAnsi="Times New Roman"/>
          <w:color w:val="000000"/>
          <w:spacing w:val="4"/>
          <w:sz w:val="26"/>
          <w:szCs w:val="26"/>
        </w:rPr>
        <w:t xml:space="preserve"> and appropriate for dual-energy supplier customers</w:t>
      </w:r>
      <w:r w:rsidR="009820D9" w:rsidRPr="00BA5583">
        <w:rPr>
          <w:rFonts w:ascii="Times New Roman" w:eastAsia="Times New Roman" w:hAnsi="Times New Roman"/>
          <w:color w:val="000000"/>
          <w:spacing w:val="4"/>
          <w:sz w:val="26"/>
          <w:szCs w:val="26"/>
        </w:rPr>
        <w:t>.</w:t>
      </w:r>
      <w:r w:rsidR="009820D9">
        <w:rPr>
          <w:rFonts w:ascii="Times New Roman" w:eastAsia="Times New Roman" w:hAnsi="Times New Roman"/>
          <w:color w:val="000000"/>
          <w:spacing w:val="4"/>
          <w:sz w:val="26"/>
          <w:szCs w:val="26"/>
        </w:rPr>
        <w:t xml:space="preserve">    </w:t>
      </w:r>
    </w:p>
    <w:p w:rsidR="006C55C1" w:rsidRDefault="006C55C1" w:rsidP="001A1513">
      <w:pPr>
        <w:spacing w:line="360" w:lineRule="auto"/>
        <w:rPr>
          <w:rFonts w:ascii="Times New Roman" w:eastAsia="Times New Roman" w:hAnsi="Times New Roman"/>
          <w:color w:val="000000"/>
          <w:spacing w:val="4"/>
          <w:sz w:val="26"/>
          <w:szCs w:val="26"/>
        </w:rPr>
      </w:pPr>
    </w:p>
    <w:p w:rsidR="001A1513" w:rsidRPr="003853FC" w:rsidRDefault="001A1513" w:rsidP="006C55C1">
      <w:pPr>
        <w:spacing w:line="360" w:lineRule="auto"/>
        <w:ind w:firstLine="720"/>
        <w:rPr>
          <w:rFonts w:ascii="Times New Roman" w:eastAsia="Times New Roman" w:hAnsi="Times New Roman"/>
          <w:color w:val="000000"/>
          <w:sz w:val="26"/>
          <w:szCs w:val="26"/>
        </w:rPr>
      </w:pPr>
      <w:r w:rsidRPr="003853FC">
        <w:rPr>
          <w:rFonts w:ascii="Times New Roman" w:eastAsia="Times New Roman" w:hAnsi="Times New Roman"/>
          <w:color w:val="000000"/>
          <w:spacing w:val="4"/>
          <w:sz w:val="26"/>
          <w:szCs w:val="26"/>
        </w:rPr>
        <w:t>WGL</w:t>
      </w:r>
      <w:r w:rsidR="009D7F64">
        <w:rPr>
          <w:rFonts w:ascii="Times New Roman" w:eastAsia="Times New Roman" w:hAnsi="Times New Roman"/>
          <w:color w:val="000000"/>
          <w:spacing w:val="4"/>
          <w:sz w:val="26"/>
          <w:szCs w:val="26"/>
        </w:rPr>
        <w:t xml:space="preserve"> Energy assert</w:t>
      </w:r>
      <w:r w:rsidR="009820D9">
        <w:rPr>
          <w:rFonts w:ascii="Times New Roman" w:eastAsia="Times New Roman" w:hAnsi="Times New Roman"/>
          <w:color w:val="000000"/>
          <w:spacing w:val="4"/>
          <w:sz w:val="26"/>
          <w:szCs w:val="26"/>
        </w:rPr>
        <w:t>s that</w:t>
      </w:r>
      <w:r w:rsidRPr="003853FC">
        <w:rPr>
          <w:rFonts w:ascii="Times New Roman" w:eastAsia="Times New Roman" w:hAnsi="Times New Roman"/>
          <w:color w:val="000000"/>
          <w:spacing w:val="4"/>
          <w:sz w:val="26"/>
          <w:szCs w:val="26"/>
        </w:rPr>
        <w:t xml:space="preserve"> the electric notice rules are “</w:t>
      </w:r>
      <w:r w:rsidRPr="003853FC">
        <w:rPr>
          <w:rFonts w:ascii="Times New Roman" w:eastAsia="Times New Roman" w:hAnsi="Times New Roman"/>
          <w:color w:val="000000"/>
          <w:sz w:val="26"/>
          <w:szCs w:val="26"/>
        </w:rPr>
        <w:t>very difficult to interpret</w:t>
      </w:r>
      <w:r w:rsidR="009820D9">
        <w:rPr>
          <w:rFonts w:ascii="Times New Roman" w:eastAsia="Times New Roman" w:hAnsi="Times New Roman"/>
          <w:color w:val="000000"/>
          <w:sz w:val="26"/>
          <w:szCs w:val="26"/>
        </w:rPr>
        <w:t>,</w:t>
      </w:r>
      <w:r w:rsidRPr="003853FC">
        <w:rPr>
          <w:rFonts w:ascii="Times New Roman" w:eastAsia="Times New Roman" w:hAnsi="Times New Roman"/>
          <w:color w:val="000000"/>
          <w:sz w:val="26"/>
          <w:szCs w:val="26"/>
        </w:rPr>
        <w:t xml:space="preserve">” </w:t>
      </w:r>
      <w:r w:rsidR="00671E6A">
        <w:rPr>
          <w:rFonts w:ascii="Times New Roman" w:eastAsia="Times New Roman" w:hAnsi="Times New Roman"/>
          <w:color w:val="000000"/>
          <w:sz w:val="26"/>
          <w:szCs w:val="26"/>
        </w:rPr>
        <w:t>but fails to specify the language it finds difficult to interpret or further explain how it should be revised</w:t>
      </w:r>
      <w:r w:rsidRPr="003853FC">
        <w:rPr>
          <w:rFonts w:ascii="Times New Roman" w:eastAsia="Times New Roman" w:hAnsi="Times New Roman"/>
          <w:color w:val="000000"/>
          <w:sz w:val="26"/>
          <w:szCs w:val="26"/>
        </w:rPr>
        <w:t xml:space="preserve">.  </w:t>
      </w:r>
      <w:r w:rsidR="00F56F14">
        <w:rPr>
          <w:rFonts w:ascii="Times New Roman" w:eastAsia="Times New Roman" w:hAnsi="Times New Roman"/>
          <w:color w:val="000000"/>
          <w:sz w:val="26"/>
          <w:szCs w:val="26"/>
        </w:rPr>
        <w:t>Accordingly, we invite interested parties to pro</w:t>
      </w:r>
      <w:r w:rsidR="00B85130">
        <w:rPr>
          <w:rFonts w:ascii="Times New Roman" w:eastAsia="Times New Roman" w:hAnsi="Times New Roman"/>
          <w:color w:val="000000"/>
          <w:sz w:val="26"/>
          <w:szCs w:val="26"/>
        </w:rPr>
        <w:t>vide the specific language that</w:t>
      </w:r>
      <w:r w:rsidR="00F56F14">
        <w:rPr>
          <w:rFonts w:ascii="Times New Roman" w:eastAsia="Times New Roman" w:hAnsi="Times New Roman"/>
          <w:color w:val="000000"/>
          <w:sz w:val="26"/>
          <w:szCs w:val="26"/>
        </w:rPr>
        <w:t xml:space="preserve"> they find unclear and </w:t>
      </w:r>
      <w:r w:rsidR="00B85130">
        <w:rPr>
          <w:rFonts w:ascii="Times New Roman" w:eastAsia="Times New Roman" w:hAnsi="Times New Roman"/>
          <w:color w:val="000000"/>
          <w:sz w:val="26"/>
          <w:szCs w:val="26"/>
        </w:rPr>
        <w:t xml:space="preserve">to </w:t>
      </w:r>
      <w:r w:rsidR="00F56F14">
        <w:rPr>
          <w:rFonts w:ascii="Times New Roman" w:eastAsia="Times New Roman" w:hAnsi="Times New Roman"/>
          <w:color w:val="000000"/>
          <w:sz w:val="26"/>
          <w:szCs w:val="26"/>
        </w:rPr>
        <w:t xml:space="preserve">suggest improvements.  </w:t>
      </w:r>
      <w:r w:rsidRPr="003853FC">
        <w:rPr>
          <w:rFonts w:ascii="Times New Roman" w:eastAsia="Times New Roman" w:hAnsi="Times New Roman"/>
          <w:color w:val="000000"/>
          <w:sz w:val="26"/>
          <w:szCs w:val="26"/>
        </w:rPr>
        <w:t>From our experience, there is sometimes confusion with the distinction between “fixed term” and “fixed price.”  “Fixed term” means that the length</w:t>
      </w:r>
      <w:r w:rsidR="009820D9">
        <w:rPr>
          <w:rFonts w:ascii="Times New Roman" w:eastAsia="Times New Roman" w:hAnsi="Times New Roman"/>
          <w:color w:val="000000"/>
          <w:sz w:val="26"/>
          <w:szCs w:val="26"/>
        </w:rPr>
        <w:t xml:space="preserve"> or duration</w:t>
      </w:r>
      <w:r w:rsidRPr="003853FC">
        <w:rPr>
          <w:rFonts w:ascii="Times New Roman" w:eastAsia="Times New Roman" w:hAnsi="Times New Roman"/>
          <w:color w:val="000000"/>
          <w:sz w:val="26"/>
          <w:szCs w:val="26"/>
        </w:rPr>
        <w:t xml:space="preserve"> of the contract is fixed for a specific period (</w:t>
      </w:r>
      <w:r w:rsidR="009820D9" w:rsidRPr="00671E6A">
        <w:rPr>
          <w:rFonts w:ascii="Times New Roman" w:eastAsia="Times New Roman" w:hAnsi="Times New Roman"/>
          <w:i/>
          <w:color w:val="000000"/>
          <w:sz w:val="26"/>
          <w:szCs w:val="26"/>
        </w:rPr>
        <w:t>e.g</w:t>
      </w:r>
      <w:r w:rsidR="009820D9">
        <w:rPr>
          <w:rFonts w:ascii="Times New Roman" w:eastAsia="Times New Roman" w:hAnsi="Times New Roman"/>
          <w:color w:val="000000"/>
          <w:sz w:val="26"/>
          <w:szCs w:val="26"/>
        </w:rPr>
        <w:t xml:space="preserve">., </w:t>
      </w:r>
      <w:r w:rsidR="00671E6A">
        <w:rPr>
          <w:rFonts w:ascii="Times New Roman" w:eastAsia="Times New Roman" w:hAnsi="Times New Roman"/>
          <w:color w:val="000000"/>
          <w:sz w:val="26"/>
          <w:szCs w:val="26"/>
        </w:rPr>
        <w:t>six</w:t>
      </w:r>
      <w:r w:rsidRPr="003853FC">
        <w:rPr>
          <w:rFonts w:ascii="Times New Roman" w:eastAsia="Times New Roman" w:hAnsi="Times New Roman"/>
          <w:color w:val="000000"/>
          <w:sz w:val="26"/>
          <w:szCs w:val="26"/>
        </w:rPr>
        <w:t xml:space="preserve"> months, 12 months)</w:t>
      </w:r>
      <w:r w:rsidR="00FC3D03">
        <w:rPr>
          <w:rFonts w:ascii="Times New Roman" w:eastAsia="Times New Roman" w:hAnsi="Times New Roman"/>
          <w:color w:val="000000"/>
          <w:sz w:val="26"/>
          <w:szCs w:val="26"/>
        </w:rPr>
        <w:t>.</w:t>
      </w:r>
      <w:r w:rsidRPr="003853FC">
        <w:rPr>
          <w:rFonts w:ascii="Times New Roman" w:eastAsia="Times New Roman" w:hAnsi="Times New Roman"/>
          <w:color w:val="000000"/>
          <w:sz w:val="26"/>
          <w:szCs w:val="26"/>
        </w:rPr>
        <w:t xml:space="preserve">  “Fixed price</w:t>
      </w:r>
      <w:r w:rsidR="00671E6A">
        <w:rPr>
          <w:rFonts w:ascii="Times New Roman" w:eastAsia="Times New Roman" w:hAnsi="Times New Roman"/>
          <w:color w:val="000000"/>
          <w:sz w:val="26"/>
          <w:szCs w:val="26"/>
        </w:rPr>
        <w:t>,</w:t>
      </w:r>
      <w:r w:rsidR="00F56F14">
        <w:rPr>
          <w:rFonts w:ascii="Times New Roman" w:eastAsia="Times New Roman" w:hAnsi="Times New Roman"/>
          <w:color w:val="000000"/>
          <w:sz w:val="26"/>
          <w:szCs w:val="26"/>
        </w:rPr>
        <w:t>”</w:t>
      </w:r>
      <w:r w:rsidR="00B560DE">
        <w:rPr>
          <w:rStyle w:val="FootnoteReference"/>
          <w:rFonts w:ascii="Times New Roman" w:eastAsia="Times New Roman" w:hAnsi="Times New Roman"/>
          <w:color w:val="000000"/>
          <w:sz w:val="26"/>
          <w:szCs w:val="26"/>
        </w:rPr>
        <w:footnoteReference w:id="7"/>
      </w:r>
      <w:r w:rsidRPr="003853FC">
        <w:rPr>
          <w:rFonts w:ascii="Times New Roman" w:eastAsia="Times New Roman" w:hAnsi="Times New Roman"/>
          <w:color w:val="000000"/>
          <w:sz w:val="26"/>
          <w:szCs w:val="26"/>
        </w:rPr>
        <w:t xml:space="preserve"> </w:t>
      </w:r>
      <w:r w:rsidR="00671E6A">
        <w:rPr>
          <w:rFonts w:ascii="Times New Roman" w:eastAsia="Times New Roman" w:hAnsi="Times New Roman"/>
          <w:color w:val="000000"/>
          <w:sz w:val="26"/>
          <w:szCs w:val="26"/>
        </w:rPr>
        <w:t xml:space="preserve">as used in the regulations, </w:t>
      </w:r>
      <w:r w:rsidRPr="003853FC">
        <w:rPr>
          <w:rFonts w:ascii="Times New Roman" w:eastAsia="Times New Roman" w:hAnsi="Times New Roman"/>
          <w:color w:val="000000"/>
          <w:sz w:val="26"/>
          <w:szCs w:val="26"/>
        </w:rPr>
        <w:t xml:space="preserve">refers to </w:t>
      </w:r>
      <w:r w:rsidRPr="003853FC">
        <w:rPr>
          <w:rFonts w:ascii="Times New Roman" w:eastAsia="Times New Roman" w:hAnsi="Times New Roman"/>
          <w:color w:val="000000"/>
          <w:sz w:val="26"/>
          <w:szCs w:val="26"/>
        </w:rPr>
        <w:lastRenderedPageBreak/>
        <w:t>a price that is fixed and does not change (as opposed to a “variable price”).  The use of the word “term” can also be confusing for it refers to the “conditions” of a contract (as i</w:t>
      </w:r>
      <w:r w:rsidR="00671E6A">
        <w:rPr>
          <w:rFonts w:ascii="Times New Roman" w:eastAsia="Times New Roman" w:hAnsi="Times New Roman"/>
          <w:color w:val="000000"/>
          <w:sz w:val="26"/>
          <w:szCs w:val="26"/>
        </w:rPr>
        <w:t>n “terms and conditions”) but it</w:t>
      </w:r>
      <w:r w:rsidRPr="003853FC">
        <w:rPr>
          <w:rFonts w:ascii="Times New Roman" w:eastAsia="Times New Roman" w:hAnsi="Times New Roman"/>
          <w:color w:val="000000"/>
          <w:sz w:val="26"/>
          <w:szCs w:val="26"/>
        </w:rPr>
        <w:t xml:space="preserve"> can also be used more specifically in relation to the length</w:t>
      </w:r>
      <w:r w:rsidR="00B560DE">
        <w:rPr>
          <w:rFonts w:ascii="Times New Roman" w:eastAsia="Times New Roman" w:hAnsi="Times New Roman"/>
          <w:color w:val="000000"/>
          <w:sz w:val="26"/>
          <w:szCs w:val="26"/>
        </w:rPr>
        <w:t xml:space="preserve"> or duration</w:t>
      </w:r>
      <w:r w:rsidRPr="003853FC">
        <w:rPr>
          <w:rFonts w:ascii="Times New Roman" w:eastAsia="Times New Roman" w:hAnsi="Times New Roman"/>
          <w:color w:val="000000"/>
          <w:sz w:val="26"/>
          <w:szCs w:val="26"/>
        </w:rPr>
        <w:t xml:space="preserve"> of the contr</w:t>
      </w:r>
      <w:r w:rsidR="00671E6A">
        <w:rPr>
          <w:rFonts w:ascii="Times New Roman" w:eastAsia="Times New Roman" w:hAnsi="Times New Roman"/>
          <w:color w:val="000000"/>
          <w:sz w:val="26"/>
          <w:szCs w:val="26"/>
        </w:rPr>
        <w:t>act (a “term” of six</w:t>
      </w:r>
      <w:r w:rsidRPr="003853FC">
        <w:rPr>
          <w:rFonts w:ascii="Times New Roman" w:eastAsia="Times New Roman" w:hAnsi="Times New Roman"/>
          <w:color w:val="000000"/>
          <w:sz w:val="26"/>
          <w:szCs w:val="26"/>
        </w:rPr>
        <w:t xml:space="preserve"> months for example).</w:t>
      </w:r>
      <w:r w:rsidR="00B560DE">
        <w:rPr>
          <w:rFonts w:ascii="Times New Roman" w:eastAsia="Times New Roman" w:hAnsi="Times New Roman"/>
          <w:color w:val="000000"/>
          <w:sz w:val="26"/>
          <w:szCs w:val="26"/>
        </w:rPr>
        <w:t xml:space="preserve">  Accordingly, we will propose changing the word “term” to “duration” in the regulations.</w:t>
      </w:r>
      <w:r w:rsidR="002A0094">
        <w:rPr>
          <w:rFonts w:ascii="Times New Roman" w:eastAsia="Times New Roman" w:hAnsi="Times New Roman"/>
          <w:color w:val="000000"/>
          <w:sz w:val="26"/>
          <w:szCs w:val="26"/>
        </w:rPr>
        <w:t xml:space="preserve">  However, we ask parties to comment on whether the word “length” or any other word is more appropriate.</w:t>
      </w:r>
      <w:r w:rsidRPr="003853FC">
        <w:rPr>
          <w:rFonts w:ascii="Times New Roman" w:eastAsia="Times New Roman" w:hAnsi="Times New Roman"/>
          <w:color w:val="000000"/>
          <w:sz w:val="26"/>
          <w:szCs w:val="26"/>
        </w:rPr>
        <w:t xml:space="preserve">  </w:t>
      </w:r>
      <w:r w:rsidR="00A34634">
        <w:rPr>
          <w:rFonts w:ascii="Times New Roman" w:eastAsia="Times New Roman" w:hAnsi="Times New Roman"/>
          <w:i/>
          <w:color w:val="000000"/>
          <w:sz w:val="26"/>
          <w:szCs w:val="26"/>
        </w:rPr>
        <w:t>See</w:t>
      </w:r>
      <w:r w:rsidR="00A34634">
        <w:rPr>
          <w:rFonts w:ascii="Times New Roman" w:eastAsia="Times New Roman" w:hAnsi="Times New Roman"/>
          <w:color w:val="000000"/>
          <w:sz w:val="26"/>
          <w:szCs w:val="26"/>
        </w:rPr>
        <w:t xml:space="preserve"> Annex A.</w:t>
      </w:r>
      <w:r w:rsidR="002A0094">
        <w:rPr>
          <w:rFonts w:ascii="Times New Roman" w:eastAsia="Times New Roman" w:hAnsi="Times New Roman"/>
          <w:color w:val="000000"/>
          <w:sz w:val="26"/>
          <w:szCs w:val="26"/>
        </w:rPr>
        <w:t xml:space="preserve">  We also invite comments on the appropriate use of these terms, as proposed in Section 62.81.  </w:t>
      </w:r>
      <w:r w:rsidR="002A0094">
        <w:rPr>
          <w:rFonts w:ascii="Times New Roman" w:eastAsia="Times New Roman" w:hAnsi="Times New Roman"/>
          <w:i/>
          <w:color w:val="000000"/>
          <w:sz w:val="26"/>
          <w:szCs w:val="26"/>
        </w:rPr>
        <w:t>See id.</w:t>
      </w:r>
      <w:r w:rsidR="002A0094">
        <w:rPr>
          <w:rFonts w:ascii="Times New Roman" w:eastAsia="Times New Roman" w:hAnsi="Times New Roman"/>
          <w:color w:val="000000"/>
          <w:sz w:val="26"/>
          <w:szCs w:val="26"/>
        </w:rPr>
        <w:t xml:space="preserve"> </w:t>
      </w:r>
      <w:r w:rsidR="00A34634">
        <w:rPr>
          <w:rFonts w:ascii="Times New Roman" w:eastAsia="Times New Roman" w:hAnsi="Times New Roman"/>
          <w:color w:val="000000"/>
          <w:sz w:val="26"/>
          <w:szCs w:val="26"/>
        </w:rPr>
        <w:t xml:space="preserve">  </w:t>
      </w:r>
      <w:r w:rsidRPr="003853FC">
        <w:rPr>
          <w:rFonts w:ascii="Times New Roman" w:eastAsia="Times New Roman" w:hAnsi="Times New Roman"/>
          <w:color w:val="000000"/>
          <w:sz w:val="26"/>
          <w:szCs w:val="26"/>
        </w:rPr>
        <w:t xml:space="preserve">  </w:t>
      </w:r>
    </w:p>
    <w:p w:rsidR="006C55C1" w:rsidRDefault="006C55C1" w:rsidP="001A1513">
      <w:pPr>
        <w:spacing w:line="360" w:lineRule="auto"/>
        <w:rPr>
          <w:rFonts w:ascii="Times New Roman" w:eastAsia="Times New Roman" w:hAnsi="Times New Roman"/>
          <w:color w:val="000000"/>
          <w:sz w:val="26"/>
          <w:szCs w:val="26"/>
        </w:rPr>
      </w:pPr>
    </w:p>
    <w:p w:rsidR="001A1513" w:rsidRPr="003853FC" w:rsidRDefault="00F417C3" w:rsidP="006C55C1">
      <w:pPr>
        <w:spacing w:line="360" w:lineRule="auto"/>
        <w:ind w:firstLine="720"/>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As to </w:t>
      </w:r>
      <w:r w:rsidR="001A1513" w:rsidRPr="003853FC">
        <w:rPr>
          <w:rFonts w:ascii="Times New Roman" w:eastAsia="Times New Roman" w:hAnsi="Times New Roman"/>
          <w:color w:val="000000"/>
          <w:sz w:val="26"/>
          <w:szCs w:val="26"/>
        </w:rPr>
        <w:t>WGL</w:t>
      </w:r>
      <w:r w:rsidR="00A34634">
        <w:rPr>
          <w:rFonts w:ascii="Times New Roman" w:eastAsia="Times New Roman" w:hAnsi="Times New Roman"/>
          <w:color w:val="000000"/>
          <w:sz w:val="26"/>
          <w:szCs w:val="26"/>
        </w:rPr>
        <w:t xml:space="preserve"> Energy</w:t>
      </w:r>
      <w:r w:rsidR="001A1513" w:rsidRPr="003853FC">
        <w:rPr>
          <w:rFonts w:ascii="Times New Roman" w:eastAsia="Times New Roman" w:hAnsi="Times New Roman"/>
          <w:color w:val="000000"/>
          <w:sz w:val="26"/>
          <w:szCs w:val="26"/>
        </w:rPr>
        <w:t xml:space="preserve">’s request </w:t>
      </w:r>
      <w:r w:rsidR="00C0214B">
        <w:rPr>
          <w:rFonts w:ascii="Times New Roman" w:eastAsia="Times New Roman" w:hAnsi="Times New Roman"/>
          <w:color w:val="000000"/>
          <w:sz w:val="26"/>
          <w:szCs w:val="26"/>
        </w:rPr>
        <w:t>regarding</w:t>
      </w:r>
      <w:r w:rsidR="001A1513" w:rsidRPr="003853FC">
        <w:rPr>
          <w:rFonts w:ascii="Times New Roman" w:eastAsia="Times New Roman" w:hAnsi="Times New Roman"/>
          <w:color w:val="000000"/>
          <w:sz w:val="26"/>
          <w:szCs w:val="26"/>
        </w:rPr>
        <w:t xml:space="preserve"> auto-renewal contract processes with reasonable cancellation fees</w:t>
      </w:r>
      <w:r>
        <w:rPr>
          <w:rFonts w:ascii="Times New Roman" w:eastAsia="Times New Roman" w:hAnsi="Times New Roman"/>
          <w:color w:val="000000"/>
          <w:sz w:val="26"/>
          <w:szCs w:val="26"/>
        </w:rPr>
        <w:t xml:space="preserve">, we have public policy concerns in allowing </w:t>
      </w:r>
      <w:r w:rsidRPr="003853FC">
        <w:rPr>
          <w:rFonts w:ascii="Times New Roman" w:eastAsia="Times New Roman" w:hAnsi="Times New Roman"/>
          <w:color w:val="000000"/>
          <w:sz w:val="26"/>
          <w:szCs w:val="26"/>
        </w:rPr>
        <w:t>customers to be automatically re-enrolled into a new product with cancellation fees</w:t>
      </w:r>
      <w:r w:rsidR="00671E6A">
        <w:rPr>
          <w:rFonts w:ascii="Times New Roman" w:eastAsia="Times New Roman" w:hAnsi="Times New Roman"/>
          <w:color w:val="000000"/>
          <w:sz w:val="26"/>
          <w:szCs w:val="26"/>
        </w:rPr>
        <w:t xml:space="preserve"> without affirmative customer consent</w:t>
      </w:r>
      <w:r w:rsidR="00C0214B">
        <w:rPr>
          <w:rFonts w:ascii="Times New Roman" w:eastAsia="Times New Roman" w:hAnsi="Times New Roman"/>
          <w:color w:val="000000"/>
          <w:sz w:val="26"/>
          <w:szCs w:val="26"/>
        </w:rPr>
        <w:t xml:space="preserve">. </w:t>
      </w:r>
      <w:r w:rsidR="001A1513" w:rsidRPr="003853FC">
        <w:rPr>
          <w:rFonts w:ascii="Times New Roman" w:eastAsia="Times New Roman" w:hAnsi="Times New Roman"/>
          <w:color w:val="000000"/>
          <w:sz w:val="26"/>
          <w:szCs w:val="26"/>
        </w:rPr>
        <w:t xml:space="preserve"> </w:t>
      </w:r>
      <w:r w:rsidR="00C0214B">
        <w:rPr>
          <w:rFonts w:ascii="Times New Roman" w:eastAsia="Times New Roman" w:hAnsi="Times New Roman"/>
          <w:i/>
          <w:color w:val="000000"/>
          <w:sz w:val="26"/>
          <w:szCs w:val="26"/>
        </w:rPr>
        <w:t>See</w:t>
      </w:r>
      <w:r w:rsidR="00C0214B">
        <w:rPr>
          <w:rFonts w:ascii="Times New Roman" w:eastAsia="Times New Roman" w:hAnsi="Times New Roman"/>
          <w:color w:val="000000"/>
          <w:sz w:val="26"/>
          <w:szCs w:val="26"/>
        </w:rPr>
        <w:t xml:space="preserve"> WGL Energy Comments at 6.</w:t>
      </w:r>
      <w:r w:rsidR="00C0214B" w:rsidRPr="003853FC">
        <w:rPr>
          <w:rFonts w:ascii="Times New Roman" w:eastAsia="Times New Roman" w:hAnsi="Times New Roman"/>
          <w:color w:val="000000"/>
          <w:sz w:val="26"/>
          <w:szCs w:val="26"/>
        </w:rPr>
        <w:t xml:space="preserve">  </w:t>
      </w:r>
      <w:r w:rsidR="001A1513" w:rsidRPr="003853FC">
        <w:rPr>
          <w:rFonts w:ascii="Times New Roman" w:eastAsia="Times New Roman" w:hAnsi="Times New Roman"/>
          <w:color w:val="000000"/>
          <w:sz w:val="26"/>
          <w:szCs w:val="26"/>
        </w:rPr>
        <w:t>While WGL</w:t>
      </w:r>
      <w:r w:rsidR="00A34634">
        <w:rPr>
          <w:rFonts w:ascii="Times New Roman" w:eastAsia="Times New Roman" w:hAnsi="Times New Roman"/>
          <w:color w:val="000000"/>
          <w:sz w:val="26"/>
          <w:szCs w:val="26"/>
        </w:rPr>
        <w:t xml:space="preserve"> Energy</w:t>
      </w:r>
      <w:r w:rsidR="001A1513" w:rsidRPr="003853FC">
        <w:rPr>
          <w:rFonts w:ascii="Times New Roman" w:eastAsia="Times New Roman" w:hAnsi="Times New Roman"/>
          <w:color w:val="000000"/>
          <w:sz w:val="26"/>
          <w:szCs w:val="26"/>
        </w:rPr>
        <w:t xml:space="preserve"> may advocate for “reasonable cancellation fees</w:t>
      </w:r>
      <w:r>
        <w:rPr>
          <w:rFonts w:ascii="Times New Roman" w:eastAsia="Times New Roman" w:hAnsi="Times New Roman"/>
          <w:color w:val="000000"/>
          <w:sz w:val="26"/>
          <w:szCs w:val="26"/>
        </w:rPr>
        <w:t>,</w:t>
      </w:r>
      <w:r w:rsidR="001A1513" w:rsidRPr="003853FC">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th</w:t>
      </w:r>
      <w:r w:rsidR="001A1513" w:rsidRPr="003853FC">
        <w:rPr>
          <w:rFonts w:ascii="Times New Roman" w:eastAsia="Times New Roman" w:hAnsi="Times New Roman"/>
          <w:color w:val="000000"/>
          <w:sz w:val="26"/>
          <w:szCs w:val="26"/>
        </w:rPr>
        <w:t>e Commission</w:t>
      </w:r>
      <w:r>
        <w:rPr>
          <w:rFonts w:ascii="Times New Roman" w:eastAsia="Times New Roman" w:hAnsi="Times New Roman"/>
          <w:color w:val="000000"/>
          <w:sz w:val="26"/>
          <w:szCs w:val="26"/>
        </w:rPr>
        <w:t xml:space="preserve"> does not have clear authority to</w:t>
      </w:r>
      <w:r w:rsidR="001A1513" w:rsidRPr="003853FC">
        <w:rPr>
          <w:rFonts w:ascii="Times New Roman" w:eastAsia="Times New Roman" w:hAnsi="Times New Roman"/>
          <w:color w:val="000000"/>
          <w:sz w:val="26"/>
          <w:szCs w:val="26"/>
        </w:rPr>
        <w:t xml:space="preserve"> set or regulate the amount of </w:t>
      </w:r>
      <w:r>
        <w:rPr>
          <w:rFonts w:ascii="Times New Roman" w:eastAsia="Times New Roman" w:hAnsi="Times New Roman"/>
          <w:color w:val="000000"/>
          <w:sz w:val="26"/>
          <w:szCs w:val="26"/>
        </w:rPr>
        <w:t xml:space="preserve">those </w:t>
      </w:r>
      <w:r w:rsidR="001A1513" w:rsidRPr="003853FC">
        <w:rPr>
          <w:rFonts w:ascii="Times New Roman" w:eastAsia="Times New Roman" w:hAnsi="Times New Roman"/>
          <w:color w:val="000000"/>
          <w:sz w:val="26"/>
          <w:szCs w:val="26"/>
        </w:rPr>
        <w:t xml:space="preserve">fees.  We </w:t>
      </w:r>
      <w:r>
        <w:rPr>
          <w:rFonts w:ascii="Times New Roman" w:eastAsia="Times New Roman" w:hAnsi="Times New Roman"/>
          <w:color w:val="000000"/>
          <w:sz w:val="26"/>
          <w:szCs w:val="26"/>
        </w:rPr>
        <w:t>expect and ask</w:t>
      </w:r>
      <w:r w:rsidR="001A1513" w:rsidRPr="003853FC">
        <w:rPr>
          <w:rFonts w:ascii="Times New Roman" w:eastAsia="Times New Roman" w:hAnsi="Times New Roman"/>
          <w:color w:val="000000"/>
          <w:sz w:val="26"/>
          <w:szCs w:val="26"/>
        </w:rPr>
        <w:t xml:space="preserve"> customers </w:t>
      </w:r>
      <w:r>
        <w:rPr>
          <w:rFonts w:ascii="Times New Roman" w:eastAsia="Times New Roman" w:hAnsi="Times New Roman"/>
          <w:color w:val="000000"/>
          <w:sz w:val="26"/>
          <w:szCs w:val="26"/>
        </w:rPr>
        <w:t>to</w:t>
      </w:r>
      <w:r w:rsidR="001A1513" w:rsidRPr="003853FC">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stay </w:t>
      </w:r>
      <w:r w:rsidR="001A1513" w:rsidRPr="003853FC">
        <w:rPr>
          <w:rFonts w:ascii="Times New Roman" w:eastAsia="Times New Roman" w:hAnsi="Times New Roman"/>
          <w:color w:val="000000"/>
          <w:sz w:val="26"/>
          <w:szCs w:val="26"/>
        </w:rPr>
        <w:t>alert for and act on expiration notices</w:t>
      </w:r>
      <w:r>
        <w:rPr>
          <w:rFonts w:ascii="Times New Roman" w:eastAsia="Times New Roman" w:hAnsi="Times New Roman"/>
          <w:color w:val="000000"/>
          <w:sz w:val="26"/>
          <w:szCs w:val="26"/>
        </w:rPr>
        <w:t xml:space="preserve"> from suppliers</w:t>
      </w:r>
      <w:r w:rsidR="001A1513" w:rsidRPr="003853FC">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However, </w:t>
      </w:r>
      <w:r w:rsidR="001A1513" w:rsidRPr="003853FC">
        <w:rPr>
          <w:rFonts w:ascii="Times New Roman" w:eastAsia="Times New Roman" w:hAnsi="Times New Roman"/>
          <w:color w:val="000000"/>
          <w:sz w:val="26"/>
          <w:szCs w:val="26"/>
        </w:rPr>
        <w:t xml:space="preserve">some </w:t>
      </w:r>
      <w:r>
        <w:rPr>
          <w:rFonts w:ascii="Times New Roman" w:eastAsia="Times New Roman" w:hAnsi="Times New Roman"/>
          <w:color w:val="000000"/>
          <w:sz w:val="26"/>
          <w:szCs w:val="26"/>
        </w:rPr>
        <w:t xml:space="preserve">customers, whether through neglect or inadvertence, </w:t>
      </w:r>
      <w:r w:rsidR="001A1513" w:rsidRPr="003853FC">
        <w:rPr>
          <w:rFonts w:ascii="Times New Roman" w:eastAsia="Times New Roman" w:hAnsi="Times New Roman"/>
          <w:color w:val="000000"/>
          <w:sz w:val="26"/>
          <w:szCs w:val="26"/>
        </w:rPr>
        <w:t xml:space="preserve">will </w:t>
      </w:r>
      <w:r>
        <w:rPr>
          <w:rFonts w:ascii="Times New Roman" w:eastAsia="Times New Roman" w:hAnsi="Times New Roman"/>
          <w:color w:val="000000"/>
          <w:sz w:val="26"/>
          <w:szCs w:val="26"/>
        </w:rPr>
        <w:t xml:space="preserve">still </w:t>
      </w:r>
      <w:r w:rsidR="001A1513" w:rsidRPr="003853FC">
        <w:rPr>
          <w:rFonts w:ascii="Times New Roman" w:eastAsia="Times New Roman" w:hAnsi="Times New Roman"/>
          <w:color w:val="000000"/>
          <w:sz w:val="26"/>
          <w:szCs w:val="26"/>
        </w:rPr>
        <w:t xml:space="preserve">overlook </w:t>
      </w:r>
      <w:r>
        <w:rPr>
          <w:rFonts w:ascii="Times New Roman" w:eastAsia="Times New Roman" w:hAnsi="Times New Roman"/>
          <w:color w:val="000000"/>
          <w:sz w:val="26"/>
          <w:szCs w:val="26"/>
        </w:rPr>
        <w:t>and</w:t>
      </w:r>
      <w:r w:rsidR="001A1513" w:rsidRPr="003853FC">
        <w:rPr>
          <w:rFonts w:ascii="Times New Roman" w:eastAsia="Times New Roman" w:hAnsi="Times New Roman"/>
          <w:color w:val="000000"/>
          <w:sz w:val="26"/>
          <w:szCs w:val="26"/>
        </w:rPr>
        <w:t xml:space="preserve"> ignore notices</w:t>
      </w:r>
      <w:r>
        <w:rPr>
          <w:rFonts w:ascii="Times New Roman" w:eastAsia="Times New Roman" w:hAnsi="Times New Roman"/>
          <w:color w:val="000000"/>
          <w:sz w:val="26"/>
          <w:szCs w:val="26"/>
        </w:rPr>
        <w:t>, later finding themselves</w:t>
      </w:r>
      <w:r w:rsidR="001A1513" w:rsidRPr="003853FC">
        <w:rPr>
          <w:rFonts w:ascii="Times New Roman" w:eastAsia="Times New Roman" w:hAnsi="Times New Roman"/>
          <w:color w:val="000000"/>
          <w:sz w:val="26"/>
          <w:szCs w:val="26"/>
        </w:rPr>
        <w:t xml:space="preserve"> automatically enrolle</w:t>
      </w:r>
      <w:r w:rsidR="00671E6A">
        <w:rPr>
          <w:rFonts w:ascii="Times New Roman" w:eastAsia="Times New Roman" w:hAnsi="Times New Roman"/>
          <w:color w:val="000000"/>
          <w:sz w:val="26"/>
          <w:szCs w:val="26"/>
        </w:rPr>
        <w:t>d in a new product that potentially has a</w:t>
      </w:r>
      <w:r w:rsidR="001A1513" w:rsidRPr="003853FC">
        <w:rPr>
          <w:rFonts w:ascii="Times New Roman" w:eastAsia="Times New Roman" w:hAnsi="Times New Roman"/>
          <w:color w:val="000000"/>
          <w:sz w:val="26"/>
          <w:szCs w:val="26"/>
        </w:rPr>
        <w:t xml:space="preserve"> high</w:t>
      </w:r>
      <w:r w:rsidR="00671E6A">
        <w:rPr>
          <w:rFonts w:ascii="Times New Roman" w:eastAsia="Times New Roman" w:hAnsi="Times New Roman"/>
          <w:color w:val="000000"/>
          <w:sz w:val="26"/>
          <w:szCs w:val="26"/>
        </w:rPr>
        <w:t>er</w:t>
      </w:r>
      <w:r w:rsidR="001A1513" w:rsidRPr="003853FC">
        <w:rPr>
          <w:rFonts w:ascii="Times New Roman" w:eastAsia="Times New Roman" w:hAnsi="Times New Roman"/>
          <w:color w:val="000000"/>
          <w:sz w:val="26"/>
          <w:szCs w:val="26"/>
        </w:rPr>
        <w:t xml:space="preserve"> price</w:t>
      </w:r>
      <w:r w:rsidR="00671E6A">
        <w:rPr>
          <w:rFonts w:ascii="Times New Roman" w:eastAsia="Times New Roman" w:hAnsi="Times New Roman"/>
          <w:color w:val="000000"/>
          <w:sz w:val="26"/>
          <w:szCs w:val="26"/>
        </w:rPr>
        <w:t xml:space="preserve"> and a</w:t>
      </w:r>
      <w:r w:rsidR="001A1513" w:rsidRPr="003853FC">
        <w:rPr>
          <w:rFonts w:ascii="Times New Roman" w:eastAsia="Times New Roman" w:hAnsi="Times New Roman"/>
          <w:color w:val="000000"/>
          <w:sz w:val="26"/>
          <w:szCs w:val="26"/>
        </w:rPr>
        <w:t xml:space="preserve"> cancellation fee.  </w:t>
      </w:r>
      <w:r>
        <w:rPr>
          <w:rFonts w:ascii="Times New Roman" w:eastAsia="Times New Roman" w:hAnsi="Times New Roman"/>
          <w:color w:val="000000"/>
          <w:sz w:val="26"/>
          <w:szCs w:val="26"/>
        </w:rPr>
        <w:t xml:space="preserve">Aside from </w:t>
      </w:r>
      <w:r w:rsidR="001A1513" w:rsidRPr="003853FC">
        <w:rPr>
          <w:rFonts w:ascii="Times New Roman" w:eastAsia="Times New Roman" w:hAnsi="Times New Roman"/>
          <w:color w:val="000000"/>
          <w:sz w:val="26"/>
          <w:szCs w:val="26"/>
        </w:rPr>
        <w:t xml:space="preserve">harm to individual customers, this could also result in serious harm to the overall impression of the competitive </w:t>
      </w:r>
      <w:r>
        <w:rPr>
          <w:rFonts w:ascii="Times New Roman" w:eastAsia="Times New Roman" w:hAnsi="Times New Roman"/>
          <w:color w:val="000000"/>
          <w:sz w:val="26"/>
          <w:szCs w:val="26"/>
        </w:rPr>
        <w:t xml:space="preserve">gas supply </w:t>
      </w:r>
      <w:r w:rsidR="001A1513" w:rsidRPr="003853FC">
        <w:rPr>
          <w:rFonts w:ascii="Times New Roman" w:eastAsia="Times New Roman" w:hAnsi="Times New Roman"/>
          <w:color w:val="000000"/>
          <w:sz w:val="26"/>
          <w:szCs w:val="26"/>
        </w:rPr>
        <w:t xml:space="preserve">market.  </w:t>
      </w:r>
      <w:r>
        <w:rPr>
          <w:rFonts w:ascii="Times New Roman" w:eastAsia="Times New Roman" w:hAnsi="Times New Roman"/>
          <w:color w:val="000000"/>
          <w:sz w:val="26"/>
          <w:szCs w:val="26"/>
        </w:rPr>
        <w:t xml:space="preserve">Yet, </w:t>
      </w:r>
      <w:r w:rsidR="001A1513" w:rsidRPr="003853FC">
        <w:rPr>
          <w:rFonts w:ascii="Times New Roman" w:eastAsia="Times New Roman" w:hAnsi="Times New Roman"/>
          <w:color w:val="000000"/>
          <w:sz w:val="26"/>
          <w:szCs w:val="26"/>
        </w:rPr>
        <w:t xml:space="preserve">we also reject </w:t>
      </w:r>
      <w:r w:rsidR="00961B47">
        <w:rPr>
          <w:rFonts w:ascii="Times New Roman" w:eastAsia="Times New Roman" w:hAnsi="Times New Roman"/>
          <w:color w:val="000000"/>
          <w:sz w:val="26"/>
          <w:szCs w:val="26"/>
        </w:rPr>
        <w:t xml:space="preserve">the </w:t>
      </w:r>
      <w:r w:rsidR="001A1513" w:rsidRPr="003853FC">
        <w:rPr>
          <w:rFonts w:ascii="Times New Roman" w:eastAsia="Times New Roman" w:hAnsi="Times New Roman"/>
          <w:color w:val="000000"/>
          <w:sz w:val="26"/>
          <w:szCs w:val="26"/>
        </w:rPr>
        <w:t xml:space="preserve">OCA’s </w:t>
      </w:r>
      <w:r>
        <w:rPr>
          <w:rFonts w:ascii="Times New Roman" w:eastAsia="Times New Roman" w:hAnsi="Times New Roman"/>
          <w:color w:val="000000"/>
          <w:sz w:val="26"/>
          <w:szCs w:val="26"/>
        </w:rPr>
        <w:t>contention that these</w:t>
      </w:r>
      <w:r w:rsidR="001A1513" w:rsidRPr="003853FC">
        <w:rPr>
          <w:rFonts w:ascii="Times New Roman" w:eastAsia="Times New Roman" w:hAnsi="Times New Roman"/>
          <w:color w:val="000000"/>
          <w:sz w:val="26"/>
          <w:szCs w:val="26"/>
        </w:rPr>
        <w:t xml:space="preserve"> customers should be returned to </w:t>
      </w:r>
      <w:r w:rsidR="00B92A32">
        <w:rPr>
          <w:rFonts w:ascii="Times New Roman" w:eastAsia="Times New Roman" w:hAnsi="Times New Roman"/>
          <w:color w:val="000000"/>
          <w:sz w:val="26"/>
          <w:szCs w:val="26"/>
        </w:rPr>
        <w:t>the NGDC’s supplier of last resort service</w:t>
      </w:r>
      <w:r>
        <w:rPr>
          <w:rFonts w:ascii="Times New Roman" w:eastAsia="Times New Roman" w:hAnsi="Times New Roman"/>
          <w:color w:val="000000"/>
          <w:sz w:val="26"/>
          <w:szCs w:val="26"/>
        </w:rPr>
        <w:t xml:space="preserve">, as this is too restrictive </w:t>
      </w:r>
      <w:r w:rsidR="001A1513" w:rsidRPr="003853FC">
        <w:rPr>
          <w:rFonts w:ascii="Times New Roman" w:eastAsia="Times New Roman" w:hAnsi="Times New Roman"/>
          <w:color w:val="000000"/>
          <w:sz w:val="26"/>
          <w:szCs w:val="26"/>
        </w:rPr>
        <w:t xml:space="preserve">and could result in </w:t>
      </w:r>
      <w:r>
        <w:rPr>
          <w:rFonts w:ascii="Times New Roman" w:eastAsia="Times New Roman" w:hAnsi="Times New Roman"/>
          <w:color w:val="000000"/>
          <w:sz w:val="26"/>
          <w:szCs w:val="26"/>
        </w:rPr>
        <w:t>a</w:t>
      </w:r>
      <w:r w:rsidR="001A1513" w:rsidRPr="003853FC">
        <w:rPr>
          <w:rFonts w:ascii="Times New Roman" w:eastAsia="Times New Roman" w:hAnsi="Times New Roman"/>
          <w:color w:val="000000"/>
          <w:sz w:val="26"/>
          <w:szCs w:val="26"/>
        </w:rPr>
        <w:t xml:space="preserve"> customer being returned to a more expe</w:t>
      </w:r>
      <w:r w:rsidR="00671E6A">
        <w:rPr>
          <w:rFonts w:ascii="Times New Roman" w:eastAsia="Times New Roman" w:hAnsi="Times New Roman"/>
          <w:color w:val="000000"/>
          <w:sz w:val="26"/>
          <w:szCs w:val="26"/>
        </w:rPr>
        <w:t xml:space="preserve">nsive service.  However, we </w:t>
      </w:r>
      <w:r w:rsidR="001A1513" w:rsidRPr="003853FC">
        <w:rPr>
          <w:rFonts w:ascii="Times New Roman" w:eastAsia="Times New Roman" w:hAnsi="Times New Roman"/>
          <w:color w:val="000000"/>
          <w:sz w:val="26"/>
          <w:szCs w:val="26"/>
        </w:rPr>
        <w:t xml:space="preserve">agree with </w:t>
      </w:r>
      <w:r w:rsidR="00961B47">
        <w:rPr>
          <w:rFonts w:ascii="Times New Roman" w:eastAsia="Times New Roman" w:hAnsi="Times New Roman"/>
          <w:color w:val="000000"/>
          <w:sz w:val="26"/>
          <w:szCs w:val="26"/>
        </w:rPr>
        <w:t xml:space="preserve">the </w:t>
      </w:r>
      <w:r w:rsidR="001A1513" w:rsidRPr="003853FC">
        <w:rPr>
          <w:rFonts w:ascii="Times New Roman" w:eastAsia="Times New Roman" w:hAnsi="Times New Roman"/>
          <w:color w:val="000000"/>
          <w:sz w:val="26"/>
          <w:szCs w:val="26"/>
        </w:rPr>
        <w:t>OCA that these customers should be protected from cancellation penalties.  We note that this does not preclude a supplier from offering the customer a new product with cancellation fees</w:t>
      </w:r>
      <w:r>
        <w:rPr>
          <w:rFonts w:ascii="Times New Roman" w:eastAsia="Times New Roman" w:hAnsi="Times New Roman"/>
          <w:color w:val="000000"/>
          <w:sz w:val="26"/>
          <w:szCs w:val="26"/>
        </w:rPr>
        <w:t>, though the</w:t>
      </w:r>
      <w:r w:rsidR="001A1513" w:rsidRPr="003853FC">
        <w:rPr>
          <w:rFonts w:ascii="Times New Roman" w:eastAsia="Times New Roman" w:hAnsi="Times New Roman"/>
          <w:color w:val="000000"/>
          <w:sz w:val="26"/>
          <w:szCs w:val="26"/>
        </w:rPr>
        <w:t xml:space="preserve"> customer </w:t>
      </w:r>
      <w:r>
        <w:rPr>
          <w:rFonts w:ascii="Times New Roman" w:eastAsia="Times New Roman" w:hAnsi="Times New Roman"/>
          <w:color w:val="000000"/>
          <w:sz w:val="26"/>
          <w:szCs w:val="26"/>
        </w:rPr>
        <w:t>must</w:t>
      </w:r>
      <w:r w:rsidR="001A1513" w:rsidRPr="003853FC">
        <w:rPr>
          <w:rFonts w:ascii="Times New Roman" w:eastAsia="Times New Roman" w:hAnsi="Times New Roman"/>
          <w:color w:val="000000"/>
          <w:sz w:val="26"/>
          <w:szCs w:val="26"/>
        </w:rPr>
        <w:t xml:space="preserve"> affirmatively agree to </w:t>
      </w:r>
      <w:r>
        <w:rPr>
          <w:rFonts w:ascii="Times New Roman" w:eastAsia="Times New Roman" w:hAnsi="Times New Roman"/>
          <w:color w:val="000000"/>
          <w:sz w:val="26"/>
          <w:szCs w:val="26"/>
        </w:rPr>
        <w:t>th</w:t>
      </w:r>
      <w:r w:rsidR="001A1513" w:rsidRPr="003853FC">
        <w:rPr>
          <w:rFonts w:ascii="Times New Roman" w:eastAsia="Times New Roman" w:hAnsi="Times New Roman"/>
          <w:color w:val="000000"/>
          <w:sz w:val="26"/>
          <w:szCs w:val="26"/>
        </w:rPr>
        <w:t>a</w:t>
      </w:r>
      <w:r>
        <w:rPr>
          <w:rFonts w:ascii="Times New Roman" w:eastAsia="Times New Roman" w:hAnsi="Times New Roman"/>
          <w:color w:val="000000"/>
          <w:sz w:val="26"/>
          <w:szCs w:val="26"/>
        </w:rPr>
        <w:t>t</w:t>
      </w:r>
      <w:r w:rsidR="001A1513" w:rsidRPr="003853FC">
        <w:rPr>
          <w:rFonts w:ascii="Times New Roman" w:eastAsia="Times New Roman" w:hAnsi="Times New Roman"/>
          <w:color w:val="000000"/>
          <w:sz w:val="26"/>
          <w:szCs w:val="26"/>
        </w:rPr>
        <w:t xml:space="preserve"> product.  </w:t>
      </w:r>
    </w:p>
    <w:p w:rsidR="00B92A32" w:rsidRDefault="00B92A32" w:rsidP="006C55C1">
      <w:pPr>
        <w:spacing w:line="360" w:lineRule="auto"/>
        <w:ind w:firstLine="720"/>
        <w:rPr>
          <w:rFonts w:ascii="Times New Roman" w:eastAsia="Times New Roman" w:hAnsi="Times New Roman"/>
          <w:color w:val="000000"/>
          <w:sz w:val="26"/>
          <w:szCs w:val="26"/>
        </w:rPr>
      </w:pPr>
    </w:p>
    <w:p w:rsidR="001A1513" w:rsidRPr="003853FC" w:rsidRDefault="001A1513" w:rsidP="006C55C1">
      <w:pPr>
        <w:spacing w:line="360" w:lineRule="auto"/>
        <w:ind w:firstLine="720"/>
        <w:rPr>
          <w:rFonts w:ascii="Times New Roman" w:eastAsia="Times New Roman" w:hAnsi="Times New Roman"/>
          <w:color w:val="000000"/>
          <w:sz w:val="26"/>
          <w:szCs w:val="26"/>
        </w:rPr>
      </w:pPr>
      <w:r w:rsidRPr="003853FC">
        <w:rPr>
          <w:rFonts w:ascii="Times New Roman" w:eastAsia="Times New Roman" w:hAnsi="Times New Roman"/>
          <w:color w:val="000000"/>
          <w:sz w:val="26"/>
          <w:szCs w:val="26"/>
        </w:rPr>
        <w:t xml:space="preserve">We also propose adopting the electric rule that requires prior notice of any price changes for </w:t>
      </w:r>
      <w:r w:rsidR="005F7F4F">
        <w:rPr>
          <w:rFonts w:ascii="Times New Roman" w:eastAsia="Times New Roman" w:hAnsi="Times New Roman"/>
          <w:color w:val="000000"/>
          <w:sz w:val="26"/>
          <w:szCs w:val="26"/>
        </w:rPr>
        <w:t>a</w:t>
      </w:r>
      <w:r w:rsidRPr="003853FC">
        <w:rPr>
          <w:rFonts w:ascii="Times New Roman" w:eastAsia="Times New Roman" w:hAnsi="Times New Roman"/>
          <w:color w:val="000000"/>
          <w:sz w:val="26"/>
          <w:szCs w:val="26"/>
        </w:rPr>
        <w:t xml:space="preserve"> customer that </w:t>
      </w:r>
      <w:r w:rsidR="005F7F4F">
        <w:rPr>
          <w:rFonts w:ascii="Times New Roman" w:eastAsia="Times New Roman" w:hAnsi="Times New Roman"/>
          <w:color w:val="000000"/>
          <w:sz w:val="26"/>
          <w:szCs w:val="26"/>
        </w:rPr>
        <w:t>is</w:t>
      </w:r>
      <w:r w:rsidRPr="003853FC">
        <w:rPr>
          <w:rFonts w:ascii="Times New Roman" w:eastAsia="Times New Roman" w:hAnsi="Times New Roman"/>
          <w:color w:val="000000"/>
          <w:sz w:val="26"/>
          <w:szCs w:val="26"/>
        </w:rPr>
        <w:t xml:space="preserve"> rolled onto a new product due to th</w:t>
      </w:r>
      <w:r w:rsidR="005F7F4F">
        <w:rPr>
          <w:rFonts w:ascii="Times New Roman" w:eastAsia="Times New Roman" w:hAnsi="Times New Roman"/>
          <w:color w:val="000000"/>
          <w:sz w:val="26"/>
          <w:szCs w:val="26"/>
        </w:rPr>
        <w:t>at customer’s non-</w:t>
      </w:r>
      <w:r w:rsidRPr="003853FC">
        <w:rPr>
          <w:rFonts w:ascii="Times New Roman" w:eastAsia="Times New Roman" w:hAnsi="Times New Roman"/>
          <w:color w:val="000000"/>
          <w:sz w:val="26"/>
          <w:szCs w:val="26"/>
        </w:rPr>
        <w:t>response.</w:t>
      </w:r>
      <w:r w:rsidR="005F7F4F">
        <w:rPr>
          <w:rFonts w:ascii="Times New Roman" w:eastAsia="Times New Roman" w:hAnsi="Times New Roman"/>
          <w:color w:val="000000"/>
          <w:sz w:val="26"/>
          <w:szCs w:val="26"/>
        </w:rPr>
        <w:t xml:space="preserve">  </w:t>
      </w:r>
      <w:r w:rsidR="005F7F4F">
        <w:rPr>
          <w:rFonts w:ascii="Times New Roman" w:eastAsia="Times New Roman" w:hAnsi="Times New Roman"/>
          <w:i/>
          <w:color w:val="000000"/>
          <w:sz w:val="26"/>
          <w:szCs w:val="26"/>
        </w:rPr>
        <w:t>See</w:t>
      </w:r>
      <w:r w:rsidR="00494824">
        <w:rPr>
          <w:rFonts w:ascii="Times New Roman" w:eastAsia="Times New Roman" w:hAnsi="Times New Roman"/>
          <w:color w:val="000000"/>
          <w:sz w:val="26"/>
          <w:szCs w:val="26"/>
        </w:rPr>
        <w:t xml:space="preserve"> Annex A, </w:t>
      </w:r>
      <w:r w:rsidR="005F7F4F">
        <w:rPr>
          <w:rFonts w:ascii="Times New Roman" w:eastAsia="Times New Roman" w:hAnsi="Times New Roman"/>
          <w:color w:val="000000"/>
          <w:sz w:val="26"/>
          <w:szCs w:val="26"/>
        </w:rPr>
        <w:t>Section 62.81</w:t>
      </w:r>
      <w:r w:rsidR="00494824">
        <w:rPr>
          <w:rFonts w:ascii="Times New Roman" w:eastAsia="Times New Roman" w:hAnsi="Times New Roman"/>
          <w:color w:val="000000"/>
          <w:sz w:val="26"/>
          <w:szCs w:val="26"/>
        </w:rPr>
        <w:t>(b</w:t>
      </w:r>
      <w:proofErr w:type="gramStart"/>
      <w:r w:rsidR="00494824">
        <w:rPr>
          <w:rFonts w:ascii="Times New Roman" w:eastAsia="Times New Roman" w:hAnsi="Times New Roman"/>
          <w:color w:val="000000"/>
          <w:sz w:val="26"/>
          <w:szCs w:val="26"/>
        </w:rPr>
        <w:t>)(</w:t>
      </w:r>
      <w:proofErr w:type="gramEnd"/>
      <w:r w:rsidR="00494824">
        <w:rPr>
          <w:rFonts w:ascii="Times New Roman" w:eastAsia="Times New Roman" w:hAnsi="Times New Roman"/>
          <w:color w:val="000000"/>
          <w:sz w:val="26"/>
          <w:szCs w:val="26"/>
        </w:rPr>
        <w:t>2)</w:t>
      </w:r>
      <w:r w:rsidR="005F7F4F">
        <w:rPr>
          <w:rFonts w:ascii="Times New Roman" w:eastAsia="Times New Roman" w:hAnsi="Times New Roman"/>
          <w:color w:val="000000"/>
          <w:sz w:val="26"/>
          <w:szCs w:val="26"/>
        </w:rPr>
        <w:t>.</w:t>
      </w:r>
      <w:r w:rsidRPr="003853FC">
        <w:rPr>
          <w:rFonts w:ascii="Times New Roman" w:eastAsia="Times New Roman" w:hAnsi="Times New Roman"/>
          <w:color w:val="000000"/>
          <w:sz w:val="26"/>
          <w:szCs w:val="26"/>
        </w:rPr>
        <w:t xml:space="preserve">  While we understand the concerns expressed by RESA and the NGS Parties, we think this additional protection is needed for those customers who may end up on a variable product without affirmatively </w:t>
      </w:r>
      <w:r w:rsidR="005F7F4F">
        <w:rPr>
          <w:rFonts w:ascii="Times New Roman" w:eastAsia="Times New Roman" w:hAnsi="Times New Roman"/>
          <w:color w:val="000000"/>
          <w:sz w:val="26"/>
          <w:szCs w:val="26"/>
        </w:rPr>
        <w:t>agreeing to that type of product.</w:t>
      </w:r>
      <w:r w:rsidRPr="003853FC">
        <w:rPr>
          <w:rFonts w:ascii="Times New Roman" w:eastAsia="Times New Roman" w:hAnsi="Times New Roman"/>
          <w:color w:val="000000"/>
          <w:sz w:val="26"/>
          <w:szCs w:val="26"/>
        </w:rPr>
        <w:t xml:space="preserve">  We understand that this kind of product may require hedging by the supplier.  We also acknowledge that this </w:t>
      </w:r>
      <w:r w:rsidR="005F7F4F">
        <w:rPr>
          <w:rFonts w:ascii="Times New Roman" w:eastAsia="Times New Roman" w:hAnsi="Times New Roman"/>
          <w:color w:val="000000"/>
          <w:sz w:val="26"/>
          <w:szCs w:val="26"/>
        </w:rPr>
        <w:t>e</w:t>
      </w:r>
      <w:r w:rsidRPr="003853FC">
        <w:rPr>
          <w:rFonts w:ascii="Times New Roman" w:eastAsia="Times New Roman" w:hAnsi="Times New Roman"/>
          <w:color w:val="000000"/>
          <w:sz w:val="26"/>
          <w:szCs w:val="26"/>
        </w:rPr>
        <w:t>ffect</w:t>
      </w:r>
      <w:r w:rsidR="005F7F4F">
        <w:rPr>
          <w:rFonts w:ascii="Times New Roman" w:eastAsia="Times New Roman" w:hAnsi="Times New Roman"/>
          <w:color w:val="000000"/>
          <w:sz w:val="26"/>
          <w:szCs w:val="26"/>
        </w:rPr>
        <w:t>ively</w:t>
      </w:r>
      <w:r w:rsidRPr="003853FC">
        <w:rPr>
          <w:rFonts w:ascii="Times New Roman" w:eastAsia="Times New Roman" w:hAnsi="Times New Roman"/>
          <w:color w:val="000000"/>
          <w:sz w:val="26"/>
          <w:szCs w:val="26"/>
        </w:rPr>
        <w:t xml:space="preserve"> creates two classes of variable-price customers</w:t>
      </w:r>
      <w:r w:rsidR="005F7F4F">
        <w:rPr>
          <w:rFonts w:ascii="Times New Roman" w:eastAsia="Times New Roman" w:hAnsi="Times New Roman"/>
          <w:color w:val="000000"/>
          <w:sz w:val="26"/>
          <w:szCs w:val="26"/>
        </w:rPr>
        <w:t>:</w:t>
      </w:r>
      <w:r w:rsidRPr="003853FC">
        <w:rPr>
          <w:rFonts w:ascii="Times New Roman" w:eastAsia="Times New Roman" w:hAnsi="Times New Roman"/>
          <w:color w:val="000000"/>
          <w:sz w:val="26"/>
          <w:szCs w:val="26"/>
        </w:rPr>
        <w:t xml:space="preserve"> </w:t>
      </w:r>
      <w:r w:rsidR="005F7F4F">
        <w:rPr>
          <w:rFonts w:ascii="Times New Roman" w:eastAsia="Times New Roman" w:hAnsi="Times New Roman"/>
          <w:color w:val="000000"/>
          <w:sz w:val="26"/>
          <w:szCs w:val="26"/>
        </w:rPr>
        <w:t>1) customers</w:t>
      </w:r>
      <w:r w:rsidRPr="003853FC">
        <w:rPr>
          <w:rFonts w:ascii="Times New Roman" w:eastAsia="Times New Roman" w:hAnsi="Times New Roman"/>
          <w:color w:val="000000"/>
          <w:sz w:val="26"/>
          <w:szCs w:val="26"/>
        </w:rPr>
        <w:t xml:space="preserve"> that affirmatively enroll in a </w:t>
      </w:r>
      <w:r w:rsidR="005F7F4F">
        <w:rPr>
          <w:rFonts w:ascii="Times New Roman" w:eastAsia="Times New Roman" w:hAnsi="Times New Roman"/>
          <w:color w:val="000000"/>
          <w:sz w:val="26"/>
          <w:szCs w:val="26"/>
        </w:rPr>
        <w:t>variable-</w:t>
      </w:r>
      <w:r w:rsidR="004B2D49">
        <w:rPr>
          <w:rFonts w:ascii="Times New Roman" w:eastAsia="Times New Roman" w:hAnsi="Times New Roman"/>
          <w:color w:val="000000"/>
          <w:sz w:val="26"/>
          <w:szCs w:val="26"/>
        </w:rPr>
        <w:t xml:space="preserve">price </w:t>
      </w:r>
      <w:r w:rsidR="005B46EB">
        <w:rPr>
          <w:rFonts w:ascii="Times New Roman" w:eastAsia="Times New Roman" w:hAnsi="Times New Roman"/>
          <w:color w:val="000000"/>
          <w:sz w:val="26"/>
          <w:szCs w:val="26"/>
        </w:rPr>
        <w:t xml:space="preserve">product and do not </w:t>
      </w:r>
      <w:r w:rsidRPr="003853FC">
        <w:rPr>
          <w:rFonts w:ascii="Times New Roman" w:eastAsia="Times New Roman" w:hAnsi="Times New Roman"/>
          <w:color w:val="000000"/>
          <w:sz w:val="26"/>
          <w:szCs w:val="26"/>
        </w:rPr>
        <w:t xml:space="preserve">receive advance </w:t>
      </w:r>
      <w:r w:rsidR="005F7F4F">
        <w:rPr>
          <w:rFonts w:ascii="Times New Roman" w:eastAsia="Times New Roman" w:hAnsi="Times New Roman"/>
          <w:color w:val="000000"/>
          <w:sz w:val="26"/>
          <w:szCs w:val="26"/>
        </w:rPr>
        <w:t>notice of routine price changes,</w:t>
      </w:r>
      <w:r w:rsidRPr="003853FC">
        <w:rPr>
          <w:rFonts w:ascii="Times New Roman" w:eastAsia="Times New Roman" w:hAnsi="Times New Roman"/>
          <w:color w:val="000000"/>
          <w:sz w:val="26"/>
          <w:szCs w:val="26"/>
        </w:rPr>
        <w:t xml:space="preserve"> and </w:t>
      </w:r>
      <w:r w:rsidR="005F7F4F">
        <w:rPr>
          <w:rFonts w:ascii="Times New Roman" w:eastAsia="Times New Roman" w:hAnsi="Times New Roman"/>
          <w:color w:val="000000"/>
          <w:sz w:val="26"/>
          <w:szCs w:val="26"/>
        </w:rPr>
        <w:t>2) customers</w:t>
      </w:r>
      <w:r w:rsidRPr="003853FC">
        <w:rPr>
          <w:rFonts w:ascii="Times New Roman" w:eastAsia="Times New Roman" w:hAnsi="Times New Roman"/>
          <w:color w:val="000000"/>
          <w:sz w:val="26"/>
          <w:szCs w:val="26"/>
        </w:rPr>
        <w:t xml:space="preserve"> that end up on a variable-price product due to their failure to respond to expiration notices and receive advance notice of price changes.  This is a deliberate distinction, based on the assumption that a customer who has affirmatively selected a</w:t>
      </w:r>
      <w:r w:rsidR="005B46EB">
        <w:rPr>
          <w:rFonts w:ascii="Times New Roman" w:eastAsia="Times New Roman" w:hAnsi="Times New Roman"/>
          <w:color w:val="000000"/>
          <w:sz w:val="26"/>
          <w:szCs w:val="26"/>
        </w:rPr>
        <w:t xml:space="preserve"> variable product has reviewed the NGS</w:t>
      </w:r>
      <w:r w:rsidRPr="003853FC">
        <w:rPr>
          <w:rFonts w:ascii="Times New Roman" w:eastAsia="Times New Roman" w:hAnsi="Times New Roman"/>
          <w:color w:val="000000"/>
          <w:sz w:val="26"/>
          <w:szCs w:val="26"/>
        </w:rPr>
        <w:t xml:space="preserve"> disclosure</w:t>
      </w:r>
      <w:r w:rsidR="005B46EB">
        <w:rPr>
          <w:rFonts w:ascii="Times New Roman" w:eastAsia="Times New Roman" w:hAnsi="Times New Roman"/>
          <w:color w:val="000000"/>
          <w:sz w:val="26"/>
          <w:szCs w:val="26"/>
        </w:rPr>
        <w:t xml:space="preserve">, as well as the contract terms and conditions, </w:t>
      </w:r>
      <w:r w:rsidRPr="003853FC">
        <w:rPr>
          <w:rFonts w:ascii="Times New Roman" w:eastAsia="Times New Roman" w:hAnsi="Times New Roman"/>
          <w:color w:val="000000"/>
          <w:sz w:val="26"/>
          <w:szCs w:val="26"/>
        </w:rPr>
        <w:t xml:space="preserve">and </w:t>
      </w:r>
      <w:r w:rsidR="00F56F14">
        <w:rPr>
          <w:rFonts w:ascii="Times New Roman" w:eastAsia="Times New Roman" w:hAnsi="Times New Roman"/>
          <w:color w:val="000000"/>
          <w:sz w:val="26"/>
          <w:szCs w:val="26"/>
        </w:rPr>
        <w:t xml:space="preserve">who </w:t>
      </w:r>
      <w:r w:rsidRPr="003853FC">
        <w:rPr>
          <w:rFonts w:ascii="Times New Roman" w:eastAsia="Times New Roman" w:hAnsi="Times New Roman"/>
          <w:color w:val="000000"/>
          <w:sz w:val="26"/>
          <w:szCs w:val="26"/>
        </w:rPr>
        <w:t xml:space="preserve">understands </w:t>
      </w:r>
      <w:r w:rsidR="005F7F4F">
        <w:rPr>
          <w:rFonts w:ascii="Times New Roman" w:eastAsia="Times New Roman" w:hAnsi="Times New Roman"/>
          <w:color w:val="000000"/>
          <w:sz w:val="26"/>
          <w:szCs w:val="26"/>
        </w:rPr>
        <w:t>and submits to any effects of a v</w:t>
      </w:r>
      <w:r w:rsidR="007A1C68">
        <w:rPr>
          <w:rFonts w:ascii="Times New Roman" w:eastAsia="Times New Roman" w:hAnsi="Times New Roman"/>
          <w:color w:val="000000"/>
          <w:sz w:val="26"/>
          <w:szCs w:val="26"/>
        </w:rPr>
        <w:t>ariable-price</w:t>
      </w:r>
      <w:r w:rsidR="005F7F4F">
        <w:rPr>
          <w:rFonts w:ascii="Times New Roman" w:eastAsia="Times New Roman" w:hAnsi="Times New Roman"/>
          <w:color w:val="000000"/>
          <w:sz w:val="26"/>
          <w:szCs w:val="26"/>
        </w:rPr>
        <w:t xml:space="preserve"> product</w:t>
      </w:r>
      <w:r w:rsidR="00F56F14">
        <w:rPr>
          <w:rFonts w:ascii="Times New Roman" w:eastAsia="Times New Roman" w:hAnsi="Times New Roman"/>
          <w:color w:val="000000"/>
          <w:sz w:val="26"/>
          <w:szCs w:val="26"/>
        </w:rPr>
        <w:t xml:space="preserve">.  This is contrasted with </w:t>
      </w:r>
      <w:r w:rsidR="005F7F4F">
        <w:rPr>
          <w:rFonts w:ascii="Times New Roman" w:eastAsia="Times New Roman" w:hAnsi="Times New Roman"/>
          <w:color w:val="000000"/>
          <w:sz w:val="26"/>
          <w:szCs w:val="26"/>
        </w:rPr>
        <w:t>a customer</w:t>
      </w:r>
      <w:r w:rsidRPr="003853FC">
        <w:rPr>
          <w:rFonts w:ascii="Times New Roman" w:eastAsia="Times New Roman" w:hAnsi="Times New Roman"/>
          <w:color w:val="000000"/>
          <w:sz w:val="26"/>
          <w:szCs w:val="26"/>
        </w:rPr>
        <w:t xml:space="preserve"> who may not have desired a variable product and ended up with one only </w:t>
      </w:r>
      <w:r w:rsidR="005F7F4F">
        <w:rPr>
          <w:rFonts w:ascii="Times New Roman" w:eastAsia="Times New Roman" w:hAnsi="Times New Roman"/>
          <w:color w:val="000000"/>
          <w:sz w:val="26"/>
          <w:szCs w:val="26"/>
        </w:rPr>
        <w:t>due to</w:t>
      </w:r>
      <w:r w:rsidRPr="003853FC">
        <w:rPr>
          <w:rFonts w:ascii="Times New Roman" w:eastAsia="Times New Roman" w:hAnsi="Times New Roman"/>
          <w:color w:val="000000"/>
          <w:sz w:val="26"/>
          <w:szCs w:val="26"/>
        </w:rPr>
        <w:t xml:space="preserve"> failure to act on expiration notices.          </w:t>
      </w:r>
    </w:p>
    <w:p w:rsidR="00F417C3" w:rsidRDefault="00F417C3" w:rsidP="001A1513">
      <w:pPr>
        <w:spacing w:line="360" w:lineRule="auto"/>
        <w:rPr>
          <w:rFonts w:ascii="Times New Roman" w:eastAsia="Times New Roman" w:hAnsi="Times New Roman"/>
          <w:color w:val="000000"/>
          <w:sz w:val="26"/>
          <w:szCs w:val="26"/>
        </w:rPr>
      </w:pPr>
    </w:p>
    <w:p w:rsidR="001A1513" w:rsidRPr="003853FC" w:rsidRDefault="001A1513" w:rsidP="00F417C3">
      <w:pPr>
        <w:spacing w:line="360" w:lineRule="auto"/>
        <w:ind w:firstLine="720"/>
        <w:rPr>
          <w:rFonts w:ascii="Times New Roman" w:eastAsia="Times New Roman" w:hAnsi="Times New Roman"/>
          <w:color w:val="000000"/>
          <w:spacing w:val="4"/>
          <w:sz w:val="26"/>
          <w:szCs w:val="26"/>
        </w:rPr>
      </w:pPr>
      <w:r w:rsidRPr="003853FC">
        <w:rPr>
          <w:rFonts w:ascii="Times New Roman" w:eastAsia="Times New Roman" w:hAnsi="Times New Roman"/>
          <w:color w:val="000000"/>
          <w:sz w:val="26"/>
          <w:szCs w:val="26"/>
        </w:rPr>
        <w:t>We a</w:t>
      </w:r>
      <w:r w:rsidR="00572DCB">
        <w:rPr>
          <w:rFonts w:ascii="Times New Roman" w:eastAsia="Times New Roman" w:hAnsi="Times New Roman"/>
          <w:color w:val="000000"/>
          <w:sz w:val="26"/>
          <w:szCs w:val="26"/>
        </w:rPr>
        <w:t>lso</w:t>
      </w:r>
      <w:r w:rsidRPr="003853FC">
        <w:rPr>
          <w:rFonts w:ascii="Times New Roman" w:eastAsia="Times New Roman" w:hAnsi="Times New Roman"/>
          <w:color w:val="000000"/>
          <w:sz w:val="26"/>
          <w:szCs w:val="26"/>
        </w:rPr>
        <w:t xml:space="preserve"> propos</w:t>
      </w:r>
      <w:r w:rsidR="00572DCB">
        <w:rPr>
          <w:rFonts w:ascii="Times New Roman" w:eastAsia="Times New Roman" w:hAnsi="Times New Roman"/>
          <w:color w:val="000000"/>
          <w:sz w:val="26"/>
          <w:szCs w:val="26"/>
        </w:rPr>
        <w:t>e</w:t>
      </w:r>
      <w:r w:rsidRPr="003853FC">
        <w:rPr>
          <w:rFonts w:ascii="Times New Roman" w:eastAsia="Times New Roman" w:hAnsi="Times New Roman"/>
          <w:color w:val="000000"/>
          <w:sz w:val="26"/>
          <w:szCs w:val="26"/>
        </w:rPr>
        <w:t xml:space="preserve"> to carry</w:t>
      </w:r>
      <w:r w:rsidR="00572DCB">
        <w:rPr>
          <w:rFonts w:ascii="Times New Roman" w:eastAsia="Times New Roman" w:hAnsi="Times New Roman"/>
          <w:color w:val="000000"/>
          <w:sz w:val="26"/>
          <w:szCs w:val="26"/>
        </w:rPr>
        <w:t xml:space="preserve"> </w:t>
      </w:r>
      <w:r w:rsidRPr="003853FC">
        <w:rPr>
          <w:rFonts w:ascii="Times New Roman" w:eastAsia="Times New Roman" w:hAnsi="Times New Roman"/>
          <w:color w:val="000000"/>
          <w:sz w:val="26"/>
          <w:szCs w:val="26"/>
        </w:rPr>
        <w:t xml:space="preserve">over the electric rule requiring the second notice (the “options notice”) to be delivered by first-class mail in a prominently labeled envelope.  </w:t>
      </w:r>
      <w:r w:rsidR="00572DCB">
        <w:rPr>
          <w:rFonts w:ascii="Times New Roman" w:eastAsia="Times New Roman" w:hAnsi="Times New Roman"/>
          <w:color w:val="000000"/>
          <w:sz w:val="26"/>
          <w:szCs w:val="26"/>
        </w:rPr>
        <w:t xml:space="preserve"> However, </w:t>
      </w:r>
      <w:r w:rsidRPr="003853FC">
        <w:rPr>
          <w:rFonts w:ascii="Times New Roman" w:eastAsia="Times New Roman" w:hAnsi="Times New Roman"/>
          <w:color w:val="000000"/>
          <w:sz w:val="26"/>
          <w:szCs w:val="26"/>
        </w:rPr>
        <w:t xml:space="preserve">we </w:t>
      </w:r>
      <w:r w:rsidR="00572DCB">
        <w:rPr>
          <w:rFonts w:ascii="Times New Roman" w:eastAsia="Times New Roman" w:hAnsi="Times New Roman"/>
          <w:color w:val="000000"/>
          <w:sz w:val="26"/>
          <w:szCs w:val="26"/>
        </w:rPr>
        <w:t xml:space="preserve">do </w:t>
      </w:r>
      <w:r w:rsidRPr="003853FC">
        <w:rPr>
          <w:rFonts w:ascii="Times New Roman" w:eastAsia="Times New Roman" w:hAnsi="Times New Roman"/>
          <w:color w:val="000000"/>
          <w:sz w:val="26"/>
          <w:szCs w:val="26"/>
        </w:rPr>
        <w:t>invite comment on this</w:t>
      </w:r>
      <w:r w:rsidR="005B46EB">
        <w:rPr>
          <w:rFonts w:ascii="Times New Roman" w:eastAsia="Times New Roman" w:hAnsi="Times New Roman"/>
          <w:color w:val="000000"/>
          <w:sz w:val="26"/>
          <w:szCs w:val="26"/>
        </w:rPr>
        <w:t>, as RESA may have a valid</w:t>
      </w:r>
      <w:r w:rsidRPr="003853FC">
        <w:rPr>
          <w:rFonts w:ascii="Times New Roman" w:eastAsia="Times New Roman" w:hAnsi="Times New Roman"/>
          <w:color w:val="000000"/>
          <w:sz w:val="26"/>
          <w:szCs w:val="26"/>
        </w:rPr>
        <w:t xml:space="preserve"> concern that </w:t>
      </w:r>
      <w:r w:rsidR="00572DCB">
        <w:rPr>
          <w:rFonts w:ascii="Times New Roman" w:eastAsia="Times New Roman" w:hAnsi="Times New Roman"/>
          <w:color w:val="000000"/>
          <w:sz w:val="26"/>
          <w:szCs w:val="26"/>
        </w:rPr>
        <w:t xml:space="preserve">first-class mail is </w:t>
      </w:r>
      <w:r w:rsidRPr="003853FC">
        <w:rPr>
          <w:rFonts w:ascii="Times New Roman" w:eastAsia="Times New Roman" w:hAnsi="Times New Roman"/>
          <w:color w:val="000000"/>
          <w:sz w:val="26"/>
          <w:szCs w:val="26"/>
        </w:rPr>
        <w:t>an increasingly outmoded form of communication and that alternatives should be permitted.  We also invite comment on the NGS Parties</w:t>
      </w:r>
      <w:r w:rsidR="00572DCB">
        <w:rPr>
          <w:rFonts w:ascii="Times New Roman" w:eastAsia="Times New Roman" w:hAnsi="Times New Roman"/>
          <w:color w:val="000000"/>
          <w:sz w:val="26"/>
          <w:szCs w:val="26"/>
        </w:rPr>
        <w:t>’</w:t>
      </w:r>
      <w:r w:rsidRPr="003853FC">
        <w:rPr>
          <w:rFonts w:ascii="Times New Roman" w:eastAsia="Times New Roman" w:hAnsi="Times New Roman"/>
          <w:color w:val="000000"/>
          <w:sz w:val="26"/>
          <w:szCs w:val="26"/>
        </w:rPr>
        <w:t xml:space="preserve"> suggestion that only one notice should be required in instances where a supplier is not proposing any changes upon contract expiration.</w:t>
      </w:r>
      <w:r w:rsidR="00572DCB">
        <w:rPr>
          <w:rFonts w:ascii="Times New Roman" w:eastAsia="Times New Roman" w:hAnsi="Times New Roman"/>
          <w:color w:val="000000"/>
          <w:sz w:val="26"/>
          <w:szCs w:val="26"/>
        </w:rPr>
        <w:t xml:space="preserve">  </w:t>
      </w:r>
      <w:r w:rsidR="00572DCB">
        <w:rPr>
          <w:rFonts w:ascii="Times New Roman" w:eastAsia="Times New Roman" w:hAnsi="Times New Roman"/>
          <w:i/>
          <w:color w:val="000000"/>
          <w:sz w:val="26"/>
          <w:szCs w:val="26"/>
        </w:rPr>
        <w:t>See</w:t>
      </w:r>
      <w:r w:rsidR="00572DCB">
        <w:rPr>
          <w:rFonts w:ascii="Times New Roman" w:eastAsia="Times New Roman" w:hAnsi="Times New Roman"/>
          <w:color w:val="000000"/>
          <w:sz w:val="26"/>
          <w:szCs w:val="26"/>
        </w:rPr>
        <w:t xml:space="preserve"> NGS </w:t>
      </w:r>
      <w:r w:rsidR="005B46EB">
        <w:rPr>
          <w:rFonts w:ascii="Times New Roman" w:eastAsia="Times New Roman" w:hAnsi="Times New Roman"/>
          <w:color w:val="000000"/>
          <w:sz w:val="26"/>
          <w:szCs w:val="26"/>
        </w:rPr>
        <w:t>Parties Comments at 9.</w:t>
      </w:r>
      <w:r w:rsidRPr="003853FC">
        <w:rPr>
          <w:rFonts w:ascii="Times New Roman" w:eastAsia="Times New Roman" w:hAnsi="Times New Roman"/>
          <w:color w:val="000000"/>
          <w:sz w:val="26"/>
          <w:szCs w:val="26"/>
        </w:rPr>
        <w:t xml:space="preserve">         </w:t>
      </w:r>
    </w:p>
    <w:p w:rsidR="001A1513" w:rsidRPr="003853FC" w:rsidRDefault="001A1513" w:rsidP="001A1513">
      <w:pPr>
        <w:spacing w:line="360" w:lineRule="auto"/>
        <w:rPr>
          <w:rFonts w:ascii="Times New Roman" w:eastAsia="Times New Roman" w:hAnsi="Times New Roman"/>
          <w:color w:val="000000"/>
          <w:spacing w:val="4"/>
          <w:sz w:val="26"/>
          <w:szCs w:val="26"/>
        </w:rPr>
      </w:pPr>
      <w:r w:rsidRPr="003853FC">
        <w:rPr>
          <w:rFonts w:ascii="Times New Roman" w:eastAsia="Times New Roman" w:hAnsi="Times New Roman"/>
          <w:color w:val="000000"/>
          <w:spacing w:val="4"/>
          <w:sz w:val="26"/>
          <w:szCs w:val="26"/>
        </w:rPr>
        <w:t xml:space="preserve"> </w:t>
      </w:r>
    </w:p>
    <w:p w:rsidR="001A1513" w:rsidRDefault="00012CE3" w:rsidP="00213616">
      <w:pPr>
        <w:keepNext/>
        <w:keepLines/>
        <w:spacing w:line="360" w:lineRule="auto"/>
        <w:rPr>
          <w:rFonts w:ascii="Times New Roman" w:eastAsia="Times New Roman" w:hAnsi="Times New Roman"/>
          <w:b/>
          <w:color w:val="000000"/>
          <w:spacing w:val="4"/>
          <w:sz w:val="26"/>
          <w:szCs w:val="26"/>
        </w:rPr>
      </w:pPr>
      <w:r w:rsidRPr="00012CE3">
        <w:rPr>
          <w:rFonts w:ascii="Times New Roman" w:eastAsia="Times New Roman" w:hAnsi="Times New Roman"/>
          <w:b/>
          <w:color w:val="000000"/>
          <w:spacing w:val="4"/>
          <w:sz w:val="26"/>
          <w:szCs w:val="26"/>
        </w:rPr>
        <w:lastRenderedPageBreak/>
        <w:t>Supplier Requests for Commission Review of Contract Terms</w:t>
      </w:r>
    </w:p>
    <w:p w:rsidR="001A1513" w:rsidRDefault="00012CE3" w:rsidP="00213616">
      <w:pPr>
        <w:keepNext/>
        <w:keepLines/>
        <w:spacing w:line="360" w:lineRule="auto"/>
        <w:rPr>
          <w:rFonts w:ascii="Times New Roman" w:hAnsi="Times New Roman"/>
          <w:sz w:val="26"/>
          <w:szCs w:val="26"/>
          <w:u w:val="single"/>
        </w:rPr>
      </w:pPr>
      <w:r>
        <w:rPr>
          <w:rFonts w:ascii="Times New Roman" w:hAnsi="Times New Roman"/>
          <w:sz w:val="26"/>
          <w:szCs w:val="26"/>
          <w:u w:val="single"/>
        </w:rPr>
        <w:t>Comments</w:t>
      </w:r>
    </w:p>
    <w:p w:rsidR="00012CE3" w:rsidRDefault="00012CE3" w:rsidP="00213616">
      <w:pPr>
        <w:keepNext/>
        <w:keepLines/>
        <w:spacing w:line="360" w:lineRule="auto"/>
        <w:rPr>
          <w:rFonts w:ascii="Times New Roman" w:hAnsi="Times New Roman"/>
          <w:sz w:val="26"/>
          <w:szCs w:val="26"/>
        </w:rPr>
      </w:pPr>
      <w:r>
        <w:rPr>
          <w:rFonts w:ascii="Times New Roman" w:hAnsi="Times New Roman"/>
          <w:sz w:val="26"/>
          <w:szCs w:val="26"/>
        </w:rPr>
        <w:tab/>
      </w:r>
      <w:r>
        <w:rPr>
          <w:rFonts w:ascii="Times New Roman" w:eastAsia="Times New Roman" w:hAnsi="Times New Roman"/>
          <w:color w:val="000000"/>
          <w:spacing w:val="2"/>
          <w:sz w:val="26"/>
          <w:szCs w:val="26"/>
        </w:rPr>
        <w:t xml:space="preserve">The NGS Parties </w:t>
      </w:r>
      <w:r w:rsidRPr="003853FC">
        <w:rPr>
          <w:rFonts w:ascii="Times New Roman" w:eastAsia="Times New Roman" w:hAnsi="Times New Roman"/>
          <w:color w:val="000000"/>
          <w:spacing w:val="2"/>
          <w:sz w:val="26"/>
          <w:szCs w:val="26"/>
        </w:rPr>
        <w:t xml:space="preserve">suggest that the Commission </w:t>
      </w:r>
      <w:r>
        <w:rPr>
          <w:rFonts w:ascii="Times New Roman" w:eastAsia="Times New Roman" w:hAnsi="Times New Roman"/>
          <w:color w:val="000000"/>
          <w:spacing w:val="2"/>
          <w:sz w:val="26"/>
          <w:szCs w:val="26"/>
        </w:rPr>
        <w:t xml:space="preserve">staff </w:t>
      </w:r>
      <w:r w:rsidRPr="003853FC">
        <w:rPr>
          <w:rFonts w:ascii="Times New Roman" w:eastAsia="Times New Roman" w:hAnsi="Times New Roman"/>
          <w:color w:val="000000"/>
          <w:spacing w:val="2"/>
          <w:sz w:val="26"/>
          <w:szCs w:val="26"/>
        </w:rPr>
        <w:t xml:space="preserve">provide reviews of </w:t>
      </w:r>
      <w:r>
        <w:rPr>
          <w:rFonts w:ascii="Times New Roman" w:eastAsia="Times New Roman" w:hAnsi="Times New Roman"/>
          <w:color w:val="000000"/>
          <w:spacing w:val="2"/>
          <w:sz w:val="26"/>
          <w:szCs w:val="26"/>
        </w:rPr>
        <w:t xml:space="preserve">current </w:t>
      </w:r>
      <w:r w:rsidRPr="003853FC">
        <w:rPr>
          <w:rFonts w:ascii="Times New Roman" w:eastAsia="Times New Roman" w:hAnsi="Times New Roman"/>
          <w:color w:val="000000"/>
          <w:spacing w:val="2"/>
          <w:sz w:val="26"/>
          <w:szCs w:val="26"/>
        </w:rPr>
        <w:t>NG</w:t>
      </w:r>
      <w:r w:rsidR="00C65447">
        <w:rPr>
          <w:rFonts w:ascii="Times New Roman" w:eastAsia="Times New Roman" w:hAnsi="Times New Roman"/>
          <w:color w:val="000000"/>
          <w:spacing w:val="2"/>
          <w:sz w:val="26"/>
          <w:szCs w:val="26"/>
        </w:rPr>
        <w:t>S</w:t>
      </w:r>
      <w:r w:rsidRPr="003853FC">
        <w:rPr>
          <w:rFonts w:ascii="Times New Roman" w:eastAsia="Times New Roman" w:hAnsi="Times New Roman"/>
          <w:color w:val="000000"/>
          <w:spacing w:val="2"/>
          <w:sz w:val="26"/>
          <w:szCs w:val="26"/>
        </w:rPr>
        <w:t xml:space="preserve"> terms and </w:t>
      </w:r>
      <w:r>
        <w:rPr>
          <w:rFonts w:ascii="Times New Roman" w:eastAsia="Times New Roman" w:hAnsi="Times New Roman"/>
          <w:color w:val="000000"/>
          <w:spacing w:val="2"/>
          <w:sz w:val="26"/>
          <w:szCs w:val="26"/>
        </w:rPr>
        <w:t xml:space="preserve">contractual </w:t>
      </w:r>
      <w:r w:rsidRPr="003853FC">
        <w:rPr>
          <w:rFonts w:ascii="Times New Roman" w:eastAsia="Times New Roman" w:hAnsi="Times New Roman"/>
          <w:color w:val="000000"/>
          <w:spacing w:val="2"/>
          <w:sz w:val="26"/>
          <w:szCs w:val="26"/>
        </w:rPr>
        <w:t>conditions</w:t>
      </w:r>
      <w:r>
        <w:rPr>
          <w:rFonts w:ascii="Times New Roman" w:eastAsia="Times New Roman" w:hAnsi="Times New Roman"/>
          <w:color w:val="000000"/>
          <w:spacing w:val="2"/>
          <w:sz w:val="26"/>
          <w:szCs w:val="26"/>
        </w:rPr>
        <w:t>, noting that currently Commission staff</w:t>
      </w:r>
      <w:r w:rsidRPr="003853FC">
        <w:rPr>
          <w:rFonts w:ascii="Times New Roman" w:eastAsia="Times New Roman" w:hAnsi="Times New Roman"/>
          <w:color w:val="000000"/>
          <w:spacing w:val="2"/>
          <w:sz w:val="26"/>
          <w:szCs w:val="26"/>
        </w:rPr>
        <w:t xml:space="preserve"> only review NGS terms and conditions at the time the NGS seeks a license.</w:t>
      </w:r>
      <w:r>
        <w:rPr>
          <w:rFonts w:ascii="Times New Roman" w:eastAsia="Times New Roman" w:hAnsi="Times New Roman"/>
          <w:color w:val="000000"/>
          <w:spacing w:val="2"/>
          <w:sz w:val="26"/>
          <w:szCs w:val="26"/>
        </w:rPr>
        <w:t xml:space="preserve">  </w:t>
      </w:r>
      <w:proofErr w:type="gramStart"/>
      <w:r w:rsidR="005B46EB">
        <w:rPr>
          <w:rFonts w:ascii="Times New Roman" w:eastAsia="Times New Roman" w:hAnsi="Times New Roman"/>
          <w:color w:val="000000"/>
          <w:spacing w:val="2"/>
          <w:sz w:val="26"/>
          <w:szCs w:val="26"/>
        </w:rPr>
        <w:t xml:space="preserve">NGS Parties </w:t>
      </w:r>
      <w:r>
        <w:rPr>
          <w:rFonts w:ascii="Times New Roman" w:eastAsia="Times New Roman" w:hAnsi="Times New Roman"/>
          <w:color w:val="000000"/>
          <w:spacing w:val="2"/>
          <w:sz w:val="26"/>
          <w:szCs w:val="26"/>
        </w:rPr>
        <w:t>Comments at 3.</w:t>
      </w:r>
      <w:proofErr w:type="gramEnd"/>
      <w:r w:rsidRPr="003853FC">
        <w:rPr>
          <w:rFonts w:ascii="Times New Roman" w:eastAsia="Times New Roman" w:hAnsi="Times New Roman"/>
          <w:color w:val="000000"/>
          <w:spacing w:val="2"/>
          <w:sz w:val="26"/>
          <w:szCs w:val="26"/>
        </w:rPr>
        <w:t xml:space="preserve">  </w:t>
      </w:r>
      <w:r w:rsidR="005B46EB">
        <w:rPr>
          <w:rFonts w:ascii="Times New Roman" w:eastAsia="Times New Roman" w:hAnsi="Times New Roman"/>
          <w:color w:val="000000"/>
          <w:spacing w:val="2"/>
          <w:sz w:val="26"/>
          <w:szCs w:val="26"/>
        </w:rPr>
        <w:t xml:space="preserve">The </w:t>
      </w:r>
      <w:r w:rsidRPr="003853FC">
        <w:rPr>
          <w:rFonts w:ascii="Times New Roman" w:eastAsia="Times New Roman" w:hAnsi="Times New Roman"/>
          <w:color w:val="000000"/>
          <w:spacing w:val="2"/>
          <w:sz w:val="26"/>
          <w:szCs w:val="26"/>
        </w:rPr>
        <w:t xml:space="preserve">NGS Parties </w:t>
      </w:r>
      <w:r w:rsidR="005B46EB">
        <w:rPr>
          <w:rFonts w:ascii="Times New Roman" w:eastAsia="Times New Roman" w:hAnsi="Times New Roman"/>
          <w:color w:val="000000"/>
          <w:spacing w:val="2"/>
          <w:sz w:val="26"/>
          <w:szCs w:val="26"/>
        </w:rPr>
        <w:t xml:space="preserve">suggest that suppliers be able to seek Commission staff </w:t>
      </w:r>
      <w:r w:rsidRPr="003853FC">
        <w:rPr>
          <w:rFonts w:ascii="Times New Roman" w:eastAsia="Times New Roman" w:hAnsi="Times New Roman"/>
          <w:color w:val="000000"/>
          <w:spacing w:val="2"/>
          <w:sz w:val="26"/>
          <w:szCs w:val="26"/>
        </w:rPr>
        <w:t>review of disclosure revisions and for that review to protect the supplier from complaints that its terms and conditions are non-compliant.</w:t>
      </w:r>
      <w:r>
        <w:rPr>
          <w:rFonts w:ascii="Times New Roman" w:eastAsia="Times New Roman" w:hAnsi="Times New Roman"/>
          <w:color w:val="000000"/>
          <w:spacing w:val="2"/>
          <w:sz w:val="26"/>
          <w:szCs w:val="26"/>
        </w:rPr>
        <w:t xml:space="preserve">  </w:t>
      </w:r>
      <w:r>
        <w:rPr>
          <w:rFonts w:ascii="Times New Roman" w:eastAsia="Times New Roman" w:hAnsi="Times New Roman"/>
          <w:i/>
          <w:color w:val="000000"/>
          <w:spacing w:val="2"/>
          <w:sz w:val="26"/>
          <w:szCs w:val="26"/>
        </w:rPr>
        <w:t>Id.</w:t>
      </w:r>
      <w:r w:rsidRPr="003853FC">
        <w:rPr>
          <w:rFonts w:ascii="Times New Roman" w:eastAsia="Times New Roman" w:hAnsi="Times New Roman"/>
          <w:color w:val="000000"/>
          <w:spacing w:val="2"/>
          <w:sz w:val="26"/>
          <w:szCs w:val="26"/>
        </w:rPr>
        <w:t xml:space="preserve">  NGS Parties think this would ensure that customers are more likely to receive compliant materials with consistent terminology, and would ease the risk that suppliers face when making new product offerings, </w:t>
      </w:r>
      <w:r>
        <w:rPr>
          <w:rFonts w:ascii="Times New Roman" w:eastAsia="Times New Roman" w:hAnsi="Times New Roman"/>
          <w:color w:val="000000"/>
          <w:spacing w:val="2"/>
          <w:sz w:val="26"/>
          <w:szCs w:val="26"/>
        </w:rPr>
        <w:t>rather than</w:t>
      </w:r>
      <w:r w:rsidRPr="003853FC">
        <w:rPr>
          <w:rFonts w:ascii="Times New Roman" w:eastAsia="Times New Roman" w:hAnsi="Times New Roman"/>
          <w:color w:val="000000"/>
          <w:spacing w:val="2"/>
          <w:sz w:val="26"/>
          <w:szCs w:val="26"/>
        </w:rPr>
        <w:t xml:space="preserve"> “guess at what staff or an administrative law judge will consider acceptable at some future point.”  </w:t>
      </w:r>
      <w:r w:rsidRPr="00084821">
        <w:rPr>
          <w:rFonts w:ascii="Times New Roman" w:eastAsia="Times New Roman" w:hAnsi="Times New Roman"/>
          <w:i/>
          <w:color w:val="000000"/>
          <w:spacing w:val="2"/>
          <w:sz w:val="26"/>
          <w:szCs w:val="26"/>
        </w:rPr>
        <w:t>Id</w:t>
      </w:r>
      <w:r w:rsidRPr="003853FC">
        <w:rPr>
          <w:rFonts w:ascii="Times New Roman" w:eastAsia="Times New Roman" w:hAnsi="Times New Roman"/>
          <w:color w:val="000000"/>
          <w:spacing w:val="2"/>
          <w:sz w:val="26"/>
          <w:szCs w:val="26"/>
        </w:rPr>
        <w:t>.</w:t>
      </w:r>
      <w:r>
        <w:rPr>
          <w:rFonts w:ascii="Times New Roman" w:hAnsi="Times New Roman"/>
          <w:sz w:val="26"/>
          <w:szCs w:val="26"/>
        </w:rPr>
        <w:tab/>
      </w:r>
    </w:p>
    <w:p w:rsidR="00012CE3" w:rsidRPr="00012CE3" w:rsidRDefault="00012CE3" w:rsidP="001A1513">
      <w:pPr>
        <w:spacing w:line="360" w:lineRule="auto"/>
        <w:rPr>
          <w:rFonts w:ascii="Times New Roman" w:hAnsi="Times New Roman"/>
          <w:sz w:val="26"/>
          <w:szCs w:val="26"/>
        </w:rPr>
      </w:pPr>
    </w:p>
    <w:p w:rsidR="00012CE3" w:rsidRDefault="00012CE3" w:rsidP="00012CE3">
      <w:pPr>
        <w:spacing w:line="360" w:lineRule="auto"/>
        <w:rPr>
          <w:rFonts w:ascii="Times New Roman" w:eastAsia="Times New Roman" w:hAnsi="Times New Roman"/>
          <w:color w:val="000000"/>
          <w:spacing w:val="4"/>
          <w:sz w:val="26"/>
          <w:szCs w:val="26"/>
          <w:u w:val="single"/>
        </w:rPr>
      </w:pPr>
      <w:r>
        <w:rPr>
          <w:rFonts w:ascii="Times New Roman" w:eastAsia="Times New Roman" w:hAnsi="Times New Roman"/>
          <w:color w:val="000000"/>
          <w:spacing w:val="4"/>
          <w:sz w:val="26"/>
          <w:szCs w:val="26"/>
          <w:u w:val="single"/>
        </w:rPr>
        <w:t>Disposition</w:t>
      </w:r>
    </w:p>
    <w:p w:rsidR="00012CE3" w:rsidRDefault="00012CE3" w:rsidP="00012CE3">
      <w:pPr>
        <w:spacing w:line="360" w:lineRule="auto"/>
        <w:ind w:firstLine="720"/>
        <w:rPr>
          <w:rFonts w:ascii="Times New Roman" w:eastAsia="Times New Roman" w:hAnsi="Times New Roman"/>
          <w:color w:val="000000"/>
          <w:spacing w:val="4"/>
          <w:sz w:val="26"/>
          <w:szCs w:val="26"/>
        </w:rPr>
      </w:pPr>
      <w:r w:rsidRPr="003853FC">
        <w:rPr>
          <w:rFonts w:ascii="Times New Roman" w:eastAsia="Times New Roman" w:hAnsi="Times New Roman"/>
          <w:color w:val="000000"/>
          <w:spacing w:val="4"/>
          <w:sz w:val="26"/>
          <w:szCs w:val="26"/>
        </w:rPr>
        <w:t>As for the NGS Parties</w:t>
      </w:r>
      <w:r w:rsidR="00557449">
        <w:rPr>
          <w:rFonts w:ascii="Times New Roman" w:eastAsia="Times New Roman" w:hAnsi="Times New Roman"/>
          <w:color w:val="000000"/>
          <w:spacing w:val="4"/>
          <w:sz w:val="26"/>
          <w:szCs w:val="26"/>
        </w:rPr>
        <w:t>’</w:t>
      </w:r>
      <w:r w:rsidRPr="003853FC">
        <w:rPr>
          <w:rFonts w:ascii="Times New Roman" w:eastAsia="Times New Roman" w:hAnsi="Times New Roman"/>
          <w:color w:val="000000"/>
          <w:spacing w:val="4"/>
          <w:sz w:val="26"/>
          <w:szCs w:val="26"/>
        </w:rPr>
        <w:t xml:space="preserve"> request that the Commission allow suppliers to ask for reviews of </w:t>
      </w:r>
      <w:r w:rsidR="00557449">
        <w:rPr>
          <w:rFonts w:ascii="Times New Roman" w:eastAsia="Times New Roman" w:hAnsi="Times New Roman"/>
          <w:color w:val="000000"/>
          <w:spacing w:val="4"/>
          <w:sz w:val="26"/>
          <w:szCs w:val="26"/>
        </w:rPr>
        <w:t>their</w:t>
      </w:r>
      <w:r w:rsidR="00557449" w:rsidRPr="003853FC">
        <w:rPr>
          <w:rFonts w:ascii="Times New Roman" w:eastAsia="Times New Roman" w:hAnsi="Times New Roman"/>
          <w:color w:val="000000"/>
          <w:spacing w:val="4"/>
          <w:sz w:val="26"/>
          <w:szCs w:val="26"/>
        </w:rPr>
        <w:t xml:space="preserve"> disclosure statements </w:t>
      </w:r>
      <w:r w:rsidRPr="003853FC">
        <w:rPr>
          <w:rFonts w:ascii="Times New Roman" w:eastAsia="Times New Roman" w:hAnsi="Times New Roman"/>
          <w:color w:val="000000"/>
          <w:spacing w:val="4"/>
          <w:sz w:val="26"/>
          <w:szCs w:val="26"/>
        </w:rPr>
        <w:t>by Commission staff, we note that informal reviews and opinions are always available upon request.</w:t>
      </w:r>
      <w:r w:rsidR="000E1F77">
        <w:rPr>
          <w:rFonts w:ascii="Times New Roman" w:eastAsia="Times New Roman" w:hAnsi="Times New Roman"/>
          <w:color w:val="000000"/>
          <w:spacing w:val="4"/>
          <w:sz w:val="26"/>
          <w:szCs w:val="26"/>
        </w:rPr>
        <w:t xml:space="preserve"> </w:t>
      </w:r>
      <w:r w:rsidR="000E1F77" w:rsidRPr="000E1F77">
        <w:rPr>
          <w:rFonts w:ascii="Times New Roman" w:eastAsia="Times New Roman" w:hAnsi="Times New Roman"/>
          <w:color w:val="000000"/>
          <w:spacing w:val="4"/>
          <w:sz w:val="26"/>
          <w:szCs w:val="26"/>
        </w:rPr>
        <w:t xml:space="preserve">Pursuant to 52 Pa Code §1.96, informal opinions are provided solely as an aid to the requester and are not binding upon the Commonwealth or the Commission.  Informal opinions are also subject to withdrawal or change at any time to conform </w:t>
      </w:r>
      <w:proofErr w:type="gramStart"/>
      <w:r w:rsidR="000E1F77" w:rsidRPr="000E1F77">
        <w:rPr>
          <w:rFonts w:ascii="Times New Roman" w:eastAsia="Times New Roman" w:hAnsi="Times New Roman"/>
          <w:color w:val="000000"/>
          <w:spacing w:val="4"/>
          <w:sz w:val="26"/>
          <w:szCs w:val="26"/>
        </w:rPr>
        <w:t>with</w:t>
      </w:r>
      <w:proofErr w:type="gramEnd"/>
      <w:r w:rsidR="000E1F77" w:rsidRPr="000E1F77">
        <w:rPr>
          <w:rFonts w:ascii="Times New Roman" w:eastAsia="Times New Roman" w:hAnsi="Times New Roman"/>
          <w:color w:val="000000"/>
          <w:spacing w:val="4"/>
          <w:sz w:val="26"/>
          <w:szCs w:val="26"/>
        </w:rPr>
        <w:t xml:space="preserve"> new or different interpretations of the law.</w:t>
      </w:r>
      <w:r w:rsidR="000E1F77">
        <w:rPr>
          <w:rFonts w:ascii="Times New Roman" w:eastAsia="Times New Roman" w:hAnsi="Times New Roman"/>
          <w:color w:val="000000"/>
          <w:spacing w:val="4"/>
          <w:sz w:val="26"/>
          <w:szCs w:val="26"/>
        </w:rPr>
        <w:t xml:space="preserve">  </w:t>
      </w:r>
      <w:r w:rsidRPr="003853FC">
        <w:rPr>
          <w:rFonts w:ascii="Times New Roman" w:eastAsia="Times New Roman" w:hAnsi="Times New Roman"/>
          <w:color w:val="000000"/>
          <w:spacing w:val="4"/>
          <w:sz w:val="26"/>
          <w:szCs w:val="26"/>
        </w:rPr>
        <w:t xml:space="preserve">Suppliers interested in </w:t>
      </w:r>
      <w:r w:rsidR="00102D80">
        <w:rPr>
          <w:rFonts w:ascii="Times New Roman" w:eastAsia="Times New Roman" w:hAnsi="Times New Roman"/>
          <w:color w:val="000000"/>
          <w:spacing w:val="4"/>
          <w:sz w:val="26"/>
          <w:szCs w:val="26"/>
        </w:rPr>
        <w:t>informal opinions</w:t>
      </w:r>
      <w:r w:rsidRPr="003853FC">
        <w:rPr>
          <w:rFonts w:ascii="Times New Roman" w:eastAsia="Times New Roman" w:hAnsi="Times New Roman"/>
          <w:color w:val="000000"/>
          <w:spacing w:val="4"/>
          <w:sz w:val="26"/>
          <w:szCs w:val="26"/>
        </w:rPr>
        <w:t xml:space="preserve"> should contact the Bureau of Consumer Services and/or OCMO.</w:t>
      </w:r>
      <w:r w:rsidR="00EE4D45">
        <w:rPr>
          <w:rFonts w:ascii="Times New Roman" w:eastAsia="Times New Roman" w:hAnsi="Times New Roman"/>
          <w:color w:val="000000"/>
          <w:spacing w:val="4"/>
          <w:sz w:val="26"/>
          <w:szCs w:val="26"/>
        </w:rPr>
        <w:t xml:space="preserve">  However, we remind suppliers of their duty to develop and maintain expertise in these regulations in order to ensure effective compliance.  </w:t>
      </w:r>
      <w:r w:rsidR="00EE4D45">
        <w:rPr>
          <w:rFonts w:ascii="Times New Roman" w:eastAsia="Times New Roman" w:hAnsi="Times New Roman"/>
          <w:i/>
          <w:color w:val="000000"/>
          <w:spacing w:val="4"/>
          <w:sz w:val="26"/>
          <w:szCs w:val="26"/>
        </w:rPr>
        <w:t>See</w:t>
      </w:r>
      <w:r w:rsidR="00EE4D45">
        <w:rPr>
          <w:rFonts w:ascii="Times New Roman" w:eastAsia="Times New Roman" w:hAnsi="Times New Roman"/>
          <w:color w:val="000000"/>
          <w:spacing w:val="4"/>
          <w:sz w:val="26"/>
          <w:szCs w:val="26"/>
        </w:rPr>
        <w:t xml:space="preserve"> 66 Pa. C.S. § 2208.  </w:t>
      </w:r>
      <w:r w:rsidR="00102D80">
        <w:rPr>
          <w:rFonts w:ascii="Times New Roman" w:eastAsia="Times New Roman" w:hAnsi="Times New Roman"/>
          <w:color w:val="000000"/>
          <w:spacing w:val="4"/>
          <w:sz w:val="26"/>
          <w:szCs w:val="26"/>
        </w:rPr>
        <w:t xml:space="preserve">  </w:t>
      </w:r>
    </w:p>
    <w:p w:rsidR="005B46EB" w:rsidRDefault="005B46EB" w:rsidP="008807D6">
      <w:pPr>
        <w:pStyle w:val="p3"/>
        <w:tabs>
          <w:tab w:val="clear" w:pos="204"/>
        </w:tabs>
        <w:spacing w:line="360" w:lineRule="auto"/>
        <w:rPr>
          <w:rFonts w:asciiTheme="minorHAnsi" w:hAnsiTheme="minorHAnsi" w:cstheme="minorHAnsi"/>
          <w:sz w:val="26"/>
          <w:szCs w:val="26"/>
        </w:rPr>
      </w:pPr>
    </w:p>
    <w:p w:rsidR="00157ABD" w:rsidRDefault="00157ABD" w:rsidP="00157ABD">
      <w:pPr>
        <w:spacing w:line="360" w:lineRule="auto"/>
        <w:rPr>
          <w:rFonts w:ascii="Times New Roman" w:hAnsi="Times New Roman"/>
          <w:b/>
          <w:sz w:val="26"/>
          <w:szCs w:val="26"/>
        </w:rPr>
      </w:pPr>
      <w:r>
        <w:rPr>
          <w:rFonts w:ascii="Times New Roman" w:hAnsi="Times New Roman"/>
          <w:b/>
          <w:sz w:val="26"/>
          <w:szCs w:val="26"/>
        </w:rPr>
        <w:t>Miscellaneous Disclosure Proposals and Concerns</w:t>
      </w:r>
    </w:p>
    <w:p w:rsidR="00157ABD" w:rsidRDefault="00157ABD" w:rsidP="00157ABD">
      <w:pPr>
        <w:spacing w:line="360" w:lineRule="auto"/>
        <w:ind w:firstLine="720"/>
        <w:rPr>
          <w:rFonts w:ascii="Times New Roman" w:hAnsi="Times New Roman"/>
          <w:sz w:val="26"/>
          <w:szCs w:val="26"/>
        </w:rPr>
      </w:pPr>
      <w:r>
        <w:rPr>
          <w:rFonts w:ascii="Times New Roman" w:hAnsi="Times New Roman"/>
          <w:sz w:val="26"/>
          <w:szCs w:val="26"/>
        </w:rPr>
        <w:t xml:space="preserve">We invite parties to comment on any other issue of concern regarding natural gas customer disclosure information.  Here, we will raise a few other specific disclosure </w:t>
      </w:r>
      <w:r>
        <w:rPr>
          <w:rFonts w:ascii="Times New Roman" w:hAnsi="Times New Roman"/>
          <w:sz w:val="26"/>
          <w:szCs w:val="26"/>
        </w:rPr>
        <w:lastRenderedPageBreak/>
        <w:t xml:space="preserve">issues that were not necessarily addressed in the 2014 review of the electric disclosure regulations but </w:t>
      </w:r>
      <w:r w:rsidR="005B46EB">
        <w:rPr>
          <w:rFonts w:ascii="Times New Roman" w:hAnsi="Times New Roman"/>
          <w:sz w:val="26"/>
          <w:szCs w:val="26"/>
        </w:rPr>
        <w:t xml:space="preserve">that we think </w:t>
      </w:r>
      <w:r>
        <w:rPr>
          <w:rFonts w:ascii="Times New Roman" w:hAnsi="Times New Roman"/>
          <w:sz w:val="26"/>
          <w:szCs w:val="26"/>
        </w:rPr>
        <w:t xml:space="preserve">warrant review in this rulemaking proceeding.  </w:t>
      </w:r>
    </w:p>
    <w:p w:rsidR="00157ABD" w:rsidRDefault="00157ABD" w:rsidP="00157ABD">
      <w:pPr>
        <w:spacing w:line="360" w:lineRule="auto"/>
        <w:ind w:firstLine="720"/>
        <w:rPr>
          <w:rFonts w:ascii="Times New Roman" w:hAnsi="Times New Roman"/>
          <w:sz w:val="26"/>
          <w:szCs w:val="26"/>
        </w:rPr>
      </w:pPr>
    </w:p>
    <w:p w:rsidR="00157ABD" w:rsidRDefault="00157ABD" w:rsidP="00157ABD">
      <w:pPr>
        <w:spacing w:line="360" w:lineRule="auto"/>
        <w:ind w:firstLine="720"/>
        <w:rPr>
          <w:rFonts w:ascii="Times New Roman" w:hAnsi="Times New Roman"/>
          <w:sz w:val="26"/>
          <w:szCs w:val="26"/>
        </w:rPr>
      </w:pPr>
      <w:r>
        <w:rPr>
          <w:rFonts w:ascii="Times New Roman" w:hAnsi="Times New Roman"/>
          <w:sz w:val="26"/>
          <w:szCs w:val="26"/>
        </w:rPr>
        <w:t>We propose deleting the second sentence at 52 Pa. Code § 62.75(c</w:t>
      </w:r>
      <w:proofErr w:type="gramStart"/>
      <w:r>
        <w:rPr>
          <w:rFonts w:ascii="Times New Roman" w:hAnsi="Times New Roman"/>
          <w:sz w:val="26"/>
          <w:szCs w:val="26"/>
        </w:rPr>
        <w:t>)(</w:t>
      </w:r>
      <w:proofErr w:type="gramEnd"/>
      <w:r>
        <w:rPr>
          <w:rFonts w:ascii="Times New Roman" w:hAnsi="Times New Roman"/>
          <w:sz w:val="26"/>
          <w:szCs w:val="26"/>
        </w:rPr>
        <w:t>7)</w:t>
      </w:r>
      <w:r w:rsidR="00D6030D">
        <w:rPr>
          <w:rFonts w:ascii="Times New Roman" w:hAnsi="Times New Roman"/>
          <w:sz w:val="26"/>
          <w:szCs w:val="26"/>
        </w:rPr>
        <w:t xml:space="preserve">, requiring the cancellation of an agreement when a customer moves </w:t>
      </w:r>
      <w:r w:rsidRPr="00C13585">
        <w:rPr>
          <w:rFonts w:ascii="Times New Roman" w:hAnsi="Times New Roman"/>
          <w:sz w:val="26"/>
          <w:szCs w:val="26"/>
        </w:rPr>
        <w:t>from one location to another</w:t>
      </w:r>
      <w:r w:rsidR="00D6030D">
        <w:rPr>
          <w:rFonts w:ascii="Times New Roman" w:hAnsi="Times New Roman"/>
          <w:sz w:val="26"/>
          <w:szCs w:val="26"/>
        </w:rPr>
        <w:t>,</w:t>
      </w:r>
      <w:r>
        <w:rPr>
          <w:rFonts w:ascii="Times New Roman" w:hAnsi="Times New Roman"/>
          <w:sz w:val="26"/>
          <w:szCs w:val="26"/>
        </w:rPr>
        <w:t xml:space="preserve"> </w:t>
      </w:r>
      <w:r w:rsidR="003174AE">
        <w:rPr>
          <w:rFonts w:ascii="Times New Roman" w:hAnsi="Times New Roman"/>
          <w:sz w:val="26"/>
          <w:szCs w:val="26"/>
        </w:rPr>
        <w:t>so that we may</w:t>
      </w:r>
      <w:r>
        <w:rPr>
          <w:rFonts w:ascii="Times New Roman" w:hAnsi="Times New Roman"/>
          <w:sz w:val="26"/>
          <w:szCs w:val="26"/>
        </w:rPr>
        <w:t xml:space="preserve"> facilitate “seamless moves” in the gas industry.</w:t>
      </w:r>
      <w:r w:rsidR="00D6030D">
        <w:rPr>
          <w:rFonts w:ascii="Times New Roman" w:hAnsi="Times New Roman"/>
          <w:sz w:val="26"/>
          <w:szCs w:val="26"/>
        </w:rPr>
        <w:t xml:space="preserve">  </w:t>
      </w:r>
      <w:r w:rsidR="00D6030D">
        <w:rPr>
          <w:rFonts w:ascii="Times New Roman" w:hAnsi="Times New Roman"/>
          <w:i/>
          <w:sz w:val="26"/>
          <w:szCs w:val="26"/>
        </w:rPr>
        <w:t xml:space="preserve">See </w:t>
      </w:r>
      <w:r w:rsidR="00D6030D">
        <w:rPr>
          <w:rFonts w:ascii="Times New Roman" w:hAnsi="Times New Roman"/>
          <w:sz w:val="26"/>
          <w:szCs w:val="26"/>
        </w:rPr>
        <w:t>Annex A.</w:t>
      </w:r>
      <w:r>
        <w:rPr>
          <w:rFonts w:ascii="Times New Roman" w:hAnsi="Times New Roman"/>
          <w:sz w:val="26"/>
          <w:szCs w:val="26"/>
        </w:rPr>
        <w:t xml:space="preserve">  </w:t>
      </w:r>
      <w:r w:rsidR="00D6030D">
        <w:rPr>
          <w:rFonts w:ascii="Times New Roman" w:hAnsi="Times New Roman"/>
          <w:sz w:val="26"/>
          <w:szCs w:val="26"/>
        </w:rPr>
        <w:t xml:space="preserve">A </w:t>
      </w:r>
      <w:r>
        <w:rPr>
          <w:rFonts w:ascii="Times New Roman" w:hAnsi="Times New Roman"/>
          <w:sz w:val="26"/>
          <w:szCs w:val="26"/>
        </w:rPr>
        <w:t>“</w:t>
      </w:r>
      <w:r w:rsidR="00D6030D">
        <w:rPr>
          <w:rFonts w:ascii="Times New Roman" w:hAnsi="Times New Roman"/>
          <w:sz w:val="26"/>
          <w:szCs w:val="26"/>
        </w:rPr>
        <w:t>s</w:t>
      </w:r>
      <w:r>
        <w:rPr>
          <w:rFonts w:ascii="Times New Roman" w:hAnsi="Times New Roman"/>
          <w:sz w:val="26"/>
          <w:szCs w:val="26"/>
        </w:rPr>
        <w:t>eamless move” refers to a customer’s ability to transfer their supply service contract from one address to another in the same NGDC service territory.  This is currently not possible</w:t>
      </w:r>
      <w:r w:rsidR="00D6030D">
        <w:rPr>
          <w:rFonts w:ascii="Times New Roman" w:hAnsi="Times New Roman"/>
          <w:sz w:val="26"/>
          <w:szCs w:val="26"/>
        </w:rPr>
        <w:t xml:space="preserve">, as reflected in </w:t>
      </w:r>
      <w:r>
        <w:rPr>
          <w:rFonts w:ascii="Times New Roman" w:hAnsi="Times New Roman"/>
          <w:sz w:val="26"/>
          <w:szCs w:val="26"/>
        </w:rPr>
        <w:t xml:space="preserve">the current regulation </w:t>
      </w:r>
      <w:r w:rsidR="00D6030D">
        <w:rPr>
          <w:rFonts w:ascii="Times New Roman" w:hAnsi="Times New Roman"/>
          <w:sz w:val="26"/>
          <w:szCs w:val="26"/>
        </w:rPr>
        <w:t>in Section 62.75(c</w:t>
      </w:r>
      <w:proofErr w:type="gramStart"/>
      <w:r w:rsidR="00D6030D">
        <w:rPr>
          <w:rFonts w:ascii="Times New Roman" w:hAnsi="Times New Roman"/>
          <w:sz w:val="26"/>
          <w:szCs w:val="26"/>
        </w:rPr>
        <w:t>)(</w:t>
      </w:r>
      <w:proofErr w:type="gramEnd"/>
      <w:r w:rsidR="00D6030D">
        <w:rPr>
          <w:rFonts w:ascii="Times New Roman" w:hAnsi="Times New Roman"/>
          <w:sz w:val="26"/>
          <w:szCs w:val="26"/>
        </w:rPr>
        <w:t>7).</w:t>
      </w:r>
      <w:r>
        <w:rPr>
          <w:rFonts w:ascii="Times New Roman" w:hAnsi="Times New Roman"/>
          <w:sz w:val="26"/>
          <w:szCs w:val="26"/>
        </w:rPr>
        <w:t xml:space="preserve">  However, as the Commission announced in the </w:t>
      </w:r>
      <w:r w:rsidR="003174AE">
        <w:rPr>
          <w:rFonts w:ascii="Times New Roman" w:hAnsi="Times New Roman"/>
          <w:i/>
          <w:sz w:val="26"/>
          <w:szCs w:val="26"/>
        </w:rPr>
        <w:t>Gas RMI Final Order</w:t>
      </w:r>
      <w:r w:rsidR="003174AE">
        <w:rPr>
          <w:rFonts w:ascii="Times New Roman" w:hAnsi="Times New Roman"/>
          <w:sz w:val="26"/>
          <w:szCs w:val="26"/>
        </w:rPr>
        <w:t>,</w:t>
      </w:r>
      <w:r>
        <w:rPr>
          <w:rFonts w:ascii="Times New Roman" w:hAnsi="Times New Roman"/>
          <w:sz w:val="26"/>
          <w:szCs w:val="26"/>
        </w:rPr>
        <w:t xml:space="preserve"> we intend </w:t>
      </w:r>
      <w:r w:rsidR="00D6030D">
        <w:rPr>
          <w:rFonts w:ascii="Times New Roman" w:hAnsi="Times New Roman"/>
          <w:sz w:val="26"/>
          <w:szCs w:val="26"/>
        </w:rPr>
        <w:t>to</w:t>
      </w:r>
      <w:r>
        <w:rPr>
          <w:rFonts w:ascii="Times New Roman" w:hAnsi="Times New Roman"/>
          <w:sz w:val="26"/>
          <w:szCs w:val="26"/>
        </w:rPr>
        <w:t xml:space="preserve"> explor</w:t>
      </w:r>
      <w:r w:rsidR="00D6030D">
        <w:rPr>
          <w:rFonts w:ascii="Times New Roman" w:hAnsi="Times New Roman"/>
          <w:sz w:val="26"/>
          <w:szCs w:val="26"/>
        </w:rPr>
        <w:t>e</w:t>
      </w:r>
      <w:r>
        <w:rPr>
          <w:rFonts w:ascii="Times New Roman" w:hAnsi="Times New Roman"/>
          <w:sz w:val="26"/>
          <w:szCs w:val="26"/>
        </w:rPr>
        <w:t xml:space="preserve"> this issue and we do not want this regulation to possibly impede the consideration and </w:t>
      </w:r>
      <w:r w:rsidR="00D6030D">
        <w:rPr>
          <w:rFonts w:ascii="Times New Roman" w:hAnsi="Times New Roman"/>
          <w:sz w:val="26"/>
          <w:szCs w:val="26"/>
        </w:rPr>
        <w:t>i</w:t>
      </w:r>
      <w:r>
        <w:rPr>
          <w:rFonts w:ascii="Times New Roman" w:hAnsi="Times New Roman"/>
          <w:sz w:val="26"/>
          <w:szCs w:val="26"/>
        </w:rPr>
        <w:t>mplementation of seamless moves.</w:t>
      </w:r>
      <w:r w:rsidR="005B46EB">
        <w:rPr>
          <w:rFonts w:ascii="Times New Roman" w:hAnsi="Times New Roman"/>
          <w:sz w:val="26"/>
          <w:szCs w:val="26"/>
        </w:rPr>
        <w:t xml:space="preserve">  By proposing to remove this sentence, we do not prejudge the seamless moves issue; rather, we simply propose to remove a potential impediment to seamless moves if this is found to be in the public interest in a separate proceeding.</w:t>
      </w:r>
      <w:r w:rsidR="003174AE">
        <w:rPr>
          <w:rFonts w:ascii="Times New Roman" w:hAnsi="Times New Roman"/>
          <w:sz w:val="26"/>
          <w:szCs w:val="26"/>
        </w:rPr>
        <w:t xml:space="preserve">  </w:t>
      </w:r>
      <w:r w:rsidR="003174AE">
        <w:rPr>
          <w:rFonts w:ascii="Times New Roman" w:hAnsi="Times New Roman"/>
          <w:i/>
          <w:sz w:val="26"/>
          <w:szCs w:val="26"/>
        </w:rPr>
        <w:t>See Gas RMI Final Order</w:t>
      </w:r>
      <w:r w:rsidR="003174AE">
        <w:rPr>
          <w:rFonts w:ascii="Times New Roman" w:hAnsi="Times New Roman"/>
          <w:sz w:val="26"/>
          <w:szCs w:val="26"/>
        </w:rPr>
        <w:t>, Docket No. I-2013-2381742, at 22-24.</w:t>
      </w:r>
      <w:r>
        <w:rPr>
          <w:rFonts w:ascii="Times New Roman" w:hAnsi="Times New Roman"/>
          <w:sz w:val="26"/>
          <w:szCs w:val="26"/>
        </w:rPr>
        <w:t xml:space="preserve">  </w:t>
      </w:r>
    </w:p>
    <w:p w:rsidR="00157ABD" w:rsidRDefault="00157ABD" w:rsidP="00157ABD">
      <w:pPr>
        <w:spacing w:line="360" w:lineRule="auto"/>
        <w:ind w:firstLine="720"/>
        <w:rPr>
          <w:rFonts w:ascii="Times New Roman" w:hAnsi="Times New Roman"/>
          <w:sz w:val="26"/>
          <w:szCs w:val="26"/>
        </w:rPr>
      </w:pPr>
    </w:p>
    <w:p w:rsidR="00157ABD" w:rsidRDefault="00157ABD" w:rsidP="00157ABD">
      <w:pPr>
        <w:spacing w:line="360" w:lineRule="auto"/>
        <w:ind w:firstLine="720"/>
        <w:rPr>
          <w:rFonts w:ascii="Times New Roman" w:hAnsi="Times New Roman"/>
          <w:sz w:val="26"/>
          <w:szCs w:val="26"/>
        </w:rPr>
      </w:pPr>
      <w:r>
        <w:rPr>
          <w:rFonts w:ascii="Times New Roman" w:hAnsi="Times New Roman"/>
          <w:sz w:val="26"/>
          <w:szCs w:val="26"/>
        </w:rPr>
        <w:t>We also propose deleting the second sentence at 52 Pa. Code § 62.75(c</w:t>
      </w:r>
      <w:proofErr w:type="gramStart"/>
      <w:r>
        <w:rPr>
          <w:rFonts w:ascii="Times New Roman" w:hAnsi="Times New Roman"/>
          <w:sz w:val="26"/>
          <w:szCs w:val="26"/>
        </w:rPr>
        <w:t>)(</w:t>
      </w:r>
      <w:proofErr w:type="gramEnd"/>
      <w:r>
        <w:rPr>
          <w:rFonts w:ascii="Times New Roman" w:hAnsi="Times New Roman"/>
          <w:sz w:val="26"/>
          <w:szCs w:val="26"/>
        </w:rPr>
        <w:t>8) – “</w:t>
      </w:r>
      <w:r w:rsidRPr="00787F9E">
        <w:rPr>
          <w:rFonts w:ascii="Times New Roman" w:hAnsi="Times New Roman"/>
          <w:sz w:val="26"/>
          <w:szCs w:val="26"/>
        </w:rPr>
        <w:t>Automatic renewal is allowed at the same terms and conditions as long as the new agreement is month-to-month.</w:t>
      </w:r>
      <w:r>
        <w:rPr>
          <w:rFonts w:ascii="Times New Roman" w:hAnsi="Times New Roman"/>
          <w:sz w:val="26"/>
          <w:szCs w:val="26"/>
        </w:rPr>
        <w:t>”  We think this kind of directive is more appropriately included in the proposed new Section 62.81 that addresses contract expiration or change in terms notices and procedures</w:t>
      </w:r>
      <w:r w:rsidR="003174AE">
        <w:rPr>
          <w:rFonts w:ascii="Times New Roman" w:hAnsi="Times New Roman"/>
          <w:sz w:val="26"/>
          <w:szCs w:val="26"/>
        </w:rPr>
        <w:t xml:space="preserve">.  </w:t>
      </w:r>
      <w:r w:rsidR="003174AE">
        <w:rPr>
          <w:rFonts w:ascii="Times New Roman" w:hAnsi="Times New Roman"/>
          <w:i/>
          <w:sz w:val="26"/>
          <w:szCs w:val="26"/>
        </w:rPr>
        <w:t xml:space="preserve">See </w:t>
      </w:r>
      <w:r w:rsidR="003174AE">
        <w:rPr>
          <w:rFonts w:ascii="Times New Roman" w:hAnsi="Times New Roman"/>
          <w:sz w:val="26"/>
          <w:szCs w:val="26"/>
        </w:rPr>
        <w:t>Annex A.  Maintaining the language in Secti</w:t>
      </w:r>
      <w:r w:rsidR="00494824">
        <w:rPr>
          <w:rFonts w:ascii="Times New Roman" w:hAnsi="Times New Roman"/>
          <w:sz w:val="26"/>
          <w:szCs w:val="26"/>
        </w:rPr>
        <w:t>on 62.75</w:t>
      </w:r>
      <w:r w:rsidR="003174AE">
        <w:rPr>
          <w:rFonts w:ascii="Times New Roman" w:hAnsi="Times New Roman"/>
          <w:sz w:val="26"/>
          <w:szCs w:val="26"/>
        </w:rPr>
        <w:t xml:space="preserve"> co</w:t>
      </w:r>
      <w:r>
        <w:rPr>
          <w:rFonts w:ascii="Times New Roman" w:hAnsi="Times New Roman"/>
          <w:sz w:val="26"/>
          <w:szCs w:val="26"/>
        </w:rPr>
        <w:t>u</w:t>
      </w:r>
      <w:r w:rsidR="003174AE">
        <w:rPr>
          <w:rFonts w:ascii="Times New Roman" w:hAnsi="Times New Roman"/>
          <w:sz w:val="26"/>
          <w:szCs w:val="26"/>
        </w:rPr>
        <w:t>ld invite confusion and potentially</w:t>
      </w:r>
      <w:r>
        <w:rPr>
          <w:rFonts w:ascii="Times New Roman" w:hAnsi="Times New Roman"/>
          <w:sz w:val="26"/>
          <w:szCs w:val="26"/>
        </w:rPr>
        <w:t xml:space="preserve"> conflicting requirements.  </w:t>
      </w:r>
    </w:p>
    <w:p w:rsidR="00157ABD" w:rsidRDefault="00157ABD" w:rsidP="00157ABD">
      <w:pPr>
        <w:spacing w:line="360" w:lineRule="auto"/>
        <w:ind w:firstLine="720"/>
        <w:rPr>
          <w:rFonts w:ascii="Times New Roman" w:hAnsi="Times New Roman"/>
          <w:sz w:val="26"/>
          <w:szCs w:val="26"/>
        </w:rPr>
      </w:pPr>
    </w:p>
    <w:p w:rsidR="00157ABD" w:rsidRDefault="003174AE" w:rsidP="00157ABD">
      <w:pPr>
        <w:spacing w:line="360" w:lineRule="auto"/>
        <w:ind w:firstLine="720"/>
        <w:rPr>
          <w:rFonts w:ascii="Times New Roman" w:hAnsi="Times New Roman"/>
          <w:sz w:val="26"/>
          <w:szCs w:val="26"/>
        </w:rPr>
      </w:pPr>
      <w:r>
        <w:rPr>
          <w:rFonts w:ascii="Times New Roman" w:hAnsi="Times New Roman"/>
          <w:sz w:val="26"/>
          <w:szCs w:val="26"/>
        </w:rPr>
        <w:t>Sections</w:t>
      </w:r>
      <w:r w:rsidR="00157ABD">
        <w:rPr>
          <w:rFonts w:ascii="Times New Roman" w:hAnsi="Times New Roman"/>
          <w:sz w:val="26"/>
          <w:szCs w:val="26"/>
        </w:rPr>
        <w:t xml:space="preserve"> 62.75(9), 62.75(11)</w:t>
      </w:r>
      <w:r>
        <w:rPr>
          <w:rFonts w:ascii="Times New Roman" w:hAnsi="Times New Roman"/>
          <w:sz w:val="26"/>
          <w:szCs w:val="26"/>
        </w:rPr>
        <w:t>,</w:t>
      </w:r>
      <w:r w:rsidR="00157ABD">
        <w:rPr>
          <w:rFonts w:ascii="Times New Roman" w:hAnsi="Times New Roman"/>
          <w:sz w:val="26"/>
          <w:szCs w:val="26"/>
        </w:rPr>
        <w:t xml:space="preserve"> and 6</w:t>
      </w:r>
      <w:r w:rsidR="005B46EB">
        <w:rPr>
          <w:rFonts w:ascii="Times New Roman" w:hAnsi="Times New Roman"/>
          <w:sz w:val="26"/>
          <w:szCs w:val="26"/>
        </w:rPr>
        <w:t xml:space="preserve">2.75(13) all require NGS </w:t>
      </w:r>
      <w:r w:rsidR="00157ABD">
        <w:rPr>
          <w:rFonts w:ascii="Times New Roman" w:hAnsi="Times New Roman"/>
          <w:sz w:val="26"/>
          <w:szCs w:val="26"/>
        </w:rPr>
        <w:t>disclosure</w:t>
      </w:r>
      <w:r w:rsidR="005B46EB">
        <w:rPr>
          <w:rFonts w:ascii="Times New Roman" w:hAnsi="Times New Roman"/>
          <w:sz w:val="26"/>
          <w:szCs w:val="26"/>
        </w:rPr>
        <w:t>s</w:t>
      </w:r>
      <w:r>
        <w:rPr>
          <w:rFonts w:ascii="Times New Roman" w:hAnsi="Times New Roman"/>
          <w:sz w:val="26"/>
          <w:szCs w:val="26"/>
        </w:rPr>
        <w:t xml:space="preserve"> to</w:t>
      </w:r>
      <w:r w:rsidR="00157ABD">
        <w:rPr>
          <w:rFonts w:ascii="Times New Roman" w:hAnsi="Times New Roman"/>
          <w:sz w:val="26"/>
          <w:szCs w:val="26"/>
        </w:rPr>
        <w:t xml:space="preserve"> identify the NGDC and to provide contact information for the NGDC. </w:t>
      </w:r>
      <w:r>
        <w:rPr>
          <w:rFonts w:ascii="Times New Roman" w:hAnsi="Times New Roman"/>
          <w:sz w:val="26"/>
          <w:szCs w:val="26"/>
        </w:rPr>
        <w:t xml:space="preserve"> </w:t>
      </w:r>
      <w:r w:rsidR="00157ABD">
        <w:rPr>
          <w:rFonts w:ascii="Times New Roman" w:hAnsi="Times New Roman"/>
          <w:sz w:val="26"/>
          <w:szCs w:val="26"/>
        </w:rPr>
        <w:t xml:space="preserve">There may have been a sensible rationale for these requirements </w:t>
      </w:r>
      <w:r>
        <w:rPr>
          <w:rFonts w:ascii="Times New Roman" w:hAnsi="Times New Roman"/>
          <w:sz w:val="26"/>
          <w:szCs w:val="26"/>
        </w:rPr>
        <w:t xml:space="preserve">14 years ago </w:t>
      </w:r>
      <w:r w:rsidR="00157ABD">
        <w:rPr>
          <w:rFonts w:ascii="Times New Roman" w:hAnsi="Times New Roman"/>
          <w:sz w:val="26"/>
          <w:szCs w:val="26"/>
        </w:rPr>
        <w:t>when these regulations were first promulgated.  At that time, the NGDCs had robust consumer education programs and were expected to play a key role in informing consumers about the c</w:t>
      </w:r>
      <w:r>
        <w:rPr>
          <w:rFonts w:ascii="Times New Roman" w:hAnsi="Times New Roman"/>
          <w:sz w:val="26"/>
          <w:szCs w:val="26"/>
        </w:rPr>
        <w:t xml:space="preserve">ompetitive market.  However, now we believe it may be unnecessary </w:t>
      </w:r>
      <w:r w:rsidR="00157ABD">
        <w:rPr>
          <w:rFonts w:ascii="Times New Roman" w:hAnsi="Times New Roman"/>
          <w:sz w:val="26"/>
          <w:szCs w:val="26"/>
        </w:rPr>
        <w:t xml:space="preserve">to require </w:t>
      </w:r>
      <w:r>
        <w:rPr>
          <w:rFonts w:ascii="Times New Roman" w:hAnsi="Times New Roman"/>
          <w:sz w:val="26"/>
          <w:szCs w:val="26"/>
        </w:rPr>
        <w:t xml:space="preserve">a prominent display </w:t>
      </w:r>
      <w:r>
        <w:rPr>
          <w:rFonts w:ascii="Times New Roman" w:hAnsi="Times New Roman"/>
          <w:sz w:val="26"/>
          <w:szCs w:val="26"/>
        </w:rPr>
        <w:lastRenderedPageBreak/>
        <w:t xml:space="preserve">of </w:t>
      </w:r>
      <w:r w:rsidR="00157ABD">
        <w:rPr>
          <w:rFonts w:ascii="Times New Roman" w:hAnsi="Times New Roman"/>
          <w:sz w:val="26"/>
          <w:szCs w:val="26"/>
        </w:rPr>
        <w:t xml:space="preserve">NGDC information </w:t>
      </w:r>
      <w:r>
        <w:rPr>
          <w:rFonts w:ascii="Times New Roman" w:hAnsi="Times New Roman"/>
          <w:sz w:val="26"/>
          <w:szCs w:val="26"/>
        </w:rPr>
        <w:t>on</w:t>
      </w:r>
      <w:r w:rsidR="00157ABD">
        <w:rPr>
          <w:rFonts w:ascii="Times New Roman" w:hAnsi="Times New Roman"/>
          <w:sz w:val="26"/>
          <w:szCs w:val="26"/>
        </w:rPr>
        <w:t xml:space="preserve"> NGS documents</w:t>
      </w:r>
      <w:r>
        <w:rPr>
          <w:rFonts w:ascii="Times New Roman" w:hAnsi="Times New Roman"/>
          <w:sz w:val="26"/>
          <w:szCs w:val="26"/>
        </w:rPr>
        <w:t>, as this may</w:t>
      </w:r>
      <w:r w:rsidR="00157ABD">
        <w:rPr>
          <w:rFonts w:ascii="Times New Roman" w:hAnsi="Times New Roman"/>
          <w:sz w:val="26"/>
          <w:szCs w:val="26"/>
        </w:rPr>
        <w:t xml:space="preserve"> invite customer confusion and even risk</w:t>
      </w:r>
      <w:r w:rsidR="002A6705">
        <w:rPr>
          <w:rFonts w:ascii="Times New Roman" w:hAnsi="Times New Roman"/>
          <w:sz w:val="26"/>
          <w:szCs w:val="26"/>
        </w:rPr>
        <w:t>,</w:t>
      </w:r>
      <w:r w:rsidR="00157ABD">
        <w:rPr>
          <w:rFonts w:ascii="Times New Roman" w:hAnsi="Times New Roman"/>
          <w:sz w:val="26"/>
          <w:szCs w:val="26"/>
        </w:rPr>
        <w:t xml:space="preserve"> creating the false impression that the NGS is “affiliated with” or “partnering with” the NGDC.  We </w:t>
      </w:r>
      <w:r>
        <w:rPr>
          <w:rFonts w:ascii="Times New Roman" w:hAnsi="Times New Roman"/>
          <w:sz w:val="26"/>
          <w:szCs w:val="26"/>
        </w:rPr>
        <w:t>continue our efforts over the</w:t>
      </w:r>
      <w:r w:rsidR="00157ABD">
        <w:rPr>
          <w:rFonts w:ascii="Times New Roman" w:hAnsi="Times New Roman"/>
          <w:sz w:val="26"/>
          <w:szCs w:val="26"/>
        </w:rPr>
        <w:t xml:space="preserve"> years to make clear to customers the distinction between a “utility” and a “supplier” </w:t>
      </w:r>
      <w:r>
        <w:rPr>
          <w:rFonts w:ascii="Times New Roman" w:hAnsi="Times New Roman"/>
          <w:sz w:val="26"/>
          <w:szCs w:val="26"/>
        </w:rPr>
        <w:t xml:space="preserve">as </w:t>
      </w:r>
      <w:r w:rsidR="00157ABD">
        <w:rPr>
          <w:rFonts w:ascii="Times New Roman" w:hAnsi="Times New Roman"/>
          <w:sz w:val="26"/>
          <w:szCs w:val="26"/>
        </w:rPr>
        <w:t xml:space="preserve">separate entities.  </w:t>
      </w:r>
      <w:r>
        <w:rPr>
          <w:rFonts w:ascii="Times New Roman" w:hAnsi="Times New Roman"/>
          <w:sz w:val="26"/>
          <w:szCs w:val="26"/>
        </w:rPr>
        <w:t>A</w:t>
      </w:r>
      <w:r w:rsidR="00157ABD">
        <w:rPr>
          <w:rFonts w:ascii="Times New Roman" w:hAnsi="Times New Roman"/>
          <w:sz w:val="26"/>
          <w:szCs w:val="26"/>
        </w:rPr>
        <w:t>s discussed extensively by many parties during the promulgation of our supplier marketing regulations, misrepresentation and customer confusion betwe</w:t>
      </w:r>
      <w:r>
        <w:rPr>
          <w:rFonts w:ascii="Times New Roman" w:hAnsi="Times New Roman"/>
          <w:sz w:val="26"/>
          <w:szCs w:val="26"/>
        </w:rPr>
        <w:t xml:space="preserve">en suppliers and utilities is an ongoing </w:t>
      </w:r>
      <w:r w:rsidR="00157ABD">
        <w:rPr>
          <w:rFonts w:ascii="Times New Roman" w:hAnsi="Times New Roman"/>
          <w:sz w:val="26"/>
          <w:szCs w:val="26"/>
        </w:rPr>
        <w:t>concern.</w:t>
      </w:r>
      <w:r w:rsidR="00157ABD">
        <w:rPr>
          <w:rStyle w:val="FootnoteReference"/>
          <w:rFonts w:ascii="Times New Roman" w:hAnsi="Times New Roman"/>
          <w:sz w:val="26"/>
          <w:szCs w:val="26"/>
        </w:rPr>
        <w:footnoteReference w:id="8"/>
      </w:r>
      <w:r w:rsidR="00157ABD">
        <w:rPr>
          <w:rFonts w:ascii="Times New Roman" w:hAnsi="Times New Roman"/>
          <w:sz w:val="26"/>
          <w:szCs w:val="26"/>
        </w:rPr>
        <w:t xml:space="preserve">  Yet our regulations require the NGS to place the utility name and contact information throughout the NGS’s documents</w:t>
      </w:r>
      <w:r w:rsidR="00A81273">
        <w:rPr>
          <w:rFonts w:ascii="Times New Roman" w:hAnsi="Times New Roman"/>
          <w:sz w:val="26"/>
          <w:szCs w:val="26"/>
        </w:rPr>
        <w:t>, which in part likely yields</w:t>
      </w:r>
      <w:r w:rsidR="00157ABD">
        <w:rPr>
          <w:rFonts w:ascii="Times New Roman" w:hAnsi="Times New Roman"/>
          <w:sz w:val="26"/>
          <w:szCs w:val="26"/>
        </w:rPr>
        <w:t xml:space="preserve"> complaints from customers </w:t>
      </w:r>
      <w:r w:rsidR="00A81273">
        <w:rPr>
          <w:rFonts w:ascii="Times New Roman" w:hAnsi="Times New Roman"/>
          <w:sz w:val="26"/>
          <w:szCs w:val="26"/>
        </w:rPr>
        <w:t xml:space="preserve">believing </w:t>
      </w:r>
      <w:r w:rsidR="00157ABD">
        <w:rPr>
          <w:rFonts w:ascii="Times New Roman" w:hAnsi="Times New Roman"/>
          <w:sz w:val="26"/>
          <w:szCs w:val="26"/>
        </w:rPr>
        <w:t>they have been “misled” or are the victim of “misrepresentation</w:t>
      </w:r>
      <w:r w:rsidR="00A81273">
        <w:rPr>
          <w:rFonts w:ascii="Times New Roman" w:hAnsi="Times New Roman"/>
          <w:sz w:val="26"/>
          <w:szCs w:val="26"/>
        </w:rPr>
        <w:t>.</w:t>
      </w:r>
      <w:r w:rsidR="00157ABD">
        <w:rPr>
          <w:rFonts w:ascii="Times New Roman" w:hAnsi="Times New Roman"/>
          <w:sz w:val="26"/>
          <w:szCs w:val="26"/>
        </w:rPr>
        <w:t>”</w:t>
      </w:r>
      <w:r w:rsidR="003266ED">
        <w:rPr>
          <w:rFonts w:ascii="Times New Roman" w:hAnsi="Times New Roman"/>
          <w:sz w:val="26"/>
          <w:szCs w:val="26"/>
        </w:rPr>
        <w:t xml:space="preserve">  We propose removing these references</w:t>
      </w:r>
      <w:r w:rsidR="00EA55AF">
        <w:rPr>
          <w:rFonts w:ascii="Times New Roman" w:hAnsi="Times New Roman"/>
          <w:sz w:val="26"/>
          <w:szCs w:val="26"/>
        </w:rPr>
        <w:t xml:space="preserve"> in Sections 62.75(9), 62.75(11), and 62.75(13)</w:t>
      </w:r>
      <w:r w:rsidR="003266ED">
        <w:rPr>
          <w:rFonts w:ascii="Times New Roman" w:hAnsi="Times New Roman"/>
          <w:sz w:val="26"/>
          <w:szCs w:val="26"/>
        </w:rPr>
        <w:t xml:space="preserve">.  </w:t>
      </w:r>
      <w:r w:rsidR="003266ED">
        <w:rPr>
          <w:rFonts w:ascii="Times New Roman" w:hAnsi="Times New Roman"/>
          <w:i/>
          <w:sz w:val="26"/>
          <w:szCs w:val="26"/>
        </w:rPr>
        <w:t>See</w:t>
      </w:r>
      <w:r w:rsidR="003266ED">
        <w:rPr>
          <w:rFonts w:ascii="Times New Roman" w:hAnsi="Times New Roman"/>
          <w:sz w:val="26"/>
          <w:szCs w:val="26"/>
        </w:rPr>
        <w:t xml:space="preserve"> Annex A.  </w:t>
      </w:r>
      <w:r w:rsidR="00157ABD">
        <w:rPr>
          <w:rFonts w:ascii="Times New Roman" w:hAnsi="Times New Roman"/>
          <w:sz w:val="26"/>
          <w:szCs w:val="26"/>
        </w:rPr>
        <w:t xml:space="preserve">  </w:t>
      </w:r>
    </w:p>
    <w:p w:rsidR="009E4D70" w:rsidRDefault="009E4D70" w:rsidP="009E4D70">
      <w:pPr>
        <w:pStyle w:val="PlainText"/>
        <w:spacing w:line="360" w:lineRule="auto"/>
        <w:ind w:firstLine="720"/>
        <w:rPr>
          <w:rFonts w:asciiTheme="minorHAnsi" w:hAnsiTheme="minorHAnsi" w:cstheme="minorHAnsi"/>
          <w:sz w:val="26"/>
          <w:szCs w:val="26"/>
        </w:rPr>
      </w:pPr>
    </w:p>
    <w:p w:rsidR="009E4D70" w:rsidRPr="008C3A56" w:rsidRDefault="009E4D70" w:rsidP="009E4D70">
      <w:pPr>
        <w:pStyle w:val="PlainText"/>
        <w:spacing w:line="360" w:lineRule="auto"/>
        <w:ind w:firstLine="720"/>
        <w:rPr>
          <w:rFonts w:asciiTheme="minorHAnsi" w:hAnsiTheme="minorHAnsi" w:cstheme="minorHAnsi"/>
          <w:sz w:val="26"/>
          <w:szCs w:val="26"/>
        </w:rPr>
      </w:pPr>
      <w:r w:rsidRPr="008C3A56">
        <w:rPr>
          <w:rFonts w:asciiTheme="minorHAnsi" w:hAnsiTheme="minorHAnsi" w:cstheme="minorHAnsi"/>
          <w:sz w:val="26"/>
          <w:szCs w:val="26"/>
        </w:rPr>
        <w:t xml:space="preserve">To </w:t>
      </w:r>
      <w:r>
        <w:rPr>
          <w:rFonts w:asciiTheme="minorHAnsi" w:hAnsiTheme="minorHAnsi" w:cstheme="minorHAnsi"/>
          <w:sz w:val="26"/>
          <w:szCs w:val="26"/>
        </w:rPr>
        <w:t>alleviate</w:t>
      </w:r>
      <w:r w:rsidRPr="008C3A56">
        <w:rPr>
          <w:rFonts w:asciiTheme="minorHAnsi" w:hAnsiTheme="minorHAnsi" w:cstheme="minorHAnsi"/>
          <w:sz w:val="26"/>
          <w:szCs w:val="26"/>
        </w:rPr>
        <w:t xml:space="preserve"> po</w:t>
      </w:r>
      <w:r>
        <w:rPr>
          <w:rFonts w:asciiTheme="minorHAnsi" w:hAnsiTheme="minorHAnsi" w:cstheme="minorHAnsi"/>
          <w:sz w:val="26"/>
          <w:szCs w:val="26"/>
        </w:rPr>
        <w:t>tential</w:t>
      </w:r>
      <w:r w:rsidRPr="008C3A56">
        <w:rPr>
          <w:rFonts w:asciiTheme="minorHAnsi" w:hAnsiTheme="minorHAnsi" w:cstheme="minorHAnsi"/>
          <w:sz w:val="26"/>
          <w:szCs w:val="26"/>
        </w:rPr>
        <w:t xml:space="preserve"> customer confusion and to provide an information resource to customers, we propose revising Section 62.75(c</w:t>
      </w:r>
      <w:proofErr w:type="gramStart"/>
      <w:r w:rsidRPr="008C3A56">
        <w:rPr>
          <w:rFonts w:asciiTheme="minorHAnsi" w:hAnsiTheme="minorHAnsi" w:cstheme="minorHAnsi"/>
          <w:sz w:val="26"/>
          <w:szCs w:val="26"/>
        </w:rPr>
        <w:t>)(</w:t>
      </w:r>
      <w:proofErr w:type="gramEnd"/>
      <w:r w:rsidRPr="008C3A56">
        <w:rPr>
          <w:rFonts w:asciiTheme="minorHAnsi" w:hAnsiTheme="minorHAnsi" w:cstheme="minorHAnsi"/>
          <w:sz w:val="26"/>
          <w:szCs w:val="26"/>
        </w:rPr>
        <w:t xml:space="preserve">12) by referring customers to the Commission's natural gas shopping website, PaGasSwitch.com.  </w:t>
      </w:r>
      <w:r>
        <w:rPr>
          <w:rFonts w:asciiTheme="minorHAnsi" w:hAnsiTheme="minorHAnsi" w:cstheme="minorHAnsi"/>
          <w:sz w:val="26"/>
          <w:szCs w:val="26"/>
        </w:rPr>
        <w:t>Since</w:t>
      </w:r>
      <w:r w:rsidRPr="008C3A56">
        <w:rPr>
          <w:rFonts w:asciiTheme="minorHAnsi" w:hAnsiTheme="minorHAnsi" w:cstheme="minorHAnsi"/>
          <w:sz w:val="26"/>
          <w:szCs w:val="26"/>
        </w:rPr>
        <w:t xml:space="preserve"> the Commission </w:t>
      </w:r>
      <w:r>
        <w:rPr>
          <w:rFonts w:asciiTheme="minorHAnsi" w:hAnsiTheme="minorHAnsi" w:cstheme="minorHAnsi"/>
          <w:sz w:val="26"/>
          <w:szCs w:val="26"/>
        </w:rPr>
        <w:t xml:space="preserve">now </w:t>
      </w:r>
      <w:r w:rsidRPr="008C3A56">
        <w:rPr>
          <w:rFonts w:asciiTheme="minorHAnsi" w:hAnsiTheme="minorHAnsi" w:cstheme="minorHAnsi"/>
          <w:sz w:val="26"/>
          <w:szCs w:val="26"/>
        </w:rPr>
        <w:t>has a natural gas shopping website, we think referring customers to this website is more effective than directing customer</w:t>
      </w:r>
      <w:r>
        <w:rPr>
          <w:rFonts w:asciiTheme="minorHAnsi" w:hAnsiTheme="minorHAnsi" w:cstheme="minorHAnsi"/>
          <w:sz w:val="26"/>
          <w:szCs w:val="26"/>
        </w:rPr>
        <w:t>s</w:t>
      </w:r>
      <w:r w:rsidRPr="008C3A56">
        <w:rPr>
          <w:rFonts w:asciiTheme="minorHAnsi" w:hAnsiTheme="minorHAnsi" w:cstheme="minorHAnsi"/>
          <w:sz w:val="26"/>
          <w:szCs w:val="26"/>
        </w:rPr>
        <w:t xml:space="preserve"> to call the Commission.</w:t>
      </w:r>
      <w:r>
        <w:rPr>
          <w:rFonts w:asciiTheme="minorHAnsi" w:hAnsiTheme="minorHAnsi" w:cstheme="minorHAnsi"/>
          <w:sz w:val="26"/>
          <w:szCs w:val="26"/>
        </w:rPr>
        <w:t xml:space="preserve">  </w:t>
      </w:r>
      <w:r w:rsidR="00952405">
        <w:rPr>
          <w:rFonts w:asciiTheme="minorHAnsi" w:hAnsiTheme="minorHAnsi" w:cstheme="minorHAnsi"/>
          <w:sz w:val="26"/>
          <w:szCs w:val="26"/>
        </w:rPr>
        <w:t xml:space="preserve">We invite comment as to whether this is appropriate and sufficient for all customers.  </w:t>
      </w:r>
      <w:r>
        <w:rPr>
          <w:rFonts w:asciiTheme="minorHAnsi" w:hAnsiTheme="minorHAnsi" w:cstheme="minorHAnsi"/>
          <w:i/>
          <w:sz w:val="26"/>
          <w:szCs w:val="26"/>
        </w:rPr>
        <w:t>See</w:t>
      </w:r>
      <w:r>
        <w:rPr>
          <w:rFonts w:asciiTheme="minorHAnsi" w:hAnsiTheme="minorHAnsi" w:cstheme="minorHAnsi"/>
          <w:sz w:val="26"/>
          <w:szCs w:val="26"/>
        </w:rPr>
        <w:t xml:space="preserve"> Annex A.  </w:t>
      </w:r>
      <w:r w:rsidRPr="008C3A56">
        <w:rPr>
          <w:rFonts w:asciiTheme="minorHAnsi" w:hAnsiTheme="minorHAnsi" w:cstheme="minorHAnsi"/>
          <w:sz w:val="26"/>
          <w:szCs w:val="26"/>
        </w:rPr>
        <w:t>     </w:t>
      </w:r>
    </w:p>
    <w:p w:rsidR="00157ABD" w:rsidRDefault="00157ABD" w:rsidP="00157ABD">
      <w:pPr>
        <w:spacing w:line="360" w:lineRule="auto"/>
        <w:ind w:firstLine="720"/>
        <w:rPr>
          <w:rFonts w:ascii="Times New Roman" w:hAnsi="Times New Roman"/>
          <w:sz w:val="26"/>
          <w:szCs w:val="26"/>
        </w:rPr>
      </w:pPr>
    </w:p>
    <w:p w:rsidR="00157ABD" w:rsidRDefault="00A81273" w:rsidP="00157ABD">
      <w:pPr>
        <w:spacing w:line="360" w:lineRule="auto"/>
        <w:ind w:firstLine="720"/>
        <w:rPr>
          <w:rFonts w:ascii="Times New Roman" w:hAnsi="Times New Roman"/>
          <w:sz w:val="26"/>
          <w:szCs w:val="26"/>
        </w:rPr>
      </w:pPr>
      <w:r>
        <w:rPr>
          <w:rFonts w:ascii="Times New Roman" w:hAnsi="Times New Roman"/>
          <w:sz w:val="26"/>
          <w:szCs w:val="26"/>
        </w:rPr>
        <w:t xml:space="preserve">We </w:t>
      </w:r>
      <w:r w:rsidR="00157ABD">
        <w:rPr>
          <w:rFonts w:ascii="Times New Roman" w:hAnsi="Times New Roman"/>
          <w:sz w:val="26"/>
          <w:szCs w:val="26"/>
        </w:rPr>
        <w:t>also propos</w:t>
      </w:r>
      <w:r>
        <w:rPr>
          <w:rFonts w:ascii="Times New Roman" w:hAnsi="Times New Roman"/>
          <w:sz w:val="26"/>
          <w:szCs w:val="26"/>
        </w:rPr>
        <w:t>e</w:t>
      </w:r>
      <w:r w:rsidR="00157ABD">
        <w:rPr>
          <w:rFonts w:ascii="Times New Roman" w:hAnsi="Times New Roman"/>
          <w:sz w:val="26"/>
          <w:szCs w:val="26"/>
        </w:rPr>
        <w:t xml:space="preserve"> adding a requirement that if the customer’s contract is assignable, the supplier has to disclose this.</w:t>
      </w:r>
      <w:r w:rsidR="00494824">
        <w:rPr>
          <w:rFonts w:ascii="Times New Roman" w:hAnsi="Times New Roman"/>
          <w:sz w:val="26"/>
          <w:szCs w:val="26"/>
        </w:rPr>
        <w:t xml:space="preserve">  </w:t>
      </w:r>
      <w:r w:rsidR="00494824">
        <w:rPr>
          <w:rFonts w:ascii="Times New Roman" w:hAnsi="Times New Roman"/>
          <w:i/>
          <w:sz w:val="26"/>
          <w:szCs w:val="26"/>
        </w:rPr>
        <w:t>See</w:t>
      </w:r>
      <w:r w:rsidR="00494824">
        <w:rPr>
          <w:rFonts w:ascii="Times New Roman" w:hAnsi="Times New Roman"/>
          <w:sz w:val="26"/>
          <w:szCs w:val="26"/>
        </w:rPr>
        <w:t xml:space="preserve"> Annex A, Section 62.75(j).</w:t>
      </w:r>
      <w:r w:rsidR="00157ABD">
        <w:rPr>
          <w:rFonts w:ascii="Times New Roman" w:hAnsi="Times New Roman"/>
          <w:sz w:val="26"/>
          <w:szCs w:val="26"/>
        </w:rPr>
        <w:t xml:space="preserve">  The assignment of contracts from one supplier to another, while not common, does occur frequently enough to be a source of some customer confusion.  This requirement is also consistent with the guidance provided by a Commission order addressing assignment in the electric industry.</w:t>
      </w:r>
      <w:r w:rsidR="00157ABD">
        <w:rPr>
          <w:rStyle w:val="FootnoteReference"/>
          <w:rFonts w:ascii="Times New Roman" w:hAnsi="Times New Roman"/>
          <w:sz w:val="26"/>
          <w:szCs w:val="26"/>
        </w:rPr>
        <w:footnoteReference w:id="9"/>
      </w:r>
      <w:r w:rsidR="00157ABD">
        <w:rPr>
          <w:rFonts w:ascii="Times New Roman" w:hAnsi="Times New Roman"/>
          <w:sz w:val="26"/>
          <w:szCs w:val="26"/>
        </w:rPr>
        <w:t xml:space="preserve">  In these guidelines, the Commission specified that “Any assignment clause </w:t>
      </w:r>
      <w:r w:rsidR="00157ABD">
        <w:rPr>
          <w:rFonts w:ascii="Times New Roman" w:hAnsi="Times New Roman"/>
          <w:sz w:val="26"/>
          <w:szCs w:val="26"/>
        </w:rPr>
        <w:lastRenderedPageBreak/>
        <w:t>used in a supplier contract must be written in plain language, be prominently printed and explained fully in ‘terms of service and disclosure</w:t>
      </w:r>
      <w:r w:rsidR="002A0094">
        <w:rPr>
          <w:rFonts w:ascii="Times New Roman" w:hAnsi="Times New Roman"/>
          <w:sz w:val="26"/>
          <w:szCs w:val="26"/>
        </w:rPr>
        <w:t>.</w:t>
      </w:r>
      <w:r w:rsidR="00157ABD">
        <w:rPr>
          <w:rFonts w:ascii="Times New Roman" w:hAnsi="Times New Roman"/>
          <w:sz w:val="26"/>
          <w:szCs w:val="26"/>
        </w:rPr>
        <w:t>’”</w:t>
      </w:r>
      <w:r>
        <w:rPr>
          <w:rStyle w:val="FootnoteReference"/>
          <w:rFonts w:ascii="Times New Roman" w:hAnsi="Times New Roman"/>
          <w:sz w:val="26"/>
          <w:szCs w:val="26"/>
        </w:rPr>
        <w:footnoteReference w:id="10"/>
      </w:r>
      <w:r>
        <w:rPr>
          <w:rFonts w:ascii="Times New Roman" w:hAnsi="Times New Roman"/>
          <w:sz w:val="26"/>
          <w:szCs w:val="26"/>
        </w:rPr>
        <w:t xml:space="preserve">  We invite comments on this issue.  </w:t>
      </w:r>
    </w:p>
    <w:p w:rsidR="00157ABD" w:rsidRPr="00C13585" w:rsidRDefault="00157ABD" w:rsidP="00157ABD">
      <w:pPr>
        <w:spacing w:line="360" w:lineRule="auto"/>
        <w:rPr>
          <w:rFonts w:ascii="Times New Roman" w:hAnsi="Times New Roman"/>
          <w:sz w:val="26"/>
          <w:szCs w:val="26"/>
        </w:rPr>
      </w:pPr>
    </w:p>
    <w:p w:rsidR="00321041" w:rsidRDefault="00321041" w:rsidP="00977124">
      <w:pPr>
        <w:spacing w:line="360" w:lineRule="auto"/>
        <w:rPr>
          <w:rFonts w:cstheme="minorHAnsi"/>
          <w:b/>
          <w:sz w:val="26"/>
          <w:szCs w:val="26"/>
        </w:rPr>
      </w:pPr>
    </w:p>
    <w:p w:rsidR="00E91F49" w:rsidRDefault="00E91F49" w:rsidP="004F09AA">
      <w:pPr>
        <w:spacing w:line="360" w:lineRule="auto"/>
        <w:rPr>
          <w:rFonts w:cstheme="minorHAnsi"/>
          <w:b/>
          <w:sz w:val="26"/>
          <w:szCs w:val="26"/>
        </w:rPr>
      </w:pPr>
      <w:r w:rsidRPr="006E5A86">
        <w:rPr>
          <w:rFonts w:cstheme="minorHAnsi"/>
          <w:b/>
          <w:sz w:val="26"/>
          <w:szCs w:val="26"/>
        </w:rPr>
        <w:t>CONCLUSION</w:t>
      </w:r>
    </w:p>
    <w:p w:rsidR="004F09AA" w:rsidRDefault="00E91F49" w:rsidP="00D25BD4">
      <w:pPr>
        <w:spacing w:line="360" w:lineRule="auto"/>
        <w:rPr>
          <w:rFonts w:eastAsia="Times New Roman" w:cstheme="minorHAnsi"/>
          <w:bCs/>
          <w:sz w:val="26"/>
          <w:szCs w:val="26"/>
        </w:rPr>
      </w:pPr>
      <w:r w:rsidRPr="006E5A86">
        <w:rPr>
          <w:rFonts w:cstheme="minorHAnsi"/>
          <w:b/>
          <w:sz w:val="26"/>
          <w:szCs w:val="26"/>
        </w:rPr>
        <w:tab/>
      </w:r>
      <w:r w:rsidR="004F09AA">
        <w:rPr>
          <w:rFonts w:cstheme="minorHAnsi"/>
          <w:sz w:val="26"/>
          <w:szCs w:val="26"/>
        </w:rPr>
        <w:t>As in our 2014 revisions and regulatory reforms in the electric industry, the Commission proposes regulations at 52 Pa. Code §§ 62.72, 62.75, and 62.81</w:t>
      </w:r>
      <w:r w:rsidR="00B5213D">
        <w:rPr>
          <w:rFonts w:cstheme="minorHAnsi"/>
          <w:sz w:val="26"/>
          <w:szCs w:val="26"/>
        </w:rPr>
        <w:t xml:space="preserve"> </w:t>
      </w:r>
      <w:r w:rsidR="004F09AA">
        <w:rPr>
          <w:rFonts w:cstheme="minorHAnsi"/>
          <w:sz w:val="26"/>
          <w:szCs w:val="26"/>
        </w:rPr>
        <w:t xml:space="preserve">regarding customer disclosure information in the natural gas supply market in order to </w:t>
      </w:r>
      <w:r w:rsidR="004F09AA">
        <w:rPr>
          <w:rFonts w:eastAsia="Times New Roman" w:cstheme="minorHAnsi"/>
          <w:bCs/>
          <w:sz w:val="26"/>
          <w:szCs w:val="26"/>
        </w:rPr>
        <w:t>protect consumers and better</w:t>
      </w:r>
      <w:r w:rsidR="00284E3D" w:rsidRPr="004F09AA">
        <w:rPr>
          <w:rFonts w:eastAsia="Times New Roman" w:cstheme="minorHAnsi"/>
          <w:bCs/>
          <w:sz w:val="26"/>
          <w:szCs w:val="26"/>
        </w:rPr>
        <w:t xml:space="preserve"> </w:t>
      </w:r>
      <w:r w:rsidR="00A93480" w:rsidRPr="004F09AA">
        <w:rPr>
          <w:rFonts w:eastAsia="Times New Roman" w:cstheme="minorHAnsi"/>
          <w:bCs/>
          <w:sz w:val="26"/>
          <w:szCs w:val="26"/>
        </w:rPr>
        <w:t>inform</w:t>
      </w:r>
      <w:r w:rsidRPr="004F09AA">
        <w:rPr>
          <w:rFonts w:eastAsia="Times New Roman" w:cstheme="minorHAnsi"/>
          <w:bCs/>
          <w:sz w:val="26"/>
          <w:szCs w:val="26"/>
        </w:rPr>
        <w:t xml:space="preserve"> customers about the scope and limits of rate variability, the terms and conditions of an </w:t>
      </w:r>
      <w:r w:rsidR="004F09AA" w:rsidRPr="004F09AA">
        <w:rPr>
          <w:rFonts w:eastAsia="Times New Roman" w:cstheme="minorHAnsi"/>
          <w:bCs/>
          <w:sz w:val="26"/>
          <w:szCs w:val="26"/>
        </w:rPr>
        <w:t>NGS</w:t>
      </w:r>
      <w:r w:rsidRPr="004F09AA">
        <w:rPr>
          <w:rFonts w:eastAsia="Times New Roman" w:cstheme="minorHAnsi"/>
          <w:bCs/>
          <w:sz w:val="26"/>
          <w:szCs w:val="26"/>
        </w:rPr>
        <w:t xml:space="preserve"> contract</w:t>
      </w:r>
      <w:r w:rsidR="00A93480" w:rsidRPr="004F09AA">
        <w:rPr>
          <w:rFonts w:eastAsia="Times New Roman" w:cstheme="minorHAnsi"/>
          <w:bCs/>
          <w:sz w:val="26"/>
          <w:szCs w:val="26"/>
        </w:rPr>
        <w:t>,</w:t>
      </w:r>
      <w:r w:rsidR="0041560C" w:rsidRPr="004F09AA">
        <w:rPr>
          <w:rFonts w:eastAsia="Times New Roman" w:cstheme="minorHAnsi"/>
          <w:bCs/>
          <w:sz w:val="26"/>
          <w:szCs w:val="26"/>
        </w:rPr>
        <w:t xml:space="preserve"> and </w:t>
      </w:r>
      <w:r w:rsidRPr="004F09AA">
        <w:rPr>
          <w:rFonts w:eastAsia="Times New Roman" w:cstheme="minorHAnsi"/>
          <w:bCs/>
          <w:sz w:val="26"/>
          <w:szCs w:val="26"/>
        </w:rPr>
        <w:t xml:space="preserve">a customer’s options prior to and after the expiration of their current </w:t>
      </w:r>
      <w:r w:rsidR="00186E3D" w:rsidRPr="004F09AA">
        <w:rPr>
          <w:rFonts w:eastAsia="Times New Roman" w:cstheme="minorHAnsi"/>
          <w:bCs/>
          <w:sz w:val="26"/>
          <w:szCs w:val="26"/>
        </w:rPr>
        <w:t xml:space="preserve">contract </w:t>
      </w:r>
      <w:r w:rsidRPr="004F09AA">
        <w:rPr>
          <w:rFonts w:eastAsia="Times New Roman" w:cstheme="minorHAnsi"/>
          <w:bCs/>
          <w:sz w:val="26"/>
          <w:szCs w:val="26"/>
        </w:rPr>
        <w:t xml:space="preserve">for </w:t>
      </w:r>
      <w:r w:rsidR="004F09AA" w:rsidRPr="004F09AA">
        <w:rPr>
          <w:rFonts w:eastAsia="Times New Roman" w:cstheme="minorHAnsi"/>
          <w:bCs/>
          <w:sz w:val="26"/>
          <w:szCs w:val="26"/>
        </w:rPr>
        <w:t>gas</w:t>
      </w:r>
      <w:r w:rsidRPr="004F09AA">
        <w:rPr>
          <w:rFonts w:eastAsia="Times New Roman" w:cstheme="minorHAnsi"/>
          <w:bCs/>
          <w:sz w:val="26"/>
          <w:szCs w:val="26"/>
        </w:rPr>
        <w:t xml:space="preserve"> supply.  The </w:t>
      </w:r>
      <w:r w:rsidR="004F09AA">
        <w:rPr>
          <w:rFonts w:eastAsia="Times New Roman" w:cstheme="minorHAnsi"/>
          <w:bCs/>
          <w:sz w:val="26"/>
          <w:szCs w:val="26"/>
        </w:rPr>
        <w:t xml:space="preserve">proposed </w:t>
      </w:r>
      <w:r w:rsidR="009423B8" w:rsidRPr="004F09AA">
        <w:rPr>
          <w:rFonts w:eastAsia="Times New Roman" w:cstheme="minorHAnsi"/>
          <w:bCs/>
          <w:sz w:val="26"/>
          <w:szCs w:val="26"/>
        </w:rPr>
        <w:t>r</w:t>
      </w:r>
      <w:r w:rsidRPr="004F09AA">
        <w:rPr>
          <w:rFonts w:eastAsia="Times New Roman" w:cstheme="minorHAnsi"/>
          <w:bCs/>
          <w:sz w:val="26"/>
          <w:szCs w:val="26"/>
        </w:rPr>
        <w:t xml:space="preserve">egulations </w:t>
      </w:r>
      <w:r w:rsidR="004F09AA">
        <w:rPr>
          <w:rFonts w:eastAsia="Times New Roman" w:cstheme="minorHAnsi"/>
          <w:bCs/>
          <w:sz w:val="26"/>
          <w:szCs w:val="26"/>
        </w:rPr>
        <w:t>would require</w:t>
      </w:r>
      <w:r w:rsidRPr="004F09AA">
        <w:rPr>
          <w:rFonts w:eastAsia="Times New Roman" w:cstheme="minorHAnsi"/>
          <w:bCs/>
          <w:sz w:val="26"/>
          <w:szCs w:val="26"/>
        </w:rPr>
        <w:t xml:space="preserve"> </w:t>
      </w:r>
      <w:r w:rsidR="004F09AA">
        <w:rPr>
          <w:rFonts w:eastAsia="Times New Roman" w:cstheme="minorHAnsi"/>
          <w:bCs/>
          <w:sz w:val="26"/>
          <w:szCs w:val="26"/>
        </w:rPr>
        <w:t>enhanced information from N</w:t>
      </w:r>
      <w:r w:rsidRPr="004F09AA">
        <w:rPr>
          <w:rFonts w:eastAsia="Times New Roman" w:cstheme="minorHAnsi"/>
          <w:bCs/>
          <w:sz w:val="26"/>
          <w:szCs w:val="26"/>
        </w:rPr>
        <w:t>GSs to customers who enter into variabl</w:t>
      </w:r>
      <w:r w:rsidR="004E4A5D" w:rsidRPr="004F09AA">
        <w:rPr>
          <w:rFonts w:eastAsia="Times New Roman" w:cstheme="minorHAnsi"/>
          <w:bCs/>
          <w:sz w:val="26"/>
          <w:szCs w:val="26"/>
        </w:rPr>
        <w:t>e</w:t>
      </w:r>
      <w:r w:rsidR="00186E3D" w:rsidRPr="004F09AA">
        <w:rPr>
          <w:rFonts w:eastAsia="Times New Roman" w:cstheme="minorHAnsi"/>
          <w:bCs/>
          <w:sz w:val="26"/>
          <w:szCs w:val="26"/>
        </w:rPr>
        <w:t>-</w:t>
      </w:r>
      <w:r w:rsidRPr="004F09AA">
        <w:rPr>
          <w:rFonts w:eastAsia="Times New Roman" w:cstheme="minorHAnsi"/>
          <w:bCs/>
          <w:sz w:val="26"/>
          <w:szCs w:val="26"/>
        </w:rPr>
        <w:t xml:space="preserve">priced </w:t>
      </w:r>
      <w:r w:rsidR="00186E3D" w:rsidRPr="004F09AA">
        <w:rPr>
          <w:rFonts w:eastAsia="Times New Roman" w:cstheme="minorHAnsi"/>
          <w:bCs/>
          <w:sz w:val="26"/>
          <w:szCs w:val="26"/>
        </w:rPr>
        <w:t xml:space="preserve">contracts </w:t>
      </w:r>
      <w:r w:rsidRPr="004F09AA">
        <w:rPr>
          <w:rFonts w:eastAsia="Times New Roman" w:cstheme="minorHAnsi"/>
          <w:bCs/>
          <w:sz w:val="26"/>
          <w:szCs w:val="26"/>
        </w:rPr>
        <w:t xml:space="preserve">and for the inclusion of information about what will happen to a customer’s current supply </w:t>
      </w:r>
      <w:r w:rsidR="00186E3D" w:rsidRPr="004F09AA">
        <w:rPr>
          <w:rFonts w:eastAsia="Times New Roman" w:cstheme="minorHAnsi"/>
          <w:bCs/>
          <w:sz w:val="26"/>
          <w:szCs w:val="26"/>
        </w:rPr>
        <w:t xml:space="preserve">contract </w:t>
      </w:r>
      <w:r w:rsidRPr="004F09AA">
        <w:rPr>
          <w:rFonts w:eastAsia="Times New Roman" w:cstheme="minorHAnsi"/>
          <w:bCs/>
          <w:sz w:val="26"/>
          <w:szCs w:val="26"/>
        </w:rPr>
        <w:t xml:space="preserve">if the customer does not respond to either the </w:t>
      </w:r>
      <w:r w:rsidR="00EF0CD5" w:rsidRPr="004F09AA">
        <w:rPr>
          <w:rFonts w:eastAsia="Times New Roman" w:cstheme="minorHAnsi"/>
          <w:bCs/>
          <w:sz w:val="26"/>
          <w:szCs w:val="26"/>
        </w:rPr>
        <w:t>I</w:t>
      </w:r>
      <w:r w:rsidRPr="004F09AA">
        <w:rPr>
          <w:rFonts w:eastAsia="Times New Roman" w:cstheme="minorHAnsi"/>
          <w:bCs/>
          <w:sz w:val="26"/>
          <w:szCs w:val="26"/>
        </w:rPr>
        <w:t xml:space="preserve">nitial or </w:t>
      </w:r>
      <w:r w:rsidR="00EF0CD5" w:rsidRPr="004F09AA">
        <w:rPr>
          <w:rFonts w:eastAsia="Times New Roman" w:cstheme="minorHAnsi"/>
          <w:bCs/>
          <w:sz w:val="26"/>
          <w:szCs w:val="26"/>
        </w:rPr>
        <w:t>O</w:t>
      </w:r>
      <w:r w:rsidRPr="004F09AA">
        <w:rPr>
          <w:rFonts w:eastAsia="Times New Roman" w:cstheme="minorHAnsi"/>
          <w:bCs/>
          <w:sz w:val="26"/>
          <w:szCs w:val="26"/>
        </w:rPr>
        <w:t xml:space="preserve">ptions </w:t>
      </w:r>
      <w:r w:rsidR="00EF0CD5" w:rsidRPr="004F09AA">
        <w:rPr>
          <w:rFonts w:eastAsia="Times New Roman" w:cstheme="minorHAnsi"/>
          <w:bCs/>
          <w:sz w:val="26"/>
          <w:szCs w:val="26"/>
        </w:rPr>
        <w:t>N</w:t>
      </w:r>
      <w:r w:rsidRPr="004F09AA">
        <w:rPr>
          <w:rFonts w:eastAsia="Times New Roman" w:cstheme="minorHAnsi"/>
          <w:bCs/>
          <w:sz w:val="26"/>
          <w:szCs w:val="26"/>
        </w:rPr>
        <w:t>otice</w:t>
      </w:r>
      <w:r w:rsidR="00EF0CD5" w:rsidRPr="004F09AA">
        <w:rPr>
          <w:rFonts w:eastAsia="Times New Roman" w:cstheme="minorHAnsi"/>
          <w:bCs/>
          <w:sz w:val="26"/>
          <w:szCs w:val="26"/>
        </w:rPr>
        <w:t>s</w:t>
      </w:r>
      <w:r w:rsidRPr="004F09AA">
        <w:rPr>
          <w:rFonts w:eastAsia="Times New Roman" w:cstheme="minorHAnsi"/>
          <w:bCs/>
          <w:sz w:val="26"/>
          <w:szCs w:val="26"/>
        </w:rPr>
        <w:t>.</w:t>
      </w:r>
      <w:r w:rsidR="004F09AA">
        <w:rPr>
          <w:rFonts w:eastAsia="Times New Roman" w:cstheme="minorHAnsi"/>
          <w:bCs/>
          <w:sz w:val="26"/>
          <w:szCs w:val="26"/>
        </w:rPr>
        <w:t xml:space="preserve">  </w:t>
      </w:r>
    </w:p>
    <w:p w:rsidR="007B0778" w:rsidRPr="004F09AA" w:rsidRDefault="00E91F49" w:rsidP="00D25BD4">
      <w:pPr>
        <w:spacing w:line="360" w:lineRule="auto"/>
        <w:rPr>
          <w:rFonts w:eastAsia="Times New Roman" w:cstheme="minorHAnsi"/>
          <w:bCs/>
          <w:sz w:val="26"/>
          <w:szCs w:val="26"/>
        </w:rPr>
      </w:pPr>
      <w:r w:rsidRPr="004F09AA">
        <w:rPr>
          <w:rFonts w:eastAsia="Times New Roman" w:cstheme="minorHAnsi"/>
          <w:bCs/>
          <w:sz w:val="26"/>
          <w:szCs w:val="26"/>
        </w:rPr>
        <w:tab/>
      </w:r>
    </w:p>
    <w:p w:rsidR="00E91F49" w:rsidRDefault="007B0778" w:rsidP="00D25BD4">
      <w:pPr>
        <w:spacing w:line="360" w:lineRule="auto"/>
        <w:rPr>
          <w:rFonts w:eastAsia="Times New Roman" w:cstheme="minorHAnsi"/>
          <w:bCs/>
          <w:sz w:val="26"/>
          <w:szCs w:val="26"/>
        </w:rPr>
      </w:pPr>
      <w:r w:rsidRPr="004F09AA">
        <w:rPr>
          <w:rFonts w:eastAsia="Times New Roman" w:cstheme="minorHAnsi"/>
          <w:bCs/>
          <w:sz w:val="26"/>
          <w:szCs w:val="26"/>
        </w:rPr>
        <w:tab/>
      </w:r>
      <w:r w:rsidR="007D7059" w:rsidRPr="004F09AA">
        <w:rPr>
          <w:rFonts w:eastAsia="Times New Roman" w:cstheme="minorHAnsi"/>
          <w:bCs/>
          <w:sz w:val="26"/>
          <w:szCs w:val="26"/>
        </w:rPr>
        <w:t>W</w:t>
      </w:r>
      <w:r w:rsidR="00E91F49" w:rsidRPr="004F09AA">
        <w:rPr>
          <w:rFonts w:eastAsia="Times New Roman" w:cstheme="minorHAnsi"/>
          <w:bCs/>
          <w:sz w:val="26"/>
          <w:szCs w:val="26"/>
        </w:rPr>
        <w:t>ell</w:t>
      </w:r>
      <w:r w:rsidR="00E66954" w:rsidRPr="004F09AA">
        <w:rPr>
          <w:rFonts w:eastAsia="Times New Roman" w:cstheme="minorHAnsi"/>
          <w:bCs/>
          <w:sz w:val="26"/>
          <w:szCs w:val="26"/>
        </w:rPr>
        <w:t>-</w:t>
      </w:r>
      <w:r w:rsidR="00E91F49" w:rsidRPr="004F09AA">
        <w:rPr>
          <w:rFonts w:eastAsia="Times New Roman" w:cstheme="minorHAnsi"/>
          <w:bCs/>
          <w:sz w:val="26"/>
          <w:szCs w:val="26"/>
        </w:rPr>
        <w:t xml:space="preserve">informed customers are essential participants in a successful competitive retail market.  </w:t>
      </w:r>
      <w:r w:rsidR="004F09AA">
        <w:rPr>
          <w:rFonts w:eastAsia="Times New Roman" w:cstheme="minorHAnsi"/>
          <w:bCs/>
          <w:sz w:val="26"/>
          <w:szCs w:val="26"/>
        </w:rPr>
        <w:t xml:space="preserve">During the </w:t>
      </w:r>
      <w:r w:rsidR="00B5213D">
        <w:rPr>
          <w:rFonts w:eastAsia="Times New Roman" w:cstheme="minorHAnsi"/>
          <w:bCs/>
          <w:sz w:val="26"/>
          <w:szCs w:val="26"/>
        </w:rPr>
        <w:t xml:space="preserve">Polar Vortex in the </w:t>
      </w:r>
      <w:proofErr w:type="gramStart"/>
      <w:r w:rsidR="004F09AA">
        <w:rPr>
          <w:rFonts w:eastAsia="Times New Roman" w:cstheme="minorHAnsi"/>
          <w:bCs/>
          <w:sz w:val="26"/>
          <w:szCs w:val="26"/>
        </w:rPr>
        <w:t>Winter</w:t>
      </w:r>
      <w:proofErr w:type="gramEnd"/>
      <w:r w:rsidR="004F09AA">
        <w:rPr>
          <w:rFonts w:eastAsia="Times New Roman" w:cstheme="minorHAnsi"/>
          <w:bCs/>
          <w:sz w:val="26"/>
          <w:szCs w:val="26"/>
        </w:rPr>
        <w:t xml:space="preserve"> of 2014, w</w:t>
      </w:r>
      <w:r w:rsidR="00E91F49" w:rsidRPr="004F09AA">
        <w:rPr>
          <w:rFonts w:eastAsia="Times New Roman" w:cstheme="minorHAnsi"/>
          <w:bCs/>
          <w:sz w:val="26"/>
          <w:szCs w:val="26"/>
        </w:rPr>
        <w:t xml:space="preserve">e </w:t>
      </w:r>
      <w:r w:rsidR="004F09AA">
        <w:rPr>
          <w:rFonts w:eastAsia="Times New Roman" w:cstheme="minorHAnsi"/>
          <w:bCs/>
          <w:sz w:val="26"/>
          <w:szCs w:val="26"/>
        </w:rPr>
        <w:t>observed</w:t>
      </w:r>
      <w:r w:rsidR="00E91F49" w:rsidRPr="004F09AA">
        <w:rPr>
          <w:rFonts w:eastAsia="Times New Roman" w:cstheme="minorHAnsi"/>
          <w:bCs/>
          <w:sz w:val="26"/>
          <w:szCs w:val="26"/>
        </w:rPr>
        <w:t xml:space="preserve"> first-hand the </w:t>
      </w:r>
      <w:r w:rsidR="007D7059" w:rsidRPr="004F09AA">
        <w:rPr>
          <w:rFonts w:eastAsia="Times New Roman" w:cstheme="minorHAnsi"/>
          <w:bCs/>
          <w:sz w:val="26"/>
          <w:szCs w:val="26"/>
        </w:rPr>
        <w:t>frustrations</w:t>
      </w:r>
      <w:r w:rsidR="00E91F49" w:rsidRPr="004F09AA">
        <w:rPr>
          <w:rFonts w:eastAsia="Times New Roman" w:cstheme="minorHAnsi"/>
          <w:bCs/>
          <w:sz w:val="26"/>
          <w:szCs w:val="26"/>
        </w:rPr>
        <w:t xml:space="preserve"> </w:t>
      </w:r>
      <w:r w:rsidR="007D7059" w:rsidRPr="004F09AA">
        <w:rPr>
          <w:rFonts w:eastAsia="Times New Roman" w:cstheme="minorHAnsi"/>
          <w:bCs/>
          <w:sz w:val="26"/>
          <w:szCs w:val="26"/>
        </w:rPr>
        <w:t>of</w:t>
      </w:r>
      <w:r w:rsidR="00E91F49" w:rsidRPr="004F09AA">
        <w:rPr>
          <w:rFonts w:eastAsia="Times New Roman" w:cstheme="minorHAnsi"/>
          <w:bCs/>
          <w:sz w:val="26"/>
          <w:szCs w:val="26"/>
        </w:rPr>
        <w:t xml:space="preserve"> customers</w:t>
      </w:r>
      <w:r w:rsidR="00254F0F" w:rsidRPr="004F09AA">
        <w:rPr>
          <w:rFonts w:eastAsia="Times New Roman" w:cstheme="minorHAnsi"/>
          <w:bCs/>
          <w:sz w:val="26"/>
          <w:szCs w:val="26"/>
        </w:rPr>
        <w:t xml:space="preserve"> enrolled in variable-priced </w:t>
      </w:r>
      <w:r w:rsidR="004F09AA">
        <w:rPr>
          <w:rFonts w:eastAsia="Times New Roman" w:cstheme="minorHAnsi"/>
          <w:bCs/>
          <w:sz w:val="26"/>
          <w:szCs w:val="26"/>
        </w:rPr>
        <w:t xml:space="preserve">EGS </w:t>
      </w:r>
      <w:r w:rsidR="00254F0F" w:rsidRPr="004F09AA">
        <w:rPr>
          <w:rFonts w:eastAsia="Times New Roman" w:cstheme="minorHAnsi"/>
          <w:bCs/>
          <w:sz w:val="26"/>
          <w:szCs w:val="26"/>
        </w:rPr>
        <w:t>contracts</w:t>
      </w:r>
      <w:r w:rsidR="00E91F49" w:rsidRPr="004F09AA">
        <w:rPr>
          <w:rFonts w:eastAsia="Times New Roman" w:cstheme="minorHAnsi"/>
          <w:bCs/>
          <w:sz w:val="26"/>
          <w:szCs w:val="26"/>
        </w:rPr>
        <w:t xml:space="preserve"> who </w:t>
      </w:r>
      <w:r w:rsidR="004F09AA">
        <w:rPr>
          <w:rFonts w:eastAsia="Times New Roman" w:cstheme="minorHAnsi"/>
          <w:bCs/>
          <w:sz w:val="26"/>
          <w:szCs w:val="26"/>
        </w:rPr>
        <w:t>wer</w:t>
      </w:r>
      <w:r w:rsidR="00E91F49" w:rsidRPr="004F09AA">
        <w:rPr>
          <w:rFonts w:eastAsia="Times New Roman" w:cstheme="minorHAnsi"/>
          <w:bCs/>
          <w:sz w:val="26"/>
          <w:szCs w:val="26"/>
        </w:rPr>
        <w:t>e</w:t>
      </w:r>
      <w:r w:rsidR="007D7059" w:rsidRPr="004F09AA">
        <w:rPr>
          <w:rFonts w:eastAsia="Times New Roman" w:cstheme="minorHAnsi"/>
          <w:bCs/>
          <w:sz w:val="26"/>
          <w:szCs w:val="26"/>
        </w:rPr>
        <w:t xml:space="preserve"> </w:t>
      </w:r>
      <w:r w:rsidR="00396FB1" w:rsidRPr="004F09AA">
        <w:rPr>
          <w:rFonts w:eastAsia="Times New Roman" w:cstheme="minorHAnsi"/>
          <w:bCs/>
          <w:sz w:val="26"/>
          <w:szCs w:val="26"/>
        </w:rPr>
        <w:t xml:space="preserve">not sufficiently </w:t>
      </w:r>
      <w:r w:rsidR="007D7059" w:rsidRPr="004F09AA">
        <w:rPr>
          <w:rFonts w:eastAsia="Times New Roman" w:cstheme="minorHAnsi"/>
          <w:bCs/>
          <w:sz w:val="26"/>
          <w:szCs w:val="26"/>
        </w:rPr>
        <w:t>aware of potentially significant price increases</w:t>
      </w:r>
      <w:r w:rsidR="00E91F49" w:rsidRPr="004F09AA">
        <w:rPr>
          <w:rFonts w:eastAsia="Times New Roman" w:cstheme="minorHAnsi"/>
          <w:bCs/>
          <w:sz w:val="26"/>
          <w:szCs w:val="26"/>
        </w:rPr>
        <w:t xml:space="preserve"> due to fluctuating wholesale market conditions.</w:t>
      </w:r>
      <w:r w:rsidR="004F09AA">
        <w:rPr>
          <w:rFonts w:eastAsia="Times New Roman" w:cstheme="minorHAnsi"/>
          <w:bCs/>
          <w:sz w:val="26"/>
          <w:szCs w:val="26"/>
        </w:rPr>
        <w:t xml:space="preserve">  We want to avoid this kind of occurrence in the retail gas supply market.</w:t>
      </w:r>
      <w:r w:rsidR="00E91F49" w:rsidRPr="004F09AA">
        <w:rPr>
          <w:rFonts w:eastAsia="Times New Roman" w:cstheme="minorHAnsi"/>
          <w:bCs/>
          <w:sz w:val="26"/>
          <w:szCs w:val="26"/>
        </w:rPr>
        <w:t xml:space="preserve">  </w:t>
      </w:r>
      <w:r w:rsidR="004F09AA">
        <w:rPr>
          <w:rFonts w:eastAsia="Times New Roman" w:cstheme="minorHAnsi"/>
          <w:bCs/>
          <w:sz w:val="26"/>
          <w:szCs w:val="26"/>
        </w:rPr>
        <w:t xml:space="preserve">Accordingly, we propose the attached </w:t>
      </w:r>
      <w:r w:rsidR="00E91F49" w:rsidRPr="004F09AA">
        <w:rPr>
          <w:rFonts w:eastAsia="Times New Roman" w:cstheme="minorHAnsi"/>
          <w:bCs/>
          <w:sz w:val="26"/>
          <w:szCs w:val="26"/>
        </w:rPr>
        <w:t>updat</w:t>
      </w:r>
      <w:r w:rsidR="004F09AA">
        <w:rPr>
          <w:rFonts w:eastAsia="Times New Roman" w:cstheme="minorHAnsi"/>
          <w:bCs/>
          <w:sz w:val="26"/>
          <w:szCs w:val="26"/>
        </w:rPr>
        <w:t xml:space="preserve">es and revisions to our </w:t>
      </w:r>
      <w:r w:rsidR="009C2878" w:rsidRPr="004F09AA">
        <w:rPr>
          <w:rFonts w:eastAsia="Times New Roman" w:cstheme="minorHAnsi"/>
          <w:bCs/>
          <w:sz w:val="26"/>
          <w:szCs w:val="26"/>
        </w:rPr>
        <w:t>r</w:t>
      </w:r>
      <w:r w:rsidR="00E91F49" w:rsidRPr="004F09AA">
        <w:rPr>
          <w:rFonts w:eastAsia="Times New Roman" w:cstheme="minorHAnsi"/>
          <w:bCs/>
          <w:sz w:val="26"/>
          <w:szCs w:val="26"/>
        </w:rPr>
        <w:t xml:space="preserve">egulations </w:t>
      </w:r>
      <w:r w:rsidR="004F09AA">
        <w:rPr>
          <w:rFonts w:eastAsia="Times New Roman" w:cstheme="minorHAnsi"/>
          <w:bCs/>
          <w:sz w:val="26"/>
          <w:szCs w:val="26"/>
        </w:rPr>
        <w:t xml:space="preserve">in order </w:t>
      </w:r>
      <w:r w:rsidR="00E91F49" w:rsidRPr="004F09AA">
        <w:rPr>
          <w:rFonts w:eastAsia="Times New Roman" w:cstheme="minorHAnsi"/>
          <w:bCs/>
          <w:sz w:val="26"/>
          <w:szCs w:val="26"/>
        </w:rPr>
        <w:t>to create a more user-friendly marketplace that should continue to attract increased numbers of customers.</w:t>
      </w:r>
      <w:r w:rsidR="00E91F49" w:rsidRPr="00755EBD">
        <w:rPr>
          <w:rFonts w:eastAsia="Times New Roman" w:cstheme="minorHAnsi"/>
          <w:bCs/>
          <w:sz w:val="26"/>
          <w:szCs w:val="26"/>
        </w:rPr>
        <w:t xml:space="preserve">  </w:t>
      </w:r>
      <w:r w:rsidR="004F09AA">
        <w:rPr>
          <w:rFonts w:ascii="Times New Roman" w:eastAsia="Times New Roman" w:hAnsi="Times New Roman"/>
          <w:i/>
          <w:color w:val="000000"/>
          <w:sz w:val="26"/>
          <w:szCs w:val="26"/>
        </w:rPr>
        <w:t>See</w:t>
      </w:r>
      <w:r w:rsidR="004F09AA">
        <w:rPr>
          <w:rFonts w:ascii="Times New Roman" w:eastAsia="Times New Roman" w:hAnsi="Times New Roman"/>
          <w:color w:val="000000"/>
          <w:sz w:val="26"/>
          <w:szCs w:val="26"/>
        </w:rPr>
        <w:t xml:space="preserve"> Annex A</w:t>
      </w:r>
      <w:r w:rsidR="00B5213D">
        <w:rPr>
          <w:rFonts w:ascii="Times New Roman" w:eastAsia="Times New Roman" w:hAnsi="Times New Roman"/>
          <w:color w:val="000000"/>
          <w:sz w:val="26"/>
          <w:szCs w:val="26"/>
        </w:rPr>
        <w:t xml:space="preserve">, Proposed 52 Pa. Code §§ </w:t>
      </w:r>
      <w:r w:rsidR="00B5213D">
        <w:rPr>
          <w:rFonts w:cstheme="minorHAnsi"/>
          <w:sz w:val="26"/>
          <w:szCs w:val="26"/>
        </w:rPr>
        <w:t>62.72, 62.75, and 62.81</w:t>
      </w:r>
      <w:r w:rsidR="004F09AA">
        <w:rPr>
          <w:rFonts w:ascii="Times New Roman" w:eastAsia="Times New Roman" w:hAnsi="Times New Roman"/>
          <w:color w:val="000000"/>
          <w:sz w:val="26"/>
          <w:szCs w:val="26"/>
        </w:rPr>
        <w:t>.</w:t>
      </w:r>
      <w:r w:rsidR="004F09AA" w:rsidRPr="003853FC">
        <w:rPr>
          <w:rFonts w:ascii="Times New Roman" w:eastAsia="Times New Roman" w:hAnsi="Times New Roman"/>
          <w:color w:val="000000"/>
          <w:sz w:val="26"/>
          <w:szCs w:val="26"/>
        </w:rPr>
        <w:t xml:space="preserve">  </w:t>
      </w:r>
    </w:p>
    <w:p w:rsidR="00754790" w:rsidRDefault="00754790" w:rsidP="00D25BD4">
      <w:pPr>
        <w:spacing w:line="360" w:lineRule="auto"/>
        <w:rPr>
          <w:rFonts w:eastAsia="Times New Roman" w:cstheme="minorHAnsi"/>
          <w:bCs/>
          <w:sz w:val="26"/>
          <w:szCs w:val="26"/>
        </w:rPr>
      </w:pPr>
    </w:p>
    <w:p w:rsidR="00754790" w:rsidRDefault="005969FE" w:rsidP="00754790">
      <w:pPr>
        <w:spacing w:line="360" w:lineRule="auto"/>
        <w:ind w:firstLine="720"/>
        <w:rPr>
          <w:sz w:val="26"/>
          <w:szCs w:val="26"/>
        </w:rPr>
      </w:pPr>
      <w:r w:rsidRPr="008C1109">
        <w:rPr>
          <w:sz w:val="26"/>
          <w:szCs w:val="26"/>
        </w:rPr>
        <w:t xml:space="preserve">Accordingly, pursuant to Sections 501 and </w:t>
      </w:r>
      <w:r>
        <w:rPr>
          <w:sz w:val="26"/>
          <w:szCs w:val="26"/>
        </w:rPr>
        <w:t>2208</w:t>
      </w:r>
      <w:r w:rsidRPr="008C1109">
        <w:rPr>
          <w:sz w:val="26"/>
          <w:szCs w:val="26"/>
        </w:rPr>
        <w:t xml:space="preserve"> of the Public Utility Code, 66 Pa. C.S. §§ 501 and </w:t>
      </w:r>
      <w:r>
        <w:rPr>
          <w:sz w:val="26"/>
          <w:szCs w:val="26"/>
        </w:rPr>
        <w:t>2208</w:t>
      </w:r>
      <w:r w:rsidRPr="008C1109">
        <w:rPr>
          <w:sz w:val="26"/>
          <w:szCs w:val="26"/>
        </w:rPr>
        <w:t>;</w:t>
      </w:r>
      <w:r>
        <w:rPr>
          <w:sz w:val="26"/>
          <w:szCs w:val="26"/>
        </w:rPr>
        <w:t xml:space="preserve"> </w:t>
      </w:r>
      <w:r w:rsidR="00B5213D">
        <w:rPr>
          <w:sz w:val="26"/>
          <w:szCs w:val="26"/>
        </w:rPr>
        <w:t>the Commonwealth Documents Law,</w:t>
      </w:r>
      <w:r w:rsidRPr="008C1109">
        <w:rPr>
          <w:sz w:val="26"/>
          <w:szCs w:val="26"/>
        </w:rPr>
        <w:t xml:space="preserve"> 45 P.S. §§ 1201-1202, and the regulations promulgated thereunder at 1 Pa. Code §§</w:t>
      </w:r>
      <w:r>
        <w:rPr>
          <w:sz w:val="26"/>
          <w:szCs w:val="26"/>
        </w:rPr>
        <w:t> </w:t>
      </w:r>
      <w:r w:rsidRPr="008C1109">
        <w:rPr>
          <w:sz w:val="26"/>
          <w:szCs w:val="26"/>
        </w:rPr>
        <w:t xml:space="preserve">7.1, 7.2, and 7.5; </w:t>
      </w:r>
      <w:r>
        <w:rPr>
          <w:sz w:val="26"/>
          <w:szCs w:val="26"/>
        </w:rPr>
        <w:t>S</w:t>
      </w:r>
      <w:r w:rsidRPr="008C1109">
        <w:rPr>
          <w:sz w:val="26"/>
          <w:szCs w:val="26"/>
        </w:rPr>
        <w:t xml:space="preserve">ection 204(b) </w:t>
      </w:r>
      <w:r w:rsidRPr="008C1109">
        <w:rPr>
          <w:sz w:val="26"/>
          <w:szCs w:val="26"/>
        </w:rPr>
        <w:lastRenderedPageBreak/>
        <w:t>of the Commonwe</w:t>
      </w:r>
      <w:r w:rsidR="00B5213D">
        <w:rPr>
          <w:sz w:val="26"/>
          <w:szCs w:val="26"/>
        </w:rPr>
        <w:t>alth Attorneys Act, 71 P.S. 732-</w:t>
      </w:r>
      <w:r w:rsidRPr="008C1109">
        <w:rPr>
          <w:sz w:val="26"/>
          <w:szCs w:val="26"/>
        </w:rPr>
        <w:t xml:space="preserve">204(b); </w:t>
      </w:r>
      <w:r>
        <w:rPr>
          <w:sz w:val="26"/>
          <w:szCs w:val="26"/>
        </w:rPr>
        <w:t>S</w:t>
      </w:r>
      <w:r w:rsidRPr="008C1109">
        <w:rPr>
          <w:sz w:val="26"/>
          <w:szCs w:val="26"/>
        </w:rPr>
        <w:t xml:space="preserve">ection 745.5 of the Regulatory Review Act, 71 P.S. § 745.5; and </w:t>
      </w:r>
      <w:r>
        <w:rPr>
          <w:sz w:val="26"/>
          <w:szCs w:val="26"/>
        </w:rPr>
        <w:t>S</w:t>
      </w:r>
      <w:r w:rsidRPr="008C1109">
        <w:rPr>
          <w:sz w:val="26"/>
          <w:szCs w:val="26"/>
        </w:rPr>
        <w:t xml:space="preserve">ection 612 of the Administrative Code of 1929, </w:t>
      </w:r>
      <w:r w:rsidRPr="00B5213D">
        <w:rPr>
          <w:sz w:val="26"/>
          <w:szCs w:val="26"/>
        </w:rPr>
        <w:t>71 P.S. § 232, and the regulations promulgated th</w:t>
      </w:r>
      <w:r w:rsidR="00B5213D">
        <w:rPr>
          <w:sz w:val="26"/>
          <w:szCs w:val="26"/>
        </w:rPr>
        <w:t xml:space="preserve">ereunder at 4 Pa. Code §§ 7.231, </w:t>
      </w:r>
      <w:r w:rsidRPr="00B5213D">
        <w:rPr>
          <w:sz w:val="26"/>
          <w:szCs w:val="26"/>
        </w:rPr>
        <w:t>7.23</w:t>
      </w:r>
      <w:r w:rsidR="00B5213D" w:rsidRPr="00B5213D">
        <w:rPr>
          <w:sz w:val="26"/>
          <w:szCs w:val="26"/>
        </w:rPr>
        <w:t>2,</w:t>
      </w:r>
      <w:r w:rsidR="00B5213D">
        <w:rPr>
          <w:sz w:val="26"/>
          <w:szCs w:val="26"/>
        </w:rPr>
        <w:t xml:space="preserve"> and 7.234</w:t>
      </w:r>
      <w:r w:rsidR="00180008">
        <w:rPr>
          <w:sz w:val="26"/>
          <w:szCs w:val="26"/>
        </w:rPr>
        <w:t xml:space="preserve">, we </w:t>
      </w:r>
      <w:r w:rsidRPr="008C1109">
        <w:rPr>
          <w:sz w:val="26"/>
          <w:szCs w:val="26"/>
        </w:rPr>
        <w:t>propose</w:t>
      </w:r>
      <w:r w:rsidR="00180008">
        <w:rPr>
          <w:sz w:val="26"/>
          <w:szCs w:val="26"/>
        </w:rPr>
        <w:t xml:space="preserve"> adopting the</w:t>
      </w:r>
      <w:r w:rsidRPr="008C1109">
        <w:rPr>
          <w:sz w:val="26"/>
          <w:szCs w:val="26"/>
        </w:rPr>
        <w:t xml:space="preserve"> regulations set forth in Annex A, attached hereto;</w:t>
      </w:r>
      <w:r>
        <w:rPr>
          <w:sz w:val="26"/>
          <w:szCs w:val="26"/>
        </w:rPr>
        <w:t xml:space="preserve"> </w:t>
      </w:r>
      <w:r w:rsidRPr="0018219E">
        <w:rPr>
          <w:b/>
          <w:sz w:val="26"/>
          <w:szCs w:val="26"/>
        </w:rPr>
        <w:t>THEREFORE</w:t>
      </w:r>
      <w:r w:rsidRPr="002C4C75">
        <w:rPr>
          <w:sz w:val="26"/>
          <w:szCs w:val="26"/>
        </w:rPr>
        <w:t>,</w:t>
      </w:r>
    </w:p>
    <w:p w:rsidR="00C272A9" w:rsidRDefault="00754790" w:rsidP="00C272A9">
      <w:pPr>
        <w:spacing w:line="360" w:lineRule="auto"/>
        <w:ind w:firstLine="720"/>
        <w:rPr>
          <w:sz w:val="26"/>
          <w:szCs w:val="26"/>
        </w:rPr>
      </w:pPr>
      <w:r w:rsidRPr="00B73A1D">
        <w:rPr>
          <w:b/>
          <w:sz w:val="26"/>
          <w:szCs w:val="20"/>
        </w:rPr>
        <w:t>IT IS ORDERED</w:t>
      </w:r>
      <w:proofErr w:type="gramStart"/>
      <w:r w:rsidRPr="002C1DDC">
        <w:rPr>
          <w:b/>
          <w:sz w:val="26"/>
          <w:szCs w:val="20"/>
        </w:rPr>
        <w:t>:</w:t>
      </w:r>
      <w:proofErr w:type="gramEnd"/>
      <w:r w:rsidRPr="00B73A1D">
        <w:rPr>
          <w:sz w:val="26"/>
          <w:szCs w:val="20"/>
        </w:rPr>
        <w:br/>
      </w:r>
      <w:r w:rsidR="00C272A9">
        <w:rPr>
          <w:sz w:val="26"/>
          <w:szCs w:val="26"/>
        </w:rPr>
        <w:t>1</w:t>
      </w:r>
      <w:r w:rsidR="00C272A9" w:rsidRPr="002C4C75">
        <w:rPr>
          <w:sz w:val="26"/>
          <w:szCs w:val="26"/>
        </w:rPr>
        <w:t xml:space="preserve">.  </w:t>
      </w:r>
      <w:r w:rsidR="00C272A9" w:rsidRPr="002C4C75">
        <w:rPr>
          <w:sz w:val="26"/>
          <w:szCs w:val="26"/>
        </w:rPr>
        <w:tab/>
        <w:t xml:space="preserve">That </w:t>
      </w:r>
      <w:r w:rsidR="00C272A9">
        <w:rPr>
          <w:sz w:val="26"/>
          <w:szCs w:val="26"/>
        </w:rPr>
        <w:t>a proposed rulemaking be opened to consider the regulations set forth in Annex A.</w:t>
      </w:r>
    </w:p>
    <w:p w:rsidR="00C272A9" w:rsidRDefault="00C272A9" w:rsidP="00C272A9">
      <w:pPr>
        <w:spacing w:line="360" w:lineRule="auto"/>
        <w:ind w:firstLine="720"/>
        <w:rPr>
          <w:sz w:val="26"/>
          <w:szCs w:val="26"/>
        </w:rPr>
      </w:pPr>
    </w:p>
    <w:p w:rsidR="00C272A9" w:rsidRDefault="00C272A9" w:rsidP="00C272A9">
      <w:pPr>
        <w:spacing w:line="360" w:lineRule="auto"/>
        <w:ind w:firstLine="720"/>
        <w:rPr>
          <w:sz w:val="26"/>
          <w:szCs w:val="26"/>
        </w:rPr>
      </w:pPr>
      <w:r>
        <w:rPr>
          <w:sz w:val="26"/>
          <w:szCs w:val="26"/>
        </w:rPr>
        <w:t>2.</w:t>
      </w:r>
      <w:r>
        <w:rPr>
          <w:sz w:val="26"/>
          <w:szCs w:val="26"/>
        </w:rPr>
        <w:tab/>
        <w:t>That the Secretary shall submit this proposed rulemaking order</w:t>
      </w:r>
      <w:r w:rsidR="00494824">
        <w:rPr>
          <w:sz w:val="26"/>
          <w:szCs w:val="26"/>
        </w:rPr>
        <w:t>, Attachment A,</w:t>
      </w:r>
      <w:r>
        <w:rPr>
          <w:sz w:val="26"/>
          <w:szCs w:val="26"/>
        </w:rPr>
        <w:t xml:space="preserve"> and Annex A to the Office of Attorney General for review as to form and legality and to the Governor’s Budget Office for review of fiscal impact.</w:t>
      </w:r>
    </w:p>
    <w:p w:rsidR="00071B81" w:rsidRDefault="00071B81" w:rsidP="00C272A9">
      <w:pPr>
        <w:spacing w:line="360" w:lineRule="auto"/>
        <w:ind w:firstLine="720"/>
        <w:rPr>
          <w:sz w:val="26"/>
          <w:szCs w:val="26"/>
        </w:rPr>
      </w:pPr>
    </w:p>
    <w:p w:rsidR="00C272A9" w:rsidRDefault="00C272A9" w:rsidP="00C272A9">
      <w:pPr>
        <w:spacing w:line="360" w:lineRule="auto"/>
        <w:ind w:firstLine="720"/>
        <w:rPr>
          <w:sz w:val="26"/>
          <w:szCs w:val="26"/>
        </w:rPr>
      </w:pPr>
      <w:r>
        <w:rPr>
          <w:sz w:val="26"/>
          <w:szCs w:val="26"/>
        </w:rPr>
        <w:t>3.</w:t>
      </w:r>
      <w:r>
        <w:rPr>
          <w:sz w:val="26"/>
          <w:szCs w:val="26"/>
        </w:rPr>
        <w:tab/>
        <w:t>That the Secretary shall submit this proposed rulemaking order</w:t>
      </w:r>
      <w:r w:rsidR="00494824">
        <w:rPr>
          <w:sz w:val="26"/>
          <w:szCs w:val="26"/>
        </w:rPr>
        <w:t>, Attachment A,</w:t>
      </w:r>
      <w:r>
        <w:rPr>
          <w:sz w:val="26"/>
          <w:szCs w:val="26"/>
        </w:rPr>
        <w:t xml:space="preserve"> and Annex A for review and comments to the Independent Regulatory Review Commission and the Legislative Standing Committees.</w:t>
      </w:r>
    </w:p>
    <w:p w:rsidR="00C272A9" w:rsidRDefault="00C272A9" w:rsidP="00C272A9">
      <w:pPr>
        <w:spacing w:line="360" w:lineRule="auto"/>
        <w:ind w:firstLine="720"/>
        <w:rPr>
          <w:sz w:val="26"/>
          <w:szCs w:val="26"/>
        </w:rPr>
      </w:pPr>
    </w:p>
    <w:p w:rsidR="00C272A9" w:rsidRDefault="00C272A9" w:rsidP="00C272A9">
      <w:pPr>
        <w:spacing w:line="360" w:lineRule="auto"/>
        <w:ind w:firstLine="720"/>
        <w:rPr>
          <w:sz w:val="26"/>
          <w:szCs w:val="26"/>
        </w:rPr>
      </w:pPr>
      <w:r>
        <w:rPr>
          <w:sz w:val="26"/>
          <w:szCs w:val="26"/>
        </w:rPr>
        <w:t>4.</w:t>
      </w:r>
      <w:r>
        <w:rPr>
          <w:sz w:val="26"/>
          <w:szCs w:val="26"/>
        </w:rPr>
        <w:tab/>
        <w:t>That the Secretary shall certify this proposed rulemaking order</w:t>
      </w:r>
      <w:r w:rsidR="00494824">
        <w:rPr>
          <w:sz w:val="26"/>
          <w:szCs w:val="26"/>
        </w:rPr>
        <w:t>, Attachment A,</w:t>
      </w:r>
      <w:r>
        <w:rPr>
          <w:sz w:val="26"/>
          <w:szCs w:val="26"/>
        </w:rPr>
        <w:t xml:space="preserve"> and Annex A and deposit them with the Legislative Reference Bureau to be published in the </w:t>
      </w:r>
      <w:r w:rsidRPr="007B3D44">
        <w:rPr>
          <w:i/>
          <w:sz w:val="26"/>
          <w:szCs w:val="26"/>
        </w:rPr>
        <w:t>Pennsylvania Bulletin</w:t>
      </w:r>
      <w:r>
        <w:rPr>
          <w:sz w:val="26"/>
          <w:szCs w:val="26"/>
        </w:rPr>
        <w:t xml:space="preserve">.  </w:t>
      </w:r>
    </w:p>
    <w:p w:rsidR="00B5213D" w:rsidRPr="007A1C68" w:rsidRDefault="00B5213D" w:rsidP="00C272A9">
      <w:pPr>
        <w:spacing w:line="360" w:lineRule="auto"/>
        <w:ind w:firstLine="720"/>
        <w:rPr>
          <w:sz w:val="26"/>
          <w:szCs w:val="26"/>
        </w:rPr>
      </w:pPr>
    </w:p>
    <w:p w:rsidR="00C272A9" w:rsidRPr="007A1C68" w:rsidRDefault="00C272A9" w:rsidP="00C272A9">
      <w:pPr>
        <w:spacing w:line="360" w:lineRule="auto"/>
        <w:ind w:firstLine="720"/>
        <w:rPr>
          <w:sz w:val="26"/>
          <w:szCs w:val="26"/>
        </w:rPr>
      </w:pPr>
      <w:r w:rsidRPr="007A1C68">
        <w:rPr>
          <w:sz w:val="26"/>
          <w:szCs w:val="26"/>
        </w:rPr>
        <w:t>5.</w:t>
      </w:r>
      <w:r w:rsidRPr="007A1C68">
        <w:rPr>
          <w:sz w:val="26"/>
          <w:szCs w:val="26"/>
        </w:rPr>
        <w:tab/>
        <w:t>That original written comments referencing Docket Number</w:t>
      </w:r>
      <w:r w:rsidR="00071B81" w:rsidRPr="007A1C68">
        <w:rPr>
          <w:sz w:val="26"/>
          <w:szCs w:val="26"/>
        </w:rPr>
        <w:t xml:space="preserve"> L-2015-</w:t>
      </w:r>
      <w:r w:rsidR="00071B81" w:rsidRPr="007A1C68">
        <w:rPr>
          <w:rFonts w:cstheme="minorHAnsi"/>
          <w:color w:val="000000"/>
          <w:sz w:val="26"/>
          <w:szCs w:val="26"/>
        </w:rPr>
        <w:t>2465942</w:t>
      </w:r>
      <w:r w:rsidR="00CB555C" w:rsidRPr="007A1C68">
        <w:rPr>
          <w:sz w:val="26"/>
          <w:szCs w:val="26"/>
        </w:rPr>
        <w:t xml:space="preserve"> </w:t>
      </w:r>
      <w:proofErr w:type="gramStart"/>
      <w:r w:rsidR="00CB555C" w:rsidRPr="007A1C68">
        <w:rPr>
          <w:rFonts w:ascii="Times New Roman" w:hAnsi="Times New Roman"/>
          <w:sz w:val="26"/>
          <w:szCs w:val="26"/>
        </w:rPr>
        <w:t>be</w:t>
      </w:r>
      <w:proofErr w:type="gramEnd"/>
      <w:r w:rsidR="00CB555C" w:rsidRPr="007A1C68">
        <w:rPr>
          <w:rFonts w:ascii="Times New Roman" w:hAnsi="Times New Roman"/>
          <w:sz w:val="26"/>
          <w:szCs w:val="26"/>
        </w:rPr>
        <w:t xml:space="preserve"> submitted within </w:t>
      </w:r>
      <w:r w:rsidR="001B0DFF" w:rsidRPr="007A1C68">
        <w:rPr>
          <w:rFonts w:ascii="Times New Roman" w:hAnsi="Times New Roman"/>
          <w:sz w:val="26"/>
          <w:szCs w:val="26"/>
        </w:rPr>
        <w:t>30</w:t>
      </w:r>
      <w:r w:rsidRPr="007A1C68">
        <w:rPr>
          <w:rFonts w:ascii="Times New Roman" w:hAnsi="Times New Roman"/>
          <w:sz w:val="26"/>
          <w:szCs w:val="26"/>
        </w:rPr>
        <w:t xml:space="preserve"> days of publication in the Pennsylvania Bulletin to the Pennsylvania Public Utility Commission, Attn: Secretary, P.O. Box 3265, Harrisburg, PA 17105-3265.   </w:t>
      </w:r>
      <w:r w:rsidR="007A1C68" w:rsidRPr="007A1C68">
        <w:rPr>
          <w:rFonts w:ascii="Times New Roman" w:hAnsi="Times New Roman"/>
          <w:sz w:val="26"/>
          <w:szCs w:val="26"/>
        </w:rPr>
        <w:t xml:space="preserve"> Comments may also be filed electronically through the Commission</w:t>
      </w:r>
      <w:r w:rsidR="007A1C68">
        <w:rPr>
          <w:rFonts w:ascii="Times New Roman" w:hAnsi="Times New Roman"/>
          <w:sz w:val="26"/>
          <w:szCs w:val="26"/>
        </w:rPr>
        <w:t>’s</w:t>
      </w:r>
      <w:r w:rsidR="007A1C68" w:rsidRPr="007A1C68">
        <w:rPr>
          <w:rFonts w:ascii="Times New Roman" w:hAnsi="Times New Roman"/>
          <w:sz w:val="26"/>
          <w:szCs w:val="26"/>
        </w:rPr>
        <w:t xml:space="preserve"> e-File System</w:t>
      </w:r>
      <w:r w:rsidR="007A1C68">
        <w:rPr>
          <w:rFonts w:ascii="Times New Roman" w:hAnsi="Times New Roman"/>
          <w:sz w:val="26"/>
          <w:szCs w:val="26"/>
        </w:rPr>
        <w:t>.</w:t>
      </w:r>
    </w:p>
    <w:p w:rsidR="00C272A9" w:rsidRDefault="00C272A9" w:rsidP="00C272A9">
      <w:pPr>
        <w:spacing w:line="360" w:lineRule="auto"/>
        <w:ind w:firstLine="720"/>
        <w:rPr>
          <w:sz w:val="26"/>
          <w:szCs w:val="26"/>
        </w:rPr>
      </w:pPr>
    </w:p>
    <w:p w:rsidR="00754790" w:rsidRDefault="00CB555C" w:rsidP="00754790">
      <w:pPr>
        <w:spacing w:line="360" w:lineRule="auto"/>
        <w:ind w:firstLine="720"/>
        <w:rPr>
          <w:sz w:val="26"/>
        </w:rPr>
      </w:pPr>
      <w:r>
        <w:rPr>
          <w:sz w:val="26"/>
        </w:rPr>
        <w:t>6</w:t>
      </w:r>
      <w:r w:rsidR="00DB2766">
        <w:rPr>
          <w:sz w:val="26"/>
        </w:rPr>
        <w:t>.</w:t>
      </w:r>
      <w:r w:rsidR="00DB2766">
        <w:rPr>
          <w:sz w:val="26"/>
        </w:rPr>
        <w:tab/>
      </w:r>
      <w:r w:rsidR="00754790">
        <w:rPr>
          <w:sz w:val="26"/>
        </w:rPr>
        <w:t xml:space="preserve">That this </w:t>
      </w:r>
      <w:r w:rsidR="00D64434">
        <w:rPr>
          <w:sz w:val="26"/>
        </w:rPr>
        <w:t>Order</w:t>
      </w:r>
      <w:r>
        <w:rPr>
          <w:sz w:val="26"/>
        </w:rPr>
        <w:t xml:space="preserve"> </w:t>
      </w:r>
      <w:r w:rsidR="00EF4333">
        <w:rPr>
          <w:sz w:val="26"/>
          <w:szCs w:val="26"/>
        </w:rPr>
        <w:t xml:space="preserve">and </w:t>
      </w:r>
      <w:r w:rsidR="0041560C">
        <w:rPr>
          <w:sz w:val="26"/>
          <w:szCs w:val="26"/>
        </w:rPr>
        <w:t>Annex</w:t>
      </w:r>
      <w:r w:rsidR="00D3115E">
        <w:rPr>
          <w:sz w:val="26"/>
          <w:szCs w:val="26"/>
        </w:rPr>
        <w:t xml:space="preserve"> A</w:t>
      </w:r>
      <w:r w:rsidR="00754790">
        <w:rPr>
          <w:sz w:val="26"/>
          <w:szCs w:val="26"/>
        </w:rPr>
        <w:t xml:space="preserve">, </w:t>
      </w:r>
      <w:r w:rsidR="00754790" w:rsidRPr="00652EBB">
        <w:rPr>
          <w:sz w:val="26"/>
        </w:rPr>
        <w:t>revisin</w:t>
      </w:r>
      <w:r w:rsidR="00754790">
        <w:rPr>
          <w:sz w:val="26"/>
        </w:rPr>
        <w:t>g</w:t>
      </w:r>
      <w:r w:rsidR="00754790" w:rsidRPr="00652EBB">
        <w:rPr>
          <w:sz w:val="26"/>
        </w:rPr>
        <w:t xml:space="preserve"> the regulations appearing in </w:t>
      </w:r>
      <w:r w:rsidR="00754790">
        <w:rPr>
          <w:sz w:val="26"/>
        </w:rPr>
        <w:t xml:space="preserve">Title </w:t>
      </w:r>
      <w:r w:rsidR="00754790" w:rsidRPr="00652EBB">
        <w:rPr>
          <w:sz w:val="26"/>
        </w:rPr>
        <w:t xml:space="preserve">52 </w:t>
      </w:r>
      <w:r w:rsidR="00754790">
        <w:rPr>
          <w:sz w:val="26"/>
        </w:rPr>
        <w:t xml:space="preserve">of the </w:t>
      </w:r>
      <w:r w:rsidR="00754790" w:rsidRPr="00652EBB">
        <w:rPr>
          <w:sz w:val="26"/>
        </w:rPr>
        <w:t>P</w:t>
      </w:r>
      <w:r w:rsidR="00754790">
        <w:rPr>
          <w:sz w:val="26"/>
        </w:rPr>
        <w:t>ennsylvania</w:t>
      </w:r>
      <w:r w:rsidR="00754790" w:rsidRPr="00652EBB">
        <w:rPr>
          <w:sz w:val="26"/>
        </w:rPr>
        <w:t xml:space="preserve"> Code Chapter 5</w:t>
      </w:r>
      <w:r w:rsidR="0041560C">
        <w:rPr>
          <w:sz w:val="26"/>
        </w:rPr>
        <w:t>4</w:t>
      </w:r>
      <w:r w:rsidR="00754790" w:rsidRPr="00652EBB">
        <w:rPr>
          <w:sz w:val="26"/>
        </w:rPr>
        <w:t xml:space="preserve"> relating to </w:t>
      </w:r>
      <w:r w:rsidR="00071B81">
        <w:rPr>
          <w:sz w:val="26"/>
        </w:rPr>
        <w:t>Natural Gas</w:t>
      </w:r>
      <w:r w:rsidR="007E5C72">
        <w:rPr>
          <w:sz w:val="26"/>
        </w:rPr>
        <w:t xml:space="preserve"> Choice</w:t>
      </w:r>
      <w:r w:rsidR="00DA1464">
        <w:rPr>
          <w:sz w:val="26"/>
        </w:rPr>
        <w:t>, be served on</w:t>
      </w:r>
      <w:r w:rsidR="00754790">
        <w:rPr>
          <w:sz w:val="26"/>
          <w:szCs w:val="26"/>
        </w:rPr>
        <w:t xml:space="preserve"> all </w:t>
      </w:r>
      <w:r w:rsidR="00754790">
        <w:rPr>
          <w:sz w:val="26"/>
          <w:szCs w:val="26"/>
        </w:rPr>
        <w:lastRenderedPageBreak/>
        <w:t xml:space="preserve">licensed </w:t>
      </w:r>
      <w:r w:rsidR="00071B81">
        <w:rPr>
          <w:sz w:val="26"/>
          <w:szCs w:val="26"/>
        </w:rPr>
        <w:t>Natural Gas</w:t>
      </w:r>
      <w:r w:rsidR="00754790">
        <w:rPr>
          <w:sz w:val="26"/>
          <w:szCs w:val="26"/>
        </w:rPr>
        <w:t xml:space="preserve"> Suppliers, </w:t>
      </w:r>
      <w:r w:rsidR="00754790" w:rsidRPr="000A5187">
        <w:rPr>
          <w:sz w:val="26"/>
          <w:szCs w:val="26"/>
        </w:rPr>
        <w:t xml:space="preserve">the Bureau of Investigation and Enforcement, </w:t>
      </w:r>
      <w:r w:rsidR="00754790">
        <w:rPr>
          <w:sz w:val="26"/>
          <w:szCs w:val="26"/>
        </w:rPr>
        <w:t xml:space="preserve">the Office of Consumer Advocate, the Office of Small Business Advocate, and </w:t>
      </w:r>
      <w:r w:rsidR="00754790" w:rsidRPr="008A0540">
        <w:rPr>
          <w:sz w:val="26"/>
          <w:szCs w:val="26"/>
        </w:rPr>
        <w:t xml:space="preserve">those parties who submitted comments </w:t>
      </w:r>
      <w:r w:rsidR="00071B81">
        <w:rPr>
          <w:sz w:val="26"/>
          <w:szCs w:val="26"/>
        </w:rPr>
        <w:t xml:space="preserve">to the December 18, 2014 Final Order </w:t>
      </w:r>
      <w:r w:rsidR="00754790" w:rsidRPr="008A0540">
        <w:rPr>
          <w:sz w:val="26"/>
          <w:szCs w:val="26"/>
        </w:rPr>
        <w:t xml:space="preserve">at </w:t>
      </w:r>
      <w:r w:rsidR="00071B81">
        <w:rPr>
          <w:rFonts w:cstheme="minorHAnsi"/>
          <w:sz w:val="26"/>
          <w:szCs w:val="26"/>
        </w:rPr>
        <w:t>Docket Number I-2013-2381742</w:t>
      </w:r>
      <w:r w:rsidR="00754790">
        <w:rPr>
          <w:sz w:val="26"/>
          <w:szCs w:val="26"/>
        </w:rPr>
        <w:t>.</w:t>
      </w:r>
    </w:p>
    <w:p w:rsidR="00754790" w:rsidRPr="003126E0" w:rsidRDefault="00754790" w:rsidP="00754790">
      <w:pPr>
        <w:tabs>
          <w:tab w:val="left" w:pos="742"/>
        </w:tabs>
        <w:spacing w:line="360" w:lineRule="auto"/>
        <w:rPr>
          <w:sz w:val="26"/>
          <w:szCs w:val="26"/>
        </w:rPr>
      </w:pPr>
      <w:r>
        <w:rPr>
          <w:sz w:val="26"/>
          <w:szCs w:val="26"/>
        </w:rPr>
        <w:tab/>
      </w:r>
      <w:r>
        <w:rPr>
          <w:sz w:val="26"/>
          <w:szCs w:val="26"/>
        </w:rPr>
        <w:tab/>
      </w:r>
    </w:p>
    <w:p w:rsidR="00754790" w:rsidRDefault="00DB2766" w:rsidP="00071B81">
      <w:pPr>
        <w:tabs>
          <w:tab w:val="left" w:pos="742"/>
        </w:tabs>
        <w:spacing w:line="360" w:lineRule="auto"/>
        <w:rPr>
          <w:i/>
          <w:sz w:val="26"/>
          <w:szCs w:val="26"/>
        </w:rPr>
      </w:pPr>
      <w:r>
        <w:rPr>
          <w:sz w:val="26"/>
          <w:szCs w:val="26"/>
        </w:rPr>
        <w:tab/>
      </w:r>
      <w:r w:rsidR="00CB555C">
        <w:rPr>
          <w:sz w:val="26"/>
          <w:szCs w:val="26"/>
        </w:rPr>
        <w:t>7</w:t>
      </w:r>
      <w:r w:rsidR="00754790" w:rsidRPr="000A5187">
        <w:rPr>
          <w:sz w:val="26"/>
          <w:szCs w:val="26"/>
        </w:rPr>
        <w:t>.</w:t>
      </w:r>
      <w:r w:rsidR="00754790" w:rsidRPr="000A5187">
        <w:rPr>
          <w:sz w:val="26"/>
          <w:szCs w:val="26"/>
        </w:rPr>
        <w:tab/>
        <w:t xml:space="preserve">That a copy of this </w:t>
      </w:r>
      <w:r w:rsidR="0006456E">
        <w:rPr>
          <w:sz w:val="26"/>
          <w:szCs w:val="26"/>
        </w:rPr>
        <w:t>Proposed</w:t>
      </w:r>
      <w:r w:rsidR="00D64434">
        <w:rPr>
          <w:sz w:val="26"/>
          <w:szCs w:val="26"/>
        </w:rPr>
        <w:t xml:space="preserve"> Rulemaking </w:t>
      </w:r>
      <w:r w:rsidR="00D64434" w:rsidRPr="000A5187">
        <w:rPr>
          <w:sz w:val="26"/>
          <w:szCs w:val="26"/>
        </w:rPr>
        <w:t>Order</w:t>
      </w:r>
      <w:r w:rsidR="00D64434">
        <w:rPr>
          <w:sz w:val="26"/>
          <w:szCs w:val="26"/>
        </w:rPr>
        <w:t xml:space="preserve">, Attachment </w:t>
      </w:r>
      <w:r w:rsidR="00D3115E">
        <w:rPr>
          <w:sz w:val="26"/>
          <w:szCs w:val="26"/>
        </w:rPr>
        <w:t xml:space="preserve">A </w:t>
      </w:r>
      <w:r w:rsidR="00D64434">
        <w:rPr>
          <w:sz w:val="26"/>
          <w:szCs w:val="26"/>
        </w:rPr>
        <w:t>and Annex</w:t>
      </w:r>
      <w:r w:rsidR="00D3115E">
        <w:rPr>
          <w:sz w:val="26"/>
          <w:szCs w:val="26"/>
        </w:rPr>
        <w:t xml:space="preserve"> A</w:t>
      </w:r>
      <w:r w:rsidR="00D64434" w:rsidDel="00D64434">
        <w:rPr>
          <w:sz w:val="26"/>
          <w:szCs w:val="26"/>
        </w:rPr>
        <w:t xml:space="preserve"> </w:t>
      </w:r>
      <w:r w:rsidR="00754790" w:rsidRPr="000A5187">
        <w:rPr>
          <w:sz w:val="26"/>
          <w:szCs w:val="26"/>
        </w:rPr>
        <w:t xml:space="preserve">shall be posted on the Commission’s website at the Office of Competitive Market Oversight web page and on the web page for the </w:t>
      </w:r>
      <w:r w:rsidR="00754790" w:rsidRPr="000A5187">
        <w:rPr>
          <w:i/>
          <w:sz w:val="26"/>
          <w:szCs w:val="26"/>
        </w:rPr>
        <w:t xml:space="preserve">Investigation of Pennsylvania's Retail </w:t>
      </w:r>
      <w:r w:rsidR="00C272A9">
        <w:rPr>
          <w:i/>
          <w:sz w:val="26"/>
          <w:szCs w:val="26"/>
        </w:rPr>
        <w:t xml:space="preserve">Gas Supply </w:t>
      </w:r>
      <w:r w:rsidR="00754790" w:rsidRPr="000A5187">
        <w:rPr>
          <w:i/>
          <w:sz w:val="26"/>
          <w:szCs w:val="26"/>
        </w:rPr>
        <w:t>Market.</w:t>
      </w:r>
    </w:p>
    <w:p w:rsidR="00E91F49" w:rsidRPr="00D25BD4" w:rsidRDefault="00E91F49" w:rsidP="004E1F95">
      <w:pPr>
        <w:spacing w:line="360" w:lineRule="auto"/>
        <w:rPr>
          <w:rFonts w:cstheme="minorHAnsi"/>
          <w:b/>
          <w:bCs/>
          <w:sz w:val="26"/>
          <w:szCs w:val="26"/>
          <w:highlight w:val="yellow"/>
        </w:rPr>
      </w:pPr>
      <w:r w:rsidRPr="00755EBD">
        <w:rPr>
          <w:rFonts w:eastAsia="Times New Roman" w:cstheme="minorHAnsi"/>
          <w:bCs/>
          <w:sz w:val="26"/>
          <w:szCs w:val="26"/>
        </w:rPr>
        <w:tab/>
      </w:r>
    </w:p>
    <w:p w:rsidR="00E91F49" w:rsidRPr="00D87600" w:rsidRDefault="00D25BD4" w:rsidP="00D25BD4">
      <w:pPr>
        <w:tabs>
          <w:tab w:val="left" w:pos="742"/>
        </w:tabs>
        <w:spacing w:line="360" w:lineRule="auto"/>
        <w:rPr>
          <w:rFonts w:cstheme="minorHAnsi"/>
          <w:color w:val="000000"/>
          <w:sz w:val="26"/>
          <w:szCs w:val="26"/>
        </w:rPr>
      </w:pPr>
      <w:r w:rsidRPr="00977124">
        <w:rPr>
          <w:rFonts w:cstheme="minorHAnsi"/>
          <w:sz w:val="26"/>
          <w:szCs w:val="26"/>
        </w:rPr>
        <w:tab/>
      </w:r>
      <w:r w:rsidR="00CB555C">
        <w:rPr>
          <w:rFonts w:cstheme="minorHAnsi"/>
          <w:sz w:val="26"/>
          <w:szCs w:val="26"/>
        </w:rPr>
        <w:t>8</w:t>
      </w:r>
      <w:r w:rsidR="00754790">
        <w:rPr>
          <w:rFonts w:cstheme="minorHAnsi"/>
          <w:sz w:val="26"/>
          <w:szCs w:val="26"/>
        </w:rPr>
        <w:t>.</w:t>
      </w:r>
      <w:r w:rsidR="00E91F49" w:rsidRPr="00977124">
        <w:rPr>
          <w:rFonts w:cstheme="minorHAnsi"/>
          <w:sz w:val="26"/>
          <w:szCs w:val="26"/>
        </w:rPr>
        <w:tab/>
        <w:t xml:space="preserve">The contact persons for this matter are </w:t>
      </w:r>
      <w:r w:rsidR="0006456E">
        <w:rPr>
          <w:rFonts w:cstheme="minorHAnsi"/>
          <w:sz w:val="26"/>
          <w:szCs w:val="26"/>
        </w:rPr>
        <w:t>Dan Mumford</w:t>
      </w:r>
      <w:r w:rsidR="00071B81">
        <w:rPr>
          <w:rFonts w:cstheme="minorHAnsi"/>
          <w:sz w:val="26"/>
          <w:szCs w:val="26"/>
        </w:rPr>
        <w:t xml:space="preserve"> (technical)</w:t>
      </w:r>
      <w:r w:rsidR="00E91F49" w:rsidRPr="00977124">
        <w:rPr>
          <w:rFonts w:cstheme="minorHAnsi"/>
          <w:sz w:val="26"/>
          <w:szCs w:val="26"/>
        </w:rPr>
        <w:t xml:space="preserve"> in </w:t>
      </w:r>
      <w:r w:rsidR="0006456E">
        <w:rPr>
          <w:rFonts w:cstheme="minorHAnsi"/>
          <w:sz w:val="26"/>
          <w:szCs w:val="26"/>
        </w:rPr>
        <w:t>the Office of Competitive Market Oversight</w:t>
      </w:r>
      <w:r w:rsidR="00E91F49" w:rsidRPr="00977124">
        <w:rPr>
          <w:rFonts w:cstheme="minorHAnsi"/>
          <w:sz w:val="26"/>
          <w:szCs w:val="26"/>
        </w:rPr>
        <w:t xml:space="preserve"> </w:t>
      </w:r>
      <w:r w:rsidR="00071B81">
        <w:rPr>
          <w:rFonts w:cstheme="minorHAnsi"/>
          <w:sz w:val="26"/>
          <w:szCs w:val="26"/>
        </w:rPr>
        <w:t xml:space="preserve">at </w:t>
      </w:r>
      <w:r w:rsidR="00E91F49" w:rsidRPr="00977124">
        <w:rPr>
          <w:rFonts w:cstheme="minorHAnsi"/>
          <w:sz w:val="26"/>
          <w:szCs w:val="26"/>
        </w:rPr>
        <w:t xml:space="preserve">(717) </w:t>
      </w:r>
      <w:r w:rsidR="00D87600" w:rsidRPr="00977124">
        <w:rPr>
          <w:rFonts w:cstheme="minorHAnsi"/>
          <w:sz w:val="26"/>
          <w:szCs w:val="26"/>
        </w:rPr>
        <w:t>783-1</w:t>
      </w:r>
      <w:r w:rsidR="0006456E">
        <w:rPr>
          <w:rFonts w:cstheme="minorHAnsi"/>
          <w:sz w:val="26"/>
          <w:szCs w:val="26"/>
        </w:rPr>
        <w:t>957</w:t>
      </w:r>
      <w:r w:rsidR="00D87600" w:rsidRPr="00977124">
        <w:rPr>
          <w:rFonts w:cstheme="minorHAnsi"/>
          <w:sz w:val="26"/>
          <w:szCs w:val="26"/>
        </w:rPr>
        <w:t xml:space="preserve"> </w:t>
      </w:r>
      <w:r w:rsidR="00E91F49" w:rsidRPr="00977124">
        <w:rPr>
          <w:rFonts w:cstheme="minorHAnsi"/>
          <w:sz w:val="26"/>
          <w:szCs w:val="26"/>
        </w:rPr>
        <w:t xml:space="preserve">and </w:t>
      </w:r>
      <w:r w:rsidR="0006456E">
        <w:rPr>
          <w:rFonts w:cstheme="minorHAnsi"/>
          <w:sz w:val="26"/>
          <w:szCs w:val="26"/>
        </w:rPr>
        <w:t>Ken Stark</w:t>
      </w:r>
      <w:r w:rsidR="00071B81">
        <w:rPr>
          <w:rFonts w:cstheme="minorHAnsi"/>
          <w:sz w:val="26"/>
          <w:szCs w:val="26"/>
        </w:rPr>
        <w:t xml:space="preserve"> (legal)</w:t>
      </w:r>
      <w:r w:rsidR="00E91F49" w:rsidRPr="00977124">
        <w:rPr>
          <w:rFonts w:cstheme="minorHAnsi"/>
          <w:sz w:val="26"/>
          <w:szCs w:val="26"/>
        </w:rPr>
        <w:t xml:space="preserve"> in the Law Bureau </w:t>
      </w:r>
      <w:r w:rsidR="00071B81">
        <w:rPr>
          <w:rFonts w:cstheme="minorHAnsi"/>
          <w:sz w:val="26"/>
          <w:szCs w:val="26"/>
        </w:rPr>
        <w:t xml:space="preserve">at </w:t>
      </w:r>
      <w:r w:rsidR="00E91F49" w:rsidRPr="00977124">
        <w:rPr>
          <w:rFonts w:cstheme="minorHAnsi"/>
          <w:sz w:val="26"/>
          <w:szCs w:val="26"/>
        </w:rPr>
        <w:t xml:space="preserve">(717) </w:t>
      </w:r>
      <w:r w:rsidR="00D87600" w:rsidRPr="00977124">
        <w:rPr>
          <w:rFonts w:cstheme="minorHAnsi"/>
          <w:sz w:val="26"/>
          <w:szCs w:val="26"/>
        </w:rPr>
        <w:t>787-55</w:t>
      </w:r>
      <w:r w:rsidR="0006456E">
        <w:rPr>
          <w:rFonts w:cstheme="minorHAnsi"/>
          <w:sz w:val="26"/>
          <w:szCs w:val="26"/>
        </w:rPr>
        <w:t>58</w:t>
      </w:r>
      <w:r w:rsidR="00E91F49" w:rsidRPr="00977124">
        <w:rPr>
          <w:rFonts w:cstheme="minorHAnsi"/>
          <w:sz w:val="26"/>
          <w:szCs w:val="26"/>
        </w:rPr>
        <w:t>.</w:t>
      </w:r>
      <w:r w:rsidR="00C272A9">
        <w:rPr>
          <w:rFonts w:cstheme="minorHAnsi"/>
          <w:sz w:val="26"/>
          <w:szCs w:val="26"/>
        </w:rPr>
        <w:t xml:space="preserve">  Inquiries may also be emailed to the Commission’s Office of Competitive Market Oversight at </w:t>
      </w:r>
      <w:hyperlink r:id="rId9" w:history="1">
        <w:r w:rsidR="00C272A9" w:rsidRPr="00E908CD">
          <w:rPr>
            <w:rStyle w:val="Hyperlink"/>
            <w:rFonts w:cstheme="minorHAnsi"/>
            <w:sz w:val="26"/>
            <w:szCs w:val="26"/>
          </w:rPr>
          <w:t>ra-ocmo@pa.gov</w:t>
        </w:r>
      </w:hyperlink>
      <w:r w:rsidR="00C272A9">
        <w:rPr>
          <w:rFonts w:cstheme="minorHAnsi"/>
          <w:sz w:val="26"/>
          <w:szCs w:val="26"/>
        </w:rPr>
        <w:t xml:space="preserve">. </w:t>
      </w:r>
      <w:r w:rsidR="00E91F49" w:rsidRPr="00E66954">
        <w:rPr>
          <w:rFonts w:cstheme="minorHAnsi"/>
          <w:color w:val="000000"/>
          <w:sz w:val="26"/>
          <w:szCs w:val="26"/>
        </w:rPr>
        <w:tab/>
      </w:r>
    </w:p>
    <w:p w:rsidR="00952405" w:rsidRDefault="00952405" w:rsidP="00213616">
      <w:pPr>
        <w:pStyle w:val="p17"/>
        <w:spacing w:line="360" w:lineRule="auto"/>
        <w:ind w:left="5057"/>
        <w:rPr>
          <w:rFonts w:asciiTheme="minorHAnsi" w:hAnsiTheme="minorHAnsi" w:cstheme="minorHAnsi"/>
          <w:b/>
          <w:bCs/>
          <w:color w:val="000000"/>
          <w:sz w:val="26"/>
          <w:szCs w:val="26"/>
        </w:rPr>
      </w:pPr>
    </w:p>
    <w:p w:rsidR="00952405" w:rsidRDefault="00952405" w:rsidP="00213616">
      <w:pPr>
        <w:pStyle w:val="p17"/>
        <w:spacing w:line="360" w:lineRule="auto"/>
        <w:ind w:left="5057"/>
        <w:rPr>
          <w:rFonts w:asciiTheme="minorHAnsi" w:hAnsiTheme="minorHAnsi" w:cstheme="minorHAnsi"/>
          <w:b/>
          <w:bCs/>
          <w:color w:val="000000"/>
          <w:sz w:val="26"/>
          <w:szCs w:val="26"/>
        </w:rPr>
      </w:pPr>
    </w:p>
    <w:p w:rsidR="00E91F49" w:rsidRPr="00D87600" w:rsidRDefault="00CA2792" w:rsidP="00213616">
      <w:pPr>
        <w:pStyle w:val="p17"/>
        <w:spacing w:line="360" w:lineRule="auto"/>
        <w:ind w:left="5057"/>
        <w:rPr>
          <w:rFonts w:cstheme="minorHAnsi"/>
          <w:b/>
          <w:bCs/>
          <w:sz w:val="26"/>
          <w:szCs w:val="26"/>
        </w:rPr>
      </w:pPr>
      <w:bookmarkStart w:id="1" w:name="_GoBack"/>
      <w:r>
        <w:rPr>
          <w:noProof/>
        </w:rPr>
        <w:drawing>
          <wp:anchor distT="0" distB="0" distL="114300" distR="114300" simplePos="0" relativeHeight="251665408" behindDoc="1" locked="0" layoutInCell="1" allowOverlap="1" wp14:anchorId="33D56F74" wp14:editId="1E2179C7">
            <wp:simplePos x="0" y="0"/>
            <wp:positionH relativeFrom="column">
              <wp:posOffset>2984500</wp:posOffset>
            </wp:positionH>
            <wp:positionV relativeFrom="paragraph">
              <wp:posOffset>226695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E91F49" w:rsidRPr="00D87600">
        <w:rPr>
          <w:rFonts w:asciiTheme="minorHAnsi" w:hAnsiTheme="minorHAnsi" w:cstheme="minorHAnsi"/>
          <w:b/>
          <w:bCs/>
          <w:color w:val="000000"/>
          <w:sz w:val="26"/>
          <w:szCs w:val="26"/>
        </w:rPr>
        <w:br/>
        <w:t>BY THE COMMISSION</w:t>
      </w:r>
    </w:p>
    <w:p w:rsidR="00E91F49" w:rsidRPr="00D87600" w:rsidRDefault="00CA2792" w:rsidP="00D25BD4">
      <w:pPr>
        <w:tabs>
          <w:tab w:val="left" w:pos="5057"/>
        </w:tabs>
        <w:spacing w:line="360" w:lineRule="auto"/>
        <w:rPr>
          <w:rFonts w:cstheme="minorHAnsi"/>
          <w:b/>
          <w:bCs/>
          <w:sz w:val="26"/>
          <w:szCs w:val="26"/>
        </w:rPr>
      </w:pPr>
      <w:r>
        <w:rPr>
          <w:noProof/>
        </w:rPr>
        <w:drawing>
          <wp:anchor distT="0" distB="0" distL="114300" distR="114300" simplePos="0" relativeHeight="251663360" behindDoc="1" locked="0" layoutInCell="1" allowOverlap="1" wp14:anchorId="5D09AD20" wp14:editId="57439E3C">
            <wp:simplePos x="0" y="0"/>
            <wp:positionH relativeFrom="column">
              <wp:posOffset>4455160</wp:posOffset>
            </wp:positionH>
            <wp:positionV relativeFrom="paragraph">
              <wp:posOffset>-7696200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E91F49" w:rsidRPr="00D87600" w:rsidRDefault="00E91F49" w:rsidP="00213616">
      <w:pPr>
        <w:pStyle w:val="p18"/>
        <w:ind w:left="5069"/>
        <w:rPr>
          <w:rFonts w:asciiTheme="minorHAnsi" w:hAnsiTheme="minorHAnsi" w:cstheme="minorHAnsi"/>
          <w:sz w:val="26"/>
          <w:szCs w:val="26"/>
        </w:rPr>
      </w:pPr>
      <w:r w:rsidRPr="00D87600">
        <w:rPr>
          <w:rFonts w:asciiTheme="minorHAnsi" w:hAnsiTheme="minorHAnsi" w:cstheme="minorHAnsi"/>
          <w:sz w:val="26"/>
          <w:szCs w:val="26"/>
        </w:rPr>
        <w:t>Rosemary Chiavetta</w:t>
      </w:r>
    </w:p>
    <w:p w:rsidR="00E91F49" w:rsidRPr="00D87600" w:rsidRDefault="00E91F49" w:rsidP="00213616">
      <w:pPr>
        <w:pStyle w:val="p18"/>
        <w:ind w:left="5069"/>
        <w:rPr>
          <w:rFonts w:asciiTheme="minorHAnsi" w:hAnsiTheme="minorHAnsi" w:cstheme="minorHAnsi"/>
          <w:sz w:val="26"/>
          <w:szCs w:val="26"/>
        </w:rPr>
      </w:pPr>
      <w:r w:rsidRPr="00D87600">
        <w:rPr>
          <w:rFonts w:asciiTheme="minorHAnsi" w:hAnsiTheme="minorHAnsi" w:cstheme="minorHAnsi"/>
          <w:sz w:val="26"/>
          <w:szCs w:val="26"/>
        </w:rPr>
        <w:t>Secretary</w:t>
      </w:r>
    </w:p>
    <w:p w:rsidR="00E91F49" w:rsidRPr="00D87600" w:rsidRDefault="00E91F49" w:rsidP="00D25BD4">
      <w:pPr>
        <w:tabs>
          <w:tab w:val="left" w:pos="5062"/>
        </w:tabs>
        <w:spacing w:line="360" w:lineRule="auto"/>
        <w:rPr>
          <w:rFonts w:cstheme="minorHAnsi"/>
          <w:sz w:val="26"/>
          <w:szCs w:val="26"/>
        </w:rPr>
      </w:pPr>
    </w:p>
    <w:p w:rsidR="00E91F49" w:rsidRPr="00D87600" w:rsidRDefault="00E91F49" w:rsidP="00D25BD4">
      <w:pPr>
        <w:pStyle w:val="p14"/>
        <w:spacing w:line="360" w:lineRule="auto"/>
        <w:rPr>
          <w:rFonts w:asciiTheme="minorHAnsi" w:hAnsiTheme="minorHAnsi" w:cstheme="minorHAnsi"/>
          <w:sz w:val="26"/>
          <w:szCs w:val="26"/>
        </w:rPr>
      </w:pPr>
      <w:r w:rsidRPr="00D87600">
        <w:rPr>
          <w:rFonts w:asciiTheme="minorHAnsi" w:hAnsiTheme="minorHAnsi" w:cstheme="minorHAnsi"/>
          <w:sz w:val="26"/>
          <w:szCs w:val="26"/>
        </w:rPr>
        <w:t>(SEAL)</w:t>
      </w:r>
    </w:p>
    <w:p w:rsidR="004E6F65" w:rsidRDefault="00E91F49" w:rsidP="00213616">
      <w:pPr>
        <w:pStyle w:val="p14"/>
        <w:rPr>
          <w:rFonts w:asciiTheme="minorHAnsi" w:hAnsiTheme="minorHAnsi" w:cstheme="minorHAnsi"/>
          <w:sz w:val="26"/>
          <w:szCs w:val="26"/>
        </w:rPr>
      </w:pPr>
      <w:r w:rsidRPr="00D87600">
        <w:rPr>
          <w:rFonts w:asciiTheme="minorHAnsi" w:hAnsiTheme="minorHAnsi" w:cstheme="minorHAnsi"/>
          <w:sz w:val="26"/>
          <w:szCs w:val="26"/>
        </w:rPr>
        <w:t xml:space="preserve">ORDER ADOPTED: </w:t>
      </w:r>
      <w:r w:rsidR="005969FE" w:rsidRPr="00B85130">
        <w:rPr>
          <w:rFonts w:asciiTheme="minorHAnsi" w:hAnsiTheme="minorHAnsi" w:cstheme="minorHAnsi"/>
          <w:sz w:val="26"/>
          <w:szCs w:val="26"/>
        </w:rPr>
        <w:t>March 26, 2015</w:t>
      </w:r>
    </w:p>
    <w:p w:rsidR="00213616" w:rsidRDefault="00213616" w:rsidP="00213616">
      <w:pPr>
        <w:pStyle w:val="p14"/>
        <w:rPr>
          <w:rFonts w:asciiTheme="minorHAnsi" w:hAnsiTheme="minorHAnsi" w:cstheme="minorHAnsi"/>
          <w:sz w:val="26"/>
          <w:szCs w:val="26"/>
        </w:rPr>
      </w:pPr>
    </w:p>
    <w:p w:rsidR="00977124" w:rsidRDefault="00977124" w:rsidP="00213616">
      <w:pPr>
        <w:pStyle w:val="p14"/>
        <w:rPr>
          <w:sz w:val="26"/>
          <w:szCs w:val="26"/>
        </w:rPr>
      </w:pPr>
      <w:r>
        <w:rPr>
          <w:sz w:val="26"/>
          <w:szCs w:val="26"/>
        </w:rPr>
        <w:t>ORDER ENTERED:</w:t>
      </w:r>
      <w:r w:rsidR="00CA5ABE">
        <w:rPr>
          <w:sz w:val="26"/>
          <w:szCs w:val="26"/>
        </w:rPr>
        <w:t xml:space="preserve">  </w:t>
      </w:r>
      <w:r w:rsidR="00CA2792">
        <w:rPr>
          <w:sz w:val="26"/>
          <w:szCs w:val="26"/>
        </w:rPr>
        <w:t>March 26, 2015</w:t>
      </w:r>
    </w:p>
    <w:p w:rsidR="00977124" w:rsidRDefault="00977124">
      <w:pPr>
        <w:spacing w:after="200"/>
        <w:rPr>
          <w:rFonts w:ascii="Times New Roman" w:eastAsia="Times New Roman" w:hAnsi="Times New Roman"/>
          <w:sz w:val="26"/>
          <w:szCs w:val="26"/>
          <w:lang w:bidi="ar-SA"/>
        </w:rPr>
      </w:pPr>
      <w:r>
        <w:rPr>
          <w:sz w:val="26"/>
          <w:szCs w:val="26"/>
        </w:rPr>
        <w:br w:type="page"/>
      </w:r>
    </w:p>
    <w:p w:rsidR="00977124" w:rsidRPr="00BE0FF4" w:rsidRDefault="00977124" w:rsidP="00B27C80">
      <w:pPr>
        <w:spacing w:after="200"/>
        <w:jc w:val="center"/>
        <w:rPr>
          <w:rFonts w:eastAsia="Times New Roman" w:cstheme="minorHAnsi"/>
          <w:b/>
          <w:bCs/>
          <w:sz w:val="26"/>
          <w:szCs w:val="26"/>
        </w:rPr>
      </w:pPr>
      <w:r w:rsidRPr="002A0094">
        <w:rPr>
          <w:rFonts w:eastAsia="Times New Roman" w:cstheme="minorHAnsi"/>
          <w:b/>
          <w:bCs/>
          <w:sz w:val="26"/>
          <w:szCs w:val="26"/>
        </w:rPr>
        <w:lastRenderedPageBreak/>
        <w:t>ATTACHMENT A</w:t>
      </w:r>
    </w:p>
    <w:p w:rsidR="00977124" w:rsidRPr="00BE0FF4" w:rsidRDefault="00C272A9" w:rsidP="00977124">
      <w:pPr>
        <w:rPr>
          <w:rFonts w:cstheme="minorHAnsi"/>
          <w:sz w:val="26"/>
          <w:szCs w:val="26"/>
        </w:rPr>
      </w:pPr>
      <w:r>
        <w:rPr>
          <w:rFonts w:cstheme="minorHAnsi"/>
          <w:b/>
          <w:sz w:val="26"/>
          <w:szCs w:val="26"/>
        </w:rPr>
        <w:t>Natural Gas</w:t>
      </w:r>
      <w:r w:rsidR="00977124" w:rsidRPr="00BE0FF4">
        <w:rPr>
          <w:rFonts w:cstheme="minorHAnsi"/>
          <w:b/>
          <w:sz w:val="26"/>
          <w:szCs w:val="26"/>
        </w:rPr>
        <w:t xml:space="preserve"> Supplier Contract Summary</w:t>
      </w:r>
    </w:p>
    <w:tbl>
      <w:tblPr>
        <w:tblStyle w:val="TableGrid"/>
        <w:tblW w:w="0" w:type="auto"/>
        <w:tblLook w:val="04A0" w:firstRow="1" w:lastRow="0" w:firstColumn="1" w:lastColumn="0" w:noHBand="0" w:noVBand="1"/>
      </w:tblPr>
      <w:tblGrid>
        <w:gridCol w:w="4788"/>
        <w:gridCol w:w="4788"/>
      </w:tblGrid>
      <w:tr w:rsidR="00977124" w:rsidRPr="002530E7" w:rsidTr="00977124">
        <w:tc>
          <w:tcPr>
            <w:tcW w:w="4788" w:type="dxa"/>
          </w:tcPr>
          <w:p w:rsidR="00977124" w:rsidRPr="00BE0FF4" w:rsidRDefault="008B31D0" w:rsidP="00977124">
            <w:pPr>
              <w:rPr>
                <w:rFonts w:asciiTheme="minorHAnsi" w:hAnsiTheme="minorHAnsi" w:cstheme="minorHAnsi"/>
                <w:sz w:val="26"/>
                <w:szCs w:val="26"/>
              </w:rPr>
            </w:pPr>
            <w:r>
              <w:rPr>
                <w:rFonts w:asciiTheme="minorHAnsi" w:hAnsiTheme="minorHAnsi" w:cstheme="minorHAnsi"/>
                <w:sz w:val="26"/>
                <w:szCs w:val="26"/>
              </w:rPr>
              <w:t>Natural Gas</w:t>
            </w:r>
            <w:r w:rsidR="00977124" w:rsidRPr="00BE0FF4">
              <w:rPr>
                <w:rFonts w:asciiTheme="minorHAnsi" w:hAnsiTheme="minorHAnsi" w:cstheme="minorHAnsi"/>
                <w:sz w:val="26"/>
                <w:szCs w:val="26"/>
              </w:rPr>
              <w:t xml:space="preserve"> Supplier Information</w:t>
            </w:r>
          </w:p>
        </w:tc>
        <w:tc>
          <w:tcPr>
            <w:tcW w:w="4788" w:type="dxa"/>
          </w:tcPr>
          <w:p w:rsidR="00977124" w:rsidRPr="00BE0FF4" w:rsidRDefault="00977124" w:rsidP="00977124">
            <w:pPr>
              <w:rPr>
                <w:rFonts w:asciiTheme="minorHAnsi" w:hAnsiTheme="minorHAnsi" w:cstheme="minorHAnsi"/>
                <w:i/>
                <w:sz w:val="26"/>
                <w:szCs w:val="26"/>
              </w:rPr>
            </w:pPr>
            <w:r w:rsidRPr="00BE0FF4">
              <w:rPr>
                <w:rFonts w:asciiTheme="minorHAnsi" w:hAnsiTheme="minorHAnsi" w:cstheme="minorHAnsi"/>
                <w:i/>
                <w:sz w:val="26"/>
                <w:szCs w:val="26"/>
              </w:rPr>
              <w:t>Name, telephone number, website, etc.</w:t>
            </w:r>
          </w:p>
          <w:p w:rsidR="00977124" w:rsidRPr="00BE0FF4" w:rsidRDefault="00202C13" w:rsidP="000E1F77">
            <w:pPr>
              <w:rPr>
                <w:rFonts w:asciiTheme="minorHAnsi" w:hAnsiTheme="minorHAnsi" w:cstheme="minorHAnsi"/>
                <w:i/>
                <w:sz w:val="26"/>
                <w:szCs w:val="26"/>
              </w:rPr>
            </w:pPr>
            <w:r>
              <w:rPr>
                <w:rFonts w:asciiTheme="minorHAnsi" w:hAnsiTheme="minorHAnsi" w:cstheme="minorHAnsi"/>
                <w:i/>
                <w:sz w:val="26"/>
                <w:szCs w:val="26"/>
              </w:rPr>
              <w:t>Plain language statement that N</w:t>
            </w:r>
            <w:r w:rsidR="00977124" w:rsidRPr="00BE0FF4">
              <w:rPr>
                <w:rFonts w:asciiTheme="minorHAnsi" w:hAnsiTheme="minorHAnsi" w:cstheme="minorHAnsi"/>
                <w:i/>
                <w:sz w:val="26"/>
                <w:szCs w:val="26"/>
              </w:rPr>
              <w:t xml:space="preserve">GS is responsible for </w:t>
            </w:r>
            <w:r w:rsidR="000E1F77">
              <w:rPr>
                <w:rFonts w:asciiTheme="minorHAnsi" w:hAnsiTheme="minorHAnsi" w:cstheme="minorHAnsi"/>
                <w:i/>
                <w:sz w:val="26"/>
                <w:szCs w:val="26"/>
              </w:rPr>
              <w:t xml:space="preserve">gas commodity </w:t>
            </w:r>
            <w:r w:rsidR="00977124" w:rsidRPr="00BE0FF4">
              <w:rPr>
                <w:rFonts w:asciiTheme="minorHAnsi" w:hAnsiTheme="minorHAnsi" w:cstheme="minorHAnsi"/>
                <w:i/>
                <w:sz w:val="26"/>
                <w:szCs w:val="26"/>
              </w:rPr>
              <w:t>charges.</w:t>
            </w:r>
          </w:p>
        </w:tc>
      </w:tr>
      <w:tr w:rsidR="00977124" w:rsidRPr="002530E7" w:rsidTr="00977124">
        <w:tc>
          <w:tcPr>
            <w:tcW w:w="4788" w:type="dxa"/>
          </w:tcPr>
          <w:p w:rsidR="00977124" w:rsidRPr="00BE0FF4" w:rsidRDefault="002A0094" w:rsidP="00977124">
            <w:pPr>
              <w:rPr>
                <w:rFonts w:asciiTheme="minorHAnsi" w:hAnsiTheme="minorHAnsi" w:cstheme="minorHAnsi"/>
                <w:sz w:val="26"/>
                <w:szCs w:val="26"/>
              </w:rPr>
            </w:pPr>
            <w:r>
              <w:rPr>
                <w:rFonts w:asciiTheme="minorHAnsi" w:hAnsiTheme="minorHAnsi" w:cstheme="minorHAnsi"/>
                <w:sz w:val="26"/>
                <w:szCs w:val="26"/>
              </w:rPr>
              <w:t xml:space="preserve">Natural Gas </w:t>
            </w:r>
            <w:r w:rsidR="00977124" w:rsidRPr="00BE0FF4">
              <w:rPr>
                <w:rFonts w:asciiTheme="minorHAnsi" w:hAnsiTheme="minorHAnsi" w:cstheme="minorHAnsi"/>
                <w:sz w:val="26"/>
                <w:szCs w:val="26"/>
              </w:rPr>
              <w:t>Price Structure</w:t>
            </w:r>
          </w:p>
        </w:tc>
        <w:tc>
          <w:tcPr>
            <w:tcW w:w="4788" w:type="dxa"/>
          </w:tcPr>
          <w:p w:rsidR="00977124" w:rsidRPr="00BE0FF4" w:rsidRDefault="00977124" w:rsidP="00202C13">
            <w:pPr>
              <w:rPr>
                <w:rFonts w:asciiTheme="minorHAnsi" w:hAnsiTheme="minorHAnsi" w:cstheme="minorHAnsi"/>
                <w:i/>
                <w:sz w:val="26"/>
                <w:szCs w:val="26"/>
              </w:rPr>
            </w:pPr>
            <w:r w:rsidRPr="00BE0FF4">
              <w:rPr>
                <w:rFonts w:asciiTheme="minorHAnsi" w:hAnsiTheme="minorHAnsi" w:cstheme="minorHAnsi"/>
                <w:i/>
                <w:sz w:val="26"/>
                <w:szCs w:val="26"/>
              </w:rPr>
              <w:t xml:space="preserve">Fixed or variable.  If variable, based on what?  </w:t>
            </w:r>
            <w:r w:rsidR="00DA1464">
              <w:rPr>
                <w:rFonts w:asciiTheme="minorHAnsi" w:hAnsiTheme="minorHAnsi" w:cstheme="minorHAnsi"/>
                <w:i/>
                <w:sz w:val="26"/>
                <w:szCs w:val="26"/>
              </w:rPr>
              <w:t xml:space="preserve">If variable, how often is the </w:t>
            </w:r>
            <w:r w:rsidR="00202C13">
              <w:rPr>
                <w:rFonts w:asciiTheme="minorHAnsi" w:hAnsiTheme="minorHAnsi" w:cstheme="minorHAnsi"/>
                <w:i/>
                <w:sz w:val="26"/>
                <w:szCs w:val="26"/>
              </w:rPr>
              <w:t>price</w:t>
            </w:r>
            <w:r w:rsidR="00DA1464">
              <w:rPr>
                <w:rFonts w:asciiTheme="minorHAnsi" w:hAnsiTheme="minorHAnsi" w:cstheme="minorHAnsi"/>
                <w:i/>
                <w:sz w:val="26"/>
                <w:szCs w:val="26"/>
              </w:rPr>
              <w:t xml:space="preserve"> expected to vary? </w:t>
            </w:r>
            <w:r w:rsidRPr="00BE0FF4">
              <w:rPr>
                <w:rFonts w:asciiTheme="minorHAnsi" w:hAnsiTheme="minorHAnsi" w:cstheme="minorHAnsi"/>
                <w:i/>
                <w:sz w:val="26"/>
                <w:szCs w:val="26"/>
              </w:rPr>
              <w:t xml:space="preserve">If variable, </w:t>
            </w:r>
            <w:r w:rsidR="00B27C80">
              <w:rPr>
                <w:rFonts w:asciiTheme="minorHAnsi" w:hAnsiTheme="minorHAnsi" w:cstheme="minorHAnsi"/>
                <w:i/>
                <w:sz w:val="26"/>
                <w:szCs w:val="26"/>
              </w:rPr>
              <w:t xml:space="preserve">give </w:t>
            </w:r>
            <w:r w:rsidRPr="00BE0FF4">
              <w:rPr>
                <w:rFonts w:asciiTheme="minorHAnsi" w:hAnsiTheme="minorHAnsi" w:cstheme="minorHAnsi"/>
                <w:i/>
                <w:sz w:val="26"/>
                <w:szCs w:val="26"/>
              </w:rPr>
              <w:t xml:space="preserve">any applicable ranges/ceilings. If no ranges/ceilings, a plain language statement indicating </w:t>
            </w:r>
            <w:r w:rsidR="00B27C80">
              <w:rPr>
                <w:rFonts w:asciiTheme="minorHAnsi" w:hAnsiTheme="minorHAnsi" w:cstheme="minorHAnsi"/>
                <w:i/>
                <w:sz w:val="26"/>
                <w:szCs w:val="26"/>
              </w:rPr>
              <w:t>this fact</w:t>
            </w:r>
            <w:r w:rsidRPr="00BE0FF4">
              <w:rPr>
                <w:rFonts w:asciiTheme="minorHAnsi" w:hAnsiTheme="minorHAnsi" w:cstheme="minorHAnsi"/>
                <w:i/>
                <w:sz w:val="26"/>
                <w:szCs w:val="26"/>
              </w:rPr>
              <w:t>.</w:t>
            </w:r>
            <w:r w:rsidR="00B27C80">
              <w:rPr>
                <w:rFonts w:asciiTheme="minorHAnsi" w:hAnsiTheme="minorHAnsi" w:cstheme="minorHAnsi"/>
                <w:i/>
                <w:sz w:val="26"/>
                <w:szCs w:val="26"/>
              </w:rPr>
              <w:t xml:space="preserve">  If variable, describe when the customer will receive notification of price changes in relation to time of month, final monthly meter read, </w:t>
            </w:r>
            <w:proofErr w:type="gramStart"/>
            <w:r w:rsidR="00B27C80">
              <w:rPr>
                <w:rFonts w:asciiTheme="minorHAnsi" w:hAnsiTheme="minorHAnsi" w:cstheme="minorHAnsi"/>
                <w:i/>
                <w:sz w:val="26"/>
                <w:szCs w:val="26"/>
              </w:rPr>
              <w:t>billing</w:t>
            </w:r>
            <w:proofErr w:type="gramEnd"/>
            <w:r w:rsidR="00B27C80">
              <w:rPr>
                <w:rFonts w:asciiTheme="minorHAnsi" w:hAnsiTheme="minorHAnsi" w:cstheme="minorHAnsi"/>
                <w:i/>
                <w:sz w:val="26"/>
                <w:szCs w:val="26"/>
              </w:rPr>
              <w:t xml:space="preserve"> cycle or when </w:t>
            </w:r>
            <w:r w:rsidR="00AE07F5">
              <w:rPr>
                <w:rFonts w:asciiTheme="minorHAnsi" w:hAnsiTheme="minorHAnsi" w:cstheme="minorHAnsi"/>
                <w:i/>
                <w:sz w:val="26"/>
                <w:szCs w:val="26"/>
              </w:rPr>
              <w:t>the price takes effect.</w:t>
            </w:r>
          </w:p>
        </w:tc>
      </w:tr>
      <w:tr w:rsidR="00977124" w:rsidRPr="002530E7" w:rsidTr="00977124">
        <w:tc>
          <w:tcPr>
            <w:tcW w:w="4788" w:type="dxa"/>
          </w:tcPr>
          <w:p w:rsidR="00977124" w:rsidRPr="00BE0FF4" w:rsidRDefault="002A0094" w:rsidP="00977124">
            <w:pPr>
              <w:rPr>
                <w:rFonts w:asciiTheme="minorHAnsi" w:hAnsiTheme="minorHAnsi" w:cstheme="minorHAnsi"/>
                <w:sz w:val="26"/>
                <w:szCs w:val="26"/>
              </w:rPr>
            </w:pPr>
            <w:r>
              <w:rPr>
                <w:rFonts w:asciiTheme="minorHAnsi" w:hAnsiTheme="minorHAnsi" w:cstheme="minorHAnsi"/>
                <w:sz w:val="26"/>
                <w:szCs w:val="26"/>
              </w:rPr>
              <w:t xml:space="preserve">Natural Gas </w:t>
            </w:r>
            <w:r w:rsidR="00977124" w:rsidRPr="00BE0FF4">
              <w:rPr>
                <w:rFonts w:asciiTheme="minorHAnsi" w:hAnsiTheme="minorHAnsi" w:cstheme="minorHAnsi"/>
                <w:sz w:val="26"/>
                <w:szCs w:val="26"/>
              </w:rPr>
              <w:t>Supply Price</w:t>
            </w:r>
          </w:p>
        </w:tc>
        <w:tc>
          <w:tcPr>
            <w:tcW w:w="4788" w:type="dxa"/>
          </w:tcPr>
          <w:p w:rsidR="00977124" w:rsidRPr="00BE0FF4" w:rsidRDefault="00977124" w:rsidP="002A0094">
            <w:pPr>
              <w:rPr>
                <w:rFonts w:asciiTheme="minorHAnsi" w:hAnsiTheme="minorHAnsi" w:cstheme="minorHAnsi"/>
                <w:i/>
                <w:sz w:val="26"/>
                <w:szCs w:val="26"/>
              </w:rPr>
            </w:pPr>
            <w:r w:rsidRPr="002A0094">
              <w:rPr>
                <w:rFonts w:asciiTheme="minorHAnsi" w:hAnsiTheme="minorHAnsi" w:cstheme="minorHAnsi"/>
                <w:i/>
                <w:sz w:val="26"/>
                <w:szCs w:val="26"/>
                <w:shd w:val="clear" w:color="auto" w:fill="FFFFFF" w:themeFill="background1"/>
              </w:rPr>
              <w:t>$/</w:t>
            </w:r>
            <w:r w:rsidR="002A0094" w:rsidRPr="002A0094">
              <w:rPr>
                <w:rFonts w:asciiTheme="minorHAnsi" w:hAnsiTheme="minorHAnsi" w:cstheme="minorHAnsi"/>
                <w:i/>
                <w:sz w:val="26"/>
                <w:szCs w:val="26"/>
                <w:shd w:val="clear" w:color="auto" w:fill="FFFFFF" w:themeFill="background1"/>
              </w:rPr>
              <w:t>unit</w:t>
            </w:r>
            <w:r w:rsidRPr="002A0094">
              <w:rPr>
                <w:rFonts w:asciiTheme="minorHAnsi" w:hAnsiTheme="minorHAnsi" w:cstheme="minorHAnsi"/>
                <w:i/>
                <w:sz w:val="26"/>
                <w:szCs w:val="26"/>
                <w:shd w:val="clear" w:color="auto" w:fill="FFFFFF" w:themeFill="background1"/>
              </w:rPr>
              <w:t xml:space="preserve"> or ¢/</w:t>
            </w:r>
            <w:r w:rsidR="002A0094" w:rsidRPr="002A0094">
              <w:rPr>
                <w:rFonts w:asciiTheme="minorHAnsi" w:hAnsiTheme="minorHAnsi" w:cstheme="minorHAnsi"/>
                <w:i/>
                <w:sz w:val="26"/>
                <w:szCs w:val="26"/>
                <w:shd w:val="clear" w:color="auto" w:fill="FFFFFF" w:themeFill="background1"/>
              </w:rPr>
              <w:t>unit</w:t>
            </w:r>
            <w:r w:rsidRPr="00BE0FF4">
              <w:rPr>
                <w:rFonts w:asciiTheme="minorHAnsi" w:hAnsiTheme="minorHAnsi" w:cstheme="minorHAnsi"/>
                <w:i/>
                <w:sz w:val="26"/>
                <w:szCs w:val="26"/>
              </w:rPr>
              <w:t>.  If variable</w:t>
            </w:r>
            <w:r w:rsidR="00202C13">
              <w:rPr>
                <w:rFonts w:asciiTheme="minorHAnsi" w:hAnsiTheme="minorHAnsi" w:cstheme="minorHAnsi"/>
                <w:i/>
                <w:sz w:val="26"/>
                <w:szCs w:val="26"/>
              </w:rPr>
              <w:t xml:space="preserve"> price</w:t>
            </w:r>
            <w:r w:rsidRPr="00BE0FF4">
              <w:rPr>
                <w:rFonts w:asciiTheme="minorHAnsi" w:hAnsiTheme="minorHAnsi" w:cstheme="minorHAnsi"/>
                <w:i/>
                <w:sz w:val="26"/>
                <w:szCs w:val="26"/>
              </w:rPr>
              <w:t>, the first billing cycle’s rate.  Any introductory rate with</w:t>
            </w:r>
            <w:r w:rsidR="00202C13">
              <w:rPr>
                <w:rFonts w:asciiTheme="minorHAnsi" w:hAnsiTheme="minorHAnsi" w:cstheme="minorHAnsi"/>
                <w:i/>
                <w:sz w:val="26"/>
                <w:szCs w:val="26"/>
              </w:rPr>
              <w:t xml:space="preserve"> duration</w:t>
            </w:r>
            <w:r w:rsidRPr="00BE0FF4">
              <w:rPr>
                <w:rFonts w:asciiTheme="minorHAnsi" w:hAnsiTheme="minorHAnsi" w:cstheme="minorHAnsi"/>
                <w:i/>
                <w:sz w:val="26"/>
                <w:szCs w:val="26"/>
              </w:rPr>
              <w:t xml:space="preserve"> </w:t>
            </w:r>
            <w:r w:rsidR="00202C13">
              <w:rPr>
                <w:rFonts w:asciiTheme="minorHAnsi" w:hAnsiTheme="minorHAnsi" w:cstheme="minorHAnsi"/>
                <w:i/>
                <w:sz w:val="26"/>
                <w:szCs w:val="26"/>
              </w:rPr>
              <w:t>o</w:t>
            </w:r>
            <w:r w:rsidRPr="00BE0FF4">
              <w:rPr>
                <w:rFonts w:asciiTheme="minorHAnsi" w:hAnsiTheme="minorHAnsi" w:cstheme="minorHAnsi"/>
                <w:i/>
                <w:sz w:val="26"/>
                <w:szCs w:val="26"/>
              </w:rPr>
              <w:t xml:space="preserve">f </w:t>
            </w:r>
            <w:r w:rsidR="00202C13">
              <w:rPr>
                <w:rFonts w:asciiTheme="minorHAnsi" w:hAnsiTheme="minorHAnsi" w:cstheme="minorHAnsi"/>
                <w:i/>
                <w:sz w:val="26"/>
                <w:szCs w:val="26"/>
              </w:rPr>
              <w:t>contract</w:t>
            </w:r>
            <w:r w:rsidRPr="00BE0FF4">
              <w:rPr>
                <w:rFonts w:asciiTheme="minorHAnsi" w:hAnsiTheme="minorHAnsi" w:cstheme="minorHAnsi"/>
                <w:i/>
                <w:sz w:val="26"/>
                <w:szCs w:val="26"/>
              </w:rPr>
              <w:t>.</w:t>
            </w:r>
          </w:p>
        </w:tc>
      </w:tr>
      <w:tr w:rsidR="00977124" w:rsidRPr="002530E7" w:rsidTr="00977124">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sz w:val="26"/>
                <w:szCs w:val="26"/>
              </w:rPr>
              <w:t xml:space="preserve">Statement Regarding Savings </w:t>
            </w:r>
          </w:p>
        </w:tc>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i/>
                <w:sz w:val="26"/>
                <w:szCs w:val="26"/>
              </w:rPr>
              <w:t>Plain language that the supply price may not always provide savings to the customer</w:t>
            </w:r>
          </w:p>
        </w:tc>
      </w:tr>
      <w:tr w:rsidR="00977124" w:rsidRPr="002530E7" w:rsidTr="00977124">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sz w:val="26"/>
                <w:szCs w:val="26"/>
              </w:rPr>
              <w:t>Deposit Requirements</w:t>
            </w:r>
          </w:p>
        </w:tc>
        <w:tc>
          <w:tcPr>
            <w:tcW w:w="4788" w:type="dxa"/>
          </w:tcPr>
          <w:p w:rsidR="00977124" w:rsidRPr="00BE0FF4" w:rsidRDefault="00977124" w:rsidP="00977124">
            <w:pPr>
              <w:rPr>
                <w:rFonts w:asciiTheme="minorHAnsi" w:hAnsiTheme="minorHAnsi" w:cstheme="minorHAnsi"/>
                <w:i/>
                <w:sz w:val="26"/>
                <w:szCs w:val="26"/>
              </w:rPr>
            </w:pPr>
            <w:r w:rsidRPr="00BE0FF4">
              <w:rPr>
                <w:rFonts w:asciiTheme="minorHAnsi" w:hAnsiTheme="minorHAnsi" w:cstheme="minorHAnsi"/>
                <w:i/>
                <w:sz w:val="26"/>
                <w:szCs w:val="26"/>
              </w:rPr>
              <w:t>Any deposit requirements necessary for a customer and any terms associated with that deposit, in plain language.</w:t>
            </w:r>
          </w:p>
        </w:tc>
      </w:tr>
      <w:tr w:rsidR="00977124" w:rsidRPr="002530E7" w:rsidTr="00977124">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sz w:val="26"/>
                <w:szCs w:val="26"/>
              </w:rPr>
              <w:t>Incentives</w:t>
            </w:r>
          </w:p>
        </w:tc>
        <w:tc>
          <w:tcPr>
            <w:tcW w:w="4788" w:type="dxa"/>
          </w:tcPr>
          <w:p w:rsidR="00977124" w:rsidRPr="00BE0FF4" w:rsidRDefault="00977124" w:rsidP="00977124">
            <w:pPr>
              <w:rPr>
                <w:rFonts w:asciiTheme="minorHAnsi" w:hAnsiTheme="minorHAnsi" w:cstheme="minorHAnsi"/>
                <w:i/>
                <w:sz w:val="26"/>
                <w:szCs w:val="26"/>
              </w:rPr>
            </w:pPr>
            <w:r w:rsidRPr="00BE0FF4">
              <w:rPr>
                <w:rFonts w:asciiTheme="minorHAnsi" w:hAnsiTheme="minorHAnsi" w:cstheme="minorHAnsi"/>
                <w:i/>
                <w:sz w:val="26"/>
                <w:szCs w:val="26"/>
              </w:rPr>
              <w:t>Any bonuses, discounts, cashback, etc. offers and any associated terms, in plain language.</w:t>
            </w:r>
          </w:p>
        </w:tc>
      </w:tr>
      <w:tr w:rsidR="00977124" w:rsidRPr="002530E7" w:rsidTr="00977124">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sz w:val="26"/>
                <w:szCs w:val="26"/>
              </w:rPr>
              <w:t>Contract Start Date</w:t>
            </w:r>
          </w:p>
        </w:tc>
        <w:tc>
          <w:tcPr>
            <w:tcW w:w="4788" w:type="dxa"/>
          </w:tcPr>
          <w:p w:rsidR="00977124" w:rsidRPr="00BE0FF4" w:rsidRDefault="00977124" w:rsidP="002A0094">
            <w:pPr>
              <w:rPr>
                <w:rFonts w:asciiTheme="minorHAnsi" w:hAnsiTheme="minorHAnsi" w:cstheme="minorHAnsi"/>
                <w:i/>
                <w:sz w:val="26"/>
                <w:szCs w:val="26"/>
              </w:rPr>
            </w:pPr>
            <w:r w:rsidRPr="00BE0FF4">
              <w:rPr>
                <w:rFonts w:asciiTheme="minorHAnsi" w:hAnsiTheme="minorHAnsi" w:cstheme="minorHAnsi"/>
                <w:i/>
                <w:sz w:val="26"/>
                <w:szCs w:val="26"/>
              </w:rPr>
              <w:t>Pla</w:t>
            </w:r>
            <w:r w:rsidR="005D4328">
              <w:rPr>
                <w:rFonts w:asciiTheme="minorHAnsi" w:hAnsiTheme="minorHAnsi" w:cstheme="minorHAnsi"/>
                <w:i/>
                <w:sz w:val="26"/>
                <w:szCs w:val="26"/>
              </w:rPr>
              <w:t>in language regarding start of N</w:t>
            </w:r>
            <w:r w:rsidRPr="00BE0FF4">
              <w:rPr>
                <w:rFonts w:asciiTheme="minorHAnsi" w:hAnsiTheme="minorHAnsi" w:cstheme="minorHAnsi"/>
                <w:i/>
                <w:sz w:val="26"/>
                <w:szCs w:val="26"/>
              </w:rPr>
              <w:t>GS service</w:t>
            </w:r>
            <w:r w:rsidR="002A0094">
              <w:rPr>
                <w:rFonts w:asciiTheme="minorHAnsi" w:hAnsiTheme="minorHAnsi" w:cstheme="minorHAnsi"/>
                <w:i/>
                <w:sz w:val="26"/>
                <w:szCs w:val="26"/>
              </w:rPr>
              <w:t>.</w:t>
            </w:r>
            <w:r w:rsidRPr="00BE0FF4">
              <w:rPr>
                <w:rFonts w:asciiTheme="minorHAnsi" w:hAnsiTheme="minorHAnsi" w:cstheme="minorHAnsi"/>
                <w:i/>
                <w:sz w:val="26"/>
                <w:szCs w:val="26"/>
              </w:rPr>
              <w:t xml:space="preserve"> </w:t>
            </w:r>
          </w:p>
        </w:tc>
      </w:tr>
      <w:tr w:rsidR="00977124" w:rsidRPr="002530E7" w:rsidTr="00977124">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sz w:val="26"/>
                <w:szCs w:val="26"/>
              </w:rPr>
              <w:t>Contract Term/Length</w:t>
            </w:r>
          </w:p>
        </w:tc>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i/>
                <w:sz w:val="26"/>
                <w:szCs w:val="26"/>
              </w:rPr>
              <w:t>In months, billing cycles, etc.</w:t>
            </w:r>
          </w:p>
        </w:tc>
      </w:tr>
      <w:tr w:rsidR="00977124" w:rsidRPr="002530E7" w:rsidTr="00977124">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sz w:val="26"/>
                <w:szCs w:val="26"/>
              </w:rPr>
              <w:t>Cancellation/Early Termination Fees</w:t>
            </w:r>
          </w:p>
        </w:tc>
        <w:tc>
          <w:tcPr>
            <w:tcW w:w="4788" w:type="dxa"/>
          </w:tcPr>
          <w:p w:rsidR="00977124" w:rsidRPr="00BE0FF4" w:rsidRDefault="00977124" w:rsidP="00977124">
            <w:pPr>
              <w:rPr>
                <w:rFonts w:asciiTheme="minorHAnsi" w:hAnsiTheme="minorHAnsi" w:cstheme="minorHAnsi"/>
                <w:i/>
                <w:sz w:val="26"/>
                <w:szCs w:val="26"/>
              </w:rPr>
            </w:pPr>
            <w:r>
              <w:rPr>
                <w:rFonts w:asciiTheme="minorHAnsi" w:hAnsiTheme="minorHAnsi" w:cstheme="minorHAnsi"/>
                <w:i/>
                <w:sz w:val="26"/>
                <w:szCs w:val="26"/>
              </w:rPr>
              <w:t>Yes or no.  If yes, describe the amount of the fee and how to avoid that fee, if possible.</w:t>
            </w:r>
          </w:p>
        </w:tc>
      </w:tr>
      <w:tr w:rsidR="00977124" w:rsidRPr="002530E7" w:rsidTr="00977124">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sz w:val="26"/>
                <w:szCs w:val="26"/>
              </w:rPr>
              <w:t>Renewal Terms</w:t>
            </w:r>
          </w:p>
        </w:tc>
        <w:tc>
          <w:tcPr>
            <w:tcW w:w="4788" w:type="dxa"/>
          </w:tcPr>
          <w:p w:rsidR="00977124" w:rsidRPr="00BE0FF4" w:rsidRDefault="00977124" w:rsidP="00977124">
            <w:pPr>
              <w:rPr>
                <w:rFonts w:asciiTheme="minorHAnsi" w:hAnsiTheme="minorHAnsi" w:cstheme="minorHAnsi"/>
                <w:i/>
                <w:sz w:val="26"/>
                <w:szCs w:val="26"/>
              </w:rPr>
            </w:pPr>
            <w:r w:rsidRPr="00BE0FF4">
              <w:rPr>
                <w:rFonts w:asciiTheme="minorHAnsi" w:hAnsiTheme="minorHAnsi" w:cstheme="minorHAnsi"/>
                <w:i/>
                <w:sz w:val="26"/>
                <w:szCs w:val="26"/>
              </w:rPr>
              <w:t>Treatment of customer at end of contract.  Timing of notices.  No cancellation/early termination fees.  In plain language.</w:t>
            </w:r>
          </w:p>
        </w:tc>
      </w:tr>
    </w:tbl>
    <w:p w:rsidR="00977124" w:rsidRDefault="00977124" w:rsidP="004E6F65">
      <w:pPr>
        <w:pStyle w:val="p14"/>
        <w:spacing w:line="360" w:lineRule="auto"/>
        <w:rPr>
          <w:sz w:val="26"/>
          <w:szCs w:val="26"/>
        </w:rPr>
      </w:pPr>
    </w:p>
    <w:p w:rsidR="002A0094" w:rsidRDefault="002A0094" w:rsidP="004E6F65">
      <w:pPr>
        <w:pStyle w:val="p14"/>
        <w:spacing w:line="360" w:lineRule="auto"/>
        <w:rPr>
          <w:sz w:val="26"/>
          <w:szCs w:val="26"/>
        </w:rPr>
      </w:pPr>
    </w:p>
    <w:p w:rsidR="002A0094" w:rsidRDefault="002A0094" w:rsidP="004E6F65">
      <w:pPr>
        <w:pStyle w:val="p14"/>
        <w:spacing w:line="360" w:lineRule="auto"/>
        <w:rPr>
          <w:sz w:val="26"/>
          <w:szCs w:val="26"/>
        </w:rPr>
      </w:pPr>
    </w:p>
    <w:p w:rsidR="002A0094" w:rsidRDefault="002A0094" w:rsidP="004E6F65">
      <w:pPr>
        <w:pStyle w:val="p14"/>
        <w:spacing w:line="360" w:lineRule="auto"/>
        <w:rPr>
          <w:sz w:val="26"/>
          <w:szCs w:val="26"/>
        </w:rPr>
      </w:pPr>
    </w:p>
    <w:p w:rsidR="00977124" w:rsidRDefault="00977124" w:rsidP="00977124">
      <w:pPr>
        <w:rPr>
          <w:rFonts w:ascii="Times New Roman" w:eastAsia="Times New Roman" w:hAnsi="Times New Roman"/>
          <w:lang w:bidi="ar-SA"/>
        </w:rPr>
      </w:pPr>
    </w:p>
    <w:p w:rsidR="00103F0D" w:rsidRDefault="00103F0D" w:rsidP="00103F0D">
      <w:pPr>
        <w:jc w:val="center"/>
        <w:rPr>
          <w:rFonts w:cstheme="minorHAnsi"/>
          <w:b/>
          <w:sz w:val="26"/>
          <w:szCs w:val="26"/>
        </w:rPr>
      </w:pPr>
      <w:r w:rsidRPr="00D25BD4">
        <w:rPr>
          <w:rFonts w:cstheme="minorHAnsi"/>
          <w:b/>
          <w:sz w:val="26"/>
          <w:szCs w:val="26"/>
        </w:rPr>
        <w:lastRenderedPageBreak/>
        <w:t>ANNEX</w:t>
      </w:r>
      <w:r>
        <w:rPr>
          <w:rFonts w:cstheme="minorHAnsi"/>
          <w:b/>
          <w:sz w:val="26"/>
          <w:szCs w:val="26"/>
        </w:rPr>
        <w:t xml:space="preserve"> A</w:t>
      </w:r>
    </w:p>
    <w:p w:rsidR="00103F0D" w:rsidRPr="00977124" w:rsidRDefault="00103F0D" w:rsidP="00103F0D">
      <w:pPr>
        <w:jc w:val="center"/>
        <w:rPr>
          <w:rFonts w:cstheme="minorHAnsi"/>
          <w:b/>
          <w:sz w:val="26"/>
          <w:szCs w:val="26"/>
        </w:rPr>
      </w:pPr>
      <w:proofErr w:type="gramStart"/>
      <w:r w:rsidRPr="00977124">
        <w:rPr>
          <w:rFonts w:cstheme="minorHAnsi"/>
          <w:b/>
          <w:sz w:val="26"/>
          <w:szCs w:val="26"/>
        </w:rPr>
        <w:t>TITLE 52.</w:t>
      </w:r>
      <w:proofErr w:type="gramEnd"/>
      <w:r w:rsidRPr="00977124">
        <w:rPr>
          <w:rFonts w:cstheme="minorHAnsi"/>
          <w:b/>
          <w:sz w:val="26"/>
          <w:szCs w:val="26"/>
        </w:rPr>
        <w:t xml:space="preserve"> PUBLIC UTILITIES</w:t>
      </w:r>
    </w:p>
    <w:p w:rsidR="00103F0D" w:rsidRPr="00977124" w:rsidRDefault="00103F0D" w:rsidP="00103F0D">
      <w:pPr>
        <w:jc w:val="center"/>
        <w:rPr>
          <w:rFonts w:cstheme="minorHAnsi"/>
          <w:b/>
          <w:sz w:val="26"/>
          <w:szCs w:val="26"/>
        </w:rPr>
      </w:pPr>
      <w:r w:rsidRPr="00977124">
        <w:rPr>
          <w:rFonts w:cstheme="minorHAnsi"/>
          <w:b/>
          <w:sz w:val="26"/>
          <w:szCs w:val="26"/>
        </w:rPr>
        <w:t xml:space="preserve">PART I. PUBLIC UTILITY COMMISSION </w:t>
      </w:r>
    </w:p>
    <w:p w:rsidR="00103F0D" w:rsidRPr="00977124" w:rsidRDefault="00103F0D" w:rsidP="00103F0D">
      <w:pPr>
        <w:jc w:val="center"/>
        <w:rPr>
          <w:rFonts w:cstheme="minorHAnsi"/>
          <w:b/>
          <w:sz w:val="26"/>
          <w:szCs w:val="26"/>
        </w:rPr>
      </w:pPr>
      <w:r w:rsidRPr="00977124">
        <w:rPr>
          <w:rFonts w:cstheme="minorHAnsi"/>
          <w:b/>
          <w:sz w:val="26"/>
          <w:szCs w:val="26"/>
        </w:rPr>
        <w:t>Subpart C. FIXED SERVICE UTILITIES</w:t>
      </w:r>
    </w:p>
    <w:p w:rsidR="00103F0D" w:rsidRPr="00977124" w:rsidRDefault="00540676" w:rsidP="00103F0D">
      <w:pPr>
        <w:jc w:val="center"/>
        <w:rPr>
          <w:rFonts w:cstheme="minorHAnsi"/>
          <w:b/>
          <w:sz w:val="26"/>
          <w:szCs w:val="26"/>
        </w:rPr>
      </w:pPr>
      <w:r>
        <w:rPr>
          <w:rFonts w:cstheme="minorHAnsi"/>
          <w:b/>
          <w:sz w:val="26"/>
          <w:szCs w:val="26"/>
        </w:rPr>
        <w:t>CHAPTER 62</w:t>
      </w:r>
      <w:r w:rsidR="00103F0D" w:rsidRPr="00977124">
        <w:rPr>
          <w:rFonts w:cstheme="minorHAnsi"/>
          <w:b/>
          <w:sz w:val="26"/>
          <w:szCs w:val="26"/>
        </w:rPr>
        <w:t xml:space="preserve">: </w:t>
      </w:r>
      <w:r w:rsidR="00B113D1">
        <w:rPr>
          <w:rFonts w:cstheme="minorHAnsi"/>
          <w:b/>
          <w:sz w:val="26"/>
          <w:szCs w:val="26"/>
        </w:rPr>
        <w:t>NATURAL GAS</w:t>
      </w:r>
      <w:r w:rsidR="00103F0D" w:rsidRPr="00977124">
        <w:rPr>
          <w:rFonts w:cstheme="minorHAnsi"/>
          <w:b/>
          <w:sz w:val="26"/>
          <w:szCs w:val="26"/>
        </w:rPr>
        <w:t xml:space="preserve"> CHOICE</w:t>
      </w:r>
    </w:p>
    <w:p w:rsidR="00103F0D" w:rsidRPr="00977124" w:rsidRDefault="00103F0D" w:rsidP="00103F0D">
      <w:pPr>
        <w:jc w:val="center"/>
        <w:rPr>
          <w:rFonts w:cstheme="minorHAnsi"/>
          <w:b/>
          <w:sz w:val="26"/>
          <w:szCs w:val="26"/>
        </w:rPr>
      </w:pPr>
      <w:r w:rsidRPr="00977124">
        <w:rPr>
          <w:rFonts w:cstheme="minorHAnsi"/>
          <w:b/>
          <w:sz w:val="26"/>
          <w:szCs w:val="26"/>
        </w:rPr>
        <w:t xml:space="preserve">Subchapter </w:t>
      </w:r>
      <w:r w:rsidR="00B113D1">
        <w:rPr>
          <w:rFonts w:cstheme="minorHAnsi"/>
          <w:b/>
          <w:sz w:val="26"/>
          <w:szCs w:val="26"/>
        </w:rPr>
        <w:t>C</w:t>
      </w:r>
      <w:r w:rsidRPr="00977124">
        <w:rPr>
          <w:rFonts w:cstheme="minorHAnsi"/>
          <w:b/>
          <w:sz w:val="26"/>
          <w:szCs w:val="26"/>
        </w:rPr>
        <w:t>. CUSTOMER INFO</w:t>
      </w:r>
      <w:r>
        <w:rPr>
          <w:rFonts w:cstheme="minorHAnsi"/>
          <w:b/>
          <w:sz w:val="26"/>
          <w:szCs w:val="26"/>
        </w:rPr>
        <w:t>RMATION</w:t>
      </w:r>
      <w:r w:rsidR="00B113D1">
        <w:rPr>
          <w:rFonts w:cstheme="minorHAnsi"/>
          <w:b/>
          <w:sz w:val="26"/>
          <w:szCs w:val="26"/>
        </w:rPr>
        <w:t xml:space="preserve"> DISCLOSURE</w:t>
      </w:r>
    </w:p>
    <w:p w:rsidR="00103F0D" w:rsidRDefault="00103F0D" w:rsidP="00103F0D">
      <w:pPr>
        <w:spacing w:line="360" w:lineRule="auto"/>
        <w:jc w:val="center"/>
        <w:rPr>
          <w:rFonts w:cstheme="minorHAnsi"/>
          <w:b/>
          <w:color w:val="FF0000"/>
          <w:sz w:val="26"/>
          <w:szCs w:val="26"/>
        </w:rPr>
      </w:pPr>
    </w:p>
    <w:p w:rsidR="00B113D1" w:rsidRPr="00B113D1" w:rsidRDefault="00B113D1" w:rsidP="00B113D1">
      <w:pPr>
        <w:rPr>
          <w:sz w:val="26"/>
          <w:szCs w:val="26"/>
        </w:rPr>
      </w:pPr>
    </w:p>
    <w:p w:rsidR="00B113D1" w:rsidRDefault="00B113D1" w:rsidP="00B113D1">
      <w:pPr>
        <w:rPr>
          <w:b/>
          <w:sz w:val="26"/>
          <w:szCs w:val="26"/>
        </w:rPr>
      </w:pPr>
      <w:r w:rsidRPr="00B113D1">
        <w:rPr>
          <w:b/>
          <w:sz w:val="26"/>
          <w:szCs w:val="26"/>
        </w:rPr>
        <w:t>§ 62.72. </w:t>
      </w:r>
      <w:proofErr w:type="gramStart"/>
      <w:r w:rsidRPr="00B113D1">
        <w:rPr>
          <w:b/>
          <w:sz w:val="26"/>
          <w:szCs w:val="26"/>
        </w:rPr>
        <w:t>Definitions.</w:t>
      </w:r>
      <w:proofErr w:type="gramEnd"/>
    </w:p>
    <w:p w:rsidR="00B113D1" w:rsidRPr="00B113D1" w:rsidRDefault="00B113D1" w:rsidP="00B113D1">
      <w:pPr>
        <w:rPr>
          <w:b/>
          <w:sz w:val="26"/>
          <w:szCs w:val="26"/>
        </w:rPr>
      </w:pPr>
    </w:p>
    <w:p w:rsidR="00B113D1" w:rsidRDefault="00B113D1" w:rsidP="00B113D1">
      <w:pPr>
        <w:ind w:firstLine="360"/>
        <w:rPr>
          <w:sz w:val="26"/>
          <w:szCs w:val="26"/>
        </w:rPr>
      </w:pPr>
      <w:bookmarkStart w:id="2" w:name="62.72."/>
      <w:r w:rsidRPr="00B113D1">
        <w:rPr>
          <w:sz w:val="26"/>
          <w:szCs w:val="26"/>
        </w:rPr>
        <w:t>The following words and terms, when used in this subchapter, have the following meanings, unless the context c</w:t>
      </w:r>
      <w:r>
        <w:rPr>
          <w:sz w:val="26"/>
          <w:szCs w:val="26"/>
        </w:rPr>
        <w:t xml:space="preserve">learly indicates otherwise: </w:t>
      </w:r>
      <w:r>
        <w:rPr>
          <w:sz w:val="26"/>
          <w:szCs w:val="26"/>
        </w:rPr>
        <w:br/>
      </w:r>
    </w:p>
    <w:p w:rsidR="00B113D1" w:rsidRDefault="00B113D1" w:rsidP="00B113D1">
      <w:pPr>
        <w:ind w:firstLine="360"/>
        <w:rPr>
          <w:sz w:val="26"/>
          <w:szCs w:val="26"/>
        </w:rPr>
      </w:pPr>
      <w:r w:rsidRPr="00B113D1">
        <w:rPr>
          <w:i/>
          <w:iCs/>
          <w:sz w:val="26"/>
          <w:szCs w:val="26"/>
        </w:rPr>
        <w:t>Basic services</w:t>
      </w:r>
      <w:r w:rsidRPr="00B113D1">
        <w:rPr>
          <w:sz w:val="26"/>
          <w:szCs w:val="26"/>
        </w:rPr>
        <w:t>—Services necessary for the physical delivery of natural gas to a retail customer, consisting of natural gas distribution services and na</w:t>
      </w:r>
      <w:r>
        <w:rPr>
          <w:sz w:val="26"/>
          <w:szCs w:val="26"/>
        </w:rPr>
        <w:t xml:space="preserve">tural gas supply services. </w:t>
      </w:r>
      <w:r>
        <w:rPr>
          <w:sz w:val="26"/>
          <w:szCs w:val="26"/>
        </w:rPr>
        <w:br/>
      </w:r>
    </w:p>
    <w:p w:rsidR="00B113D1" w:rsidRDefault="00B113D1" w:rsidP="00B113D1">
      <w:pPr>
        <w:ind w:firstLine="360"/>
        <w:rPr>
          <w:sz w:val="26"/>
          <w:szCs w:val="26"/>
        </w:rPr>
      </w:pPr>
      <w:r w:rsidRPr="00B113D1">
        <w:rPr>
          <w:i/>
          <w:iCs/>
          <w:sz w:val="26"/>
          <w:szCs w:val="26"/>
        </w:rPr>
        <w:t>Billed prices</w:t>
      </w:r>
      <w:r w:rsidRPr="00B113D1">
        <w:rPr>
          <w:sz w:val="26"/>
          <w:szCs w:val="26"/>
        </w:rPr>
        <w:t>—</w:t>
      </w:r>
      <w:proofErr w:type="gramStart"/>
      <w:r w:rsidRPr="00B113D1">
        <w:rPr>
          <w:sz w:val="26"/>
          <w:szCs w:val="26"/>
        </w:rPr>
        <w:t>The</w:t>
      </w:r>
      <w:proofErr w:type="gramEnd"/>
      <w:r w:rsidRPr="00B113D1">
        <w:rPr>
          <w:sz w:val="26"/>
          <w:szCs w:val="26"/>
        </w:rPr>
        <w:t xml:space="preserve"> disclosed NGS prices on the customer bill. </w:t>
      </w:r>
    </w:p>
    <w:p w:rsidR="00B113D1" w:rsidRDefault="00B113D1" w:rsidP="00B113D1">
      <w:pPr>
        <w:ind w:firstLine="360"/>
        <w:rPr>
          <w:sz w:val="26"/>
          <w:szCs w:val="26"/>
        </w:rPr>
      </w:pPr>
    </w:p>
    <w:p w:rsidR="00B113D1" w:rsidRPr="00B113D1" w:rsidRDefault="00B113D1" w:rsidP="00B113D1">
      <w:pPr>
        <w:ind w:firstLine="360"/>
        <w:rPr>
          <w:sz w:val="26"/>
          <w:szCs w:val="26"/>
          <w:u w:val="single"/>
        </w:rPr>
      </w:pPr>
      <w:r w:rsidRPr="00B113D1">
        <w:rPr>
          <w:i/>
          <w:sz w:val="26"/>
          <w:szCs w:val="26"/>
          <w:u w:val="single"/>
        </w:rPr>
        <w:t>Billing month</w:t>
      </w:r>
      <w:r w:rsidRPr="00B113D1">
        <w:rPr>
          <w:sz w:val="26"/>
          <w:szCs w:val="26"/>
          <w:u w:val="single"/>
        </w:rPr>
        <w:t>—</w:t>
      </w:r>
      <w:proofErr w:type="gramStart"/>
      <w:r w:rsidRPr="00B113D1">
        <w:rPr>
          <w:sz w:val="26"/>
          <w:szCs w:val="26"/>
          <w:u w:val="single"/>
        </w:rPr>
        <w:t>A</w:t>
      </w:r>
      <w:proofErr w:type="gramEnd"/>
      <w:r w:rsidRPr="00B113D1">
        <w:rPr>
          <w:sz w:val="26"/>
          <w:szCs w:val="26"/>
          <w:u w:val="single"/>
        </w:rPr>
        <w:t xml:space="preserve"> period of not less than 26 days and not more than 35 days.</w:t>
      </w:r>
    </w:p>
    <w:bookmarkEnd w:id="2"/>
    <w:p w:rsidR="00B113D1" w:rsidRDefault="00B113D1" w:rsidP="00B113D1">
      <w:pPr>
        <w:spacing w:line="360" w:lineRule="auto"/>
        <w:rPr>
          <w:rFonts w:cstheme="minorHAnsi"/>
          <w:b/>
          <w:sz w:val="26"/>
          <w:szCs w:val="26"/>
        </w:rPr>
      </w:pPr>
    </w:p>
    <w:p w:rsidR="00B113D1" w:rsidRPr="00B113D1" w:rsidRDefault="00B113D1" w:rsidP="00103F0D">
      <w:pPr>
        <w:spacing w:line="360" w:lineRule="auto"/>
        <w:jc w:val="center"/>
        <w:rPr>
          <w:rFonts w:cstheme="minorHAnsi"/>
          <w:b/>
          <w:sz w:val="26"/>
          <w:szCs w:val="26"/>
        </w:rPr>
      </w:pPr>
      <w:r>
        <w:rPr>
          <w:rFonts w:cstheme="minorHAnsi"/>
          <w:b/>
          <w:sz w:val="26"/>
          <w:szCs w:val="26"/>
        </w:rPr>
        <w:t>*</w:t>
      </w:r>
      <w:r>
        <w:rPr>
          <w:rFonts w:cstheme="minorHAnsi"/>
          <w:b/>
          <w:sz w:val="26"/>
          <w:szCs w:val="26"/>
        </w:rPr>
        <w:tab/>
        <w:t>*</w:t>
      </w:r>
      <w:r>
        <w:rPr>
          <w:rFonts w:cstheme="minorHAnsi"/>
          <w:b/>
          <w:sz w:val="26"/>
          <w:szCs w:val="26"/>
        </w:rPr>
        <w:tab/>
        <w:t>*</w:t>
      </w:r>
      <w:r>
        <w:rPr>
          <w:rFonts w:cstheme="minorHAnsi"/>
          <w:b/>
          <w:sz w:val="26"/>
          <w:szCs w:val="26"/>
        </w:rPr>
        <w:tab/>
        <w:t>*</w:t>
      </w:r>
      <w:r>
        <w:rPr>
          <w:rFonts w:cstheme="minorHAnsi"/>
          <w:b/>
          <w:sz w:val="26"/>
          <w:szCs w:val="26"/>
        </w:rPr>
        <w:tab/>
        <w:t>*</w:t>
      </w:r>
    </w:p>
    <w:p w:rsidR="00103F0D" w:rsidRPr="00977124" w:rsidRDefault="00103F0D" w:rsidP="00103F0D">
      <w:pPr>
        <w:spacing w:beforeAutospacing="1" w:after="100" w:afterAutospacing="1"/>
        <w:outlineLvl w:val="3"/>
        <w:rPr>
          <w:rFonts w:eastAsia="Times New Roman" w:cstheme="minorHAnsi"/>
          <w:b/>
          <w:bCs/>
          <w:sz w:val="26"/>
          <w:szCs w:val="26"/>
        </w:rPr>
      </w:pPr>
      <w:r w:rsidRPr="00977124">
        <w:rPr>
          <w:rFonts w:eastAsia="Times New Roman" w:cstheme="minorHAnsi"/>
          <w:b/>
          <w:bCs/>
          <w:sz w:val="26"/>
          <w:szCs w:val="26"/>
        </w:rPr>
        <w:t xml:space="preserve">§ </w:t>
      </w:r>
      <w:r w:rsidR="00B113D1">
        <w:rPr>
          <w:rFonts w:eastAsia="Times New Roman" w:cstheme="minorHAnsi"/>
          <w:b/>
          <w:bCs/>
          <w:sz w:val="26"/>
          <w:szCs w:val="26"/>
        </w:rPr>
        <w:t>62</w:t>
      </w:r>
      <w:r w:rsidRPr="00977124">
        <w:rPr>
          <w:rFonts w:eastAsia="Times New Roman" w:cstheme="minorHAnsi"/>
          <w:b/>
          <w:bCs/>
          <w:sz w:val="26"/>
          <w:szCs w:val="26"/>
        </w:rPr>
        <w:t>.</w:t>
      </w:r>
      <w:r w:rsidR="00C53F4F">
        <w:rPr>
          <w:rFonts w:eastAsia="Times New Roman" w:cstheme="minorHAnsi"/>
          <w:b/>
          <w:bCs/>
          <w:sz w:val="26"/>
          <w:szCs w:val="26"/>
        </w:rPr>
        <w:t>75</w:t>
      </w:r>
      <w:r w:rsidR="00C01D7D">
        <w:rPr>
          <w:rFonts w:eastAsia="Times New Roman" w:cstheme="minorHAnsi"/>
          <w:b/>
          <w:bCs/>
          <w:sz w:val="26"/>
          <w:szCs w:val="26"/>
        </w:rPr>
        <w:t>.</w:t>
      </w:r>
      <w:r w:rsidRPr="00977124">
        <w:rPr>
          <w:rFonts w:eastAsia="Times New Roman" w:cstheme="minorHAnsi"/>
          <w:b/>
          <w:bCs/>
          <w:sz w:val="26"/>
          <w:szCs w:val="26"/>
        </w:rPr>
        <w:t xml:space="preserve"> </w:t>
      </w:r>
      <w:proofErr w:type="gramStart"/>
      <w:r w:rsidRPr="00977124">
        <w:rPr>
          <w:rFonts w:eastAsia="Times New Roman" w:cstheme="minorHAnsi"/>
          <w:b/>
          <w:bCs/>
          <w:sz w:val="26"/>
          <w:szCs w:val="26"/>
        </w:rPr>
        <w:t>Disclosure statement for residential and small business customers.</w:t>
      </w:r>
      <w:proofErr w:type="gramEnd"/>
    </w:p>
    <w:p w:rsidR="00C272A9" w:rsidRDefault="00C272A9" w:rsidP="00C272A9">
      <w:pPr>
        <w:ind w:firstLine="360"/>
        <w:rPr>
          <w:sz w:val="26"/>
          <w:szCs w:val="26"/>
        </w:rPr>
      </w:pPr>
      <w:bookmarkStart w:id="3" w:name="62.75."/>
      <w:r w:rsidRPr="00C272A9">
        <w:rPr>
          <w:sz w:val="26"/>
          <w:szCs w:val="26"/>
        </w:rPr>
        <w:t xml:space="preserve">(a)  The disclosure statement prices shall reflect the marketed prices and the billed prices. </w:t>
      </w:r>
    </w:p>
    <w:p w:rsidR="00C272A9" w:rsidRPr="00C272A9" w:rsidRDefault="00C272A9" w:rsidP="00C272A9">
      <w:pPr>
        <w:ind w:firstLine="360"/>
        <w:rPr>
          <w:sz w:val="26"/>
          <w:szCs w:val="26"/>
        </w:rPr>
      </w:pPr>
      <w:r w:rsidRPr="00C272A9">
        <w:rPr>
          <w:sz w:val="26"/>
          <w:szCs w:val="26"/>
        </w:rPr>
        <w:t xml:space="preserve">(b)  The NGS shall provide the customer a written disclosure statement containing the terms of service at no charge whenever: </w:t>
      </w:r>
    </w:p>
    <w:p w:rsidR="00C272A9" w:rsidRPr="00C272A9" w:rsidRDefault="00C272A9" w:rsidP="00C272A9">
      <w:pPr>
        <w:ind w:firstLine="720"/>
        <w:rPr>
          <w:sz w:val="26"/>
          <w:szCs w:val="26"/>
        </w:rPr>
      </w:pPr>
      <w:r w:rsidRPr="00C272A9">
        <w:rPr>
          <w:sz w:val="26"/>
          <w:szCs w:val="26"/>
        </w:rPr>
        <w:t xml:space="preserve">(1)  The customer requests that an NGS initiate service. </w:t>
      </w:r>
    </w:p>
    <w:p w:rsidR="00C272A9" w:rsidRPr="00C272A9" w:rsidRDefault="00C272A9" w:rsidP="00C272A9">
      <w:pPr>
        <w:rPr>
          <w:sz w:val="26"/>
          <w:szCs w:val="26"/>
        </w:rPr>
      </w:pPr>
      <w:r w:rsidRPr="00C272A9">
        <w:rPr>
          <w:sz w:val="26"/>
          <w:szCs w:val="26"/>
        </w:rPr>
        <w:t>   </w:t>
      </w:r>
      <w:r>
        <w:rPr>
          <w:sz w:val="26"/>
          <w:szCs w:val="26"/>
        </w:rPr>
        <w:tab/>
      </w:r>
      <w:r w:rsidRPr="00C272A9">
        <w:rPr>
          <w:sz w:val="26"/>
          <w:szCs w:val="26"/>
        </w:rPr>
        <w:t xml:space="preserve">(2)  The NGS proposes to change the terms of service. </w:t>
      </w:r>
    </w:p>
    <w:p w:rsidR="00C272A9" w:rsidRPr="00C272A9" w:rsidRDefault="00C272A9" w:rsidP="00C272A9">
      <w:pPr>
        <w:ind w:firstLine="360"/>
        <w:rPr>
          <w:sz w:val="26"/>
          <w:szCs w:val="26"/>
        </w:rPr>
      </w:pPr>
      <w:r w:rsidRPr="00C272A9">
        <w:rPr>
          <w:sz w:val="26"/>
          <w:szCs w:val="26"/>
        </w:rPr>
        <w:t xml:space="preserve">(c)  The disclosure statement’s terms of service shall be disclosed, including the following terms and conditions, if applicable: </w:t>
      </w:r>
    </w:p>
    <w:p w:rsidR="00C272A9" w:rsidRPr="00C272A9" w:rsidRDefault="00C272A9" w:rsidP="00C272A9">
      <w:pPr>
        <w:rPr>
          <w:sz w:val="26"/>
          <w:szCs w:val="26"/>
        </w:rPr>
      </w:pPr>
      <w:r w:rsidRPr="00C272A9">
        <w:rPr>
          <w:sz w:val="26"/>
          <w:szCs w:val="26"/>
        </w:rPr>
        <w:t>   </w:t>
      </w:r>
      <w:r>
        <w:rPr>
          <w:sz w:val="26"/>
          <w:szCs w:val="26"/>
        </w:rPr>
        <w:tab/>
      </w:r>
      <w:r w:rsidRPr="00C272A9">
        <w:rPr>
          <w:sz w:val="26"/>
          <w:szCs w:val="26"/>
        </w:rPr>
        <w:t xml:space="preserve">(1)  Commodity charges shall be disclosed according to the actual prices and be presented in the standard pricing unit of the NGDC or other Commission-approved standard pricing unit. Commodity charges shall include estimated total state taxes. Commodity charges exclude State Sales Tax and county tax. </w:t>
      </w:r>
    </w:p>
    <w:p w:rsidR="00C272A9" w:rsidRPr="00C272A9" w:rsidRDefault="00C272A9" w:rsidP="00C272A9">
      <w:pPr>
        <w:rPr>
          <w:sz w:val="26"/>
          <w:szCs w:val="26"/>
        </w:rPr>
      </w:pPr>
      <w:r w:rsidRPr="00C272A9">
        <w:rPr>
          <w:sz w:val="26"/>
          <w:szCs w:val="26"/>
        </w:rPr>
        <w:t>   </w:t>
      </w:r>
      <w:r>
        <w:rPr>
          <w:sz w:val="26"/>
          <w:szCs w:val="26"/>
        </w:rPr>
        <w:tab/>
      </w:r>
      <w:r w:rsidRPr="00C272A9">
        <w:rPr>
          <w:sz w:val="26"/>
          <w:szCs w:val="26"/>
        </w:rPr>
        <w:t xml:space="preserve">(2)  The variable pricing statement (if applicable) shall include: </w:t>
      </w:r>
    </w:p>
    <w:p w:rsidR="00C272A9" w:rsidRPr="00C272A9" w:rsidRDefault="00C272A9" w:rsidP="00C272A9">
      <w:pPr>
        <w:ind w:firstLine="1080"/>
        <w:rPr>
          <w:sz w:val="26"/>
          <w:szCs w:val="26"/>
        </w:rPr>
      </w:pPr>
      <w:r w:rsidRPr="00C272A9">
        <w:rPr>
          <w:sz w:val="26"/>
          <w:szCs w:val="26"/>
        </w:rPr>
        <w:t>     </w:t>
      </w:r>
      <w:r>
        <w:rPr>
          <w:sz w:val="26"/>
          <w:szCs w:val="26"/>
        </w:rPr>
        <w:tab/>
      </w:r>
      <w:r w:rsidRPr="00C272A9">
        <w:rPr>
          <w:sz w:val="26"/>
          <w:szCs w:val="26"/>
        </w:rPr>
        <w:t>(</w:t>
      </w:r>
      <w:proofErr w:type="spellStart"/>
      <w:r w:rsidRPr="00C272A9">
        <w:rPr>
          <w:sz w:val="26"/>
          <w:szCs w:val="26"/>
        </w:rPr>
        <w:t>i</w:t>
      </w:r>
      <w:proofErr w:type="spellEnd"/>
      <w:r w:rsidRPr="00C272A9">
        <w:rPr>
          <w:sz w:val="26"/>
          <w:szCs w:val="26"/>
        </w:rPr>
        <w:t xml:space="preserve">)   Conditions of variability (state on what basis prices will vary) including the NGS’s specific prescribed variable pricing methodology. </w:t>
      </w:r>
    </w:p>
    <w:p w:rsidR="00C272A9" w:rsidRDefault="00C272A9" w:rsidP="00C272A9">
      <w:pPr>
        <w:ind w:left="720" w:firstLine="720"/>
        <w:rPr>
          <w:sz w:val="26"/>
          <w:szCs w:val="26"/>
        </w:rPr>
      </w:pPr>
      <w:r w:rsidRPr="00C272A9">
        <w:rPr>
          <w:sz w:val="26"/>
          <w:szCs w:val="26"/>
        </w:rPr>
        <w:t xml:space="preserve">(ii)   The starting price and the ceiling price, if the ceiling price is applicable. </w:t>
      </w:r>
    </w:p>
    <w:p w:rsidR="006B4F4A" w:rsidRPr="002934A3" w:rsidRDefault="002934A3" w:rsidP="002934A3">
      <w:pPr>
        <w:ind w:left="720" w:firstLine="720"/>
        <w:rPr>
          <w:sz w:val="26"/>
          <w:szCs w:val="26"/>
        </w:rPr>
      </w:pPr>
      <w:r w:rsidRPr="002934A3">
        <w:rPr>
          <w:sz w:val="26"/>
          <w:szCs w:val="26"/>
          <w:u w:val="single"/>
        </w:rPr>
        <w:lastRenderedPageBreak/>
        <w:t xml:space="preserve">(iii) </w:t>
      </w:r>
      <w:r w:rsidR="006B4F4A" w:rsidRPr="002934A3">
        <w:rPr>
          <w:rFonts w:eastAsia="Times New Roman"/>
          <w:sz w:val="26"/>
          <w:szCs w:val="26"/>
          <w:u w:val="single"/>
        </w:rPr>
        <w:t xml:space="preserve">If there is not a limit on price variability, the NGDC shall </w:t>
      </w:r>
      <w:r w:rsidR="004B7B4F">
        <w:rPr>
          <w:rFonts w:eastAsia="Times New Roman"/>
          <w:sz w:val="26"/>
          <w:szCs w:val="26"/>
          <w:u w:val="single"/>
        </w:rPr>
        <w:t xml:space="preserve">provide a </w:t>
      </w:r>
      <w:r w:rsidR="006B4F4A" w:rsidRPr="002934A3">
        <w:rPr>
          <w:rFonts w:eastAsia="Times New Roman"/>
          <w:sz w:val="26"/>
          <w:szCs w:val="26"/>
          <w:u w:val="single"/>
        </w:rPr>
        <w:t>clear and conspicuous state</w:t>
      </w:r>
      <w:r w:rsidR="004B7B4F">
        <w:rPr>
          <w:rFonts w:eastAsia="Times New Roman"/>
          <w:sz w:val="26"/>
          <w:szCs w:val="26"/>
          <w:u w:val="single"/>
        </w:rPr>
        <w:t>ment</w:t>
      </w:r>
      <w:r w:rsidR="006B4F4A" w:rsidRPr="002934A3">
        <w:rPr>
          <w:rFonts w:eastAsia="Times New Roman"/>
          <w:sz w:val="26"/>
          <w:szCs w:val="26"/>
          <w:u w:val="single"/>
        </w:rPr>
        <w:t xml:space="preserve"> that there is not a limit on how much the price may change from one billing cycle to the </w:t>
      </w:r>
      <w:proofErr w:type="gramStart"/>
      <w:r w:rsidR="006B4F4A" w:rsidRPr="002934A3">
        <w:rPr>
          <w:rFonts w:eastAsia="Times New Roman"/>
          <w:sz w:val="26"/>
          <w:szCs w:val="26"/>
          <w:u w:val="single"/>
        </w:rPr>
        <w:t>next.</w:t>
      </w:r>
      <w:proofErr w:type="gramEnd"/>
      <w:r w:rsidR="006B4F4A" w:rsidRPr="002934A3">
        <w:rPr>
          <w:rFonts w:eastAsia="Times New Roman"/>
          <w:sz w:val="26"/>
          <w:szCs w:val="26"/>
          <w:u w:val="single"/>
        </w:rPr>
        <w:t xml:space="preserve"> </w:t>
      </w:r>
    </w:p>
    <w:p w:rsidR="006B4F4A" w:rsidRPr="002934A3" w:rsidRDefault="002934A3" w:rsidP="002934A3">
      <w:pPr>
        <w:pStyle w:val="NoSpacing"/>
        <w:ind w:left="720" w:firstLine="720"/>
        <w:rPr>
          <w:rFonts w:eastAsia="Times New Roman"/>
          <w:sz w:val="26"/>
          <w:szCs w:val="26"/>
          <w:u w:val="single"/>
        </w:rPr>
      </w:pPr>
      <w:proofErr w:type="gramStart"/>
      <w:r w:rsidRPr="002934A3">
        <w:rPr>
          <w:rFonts w:eastAsia="Times New Roman"/>
          <w:sz w:val="26"/>
          <w:szCs w:val="26"/>
          <w:u w:val="single"/>
        </w:rPr>
        <w:t xml:space="preserve">(iv) </w:t>
      </w:r>
      <w:r w:rsidR="006B4F4A" w:rsidRPr="002934A3">
        <w:rPr>
          <w:rFonts w:eastAsia="Times New Roman"/>
          <w:sz w:val="26"/>
          <w:szCs w:val="26"/>
          <w:u w:val="single"/>
        </w:rPr>
        <w:t>The</w:t>
      </w:r>
      <w:proofErr w:type="gramEnd"/>
      <w:r w:rsidR="006B4F4A" w:rsidRPr="002934A3">
        <w:rPr>
          <w:rFonts w:eastAsia="Times New Roman"/>
          <w:sz w:val="26"/>
          <w:szCs w:val="26"/>
          <w:u w:val="single"/>
        </w:rPr>
        <w:t xml:space="preserve"> price to be charged, per billing unit, for the first billing</w:t>
      </w:r>
      <w:r w:rsidRPr="002934A3">
        <w:rPr>
          <w:rFonts w:eastAsia="Times New Roman"/>
          <w:sz w:val="26"/>
          <w:szCs w:val="26"/>
          <w:u w:val="single"/>
        </w:rPr>
        <w:t xml:space="preserve"> month</w:t>
      </w:r>
      <w:r w:rsidR="006B4F4A" w:rsidRPr="002934A3">
        <w:rPr>
          <w:rFonts w:eastAsia="Times New Roman"/>
          <w:sz w:val="26"/>
          <w:szCs w:val="26"/>
          <w:u w:val="single"/>
        </w:rPr>
        <w:t xml:space="preserve"> of service. </w:t>
      </w:r>
    </w:p>
    <w:p w:rsidR="0025271E" w:rsidRDefault="002934A3" w:rsidP="002934A3">
      <w:pPr>
        <w:pStyle w:val="NoSpacing"/>
        <w:ind w:left="720" w:firstLine="720"/>
        <w:rPr>
          <w:rFonts w:eastAsia="Times New Roman"/>
          <w:sz w:val="26"/>
          <w:szCs w:val="26"/>
          <w:u w:val="single"/>
        </w:rPr>
      </w:pPr>
      <w:r w:rsidRPr="002934A3">
        <w:rPr>
          <w:rFonts w:eastAsia="Times New Roman"/>
          <w:sz w:val="26"/>
          <w:szCs w:val="26"/>
          <w:u w:val="single"/>
        </w:rPr>
        <w:t xml:space="preserve">(v) </w:t>
      </w:r>
      <w:r w:rsidR="004B7B4F">
        <w:rPr>
          <w:rFonts w:eastAsia="Times New Roman"/>
          <w:sz w:val="26"/>
          <w:szCs w:val="26"/>
          <w:u w:val="single"/>
        </w:rPr>
        <w:t>A d</w:t>
      </w:r>
      <w:r w:rsidR="006B4F4A" w:rsidRPr="002934A3">
        <w:rPr>
          <w:rFonts w:eastAsia="Times New Roman"/>
          <w:sz w:val="26"/>
          <w:szCs w:val="26"/>
          <w:u w:val="single"/>
        </w:rPr>
        <w:t>escription of when the customer will receive notification of price changes.</w:t>
      </w:r>
    </w:p>
    <w:p w:rsidR="0025271E" w:rsidRPr="0025271E" w:rsidRDefault="0025271E" w:rsidP="0025271E">
      <w:pPr>
        <w:pStyle w:val="NoSpacing"/>
        <w:ind w:left="720" w:firstLine="720"/>
        <w:rPr>
          <w:rFonts w:eastAsia="Times New Roman"/>
          <w:sz w:val="26"/>
          <w:szCs w:val="26"/>
          <w:u w:val="single"/>
        </w:rPr>
      </w:pPr>
      <w:proofErr w:type="gramStart"/>
      <w:r w:rsidRPr="0025271E">
        <w:rPr>
          <w:rFonts w:eastAsia="Times New Roman"/>
          <w:sz w:val="26"/>
          <w:szCs w:val="26"/>
          <w:u w:val="single"/>
        </w:rPr>
        <w:t>(</w:t>
      </w:r>
      <w:r>
        <w:rPr>
          <w:rFonts w:eastAsia="Times New Roman"/>
          <w:sz w:val="26"/>
          <w:szCs w:val="26"/>
          <w:u w:val="single"/>
        </w:rPr>
        <w:t>v</w:t>
      </w:r>
      <w:r w:rsidRPr="0025271E">
        <w:rPr>
          <w:rFonts w:eastAsia="Times New Roman"/>
          <w:sz w:val="26"/>
          <w:szCs w:val="26"/>
          <w:u w:val="single"/>
        </w:rPr>
        <w:t>i) A</w:t>
      </w:r>
      <w:proofErr w:type="gramEnd"/>
      <w:r w:rsidRPr="0025271E">
        <w:rPr>
          <w:rFonts w:eastAsia="Times New Roman"/>
          <w:sz w:val="26"/>
          <w:szCs w:val="26"/>
          <w:u w:val="single"/>
        </w:rPr>
        <w:t xml:space="preserve"> telephone number and Internet address at which a customer may obtain the previous 24 months’ average monthly billed prices for that customer’s rate class and NGDC service territory. If an NGS has not been providing service in a rate class and NGDC service territory for 24 months, the NGS shall provide the average monthly billed prices for the months available to date. </w:t>
      </w:r>
    </w:p>
    <w:p w:rsidR="006B4F4A" w:rsidRPr="002934A3" w:rsidRDefault="0025271E" w:rsidP="0025271E">
      <w:pPr>
        <w:pStyle w:val="NoSpacing"/>
        <w:ind w:left="720" w:firstLine="720"/>
        <w:rPr>
          <w:rFonts w:eastAsia="Times New Roman"/>
          <w:sz w:val="26"/>
          <w:szCs w:val="26"/>
          <w:u w:val="single"/>
        </w:rPr>
      </w:pPr>
      <w:r w:rsidRPr="0025271E">
        <w:rPr>
          <w:rFonts w:eastAsia="Times New Roman"/>
          <w:sz w:val="26"/>
          <w:szCs w:val="26"/>
          <w:u w:val="single"/>
        </w:rPr>
        <w:t>(</w:t>
      </w:r>
      <w:r>
        <w:rPr>
          <w:rFonts w:eastAsia="Times New Roman"/>
          <w:sz w:val="26"/>
          <w:szCs w:val="26"/>
          <w:u w:val="single"/>
        </w:rPr>
        <w:t>v</w:t>
      </w:r>
      <w:r w:rsidRPr="0025271E">
        <w:rPr>
          <w:rFonts w:eastAsia="Times New Roman"/>
          <w:sz w:val="26"/>
          <w:szCs w:val="26"/>
          <w:u w:val="single"/>
        </w:rPr>
        <w:t xml:space="preserve">ii) In plain language, a statement that historical pricing is not indicative of present or future pricing. </w:t>
      </w:r>
      <w:r w:rsidR="006B4F4A" w:rsidRPr="002934A3">
        <w:rPr>
          <w:rFonts w:eastAsia="Times New Roman"/>
          <w:sz w:val="26"/>
          <w:szCs w:val="26"/>
          <w:u w:val="single"/>
        </w:rPr>
        <w:t xml:space="preserve">  </w:t>
      </w:r>
    </w:p>
    <w:p w:rsidR="00C272A9" w:rsidRPr="00C272A9" w:rsidRDefault="00C272A9" w:rsidP="00C272A9">
      <w:pPr>
        <w:ind w:firstLine="720"/>
        <w:rPr>
          <w:sz w:val="26"/>
          <w:szCs w:val="26"/>
        </w:rPr>
      </w:pPr>
      <w:r w:rsidRPr="00C272A9">
        <w:rPr>
          <w:sz w:val="26"/>
          <w:szCs w:val="26"/>
        </w:rPr>
        <w:t xml:space="preserve">(3)  An itemization of basic and </w:t>
      </w:r>
      <w:proofErr w:type="spellStart"/>
      <w:r w:rsidRPr="00C272A9">
        <w:rPr>
          <w:sz w:val="26"/>
          <w:szCs w:val="26"/>
        </w:rPr>
        <w:t>nonbasic</w:t>
      </w:r>
      <w:proofErr w:type="spellEnd"/>
      <w:r w:rsidRPr="00C272A9">
        <w:rPr>
          <w:sz w:val="26"/>
          <w:szCs w:val="26"/>
        </w:rPr>
        <w:t xml:space="preserve"> charges distinctly separate and clearly labeled. </w:t>
      </w:r>
    </w:p>
    <w:p w:rsidR="00C272A9" w:rsidRDefault="00C272A9" w:rsidP="00C272A9">
      <w:pPr>
        <w:rPr>
          <w:sz w:val="26"/>
          <w:szCs w:val="26"/>
        </w:rPr>
      </w:pPr>
      <w:r w:rsidRPr="00C272A9">
        <w:rPr>
          <w:sz w:val="26"/>
          <w:szCs w:val="26"/>
        </w:rPr>
        <w:t>   </w:t>
      </w:r>
      <w:r>
        <w:rPr>
          <w:sz w:val="26"/>
          <w:szCs w:val="26"/>
        </w:rPr>
        <w:tab/>
      </w:r>
      <w:r w:rsidRPr="00C272A9">
        <w:rPr>
          <w:sz w:val="26"/>
          <w:szCs w:val="26"/>
        </w:rPr>
        <w:t xml:space="preserve">(4)  The length of the agreement, which includes: </w:t>
      </w:r>
    </w:p>
    <w:p w:rsidR="00C272A9" w:rsidRPr="00C272A9" w:rsidRDefault="00C272A9" w:rsidP="00C272A9">
      <w:pPr>
        <w:ind w:left="720" w:firstLine="720"/>
        <w:rPr>
          <w:sz w:val="26"/>
          <w:szCs w:val="26"/>
        </w:rPr>
      </w:pPr>
      <w:r w:rsidRPr="00C272A9">
        <w:rPr>
          <w:sz w:val="26"/>
          <w:szCs w:val="26"/>
        </w:rPr>
        <w:t>(</w:t>
      </w:r>
      <w:proofErr w:type="spellStart"/>
      <w:r w:rsidRPr="00C272A9">
        <w:rPr>
          <w:sz w:val="26"/>
          <w:szCs w:val="26"/>
        </w:rPr>
        <w:t>i</w:t>
      </w:r>
      <w:proofErr w:type="spellEnd"/>
      <w:r w:rsidRPr="00C272A9">
        <w:rPr>
          <w:sz w:val="26"/>
          <w:szCs w:val="26"/>
        </w:rPr>
        <w:t xml:space="preserve">)   The starting date. </w:t>
      </w:r>
    </w:p>
    <w:p w:rsidR="00C272A9" w:rsidRPr="00C272A9" w:rsidRDefault="00C272A9" w:rsidP="00C272A9">
      <w:pPr>
        <w:rPr>
          <w:sz w:val="26"/>
          <w:szCs w:val="26"/>
        </w:rPr>
      </w:pPr>
      <w:r w:rsidRPr="00C272A9">
        <w:rPr>
          <w:sz w:val="26"/>
          <w:szCs w:val="26"/>
        </w:rPr>
        <w:t>     </w:t>
      </w:r>
      <w:r>
        <w:rPr>
          <w:sz w:val="26"/>
          <w:szCs w:val="26"/>
        </w:rPr>
        <w:tab/>
      </w:r>
      <w:r>
        <w:rPr>
          <w:sz w:val="26"/>
          <w:szCs w:val="26"/>
        </w:rPr>
        <w:tab/>
      </w:r>
      <w:r w:rsidRPr="00C272A9">
        <w:rPr>
          <w:sz w:val="26"/>
          <w:szCs w:val="26"/>
        </w:rPr>
        <w:t xml:space="preserve">(ii)   The expiration date, if applicable. </w:t>
      </w:r>
    </w:p>
    <w:p w:rsidR="00C272A9" w:rsidRPr="00C272A9" w:rsidRDefault="00C272A9" w:rsidP="00C272A9">
      <w:pPr>
        <w:rPr>
          <w:sz w:val="26"/>
          <w:szCs w:val="26"/>
        </w:rPr>
      </w:pPr>
      <w:r w:rsidRPr="00C272A9">
        <w:rPr>
          <w:sz w:val="26"/>
          <w:szCs w:val="26"/>
        </w:rPr>
        <w:t>   </w:t>
      </w:r>
      <w:r>
        <w:rPr>
          <w:sz w:val="26"/>
          <w:szCs w:val="26"/>
        </w:rPr>
        <w:tab/>
      </w:r>
      <w:r w:rsidRPr="00C272A9">
        <w:rPr>
          <w:sz w:val="26"/>
          <w:szCs w:val="26"/>
        </w:rPr>
        <w:t>(5) </w:t>
      </w:r>
      <w:r w:rsidR="00EA55AF">
        <w:rPr>
          <w:sz w:val="26"/>
          <w:szCs w:val="26"/>
        </w:rPr>
        <w:t xml:space="preserve"> </w:t>
      </w:r>
      <w:r w:rsidRPr="00C272A9">
        <w:rPr>
          <w:sz w:val="26"/>
          <w:szCs w:val="26"/>
        </w:rPr>
        <w:t xml:space="preserve">An explanation of sign-up bonuses, add-ons, limited time </w:t>
      </w:r>
      <w:proofErr w:type="gramStart"/>
      <w:r w:rsidRPr="00C272A9">
        <w:rPr>
          <w:sz w:val="26"/>
          <w:szCs w:val="26"/>
        </w:rPr>
        <w:t>offers,</w:t>
      </w:r>
      <w:proofErr w:type="gramEnd"/>
      <w:r w:rsidRPr="00C272A9">
        <w:rPr>
          <w:sz w:val="26"/>
          <w:szCs w:val="26"/>
        </w:rPr>
        <w:t xml:space="preserve"> other sales promotions and exclusions, if applicable. </w:t>
      </w:r>
    </w:p>
    <w:p w:rsidR="00C272A9" w:rsidRPr="00C272A9" w:rsidRDefault="00C272A9" w:rsidP="00C272A9">
      <w:pPr>
        <w:rPr>
          <w:sz w:val="26"/>
          <w:szCs w:val="26"/>
        </w:rPr>
      </w:pPr>
      <w:r w:rsidRPr="00C272A9">
        <w:rPr>
          <w:sz w:val="26"/>
          <w:szCs w:val="26"/>
        </w:rPr>
        <w:t>   </w:t>
      </w:r>
      <w:r>
        <w:rPr>
          <w:sz w:val="26"/>
          <w:szCs w:val="26"/>
        </w:rPr>
        <w:tab/>
      </w:r>
      <w:r w:rsidRPr="00C272A9">
        <w:rPr>
          <w:sz w:val="26"/>
          <w:szCs w:val="26"/>
        </w:rPr>
        <w:t>(6) </w:t>
      </w:r>
      <w:r w:rsidR="00EA55AF">
        <w:rPr>
          <w:sz w:val="26"/>
          <w:szCs w:val="26"/>
        </w:rPr>
        <w:t xml:space="preserve"> </w:t>
      </w:r>
      <w:r w:rsidRPr="00C272A9">
        <w:rPr>
          <w:sz w:val="26"/>
          <w:szCs w:val="26"/>
        </w:rPr>
        <w:t xml:space="preserve">An explanation of prices, terms and conditions for special services, if applicable. </w:t>
      </w:r>
    </w:p>
    <w:p w:rsidR="00C272A9" w:rsidRPr="00C272A9" w:rsidRDefault="00C272A9" w:rsidP="00C272A9">
      <w:pPr>
        <w:rPr>
          <w:sz w:val="26"/>
          <w:szCs w:val="26"/>
        </w:rPr>
      </w:pPr>
      <w:r w:rsidRPr="00C272A9">
        <w:rPr>
          <w:sz w:val="26"/>
          <w:szCs w:val="26"/>
        </w:rPr>
        <w:t>   </w:t>
      </w:r>
      <w:r>
        <w:rPr>
          <w:sz w:val="26"/>
          <w:szCs w:val="26"/>
        </w:rPr>
        <w:tab/>
      </w:r>
      <w:r w:rsidRPr="00C272A9">
        <w:rPr>
          <w:sz w:val="26"/>
          <w:szCs w:val="26"/>
        </w:rPr>
        <w:t>(7) </w:t>
      </w:r>
      <w:r w:rsidR="00EA55AF">
        <w:rPr>
          <w:sz w:val="26"/>
          <w:szCs w:val="26"/>
        </w:rPr>
        <w:t xml:space="preserve"> </w:t>
      </w:r>
      <w:r w:rsidRPr="00C272A9">
        <w:rPr>
          <w:sz w:val="26"/>
          <w:szCs w:val="26"/>
        </w:rPr>
        <w:t xml:space="preserve">The cancellation provisions, if applicable. </w:t>
      </w:r>
      <w:r w:rsidR="006B4F4A">
        <w:rPr>
          <w:sz w:val="26"/>
          <w:szCs w:val="26"/>
        </w:rPr>
        <w:t>[</w:t>
      </w:r>
      <w:r w:rsidRPr="00C272A9">
        <w:rPr>
          <w:sz w:val="26"/>
          <w:szCs w:val="26"/>
        </w:rPr>
        <w:t>When a customer moves from one location to another, even if the move is within an NGDC’s service territory, the agreement is cancelled.</w:t>
      </w:r>
      <w:r w:rsidR="006B4F4A">
        <w:rPr>
          <w:sz w:val="26"/>
          <w:szCs w:val="26"/>
        </w:rPr>
        <w:t>]</w:t>
      </w:r>
      <w:r w:rsidRPr="00C272A9">
        <w:rPr>
          <w:sz w:val="26"/>
          <w:szCs w:val="26"/>
        </w:rPr>
        <w:t xml:space="preserve"> </w:t>
      </w:r>
    </w:p>
    <w:p w:rsidR="00C272A9" w:rsidRPr="00C272A9" w:rsidRDefault="00C272A9" w:rsidP="00C272A9">
      <w:pPr>
        <w:rPr>
          <w:sz w:val="26"/>
          <w:szCs w:val="26"/>
        </w:rPr>
      </w:pPr>
      <w:r w:rsidRPr="00C272A9">
        <w:rPr>
          <w:sz w:val="26"/>
          <w:szCs w:val="26"/>
        </w:rPr>
        <w:t>   </w:t>
      </w:r>
      <w:r>
        <w:rPr>
          <w:sz w:val="26"/>
          <w:szCs w:val="26"/>
        </w:rPr>
        <w:tab/>
      </w:r>
      <w:r w:rsidRPr="00C272A9">
        <w:rPr>
          <w:sz w:val="26"/>
          <w:szCs w:val="26"/>
        </w:rPr>
        <w:t xml:space="preserve">(8) The renewal provisions, if applicable. </w:t>
      </w:r>
      <w:r w:rsidR="006B4F4A">
        <w:rPr>
          <w:sz w:val="26"/>
          <w:szCs w:val="26"/>
        </w:rPr>
        <w:t>[</w:t>
      </w:r>
      <w:r w:rsidRPr="00C272A9">
        <w:rPr>
          <w:sz w:val="26"/>
          <w:szCs w:val="26"/>
        </w:rPr>
        <w:t xml:space="preserve">Automatic renewal is allowed at the same terms and conditions as long as the new agreement is month-to-month. </w:t>
      </w:r>
    </w:p>
    <w:p w:rsidR="00C272A9" w:rsidRPr="00C272A9" w:rsidRDefault="00C272A9" w:rsidP="00C272A9">
      <w:pPr>
        <w:rPr>
          <w:sz w:val="26"/>
          <w:szCs w:val="26"/>
        </w:rPr>
      </w:pPr>
      <w:r w:rsidRPr="00C272A9">
        <w:rPr>
          <w:sz w:val="26"/>
          <w:szCs w:val="26"/>
        </w:rPr>
        <w:t>   </w:t>
      </w:r>
      <w:r>
        <w:rPr>
          <w:sz w:val="26"/>
          <w:szCs w:val="26"/>
        </w:rPr>
        <w:tab/>
      </w:r>
      <w:r w:rsidRPr="00C272A9">
        <w:rPr>
          <w:sz w:val="26"/>
          <w:szCs w:val="26"/>
        </w:rPr>
        <w:t>(9) The name and telephone number of the supplier of last resort.</w:t>
      </w:r>
      <w:r w:rsidR="003266ED">
        <w:rPr>
          <w:sz w:val="26"/>
          <w:szCs w:val="26"/>
        </w:rPr>
        <w:t>]</w:t>
      </w:r>
      <w:r w:rsidRPr="00C272A9">
        <w:rPr>
          <w:sz w:val="26"/>
          <w:szCs w:val="26"/>
        </w:rPr>
        <w:t xml:space="preserve"> </w:t>
      </w:r>
    </w:p>
    <w:p w:rsidR="00C272A9" w:rsidRPr="00C272A9" w:rsidRDefault="00C272A9" w:rsidP="00C272A9">
      <w:pPr>
        <w:rPr>
          <w:sz w:val="26"/>
          <w:szCs w:val="26"/>
        </w:rPr>
      </w:pPr>
      <w:r w:rsidRPr="00C272A9">
        <w:rPr>
          <w:sz w:val="26"/>
          <w:szCs w:val="26"/>
        </w:rPr>
        <w:t>   </w:t>
      </w:r>
      <w:r>
        <w:rPr>
          <w:sz w:val="26"/>
          <w:szCs w:val="26"/>
        </w:rPr>
        <w:tab/>
      </w:r>
      <w:r w:rsidR="00EA55AF">
        <w:rPr>
          <w:sz w:val="26"/>
          <w:szCs w:val="26"/>
          <w:u w:val="single"/>
        </w:rPr>
        <w:t>(9)[</w:t>
      </w:r>
      <w:r w:rsidRPr="00C272A9">
        <w:rPr>
          <w:sz w:val="26"/>
          <w:szCs w:val="26"/>
        </w:rPr>
        <w:t>(10)</w:t>
      </w:r>
      <w:r w:rsidR="00EA55AF">
        <w:rPr>
          <w:sz w:val="26"/>
          <w:szCs w:val="26"/>
        </w:rPr>
        <w:t>]</w:t>
      </w:r>
      <w:r w:rsidRPr="00C272A9">
        <w:rPr>
          <w:sz w:val="26"/>
          <w:szCs w:val="26"/>
        </w:rPr>
        <w:t> </w:t>
      </w:r>
      <w:proofErr w:type="gramStart"/>
      <w:r w:rsidRPr="00C272A9">
        <w:rPr>
          <w:sz w:val="26"/>
          <w:szCs w:val="26"/>
        </w:rPr>
        <w:t>An</w:t>
      </w:r>
      <w:proofErr w:type="gramEnd"/>
      <w:r w:rsidRPr="00C272A9">
        <w:rPr>
          <w:sz w:val="26"/>
          <w:szCs w:val="26"/>
        </w:rPr>
        <w:t xml:space="preserve"> explanation of </w:t>
      </w:r>
      <w:r w:rsidR="004C3CB8">
        <w:rPr>
          <w:sz w:val="26"/>
          <w:szCs w:val="26"/>
          <w:u w:val="single"/>
        </w:rPr>
        <w:t xml:space="preserve">limits on price </w:t>
      </w:r>
      <w:r w:rsidR="004C3CB8" w:rsidRPr="004C3CB8">
        <w:rPr>
          <w:sz w:val="26"/>
          <w:szCs w:val="26"/>
          <w:u w:val="single"/>
        </w:rPr>
        <w:t>variability</w:t>
      </w:r>
      <w:r w:rsidR="000D785D">
        <w:rPr>
          <w:sz w:val="26"/>
          <w:szCs w:val="26"/>
          <w:u w:val="single"/>
        </w:rPr>
        <w:t>,</w:t>
      </w:r>
      <w:r w:rsidR="004C3CB8">
        <w:rPr>
          <w:sz w:val="26"/>
          <w:szCs w:val="26"/>
        </w:rPr>
        <w:t xml:space="preserve"> </w:t>
      </w:r>
      <w:r w:rsidRPr="004C3CB8">
        <w:rPr>
          <w:sz w:val="26"/>
          <w:szCs w:val="26"/>
        </w:rPr>
        <w:t>penalties</w:t>
      </w:r>
      <w:r w:rsidRPr="00C272A9">
        <w:rPr>
          <w:sz w:val="26"/>
          <w:szCs w:val="26"/>
        </w:rPr>
        <w:t xml:space="preserve">, fees or exceptions, printed in type size larger than the type size appearing in the terms of service. Penalties shall be disclosed in actual dollars or a specific method for determining the actual dollars shall be disclosed. </w:t>
      </w:r>
    </w:p>
    <w:p w:rsidR="00C272A9" w:rsidRPr="00C272A9" w:rsidRDefault="00C272A9" w:rsidP="00C272A9">
      <w:pPr>
        <w:rPr>
          <w:sz w:val="26"/>
          <w:szCs w:val="26"/>
        </w:rPr>
      </w:pPr>
      <w:r w:rsidRPr="00C272A9">
        <w:rPr>
          <w:sz w:val="26"/>
          <w:szCs w:val="26"/>
        </w:rPr>
        <w:t>   </w:t>
      </w:r>
      <w:r>
        <w:rPr>
          <w:sz w:val="26"/>
          <w:szCs w:val="26"/>
        </w:rPr>
        <w:tab/>
      </w:r>
      <w:r w:rsidR="00EA55AF">
        <w:rPr>
          <w:sz w:val="26"/>
          <w:szCs w:val="26"/>
          <w:u w:val="single"/>
        </w:rPr>
        <w:t>(10)</w:t>
      </w:r>
      <w:r w:rsidR="00EA55AF">
        <w:rPr>
          <w:sz w:val="26"/>
          <w:szCs w:val="26"/>
        </w:rPr>
        <w:t>[</w:t>
      </w:r>
      <w:r w:rsidRPr="00C272A9">
        <w:rPr>
          <w:sz w:val="26"/>
          <w:szCs w:val="26"/>
        </w:rPr>
        <w:t>(11)</w:t>
      </w:r>
      <w:r w:rsidR="00EA55AF">
        <w:rPr>
          <w:sz w:val="26"/>
          <w:szCs w:val="26"/>
        </w:rPr>
        <w:t>]</w:t>
      </w:r>
      <w:r w:rsidRPr="00C272A9">
        <w:rPr>
          <w:sz w:val="26"/>
          <w:szCs w:val="26"/>
        </w:rPr>
        <w:t> Customer contact information that includes the name of the</w:t>
      </w:r>
      <w:r w:rsidR="00EA55AF">
        <w:rPr>
          <w:sz w:val="26"/>
          <w:szCs w:val="26"/>
        </w:rPr>
        <w:t xml:space="preserve"> [</w:t>
      </w:r>
      <w:r w:rsidRPr="00C272A9">
        <w:rPr>
          <w:sz w:val="26"/>
          <w:szCs w:val="26"/>
        </w:rPr>
        <w:t>NGDC and</w:t>
      </w:r>
      <w:r w:rsidR="00EA55AF">
        <w:rPr>
          <w:sz w:val="26"/>
          <w:szCs w:val="26"/>
        </w:rPr>
        <w:t xml:space="preserve">] </w:t>
      </w:r>
      <w:r w:rsidRPr="00C272A9">
        <w:rPr>
          <w:sz w:val="26"/>
          <w:szCs w:val="26"/>
        </w:rPr>
        <w:t xml:space="preserve">NGS, and the NGS’s address, telephone number, Commission license number and Internet address, if available. The NGS’s information shall appear first and be prominent. </w:t>
      </w:r>
    </w:p>
    <w:p w:rsidR="00C272A9" w:rsidRPr="00C272A9" w:rsidRDefault="00C272A9" w:rsidP="00C272A9">
      <w:pPr>
        <w:rPr>
          <w:sz w:val="26"/>
          <w:szCs w:val="26"/>
        </w:rPr>
      </w:pPr>
      <w:r w:rsidRPr="00C272A9">
        <w:rPr>
          <w:sz w:val="26"/>
          <w:szCs w:val="26"/>
        </w:rPr>
        <w:t>   </w:t>
      </w:r>
      <w:r>
        <w:rPr>
          <w:sz w:val="26"/>
          <w:szCs w:val="26"/>
        </w:rPr>
        <w:tab/>
      </w:r>
      <w:r w:rsidR="00EA55AF">
        <w:rPr>
          <w:sz w:val="26"/>
          <w:szCs w:val="26"/>
          <w:u w:val="single"/>
        </w:rPr>
        <w:t>(11)</w:t>
      </w:r>
      <w:r w:rsidR="00EA55AF">
        <w:rPr>
          <w:sz w:val="26"/>
          <w:szCs w:val="26"/>
        </w:rPr>
        <w:t>[</w:t>
      </w:r>
      <w:r w:rsidRPr="00C272A9">
        <w:rPr>
          <w:sz w:val="26"/>
          <w:szCs w:val="26"/>
        </w:rPr>
        <w:t>(12)</w:t>
      </w:r>
      <w:r w:rsidR="00EA55AF">
        <w:rPr>
          <w:sz w:val="26"/>
          <w:szCs w:val="26"/>
        </w:rPr>
        <w:t>]</w:t>
      </w:r>
      <w:r w:rsidRPr="00C272A9">
        <w:rPr>
          <w:sz w:val="26"/>
          <w:szCs w:val="26"/>
        </w:rPr>
        <w:t xml:space="preserve"> A statement </w:t>
      </w:r>
      <w:r w:rsidR="004B7B4F">
        <w:rPr>
          <w:sz w:val="26"/>
          <w:szCs w:val="26"/>
        </w:rPr>
        <w:t>[</w:t>
      </w:r>
      <w:r w:rsidRPr="00C272A9">
        <w:rPr>
          <w:sz w:val="26"/>
          <w:szCs w:val="26"/>
        </w:rPr>
        <w:t>that</w:t>
      </w:r>
      <w:r w:rsidR="004B7B4F">
        <w:rPr>
          <w:sz w:val="26"/>
          <w:szCs w:val="26"/>
        </w:rPr>
        <w:t xml:space="preserve"> ]</w:t>
      </w:r>
      <w:r w:rsidR="004C3CB8" w:rsidRPr="004C3CB8">
        <w:rPr>
          <w:sz w:val="26"/>
          <w:szCs w:val="26"/>
          <w:u w:val="single"/>
        </w:rPr>
        <w:t>provid</w:t>
      </w:r>
      <w:r w:rsidR="004B7B4F">
        <w:rPr>
          <w:sz w:val="26"/>
          <w:szCs w:val="26"/>
          <w:u w:val="single"/>
        </w:rPr>
        <w:t>ing</w:t>
      </w:r>
      <w:r w:rsidR="004C3CB8" w:rsidRPr="004C3CB8">
        <w:rPr>
          <w:sz w:val="26"/>
          <w:szCs w:val="26"/>
          <w:u w:val="single"/>
        </w:rPr>
        <w:t xml:space="preserve"> that information about shopping for a gas supplier is available</w:t>
      </w:r>
      <w:r w:rsidR="00202C13">
        <w:rPr>
          <w:sz w:val="26"/>
          <w:szCs w:val="26"/>
          <w:u w:val="single"/>
        </w:rPr>
        <w:t xml:space="preserve"> </w:t>
      </w:r>
      <w:r w:rsidR="002934A3">
        <w:rPr>
          <w:sz w:val="26"/>
          <w:szCs w:val="26"/>
          <w:u w:val="single"/>
        </w:rPr>
        <w:t xml:space="preserve">at </w:t>
      </w:r>
      <w:hyperlink r:id="rId11" w:history="1">
        <w:r w:rsidR="0025271E" w:rsidRPr="000E1F77">
          <w:rPr>
            <w:rStyle w:val="Hyperlink"/>
            <w:color w:val="000000" w:themeColor="text1"/>
            <w:sz w:val="26"/>
            <w:szCs w:val="26"/>
          </w:rPr>
          <w:t>www.PaGasSwitch.com</w:t>
        </w:r>
      </w:hyperlink>
      <w:r w:rsidR="000E1F77" w:rsidRPr="000E1F77">
        <w:rPr>
          <w:rStyle w:val="Hyperlink"/>
          <w:color w:val="000000" w:themeColor="text1"/>
          <w:sz w:val="26"/>
          <w:szCs w:val="26"/>
        </w:rPr>
        <w:t xml:space="preserve"> or other successor media platform as determined by the Commission</w:t>
      </w:r>
      <w:r w:rsidR="000E1F77">
        <w:rPr>
          <w:rStyle w:val="Hyperlink"/>
          <w:color w:val="000000" w:themeColor="text1"/>
          <w:sz w:val="26"/>
          <w:szCs w:val="26"/>
          <w:u w:val="none"/>
        </w:rPr>
        <w:t xml:space="preserve"> </w:t>
      </w:r>
      <w:r w:rsidR="004C3CB8">
        <w:rPr>
          <w:sz w:val="26"/>
          <w:szCs w:val="26"/>
        </w:rPr>
        <w:t>[</w:t>
      </w:r>
      <w:r w:rsidRPr="00C272A9">
        <w:rPr>
          <w:sz w:val="26"/>
          <w:szCs w:val="26"/>
        </w:rPr>
        <w:t xml:space="preserve">directs a customer to the Commission if the customer is not satisfied after discussing the terms of service contained in the disclosure statement with the NGS. </w:t>
      </w:r>
    </w:p>
    <w:p w:rsidR="00C272A9" w:rsidRDefault="00C272A9" w:rsidP="00C272A9">
      <w:pPr>
        <w:ind w:left="720"/>
        <w:rPr>
          <w:sz w:val="26"/>
          <w:szCs w:val="26"/>
        </w:rPr>
      </w:pPr>
      <w:r w:rsidRPr="00C272A9">
        <w:rPr>
          <w:sz w:val="26"/>
          <w:szCs w:val="26"/>
        </w:rPr>
        <w:t>(13)</w:t>
      </w:r>
      <w:r w:rsidR="004C3CB8">
        <w:rPr>
          <w:sz w:val="26"/>
          <w:szCs w:val="26"/>
        </w:rPr>
        <w:t xml:space="preserve"> </w:t>
      </w:r>
      <w:r w:rsidRPr="00C272A9">
        <w:rPr>
          <w:sz w:val="26"/>
          <w:szCs w:val="26"/>
        </w:rPr>
        <w:t>The name and telephone number for universal service program information</w:t>
      </w:r>
      <w:r w:rsidR="00C16DC2">
        <w:rPr>
          <w:sz w:val="26"/>
          <w:szCs w:val="26"/>
        </w:rPr>
        <w:t>]</w:t>
      </w:r>
      <w:r>
        <w:rPr>
          <w:sz w:val="26"/>
          <w:szCs w:val="26"/>
        </w:rPr>
        <w:t>.</w:t>
      </w:r>
    </w:p>
    <w:p w:rsidR="00C272A9" w:rsidRPr="00C272A9" w:rsidRDefault="00C272A9" w:rsidP="00C272A9">
      <w:pPr>
        <w:ind w:firstLine="360"/>
        <w:rPr>
          <w:sz w:val="26"/>
          <w:szCs w:val="26"/>
        </w:rPr>
      </w:pPr>
      <w:r w:rsidRPr="00C272A9">
        <w:rPr>
          <w:sz w:val="26"/>
          <w:szCs w:val="26"/>
        </w:rPr>
        <w:lastRenderedPageBreak/>
        <w:t xml:space="preserve">(d)  Customers shall be provided a 3-day right of rescission period following receipt of the disclosure statement from the NGS. </w:t>
      </w:r>
    </w:p>
    <w:p w:rsidR="00C272A9" w:rsidRPr="00C272A9" w:rsidRDefault="00C272A9" w:rsidP="00C272A9">
      <w:pPr>
        <w:rPr>
          <w:sz w:val="26"/>
          <w:szCs w:val="26"/>
        </w:rPr>
      </w:pPr>
      <w:r w:rsidRPr="00C272A9">
        <w:rPr>
          <w:sz w:val="26"/>
          <w:szCs w:val="26"/>
        </w:rPr>
        <w:t>   </w:t>
      </w:r>
      <w:r>
        <w:rPr>
          <w:sz w:val="26"/>
          <w:szCs w:val="26"/>
        </w:rPr>
        <w:tab/>
      </w:r>
      <w:r w:rsidRPr="00C272A9">
        <w:rPr>
          <w:sz w:val="26"/>
          <w:szCs w:val="26"/>
        </w:rPr>
        <w:t xml:space="preserve">(1)  The 3-day right of rescission is 3 business days. </w:t>
      </w:r>
    </w:p>
    <w:p w:rsidR="00C272A9" w:rsidRPr="00C272A9" w:rsidRDefault="00C272A9" w:rsidP="00C272A9">
      <w:pPr>
        <w:rPr>
          <w:sz w:val="26"/>
          <w:szCs w:val="26"/>
        </w:rPr>
      </w:pPr>
      <w:r w:rsidRPr="00C272A9">
        <w:rPr>
          <w:sz w:val="26"/>
          <w:szCs w:val="26"/>
        </w:rPr>
        <w:t>   </w:t>
      </w:r>
      <w:r>
        <w:rPr>
          <w:sz w:val="26"/>
          <w:szCs w:val="26"/>
        </w:rPr>
        <w:tab/>
      </w:r>
      <w:r w:rsidRPr="00C272A9">
        <w:rPr>
          <w:sz w:val="26"/>
          <w:szCs w:val="26"/>
        </w:rPr>
        <w:t xml:space="preserve">(2)  The 3-day right of rescission begins when the customer receives the disclosure statement from the NGS. </w:t>
      </w:r>
    </w:p>
    <w:p w:rsidR="00C272A9" w:rsidRPr="00C272A9" w:rsidRDefault="00C272A9" w:rsidP="00C272A9">
      <w:pPr>
        <w:rPr>
          <w:sz w:val="26"/>
          <w:szCs w:val="26"/>
        </w:rPr>
      </w:pPr>
      <w:r w:rsidRPr="00C272A9">
        <w:rPr>
          <w:sz w:val="26"/>
          <w:szCs w:val="26"/>
        </w:rPr>
        <w:t>   </w:t>
      </w:r>
      <w:r>
        <w:rPr>
          <w:sz w:val="26"/>
          <w:szCs w:val="26"/>
        </w:rPr>
        <w:tab/>
      </w:r>
      <w:r w:rsidRPr="00C272A9">
        <w:rPr>
          <w:sz w:val="26"/>
          <w:szCs w:val="26"/>
        </w:rPr>
        <w:t xml:space="preserve">(3)  The customer may cancel in writing, orally or electronically, if available, by contacting the NGS. </w:t>
      </w:r>
    </w:p>
    <w:p w:rsidR="00C272A9" w:rsidRPr="00C272A9" w:rsidRDefault="00C272A9" w:rsidP="00C272A9">
      <w:pPr>
        <w:rPr>
          <w:sz w:val="26"/>
          <w:szCs w:val="26"/>
        </w:rPr>
      </w:pPr>
      <w:r w:rsidRPr="00C272A9">
        <w:rPr>
          <w:sz w:val="26"/>
          <w:szCs w:val="26"/>
        </w:rPr>
        <w:t>   </w:t>
      </w:r>
      <w:r>
        <w:rPr>
          <w:sz w:val="26"/>
          <w:szCs w:val="26"/>
        </w:rPr>
        <w:tab/>
      </w:r>
      <w:r w:rsidRPr="00C272A9">
        <w:rPr>
          <w:sz w:val="26"/>
          <w:szCs w:val="26"/>
        </w:rPr>
        <w:t xml:space="preserve">(4)  Waivers of the 3-day right of rescission are not permitted. </w:t>
      </w:r>
    </w:p>
    <w:p w:rsidR="00C272A9" w:rsidRPr="00C272A9" w:rsidRDefault="00C272A9" w:rsidP="00C272A9">
      <w:pPr>
        <w:ind w:firstLine="360"/>
        <w:rPr>
          <w:sz w:val="26"/>
          <w:szCs w:val="26"/>
        </w:rPr>
      </w:pPr>
      <w:r w:rsidRPr="00C272A9">
        <w:rPr>
          <w:sz w:val="26"/>
          <w:szCs w:val="26"/>
        </w:rPr>
        <w:t> (e)  The definition for commodity charges is required on natural gas disclosure statements and shall be defined in accordance with §</w:t>
      </w:r>
      <w:proofErr w:type="gramStart"/>
      <w:r w:rsidRPr="00C272A9">
        <w:rPr>
          <w:sz w:val="26"/>
          <w:szCs w:val="26"/>
        </w:rPr>
        <w:t>  62.80</w:t>
      </w:r>
      <w:proofErr w:type="gramEnd"/>
      <w:r w:rsidRPr="00C272A9">
        <w:rPr>
          <w:sz w:val="26"/>
          <w:szCs w:val="26"/>
        </w:rPr>
        <w:t xml:space="preserve"> (relating to common natural gas competition terms). Definitions for other basic charges, if applicable, are required. Definitions for each of the </w:t>
      </w:r>
      <w:proofErr w:type="spellStart"/>
      <w:r w:rsidRPr="00C272A9">
        <w:rPr>
          <w:sz w:val="26"/>
          <w:szCs w:val="26"/>
        </w:rPr>
        <w:t>nonbasic</w:t>
      </w:r>
      <w:proofErr w:type="spellEnd"/>
      <w:r w:rsidRPr="00C272A9">
        <w:rPr>
          <w:sz w:val="26"/>
          <w:szCs w:val="26"/>
        </w:rPr>
        <w:t xml:space="preserve"> services, if applicable, are required. The definition section of the bill shall be distinctly separate. </w:t>
      </w:r>
    </w:p>
    <w:p w:rsidR="00C272A9" w:rsidRPr="00C272A9" w:rsidRDefault="00C272A9" w:rsidP="00C272A9">
      <w:pPr>
        <w:ind w:firstLine="360"/>
        <w:rPr>
          <w:sz w:val="26"/>
          <w:szCs w:val="26"/>
        </w:rPr>
      </w:pPr>
      <w:r w:rsidRPr="00C272A9">
        <w:rPr>
          <w:sz w:val="26"/>
          <w:szCs w:val="26"/>
        </w:rPr>
        <w:t xml:space="preserve"> (f)  The NGS shall include in the customer’s disclosure statement the following statements which may appear together in a paragraph: </w:t>
      </w:r>
    </w:p>
    <w:p w:rsidR="00C272A9" w:rsidRPr="00C272A9" w:rsidRDefault="00C272A9" w:rsidP="00C272A9">
      <w:pPr>
        <w:rPr>
          <w:sz w:val="26"/>
          <w:szCs w:val="26"/>
        </w:rPr>
      </w:pPr>
      <w:r w:rsidRPr="00C272A9">
        <w:rPr>
          <w:sz w:val="26"/>
          <w:szCs w:val="26"/>
        </w:rPr>
        <w:t>   </w:t>
      </w:r>
      <w:r>
        <w:rPr>
          <w:sz w:val="26"/>
          <w:szCs w:val="26"/>
        </w:rPr>
        <w:tab/>
      </w:r>
      <w:r w:rsidRPr="00C272A9">
        <w:rPr>
          <w:sz w:val="26"/>
          <w:szCs w:val="26"/>
        </w:rPr>
        <w:t xml:space="preserve">(1)  “Commodity prices and charges are set by the natural gas supplier you have chosen.” </w:t>
      </w:r>
    </w:p>
    <w:p w:rsidR="00C272A9" w:rsidRDefault="00C272A9" w:rsidP="00C272A9">
      <w:pPr>
        <w:rPr>
          <w:sz w:val="26"/>
          <w:szCs w:val="26"/>
        </w:rPr>
      </w:pPr>
      <w:r w:rsidRPr="00C272A9">
        <w:rPr>
          <w:sz w:val="26"/>
          <w:szCs w:val="26"/>
        </w:rPr>
        <w:t>  </w:t>
      </w:r>
      <w:r>
        <w:rPr>
          <w:sz w:val="26"/>
          <w:szCs w:val="26"/>
        </w:rPr>
        <w:tab/>
      </w:r>
      <w:r w:rsidRPr="00C272A9">
        <w:rPr>
          <w:sz w:val="26"/>
          <w:szCs w:val="26"/>
        </w:rPr>
        <w:t xml:space="preserve">(2)  “The Public Utility Commission regulates distribution prices and services.” </w:t>
      </w:r>
    </w:p>
    <w:p w:rsidR="00C272A9" w:rsidRPr="00C272A9" w:rsidRDefault="00C272A9" w:rsidP="00C272A9">
      <w:pPr>
        <w:ind w:firstLine="360"/>
        <w:rPr>
          <w:sz w:val="26"/>
          <w:szCs w:val="26"/>
        </w:rPr>
      </w:pPr>
      <w:r w:rsidRPr="00C272A9">
        <w:rPr>
          <w:sz w:val="26"/>
          <w:szCs w:val="26"/>
        </w:rPr>
        <w:t xml:space="preserve">(g)  Disclosure statements shall include the following customer notification: </w:t>
      </w:r>
    </w:p>
    <w:p w:rsidR="00C272A9" w:rsidRPr="00C272A9" w:rsidRDefault="00C272A9" w:rsidP="004C3CB8">
      <w:pPr>
        <w:pStyle w:val="NoSpacing"/>
        <w:rPr>
          <w:sz w:val="26"/>
          <w:szCs w:val="26"/>
        </w:rPr>
      </w:pPr>
      <w:r w:rsidRPr="00C272A9">
        <w:rPr>
          <w:sz w:val="26"/>
          <w:szCs w:val="26"/>
        </w:rPr>
        <w:t>   </w:t>
      </w:r>
      <w:r>
        <w:rPr>
          <w:sz w:val="26"/>
          <w:szCs w:val="26"/>
        </w:rPr>
        <w:tab/>
      </w:r>
      <w:r w:rsidR="004C3CB8">
        <w:rPr>
          <w:sz w:val="26"/>
          <w:szCs w:val="26"/>
        </w:rPr>
        <w:t>[</w:t>
      </w:r>
      <w:r w:rsidRPr="00C272A9">
        <w:rPr>
          <w:sz w:val="26"/>
          <w:szCs w:val="26"/>
        </w:rPr>
        <w:t xml:space="preserve">(1)  “If you have a fixed term agreement with us that is longer than 3 months and it is approaching the expiration date, we will send you advance written notices at about 90 days and 60 days before the expiration date. If we propose to change our terms of service in any type of agreement, we will send you advance written notices at about 90 days and 60 days before the effective date of the change. If we are billing you directly for our services, then we will provide the notices as a bill message, a bill insert, or in a separate corresponding mailing. If the NGDC is billing our charges for us, then we will provide the notices in separate corresponding mailings. We will explain your options to you in these two advance notifications.” </w:t>
      </w:r>
    </w:p>
    <w:p w:rsidR="00C272A9" w:rsidRPr="00C272A9" w:rsidRDefault="00C272A9" w:rsidP="00C272A9">
      <w:pPr>
        <w:ind w:firstLine="720"/>
        <w:rPr>
          <w:sz w:val="26"/>
          <w:szCs w:val="26"/>
        </w:rPr>
      </w:pPr>
      <w:r w:rsidRPr="00C272A9">
        <w:rPr>
          <w:sz w:val="26"/>
          <w:szCs w:val="26"/>
        </w:rPr>
        <w:t xml:space="preserve">(2)  The NGS may add appropriate language in the notice so that the notice may serve as an amendment to the original agreement if the customer affirmatively reselects the NGS. Affirmative </w:t>
      </w:r>
      <w:proofErr w:type="spellStart"/>
      <w:r w:rsidRPr="00C272A9">
        <w:rPr>
          <w:sz w:val="26"/>
          <w:szCs w:val="26"/>
        </w:rPr>
        <w:t>reslection</w:t>
      </w:r>
      <w:proofErr w:type="spellEnd"/>
      <w:r w:rsidRPr="00C272A9">
        <w:rPr>
          <w:sz w:val="26"/>
          <w:szCs w:val="26"/>
        </w:rPr>
        <w:t xml:space="preserve"> occurs when the customer initiates a telephone call to the NGS and during the conversation the customer accepts the new offer, the NGS initiates a telephone call to the customer and during the conversation the customer accepts the new offer, the customer accepts the new offer by signing a document and returning it to the NGS, or the customer acknowledges the acceptance of the new offer electronically, perhaps by checking a box on a form on the NGS’s website. These are offered as examples and are not meant to be all inclusive. After a customer affirmatively reselects the NGS, the NGS is relieved of its obligation to fulfill outstanding notice requirements. If the change in terms notice is for a reduction in the price of the commodity charges, the NGS is required to send only one written notice at least 60 but not more than 90 days prior to the effective date of the price change. A fixed term agreement may be converted to a month-to-month agreement, either at the same terms and conditions or at revised terms and conditions, as long as the agreement converts from a fixed term to a month-to-</w:t>
      </w:r>
      <w:r w:rsidRPr="00C272A9">
        <w:rPr>
          <w:sz w:val="26"/>
          <w:szCs w:val="26"/>
        </w:rPr>
        <w:lastRenderedPageBreak/>
        <w:t>month agreement and contains no cancellation penalties, in the event that the customer does not respond to the notice. A fixed term agreement may be converted to another fixed term agreement as long as the new agreement includes a customer initiated cancellation provision that allows the customer to cancel at any time for any reason and contains no cancellation penalties, in the event that the customer does not respond to the notice.</w:t>
      </w:r>
      <w:r w:rsidR="004C3CB8">
        <w:rPr>
          <w:sz w:val="26"/>
          <w:szCs w:val="26"/>
        </w:rPr>
        <w:t>]</w:t>
      </w:r>
      <w:r w:rsidRPr="00C272A9">
        <w:rPr>
          <w:sz w:val="26"/>
          <w:szCs w:val="26"/>
        </w:rPr>
        <w:t xml:space="preserve"> </w:t>
      </w:r>
    </w:p>
    <w:p w:rsidR="0025271E" w:rsidRDefault="0025271E" w:rsidP="0025271E">
      <w:pPr>
        <w:pStyle w:val="NoSpacing"/>
        <w:ind w:firstLine="720"/>
        <w:rPr>
          <w:sz w:val="26"/>
          <w:szCs w:val="26"/>
        </w:rPr>
      </w:pPr>
      <w:r w:rsidRPr="0025271E">
        <w:rPr>
          <w:rFonts w:eastAsia="Times New Roman"/>
          <w:sz w:val="26"/>
          <w:szCs w:val="26"/>
          <w:u w:val="single"/>
        </w:rPr>
        <w:t>‘‘If you have a fixed duration contract approaching the expiration date, or whenever we propose to change the terms of service in any type of contract, you will receive two separate written notifications that precede either the expiration date or the effective date of the proposed changes. These notifications will explain your options going forward.’’</w:t>
      </w:r>
    </w:p>
    <w:p w:rsidR="0025271E" w:rsidRDefault="00C272A9" w:rsidP="0025271E">
      <w:pPr>
        <w:pStyle w:val="NoSpacing"/>
        <w:ind w:firstLine="360"/>
        <w:rPr>
          <w:sz w:val="26"/>
          <w:szCs w:val="26"/>
        </w:rPr>
      </w:pPr>
      <w:r w:rsidRPr="004C3CB8">
        <w:rPr>
          <w:sz w:val="26"/>
          <w:szCs w:val="26"/>
        </w:rPr>
        <w:t>(h)  If the supplier of last resort changes, the new supplier of last resort shall notify customers of that change, and shall provide customers with the name, address, telephone number and Internet address, if available.</w:t>
      </w:r>
      <w:r w:rsidR="004C3CB8" w:rsidRPr="004C3CB8">
        <w:rPr>
          <w:sz w:val="26"/>
          <w:szCs w:val="26"/>
        </w:rPr>
        <w:t xml:space="preserve">  </w:t>
      </w:r>
    </w:p>
    <w:p w:rsidR="0025271E" w:rsidRDefault="0025271E" w:rsidP="0025271E">
      <w:pPr>
        <w:pStyle w:val="NoSpacing"/>
        <w:ind w:firstLine="360"/>
        <w:rPr>
          <w:rFonts w:eastAsia="Times New Roman" w:cstheme="minorHAnsi"/>
          <w:sz w:val="26"/>
          <w:szCs w:val="26"/>
          <w:u w:val="single"/>
        </w:rPr>
      </w:pPr>
      <w:r>
        <w:rPr>
          <w:sz w:val="26"/>
          <w:szCs w:val="26"/>
        </w:rPr>
        <w:t>(</w:t>
      </w:r>
      <w:proofErr w:type="spellStart"/>
      <w:r w:rsidRPr="0025271E">
        <w:rPr>
          <w:rFonts w:cstheme="minorHAnsi"/>
          <w:sz w:val="26"/>
          <w:szCs w:val="26"/>
          <w:u w:val="single"/>
        </w:rPr>
        <w:t>i</w:t>
      </w:r>
      <w:proofErr w:type="spellEnd"/>
      <w:r w:rsidRPr="0025271E">
        <w:rPr>
          <w:rFonts w:cstheme="minorHAnsi"/>
          <w:sz w:val="26"/>
          <w:szCs w:val="26"/>
          <w:u w:val="single"/>
        </w:rPr>
        <w:t xml:space="preserve">) </w:t>
      </w:r>
      <w:r w:rsidR="004C3CB8" w:rsidRPr="0025271E">
        <w:rPr>
          <w:rFonts w:eastAsia="Times New Roman" w:cstheme="minorHAnsi"/>
          <w:sz w:val="26"/>
          <w:szCs w:val="26"/>
          <w:u w:val="single"/>
        </w:rPr>
        <w:t xml:space="preserve">The NGS shall provide, with the disclosure statement, a separate NGS contract summary in a format provided by the Commission. </w:t>
      </w:r>
    </w:p>
    <w:p w:rsidR="004C3CB8" w:rsidRPr="0025271E" w:rsidRDefault="0025271E" w:rsidP="0025271E">
      <w:pPr>
        <w:pStyle w:val="NoSpacing"/>
        <w:ind w:firstLine="360"/>
        <w:rPr>
          <w:rFonts w:eastAsia="Times New Roman" w:cstheme="minorHAnsi"/>
          <w:sz w:val="26"/>
          <w:szCs w:val="26"/>
          <w:u w:val="single"/>
        </w:rPr>
      </w:pPr>
      <w:r>
        <w:rPr>
          <w:rFonts w:eastAsia="Times New Roman" w:cstheme="minorHAnsi"/>
          <w:sz w:val="26"/>
          <w:szCs w:val="26"/>
          <w:u w:val="single"/>
        </w:rPr>
        <w:t xml:space="preserve">(j) </w:t>
      </w:r>
      <w:r w:rsidR="004C3CB8" w:rsidRPr="0025271E">
        <w:rPr>
          <w:rFonts w:eastAsia="Times New Roman" w:cstheme="minorHAnsi"/>
          <w:sz w:val="26"/>
          <w:szCs w:val="26"/>
          <w:u w:val="single"/>
        </w:rPr>
        <w:t xml:space="preserve">If the contract is assignable, </w:t>
      </w:r>
      <w:r>
        <w:rPr>
          <w:rFonts w:eastAsia="Times New Roman" w:cstheme="minorHAnsi"/>
          <w:sz w:val="26"/>
          <w:szCs w:val="26"/>
          <w:u w:val="single"/>
        </w:rPr>
        <w:t xml:space="preserve">the NGS shall </w:t>
      </w:r>
      <w:r w:rsidR="000D785D">
        <w:rPr>
          <w:rFonts w:eastAsia="Times New Roman" w:cstheme="minorHAnsi"/>
          <w:sz w:val="26"/>
          <w:szCs w:val="26"/>
          <w:u w:val="single"/>
        </w:rPr>
        <w:t>inform</w:t>
      </w:r>
      <w:r w:rsidR="004C3CB8" w:rsidRPr="0025271E">
        <w:rPr>
          <w:rFonts w:eastAsia="Times New Roman" w:cstheme="minorHAnsi"/>
          <w:sz w:val="26"/>
          <w:szCs w:val="26"/>
          <w:u w:val="single"/>
        </w:rPr>
        <w:t xml:space="preserve"> the customer </w:t>
      </w:r>
      <w:r w:rsidR="000D785D">
        <w:rPr>
          <w:rFonts w:eastAsia="Times New Roman" w:cstheme="minorHAnsi"/>
          <w:sz w:val="26"/>
          <w:szCs w:val="26"/>
          <w:u w:val="single"/>
        </w:rPr>
        <w:t>accordingly</w:t>
      </w:r>
      <w:r w:rsidR="004C3CB8" w:rsidRPr="0025271E">
        <w:rPr>
          <w:rFonts w:eastAsia="Times New Roman" w:cstheme="minorHAnsi"/>
          <w:sz w:val="26"/>
          <w:szCs w:val="26"/>
          <w:u w:val="single"/>
        </w:rPr>
        <w:t xml:space="preserve">.  </w:t>
      </w:r>
    </w:p>
    <w:bookmarkEnd w:id="3"/>
    <w:p w:rsidR="00C272A9" w:rsidRDefault="00C272A9" w:rsidP="00B113D1">
      <w:pPr>
        <w:spacing w:line="360" w:lineRule="auto"/>
        <w:jc w:val="center"/>
        <w:rPr>
          <w:rFonts w:eastAsia="Times New Roman" w:cstheme="minorHAnsi"/>
          <w:sz w:val="26"/>
          <w:szCs w:val="26"/>
        </w:rPr>
      </w:pPr>
    </w:p>
    <w:p w:rsidR="00B113D1" w:rsidRPr="00517EFF" w:rsidRDefault="00103F0D" w:rsidP="00B113D1">
      <w:pPr>
        <w:spacing w:line="360" w:lineRule="auto"/>
        <w:jc w:val="center"/>
        <w:rPr>
          <w:rFonts w:cstheme="minorHAnsi"/>
          <w:b/>
          <w:sz w:val="26"/>
          <w:szCs w:val="26"/>
        </w:rPr>
      </w:pPr>
      <w:r w:rsidRPr="00517EFF" w:rsidDel="009F05C4">
        <w:rPr>
          <w:rFonts w:eastAsia="Times New Roman" w:cstheme="minorHAnsi"/>
          <w:sz w:val="26"/>
          <w:szCs w:val="26"/>
        </w:rPr>
        <w:t xml:space="preserve"> </w:t>
      </w:r>
      <w:r w:rsidR="00B113D1" w:rsidRPr="00517EFF">
        <w:rPr>
          <w:rFonts w:cstheme="minorHAnsi"/>
          <w:b/>
          <w:sz w:val="26"/>
          <w:szCs w:val="26"/>
        </w:rPr>
        <w:t>*</w:t>
      </w:r>
      <w:r w:rsidR="00B113D1" w:rsidRPr="00517EFF">
        <w:rPr>
          <w:rFonts w:cstheme="minorHAnsi"/>
          <w:b/>
          <w:sz w:val="26"/>
          <w:szCs w:val="26"/>
        </w:rPr>
        <w:tab/>
        <w:t>*</w:t>
      </w:r>
      <w:r w:rsidR="00B113D1" w:rsidRPr="00517EFF">
        <w:rPr>
          <w:rFonts w:cstheme="minorHAnsi"/>
          <w:b/>
          <w:sz w:val="26"/>
          <w:szCs w:val="26"/>
        </w:rPr>
        <w:tab/>
        <w:t>*</w:t>
      </w:r>
      <w:r w:rsidR="00B113D1" w:rsidRPr="00517EFF">
        <w:rPr>
          <w:rFonts w:cstheme="minorHAnsi"/>
          <w:b/>
          <w:sz w:val="26"/>
          <w:szCs w:val="26"/>
        </w:rPr>
        <w:tab/>
        <w:t>*</w:t>
      </w:r>
      <w:r w:rsidR="00B113D1" w:rsidRPr="00517EFF">
        <w:rPr>
          <w:rFonts w:cstheme="minorHAnsi"/>
          <w:b/>
          <w:sz w:val="26"/>
          <w:szCs w:val="26"/>
        </w:rPr>
        <w:tab/>
        <w:t>*</w:t>
      </w:r>
    </w:p>
    <w:p w:rsidR="00517EFF" w:rsidRPr="00AE6439" w:rsidRDefault="00517EFF" w:rsidP="00517EFF">
      <w:pPr>
        <w:pStyle w:val="Heading4"/>
        <w:rPr>
          <w:sz w:val="26"/>
          <w:szCs w:val="26"/>
          <w:u w:val="single"/>
        </w:rPr>
      </w:pPr>
      <w:bookmarkStart w:id="4" w:name="54.10."/>
      <w:r w:rsidRPr="00AE6439">
        <w:rPr>
          <w:sz w:val="26"/>
          <w:szCs w:val="26"/>
          <w:u w:val="single"/>
        </w:rPr>
        <w:t xml:space="preserve">§ 62.81. </w:t>
      </w:r>
      <w:proofErr w:type="gramStart"/>
      <w:r w:rsidRPr="00AE6439">
        <w:rPr>
          <w:sz w:val="26"/>
          <w:szCs w:val="26"/>
          <w:u w:val="single"/>
        </w:rPr>
        <w:t>Notice of contract expiration or change in terms for residential and small business customers.</w:t>
      </w:r>
      <w:proofErr w:type="gramEnd"/>
    </w:p>
    <w:p w:rsidR="00517EFF" w:rsidRPr="00AE6439" w:rsidRDefault="00517EFF" w:rsidP="00517EFF">
      <w:pPr>
        <w:rPr>
          <w:sz w:val="26"/>
          <w:szCs w:val="26"/>
          <w:u w:val="single"/>
        </w:rPr>
      </w:pPr>
      <w:r w:rsidRPr="00AE6439">
        <w:rPr>
          <w:sz w:val="26"/>
          <w:szCs w:val="26"/>
          <w:u w:val="single"/>
        </w:rPr>
        <w:t xml:space="preserve">An NGS shall provide the following notices to customers prior to the expiration of a fixed </w:t>
      </w:r>
      <w:r w:rsidR="00B560DE">
        <w:rPr>
          <w:sz w:val="26"/>
          <w:szCs w:val="26"/>
          <w:u w:val="single"/>
        </w:rPr>
        <w:t>duration</w:t>
      </w:r>
      <w:r w:rsidRPr="00AE6439">
        <w:rPr>
          <w:sz w:val="26"/>
          <w:szCs w:val="26"/>
          <w:u w:val="single"/>
        </w:rPr>
        <w:t xml:space="preserve"> contract or prior to a change in contract terms: </w:t>
      </w:r>
    </w:p>
    <w:p w:rsidR="00517EFF" w:rsidRPr="00AE6439" w:rsidRDefault="00517EFF" w:rsidP="00517EFF">
      <w:pPr>
        <w:rPr>
          <w:sz w:val="26"/>
          <w:szCs w:val="26"/>
          <w:u w:val="single"/>
        </w:rPr>
      </w:pPr>
      <w:r w:rsidRPr="00AE6439">
        <w:rPr>
          <w:sz w:val="26"/>
          <w:szCs w:val="26"/>
          <w:u w:val="single"/>
        </w:rPr>
        <w:t xml:space="preserve">(a) An initial notice shall be provided to each affected customer 45 to 60 days prior to the expiration date of the fixed </w:t>
      </w:r>
      <w:r w:rsidR="00B560DE">
        <w:rPr>
          <w:sz w:val="26"/>
          <w:szCs w:val="26"/>
          <w:u w:val="single"/>
        </w:rPr>
        <w:t>duration</w:t>
      </w:r>
      <w:r w:rsidRPr="00AE6439">
        <w:rPr>
          <w:sz w:val="26"/>
          <w:szCs w:val="26"/>
          <w:u w:val="single"/>
        </w:rPr>
        <w:t xml:space="preserve"> contract or the effective date of the proposed change in terms. For customers who have elected to receive electronic communications from the NGS, the notice shall be transmitted in the manner chosen by the customer. The initial notice must include: </w:t>
      </w:r>
    </w:p>
    <w:p w:rsidR="00517EFF" w:rsidRPr="00AE6439" w:rsidRDefault="00517EFF" w:rsidP="00517EFF">
      <w:pPr>
        <w:ind w:firstLine="360"/>
        <w:rPr>
          <w:sz w:val="26"/>
          <w:szCs w:val="26"/>
          <w:u w:val="single"/>
        </w:rPr>
      </w:pPr>
      <w:r w:rsidRPr="00AE6439">
        <w:rPr>
          <w:sz w:val="26"/>
          <w:szCs w:val="26"/>
          <w:u w:val="single"/>
        </w:rPr>
        <w:t xml:space="preserve">(1) A general description of the proposed change in terms of service. </w:t>
      </w:r>
    </w:p>
    <w:p w:rsidR="00517EFF" w:rsidRPr="00AE6439" w:rsidRDefault="00517EFF" w:rsidP="00517EFF">
      <w:pPr>
        <w:ind w:firstLine="360"/>
        <w:rPr>
          <w:sz w:val="26"/>
          <w:szCs w:val="26"/>
          <w:u w:val="single"/>
        </w:rPr>
      </w:pPr>
      <w:r w:rsidRPr="00AE6439">
        <w:rPr>
          <w:sz w:val="26"/>
          <w:szCs w:val="26"/>
          <w:u w:val="single"/>
        </w:rPr>
        <w:t xml:space="preserve">(2) The date a change shall be effective or when the fixed </w:t>
      </w:r>
      <w:r w:rsidR="00B560DE">
        <w:rPr>
          <w:sz w:val="26"/>
          <w:szCs w:val="26"/>
          <w:u w:val="single"/>
        </w:rPr>
        <w:t xml:space="preserve">duration </w:t>
      </w:r>
      <w:r w:rsidRPr="00AE6439">
        <w:rPr>
          <w:sz w:val="26"/>
          <w:szCs w:val="26"/>
          <w:u w:val="single"/>
        </w:rPr>
        <w:t xml:space="preserve">contract is to expire. </w:t>
      </w:r>
    </w:p>
    <w:p w:rsidR="00517EFF" w:rsidRPr="00AE6439" w:rsidRDefault="00517EFF" w:rsidP="00517EFF">
      <w:pPr>
        <w:ind w:firstLine="360"/>
        <w:rPr>
          <w:sz w:val="26"/>
          <w:szCs w:val="26"/>
          <w:u w:val="single"/>
        </w:rPr>
      </w:pPr>
      <w:r w:rsidRPr="00AE6439">
        <w:rPr>
          <w:sz w:val="26"/>
          <w:szCs w:val="26"/>
          <w:u w:val="single"/>
        </w:rPr>
        <w:t xml:space="preserve">(3) An explanation of why a change in contract terms is necessary. </w:t>
      </w:r>
    </w:p>
    <w:p w:rsidR="00517EFF" w:rsidRPr="00AE6439" w:rsidRDefault="00517EFF" w:rsidP="00517EFF">
      <w:pPr>
        <w:ind w:firstLine="360"/>
        <w:rPr>
          <w:sz w:val="26"/>
          <w:szCs w:val="26"/>
          <w:u w:val="single"/>
        </w:rPr>
      </w:pPr>
      <w:r w:rsidRPr="00AE6439">
        <w:rPr>
          <w:sz w:val="26"/>
          <w:szCs w:val="26"/>
          <w:u w:val="single"/>
        </w:rPr>
        <w:t xml:space="preserve">(4) A statement indicating when a follow-up options notice shall be issued with details regarding the proposed change. </w:t>
      </w:r>
    </w:p>
    <w:p w:rsidR="00517EFF" w:rsidRPr="00AE6439" w:rsidRDefault="00517EFF" w:rsidP="00517EFF">
      <w:pPr>
        <w:ind w:firstLine="360"/>
        <w:rPr>
          <w:sz w:val="26"/>
          <w:szCs w:val="26"/>
          <w:u w:val="single"/>
        </w:rPr>
      </w:pPr>
      <w:r w:rsidRPr="00AE6439">
        <w:rPr>
          <w:sz w:val="26"/>
          <w:szCs w:val="26"/>
          <w:u w:val="single"/>
        </w:rPr>
        <w:t>(5) A statement explaining that the options notice must discuss the customer’s options to the proposed change in terms of service or expiring fixed</w:t>
      </w:r>
      <w:r w:rsidR="00B560DE">
        <w:rPr>
          <w:sz w:val="26"/>
          <w:szCs w:val="26"/>
          <w:u w:val="single"/>
        </w:rPr>
        <w:t xml:space="preserve"> duration </w:t>
      </w:r>
      <w:r w:rsidRPr="00AE6439">
        <w:rPr>
          <w:sz w:val="26"/>
          <w:szCs w:val="26"/>
          <w:u w:val="single"/>
        </w:rPr>
        <w:t xml:space="preserve">contract. </w:t>
      </w:r>
    </w:p>
    <w:p w:rsidR="00517EFF" w:rsidRPr="00AE6439" w:rsidRDefault="00517EFF" w:rsidP="00517EFF">
      <w:pPr>
        <w:ind w:firstLine="360"/>
        <w:rPr>
          <w:sz w:val="26"/>
          <w:szCs w:val="26"/>
          <w:u w:val="single"/>
        </w:rPr>
      </w:pPr>
      <w:r w:rsidRPr="00AE6439">
        <w:rPr>
          <w:sz w:val="26"/>
          <w:szCs w:val="26"/>
          <w:u w:val="single"/>
        </w:rPr>
        <w:t xml:space="preserve">(6) A statement indicating whether the existing fixed </w:t>
      </w:r>
      <w:r w:rsidR="00B560DE">
        <w:rPr>
          <w:sz w:val="26"/>
          <w:szCs w:val="26"/>
          <w:u w:val="single"/>
        </w:rPr>
        <w:t>duration</w:t>
      </w:r>
      <w:r w:rsidRPr="00AE6439">
        <w:rPr>
          <w:sz w:val="26"/>
          <w:szCs w:val="26"/>
          <w:u w:val="single"/>
        </w:rPr>
        <w:t xml:space="preserve"> contract has a cancellation fee, and an explanation of the fee amount and how to avoid the fee, if possible, including notice of the date when the customer can choose a different product from the customer’s existing NGS, choose an alternative NGS</w:t>
      </w:r>
      <w:r w:rsidR="008B79C8">
        <w:rPr>
          <w:sz w:val="26"/>
          <w:szCs w:val="26"/>
          <w:u w:val="single"/>
        </w:rPr>
        <w:t>,</w:t>
      </w:r>
      <w:r w:rsidRPr="00AE6439">
        <w:rPr>
          <w:sz w:val="26"/>
          <w:szCs w:val="26"/>
          <w:u w:val="single"/>
        </w:rPr>
        <w:t xml:space="preserve"> or return to </w:t>
      </w:r>
      <w:r w:rsidR="00B92A32">
        <w:rPr>
          <w:sz w:val="26"/>
          <w:szCs w:val="26"/>
          <w:u w:val="single"/>
        </w:rPr>
        <w:t>the supplier of last resort</w:t>
      </w:r>
      <w:r w:rsidRPr="00AE6439">
        <w:rPr>
          <w:sz w:val="26"/>
          <w:szCs w:val="26"/>
          <w:u w:val="single"/>
        </w:rPr>
        <w:t xml:space="preserve">. </w:t>
      </w:r>
    </w:p>
    <w:p w:rsidR="00517EFF" w:rsidRPr="00AE6439" w:rsidRDefault="00517EFF" w:rsidP="00517EFF">
      <w:pPr>
        <w:rPr>
          <w:sz w:val="26"/>
          <w:szCs w:val="26"/>
          <w:u w:val="single"/>
        </w:rPr>
      </w:pPr>
    </w:p>
    <w:p w:rsidR="00517EFF" w:rsidRPr="00AE6439" w:rsidRDefault="00517EFF" w:rsidP="00517EFF">
      <w:pPr>
        <w:rPr>
          <w:sz w:val="26"/>
          <w:szCs w:val="26"/>
          <w:u w:val="single"/>
        </w:rPr>
      </w:pPr>
      <w:r w:rsidRPr="00AE6439">
        <w:rPr>
          <w:sz w:val="26"/>
          <w:szCs w:val="26"/>
          <w:u w:val="single"/>
        </w:rPr>
        <w:lastRenderedPageBreak/>
        <w:t>(b) An o</w:t>
      </w:r>
      <w:r w:rsidR="008B79C8">
        <w:rPr>
          <w:sz w:val="26"/>
          <w:szCs w:val="26"/>
          <w:u w:val="single"/>
        </w:rPr>
        <w:t>ptions notice shall be provided</w:t>
      </w:r>
      <w:r w:rsidRPr="00AE6439">
        <w:rPr>
          <w:sz w:val="26"/>
          <w:szCs w:val="26"/>
          <w:u w:val="single"/>
        </w:rPr>
        <w:t xml:space="preserve"> by first class mail to each affected customer at least 30 days prior to the expiration date of the fixed </w:t>
      </w:r>
      <w:r w:rsidR="00B560DE">
        <w:rPr>
          <w:sz w:val="26"/>
          <w:szCs w:val="26"/>
          <w:u w:val="single"/>
        </w:rPr>
        <w:t>duration</w:t>
      </w:r>
      <w:r w:rsidRPr="00AE6439">
        <w:rPr>
          <w:sz w:val="26"/>
          <w:szCs w:val="26"/>
          <w:u w:val="single"/>
        </w:rPr>
        <w:t xml:space="preserve"> contract or the effective date of the proposed change in terms. The options notice must include: </w:t>
      </w:r>
    </w:p>
    <w:p w:rsidR="00517EFF" w:rsidRPr="00AE6439" w:rsidRDefault="00517EFF" w:rsidP="00517EFF">
      <w:pPr>
        <w:ind w:firstLine="360"/>
        <w:rPr>
          <w:sz w:val="26"/>
          <w:szCs w:val="26"/>
          <w:u w:val="single"/>
        </w:rPr>
      </w:pPr>
      <w:r w:rsidRPr="00AE6439">
        <w:rPr>
          <w:sz w:val="26"/>
          <w:szCs w:val="26"/>
          <w:u w:val="single"/>
        </w:rPr>
        <w:t>(1) A statement advising the customer of the specific changes being proposed by the NGS and informing the customer of how to exercise the customer’s options, including the customer’s ability to accept the proposed changes, to choose another product offering from the customer’s existing NGS, to select another NGS</w:t>
      </w:r>
      <w:r w:rsidR="008B79C8">
        <w:rPr>
          <w:sz w:val="26"/>
          <w:szCs w:val="26"/>
          <w:u w:val="single"/>
        </w:rPr>
        <w:t>,</w:t>
      </w:r>
      <w:r w:rsidRPr="00AE6439">
        <w:rPr>
          <w:sz w:val="26"/>
          <w:szCs w:val="26"/>
          <w:u w:val="single"/>
        </w:rPr>
        <w:t xml:space="preserve"> or to return to </w:t>
      </w:r>
      <w:r w:rsidR="00B92A32">
        <w:rPr>
          <w:sz w:val="26"/>
          <w:szCs w:val="26"/>
          <w:u w:val="single"/>
        </w:rPr>
        <w:t>the supplier of last resort</w:t>
      </w:r>
      <w:r w:rsidRPr="00AE6439">
        <w:rPr>
          <w:sz w:val="26"/>
          <w:szCs w:val="26"/>
          <w:u w:val="single"/>
        </w:rPr>
        <w:t xml:space="preserve">. </w:t>
      </w:r>
    </w:p>
    <w:p w:rsidR="00517EFF" w:rsidRPr="00AE6439" w:rsidRDefault="00517EFF" w:rsidP="00517EFF">
      <w:pPr>
        <w:ind w:firstLine="360"/>
        <w:rPr>
          <w:sz w:val="26"/>
          <w:szCs w:val="26"/>
          <w:u w:val="single"/>
        </w:rPr>
      </w:pPr>
      <w:r w:rsidRPr="00AE6439">
        <w:rPr>
          <w:sz w:val="26"/>
          <w:szCs w:val="26"/>
          <w:u w:val="single"/>
        </w:rPr>
        <w:t xml:space="preserve">(2) Information regarding </w:t>
      </w:r>
      <w:r w:rsidR="000E1F77">
        <w:rPr>
          <w:sz w:val="26"/>
          <w:szCs w:val="26"/>
          <w:u w:val="single"/>
        </w:rPr>
        <w:t xml:space="preserve">the </w:t>
      </w:r>
      <w:r w:rsidRPr="00AE6439">
        <w:rPr>
          <w:sz w:val="26"/>
          <w:szCs w:val="26"/>
          <w:u w:val="single"/>
        </w:rPr>
        <w:t xml:space="preserve">new </w:t>
      </w:r>
      <w:r w:rsidR="00295AF5" w:rsidRPr="00AE6439">
        <w:rPr>
          <w:sz w:val="26"/>
          <w:szCs w:val="26"/>
          <w:u w:val="single"/>
        </w:rPr>
        <w:t>pric</w:t>
      </w:r>
      <w:r w:rsidR="00295AF5">
        <w:rPr>
          <w:sz w:val="26"/>
          <w:szCs w:val="26"/>
          <w:u w:val="single"/>
        </w:rPr>
        <w:t>e</w:t>
      </w:r>
      <w:r w:rsidR="00295AF5" w:rsidRPr="00AE6439">
        <w:rPr>
          <w:sz w:val="26"/>
          <w:szCs w:val="26"/>
          <w:u w:val="single"/>
        </w:rPr>
        <w:t xml:space="preserve"> </w:t>
      </w:r>
      <w:r w:rsidRPr="00AE6439">
        <w:rPr>
          <w:sz w:val="26"/>
          <w:szCs w:val="26"/>
          <w:u w:val="single"/>
        </w:rPr>
        <w:t xml:space="preserve">or renewal </w:t>
      </w:r>
      <w:r w:rsidR="00295AF5" w:rsidRPr="00AE6439">
        <w:rPr>
          <w:sz w:val="26"/>
          <w:szCs w:val="26"/>
          <w:u w:val="single"/>
        </w:rPr>
        <w:t>pric</w:t>
      </w:r>
      <w:r w:rsidR="00295AF5">
        <w:rPr>
          <w:sz w:val="26"/>
          <w:szCs w:val="26"/>
          <w:u w:val="single"/>
        </w:rPr>
        <w:t>e</w:t>
      </w:r>
      <w:r w:rsidR="008B79C8">
        <w:rPr>
          <w:sz w:val="26"/>
          <w:szCs w:val="26"/>
          <w:u w:val="single"/>
        </w:rPr>
        <w:t>,</w:t>
      </w:r>
      <w:r w:rsidRPr="00AE6439">
        <w:rPr>
          <w:sz w:val="26"/>
          <w:szCs w:val="26"/>
          <w:u w:val="single"/>
        </w:rPr>
        <w:t xml:space="preserve"> including the price to be charged for the first billing </w:t>
      </w:r>
      <w:r w:rsidRPr="0025271E">
        <w:rPr>
          <w:sz w:val="26"/>
          <w:szCs w:val="26"/>
          <w:u w:val="single"/>
        </w:rPr>
        <w:t>month</w:t>
      </w:r>
      <w:r w:rsidRPr="00AE6439">
        <w:rPr>
          <w:sz w:val="26"/>
          <w:szCs w:val="26"/>
          <w:u w:val="single"/>
        </w:rPr>
        <w:t xml:space="preserve"> of </w:t>
      </w:r>
      <w:r w:rsidR="00952405">
        <w:rPr>
          <w:sz w:val="26"/>
          <w:szCs w:val="26"/>
          <w:u w:val="single"/>
        </w:rPr>
        <w:t>commodity</w:t>
      </w:r>
      <w:r w:rsidRPr="00AE6439">
        <w:rPr>
          <w:sz w:val="26"/>
          <w:szCs w:val="26"/>
          <w:u w:val="single"/>
        </w:rPr>
        <w:t xml:space="preserve"> service: </w:t>
      </w:r>
    </w:p>
    <w:p w:rsidR="00517EFF" w:rsidRPr="00AE6439" w:rsidRDefault="00517EFF" w:rsidP="00517EFF">
      <w:pPr>
        <w:ind w:firstLine="720"/>
        <w:rPr>
          <w:sz w:val="26"/>
          <w:szCs w:val="26"/>
          <w:u w:val="single"/>
        </w:rPr>
      </w:pPr>
      <w:r w:rsidRPr="00AE6439">
        <w:rPr>
          <w:sz w:val="26"/>
          <w:szCs w:val="26"/>
          <w:u w:val="single"/>
        </w:rPr>
        <w:t>(</w:t>
      </w:r>
      <w:proofErr w:type="spellStart"/>
      <w:r w:rsidRPr="00AE6439">
        <w:rPr>
          <w:sz w:val="26"/>
          <w:szCs w:val="26"/>
          <w:u w:val="single"/>
        </w:rPr>
        <w:t>i</w:t>
      </w:r>
      <w:proofErr w:type="spellEnd"/>
      <w:r w:rsidRPr="00AE6439">
        <w:rPr>
          <w:sz w:val="26"/>
          <w:szCs w:val="26"/>
          <w:u w:val="single"/>
        </w:rPr>
        <w:t xml:space="preserve">) If a customer fails to respond to the options notice and is converted to a month-to-month contract, the NGS shall provide a disclosure statement under § 62.75 (relating to disclosure statement for residential and small business customers). </w:t>
      </w:r>
    </w:p>
    <w:p w:rsidR="00517EFF" w:rsidRPr="00AE6439" w:rsidRDefault="00D11976" w:rsidP="00D11976">
      <w:pPr>
        <w:ind w:left="720" w:firstLine="360"/>
        <w:rPr>
          <w:sz w:val="26"/>
          <w:szCs w:val="26"/>
          <w:u w:val="single"/>
        </w:rPr>
      </w:pPr>
      <w:r w:rsidRPr="00AE6439">
        <w:rPr>
          <w:sz w:val="26"/>
          <w:szCs w:val="26"/>
          <w:u w:val="single"/>
        </w:rPr>
        <w:t>(A</w:t>
      </w:r>
      <w:r w:rsidR="00517EFF" w:rsidRPr="00AE6439">
        <w:rPr>
          <w:sz w:val="26"/>
          <w:szCs w:val="26"/>
          <w:u w:val="single"/>
        </w:rPr>
        <w:t xml:space="preserve">) Notice of a subsequent change in </w:t>
      </w:r>
      <w:r w:rsidR="005F1F6A" w:rsidRPr="00AE6439">
        <w:rPr>
          <w:sz w:val="26"/>
          <w:szCs w:val="26"/>
          <w:u w:val="single"/>
        </w:rPr>
        <w:t>pric</w:t>
      </w:r>
      <w:r w:rsidR="005F1F6A">
        <w:rPr>
          <w:sz w:val="26"/>
          <w:szCs w:val="26"/>
          <w:u w:val="single"/>
        </w:rPr>
        <w:t>e</w:t>
      </w:r>
      <w:r w:rsidR="005F1F6A" w:rsidRPr="00AE6439">
        <w:rPr>
          <w:sz w:val="26"/>
          <w:szCs w:val="26"/>
          <w:u w:val="single"/>
        </w:rPr>
        <w:t xml:space="preserve"> </w:t>
      </w:r>
      <w:r w:rsidR="00517EFF" w:rsidRPr="00AE6439">
        <w:rPr>
          <w:sz w:val="26"/>
          <w:szCs w:val="26"/>
          <w:u w:val="single"/>
        </w:rPr>
        <w:t xml:space="preserve">shall be provided to the customer at least 30 days prior to the new price being charged. </w:t>
      </w:r>
    </w:p>
    <w:p w:rsidR="00517EFF" w:rsidRPr="00AE6439" w:rsidRDefault="00D11976" w:rsidP="00D11976">
      <w:pPr>
        <w:ind w:left="720" w:firstLine="360"/>
        <w:rPr>
          <w:sz w:val="26"/>
          <w:szCs w:val="26"/>
          <w:u w:val="single"/>
        </w:rPr>
      </w:pPr>
      <w:r w:rsidRPr="00AE6439">
        <w:rPr>
          <w:sz w:val="26"/>
          <w:szCs w:val="26"/>
          <w:u w:val="single"/>
        </w:rPr>
        <w:t>(B</w:t>
      </w:r>
      <w:r w:rsidR="00517EFF" w:rsidRPr="00AE6439">
        <w:rPr>
          <w:sz w:val="26"/>
          <w:szCs w:val="26"/>
          <w:u w:val="single"/>
        </w:rPr>
        <w:t xml:space="preserve">) For customers who have elected to receive electronic communications from the NGS, notice of the change in pricing shall be transmitted in the manner chosen by the customer. For all other customers, notice shall be provided by first class mail. </w:t>
      </w:r>
    </w:p>
    <w:p w:rsidR="00517EFF" w:rsidRPr="00AE6439" w:rsidRDefault="00517EFF" w:rsidP="00D11976">
      <w:pPr>
        <w:ind w:firstLine="720"/>
        <w:rPr>
          <w:sz w:val="26"/>
          <w:szCs w:val="26"/>
          <w:u w:val="single"/>
        </w:rPr>
      </w:pPr>
      <w:r w:rsidRPr="00AE6439">
        <w:rPr>
          <w:sz w:val="26"/>
          <w:szCs w:val="26"/>
          <w:u w:val="single"/>
        </w:rPr>
        <w:t>(</w:t>
      </w:r>
      <w:r w:rsidR="00D11976" w:rsidRPr="00AE6439">
        <w:rPr>
          <w:sz w:val="26"/>
          <w:szCs w:val="26"/>
          <w:u w:val="single"/>
        </w:rPr>
        <w:t>ii)</w:t>
      </w:r>
      <w:r w:rsidRPr="00AE6439">
        <w:rPr>
          <w:sz w:val="26"/>
          <w:szCs w:val="26"/>
          <w:u w:val="single"/>
        </w:rPr>
        <w:t xml:space="preserve"> If a customer fails to respond to the options notice and is entered into a new fixed </w:t>
      </w:r>
      <w:r w:rsidR="00B560DE">
        <w:rPr>
          <w:sz w:val="26"/>
          <w:szCs w:val="26"/>
          <w:u w:val="single"/>
        </w:rPr>
        <w:t>duration</w:t>
      </w:r>
      <w:r w:rsidRPr="00AE6439">
        <w:rPr>
          <w:sz w:val="26"/>
          <w:szCs w:val="26"/>
          <w:u w:val="single"/>
        </w:rPr>
        <w:t xml:space="preserve"> contract, the NGS shall provide the price</w:t>
      </w:r>
      <w:r w:rsidR="006F6B45">
        <w:rPr>
          <w:sz w:val="26"/>
          <w:szCs w:val="26"/>
          <w:u w:val="single"/>
        </w:rPr>
        <w:t xml:space="preserve"> </w:t>
      </w:r>
      <w:r w:rsidR="000D785D">
        <w:rPr>
          <w:sz w:val="26"/>
          <w:szCs w:val="26"/>
          <w:u w:val="single"/>
        </w:rPr>
        <w:t xml:space="preserve">to be charged and the </w:t>
      </w:r>
      <w:r w:rsidRPr="00AE6439">
        <w:rPr>
          <w:sz w:val="26"/>
          <w:szCs w:val="26"/>
          <w:u w:val="single"/>
        </w:rPr>
        <w:t xml:space="preserve">length of the contract.    </w:t>
      </w:r>
    </w:p>
    <w:p w:rsidR="00517EFF" w:rsidRPr="00AE6439" w:rsidRDefault="000D785D" w:rsidP="000D785D">
      <w:pPr>
        <w:ind w:left="720"/>
        <w:rPr>
          <w:sz w:val="26"/>
          <w:szCs w:val="26"/>
          <w:u w:val="single"/>
        </w:rPr>
      </w:pPr>
      <w:r>
        <w:rPr>
          <w:sz w:val="26"/>
          <w:szCs w:val="26"/>
          <w:u w:val="single"/>
        </w:rPr>
        <w:t>(iii</w:t>
      </w:r>
      <w:r w:rsidR="00517EFF" w:rsidRPr="00AE6439">
        <w:rPr>
          <w:sz w:val="26"/>
          <w:szCs w:val="26"/>
          <w:u w:val="single"/>
        </w:rPr>
        <w:t>) The telephone numbers and Internet addresses, as applicable, for the Office of Consumer Advocate, the Commission</w:t>
      </w:r>
      <w:r w:rsidR="008B79C8">
        <w:rPr>
          <w:sz w:val="26"/>
          <w:szCs w:val="26"/>
          <w:u w:val="single"/>
        </w:rPr>
        <w:t>,</w:t>
      </w:r>
      <w:r w:rsidR="00517EFF" w:rsidRPr="00AE6439">
        <w:rPr>
          <w:sz w:val="26"/>
          <w:szCs w:val="26"/>
          <w:u w:val="single"/>
        </w:rPr>
        <w:t xml:space="preserve"> and Pa</w:t>
      </w:r>
      <w:r w:rsidR="0025271E">
        <w:rPr>
          <w:sz w:val="26"/>
          <w:szCs w:val="26"/>
          <w:u w:val="single"/>
        </w:rPr>
        <w:t>GasS</w:t>
      </w:r>
      <w:r w:rsidR="00517EFF" w:rsidRPr="00AE6439">
        <w:rPr>
          <w:sz w:val="26"/>
          <w:szCs w:val="26"/>
          <w:u w:val="single"/>
        </w:rPr>
        <w:t xml:space="preserve">witch.com. </w:t>
      </w:r>
    </w:p>
    <w:p w:rsidR="00517EFF" w:rsidRPr="00AE6439" w:rsidRDefault="000D785D" w:rsidP="000D785D">
      <w:pPr>
        <w:ind w:left="720"/>
        <w:rPr>
          <w:sz w:val="26"/>
          <w:szCs w:val="26"/>
          <w:u w:val="single"/>
        </w:rPr>
      </w:pPr>
      <w:proofErr w:type="gramStart"/>
      <w:r>
        <w:rPr>
          <w:sz w:val="26"/>
          <w:szCs w:val="26"/>
          <w:u w:val="single"/>
        </w:rPr>
        <w:t>(iv</w:t>
      </w:r>
      <w:r w:rsidR="00517EFF" w:rsidRPr="00AE6439">
        <w:rPr>
          <w:sz w:val="26"/>
          <w:szCs w:val="26"/>
          <w:u w:val="single"/>
        </w:rPr>
        <w:t>) Language</w:t>
      </w:r>
      <w:proofErr w:type="gramEnd"/>
      <w:r w:rsidR="00517EFF" w:rsidRPr="00AE6439">
        <w:rPr>
          <w:sz w:val="26"/>
          <w:szCs w:val="26"/>
          <w:u w:val="single"/>
        </w:rPr>
        <w:t xml:space="preserve"> clearly visible on the front of the envelope used to provide the options notice stating that it contains important information regarding the expiration or changes in terms of the customer’s natural gas supply contract. </w:t>
      </w:r>
    </w:p>
    <w:p w:rsidR="00517EFF" w:rsidRPr="00AE6439" w:rsidRDefault="00517EFF" w:rsidP="00517EFF">
      <w:pPr>
        <w:rPr>
          <w:sz w:val="26"/>
          <w:szCs w:val="26"/>
          <w:u w:val="single"/>
        </w:rPr>
      </w:pPr>
      <w:r w:rsidRPr="00AE6439">
        <w:rPr>
          <w:sz w:val="26"/>
          <w:szCs w:val="26"/>
          <w:u w:val="single"/>
        </w:rPr>
        <w:t>(c) When a cust</w:t>
      </w:r>
      <w:r w:rsidR="004B7B4F">
        <w:rPr>
          <w:sz w:val="26"/>
          <w:szCs w:val="26"/>
          <w:u w:val="single"/>
        </w:rPr>
        <w:t xml:space="preserve">omer fails to respond to the initial notice and the options </w:t>
      </w:r>
      <w:r w:rsidRPr="00AE6439">
        <w:rPr>
          <w:sz w:val="26"/>
          <w:szCs w:val="26"/>
          <w:u w:val="single"/>
        </w:rPr>
        <w:t xml:space="preserve">notice, the following apply: </w:t>
      </w:r>
    </w:p>
    <w:p w:rsidR="00517EFF" w:rsidRPr="00AE6439" w:rsidRDefault="00517EFF" w:rsidP="00517EFF">
      <w:pPr>
        <w:ind w:firstLine="360"/>
        <w:rPr>
          <w:sz w:val="26"/>
          <w:szCs w:val="26"/>
          <w:u w:val="single"/>
        </w:rPr>
      </w:pPr>
      <w:r w:rsidRPr="00AE6439">
        <w:rPr>
          <w:sz w:val="26"/>
          <w:szCs w:val="26"/>
          <w:u w:val="single"/>
        </w:rPr>
        <w:t xml:space="preserve">(1) A fixed </w:t>
      </w:r>
      <w:r w:rsidR="00B560DE">
        <w:rPr>
          <w:sz w:val="26"/>
          <w:szCs w:val="26"/>
          <w:u w:val="single"/>
        </w:rPr>
        <w:t>duration</w:t>
      </w:r>
      <w:r w:rsidRPr="00AE6439">
        <w:rPr>
          <w:sz w:val="26"/>
          <w:szCs w:val="26"/>
          <w:u w:val="single"/>
        </w:rPr>
        <w:t xml:space="preserve"> contract shall be converted to one of the following: </w:t>
      </w:r>
    </w:p>
    <w:p w:rsidR="00517EFF" w:rsidRPr="00AE6439" w:rsidRDefault="00D11976" w:rsidP="00D11976">
      <w:pPr>
        <w:ind w:firstLine="720"/>
        <w:rPr>
          <w:sz w:val="26"/>
          <w:szCs w:val="26"/>
          <w:u w:val="single"/>
        </w:rPr>
      </w:pPr>
      <w:r w:rsidRPr="00AE6439">
        <w:rPr>
          <w:sz w:val="26"/>
          <w:szCs w:val="26"/>
          <w:u w:val="single"/>
        </w:rPr>
        <w:t>(</w:t>
      </w:r>
      <w:proofErr w:type="spellStart"/>
      <w:r w:rsidRPr="00AE6439">
        <w:rPr>
          <w:sz w:val="26"/>
          <w:szCs w:val="26"/>
          <w:u w:val="single"/>
        </w:rPr>
        <w:t>i</w:t>
      </w:r>
      <w:proofErr w:type="spellEnd"/>
      <w:r w:rsidR="00517EFF" w:rsidRPr="00AE6439">
        <w:rPr>
          <w:sz w:val="26"/>
          <w:szCs w:val="26"/>
          <w:u w:val="single"/>
        </w:rPr>
        <w:t xml:space="preserve">) A month-to-month contract, either at the same terms and conditions or at revised terms and conditions, as long as the contract does not contain cancellation fees. </w:t>
      </w:r>
    </w:p>
    <w:p w:rsidR="00517EFF" w:rsidRPr="00AE6439" w:rsidRDefault="00D11976" w:rsidP="00D11976">
      <w:pPr>
        <w:ind w:firstLine="720"/>
        <w:rPr>
          <w:sz w:val="26"/>
          <w:szCs w:val="26"/>
          <w:u w:val="single"/>
        </w:rPr>
      </w:pPr>
      <w:r w:rsidRPr="00AE6439">
        <w:rPr>
          <w:sz w:val="26"/>
          <w:szCs w:val="26"/>
          <w:u w:val="single"/>
        </w:rPr>
        <w:t>(ii</w:t>
      </w:r>
      <w:r w:rsidR="00517EFF" w:rsidRPr="00AE6439">
        <w:rPr>
          <w:sz w:val="26"/>
          <w:szCs w:val="26"/>
          <w:u w:val="single"/>
        </w:rPr>
        <w:t xml:space="preserve">) Another fixed </w:t>
      </w:r>
      <w:r w:rsidR="00B560DE">
        <w:rPr>
          <w:sz w:val="26"/>
          <w:szCs w:val="26"/>
          <w:u w:val="single"/>
        </w:rPr>
        <w:t>duration</w:t>
      </w:r>
      <w:r w:rsidR="00517EFF" w:rsidRPr="00AE6439">
        <w:rPr>
          <w:sz w:val="26"/>
          <w:szCs w:val="26"/>
          <w:u w:val="single"/>
        </w:rPr>
        <w:t xml:space="preserve"> contract, as long as the new contract includes a customer-initiated cancellation provision that allows the customer to cancel at any time, for any reason, and does not contain cancellation fees.   </w:t>
      </w:r>
    </w:p>
    <w:p w:rsidR="00517EFF" w:rsidRPr="00AE6439" w:rsidRDefault="00517EFF" w:rsidP="00517EFF">
      <w:pPr>
        <w:ind w:firstLine="360"/>
        <w:rPr>
          <w:sz w:val="26"/>
          <w:szCs w:val="26"/>
          <w:u w:val="single"/>
        </w:rPr>
      </w:pPr>
      <w:r w:rsidRPr="00AE6439">
        <w:rPr>
          <w:sz w:val="26"/>
          <w:szCs w:val="26"/>
          <w:u w:val="single"/>
        </w:rPr>
        <w:t xml:space="preserve">(2) The converted contracts shall remain in place until the customer chooses one of the following options: </w:t>
      </w:r>
    </w:p>
    <w:p w:rsidR="00517EFF" w:rsidRPr="00AE6439" w:rsidRDefault="00D11976" w:rsidP="00D11976">
      <w:pPr>
        <w:ind w:firstLine="720"/>
        <w:rPr>
          <w:sz w:val="26"/>
          <w:szCs w:val="26"/>
          <w:u w:val="single"/>
        </w:rPr>
      </w:pPr>
      <w:r w:rsidRPr="00AE6439">
        <w:rPr>
          <w:sz w:val="26"/>
          <w:szCs w:val="26"/>
          <w:u w:val="single"/>
        </w:rPr>
        <w:t>(</w:t>
      </w:r>
      <w:proofErr w:type="spellStart"/>
      <w:r w:rsidRPr="00AE6439">
        <w:rPr>
          <w:sz w:val="26"/>
          <w:szCs w:val="26"/>
          <w:u w:val="single"/>
        </w:rPr>
        <w:t>i</w:t>
      </w:r>
      <w:proofErr w:type="spellEnd"/>
      <w:r w:rsidR="00517EFF" w:rsidRPr="00AE6439">
        <w:rPr>
          <w:sz w:val="26"/>
          <w:szCs w:val="26"/>
          <w:u w:val="single"/>
        </w:rPr>
        <w:t xml:space="preserve">) Select another product offering from the existing NGS. </w:t>
      </w:r>
    </w:p>
    <w:p w:rsidR="00517EFF" w:rsidRPr="00AE6439" w:rsidRDefault="00517EFF" w:rsidP="00D11976">
      <w:pPr>
        <w:ind w:firstLine="720"/>
        <w:rPr>
          <w:sz w:val="26"/>
          <w:szCs w:val="26"/>
          <w:u w:val="single"/>
        </w:rPr>
      </w:pPr>
      <w:r w:rsidRPr="00AE6439">
        <w:rPr>
          <w:sz w:val="26"/>
          <w:szCs w:val="26"/>
          <w:u w:val="single"/>
        </w:rPr>
        <w:t>(</w:t>
      </w:r>
      <w:r w:rsidR="00D11976" w:rsidRPr="00AE6439">
        <w:rPr>
          <w:sz w:val="26"/>
          <w:szCs w:val="26"/>
          <w:u w:val="single"/>
        </w:rPr>
        <w:t>ii)</w:t>
      </w:r>
      <w:r w:rsidRPr="00AE6439">
        <w:rPr>
          <w:sz w:val="26"/>
          <w:szCs w:val="26"/>
          <w:u w:val="single"/>
        </w:rPr>
        <w:t xml:space="preserve"> Enroll with another NGS. </w:t>
      </w:r>
    </w:p>
    <w:p w:rsidR="00517EFF" w:rsidRPr="00AE6439" w:rsidRDefault="00D11976" w:rsidP="00D11976">
      <w:pPr>
        <w:ind w:firstLine="720"/>
        <w:rPr>
          <w:sz w:val="26"/>
          <w:szCs w:val="26"/>
          <w:u w:val="single"/>
        </w:rPr>
      </w:pPr>
      <w:r w:rsidRPr="00AE6439">
        <w:rPr>
          <w:sz w:val="26"/>
          <w:szCs w:val="26"/>
          <w:u w:val="single"/>
        </w:rPr>
        <w:t>(iii</w:t>
      </w:r>
      <w:r w:rsidR="00517EFF" w:rsidRPr="00AE6439">
        <w:rPr>
          <w:sz w:val="26"/>
          <w:szCs w:val="26"/>
          <w:u w:val="single"/>
        </w:rPr>
        <w:t xml:space="preserve">) Return to the </w:t>
      </w:r>
      <w:r w:rsidR="00B92A32">
        <w:rPr>
          <w:sz w:val="26"/>
          <w:szCs w:val="26"/>
          <w:u w:val="single"/>
        </w:rPr>
        <w:t>supplier of last resort</w:t>
      </w:r>
      <w:r w:rsidR="00517EFF" w:rsidRPr="00AE6439">
        <w:rPr>
          <w:sz w:val="26"/>
          <w:szCs w:val="26"/>
          <w:u w:val="single"/>
        </w:rPr>
        <w:t>.</w:t>
      </w:r>
    </w:p>
    <w:bookmarkEnd w:id="4"/>
    <w:p w:rsidR="00103F0D" w:rsidRPr="00977124" w:rsidRDefault="00103F0D" w:rsidP="00103F0D">
      <w:pPr>
        <w:pStyle w:val="p14"/>
        <w:spacing w:line="360" w:lineRule="auto"/>
        <w:rPr>
          <w:sz w:val="26"/>
          <w:szCs w:val="26"/>
        </w:rPr>
      </w:pPr>
    </w:p>
    <w:p w:rsidR="00977124" w:rsidRPr="00977124" w:rsidRDefault="00977124" w:rsidP="004E6F65">
      <w:pPr>
        <w:pStyle w:val="p14"/>
        <w:spacing w:line="360" w:lineRule="auto"/>
        <w:rPr>
          <w:sz w:val="26"/>
          <w:szCs w:val="26"/>
        </w:rPr>
      </w:pPr>
    </w:p>
    <w:sectPr w:rsidR="00977124" w:rsidRPr="00977124" w:rsidSect="00B85136">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E7F" w:rsidRDefault="00515E7F" w:rsidP="000A489A">
      <w:r>
        <w:separator/>
      </w:r>
    </w:p>
  </w:endnote>
  <w:endnote w:type="continuationSeparator" w:id="0">
    <w:p w:rsidR="00515E7F" w:rsidRDefault="00515E7F" w:rsidP="000A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699530"/>
      <w:docPartObj>
        <w:docPartGallery w:val="Page Numbers (Bottom of Page)"/>
        <w:docPartUnique/>
      </w:docPartObj>
    </w:sdtPr>
    <w:sdtEndPr>
      <w:rPr>
        <w:noProof/>
      </w:rPr>
    </w:sdtEndPr>
    <w:sdtContent>
      <w:p w:rsidR="009D7F64" w:rsidRDefault="009D7F64">
        <w:pPr>
          <w:pStyle w:val="Footer"/>
          <w:jc w:val="center"/>
        </w:pPr>
        <w:r>
          <w:fldChar w:fldCharType="begin"/>
        </w:r>
        <w:r>
          <w:instrText xml:space="preserve"> PAGE   \* MERGEFORMAT </w:instrText>
        </w:r>
        <w:r>
          <w:fldChar w:fldCharType="separate"/>
        </w:r>
        <w:r w:rsidR="00D90A78">
          <w:rPr>
            <w:noProof/>
          </w:rPr>
          <w:t>27</w:t>
        </w:r>
        <w:r>
          <w:rPr>
            <w:noProof/>
          </w:rPr>
          <w:fldChar w:fldCharType="end"/>
        </w:r>
      </w:p>
    </w:sdtContent>
  </w:sdt>
  <w:p w:rsidR="009D7F64" w:rsidRDefault="009D7F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E7F" w:rsidRDefault="00515E7F" w:rsidP="000A489A">
      <w:r>
        <w:separator/>
      </w:r>
    </w:p>
  </w:footnote>
  <w:footnote w:type="continuationSeparator" w:id="0">
    <w:p w:rsidR="00515E7F" w:rsidRDefault="00515E7F" w:rsidP="000A489A">
      <w:r>
        <w:continuationSeparator/>
      </w:r>
    </w:p>
  </w:footnote>
  <w:footnote w:id="1">
    <w:p w:rsidR="009D7F64" w:rsidRPr="00AE134F" w:rsidRDefault="009D7F64" w:rsidP="00AC65DD">
      <w:pPr>
        <w:pStyle w:val="FootnoteText"/>
        <w:rPr>
          <w:rFonts w:ascii="Times New Roman" w:hAnsi="Times New Roman"/>
          <w:sz w:val="22"/>
          <w:szCs w:val="22"/>
        </w:rPr>
      </w:pPr>
      <w:r w:rsidRPr="00AE134F">
        <w:rPr>
          <w:rStyle w:val="FootnoteReference"/>
          <w:rFonts w:ascii="Times New Roman" w:hAnsi="Times New Roman"/>
          <w:sz w:val="22"/>
          <w:szCs w:val="22"/>
        </w:rPr>
        <w:footnoteRef/>
      </w:r>
      <w:r w:rsidRPr="00AE134F">
        <w:rPr>
          <w:rFonts w:ascii="Times New Roman" w:hAnsi="Times New Roman"/>
          <w:sz w:val="22"/>
          <w:szCs w:val="22"/>
        </w:rPr>
        <w:t xml:space="preserve"> </w:t>
      </w:r>
      <w:r w:rsidRPr="00AE134F">
        <w:rPr>
          <w:rFonts w:ascii="Times New Roman" w:hAnsi="Times New Roman"/>
          <w:i/>
          <w:sz w:val="22"/>
          <w:szCs w:val="22"/>
        </w:rPr>
        <w:t xml:space="preserve">See Final-Omitted Rulemaking Order: Rulemaking to Amend the Provisions of 52 Pa. </w:t>
      </w:r>
      <w:proofErr w:type="gramStart"/>
      <w:r w:rsidRPr="00AE134F">
        <w:rPr>
          <w:rFonts w:ascii="Times New Roman" w:hAnsi="Times New Roman"/>
          <w:i/>
          <w:sz w:val="22"/>
          <w:szCs w:val="22"/>
        </w:rPr>
        <w:t>Code</w:t>
      </w:r>
      <w:proofErr w:type="gramEnd"/>
      <w:r w:rsidRPr="00AE134F">
        <w:rPr>
          <w:rFonts w:ascii="Times New Roman" w:hAnsi="Times New Roman"/>
          <w:i/>
          <w:sz w:val="22"/>
          <w:szCs w:val="22"/>
        </w:rPr>
        <w:t>, Section 54.5 Regulations Regarding Disclosure Statement for Residential and Small Business Customers</w:t>
      </w:r>
      <w:r w:rsidRPr="00AE134F">
        <w:rPr>
          <w:rFonts w:ascii="Times New Roman" w:hAnsi="Times New Roman"/>
          <w:b/>
          <w:i/>
          <w:sz w:val="22"/>
          <w:szCs w:val="22"/>
        </w:rPr>
        <w:t xml:space="preserve"> </w:t>
      </w:r>
      <w:r w:rsidRPr="00AE134F">
        <w:rPr>
          <w:rFonts w:ascii="Times New Roman" w:hAnsi="Times New Roman"/>
          <w:i/>
          <w:sz w:val="22"/>
          <w:szCs w:val="22"/>
        </w:rPr>
        <w:t>and to Add Section 54.10 Regulations Regarding the Provision of Notices of Contract Renewal or Changes in Terms</w:t>
      </w:r>
      <w:r w:rsidRPr="00AE134F">
        <w:rPr>
          <w:rFonts w:ascii="Times New Roman" w:hAnsi="Times New Roman"/>
          <w:sz w:val="22"/>
          <w:szCs w:val="22"/>
        </w:rPr>
        <w:t xml:space="preserve">.  Docket No. L-2014-2409385 (Order entered Apr. 3, 2014). </w:t>
      </w:r>
    </w:p>
  </w:footnote>
  <w:footnote w:id="2">
    <w:p w:rsidR="009D7F64" w:rsidRPr="00AE134F" w:rsidRDefault="009D7F64" w:rsidP="00AC65DD">
      <w:pPr>
        <w:pStyle w:val="FootnoteText"/>
        <w:rPr>
          <w:rFonts w:ascii="Times New Roman" w:hAnsi="Times New Roman"/>
          <w:sz w:val="22"/>
          <w:szCs w:val="22"/>
        </w:rPr>
      </w:pPr>
      <w:r w:rsidRPr="00AE134F">
        <w:rPr>
          <w:rStyle w:val="FootnoteReference"/>
          <w:rFonts w:ascii="Times New Roman" w:hAnsi="Times New Roman"/>
          <w:sz w:val="22"/>
          <w:szCs w:val="22"/>
        </w:rPr>
        <w:footnoteRef/>
      </w:r>
      <w:r w:rsidRPr="00AE134F">
        <w:rPr>
          <w:rFonts w:ascii="Times New Roman" w:hAnsi="Times New Roman"/>
          <w:sz w:val="22"/>
          <w:szCs w:val="22"/>
        </w:rPr>
        <w:t xml:space="preserve"> </w:t>
      </w:r>
      <w:r w:rsidRPr="00AE134F">
        <w:rPr>
          <w:rFonts w:ascii="Times New Roman" w:hAnsi="Times New Roman"/>
          <w:i/>
          <w:sz w:val="22"/>
          <w:szCs w:val="22"/>
        </w:rPr>
        <w:t>See Final Rulemaking Order: Customer Information Disclosure Requirements for Natural Gas Distribution Companies and Natural Gas Suppliers,</w:t>
      </w:r>
      <w:r w:rsidRPr="00AE134F">
        <w:rPr>
          <w:rFonts w:ascii="Times New Roman" w:hAnsi="Times New Roman"/>
          <w:sz w:val="22"/>
          <w:szCs w:val="22"/>
        </w:rPr>
        <w:t xml:space="preserve"> Docket No. L-00000149 (Adopted Nov. 29, 2000). </w:t>
      </w:r>
    </w:p>
    <w:p w:rsidR="009D7F64" w:rsidRPr="00AE134F" w:rsidRDefault="009D7F64" w:rsidP="00AC65DD">
      <w:pPr>
        <w:pStyle w:val="FootnoteText"/>
        <w:rPr>
          <w:rFonts w:ascii="Times New Roman" w:hAnsi="Times New Roman"/>
          <w:sz w:val="22"/>
          <w:szCs w:val="22"/>
        </w:rPr>
      </w:pPr>
    </w:p>
  </w:footnote>
  <w:footnote w:id="3">
    <w:p w:rsidR="009D7F64" w:rsidRPr="00AE134F" w:rsidRDefault="009D7F64" w:rsidP="00AC65DD">
      <w:pPr>
        <w:pStyle w:val="FootnoteText"/>
        <w:rPr>
          <w:rFonts w:ascii="Times New Roman" w:hAnsi="Times New Roman"/>
          <w:sz w:val="22"/>
          <w:szCs w:val="22"/>
        </w:rPr>
      </w:pPr>
      <w:r w:rsidRPr="00AE134F">
        <w:rPr>
          <w:rStyle w:val="FootnoteReference"/>
          <w:rFonts w:ascii="Times New Roman" w:hAnsi="Times New Roman"/>
          <w:sz w:val="22"/>
          <w:szCs w:val="22"/>
        </w:rPr>
        <w:footnoteRef/>
      </w:r>
      <w:r w:rsidRPr="00AE134F">
        <w:rPr>
          <w:rFonts w:ascii="Times New Roman" w:hAnsi="Times New Roman"/>
          <w:sz w:val="22"/>
          <w:szCs w:val="22"/>
        </w:rPr>
        <w:t xml:space="preserve"> We note that the Commission has already examined some of the issues resulting from the current inconsistency between the electric and gas disclosure rules.  </w:t>
      </w:r>
      <w:r w:rsidRPr="00AE134F">
        <w:rPr>
          <w:rFonts w:ascii="Times New Roman" w:hAnsi="Times New Roman"/>
          <w:i/>
          <w:sz w:val="22"/>
          <w:szCs w:val="22"/>
        </w:rPr>
        <w:t xml:space="preserve">See Final Order on Request for Clarification on Notice Requirements for Combined Electricity &amp; Natural Gas Disclosure Statements, </w:t>
      </w:r>
      <w:r w:rsidRPr="00AE134F">
        <w:rPr>
          <w:rFonts w:ascii="Times New Roman" w:hAnsi="Times New Roman"/>
          <w:sz w:val="22"/>
          <w:szCs w:val="22"/>
        </w:rPr>
        <w:t xml:space="preserve">Docket No. L2014-2409385 (Order entered October 2, 2014).    </w:t>
      </w:r>
    </w:p>
  </w:footnote>
  <w:footnote w:id="4">
    <w:p w:rsidR="009D7F64" w:rsidRPr="00AE134F" w:rsidRDefault="009D7F64" w:rsidP="000B11EF">
      <w:pPr>
        <w:pStyle w:val="FootnoteText"/>
        <w:rPr>
          <w:rFonts w:ascii="Times New Roman" w:hAnsi="Times New Roman"/>
          <w:sz w:val="22"/>
          <w:szCs w:val="22"/>
        </w:rPr>
      </w:pPr>
      <w:r w:rsidRPr="00AE134F">
        <w:rPr>
          <w:rStyle w:val="FootnoteReference"/>
          <w:rFonts w:ascii="Times New Roman" w:hAnsi="Times New Roman"/>
          <w:sz w:val="22"/>
          <w:szCs w:val="22"/>
        </w:rPr>
        <w:footnoteRef/>
      </w:r>
      <w:r w:rsidRPr="00AE134F">
        <w:rPr>
          <w:rFonts w:ascii="Times New Roman" w:hAnsi="Times New Roman"/>
          <w:sz w:val="22"/>
          <w:szCs w:val="22"/>
        </w:rPr>
        <w:t xml:space="preserve"> </w:t>
      </w:r>
      <w:r w:rsidRPr="00AE134F">
        <w:rPr>
          <w:rFonts w:ascii="Times New Roman" w:hAnsi="Times New Roman"/>
          <w:i/>
          <w:sz w:val="22"/>
          <w:szCs w:val="22"/>
        </w:rPr>
        <w:t xml:space="preserve">See Final-Omitted Rulemaking Order: Rulemaking to Amend the Provisions of 52 Pa. </w:t>
      </w:r>
      <w:proofErr w:type="gramStart"/>
      <w:r w:rsidRPr="00AE134F">
        <w:rPr>
          <w:rFonts w:ascii="Times New Roman" w:hAnsi="Times New Roman"/>
          <w:i/>
          <w:sz w:val="22"/>
          <w:szCs w:val="22"/>
        </w:rPr>
        <w:t>Code</w:t>
      </w:r>
      <w:proofErr w:type="gramEnd"/>
      <w:r w:rsidRPr="00AE134F">
        <w:rPr>
          <w:rFonts w:ascii="Times New Roman" w:hAnsi="Times New Roman"/>
          <w:i/>
          <w:sz w:val="22"/>
          <w:szCs w:val="22"/>
        </w:rPr>
        <w:t>, Section 54.5 Regulations Regarding Disclosure Statement for Residential and Small Business Customers</w:t>
      </w:r>
      <w:r w:rsidRPr="00AE134F">
        <w:rPr>
          <w:rFonts w:ascii="Times New Roman" w:hAnsi="Times New Roman"/>
          <w:b/>
          <w:i/>
          <w:sz w:val="22"/>
          <w:szCs w:val="22"/>
        </w:rPr>
        <w:t xml:space="preserve"> </w:t>
      </w:r>
      <w:r w:rsidRPr="00AE134F">
        <w:rPr>
          <w:rFonts w:ascii="Times New Roman" w:hAnsi="Times New Roman"/>
          <w:i/>
          <w:sz w:val="22"/>
          <w:szCs w:val="22"/>
        </w:rPr>
        <w:t>and to Add Section 54.10 Regulations Regarding the Provision of Notices of Contract Renewal or Changes in Terms</w:t>
      </w:r>
      <w:r w:rsidRPr="00AE134F">
        <w:rPr>
          <w:rFonts w:ascii="Times New Roman" w:hAnsi="Times New Roman"/>
          <w:sz w:val="22"/>
          <w:szCs w:val="22"/>
        </w:rPr>
        <w:t xml:space="preserve">.  Docket No. L-2014-2409385 (Order entered Apr. 3, 2014). </w:t>
      </w:r>
    </w:p>
    <w:p w:rsidR="009D7F64" w:rsidRPr="00AE134F" w:rsidRDefault="009D7F64" w:rsidP="000B11EF">
      <w:pPr>
        <w:pStyle w:val="FootnoteText"/>
        <w:rPr>
          <w:rFonts w:ascii="Times New Roman" w:hAnsi="Times New Roman"/>
          <w:sz w:val="22"/>
          <w:szCs w:val="22"/>
        </w:rPr>
      </w:pPr>
    </w:p>
  </w:footnote>
  <w:footnote w:id="5">
    <w:p w:rsidR="009D7F64" w:rsidRPr="00A62623" w:rsidRDefault="009D7F64" w:rsidP="0085788A">
      <w:pPr>
        <w:pStyle w:val="FootnoteText"/>
        <w:rPr>
          <w:rFonts w:ascii="Times New Roman" w:hAnsi="Times New Roman"/>
          <w:sz w:val="22"/>
          <w:szCs w:val="22"/>
        </w:rPr>
      </w:pPr>
      <w:r w:rsidRPr="00AE134F">
        <w:rPr>
          <w:rStyle w:val="FootnoteReference"/>
          <w:rFonts w:ascii="Times New Roman" w:hAnsi="Times New Roman"/>
          <w:sz w:val="22"/>
          <w:szCs w:val="22"/>
        </w:rPr>
        <w:footnoteRef/>
      </w:r>
      <w:r w:rsidRPr="00AE134F">
        <w:rPr>
          <w:rFonts w:ascii="Times New Roman" w:hAnsi="Times New Roman"/>
          <w:sz w:val="22"/>
          <w:szCs w:val="22"/>
        </w:rPr>
        <w:t xml:space="preserve"> </w:t>
      </w:r>
      <w:bookmarkStart w:id="0" w:name="56.2."/>
      <w:r w:rsidRPr="00A62623">
        <w:rPr>
          <w:rFonts w:ascii="Times New Roman" w:hAnsi="Times New Roman"/>
          <w:sz w:val="22"/>
          <w:szCs w:val="22"/>
        </w:rPr>
        <w:t>52 Pa. Code § 56.2 provides:</w:t>
      </w:r>
      <w:r w:rsidRPr="00961B47">
        <w:rPr>
          <w:rFonts w:ascii="Times New Roman" w:hAnsi="Times New Roman"/>
          <w:sz w:val="22"/>
          <w:szCs w:val="22"/>
        </w:rPr>
        <w:t xml:space="preserve"> Definition of</w:t>
      </w:r>
      <w:r w:rsidRPr="00AE134F">
        <w:rPr>
          <w:rFonts w:ascii="Times New Roman" w:hAnsi="Times New Roman"/>
          <w:sz w:val="22"/>
          <w:szCs w:val="22"/>
        </w:rPr>
        <w:t xml:space="preserve"> </w:t>
      </w:r>
      <w:r w:rsidRPr="00A62623">
        <w:rPr>
          <w:rFonts w:ascii="Times New Roman" w:hAnsi="Times New Roman"/>
          <w:i/>
          <w:iCs/>
          <w:sz w:val="22"/>
          <w:szCs w:val="22"/>
        </w:rPr>
        <w:t>Billing month</w:t>
      </w:r>
      <w:r w:rsidRPr="00961B47">
        <w:rPr>
          <w:rFonts w:ascii="Times New Roman" w:hAnsi="Times New Roman"/>
          <w:sz w:val="22"/>
          <w:szCs w:val="22"/>
        </w:rPr>
        <w:t xml:space="preserve">—A period of not less than 26 days and not more than 35 days except in the following circumstances: </w:t>
      </w:r>
    </w:p>
    <w:p w:rsidR="009D7F64" w:rsidRPr="00A62623" w:rsidRDefault="009D7F64" w:rsidP="0085788A">
      <w:pPr>
        <w:pStyle w:val="FootnoteText"/>
        <w:rPr>
          <w:rFonts w:ascii="Times New Roman" w:hAnsi="Times New Roman"/>
          <w:sz w:val="22"/>
          <w:szCs w:val="22"/>
        </w:rPr>
      </w:pPr>
      <w:r w:rsidRPr="00A62623">
        <w:rPr>
          <w:rFonts w:ascii="Times New Roman" w:hAnsi="Times New Roman"/>
          <w:sz w:val="22"/>
          <w:szCs w:val="22"/>
        </w:rPr>
        <w:t>(</w:t>
      </w:r>
      <w:proofErr w:type="spellStart"/>
      <w:r w:rsidRPr="00A62623">
        <w:rPr>
          <w:rFonts w:ascii="Times New Roman" w:hAnsi="Times New Roman"/>
          <w:sz w:val="22"/>
          <w:szCs w:val="22"/>
        </w:rPr>
        <w:t>i</w:t>
      </w:r>
      <w:proofErr w:type="spellEnd"/>
      <w:r w:rsidRPr="00A62623">
        <w:rPr>
          <w:rFonts w:ascii="Times New Roman" w:hAnsi="Times New Roman"/>
          <w:sz w:val="22"/>
          <w:szCs w:val="22"/>
        </w:rPr>
        <w:t xml:space="preserve">) An initial bill for a new customer may be less than 26 days or greater than 35 days. However, if an initial bill exceeds 60 days, the customer shall be given the opportunity to amortize the amount over a period equal to the period covered by the initial bill without penalty. </w:t>
      </w:r>
    </w:p>
    <w:p w:rsidR="009D7F64" w:rsidRPr="00A62623" w:rsidRDefault="009D7F64" w:rsidP="0085788A">
      <w:pPr>
        <w:pStyle w:val="FootnoteText"/>
        <w:rPr>
          <w:rFonts w:ascii="Times New Roman" w:hAnsi="Times New Roman"/>
          <w:sz w:val="22"/>
          <w:szCs w:val="22"/>
        </w:rPr>
      </w:pPr>
      <w:r w:rsidRPr="00A62623">
        <w:rPr>
          <w:rFonts w:ascii="Times New Roman" w:hAnsi="Times New Roman"/>
          <w:sz w:val="22"/>
          <w:szCs w:val="22"/>
        </w:rPr>
        <w:t xml:space="preserve">(ii) A final bill due to discontinuance may be less than 26 days or greater than 35 days but may never exceed 42 days. In cases involving termination, a final bill may be less than 26 days. </w:t>
      </w:r>
    </w:p>
    <w:p w:rsidR="009D7F64" w:rsidRPr="00A62623" w:rsidRDefault="009D7F64" w:rsidP="0085788A">
      <w:pPr>
        <w:pStyle w:val="FootnoteText"/>
        <w:rPr>
          <w:rFonts w:ascii="Times New Roman" w:hAnsi="Times New Roman"/>
          <w:sz w:val="22"/>
          <w:szCs w:val="22"/>
        </w:rPr>
      </w:pPr>
      <w:r w:rsidRPr="00A62623">
        <w:rPr>
          <w:rFonts w:ascii="Times New Roman" w:hAnsi="Times New Roman"/>
          <w:sz w:val="22"/>
          <w:szCs w:val="22"/>
        </w:rPr>
        <w:t xml:space="preserve">(iii) Bills for less than 26 days or more than 35 days shall be permitted if they result from a rebilling initiated by the company or customer dispute to correct a billing problem. </w:t>
      </w:r>
    </w:p>
    <w:p w:rsidR="009D7F64" w:rsidRPr="00A62623" w:rsidRDefault="009D7F64" w:rsidP="0085788A">
      <w:pPr>
        <w:pStyle w:val="FootnoteText"/>
        <w:rPr>
          <w:rFonts w:ascii="Times New Roman" w:hAnsi="Times New Roman"/>
          <w:sz w:val="22"/>
          <w:szCs w:val="22"/>
        </w:rPr>
      </w:pPr>
      <w:proofErr w:type="gramStart"/>
      <w:r w:rsidRPr="00A62623">
        <w:rPr>
          <w:rFonts w:ascii="Times New Roman" w:hAnsi="Times New Roman"/>
          <w:sz w:val="22"/>
          <w:szCs w:val="22"/>
        </w:rPr>
        <w:t>(iv) Bills</w:t>
      </w:r>
      <w:proofErr w:type="gramEnd"/>
      <w:r w:rsidRPr="00A62623">
        <w:rPr>
          <w:rFonts w:ascii="Times New Roman" w:hAnsi="Times New Roman"/>
          <w:sz w:val="22"/>
          <w:szCs w:val="22"/>
        </w:rPr>
        <w:t xml:space="preserve"> for less than 26 days or more than 35 days shall be permitted if they result from a meter reading route change initiated by the public utility. The public utility shall informally contact the Director of the Bureau of Consumer Services at least 30 days prior to the rerouting and provide information as to when the billing will occur, the number of customers affected and a general description of the geographic area involved. If a bill resulting from a meter rerouting exceeds 60 days, the customer shall be given the opportunity to amortize the amount over a period equal to the period covered by the bill without penalty. </w:t>
      </w:r>
    </w:p>
    <w:bookmarkEnd w:id="0"/>
    <w:p w:rsidR="009D7F64" w:rsidRPr="007A1C68" w:rsidRDefault="009D7F64" w:rsidP="0085788A">
      <w:pPr>
        <w:pStyle w:val="FootnoteText"/>
        <w:rPr>
          <w:rFonts w:ascii="Times New Roman" w:hAnsi="Times New Roman"/>
          <w:sz w:val="22"/>
          <w:szCs w:val="22"/>
        </w:rPr>
      </w:pPr>
    </w:p>
  </w:footnote>
  <w:footnote w:id="6">
    <w:p w:rsidR="009D7F64" w:rsidRPr="007A1C68" w:rsidRDefault="009D7F64" w:rsidP="001A1513">
      <w:pPr>
        <w:pStyle w:val="FootnoteText"/>
        <w:rPr>
          <w:rFonts w:ascii="Times New Roman" w:hAnsi="Times New Roman"/>
          <w:sz w:val="22"/>
          <w:szCs w:val="22"/>
        </w:rPr>
      </w:pPr>
      <w:r w:rsidRPr="007A1C68">
        <w:rPr>
          <w:rStyle w:val="FootnoteReference"/>
          <w:rFonts w:ascii="Times New Roman" w:hAnsi="Times New Roman"/>
          <w:sz w:val="22"/>
          <w:szCs w:val="22"/>
        </w:rPr>
        <w:footnoteRef/>
      </w:r>
      <w:r w:rsidRPr="007A1C68">
        <w:rPr>
          <w:rFonts w:ascii="Times New Roman" w:hAnsi="Times New Roman"/>
          <w:sz w:val="22"/>
          <w:szCs w:val="22"/>
        </w:rPr>
        <w:t xml:space="preserve"> </w:t>
      </w:r>
      <w:hyperlink r:id="rId1" w:history="1">
        <w:r w:rsidRPr="007A1C68">
          <w:rPr>
            <w:rStyle w:val="Hyperlink"/>
            <w:rFonts w:ascii="Times New Roman" w:hAnsi="Times New Roman"/>
            <w:bCs/>
            <w:i/>
            <w:color w:val="000000" w:themeColor="text1"/>
            <w:sz w:val="22"/>
            <w:szCs w:val="22"/>
            <w:u w:val="none"/>
          </w:rPr>
          <w:t>Final Order on Clarification on Notice Requirements for Electricity &amp; Natural Gas Disclosure Statements</w:t>
        </w:r>
      </w:hyperlink>
      <w:r w:rsidRPr="007A1C68">
        <w:rPr>
          <w:rFonts w:ascii="Times New Roman" w:hAnsi="Times New Roman"/>
          <w:sz w:val="22"/>
          <w:szCs w:val="22"/>
        </w:rPr>
        <w:t xml:space="preserve"> , Docket No. L-2014-2409385 (Order adopted Oct. 2, 2014).</w:t>
      </w:r>
    </w:p>
  </w:footnote>
  <w:footnote w:id="7">
    <w:p w:rsidR="009D7F64" w:rsidRPr="007A1C68" w:rsidRDefault="009D7F64">
      <w:pPr>
        <w:pStyle w:val="FootnoteText"/>
        <w:rPr>
          <w:rFonts w:ascii="Times New Roman" w:hAnsi="Times New Roman"/>
          <w:sz w:val="22"/>
          <w:szCs w:val="22"/>
        </w:rPr>
      </w:pPr>
      <w:r w:rsidRPr="007A1C68">
        <w:rPr>
          <w:rStyle w:val="FootnoteReference"/>
          <w:rFonts w:ascii="Times New Roman" w:hAnsi="Times New Roman"/>
          <w:sz w:val="22"/>
          <w:szCs w:val="22"/>
        </w:rPr>
        <w:footnoteRef/>
      </w:r>
      <w:r w:rsidRPr="007A1C68">
        <w:rPr>
          <w:rFonts w:ascii="Times New Roman" w:hAnsi="Times New Roman"/>
          <w:sz w:val="22"/>
          <w:szCs w:val="22"/>
        </w:rPr>
        <w:t xml:space="preserve"> In order to avoid confusion and seek consistency in nomenclature, the Commission is striving to use the word “price” when referring to the cost of a supplier’s product in the competitive market.  Therefore, we use the term “price-to-compare” (PTC) when discussing the default cost of the gas commodity charge provided by the utility to allow consumers to compare the utility’s PTC to </w:t>
      </w:r>
      <w:r w:rsidR="00060FF9">
        <w:rPr>
          <w:rFonts w:ascii="Times New Roman" w:hAnsi="Times New Roman"/>
          <w:sz w:val="22"/>
          <w:szCs w:val="22"/>
        </w:rPr>
        <w:t xml:space="preserve">the </w:t>
      </w:r>
      <w:r w:rsidRPr="007A1C68">
        <w:rPr>
          <w:rFonts w:ascii="Times New Roman" w:hAnsi="Times New Roman"/>
          <w:sz w:val="22"/>
          <w:szCs w:val="22"/>
        </w:rPr>
        <w:t xml:space="preserve">supplier offers when shopping for gas supply.  </w:t>
      </w:r>
      <w:r w:rsidRPr="007A1C68">
        <w:rPr>
          <w:rFonts w:ascii="Times New Roman" w:hAnsi="Times New Roman"/>
          <w:i/>
          <w:sz w:val="22"/>
          <w:szCs w:val="22"/>
        </w:rPr>
        <w:t xml:space="preserve">See </w:t>
      </w:r>
      <w:r w:rsidRPr="007A1C68">
        <w:rPr>
          <w:rFonts w:ascii="Times New Roman" w:hAnsi="Times New Roman"/>
          <w:sz w:val="22"/>
          <w:szCs w:val="22"/>
        </w:rPr>
        <w:t xml:space="preserve">52 Pa. Code § 62.80.  We use the historic term “rate” in the context of public utility ratemaking and the costs of utility service.  </w:t>
      </w:r>
    </w:p>
  </w:footnote>
  <w:footnote w:id="8">
    <w:p w:rsidR="009D7F64" w:rsidRPr="00A62623" w:rsidRDefault="009D7F64" w:rsidP="00157ABD">
      <w:pPr>
        <w:pStyle w:val="FootnoteText"/>
        <w:rPr>
          <w:rFonts w:ascii="Times New Roman" w:hAnsi="Times New Roman"/>
          <w:sz w:val="22"/>
          <w:szCs w:val="22"/>
        </w:rPr>
      </w:pPr>
      <w:r w:rsidRPr="007A1C68">
        <w:rPr>
          <w:rStyle w:val="FootnoteReference"/>
          <w:rFonts w:ascii="Times New Roman" w:hAnsi="Times New Roman"/>
          <w:sz w:val="22"/>
          <w:szCs w:val="22"/>
        </w:rPr>
        <w:footnoteRef/>
      </w:r>
      <w:r w:rsidRPr="007A1C68">
        <w:rPr>
          <w:rFonts w:ascii="Times New Roman" w:hAnsi="Times New Roman"/>
          <w:sz w:val="22"/>
          <w:szCs w:val="22"/>
        </w:rPr>
        <w:t xml:space="preserve"> </w:t>
      </w:r>
      <w:r w:rsidRPr="00A62623">
        <w:rPr>
          <w:rFonts w:ascii="Times New Roman" w:hAnsi="Times New Roman"/>
          <w:i/>
          <w:sz w:val="22"/>
          <w:szCs w:val="22"/>
        </w:rPr>
        <w:t>See</w:t>
      </w:r>
      <w:r w:rsidRPr="004B2D49">
        <w:rPr>
          <w:rFonts w:ascii="Times New Roman" w:hAnsi="Times New Roman"/>
          <w:sz w:val="22"/>
          <w:szCs w:val="22"/>
        </w:rPr>
        <w:t xml:space="preserve"> </w:t>
      </w:r>
      <w:r w:rsidRPr="00B93F97">
        <w:rPr>
          <w:rFonts w:ascii="Times New Roman" w:hAnsi="Times New Roman"/>
          <w:i/>
          <w:sz w:val="22"/>
          <w:szCs w:val="22"/>
        </w:rPr>
        <w:t>Corrected Final Rulemaking Order: Marketing and Sales Practices for the Retail Residential Energy Market.</w:t>
      </w:r>
      <w:r w:rsidRPr="00A62623">
        <w:rPr>
          <w:rFonts w:ascii="Times New Roman" w:hAnsi="Times New Roman"/>
          <w:sz w:val="22"/>
          <w:szCs w:val="22"/>
        </w:rPr>
        <w:t xml:space="preserve">  Docket No. L-2010-2208332 (Order entered October 24, 2012).</w:t>
      </w:r>
    </w:p>
  </w:footnote>
  <w:footnote w:id="9">
    <w:p w:rsidR="009D7F64" w:rsidRPr="00A62623" w:rsidRDefault="009D7F64" w:rsidP="00157ABD">
      <w:pPr>
        <w:pStyle w:val="FootnoteText"/>
        <w:rPr>
          <w:rFonts w:ascii="Times New Roman" w:hAnsi="Times New Roman"/>
          <w:sz w:val="22"/>
          <w:szCs w:val="22"/>
        </w:rPr>
      </w:pPr>
      <w:r w:rsidRPr="007A1C68">
        <w:rPr>
          <w:rStyle w:val="FootnoteReference"/>
          <w:rFonts w:ascii="Times New Roman" w:hAnsi="Times New Roman"/>
          <w:sz w:val="22"/>
          <w:szCs w:val="22"/>
        </w:rPr>
        <w:footnoteRef/>
      </w:r>
      <w:r w:rsidRPr="007A1C68">
        <w:rPr>
          <w:rFonts w:ascii="Times New Roman" w:hAnsi="Times New Roman"/>
          <w:sz w:val="22"/>
          <w:szCs w:val="22"/>
        </w:rPr>
        <w:t xml:space="preserve"> </w:t>
      </w:r>
      <w:r w:rsidRPr="00A62623">
        <w:rPr>
          <w:rFonts w:ascii="Times New Roman" w:hAnsi="Times New Roman"/>
          <w:i/>
          <w:sz w:val="22"/>
          <w:szCs w:val="22"/>
        </w:rPr>
        <w:t>See Order on the Interim Guidelines Regarding Notification by an Electric Generation Supplier of Operational Changes Affecting Customer Service and Contracts</w:t>
      </w:r>
      <w:r w:rsidRPr="00A62623">
        <w:rPr>
          <w:rFonts w:ascii="Times New Roman" w:hAnsi="Times New Roman"/>
          <w:sz w:val="22"/>
          <w:szCs w:val="22"/>
        </w:rPr>
        <w:t xml:space="preserve">. Docket No. </w:t>
      </w:r>
      <w:proofErr w:type="gramStart"/>
      <w:r w:rsidRPr="00A62623">
        <w:rPr>
          <w:rFonts w:ascii="Times New Roman" w:hAnsi="Times New Roman"/>
          <w:sz w:val="22"/>
          <w:szCs w:val="22"/>
        </w:rPr>
        <w:t>M-00960890F0013.</w:t>
      </w:r>
      <w:proofErr w:type="gramEnd"/>
      <w:r w:rsidRPr="00A62623">
        <w:rPr>
          <w:rFonts w:ascii="Times New Roman" w:hAnsi="Times New Roman"/>
          <w:sz w:val="22"/>
          <w:szCs w:val="22"/>
        </w:rPr>
        <w:t xml:space="preserve">  (Order entered August 14, 1998).</w:t>
      </w:r>
    </w:p>
  </w:footnote>
  <w:footnote w:id="10">
    <w:p w:rsidR="009D7F64" w:rsidRPr="007A1C68" w:rsidRDefault="009D7F64">
      <w:pPr>
        <w:pStyle w:val="FootnoteText"/>
        <w:rPr>
          <w:rFonts w:ascii="Times New Roman" w:hAnsi="Times New Roman"/>
          <w:sz w:val="22"/>
          <w:szCs w:val="22"/>
        </w:rPr>
      </w:pPr>
      <w:r w:rsidRPr="007A1C68">
        <w:rPr>
          <w:rStyle w:val="FootnoteReference"/>
          <w:rFonts w:ascii="Times New Roman" w:hAnsi="Times New Roman"/>
          <w:sz w:val="22"/>
          <w:szCs w:val="22"/>
        </w:rPr>
        <w:footnoteRef/>
      </w:r>
      <w:r w:rsidRPr="007A1C68">
        <w:rPr>
          <w:rFonts w:ascii="Times New Roman" w:hAnsi="Times New Roman"/>
          <w:sz w:val="22"/>
          <w:szCs w:val="22"/>
        </w:rPr>
        <w:t xml:space="preserve"> </w:t>
      </w:r>
      <w:r w:rsidRPr="007A1C68">
        <w:rPr>
          <w:rFonts w:ascii="Times New Roman" w:hAnsi="Times New Roman"/>
          <w:i/>
          <w:sz w:val="22"/>
          <w:szCs w:val="22"/>
        </w:rPr>
        <w:t>See id.</w:t>
      </w:r>
      <w:r w:rsidRPr="007A1C68">
        <w:rPr>
          <w:rFonts w:ascii="Times New Roman" w:hAnsi="Times New Roman"/>
          <w:sz w:val="22"/>
          <w:szCs w:val="22"/>
        </w:rPr>
        <w:t>, at Appendix, Guideline (II</w:t>
      </w:r>
      <w:proofErr w:type="gramStart"/>
      <w:r w:rsidRPr="007A1C68">
        <w:rPr>
          <w:rFonts w:ascii="Times New Roman" w:hAnsi="Times New Roman"/>
          <w:sz w:val="22"/>
          <w:szCs w:val="22"/>
        </w:rPr>
        <w:t>)(</w:t>
      </w:r>
      <w:proofErr w:type="gramEnd"/>
      <w:r w:rsidRPr="007A1C68">
        <w:rPr>
          <w:rFonts w:ascii="Times New Roman" w:hAnsi="Times New Roman"/>
          <w:sz w:val="22"/>
          <w:szCs w:val="22"/>
        </w:rPr>
        <w:t xml:space="preserve">B)(1).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CF1"/>
    <w:multiLevelType w:val="hybridMultilevel"/>
    <w:tmpl w:val="9C82D502"/>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24C48"/>
    <w:multiLevelType w:val="multilevel"/>
    <w:tmpl w:val="5AA8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2D4ABE"/>
    <w:multiLevelType w:val="multilevel"/>
    <w:tmpl w:val="61DC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E8323C"/>
    <w:multiLevelType w:val="multilevel"/>
    <w:tmpl w:val="B55E75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C5383A"/>
    <w:multiLevelType w:val="hybridMultilevel"/>
    <w:tmpl w:val="A8EE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0642E7"/>
    <w:multiLevelType w:val="hybridMultilevel"/>
    <w:tmpl w:val="C354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470A2E"/>
    <w:multiLevelType w:val="hybridMultilevel"/>
    <w:tmpl w:val="342AB10C"/>
    <w:lvl w:ilvl="0" w:tplc="12102B5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13302D"/>
    <w:multiLevelType w:val="hybridMultilevel"/>
    <w:tmpl w:val="1BC821B2"/>
    <w:lvl w:ilvl="0" w:tplc="2ACC3B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F87E45"/>
    <w:multiLevelType w:val="hybridMultilevel"/>
    <w:tmpl w:val="51243056"/>
    <w:lvl w:ilvl="0" w:tplc="E098D5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A46F55"/>
    <w:multiLevelType w:val="hybridMultilevel"/>
    <w:tmpl w:val="F6327DD6"/>
    <w:lvl w:ilvl="0" w:tplc="365261A2">
      <w:start w:val="4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944F6A"/>
    <w:multiLevelType w:val="hybridMultilevel"/>
    <w:tmpl w:val="BD24A0EC"/>
    <w:lvl w:ilvl="0" w:tplc="49CC7A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B7925E4"/>
    <w:multiLevelType w:val="hybridMultilevel"/>
    <w:tmpl w:val="E834A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C61B47"/>
    <w:multiLevelType w:val="hybridMultilevel"/>
    <w:tmpl w:val="721E4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3C2308"/>
    <w:multiLevelType w:val="hybridMultilevel"/>
    <w:tmpl w:val="4574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1F6B47"/>
    <w:multiLevelType w:val="hybridMultilevel"/>
    <w:tmpl w:val="FD44C4F8"/>
    <w:lvl w:ilvl="0" w:tplc="AE72FB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96308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9AE2A8D"/>
    <w:multiLevelType w:val="hybridMultilevel"/>
    <w:tmpl w:val="3608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CA2B0F"/>
    <w:multiLevelType w:val="hybridMultilevel"/>
    <w:tmpl w:val="2B282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E6A60C2"/>
    <w:multiLevelType w:val="hybridMultilevel"/>
    <w:tmpl w:val="8E4EAA12"/>
    <w:lvl w:ilvl="0" w:tplc="306ACF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EC55AF"/>
    <w:multiLevelType w:val="hybridMultilevel"/>
    <w:tmpl w:val="CDD4F802"/>
    <w:lvl w:ilvl="0" w:tplc="61649FF4">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5373846"/>
    <w:multiLevelType w:val="hybridMultilevel"/>
    <w:tmpl w:val="89145B9A"/>
    <w:lvl w:ilvl="0" w:tplc="B15CAAE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59F6287"/>
    <w:multiLevelType w:val="hybridMultilevel"/>
    <w:tmpl w:val="3084C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7B97910"/>
    <w:multiLevelType w:val="hybridMultilevel"/>
    <w:tmpl w:val="4700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3617C8"/>
    <w:multiLevelType w:val="hybridMultilevel"/>
    <w:tmpl w:val="FF1EA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6F1738"/>
    <w:multiLevelType w:val="hybridMultilevel"/>
    <w:tmpl w:val="E6DC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F84F23"/>
    <w:multiLevelType w:val="hybridMultilevel"/>
    <w:tmpl w:val="71CAD340"/>
    <w:lvl w:ilvl="0" w:tplc="2AB4AE84">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294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1244F06"/>
    <w:multiLevelType w:val="hybridMultilevel"/>
    <w:tmpl w:val="98D0E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EA658C"/>
    <w:multiLevelType w:val="hybridMultilevel"/>
    <w:tmpl w:val="661847BC"/>
    <w:lvl w:ilvl="0" w:tplc="7E3C370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27664EE"/>
    <w:multiLevelType w:val="hybridMultilevel"/>
    <w:tmpl w:val="9728472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0">
    <w:nsid w:val="43E15A9A"/>
    <w:multiLevelType w:val="hybridMultilevel"/>
    <w:tmpl w:val="3EE2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BE1835"/>
    <w:multiLevelType w:val="hybridMultilevel"/>
    <w:tmpl w:val="CDFCF388"/>
    <w:lvl w:ilvl="0" w:tplc="49CC7A1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4B1653F8"/>
    <w:multiLevelType w:val="hybridMultilevel"/>
    <w:tmpl w:val="3FF4E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B438EF"/>
    <w:multiLevelType w:val="hybridMultilevel"/>
    <w:tmpl w:val="D33415F8"/>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4">
    <w:nsid w:val="5BB27B80"/>
    <w:multiLevelType w:val="hybridMultilevel"/>
    <w:tmpl w:val="4B3EE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1F3F76"/>
    <w:multiLevelType w:val="hybridMultilevel"/>
    <w:tmpl w:val="A8F2F8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5FD5DB2"/>
    <w:multiLevelType w:val="hybridMultilevel"/>
    <w:tmpl w:val="72A0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420F63"/>
    <w:multiLevelType w:val="hybridMultilevel"/>
    <w:tmpl w:val="F1D0524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8">
    <w:nsid w:val="6DA64D83"/>
    <w:multiLevelType w:val="hybridMultilevel"/>
    <w:tmpl w:val="2ECCC51A"/>
    <w:lvl w:ilvl="0" w:tplc="99A00EF6">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816402D"/>
    <w:multiLevelType w:val="hybridMultilevel"/>
    <w:tmpl w:val="A224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BA6BA4"/>
    <w:multiLevelType w:val="hybridMultilevel"/>
    <w:tmpl w:val="43543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FE0FC4"/>
    <w:multiLevelType w:val="hybridMultilevel"/>
    <w:tmpl w:val="F2A4101E"/>
    <w:lvl w:ilvl="0" w:tplc="EA8CB41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F180F47"/>
    <w:multiLevelType w:val="hybridMultilevel"/>
    <w:tmpl w:val="3BE64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802E27"/>
    <w:multiLevelType w:val="multilevel"/>
    <w:tmpl w:val="9C1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15"/>
  </w:num>
  <w:num w:numId="3">
    <w:abstractNumId w:val="36"/>
  </w:num>
  <w:num w:numId="4">
    <w:abstractNumId w:val="22"/>
  </w:num>
  <w:num w:numId="5">
    <w:abstractNumId w:val="5"/>
  </w:num>
  <w:num w:numId="6">
    <w:abstractNumId w:val="42"/>
  </w:num>
  <w:num w:numId="7">
    <w:abstractNumId w:val="37"/>
  </w:num>
  <w:num w:numId="8">
    <w:abstractNumId w:val="30"/>
  </w:num>
  <w:num w:numId="9">
    <w:abstractNumId w:val="4"/>
  </w:num>
  <w:num w:numId="10">
    <w:abstractNumId w:val="13"/>
  </w:num>
  <w:num w:numId="1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12"/>
  </w:num>
  <w:num w:numId="14">
    <w:abstractNumId w:val="29"/>
  </w:num>
  <w:num w:numId="15">
    <w:abstractNumId w:val="24"/>
  </w:num>
  <w:num w:numId="16">
    <w:abstractNumId w:val="6"/>
  </w:num>
  <w:num w:numId="17">
    <w:abstractNumId w:val="25"/>
  </w:num>
  <w:num w:numId="18">
    <w:abstractNumId w:val="18"/>
  </w:num>
  <w:num w:numId="19">
    <w:abstractNumId w:val="40"/>
  </w:num>
  <w:num w:numId="20">
    <w:abstractNumId w:val="8"/>
  </w:num>
  <w:num w:numId="21">
    <w:abstractNumId w:val="28"/>
  </w:num>
  <w:num w:numId="22">
    <w:abstractNumId w:val="11"/>
  </w:num>
  <w:num w:numId="23">
    <w:abstractNumId w:val="31"/>
  </w:num>
  <w:num w:numId="24">
    <w:abstractNumId w:val="10"/>
  </w:num>
  <w:num w:numId="25">
    <w:abstractNumId w:val="16"/>
  </w:num>
  <w:num w:numId="26">
    <w:abstractNumId w:val="9"/>
  </w:num>
  <w:num w:numId="27">
    <w:abstractNumId w:val="38"/>
  </w:num>
  <w:num w:numId="28">
    <w:abstractNumId w:val="7"/>
  </w:num>
  <w:num w:numId="29">
    <w:abstractNumId w:val="35"/>
  </w:num>
  <w:num w:numId="30">
    <w:abstractNumId w:val="20"/>
  </w:num>
  <w:num w:numId="31">
    <w:abstractNumId w:val="32"/>
  </w:num>
  <w:num w:numId="32">
    <w:abstractNumId w:val="0"/>
  </w:num>
  <w:num w:numId="33">
    <w:abstractNumId w:val="3"/>
  </w:num>
  <w:num w:numId="34">
    <w:abstractNumId w:val="1"/>
  </w:num>
  <w:num w:numId="35">
    <w:abstractNumId w:val="2"/>
  </w:num>
  <w:num w:numId="36">
    <w:abstractNumId w:val="43"/>
  </w:num>
  <w:num w:numId="37">
    <w:abstractNumId w:val="19"/>
  </w:num>
  <w:num w:numId="38">
    <w:abstractNumId w:val="23"/>
  </w:num>
  <w:num w:numId="39">
    <w:abstractNumId w:val="17"/>
  </w:num>
  <w:num w:numId="40">
    <w:abstractNumId w:val="14"/>
  </w:num>
  <w:num w:numId="41">
    <w:abstractNumId w:val="27"/>
  </w:num>
  <w:num w:numId="42">
    <w:abstractNumId w:val="41"/>
  </w:num>
  <w:num w:numId="43">
    <w:abstractNumId w:val="21"/>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67C"/>
    <w:rsid w:val="0000088A"/>
    <w:rsid w:val="00001D53"/>
    <w:rsid w:val="00002094"/>
    <w:rsid w:val="00005C99"/>
    <w:rsid w:val="00006154"/>
    <w:rsid w:val="0000648C"/>
    <w:rsid w:val="00007337"/>
    <w:rsid w:val="00010A57"/>
    <w:rsid w:val="00011E5B"/>
    <w:rsid w:val="00012CE3"/>
    <w:rsid w:val="00012FAF"/>
    <w:rsid w:val="000152A5"/>
    <w:rsid w:val="000248CB"/>
    <w:rsid w:val="000254C0"/>
    <w:rsid w:val="00027273"/>
    <w:rsid w:val="00027F77"/>
    <w:rsid w:val="00030D6E"/>
    <w:rsid w:val="000321EF"/>
    <w:rsid w:val="00032CAD"/>
    <w:rsid w:val="00032DBF"/>
    <w:rsid w:val="00034F2B"/>
    <w:rsid w:val="00035AAC"/>
    <w:rsid w:val="000362A6"/>
    <w:rsid w:val="00037E3F"/>
    <w:rsid w:val="00040158"/>
    <w:rsid w:val="00041A7D"/>
    <w:rsid w:val="00041F92"/>
    <w:rsid w:val="000432D5"/>
    <w:rsid w:val="00043F86"/>
    <w:rsid w:val="00045E26"/>
    <w:rsid w:val="000467CC"/>
    <w:rsid w:val="000472E8"/>
    <w:rsid w:val="00050780"/>
    <w:rsid w:val="00052D7C"/>
    <w:rsid w:val="00053389"/>
    <w:rsid w:val="00053E8F"/>
    <w:rsid w:val="00054A34"/>
    <w:rsid w:val="00055B52"/>
    <w:rsid w:val="00056133"/>
    <w:rsid w:val="00056C5C"/>
    <w:rsid w:val="00060B1B"/>
    <w:rsid w:val="00060FF9"/>
    <w:rsid w:val="00062013"/>
    <w:rsid w:val="00062D9A"/>
    <w:rsid w:val="0006456E"/>
    <w:rsid w:val="00064B2F"/>
    <w:rsid w:val="00064DBF"/>
    <w:rsid w:val="000668F5"/>
    <w:rsid w:val="00066B75"/>
    <w:rsid w:val="0006760E"/>
    <w:rsid w:val="00067ED8"/>
    <w:rsid w:val="00071B81"/>
    <w:rsid w:val="0007236C"/>
    <w:rsid w:val="00075ADC"/>
    <w:rsid w:val="00077EE8"/>
    <w:rsid w:val="00083399"/>
    <w:rsid w:val="00083D72"/>
    <w:rsid w:val="00084821"/>
    <w:rsid w:val="00092FF5"/>
    <w:rsid w:val="00094109"/>
    <w:rsid w:val="00097189"/>
    <w:rsid w:val="000A08FD"/>
    <w:rsid w:val="000A09E2"/>
    <w:rsid w:val="000A1431"/>
    <w:rsid w:val="000A1579"/>
    <w:rsid w:val="000A3F8E"/>
    <w:rsid w:val="000A489A"/>
    <w:rsid w:val="000A5AF7"/>
    <w:rsid w:val="000A5F69"/>
    <w:rsid w:val="000A64C3"/>
    <w:rsid w:val="000A6F68"/>
    <w:rsid w:val="000B11EF"/>
    <w:rsid w:val="000B140F"/>
    <w:rsid w:val="000B220F"/>
    <w:rsid w:val="000B44FC"/>
    <w:rsid w:val="000B7A8B"/>
    <w:rsid w:val="000C138F"/>
    <w:rsid w:val="000C26DF"/>
    <w:rsid w:val="000C5251"/>
    <w:rsid w:val="000C5B53"/>
    <w:rsid w:val="000C6F3F"/>
    <w:rsid w:val="000C776D"/>
    <w:rsid w:val="000C78DE"/>
    <w:rsid w:val="000D325A"/>
    <w:rsid w:val="000D4552"/>
    <w:rsid w:val="000D785D"/>
    <w:rsid w:val="000E1F77"/>
    <w:rsid w:val="000E4535"/>
    <w:rsid w:val="000E45F0"/>
    <w:rsid w:val="000E5A09"/>
    <w:rsid w:val="000F1B53"/>
    <w:rsid w:val="000F5801"/>
    <w:rsid w:val="000F63A4"/>
    <w:rsid w:val="001005AE"/>
    <w:rsid w:val="001006D1"/>
    <w:rsid w:val="00102D80"/>
    <w:rsid w:val="00103974"/>
    <w:rsid w:val="00103F0D"/>
    <w:rsid w:val="0010541F"/>
    <w:rsid w:val="001079E4"/>
    <w:rsid w:val="00107A0A"/>
    <w:rsid w:val="00110CB4"/>
    <w:rsid w:val="00111219"/>
    <w:rsid w:val="00112A02"/>
    <w:rsid w:val="001149C2"/>
    <w:rsid w:val="001209FB"/>
    <w:rsid w:val="0012329A"/>
    <w:rsid w:val="00124420"/>
    <w:rsid w:val="001273B3"/>
    <w:rsid w:val="00131D20"/>
    <w:rsid w:val="0013404A"/>
    <w:rsid w:val="0013634F"/>
    <w:rsid w:val="00144414"/>
    <w:rsid w:val="00146A2D"/>
    <w:rsid w:val="0015018B"/>
    <w:rsid w:val="0015156F"/>
    <w:rsid w:val="00152696"/>
    <w:rsid w:val="00153F8A"/>
    <w:rsid w:val="0015562E"/>
    <w:rsid w:val="0015673B"/>
    <w:rsid w:val="00157ABD"/>
    <w:rsid w:val="0016162F"/>
    <w:rsid w:val="00164F00"/>
    <w:rsid w:val="0016531E"/>
    <w:rsid w:val="0016563E"/>
    <w:rsid w:val="00165A3E"/>
    <w:rsid w:val="0016786A"/>
    <w:rsid w:val="001706B1"/>
    <w:rsid w:val="001708BF"/>
    <w:rsid w:val="00171600"/>
    <w:rsid w:val="00172EF0"/>
    <w:rsid w:val="00173097"/>
    <w:rsid w:val="00176929"/>
    <w:rsid w:val="00180008"/>
    <w:rsid w:val="00186E3D"/>
    <w:rsid w:val="001908BB"/>
    <w:rsid w:val="00190C62"/>
    <w:rsid w:val="00193136"/>
    <w:rsid w:val="00193D61"/>
    <w:rsid w:val="00194C73"/>
    <w:rsid w:val="00195803"/>
    <w:rsid w:val="001A1513"/>
    <w:rsid w:val="001A2D3F"/>
    <w:rsid w:val="001A5DC3"/>
    <w:rsid w:val="001B05E8"/>
    <w:rsid w:val="001B0DFF"/>
    <w:rsid w:val="001B2E8D"/>
    <w:rsid w:val="001B5617"/>
    <w:rsid w:val="001B5CB4"/>
    <w:rsid w:val="001C14D2"/>
    <w:rsid w:val="001C3337"/>
    <w:rsid w:val="001C4DAA"/>
    <w:rsid w:val="001C5CB2"/>
    <w:rsid w:val="001C5D22"/>
    <w:rsid w:val="001D0AD6"/>
    <w:rsid w:val="001D113A"/>
    <w:rsid w:val="001D78A5"/>
    <w:rsid w:val="001E0273"/>
    <w:rsid w:val="001E10B6"/>
    <w:rsid w:val="001E16B6"/>
    <w:rsid w:val="001E1880"/>
    <w:rsid w:val="001E47C8"/>
    <w:rsid w:val="001E7A13"/>
    <w:rsid w:val="001F0B71"/>
    <w:rsid w:val="001F4460"/>
    <w:rsid w:val="001F6C8D"/>
    <w:rsid w:val="002013D2"/>
    <w:rsid w:val="00201A98"/>
    <w:rsid w:val="00201ADA"/>
    <w:rsid w:val="0020281A"/>
    <w:rsid w:val="00202A70"/>
    <w:rsid w:val="00202C13"/>
    <w:rsid w:val="00204D69"/>
    <w:rsid w:val="002060BB"/>
    <w:rsid w:val="00207555"/>
    <w:rsid w:val="002078EE"/>
    <w:rsid w:val="00207D03"/>
    <w:rsid w:val="00207DCC"/>
    <w:rsid w:val="00207EB4"/>
    <w:rsid w:val="00211AC1"/>
    <w:rsid w:val="00213616"/>
    <w:rsid w:val="002159DE"/>
    <w:rsid w:val="002202D4"/>
    <w:rsid w:val="00220539"/>
    <w:rsid w:val="00226BC4"/>
    <w:rsid w:val="002308C8"/>
    <w:rsid w:val="00231F0C"/>
    <w:rsid w:val="00232F37"/>
    <w:rsid w:val="00237031"/>
    <w:rsid w:val="00240189"/>
    <w:rsid w:val="00240E5B"/>
    <w:rsid w:val="00244F88"/>
    <w:rsid w:val="00245B5B"/>
    <w:rsid w:val="0025271E"/>
    <w:rsid w:val="002530E7"/>
    <w:rsid w:val="00254F0F"/>
    <w:rsid w:val="00256167"/>
    <w:rsid w:val="002569CA"/>
    <w:rsid w:val="00261119"/>
    <w:rsid w:val="00264045"/>
    <w:rsid w:val="002730F0"/>
    <w:rsid w:val="002740B6"/>
    <w:rsid w:val="00274A83"/>
    <w:rsid w:val="00277DB7"/>
    <w:rsid w:val="00280FA1"/>
    <w:rsid w:val="00282924"/>
    <w:rsid w:val="00284944"/>
    <w:rsid w:val="00284E3D"/>
    <w:rsid w:val="00290A55"/>
    <w:rsid w:val="0029166F"/>
    <w:rsid w:val="00292298"/>
    <w:rsid w:val="00292604"/>
    <w:rsid w:val="00292CA8"/>
    <w:rsid w:val="002934A3"/>
    <w:rsid w:val="002939EA"/>
    <w:rsid w:val="00295AF5"/>
    <w:rsid w:val="002960E8"/>
    <w:rsid w:val="002A0094"/>
    <w:rsid w:val="002A4636"/>
    <w:rsid w:val="002A563F"/>
    <w:rsid w:val="002A6705"/>
    <w:rsid w:val="002A696C"/>
    <w:rsid w:val="002B0DA1"/>
    <w:rsid w:val="002B3869"/>
    <w:rsid w:val="002C164D"/>
    <w:rsid w:val="002C281B"/>
    <w:rsid w:val="002D003B"/>
    <w:rsid w:val="002D04BA"/>
    <w:rsid w:val="002D1116"/>
    <w:rsid w:val="002D4324"/>
    <w:rsid w:val="002D62FD"/>
    <w:rsid w:val="002D6909"/>
    <w:rsid w:val="002D700A"/>
    <w:rsid w:val="002D73FA"/>
    <w:rsid w:val="002E014E"/>
    <w:rsid w:val="002E0312"/>
    <w:rsid w:val="002E1C7C"/>
    <w:rsid w:val="002E442A"/>
    <w:rsid w:val="002E5FA9"/>
    <w:rsid w:val="002E6ACF"/>
    <w:rsid w:val="002F1053"/>
    <w:rsid w:val="002F1A78"/>
    <w:rsid w:val="002F4626"/>
    <w:rsid w:val="002F54E2"/>
    <w:rsid w:val="002F620C"/>
    <w:rsid w:val="00300E59"/>
    <w:rsid w:val="00300FB4"/>
    <w:rsid w:val="00301D3E"/>
    <w:rsid w:val="0031072A"/>
    <w:rsid w:val="003126E0"/>
    <w:rsid w:val="00312C9A"/>
    <w:rsid w:val="00313E7C"/>
    <w:rsid w:val="00313EE8"/>
    <w:rsid w:val="00315C13"/>
    <w:rsid w:val="00316B95"/>
    <w:rsid w:val="00317342"/>
    <w:rsid w:val="003174AE"/>
    <w:rsid w:val="003176D2"/>
    <w:rsid w:val="00321041"/>
    <w:rsid w:val="00323956"/>
    <w:rsid w:val="003266ED"/>
    <w:rsid w:val="00326B1F"/>
    <w:rsid w:val="00326D7B"/>
    <w:rsid w:val="00326ECA"/>
    <w:rsid w:val="003276CB"/>
    <w:rsid w:val="00327E36"/>
    <w:rsid w:val="00330B7A"/>
    <w:rsid w:val="00332480"/>
    <w:rsid w:val="00332BD8"/>
    <w:rsid w:val="003347D7"/>
    <w:rsid w:val="0034061B"/>
    <w:rsid w:val="003428AB"/>
    <w:rsid w:val="00346C42"/>
    <w:rsid w:val="00355FB5"/>
    <w:rsid w:val="00357C6E"/>
    <w:rsid w:val="00363871"/>
    <w:rsid w:val="003642AF"/>
    <w:rsid w:val="0036699B"/>
    <w:rsid w:val="003669A9"/>
    <w:rsid w:val="00366A39"/>
    <w:rsid w:val="003703AC"/>
    <w:rsid w:val="0037355F"/>
    <w:rsid w:val="003759E5"/>
    <w:rsid w:val="00383836"/>
    <w:rsid w:val="003845B6"/>
    <w:rsid w:val="003845C3"/>
    <w:rsid w:val="00391B4B"/>
    <w:rsid w:val="003926B8"/>
    <w:rsid w:val="00392CCF"/>
    <w:rsid w:val="0039449D"/>
    <w:rsid w:val="00396FB1"/>
    <w:rsid w:val="003A53C6"/>
    <w:rsid w:val="003B46F1"/>
    <w:rsid w:val="003B4F99"/>
    <w:rsid w:val="003B68C1"/>
    <w:rsid w:val="003B794F"/>
    <w:rsid w:val="003C13E6"/>
    <w:rsid w:val="003C1DAD"/>
    <w:rsid w:val="003C27A0"/>
    <w:rsid w:val="003C3C71"/>
    <w:rsid w:val="003C46F4"/>
    <w:rsid w:val="003C68EB"/>
    <w:rsid w:val="003D025C"/>
    <w:rsid w:val="003D0485"/>
    <w:rsid w:val="003D0B55"/>
    <w:rsid w:val="003D1457"/>
    <w:rsid w:val="003D1CC4"/>
    <w:rsid w:val="003D381C"/>
    <w:rsid w:val="003D3A5B"/>
    <w:rsid w:val="003E0593"/>
    <w:rsid w:val="003E7B4E"/>
    <w:rsid w:val="003E7D52"/>
    <w:rsid w:val="003F1C82"/>
    <w:rsid w:val="003F25F9"/>
    <w:rsid w:val="003F28B9"/>
    <w:rsid w:val="003F4485"/>
    <w:rsid w:val="003F710F"/>
    <w:rsid w:val="003F7AC9"/>
    <w:rsid w:val="004001E6"/>
    <w:rsid w:val="00400964"/>
    <w:rsid w:val="00401ED3"/>
    <w:rsid w:val="00402207"/>
    <w:rsid w:val="004039BE"/>
    <w:rsid w:val="00411499"/>
    <w:rsid w:val="00411F89"/>
    <w:rsid w:val="00414B79"/>
    <w:rsid w:val="0041560C"/>
    <w:rsid w:val="00415DB6"/>
    <w:rsid w:val="0041659F"/>
    <w:rsid w:val="00417273"/>
    <w:rsid w:val="00417734"/>
    <w:rsid w:val="00420593"/>
    <w:rsid w:val="004303CF"/>
    <w:rsid w:val="004307F3"/>
    <w:rsid w:val="004309E5"/>
    <w:rsid w:val="004319E5"/>
    <w:rsid w:val="00432499"/>
    <w:rsid w:val="004373F0"/>
    <w:rsid w:val="00444427"/>
    <w:rsid w:val="0044749F"/>
    <w:rsid w:val="00450B75"/>
    <w:rsid w:val="00455A77"/>
    <w:rsid w:val="00461514"/>
    <w:rsid w:val="004625EA"/>
    <w:rsid w:val="004708E7"/>
    <w:rsid w:val="004742B7"/>
    <w:rsid w:val="0047658A"/>
    <w:rsid w:val="004776AA"/>
    <w:rsid w:val="00481777"/>
    <w:rsid w:val="00484F5F"/>
    <w:rsid w:val="004850DF"/>
    <w:rsid w:val="004854E1"/>
    <w:rsid w:val="00486154"/>
    <w:rsid w:val="00486562"/>
    <w:rsid w:val="00486D3D"/>
    <w:rsid w:val="004906F5"/>
    <w:rsid w:val="00490BC9"/>
    <w:rsid w:val="0049217F"/>
    <w:rsid w:val="00494824"/>
    <w:rsid w:val="004956CF"/>
    <w:rsid w:val="0049629B"/>
    <w:rsid w:val="004962FE"/>
    <w:rsid w:val="004A0CC3"/>
    <w:rsid w:val="004A2227"/>
    <w:rsid w:val="004A2B77"/>
    <w:rsid w:val="004B1894"/>
    <w:rsid w:val="004B28E7"/>
    <w:rsid w:val="004B2C16"/>
    <w:rsid w:val="004B2D49"/>
    <w:rsid w:val="004B60E6"/>
    <w:rsid w:val="004B7B4F"/>
    <w:rsid w:val="004C277B"/>
    <w:rsid w:val="004C3CB8"/>
    <w:rsid w:val="004C587C"/>
    <w:rsid w:val="004C72FD"/>
    <w:rsid w:val="004C7AD6"/>
    <w:rsid w:val="004D3B04"/>
    <w:rsid w:val="004D42E2"/>
    <w:rsid w:val="004D7B38"/>
    <w:rsid w:val="004E1F95"/>
    <w:rsid w:val="004E3666"/>
    <w:rsid w:val="004E42E1"/>
    <w:rsid w:val="004E43B1"/>
    <w:rsid w:val="004E46F8"/>
    <w:rsid w:val="004E4A5D"/>
    <w:rsid w:val="004E4E1A"/>
    <w:rsid w:val="004E5677"/>
    <w:rsid w:val="004E6F65"/>
    <w:rsid w:val="004F09AA"/>
    <w:rsid w:val="004F0DDC"/>
    <w:rsid w:val="004F0EF4"/>
    <w:rsid w:val="004F15AF"/>
    <w:rsid w:val="004F1C1E"/>
    <w:rsid w:val="004F34AB"/>
    <w:rsid w:val="004F3745"/>
    <w:rsid w:val="004F383E"/>
    <w:rsid w:val="004F5C83"/>
    <w:rsid w:val="004F6751"/>
    <w:rsid w:val="004F6BF4"/>
    <w:rsid w:val="004F72A1"/>
    <w:rsid w:val="004F7F86"/>
    <w:rsid w:val="00500622"/>
    <w:rsid w:val="005016EE"/>
    <w:rsid w:val="0051082D"/>
    <w:rsid w:val="00515402"/>
    <w:rsid w:val="005154D8"/>
    <w:rsid w:val="005156B9"/>
    <w:rsid w:val="0051577E"/>
    <w:rsid w:val="00515E7F"/>
    <w:rsid w:val="00517EFF"/>
    <w:rsid w:val="00520053"/>
    <w:rsid w:val="0052067C"/>
    <w:rsid w:val="00524A12"/>
    <w:rsid w:val="0052506F"/>
    <w:rsid w:val="00525CFE"/>
    <w:rsid w:val="005269DB"/>
    <w:rsid w:val="00526D01"/>
    <w:rsid w:val="005279EF"/>
    <w:rsid w:val="00527B72"/>
    <w:rsid w:val="005324B6"/>
    <w:rsid w:val="00533D38"/>
    <w:rsid w:val="00536290"/>
    <w:rsid w:val="00537D7D"/>
    <w:rsid w:val="00540676"/>
    <w:rsid w:val="005406BB"/>
    <w:rsid w:val="0054131B"/>
    <w:rsid w:val="005435BB"/>
    <w:rsid w:val="005504E4"/>
    <w:rsid w:val="00550D2F"/>
    <w:rsid w:val="00551ADF"/>
    <w:rsid w:val="00551DBA"/>
    <w:rsid w:val="00552553"/>
    <w:rsid w:val="00554C0C"/>
    <w:rsid w:val="00554D6A"/>
    <w:rsid w:val="00557449"/>
    <w:rsid w:val="005633E4"/>
    <w:rsid w:val="005639FB"/>
    <w:rsid w:val="005669C0"/>
    <w:rsid w:val="00566B75"/>
    <w:rsid w:val="00567F96"/>
    <w:rsid w:val="00572885"/>
    <w:rsid w:val="00572DCB"/>
    <w:rsid w:val="00573254"/>
    <w:rsid w:val="00573CE1"/>
    <w:rsid w:val="00574701"/>
    <w:rsid w:val="0057636C"/>
    <w:rsid w:val="0057750B"/>
    <w:rsid w:val="0058114E"/>
    <w:rsid w:val="00581163"/>
    <w:rsid w:val="005815BD"/>
    <w:rsid w:val="005841A7"/>
    <w:rsid w:val="00585ADC"/>
    <w:rsid w:val="005869AE"/>
    <w:rsid w:val="005873CE"/>
    <w:rsid w:val="005913A6"/>
    <w:rsid w:val="005950D5"/>
    <w:rsid w:val="005969FE"/>
    <w:rsid w:val="005A0D6B"/>
    <w:rsid w:val="005A1595"/>
    <w:rsid w:val="005A3BB2"/>
    <w:rsid w:val="005A7A52"/>
    <w:rsid w:val="005A7C9E"/>
    <w:rsid w:val="005B2558"/>
    <w:rsid w:val="005B46EB"/>
    <w:rsid w:val="005B6D85"/>
    <w:rsid w:val="005C538C"/>
    <w:rsid w:val="005C6D37"/>
    <w:rsid w:val="005D0414"/>
    <w:rsid w:val="005D2562"/>
    <w:rsid w:val="005D257A"/>
    <w:rsid w:val="005D330F"/>
    <w:rsid w:val="005D36BD"/>
    <w:rsid w:val="005D4328"/>
    <w:rsid w:val="005D6A31"/>
    <w:rsid w:val="005E06A7"/>
    <w:rsid w:val="005E6207"/>
    <w:rsid w:val="005E6B9C"/>
    <w:rsid w:val="005F04F5"/>
    <w:rsid w:val="005F1F6A"/>
    <w:rsid w:val="005F394A"/>
    <w:rsid w:val="005F4DDA"/>
    <w:rsid w:val="005F4FBD"/>
    <w:rsid w:val="005F7073"/>
    <w:rsid w:val="005F7F4F"/>
    <w:rsid w:val="00610628"/>
    <w:rsid w:val="006113CB"/>
    <w:rsid w:val="00613A4E"/>
    <w:rsid w:val="00613E27"/>
    <w:rsid w:val="00613EDF"/>
    <w:rsid w:val="00614224"/>
    <w:rsid w:val="00614599"/>
    <w:rsid w:val="006153A7"/>
    <w:rsid w:val="006200E7"/>
    <w:rsid w:val="006207EF"/>
    <w:rsid w:val="00623A84"/>
    <w:rsid w:val="00626DA7"/>
    <w:rsid w:val="006271DB"/>
    <w:rsid w:val="006304F6"/>
    <w:rsid w:val="00630A02"/>
    <w:rsid w:val="00631103"/>
    <w:rsid w:val="0063177C"/>
    <w:rsid w:val="00634EB3"/>
    <w:rsid w:val="00634EB8"/>
    <w:rsid w:val="006359F0"/>
    <w:rsid w:val="006405B3"/>
    <w:rsid w:val="006406F9"/>
    <w:rsid w:val="00640B8C"/>
    <w:rsid w:val="006421B1"/>
    <w:rsid w:val="00643575"/>
    <w:rsid w:val="0064377A"/>
    <w:rsid w:val="00647C2B"/>
    <w:rsid w:val="00652DAE"/>
    <w:rsid w:val="00653510"/>
    <w:rsid w:val="0065369E"/>
    <w:rsid w:val="00653D43"/>
    <w:rsid w:val="0065563B"/>
    <w:rsid w:val="00657169"/>
    <w:rsid w:val="00657F55"/>
    <w:rsid w:val="0066127C"/>
    <w:rsid w:val="00663F0A"/>
    <w:rsid w:val="0066700E"/>
    <w:rsid w:val="00667527"/>
    <w:rsid w:val="006700A0"/>
    <w:rsid w:val="006705DF"/>
    <w:rsid w:val="0067151B"/>
    <w:rsid w:val="00671E6A"/>
    <w:rsid w:val="0067353A"/>
    <w:rsid w:val="0067601E"/>
    <w:rsid w:val="00676BC5"/>
    <w:rsid w:val="006771DB"/>
    <w:rsid w:val="00680725"/>
    <w:rsid w:val="00684132"/>
    <w:rsid w:val="00685903"/>
    <w:rsid w:val="00685E29"/>
    <w:rsid w:val="00686E23"/>
    <w:rsid w:val="00686EBD"/>
    <w:rsid w:val="0069217C"/>
    <w:rsid w:val="00694BF6"/>
    <w:rsid w:val="00696BA2"/>
    <w:rsid w:val="006A2CC7"/>
    <w:rsid w:val="006A5A43"/>
    <w:rsid w:val="006A6279"/>
    <w:rsid w:val="006A7F0E"/>
    <w:rsid w:val="006B1ADC"/>
    <w:rsid w:val="006B3355"/>
    <w:rsid w:val="006B337D"/>
    <w:rsid w:val="006B4569"/>
    <w:rsid w:val="006B4F4A"/>
    <w:rsid w:val="006C1ED2"/>
    <w:rsid w:val="006C3720"/>
    <w:rsid w:val="006C3F8B"/>
    <w:rsid w:val="006C55C1"/>
    <w:rsid w:val="006C67E3"/>
    <w:rsid w:val="006C6BA3"/>
    <w:rsid w:val="006D0F96"/>
    <w:rsid w:val="006D109A"/>
    <w:rsid w:val="006D14B8"/>
    <w:rsid w:val="006E5762"/>
    <w:rsid w:val="006E5A86"/>
    <w:rsid w:val="006F34AA"/>
    <w:rsid w:val="006F34D6"/>
    <w:rsid w:val="006F4AAE"/>
    <w:rsid w:val="006F5B0B"/>
    <w:rsid w:val="006F6B45"/>
    <w:rsid w:val="00700F91"/>
    <w:rsid w:val="007017F1"/>
    <w:rsid w:val="00702148"/>
    <w:rsid w:val="00703A54"/>
    <w:rsid w:val="007055AF"/>
    <w:rsid w:val="00711849"/>
    <w:rsid w:val="00714186"/>
    <w:rsid w:val="00714D1C"/>
    <w:rsid w:val="00715302"/>
    <w:rsid w:val="00715F5E"/>
    <w:rsid w:val="007163D2"/>
    <w:rsid w:val="00717551"/>
    <w:rsid w:val="00717A19"/>
    <w:rsid w:val="007200DD"/>
    <w:rsid w:val="00720601"/>
    <w:rsid w:val="00721D4E"/>
    <w:rsid w:val="00722B70"/>
    <w:rsid w:val="00727319"/>
    <w:rsid w:val="00727EFD"/>
    <w:rsid w:val="00733227"/>
    <w:rsid w:val="00736853"/>
    <w:rsid w:val="00736BE1"/>
    <w:rsid w:val="0074005B"/>
    <w:rsid w:val="00745731"/>
    <w:rsid w:val="0074682F"/>
    <w:rsid w:val="00750538"/>
    <w:rsid w:val="007517AD"/>
    <w:rsid w:val="00752D9B"/>
    <w:rsid w:val="0075420F"/>
    <w:rsid w:val="00754790"/>
    <w:rsid w:val="00755EBD"/>
    <w:rsid w:val="00756F1F"/>
    <w:rsid w:val="007602B7"/>
    <w:rsid w:val="00760FEE"/>
    <w:rsid w:val="00764234"/>
    <w:rsid w:val="00766AA4"/>
    <w:rsid w:val="0076772E"/>
    <w:rsid w:val="00767D39"/>
    <w:rsid w:val="00770B9A"/>
    <w:rsid w:val="00770F0E"/>
    <w:rsid w:val="00772A46"/>
    <w:rsid w:val="00775484"/>
    <w:rsid w:val="0077606E"/>
    <w:rsid w:val="00777EE6"/>
    <w:rsid w:val="007823B8"/>
    <w:rsid w:val="00783AF2"/>
    <w:rsid w:val="007861F7"/>
    <w:rsid w:val="00786B7A"/>
    <w:rsid w:val="007921C7"/>
    <w:rsid w:val="00793F73"/>
    <w:rsid w:val="00794488"/>
    <w:rsid w:val="00796FE5"/>
    <w:rsid w:val="007A1C68"/>
    <w:rsid w:val="007A6AD7"/>
    <w:rsid w:val="007A78B4"/>
    <w:rsid w:val="007B0778"/>
    <w:rsid w:val="007B0BD8"/>
    <w:rsid w:val="007B22F0"/>
    <w:rsid w:val="007B25BC"/>
    <w:rsid w:val="007B58E1"/>
    <w:rsid w:val="007B5C3A"/>
    <w:rsid w:val="007B5DF2"/>
    <w:rsid w:val="007C049D"/>
    <w:rsid w:val="007C4EAC"/>
    <w:rsid w:val="007C70DD"/>
    <w:rsid w:val="007C75EF"/>
    <w:rsid w:val="007C7653"/>
    <w:rsid w:val="007D166F"/>
    <w:rsid w:val="007D2013"/>
    <w:rsid w:val="007D56BA"/>
    <w:rsid w:val="007D7059"/>
    <w:rsid w:val="007E0E1F"/>
    <w:rsid w:val="007E227B"/>
    <w:rsid w:val="007E340F"/>
    <w:rsid w:val="007E3AB3"/>
    <w:rsid w:val="007E3C35"/>
    <w:rsid w:val="007E5C72"/>
    <w:rsid w:val="007F08C6"/>
    <w:rsid w:val="007F5759"/>
    <w:rsid w:val="007F5A0E"/>
    <w:rsid w:val="008005D2"/>
    <w:rsid w:val="00800F37"/>
    <w:rsid w:val="00800FF9"/>
    <w:rsid w:val="0080719D"/>
    <w:rsid w:val="008079DA"/>
    <w:rsid w:val="0081092F"/>
    <w:rsid w:val="008114FD"/>
    <w:rsid w:val="008129C2"/>
    <w:rsid w:val="00813730"/>
    <w:rsid w:val="00814541"/>
    <w:rsid w:val="00817CEF"/>
    <w:rsid w:val="0082077F"/>
    <w:rsid w:val="008224C0"/>
    <w:rsid w:val="00823E50"/>
    <w:rsid w:val="0082421C"/>
    <w:rsid w:val="0082476E"/>
    <w:rsid w:val="0082531A"/>
    <w:rsid w:val="00827226"/>
    <w:rsid w:val="00827E6E"/>
    <w:rsid w:val="008334B4"/>
    <w:rsid w:val="008337DE"/>
    <w:rsid w:val="008343DB"/>
    <w:rsid w:val="0083498A"/>
    <w:rsid w:val="008352EE"/>
    <w:rsid w:val="00840CFC"/>
    <w:rsid w:val="00842EAD"/>
    <w:rsid w:val="00843AE9"/>
    <w:rsid w:val="00844B9A"/>
    <w:rsid w:val="008469A8"/>
    <w:rsid w:val="00850463"/>
    <w:rsid w:val="0085788A"/>
    <w:rsid w:val="00863608"/>
    <w:rsid w:val="00863F0E"/>
    <w:rsid w:val="00867BF4"/>
    <w:rsid w:val="00871647"/>
    <w:rsid w:val="00871ED5"/>
    <w:rsid w:val="0087277E"/>
    <w:rsid w:val="00873392"/>
    <w:rsid w:val="00873D9A"/>
    <w:rsid w:val="008745FF"/>
    <w:rsid w:val="008755F3"/>
    <w:rsid w:val="008776EB"/>
    <w:rsid w:val="008807D6"/>
    <w:rsid w:val="0088137F"/>
    <w:rsid w:val="008825B5"/>
    <w:rsid w:val="00883FF5"/>
    <w:rsid w:val="00884918"/>
    <w:rsid w:val="008910ED"/>
    <w:rsid w:val="00891D0B"/>
    <w:rsid w:val="00893211"/>
    <w:rsid w:val="008A09D6"/>
    <w:rsid w:val="008A3B4F"/>
    <w:rsid w:val="008A5BF6"/>
    <w:rsid w:val="008B31D0"/>
    <w:rsid w:val="008B33B2"/>
    <w:rsid w:val="008B5E6F"/>
    <w:rsid w:val="008B74BC"/>
    <w:rsid w:val="008B79C8"/>
    <w:rsid w:val="008B7FE1"/>
    <w:rsid w:val="008C1A22"/>
    <w:rsid w:val="008C54AD"/>
    <w:rsid w:val="008C77F8"/>
    <w:rsid w:val="008D1239"/>
    <w:rsid w:val="008D131D"/>
    <w:rsid w:val="008D1C78"/>
    <w:rsid w:val="008D4F57"/>
    <w:rsid w:val="008D6DF1"/>
    <w:rsid w:val="008D79AE"/>
    <w:rsid w:val="008E0222"/>
    <w:rsid w:val="008E194D"/>
    <w:rsid w:val="008E2217"/>
    <w:rsid w:val="008E306F"/>
    <w:rsid w:val="008E5D14"/>
    <w:rsid w:val="008E72F5"/>
    <w:rsid w:val="008E7A0C"/>
    <w:rsid w:val="008F0E8A"/>
    <w:rsid w:val="008F2C14"/>
    <w:rsid w:val="008F591B"/>
    <w:rsid w:val="008F5B25"/>
    <w:rsid w:val="0091191B"/>
    <w:rsid w:val="009161D2"/>
    <w:rsid w:val="00921005"/>
    <w:rsid w:val="009254A7"/>
    <w:rsid w:val="00925AA0"/>
    <w:rsid w:val="0092665E"/>
    <w:rsid w:val="009307D1"/>
    <w:rsid w:val="00931EA0"/>
    <w:rsid w:val="009423B8"/>
    <w:rsid w:val="00943DF1"/>
    <w:rsid w:val="00944200"/>
    <w:rsid w:val="00946FC5"/>
    <w:rsid w:val="00951293"/>
    <w:rsid w:val="00952405"/>
    <w:rsid w:val="00952E0E"/>
    <w:rsid w:val="00953334"/>
    <w:rsid w:val="00955B48"/>
    <w:rsid w:val="00961B47"/>
    <w:rsid w:val="00961C7B"/>
    <w:rsid w:val="00963150"/>
    <w:rsid w:val="0096382E"/>
    <w:rsid w:val="009704E4"/>
    <w:rsid w:val="009705D5"/>
    <w:rsid w:val="0097189D"/>
    <w:rsid w:val="0097297D"/>
    <w:rsid w:val="00973C62"/>
    <w:rsid w:val="00973F97"/>
    <w:rsid w:val="00977124"/>
    <w:rsid w:val="009811F4"/>
    <w:rsid w:val="009820D9"/>
    <w:rsid w:val="00982D7A"/>
    <w:rsid w:val="0098382B"/>
    <w:rsid w:val="00983B2E"/>
    <w:rsid w:val="00986100"/>
    <w:rsid w:val="00990B66"/>
    <w:rsid w:val="009922AB"/>
    <w:rsid w:val="009A040B"/>
    <w:rsid w:val="009A17E9"/>
    <w:rsid w:val="009A3D7A"/>
    <w:rsid w:val="009A4B5F"/>
    <w:rsid w:val="009A7FFE"/>
    <w:rsid w:val="009B0F3C"/>
    <w:rsid w:val="009B1719"/>
    <w:rsid w:val="009B3A42"/>
    <w:rsid w:val="009B466F"/>
    <w:rsid w:val="009B6239"/>
    <w:rsid w:val="009B6B97"/>
    <w:rsid w:val="009C27C5"/>
    <w:rsid w:val="009C2878"/>
    <w:rsid w:val="009C3520"/>
    <w:rsid w:val="009C5851"/>
    <w:rsid w:val="009C65AB"/>
    <w:rsid w:val="009C6CA6"/>
    <w:rsid w:val="009C6E69"/>
    <w:rsid w:val="009D0D33"/>
    <w:rsid w:val="009D1DFA"/>
    <w:rsid w:val="009D3EA0"/>
    <w:rsid w:val="009D582C"/>
    <w:rsid w:val="009D67D9"/>
    <w:rsid w:val="009D7F64"/>
    <w:rsid w:val="009E0016"/>
    <w:rsid w:val="009E0BEA"/>
    <w:rsid w:val="009E1B77"/>
    <w:rsid w:val="009E291D"/>
    <w:rsid w:val="009E4D70"/>
    <w:rsid w:val="009E4D7E"/>
    <w:rsid w:val="009E5733"/>
    <w:rsid w:val="009E75EE"/>
    <w:rsid w:val="009F6990"/>
    <w:rsid w:val="009F6EDE"/>
    <w:rsid w:val="009F717E"/>
    <w:rsid w:val="009F71A1"/>
    <w:rsid w:val="009F7A22"/>
    <w:rsid w:val="00A00668"/>
    <w:rsid w:val="00A019A3"/>
    <w:rsid w:val="00A04D55"/>
    <w:rsid w:val="00A0532B"/>
    <w:rsid w:val="00A06D1F"/>
    <w:rsid w:val="00A1236B"/>
    <w:rsid w:val="00A1697A"/>
    <w:rsid w:val="00A1714F"/>
    <w:rsid w:val="00A27180"/>
    <w:rsid w:val="00A30D2C"/>
    <w:rsid w:val="00A30D3E"/>
    <w:rsid w:val="00A33FFD"/>
    <w:rsid w:val="00A34634"/>
    <w:rsid w:val="00A34E12"/>
    <w:rsid w:val="00A37521"/>
    <w:rsid w:val="00A37C38"/>
    <w:rsid w:val="00A37DA4"/>
    <w:rsid w:val="00A40F83"/>
    <w:rsid w:val="00A4230A"/>
    <w:rsid w:val="00A42F03"/>
    <w:rsid w:val="00A4497E"/>
    <w:rsid w:val="00A45208"/>
    <w:rsid w:val="00A47BCB"/>
    <w:rsid w:val="00A52D63"/>
    <w:rsid w:val="00A5587B"/>
    <w:rsid w:val="00A61067"/>
    <w:rsid w:val="00A62459"/>
    <w:rsid w:val="00A62476"/>
    <w:rsid w:val="00A62623"/>
    <w:rsid w:val="00A627EA"/>
    <w:rsid w:val="00A62993"/>
    <w:rsid w:val="00A63201"/>
    <w:rsid w:val="00A6422E"/>
    <w:rsid w:val="00A64837"/>
    <w:rsid w:val="00A65BDC"/>
    <w:rsid w:val="00A66D2B"/>
    <w:rsid w:val="00A67623"/>
    <w:rsid w:val="00A67F80"/>
    <w:rsid w:val="00A70285"/>
    <w:rsid w:val="00A706F8"/>
    <w:rsid w:val="00A71F29"/>
    <w:rsid w:val="00A71FB7"/>
    <w:rsid w:val="00A724CD"/>
    <w:rsid w:val="00A74B91"/>
    <w:rsid w:val="00A75517"/>
    <w:rsid w:val="00A765B1"/>
    <w:rsid w:val="00A81273"/>
    <w:rsid w:val="00A82621"/>
    <w:rsid w:val="00A83D93"/>
    <w:rsid w:val="00A90431"/>
    <w:rsid w:val="00A9154E"/>
    <w:rsid w:val="00A91B3D"/>
    <w:rsid w:val="00A93480"/>
    <w:rsid w:val="00A93B12"/>
    <w:rsid w:val="00A951B1"/>
    <w:rsid w:val="00AA0037"/>
    <w:rsid w:val="00AA19C4"/>
    <w:rsid w:val="00AA2268"/>
    <w:rsid w:val="00AA4DD3"/>
    <w:rsid w:val="00AA4DDC"/>
    <w:rsid w:val="00AB2802"/>
    <w:rsid w:val="00AB2859"/>
    <w:rsid w:val="00AB36AE"/>
    <w:rsid w:val="00AB57D4"/>
    <w:rsid w:val="00AB66E7"/>
    <w:rsid w:val="00AB7FC8"/>
    <w:rsid w:val="00AC2797"/>
    <w:rsid w:val="00AC5551"/>
    <w:rsid w:val="00AC5BC0"/>
    <w:rsid w:val="00AC65DD"/>
    <w:rsid w:val="00AC781A"/>
    <w:rsid w:val="00AD308C"/>
    <w:rsid w:val="00AD3D05"/>
    <w:rsid w:val="00AD3EFE"/>
    <w:rsid w:val="00AD6AAA"/>
    <w:rsid w:val="00AE07F5"/>
    <w:rsid w:val="00AE134F"/>
    <w:rsid w:val="00AE1E94"/>
    <w:rsid w:val="00AE2EA8"/>
    <w:rsid w:val="00AE5874"/>
    <w:rsid w:val="00AE6439"/>
    <w:rsid w:val="00AE6CBB"/>
    <w:rsid w:val="00AF0D02"/>
    <w:rsid w:val="00AF15E7"/>
    <w:rsid w:val="00AF2618"/>
    <w:rsid w:val="00AF2CB9"/>
    <w:rsid w:val="00AF7728"/>
    <w:rsid w:val="00B050E1"/>
    <w:rsid w:val="00B061B3"/>
    <w:rsid w:val="00B10171"/>
    <w:rsid w:val="00B10A1E"/>
    <w:rsid w:val="00B113D1"/>
    <w:rsid w:val="00B12986"/>
    <w:rsid w:val="00B1499E"/>
    <w:rsid w:val="00B16866"/>
    <w:rsid w:val="00B1698F"/>
    <w:rsid w:val="00B16AA4"/>
    <w:rsid w:val="00B173CD"/>
    <w:rsid w:val="00B202BE"/>
    <w:rsid w:val="00B2036E"/>
    <w:rsid w:val="00B21B7B"/>
    <w:rsid w:val="00B2560B"/>
    <w:rsid w:val="00B2631D"/>
    <w:rsid w:val="00B27C80"/>
    <w:rsid w:val="00B30A7B"/>
    <w:rsid w:val="00B31885"/>
    <w:rsid w:val="00B33EDF"/>
    <w:rsid w:val="00B34A77"/>
    <w:rsid w:val="00B34C4C"/>
    <w:rsid w:val="00B3652C"/>
    <w:rsid w:val="00B36ABE"/>
    <w:rsid w:val="00B375A2"/>
    <w:rsid w:val="00B37C04"/>
    <w:rsid w:val="00B406C4"/>
    <w:rsid w:val="00B41FF0"/>
    <w:rsid w:val="00B43972"/>
    <w:rsid w:val="00B45361"/>
    <w:rsid w:val="00B466A0"/>
    <w:rsid w:val="00B4700D"/>
    <w:rsid w:val="00B5213D"/>
    <w:rsid w:val="00B53916"/>
    <w:rsid w:val="00B54C2B"/>
    <w:rsid w:val="00B55EC6"/>
    <w:rsid w:val="00B560DE"/>
    <w:rsid w:val="00B57349"/>
    <w:rsid w:val="00B670EE"/>
    <w:rsid w:val="00B67158"/>
    <w:rsid w:val="00B672BC"/>
    <w:rsid w:val="00B7020B"/>
    <w:rsid w:val="00B71C33"/>
    <w:rsid w:val="00B71FA0"/>
    <w:rsid w:val="00B75222"/>
    <w:rsid w:val="00B76DE7"/>
    <w:rsid w:val="00B774F6"/>
    <w:rsid w:val="00B80182"/>
    <w:rsid w:val="00B80F07"/>
    <w:rsid w:val="00B81C63"/>
    <w:rsid w:val="00B82660"/>
    <w:rsid w:val="00B82E2D"/>
    <w:rsid w:val="00B84E36"/>
    <w:rsid w:val="00B85130"/>
    <w:rsid w:val="00B85136"/>
    <w:rsid w:val="00B86256"/>
    <w:rsid w:val="00B918D6"/>
    <w:rsid w:val="00B92A32"/>
    <w:rsid w:val="00B93AAE"/>
    <w:rsid w:val="00B93F97"/>
    <w:rsid w:val="00B97D10"/>
    <w:rsid w:val="00BA4E04"/>
    <w:rsid w:val="00BA5583"/>
    <w:rsid w:val="00BB535D"/>
    <w:rsid w:val="00BB6693"/>
    <w:rsid w:val="00BB6AC6"/>
    <w:rsid w:val="00BB756E"/>
    <w:rsid w:val="00BC33F2"/>
    <w:rsid w:val="00BC613B"/>
    <w:rsid w:val="00BC77F4"/>
    <w:rsid w:val="00BD1EBB"/>
    <w:rsid w:val="00BD7054"/>
    <w:rsid w:val="00BD7ED1"/>
    <w:rsid w:val="00BE0FF4"/>
    <w:rsid w:val="00BE3060"/>
    <w:rsid w:val="00BE3C5D"/>
    <w:rsid w:val="00BE4D6E"/>
    <w:rsid w:val="00BE552B"/>
    <w:rsid w:val="00BE630B"/>
    <w:rsid w:val="00BE7773"/>
    <w:rsid w:val="00BE7949"/>
    <w:rsid w:val="00BF0604"/>
    <w:rsid w:val="00BF4AD1"/>
    <w:rsid w:val="00BF4D47"/>
    <w:rsid w:val="00BF5C08"/>
    <w:rsid w:val="00C0184C"/>
    <w:rsid w:val="00C01D7D"/>
    <w:rsid w:val="00C0214B"/>
    <w:rsid w:val="00C03C4B"/>
    <w:rsid w:val="00C06A2F"/>
    <w:rsid w:val="00C105C3"/>
    <w:rsid w:val="00C13611"/>
    <w:rsid w:val="00C144A4"/>
    <w:rsid w:val="00C14F5C"/>
    <w:rsid w:val="00C15159"/>
    <w:rsid w:val="00C15F48"/>
    <w:rsid w:val="00C16DC2"/>
    <w:rsid w:val="00C201F4"/>
    <w:rsid w:val="00C222DC"/>
    <w:rsid w:val="00C22F67"/>
    <w:rsid w:val="00C23EAB"/>
    <w:rsid w:val="00C23FA0"/>
    <w:rsid w:val="00C241BA"/>
    <w:rsid w:val="00C272A9"/>
    <w:rsid w:val="00C27EE3"/>
    <w:rsid w:val="00C379B9"/>
    <w:rsid w:val="00C37E27"/>
    <w:rsid w:val="00C4082C"/>
    <w:rsid w:val="00C4152E"/>
    <w:rsid w:val="00C4156F"/>
    <w:rsid w:val="00C4265C"/>
    <w:rsid w:val="00C42BF8"/>
    <w:rsid w:val="00C46BF7"/>
    <w:rsid w:val="00C46CA9"/>
    <w:rsid w:val="00C53F4F"/>
    <w:rsid w:val="00C56E11"/>
    <w:rsid w:val="00C6168F"/>
    <w:rsid w:val="00C65447"/>
    <w:rsid w:val="00C67422"/>
    <w:rsid w:val="00C674B2"/>
    <w:rsid w:val="00C67709"/>
    <w:rsid w:val="00C72264"/>
    <w:rsid w:val="00C75063"/>
    <w:rsid w:val="00C75AA8"/>
    <w:rsid w:val="00C8139F"/>
    <w:rsid w:val="00C81DD1"/>
    <w:rsid w:val="00C820A7"/>
    <w:rsid w:val="00C854CA"/>
    <w:rsid w:val="00C8707F"/>
    <w:rsid w:val="00C92700"/>
    <w:rsid w:val="00C93BE1"/>
    <w:rsid w:val="00C96F37"/>
    <w:rsid w:val="00CA0E51"/>
    <w:rsid w:val="00CA0E59"/>
    <w:rsid w:val="00CA2792"/>
    <w:rsid w:val="00CA2C42"/>
    <w:rsid w:val="00CA4D31"/>
    <w:rsid w:val="00CA55E2"/>
    <w:rsid w:val="00CA599D"/>
    <w:rsid w:val="00CA5ABE"/>
    <w:rsid w:val="00CA75BE"/>
    <w:rsid w:val="00CA76DF"/>
    <w:rsid w:val="00CB17DF"/>
    <w:rsid w:val="00CB2847"/>
    <w:rsid w:val="00CB3307"/>
    <w:rsid w:val="00CB4E9C"/>
    <w:rsid w:val="00CB555C"/>
    <w:rsid w:val="00CC1340"/>
    <w:rsid w:val="00CC1F86"/>
    <w:rsid w:val="00CC3F80"/>
    <w:rsid w:val="00CC3F99"/>
    <w:rsid w:val="00CC521A"/>
    <w:rsid w:val="00CC65FE"/>
    <w:rsid w:val="00CC67A3"/>
    <w:rsid w:val="00CD0267"/>
    <w:rsid w:val="00CD22BB"/>
    <w:rsid w:val="00CD4BC1"/>
    <w:rsid w:val="00CE106E"/>
    <w:rsid w:val="00CE3729"/>
    <w:rsid w:val="00CE520F"/>
    <w:rsid w:val="00CE56C0"/>
    <w:rsid w:val="00CE61E3"/>
    <w:rsid w:val="00CE710B"/>
    <w:rsid w:val="00CE7BE4"/>
    <w:rsid w:val="00CE7DFD"/>
    <w:rsid w:val="00CF1EF5"/>
    <w:rsid w:val="00CF2806"/>
    <w:rsid w:val="00CF2B93"/>
    <w:rsid w:val="00CF5B6B"/>
    <w:rsid w:val="00CF6D6C"/>
    <w:rsid w:val="00CF71D5"/>
    <w:rsid w:val="00D02B32"/>
    <w:rsid w:val="00D05635"/>
    <w:rsid w:val="00D05C0F"/>
    <w:rsid w:val="00D06F4D"/>
    <w:rsid w:val="00D10D7A"/>
    <w:rsid w:val="00D11976"/>
    <w:rsid w:val="00D1388D"/>
    <w:rsid w:val="00D1453B"/>
    <w:rsid w:val="00D17A5A"/>
    <w:rsid w:val="00D246D0"/>
    <w:rsid w:val="00D24706"/>
    <w:rsid w:val="00D25BD4"/>
    <w:rsid w:val="00D25EF9"/>
    <w:rsid w:val="00D26CF2"/>
    <w:rsid w:val="00D27B11"/>
    <w:rsid w:val="00D307E7"/>
    <w:rsid w:val="00D309F7"/>
    <w:rsid w:val="00D3115E"/>
    <w:rsid w:val="00D319DC"/>
    <w:rsid w:val="00D31D1F"/>
    <w:rsid w:val="00D37289"/>
    <w:rsid w:val="00D40925"/>
    <w:rsid w:val="00D43E49"/>
    <w:rsid w:val="00D46684"/>
    <w:rsid w:val="00D47544"/>
    <w:rsid w:val="00D514EE"/>
    <w:rsid w:val="00D541DD"/>
    <w:rsid w:val="00D5598D"/>
    <w:rsid w:val="00D57513"/>
    <w:rsid w:val="00D57EB0"/>
    <w:rsid w:val="00D6030D"/>
    <w:rsid w:val="00D615CA"/>
    <w:rsid w:val="00D62256"/>
    <w:rsid w:val="00D622CC"/>
    <w:rsid w:val="00D62F39"/>
    <w:rsid w:val="00D64434"/>
    <w:rsid w:val="00D66973"/>
    <w:rsid w:val="00D66F09"/>
    <w:rsid w:val="00D67982"/>
    <w:rsid w:val="00D71166"/>
    <w:rsid w:val="00D755CD"/>
    <w:rsid w:val="00D75AAF"/>
    <w:rsid w:val="00D76D7A"/>
    <w:rsid w:val="00D82978"/>
    <w:rsid w:val="00D834A8"/>
    <w:rsid w:val="00D84B7F"/>
    <w:rsid w:val="00D84E94"/>
    <w:rsid w:val="00D84F69"/>
    <w:rsid w:val="00D87600"/>
    <w:rsid w:val="00D90A78"/>
    <w:rsid w:val="00D91645"/>
    <w:rsid w:val="00D91D90"/>
    <w:rsid w:val="00D9263A"/>
    <w:rsid w:val="00D93048"/>
    <w:rsid w:val="00D93174"/>
    <w:rsid w:val="00D93DEF"/>
    <w:rsid w:val="00D9499A"/>
    <w:rsid w:val="00D951A6"/>
    <w:rsid w:val="00D9664C"/>
    <w:rsid w:val="00DA1464"/>
    <w:rsid w:val="00DA5050"/>
    <w:rsid w:val="00DA7CAE"/>
    <w:rsid w:val="00DB22DC"/>
    <w:rsid w:val="00DB2766"/>
    <w:rsid w:val="00DB3498"/>
    <w:rsid w:val="00DB3992"/>
    <w:rsid w:val="00DB3CBE"/>
    <w:rsid w:val="00DB45EB"/>
    <w:rsid w:val="00DB5727"/>
    <w:rsid w:val="00DB719D"/>
    <w:rsid w:val="00DB7297"/>
    <w:rsid w:val="00DB73AE"/>
    <w:rsid w:val="00DB7855"/>
    <w:rsid w:val="00DB793F"/>
    <w:rsid w:val="00DB7D3F"/>
    <w:rsid w:val="00DC07D9"/>
    <w:rsid w:val="00DC129F"/>
    <w:rsid w:val="00DC198F"/>
    <w:rsid w:val="00DC4060"/>
    <w:rsid w:val="00DC5B25"/>
    <w:rsid w:val="00DD0CA4"/>
    <w:rsid w:val="00DD14E4"/>
    <w:rsid w:val="00DD4093"/>
    <w:rsid w:val="00DD4845"/>
    <w:rsid w:val="00DD5493"/>
    <w:rsid w:val="00DD6127"/>
    <w:rsid w:val="00DD66EF"/>
    <w:rsid w:val="00DD6B9A"/>
    <w:rsid w:val="00DD6D66"/>
    <w:rsid w:val="00DD764E"/>
    <w:rsid w:val="00DE245F"/>
    <w:rsid w:val="00DE2B1F"/>
    <w:rsid w:val="00DF0268"/>
    <w:rsid w:val="00DF062D"/>
    <w:rsid w:val="00DF15D4"/>
    <w:rsid w:val="00DF2748"/>
    <w:rsid w:val="00DF2B58"/>
    <w:rsid w:val="00DF3FC3"/>
    <w:rsid w:val="00DF4410"/>
    <w:rsid w:val="00DF567C"/>
    <w:rsid w:val="00DF731B"/>
    <w:rsid w:val="00DF7F14"/>
    <w:rsid w:val="00E0055A"/>
    <w:rsid w:val="00E00EDA"/>
    <w:rsid w:val="00E027EA"/>
    <w:rsid w:val="00E03815"/>
    <w:rsid w:val="00E074DD"/>
    <w:rsid w:val="00E101F5"/>
    <w:rsid w:val="00E10378"/>
    <w:rsid w:val="00E1072F"/>
    <w:rsid w:val="00E1176B"/>
    <w:rsid w:val="00E11EBB"/>
    <w:rsid w:val="00E13675"/>
    <w:rsid w:val="00E13C66"/>
    <w:rsid w:val="00E14DD5"/>
    <w:rsid w:val="00E1640B"/>
    <w:rsid w:val="00E17058"/>
    <w:rsid w:val="00E202EC"/>
    <w:rsid w:val="00E20745"/>
    <w:rsid w:val="00E2417B"/>
    <w:rsid w:val="00E25286"/>
    <w:rsid w:val="00E25B84"/>
    <w:rsid w:val="00E34025"/>
    <w:rsid w:val="00E34EEA"/>
    <w:rsid w:val="00E35A57"/>
    <w:rsid w:val="00E36727"/>
    <w:rsid w:val="00E37738"/>
    <w:rsid w:val="00E412A6"/>
    <w:rsid w:val="00E448AE"/>
    <w:rsid w:val="00E451E3"/>
    <w:rsid w:val="00E46C4D"/>
    <w:rsid w:val="00E47483"/>
    <w:rsid w:val="00E51D0C"/>
    <w:rsid w:val="00E5511C"/>
    <w:rsid w:val="00E564F7"/>
    <w:rsid w:val="00E56C35"/>
    <w:rsid w:val="00E57082"/>
    <w:rsid w:val="00E57BA4"/>
    <w:rsid w:val="00E6161E"/>
    <w:rsid w:val="00E61907"/>
    <w:rsid w:val="00E61BD4"/>
    <w:rsid w:val="00E61DAC"/>
    <w:rsid w:val="00E62F3A"/>
    <w:rsid w:val="00E659EA"/>
    <w:rsid w:val="00E66954"/>
    <w:rsid w:val="00E67950"/>
    <w:rsid w:val="00E70038"/>
    <w:rsid w:val="00E70C16"/>
    <w:rsid w:val="00E71540"/>
    <w:rsid w:val="00E71986"/>
    <w:rsid w:val="00E73BBB"/>
    <w:rsid w:val="00E74837"/>
    <w:rsid w:val="00E75CD1"/>
    <w:rsid w:val="00E773DA"/>
    <w:rsid w:val="00E77F38"/>
    <w:rsid w:val="00E81607"/>
    <w:rsid w:val="00E82799"/>
    <w:rsid w:val="00E83AEB"/>
    <w:rsid w:val="00E83F4D"/>
    <w:rsid w:val="00E851F3"/>
    <w:rsid w:val="00E8530A"/>
    <w:rsid w:val="00E86346"/>
    <w:rsid w:val="00E91554"/>
    <w:rsid w:val="00E91F49"/>
    <w:rsid w:val="00E97E24"/>
    <w:rsid w:val="00EA09CA"/>
    <w:rsid w:val="00EA1360"/>
    <w:rsid w:val="00EA55AF"/>
    <w:rsid w:val="00EA77F3"/>
    <w:rsid w:val="00EB1172"/>
    <w:rsid w:val="00EB1606"/>
    <w:rsid w:val="00EB172E"/>
    <w:rsid w:val="00EB3B26"/>
    <w:rsid w:val="00EB49CF"/>
    <w:rsid w:val="00EC1DB9"/>
    <w:rsid w:val="00EC26E2"/>
    <w:rsid w:val="00EC5606"/>
    <w:rsid w:val="00EC7E74"/>
    <w:rsid w:val="00ED1F72"/>
    <w:rsid w:val="00ED58BB"/>
    <w:rsid w:val="00ED7425"/>
    <w:rsid w:val="00EE03D8"/>
    <w:rsid w:val="00EE0FA2"/>
    <w:rsid w:val="00EE3382"/>
    <w:rsid w:val="00EE4D45"/>
    <w:rsid w:val="00EE5E0C"/>
    <w:rsid w:val="00EE6009"/>
    <w:rsid w:val="00EE6B95"/>
    <w:rsid w:val="00EF0CD5"/>
    <w:rsid w:val="00EF24A3"/>
    <w:rsid w:val="00EF2D69"/>
    <w:rsid w:val="00EF3CF3"/>
    <w:rsid w:val="00EF4333"/>
    <w:rsid w:val="00EF6E9A"/>
    <w:rsid w:val="00EF7939"/>
    <w:rsid w:val="00F0100D"/>
    <w:rsid w:val="00F0328F"/>
    <w:rsid w:val="00F03384"/>
    <w:rsid w:val="00F05BC9"/>
    <w:rsid w:val="00F06B42"/>
    <w:rsid w:val="00F06DF6"/>
    <w:rsid w:val="00F125CB"/>
    <w:rsid w:val="00F14504"/>
    <w:rsid w:val="00F14B82"/>
    <w:rsid w:val="00F162ED"/>
    <w:rsid w:val="00F17AA9"/>
    <w:rsid w:val="00F22AB8"/>
    <w:rsid w:val="00F22CFC"/>
    <w:rsid w:val="00F23829"/>
    <w:rsid w:val="00F242FB"/>
    <w:rsid w:val="00F24952"/>
    <w:rsid w:val="00F275E8"/>
    <w:rsid w:val="00F325C7"/>
    <w:rsid w:val="00F32A46"/>
    <w:rsid w:val="00F330A4"/>
    <w:rsid w:val="00F33A05"/>
    <w:rsid w:val="00F35CFE"/>
    <w:rsid w:val="00F373A0"/>
    <w:rsid w:val="00F40BAC"/>
    <w:rsid w:val="00F412D8"/>
    <w:rsid w:val="00F417C3"/>
    <w:rsid w:val="00F41E3E"/>
    <w:rsid w:val="00F43A5C"/>
    <w:rsid w:val="00F50835"/>
    <w:rsid w:val="00F51943"/>
    <w:rsid w:val="00F522B9"/>
    <w:rsid w:val="00F53F2E"/>
    <w:rsid w:val="00F553A4"/>
    <w:rsid w:val="00F5589F"/>
    <w:rsid w:val="00F55F9F"/>
    <w:rsid w:val="00F56F14"/>
    <w:rsid w:val="00F602E4"/>
    <w:rsid w:val="00F618C8"/>
    <w:rsid w:val="00F6213D"/>
    <w:rsid w:val="00F62BB0"/>
    <w:rsid w:val="00F632E8"/>
    <w:rsid w:val="00F6415A"/>
    <w:rsid w:val="00F66C7A"/>
    <w:rsid w:val="00F67DE5"/>
    <w:rsid w:val="00F70030"/>
    <w:rsid w:val="00F70416"/>
    <w:rsid w:val="00F70BCF"/>
    <w:rsid w:val="00F71F68"/>
    <w:rsid w:val="00F73E67"/>
    <w:rsid w:val="00F7630E"/>
    <w:rsid w:val="00F81475"/>
    <w:rsid w:val="00F8228E"/>
    <w:rsid w:val="00F82422"/>
    <w:rsid w:val="00F84255"/>
    <w:rsid w:val="00F86139"/>
    <w:rsid w:val="00F86958"/>
    <w:rsid w:val="00F86CFD"/>
    <w:rsid w:val="00F90872"/>
    <w:rsid w:val="00F917B2"/>
    <w:rsid w:val="00F956E6"/>
    <w:rsid w:val="00F95FE8"/>
    <w:rsid w:val="00FA016E"/>
    <w:rsid w:val="00FA1F58"/>
    <w:rsid w:val="00FA3BD3"/>
    <w:rsid w:val="00FA465C"/>
    <w:rsid w:val="00FA4A63"/>
    <w:rsid w:val="00FB0A45"/>
    <w:rsid w:val="00FB1FC5"/>
    <w:rsid w:val="00FB32F3"/>
    <w:rsid w:val="00FC0DFF"/>
    <w:rsid w:val="00FC2AAC"/>
    <w:rsid w:val="00FC3D03"/>
    <w:rsid w:val="00FC4413"/>
    <w:rsid w:val="00FC61D7"/>
    <w:rsid w:val="00FD0758"/>
    <w:rsid w:val="00FD18F0"/>
    <w:rsid w:val="00FD1CA4"/>
    <w:rsid w:val="00FD23AB"/>
    <w:rsid w:val="00FD47AA"/>
    <w:rsid w:val="00FD605B"/>
    <w:rsid w:val="00FD7516"/>
    <w:rsid w:val="00FE1F21"/>
    <w:rsid w:val="00FE22B2"/>
    <w:rsid w:val="00FE5D47"/>
    <w:rsid w:val="00FE75C9"/>
    <w:rsid w:val="00FF3217"/>
    <w:rsid w:val="00FF4F63"/>
    <w:rsid w:val="00FF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B55"/>
    <w:pPr>
      <w:spacing w:after="0"/>
    </w:pPr>
    <w:rPr>
      <w:sz w:val="24"/>
      <w:szCs w:val="24"/>
    </w:rPr>
  </w:style>
  <w:style w:type="paragraph" w:styleId="Heading1">
    <w:name w:val="heading 1"/>
    <w:basedOn w:val="Normal"/>
    <w:next w:val="Normal"/>
    <w:link w:val="Heading1Char"/>
    <w:qFormat/>
    <w:rsid w:val="0023703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23703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rsid w:val="0023703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23703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23703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3703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37031"/>
    <w:pPr>
      <w:spacing w:before="240" w:after="60"/>
      <w:outlineLvl w:val="6"/>
    </w:pPr>
  </w:style>
  <w:style w:type="paragraph" w:styleId="Heading8">
    <w:name w:val="heading 8"/>
    <w:basedOn w:val="Normal"/>
    <w:next w:val="Normal"/>
    <w:link w:val="Heading8Char"/>
    <w:uiPriority w:val="9"/>
    <w:semiHidden/>
    <w:unhideWhenUsed/>
    <w:qFormat/>
    <w:rsid w:val="00237031"/>
    <w:pPr>
      <w:spacing w:before="240" w:after="60"/>
      <w:outlineLvl w:val="7"/>
    </w:pPr>
    <w:rPr>
      <w:i/>
      <w:iCs/>
    </w:rPr>
  </w:style>
  <w:style w:type="paragraph" w:styleId="Heading9">
    <w:name w:val="heading 9"/>
    <w:basedOn w:val="Normal"/>
    <w:next w:val="Normal"/>
    <w:link w:val="Heading9Char"/>
    <w:uiPriority w:val="9"/>
    <w:semiHidden/>
    <w:unhideWhenUsed/>
    <w:qFormat/>
    <w:rsid w:val="0023703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7031"/>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23703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237031"/>
    <w:rPr>
      <w:rFonts w:cstheme="majorBidi"/>
      <w:b/>
      <w:bCs/>
      <w:sz w:val="28"/>
      <w:szCs w:val="28"/>
    </w:rPr>
  </w:style>
  <w:style w:type="character" w:customStyle="1" w:styleId="Heading1Char">
    <w:name w:val="Heading 1 Char"/>
    <w:basedOn w:val="DefaultParagraphFont"/>
    <w:link w:val="Heading1"/>
    <w:rsid w:val="00237031"/>
    <w:rPr>
      <w:rFonts w:asciiTheme="majorHAnsi" w:eastAsiaTheme="majorEastAsia" w:hAnsiTheme="majorHAnsi"/>
      <w:b/>
      <w:bCs/>
      <w:kern w:val="32"/>
      <w:sz w:val="32"/>
      <w:szCs w:val="32"/>
    </w:rPr>
  </w:style>
  <w:style w:type="character" w:customStyle="1" w:styleId="Heading5Char">
    <w:name w:val="Heading 5 Char"/>
    <w:basedOn w:val="DefaultParagraphFont"/>
    <w:link w:val="Heading5"/>
    <w:uiPriority w:val="9"/>
    <w:semiHidden/>
    <w:rsid w:val="00237031"/>
    <w:rPr>
      <w:b/>
      <w:bCs/>
      <w:i/>
      <w:iCs/>
      <w:sz w:val="26"/>
      <w:szCs w:val="26"/>
    </w:rPr>
  </w:style>
  <w:style w:type="character" w:customStyle="1" w:styleId="Heading6Char">
    <w:name w:val="Heading 6 Char"/>
    <w:basedOn w:val="DefaultParagraphFont"/>
    <w:link w:val="Heading6"/>
    <w:uiPriority w:val="9"/>
    <w:semiHidden/>
    <w:rsid w:val="00237031"/>
    <w:rPr>
      <w:b/>
      <w:bCs/>
    </w:rPr>
  </w:style>
  <w:style w:type="character" w:customStyle="1" w:styleId="Heading7Char">
    <w:name w:val="Heading 7 Char"/>
    <w:basedOn w:val="DefaultParagraphFont"/>
    <w:link w:val="Heading7"/>
    <w:uiPriority w:val="9"/>
    <w:semiHidden/>
    <w:rsid w:val="00237031"/>
    <w:rPr>
      <w:sz w:val="24"/>
      <w:szCs w:val="24"/>
    </w:rPr>
  </w:style>
  <w:style w:type="character" w:customStyle="1" w:styleId="Heading8Char">
    <w:name w:val="Heading 8 Char"/>
    <w:basedOn w:val="DefaultParagraphFont"/>
    <w:link w:val="Heading8"/>
    <w:uiPriority w:val="9"/>
    <w:semiHidden/>
    <w:rsid w:val="00237031"/>
    <w:rPr>
      <w:i/>
      <w:iCs/>
      <w:sz w:val="24"/>
      <w:szCs w:val="24"/>
    </w:rPr>
  </w:style>
  <w:style w:type="character" w:customStyle="1" w:styleId="Heading9Char">
    <w:name w:val="Heading 9 Char"/>
    <w:basedOn w:val="DefaultParagraphFont"/>
    <w:link w:val="Heading9"/>
    <w:uiPriority w:val="9"/>
    <w:semiHidden/>
    <w:rsid w:val="00237031"/>
    <w:rPr>
      <w:rFonts w:asciiTheme="majorHAnsi" w:eastAsiaTheme="majorEastAsia" w:hAnsiTheme="majorHAnsi"/>
    </w:rPr>
  </w:style>
  <w:style w:type="paragraph" w:styleId="Title">
    <w:name w:val="Title"/>
    <w:basedOn w:val="Normal"/>
    <w:next w:val="Normal"/>
    <w:link w:val="TitleChar"/>
    <w:qFormat/>
    <w:rsid w:val="0023703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23703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3703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37031"/>
    <w:rPr>
      <w:rFonts w:asciiTheme="majorHAnsi" w:eastAsiaTheme="majorEastAsia" w:hAnsiTheme="majorHAnsi"/>
      <w:sz w:val="24"/>
      <w:szCs w:val="24"/>
    </w:rPr>
  </w:style>
  <w:style w:type="character" w:styleId="Strong">
    <w:name w:val="Strong"/>
    <w:basedOn w:val="DefaultParagraphFont"/>
    <w:uiPriority w:val="22"/>
    <w:qFormat/>
    <w:rsid w:val="00237031"/>
    <w:rPr>
      <w:b/>
      <w:bCs/>
    </w:rPr>
  </w:style>
  <w:style w:type="character" w:styleId="Emphasis">
    <w:name w:val="Emphasis"/>
    <w:basedOn w:val="DefaultParagraphFont"/>
    <w:uiPriority w:val="20"/>
    <w:qFormat/>
    <w:rsid w:val="00237031"/>
    <w:rPr>
      <w:rFonts w:asciiTheme="minorHAnsi" w:hAnsiTheme="minorHAnsi"/>
      <w:b/>
      <w:i/>
      <w:iCs/>
    </w:rPr>
  </w:style>
  <w:style w:type="paragraph" w:styleId="NoSpacing">
    <w:name w:val="No Spacing"/>
    <w:basedOn w:val="Normal"/>
    <w:uiPriority w:val="1"/>
    <w:qFormat/>
    <w:rsid w:val="00237031"/>
    <w:rPr>
      <w:szCs w:val="32"/>
    </w:rPr>
  </w:style>
  <w:style w:type="paragraph" w:styleId="ListParagraph">
    <w:name w:val="List Paragraph"/>
    <w:basedOn w:val="Normal"/>
    <w:uiPriority w:val="34"/>
    <w:qFormat/>
    <w:rsid w:val="00237031"/>
    <w:pPr>
      <w:ind w:left="720"/>
      <w:contextualSpacing/>
    </w:pPr>
  </w:style>
  <w:style w:type="paragraph" w:styleId="Quote">
    <w:name w:val="Quote"/>
    <w:basedOn w:val="Normal"/>
    <w:next w:val="Normal"/>
    <w:link w:val="QuoteChar"/>
    <w:uiPriority w:val="29"/>
    <w:qFormat/>
    <w:rsid w:val="00237031"/>
    <w:rPr>
      <w:i/>
    </w:rPr>
  </w:style>
  <w:style w:type="character" w:customStyle="1" w:styleId="QuoteChar">
    <w:name w:val="Quote Char"/>
    <w:basedOn w:val="DefaultParagraphFont"/>
    <w:link w:val="Quote"/>
    <w:uiPriority w:val="29"/>
    <w:rsid w:val="00237031"/>
    <w:rPr>
      <w:i/>
      <w:sz w:val="24"/>
      <w:szCs w:val="24"/>
    </w:rPr>
  </w:style>
  <w:style w:type="paragraph" w:styleId="IntenseQuote">
    <w:name w:val="Intense Quote"/>
    <w:basedOn w:val="Normal"/>
    <w:next w:val="Normal"/>
    <w:link w:val="IntenseQuoteChar"/>
    <w:uiPriority w:val="30"/>
    <w:qFormat/>
    <w:rsid w:val="00237031"/>
    <w:pPr>
      <w:ind w:left="720" w:right="720"/>
    </w:pPr>
    <w:rPr>
      <w:b/>
      <w:i/>
      <w:szCs w:val="22"/>
    </w:rPr>
  </w:style>
  <w:style w:type="character" w:customStyle="1" w:styleId="IntenseQuoteChar">
    <w:name w:val="Intense Quote Char"/>
    <w:basedOn w:val="DefaultParagraphFont"/>
    <w:link w:val="IntenseQuote"/>
    <w:uiPriority w:val="30"/>
    <w:rsid w:val="00237031"/>
    <w:rPr>
      <w:b/>
      <w:i/>
      <w:sz w:val="24"/>
    </w:rPr>
  </w:style>
  <w:style w:type="character" w:styleId="SubtleEmphasis">
    <w:name w:val="Subtle Emphasis"/>
    <w:uiPriority w:val="19"/>
    <w:qFormat/>
    <w:rsid w:val="00237031"/>
    <w:rPr>
      <w:i/>
      <w:color w:val="5A5A5A" w:themeColor="text1" w:themeTint="A5"/>
    </w:rPr>
  </w:style>
  <w:style w:type="character" w:styleId="IntenseEmphasis">
    <w:name w:val="Intense Emphasis"/>
    <w:basedOn w:val="DefaultParagraphFont"/>
    <w:uiPriority w:val="21"/>
    <w:qFormat/>
    <w:rsid w:val="00237031"/>
    <w:rPr>
      <w:b/>
      <w:i/>
      <w:sz w:val="24"/>
      <w:szCs w:val="24"/>
      <w:u w:val="single"/>
    </w:rPr>
  </w:style>
  <w:style w:type="character" w:styleId="SubtleReference">
    <w:name w:val="Subtle Reference"/>
    <w:basedOn w:val="DefaultParagraphFont"/>
    <w:uiPriority w:val="31"/>
    <w:qFormat/>
    <w:rsid w:val="00237031"/>
    <w:rPr>
      <w:sz w:val="24"/>
      <w:szCs w:val="24"/>
      <w:u w:val="single"/>
    </w:rPr>
  </w:style>
  <w:style w:type="character" w:styleId="IntenseReference">
    <w:name w:val="Intense Reference"/>
    <w:basedOn w:val="DefaultParagraphFont"/>
    <w:uiPriority w:val="32"/>
    <w:qFormat/>
    <w:rsid w:val="00237031"/>
    <w:rPr>
      <w:b/>
      <w:sz w:val="24"/>
      <w:u w:val="single"/>
    </w:rPr>
  </w:style>
  <w:style w:type="character" w:styleId="BookTitle">
    <w:name w:val="Book Title"/>
    <w:basedOn w:val="DefaultParagraphFont"/>
    <w:uiPriority w:val="33"/>
    <w:qFormat/>
    <w:rsid w:val="0023703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37031"/>
    <w:pPr>
      <w:outlineLvl w:val="9"/>
    </w:p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0A489A"/>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0A489A"/>
    <w:rPr>
      <w:sz w:val="20"/>
      <w:szCs w:val="20"/>
    </w:rPr>
  </w:style>
  <w:style w:type="character" w:styleId="FootnoteReference">
    <w:name w:val="footnote reference"/>
    <w:aliases w:val="o,fr"/>
    <w:basedOn w:val="DefaultParagraphFont"/>
    <w:uiPriority w:val="99"/>
    <w:unhideWhenUsed/>
    <w:rsid w:val="000A489A"/>
    <w:rPr>
      <w:vertAlign w:val="superscript"/>
    </w:rPr>
  </w:style>
  <w:style w:type="paragraph" w:styleId="BalloonText">
    <w:name w:val="Balloon Text"/>
    <w:basedOn w:val="Normal"/>
    <w:link w:val="BalloonTextChar"/>
    <w:unhideWhenUsed/>
    <w:rsid w:val="00C379B9"/>
    <w:rPr>
      <w:rFonts w:ascii="Tahoma" w:hAnsi="Tahoma" w:cs="Tahoma"/>
      <w:sz w:val="16"/>
      <w:szCs w:val="16"/>
    </w:rPr>
  </w:style>
  <w:style w:type="character" w:customStyle="1" w:styleId="BalloonTextChar">
    <w:name w:val="Balloon Text Char"/>
    <w:basedOn w:val="DefaultParagraphFont"/>
    <w:link w:val="BalloonText"/>
    <w:rsid w:val="00C379B9"/>
    <w:rPr>
      <w:rFonts w:ascii="Tahoma" w:hAnsi="Tahoma" w:cs="Tahoma"/>
      <w:sz w:val="16"/>
      <w:szCs w:val="16"/>
    </w:rPr>
  </w:style>
  <w:style w:type="paragraph" w:styleId="Header">
    <w:name w:val="header"/>
    <w:basedOn w:val="Normal"/>
    <w:link w:val="HeaderChar"/>
    <w:unhideWhenUsed/>
    <w:rsid w:val="000A5AF7"/>
    <w:pPr>
      <w:tabs>
        <w:tab w:val="center" w:pos="4680"/>
        <w:tab w:val="right" w:pos="9360"/>
      </w:tabs>
    </w:pPr>
  </w:style>
  <w:style w:type="character" w:customStyle="1" w:styleId="HeaderChar">
    <w:name w:val="Header Char"/>
    <w:basedOn w:val="DefaultParagraphFont"/>
    <w:link w:val="Header"/>
    <w:rsid w:val="000A5AF7"/>
    <w:rPr>
      <w:sz w:val="24"/>
      <w:szCs w:val="24"/>
    </w:rPr>
  </w:style>
  <w:style w:type="paragraph" w:styleId="Footer">
    <w:name w:val="footer"/>
    <w:basedOn w:val="Normal"/>
    <w:link w:val="FooterChar"/>
    <w:uiPriority w:val="99"/>
    <w:unhideWhenUsed/>
    <w:rsid w:val="000A5AF7"/>
    <w:pPr>
      <w:tabs>
        <w:tab w:val="center" w:pos="4680"/>
        <w:tab w:val="right" w:pos="9360"/>
      </w:tabs>
    </w:pPr>
  </w:style>
  <w:style w:type="character" w:customStyle="1" w:styleId="FooterChar">
    <w:name w:val="Footer Char"/>
    <w:basedOn w:val="DefaultParagraphFont"/>
    <w:link w:val="Footer"/>
    <w:uiPriority w:val="99"/>
    <w:rsid w:val="000A5AF7"/>
    <w:rPr>
      <w:sz w:val="24"/>
      <w:szCs w:val="24"/>
    </w:rPr>
  </w:style>
  <w:style w:type="paragraph" w:customStyle="1" w:styleId="p3">
    <w:name w:val="p3"/>
    <w:basedOn w:val="Normal"/>
    <w:rsid w:val="009D3EA0"/>
    <w:pPr>
      <w:widowControl w:val="0"/>
      <w:tabs>
        <w:tab w:val="left" w:pos="204"/>
      </w:tabs>
      <w:autoSpaceDE w:val="0"/>
      <w:autoSpaceDN w:val="0"/>
      <w:adjustRightInd w:val="0"/>
    </w:pPr>
    <w:rPr>
      <w:rFonts w:ascii="Times New Roman" w:eastAsia="Times New Roman" w:hAnsi="Times New Roman"/>
      <w:lang w:bidi="ar-SA"/>
    </w:rPr>
  </w:style>
  <w:style w:type="paragraph" w:customStyle="1" w:styleId="p14">
    <w:name w:val="p14"/>
    <w:basedOn w:val="Normal"/>
    <w:rsid w:val="009D3EA0"/>
    <w:pPr>
      <w:widowControl w:val="0"/>
      <w:tabs>
        <w:tab w:val="left" w:pos="204"/>
      </w:tabs>
      <w:autoSpaceDE w:val="0"/>
      <w:autoSpaceDN w:val="0"/>
      <w:adjustRightInd w:val="0"/>
    </w:pPr>
    <w:rPr>
      <w:rFonts w:ascii="Times New Roman" w:eastAsia="Times New Roman" w:hAnsi="Times New Roman"/>
      <w:lang w:bidi="ar-SA"/>
    </w:rPr>
  </w:style>
  <w:style w:type="paragraph" w:customStyle="1" w:styleId="p17">
    <w:name w:val="p17"/>
    <w:basedOn w:val="Normal"/>
    <w:rsid w:val="009D3EA0"/>
    <w:pPr>
      <w:widowControl w:val="0"/>
      <w:tabs>
        <w:tab w:val="left" w:pos="5057"/>
      </w:tabs>
      <w:autoSpaceDE w:val="0"/>
      <w:autoSpaceDN w:val="0"/>
      <w:adjustRightInd w:val="0"/>
      <w:ind w:left="3617"/>
    </w:pPr>
    <w:rPr>
      <w:rFonts w:ascii="Times New Roman" w:eastAsia="Times New Roman" w:hAnsi="Times New Roman"/>
      <w:lang w:bidi="ar-SA"/>
    </w:rPr>
  </w:style>
  <w:style w:type="paragraph" w:customStyle="1" w:styleId="p18">
    <w:name w:val="p18"/>
    <w:basedOn w:val="Normal"/>
    <w:rsid w:val="009D3EA0"/>
    <w:pPr>
      <w:widowControl w:val="0"/>
      <w:tabs>
        <w:tab w:val="left" w:pos="5062"/>
      </w:tabs>
      <w:autoSpaceDE w:val="0"/>
      <w:autoSpaceDN w:val="0"/>
      <w:adjustRightInd w:val="0"/>
      <w:ind w:left="3622"/>
    </w:pPr>
    <w:rPr>
      <w:rFonts w:ascii="Times New Roman" w:eastAsia="Times New Roman" w:hAnsi="Times New Roman"/>
      <w:lang w:bidi="ar-SA"/>
    </w:rPr>
  </w:style>
  <w:style w:type="character" w:styleId="Hyperlink">
    <w:name w:val="Hyperlink"/>
    <w:uiPriority w:val="99"/>
    <w:rsid w:val="009D3EA0"/>
    <w:rPr>
      <w:color w:val="0000FF"/>
      <w:u w:val="single"/>
    </w:rPr>
  </w:style>
  <w:style w:type="paragraph" w:styleId="BodyText">
    <w:name w:val="Body Text"/>
    <w:basedOn w:val="Normal"/>
    <w:link w:val="BodyTextChar"/>
    <w:rsid w:val="009D3EA0"/>
    <w:rPr>
      <w:rFonts w:ascii="Times New Roman" w:eastAsia="Times New Roman" w:hAnsi="Times New Roman"/>
      <w:sz w:val="26"/>
      <w:szCs w:val="20"/>
      <w:lang w:bidi="ar-SA"/>
    </w:rPr>
  </w:style>
  <w:style w:type="character" w:customStyle="1" w:styleId="BodyTextChar">
    <w:name w:val="Body Text Char"/>
    <w:basedOn w:val="DefaultParagraphFont"/>
    <w:link w:val="BodyText"/>
    <w:rsid w:val="009D3EA0"/>
    <w:rPr>
      <w:rFonts w:ascii="Times New Roman" w:eastAsia="Times New Roman" w:hAnsi="Times New Roman"/>
      <w:sz w:val="26"/>
      <w:szCs w:val="20"/>
      <w:lang w:bidi="ar-SA"/>
    </w:rPr>
  </w:style>
  <w:style w:type="paragraph" w:styleId="NormalWeb">
    <w:name w:val="Normal (Web)"/>
    <w:basedOn w:val="Normal"/>
    <w:uiPriority w:val="99"/>
    <w:unhideWhenUsed/>
    <w:rsid w:val="009D3EA0"/>
    <w:pPr>
      <w:spacing w:before="100" w:beforeAutospacing="1" w:after="100" w:afterAutospacing="1"/>
    </w:pPr>
    <w:rPr>
      <w:rFonts w:ascii="Times New Roman" w:eastAsia="Times New Roman" w:hAnsi="Times New Roman"/>
      <w:lang w:bidi="ar-SA"/>
    </w:rPr>
  </w:style>
  <w:style w:type="paragraph" w:styleId="EndnoteText">
    <w:name w:val="endnote text"/>
    <w:basedOn w:val="Normal"/>
    <w:link w:val="EndnoteTextChar"/>
    <w:rsid w:val="009D3EA0"/>
    <w:rPr>
      <w:rFonts w:ascii="Courier New" w:eastAsia="Times New Roman" w:hAnsi="Courier New"/>
      <w:sz w:val="20"/>
      <w:szCs w:val="20"/>
      <w:lang w:bidi="ar-SA"/>
    </w:rPr>
  </w:style>
  <w:style w:type="character" w:customStyle="1" w:styleId="EndnoteTextChar">
    <w:name w:val="Endnote Text Char"/>
    <w:basedOn w:val="DefaultParagraphFont"/>
    <w:link w:val="EndnoteText"/>
    <w:rsid w:val="009D3EA0"/>
    <w:rPr>
      <w:rFonts w:ascii="Courier New" w:eastAsia="Times New Roman" w:hAnsi="Courier New"/>
      <w:sz w:val="20"/>
      <w:szCs w:val="20"/>
      <w:lang w:bidi="ar-SA"/>
    </w:rPr>
  </w:style>
  <w:style w:type="character" w:styleId="EndnoteReference">
    <w:name w:val="endnote reference"/>
    <w:rsid w:val="009D3EA0"/>
    <w:rPr>
      <w:vertAlign w:val="superscript"/>
    </w:rPr>
  </w:style>
  <w:style w:type="character" w:styleId="CommentReference">
    <w:name w:val="annotation reference"/>
    <w:uiPriority w:val="99"/>
    <w:rsid w:val="009D3EA0"/>
    <w:rPr>
      <w:sz w:val="16"/>
      <w:szCs w:val="16"/>
    </w:rPr>
  </w:style>
  <w:style w:type="paragraph" w:styleId="CommentText">
    <w:name w:val="annotation text"/>
    <w:basedOn w:val="Normal"/>
    <w:link w:val="CommentTextChar"/>
    <w:uiPriority w:val="99"/>
    <w:rsid w:val="003D0B55"/>
    <w:rPr>
      <w:rFonts w:ascii="Palatino Linotype" w:eastAsia="Times New Roman" w:hAnsi="Palatino Linotype"/>
      <w:sz w:val="22"/>
      <w:szCs w:val="20"/>
      <w:lang w:bidi="ar-SA"/>
    </w:rPr>
  </w:style>
  <w:style w:type="character" w:customStyle="1" w:styleId="CommentTextChar">
    <w:name w:val="Comment Text Char"/>
    <w:basedOn w:val="DefaultParagraphFont"/>
    <w:link w:val="CommentText"/>
    <w:uiPriority w:val="99"/>
    <w:rsid w:val="003D0B55"/>
    <w:rPr>
      <w:rFonts w:ascii="Palatino Linotype" w:eastAsia="Times New Roman" w:hAnsi="Palatino Linotype"/>
      <w:szCs w:val="20"/>
      <w:lang w:bidi="ar-SA"/>
    </w:rPr>
  </w:style>
  <w:style w:type="paragraph" w:styleId="CommentSubject">
    <w:name w:val="annotation subject"/>
    <w:basedOn w:val="CommentText"/>
    <w:next w:val="CommentText"/>
    <w:link w:val="CommentSubjectChar"/>
    <w:rsid w:val="009D3EA0"/>
    <w:rPr>
      <w:b/>
      <w:bCs/>
    </w:rPr>
  </w:style>
  <w:style w:type="character" w:customStyle="1" w:styleId="CommentSubjectChar">
    <w:name w:val="Comment Subject Char"/>
    <w:basedOn w:val="CommentTextChar"/>
    <w:link w:val="CommentSubject"/>
    <w:rsid w:val="009D3EA0"/>
    <w:rPr>
      <w:rFonts w:ascii="Courier New" w:eastAsia="Times New Roman" w:hAnsi="Courier New"/>
      <w:b/>
      <w:bCs/>
      <w:sz w:val="20"/>
      <w:szCs w:val="20"/>
      <w:lang w:bidi="ar-SA"/>
    </w:rPr>
  </w:style>
  <w:style w:type="paragraph" w:styleId="PlainText">
    <w:name w:val="Plain Text"/>
    <w:basedOn w:val="Normal"/>
    <w:link w:val="PlainTextChar"/>
    <w:uiPriority w:val="99"/>
    <w:unhideWhenUsed/>
    <w:rsid w:val="009D3EA0"/>
    <w:rPr>
      <w:rFonts w:ascii="Consolas" w:eastAsia="Calibri" w:hAnsi="Consolas"/>
      <w:sz w:val="21"/>
      <w:szCs w:val="21"/>
      <w:lang w:bidi="ar-SA"/>
    </w:rPr>
  </w:style>
  <w:style w:type="character" w:customStyle="1" w:styleId="PlainTextChar">
    <w:name w:val="Plain Text Char"/>
    <w:basedOn w:val="DefaultParagraphFont"/>
    <w:link w:val="PlainText"/>
    <w:uiPriority w:val="99"/>
    <w:rsid w:val="009D3EA0"/>
    <w:rPr>
      <w:rFonts w:ascii="Consolas" w:eastAsia="Calibri" w:hAnsi="Consolas"/>
      <w:sz w:val="21"/>
      <w:szCs w:val="21"/>
      <w:lang w:bidi="ar-SA"/>
    </w:rPr>
  </w:style>
  <w:style w:type="table" w:styleId="TableGrid">
    <w:name w:val="Table Grid"/>
    <w:basedOn w:val="TableNormal"/>
    <w:uiPriority w:val="59"/>
    <w:rsid w:val="009D3EA0"/>
    <w:pPr>
      <w:spacing w:after="0"/>
    </w:pPr>
    <w:rPr>
      <w:rFonts w:ascii="Times New Roman" w:eastAsia="Times New Roma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D3EA0"/>
    <w:rPr>
      <w:color w:val="800080"/>
      <w:u w:val="single"/>
    </w:rPr>
  </w:style>
  <w:style w:type="paragraph" w:styleId="Revision">
    <w:name w:val="Revision"/>
    <w:hidden/>
    <w:uiPriority w:val="99"/>
    <w:semiHidden/>
    <w:rsid w:val="009D3EA0"/>
    <w:pPr>
      <w:spacing w:after="0"/>
    </w:pPr>
    <w:rPr>
      <w:rFonts w:ascii="Times New Roman" w:eastAsia="Times New Roman" w:hAnsi="Times New Roman"/>
      <w:sz w:val="24"/>
      <w:szCs w:val="24"/>
      <w:lang w:bidi="ar-SA"/>
    </w:rPr>
  </w:style>
  <w:style w:type="paragraph" w:customStyle="1" w:styleId="StyleCentered">
    <w:name w:val="Style Centered"/>
    <w:basedOn w:val="Normal"/>
    <w:rsid w:val="00E91F49"/>
    <w:pPr>
      <w:overflowPunct w:val="0"/>
      <w:autoSpaceDE w:val="0"/>
      <w:autoSpaceDN w:val="0"/>
      <w:adjustRightInd w:val="0"/>
      <w:jc w:val="center"/>
      <w:textAlignment w:val="baseline"/>
    </w:pPr>
    <w:rPr>
      <w:rFonts w:ascii="Times New Roman" w:eastAsia="Times New Roman" w:hAnsi="Times New Roman"/>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B55"/>
    <w:pPr>
      <w:spacing w:after="0"/>
    </w:pPr>
    <w:rPr>
      <w:sz w:val="24"/>
      <w:szCs w:val="24"/>
    </w:rPr>
  </w:style>
  <w:style w:type="paragraph" w:styleId="Heading1">
    <w:name w:val="heading 1"/>
    <w:basedOn w:val="Normal"/>
    <w:next w:val="Normal"/>
    <w:link w:val="Heading1Char"/>
    <w:qFormat/>
    <w:rsid w:val="0023703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23703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rsid w:val="0023703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23703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23703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3703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37031"/>
    <w:pPr>
      <w:spacing w:before="240" w:after="60"/>
      <w:outlineLvl w:val="6"/>
    </w:pPr>
  </w:style>
  <w:style w:type="paragraph" w:styleId="Heading8">
    <w:name w:val="heading 8"/>
    <w:basedOn w:val="Normal"/>
    <w:next w:val="Normal"/>
    <w:link w:val="Heading8Char"/>
    <w:uiPriority w:val="9"/>
    <w:semiHidden/>
    <w:unhideWhenUsed/>
    <w:qFormat/>
    <w:rsid w:val="00237031"/>
    <w:pPr>
      <w:spacing w:before="240" w:after="60"/>
      <w:outlineLvl w:val="7"/>
    </w:pPr>
    <w:rPr>
      <w:i/>
      <w:iCs/>
    </w:rPr>
  </w:style>
  <w:style w:type="paragraph" w:styleId="Heading9">
    <w:name w:val="heading 9"/>
    <w:basedOn w:val="Normal"/>
    <w:next w:val="Normal"/>
    <w:link w:val="Heading9Char"/>
    <w:uiPriority w:val="9"/>
    <w:semiHidden/>
    <w:unhideWhenUsed/>
    <w:qFormat/>
    <w:rsid w:val="0023703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7031"/>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23703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237031"/>
    <w:rPr>
      <w:rFonts w:cstheme="majorBidi"/>
      <w:b/>
      <w:bCs/>
      <w:sz w:val="28"/>
      <w:szCs w:val="28"/>
    </w:rPr>
  </w:style>
  <w:style w:type="character" w:customStyle="1" w:styleId="Heading1Char">
    <w:name w:val="Heading 1 Char"/>
    <w:basedOn w:val="DefaultParagraphFont"/>
    <w:link w:val="Heading1"/>
    <w:rsid w:val="00237031"/>
    <w:rPr>
      <w:rFonts w:asciiTheme="majorHAnsi" w:eastAsiaTheme="majorEastAsia" w:hAnsiTheme="majorHAnsi"/>
      <w:b/>
      <w:bCs/>
      <w:kern w:val="32"/>
      <w:sz w:val="32"/>
      <w:szCs w:val="32"/>
    </w:rPr>
  </w:style>
  <w:style w:type="character" w:customStyle="1" w:styleId="Heading5Char">
    <w:name w:val="Heading 5 Char"/>
    <w:basedOn w:val="DefaultParagraphFont"/>
    <w:link w:val="Heading5"/>
    <w:uiPriority w:val="9"/>
    <w:semiHidden/>
    <w:rsid w:val="00237031"/>
    <w:rPr>
      <w:b/>
      <w:bCs/>
      <w:i/>
      <w:iCs/>
      <w:sz w:val="26"/>
      <w:szCs w:val="26"/>
    </w:rPr>
  </w:style>
  <w:style w:type="character" w:customStyle="1" w:styleId="Heading6Char">
    <w:name w:val="Heading 6 Char"/>
    <w:basedOn w:val="DefaultParagraphFont"/>
    <w:link w:val="Heading6"/>
    <w:uiPriority w:val="9"/>
    <w:semiHidden/>
    <w:rsid w:val="00237031"/>
    <w:rPr>
      <w:b/>
      <w:bCs/>
    </w:rPr>
  </w:style>
  <w:style w:type="character" w:customStyle="1" w:styleId="Heading7Char">
    <w:name w:val="Heading 7 Char"/>
    <w:basedOn w:val="DefaultParagraphFont"/>
    <w:link w:val="Heading7"/>
    <w:uiPriority w:val="9"/>
    <w:semiHidden/>
    <w:rsid w:val="00237031"/>
    <w:rPr>
      <w:sz w:val="24"/>
      <w:szCs w:val="24"/>
    </w:rPr>
  </w:style>
  <w:style w:type="character" w:customStyle="1" w:styleId="Heading8Char">
    <w:name w:val="Heading 8 Char"/>
    <w:basedOn w:val="DefaultParagraphFont"/>
    <w:link w:val="Heading8"/>
    <w:uiPriority w:val="9"/>
    <w:semiHidden/>
    <w:rsid w:val="00237031"/>
    <w:rPr>
      <w:i/>
      <w:iCs/>
      <w:sz w:val="24"/>
      <w:szCs w:val="24"/>
    </w:rPr>
  </w:style>
  <w:style w:type="character" w:customStyle="1" w:styleId="Heading9Char">
    <w:name w:val="Heading 9 Char"/>
    <w:basedOn w:val="DefaultParagraphFont"/>
    <w:link w:val="Heading9"/>
    <w:uiPriority w:val="9"/>
    <w:semiHidden/>
    <w:rsid w:val="00237031"/>
    <w:rPr>
      <w:rFonts w:asciiTheme="majorHAnsi" w:eastAsiaTheme="majorEastAsia" w:hAnsiTheme="majorHAnsi"/>
    </w:rPr>
  </w:style>
  <w:style w:type="paragraph" w:styleId="Title">
    <w:name w:val="Title"/>
    <w:basedOn w:val="Normal"/>
    <w:next w:val="Normal"/>
    <w:link w:val="TitleChar"/>
    <w:qFormat/>
    <w:rsid w:val="0023703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23703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3703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37031"/>
    <w:rPr>
      <w:rFonts w:asciiTheme="majorHAnsi" w:eastAsiaTheme="majorEastAsia" w:hAnsiTheme="majorHAnsi"/>
      <w:sz w:val="24"/>
      <w:szCs w:val="24"/>
    </w:rPr>
  </w:style>
  <w:style w:type="character" w:styleId="Strong">
    <w:name w:val="Strong"/>
    <w:basedOn w:val="DefaultParagraphFont"/>
    <w:uiPriority w:val="22"/>
    <w:qFormat/>
    <w:rsid w:val="00237031"/>
    <w:rPr>
      <w:b/>
      <w:bCs/>
    </w:rPr>
  </w:style>
  <w:style w:type="character" w:styleId="Emphasis">
    <w:name w:val="Emphasis"/>
    <w:basedOn w:val="DefaultParagraphFont"/>
    <w:uiPriority w:val="20"/>
    <w:qFormat/>
    <w:rsid w:val="00237031"/>
    <w:rPr>
      <w:rFonts w:asciiTheme="minorHAnsi" w:hAnsiTheme="minorHAnsi"/>
      <w:b/>
      <w:i/>
      <w:iCs/>
    </w:rPr>
  </w:style>
  <w:style w:type="paragraph" w:styleId="NoSpacing">
    <w:name w:val="No Spacing"/>
    <w:basedOn w:val="Normal"/>
    <w:uiPriority w:val="1"/>
    <w:qFormat/>
    <w:rsid w:val="00237031"/>
    <w:rPr>
      <w:szCs w:val="32"/>
    </w:rPr>
  </w:style>
  <w:style w:type="paragraph" w:styleId="ListParagraph">
    <w:name w:val="List Paragraph"/>
    <w:basedOn w:val="Normal"/>
    <w:uiPriority w:val="34"/>
    <w:qFormat/>
    <w:rsid w:val="00237031"/>
    <w:pPr>
      <w:ind w:left="720"/>
      <w:contextualSpacing/>
    </w:pPr>
  </w:style>
  <w:style w:type="paragraph" w:styleId="Quote">
    <w:name w:val="Quote"/>
    <w:basedOn w:val="Normal"/>
    <w:next w:val="Normal"/>
    <w:link w:val="QuoteChar"/>
    <w:uiPriority w:val="29"/>
    <w:qFormat/>
    <w:rsid w:val="00237031"/>
    <w:rPr>
      <w:i/>
    </w:rPr>
  </w:style>
  <w:style w:type="character" w:customStyle="1" w:styleId="QuoteChar">
    <w:name w:val="Quote Char"/>
    <w:basedOn w:val="DefaultParagraphFont"/>
    <w:link w:val="Quote"/>
    <w:uiPriority w:val="29"/>
    <w:rsid w:val="00237031"/>
    <w:rPr>
      <w:i/>
      <w:sz w:val="24"/>
      <w:szCs w:val="24"/>
    </w:rPr>
  </w:style>
  <w:style w:type="paragraph" w:styleId="IntenseQuote">
    <w:name w:val="Intense Quote"/>
    <w:basedOn w:val="Normal"/>
    <w:next w:val="Normal"/>
    <w:link w:val="IntenseQuoteChar"/>
    <w:uiPriority w:val="30"/>
    <w:qFormat/>
    <w:rsid w:val="00237031"/>
    <w:pPr>
      <w:ind w:left="720" w:right="720"/>
    </w:pPr>
    <w:rPr>
      <w:b/>
      <w:i/>
      <w:szCs w:val="22"/>
    </w:rPr>
  </w:style>
  <w:style w:type="character" w:customStyle="1" w:styleId="IntenseQuoteChar">
    <w:name w:val="Intense Quote Char"/>
    <w:basedOn w:val="DefaultParagraphFont"/>
    <w:link w:val="IntenseQuote"/>
    <w:uiPriority w:val="30"/>
    <w:rsid w:val="00237031"/>
    <w:rPr>
      <w:b/>
      <w:i/>
      <w:sz w:val="24"/>
    </w:rPr>
  </w:style>
  <w:style w:type="character" w:styleId="SubtleEmphasis">
    <w:name w:val="Subtle Emphasis"/>
    <w:uiPriority w:val="19"/>
    <w:qFormat/>
    <w:rsid w:val="00237031"/>
    <w:rPr>
      <w:i/>
      <w:color w:val="5A5A5A" w:themeColor="text1" w:themeTint="A5"/>
    </w:rPr>
  </w:style>
  <w:style w:type="character" w:styleId="IntenseEmphasis">
    <w:name w:val="Intense Emphasis"/>
    <w:basedOn w:val="DefaultParagraphFont"/>
    <w:uiPriority w:val="21"/>
    <w:qFormat/>
    <w:rsid w:val="00237031"/>
    <w:rPr>
      <w:b/>
      <w:i/>
      <w:sz w:val="24"/>
      <w:szCs w:val="24"/>
      <w:u w:val="single"/>
    </w:rPr>
  </w:style>
  <w:style w:type="character" w:styleId="SubtleReference">
    <w:name w:val="Subtle Reference"/>
    <w:basedOn w:val="DefaultParagraphFont"/>
    <w:uiPriority w:val="31"/>
    <w:qFormat/>
    <w:rsid w:val="00237031"/>
    <w:rPr>
      <w:sz w:val="24"/>
      <w:szCs w:val="24"/>
      <w:u w:val="single"/>
    </w:rPr>
  </w:style>
  <w:style w:type="character" w:styleId="IntenseReference">
    <w:name w:val="Intense Reference"/>
    <w:basedOn w:val="DefaultParagraphFont"/>
    <w:uiPriority w:val="32"/>
    <w:qFormat/>
    <w:rsid w:val="00237031"/>
    <w:rPr>
      <w:b/>
      <w:sz w:val="24"/>
      <w:u w:val="single"/>
    </w:rPr>
  </w:style>
  <w:style w:type="character" w:styleId="BookTitle">
    <w:name w:val="Book Title"/>
    <w:basedOn w:val="DefaultParagraphFont"/>
    <w:uiPriority w:val="33"/>
    <w:qFormat/>
    <w:rsid w:val="0023703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37031"/>
    <w:pPr>
      <w:outlineLvl w:val="9"/>
    </w:p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0A489A"/>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0A489A"/>
    <w:rPr>
      <w:sz w:val="20"/>
      <w:szCs w:val="20"/>
    </w:rPr>
  </w:style>
  <w:style w:type="character" w:styleId="FootnoteReference">
    <w:name w:val="footnote reference"/>
    <w:aliases w:val="o,fr"/>
    <w:basedOn w:val="DefaultParagraphFont"/>
    <w:uiPriority w:val="99"/>
    <w:unhideWhenUsed/>
    <w:rsid w:val="000A489A"/>
    <w:rPr>
      <w:vertAlign w:val="superscript"/>
    </w:rPr>
  </w:style>
  <w:style w:type="paragraph" w:styleId="BalloonText">
    <w:name w:val="Balloon Text"/>
    <w:basedOn w:val="Normal"/>
    <w:link w:val="BalloonTextChar"/>
    <w:unhideWhenUsed/>
    <w:rsid w:val="00C379B9"/>
    <w:rPr>
      <w:rFonts w:ascii="Tahoma" w:hAnsi="Tahoma" w:cs="Tahoma"/>
      <w:sz w:val="16"/>
      <w:szCs w:val="16"/>
    </w:rPr>
  </w:style>
  <w:style w:type="character" w:customStyle="1" w:styleId="BalloonTextChar">
    <w:name w:val="Balloon Text Char"/>
    <w:basedOn w:val="DefaultParagraphFont"/>
    <w:link w:val="BalloonText"/>
    <w:rsid w:val="00C379B9"/>
    <w:rPr>
      <w:rFonts w:ascii="Tahoma" w:hAnsi="Tahoma" w:cs="Tahoma"/>
      <w:sz w:val="16"/>
      <w:szCs w:val="16"/>
    </w:rPr>
  </w:style>
  <w:style w:type="paragraph" w:styleId="Header">
    <w:name w:val="header"/>
    <w:basedOn w:val="Normal"/>
    <w:link w:val="HeaderChar"/>
    <w:unhideWhenUsed/>
    <w:rsid w:val="000A5AF7"/>
    <w:pPr>
      <w:tabs>
        <w:tab w:val="center" w:pos="4680"/>
        <w:tab w:val="right" w:pos="9360"/>
      </w:tabs>
    </w:pPr>
  </w:style>
  <w:style w:type="character" w:customStyle="1" w:styleId="HeaderChar">
    <w:name w:val="Header Char"/>
    <w:basedOn w:val="DefaultParagraphFont"/>
    <w:link w:val="Header"/>
    <w:rsid w:val="000A5AF7"/>
    <w:rPr>
      <w:sz w:val="24"/>
      <w:szCs w:val="24"/>
    </w:rPr>
  </w:style>
  <w:style w:type="paragraph" w:styleId="Footer">
    <w:name w:val="footer"/>
    <w:basedOn w:val="Normal"/>
    <w:link w:val="FooterChar"/>
    <w:uiPriority w:val="99"/>
    <w:unhideWhenUsed/>
    <w:rsid w:val="000A5AF7"/>
    <w:pPr>
      <w:tabs>
        <w:tab w:val="center" w:pos="4680"/>
        <w:tab w:val="right" w:pos="9360"/>
      </w:tabs>
    </w:pPr>
  </w:style>
  <w:style w:type="character" w:customStyle="1" w:styleId="FooterChar">
    <w:name w:val="Footer Char"/>
    <w:basedOn w:val="DefaultParagraphFont"/>
    <w:link w:val="Footer"/>
    <w:uiPriority w:val="99"/>
    <w:rsid w:val="000A5AF7"/>
    <w:rPr>
      <w:sz w:val="24"/>
      <w:szCs w:val="24"/>
    </w:rPr>
  </w:style>
  <w:style w:type="paragraph" w:customStyle="1" w:styleId="p3">
    <w:name w:val="p3"/>
    <w:basedOn w:val="Normal"/>
    <w:rsid w:val="009D3EA0"/>
    <w:pPr>
      <w:widowControl w:val="0"/>
      <w:tabs>
        <w:tab w:val="left" w:pos="204"/>
      </w:tabs>
      <w:autoSpaceDE w:val="0"/>
      <w:autoSpaceDN w:val="0"/>
      <w:adjustRightInd w:val="0"/>
    </w:pPr>
    <w:rPr>
      <w:rFonts w:ascii="Times New Roman" w:eastAsia="Times New Roman" w:hAnsi="Times New Roman"/>
      <w:lang w:bidi="ar-SA"/>
    </w:rPr>
  </w:style>
  <w:style w:type="paragraph" w:customStyle="1" w:styleId="p14">
    <w:name w:val="p14"/>
    <w:basedOn w:val="Normal"/>
    <w:rsid w:val="009D3EA0"/>
    <w:pPr>
      <w:widowControl w:val="0"/>
      <w:tabs>
        <w:tab w:val="left" w:pos="204"/>
      </w:tabs>
      <w:autoSpaceDE w:val="0"/>
      <w:autoSpaceDN w:val="0"/>
      <w:adjustRightInd w:val="0"/>
    </w:pPr>
    <w:rPr>
      <w:rFonts w:ascii="Times New Roman" w:eastAsia="Times New Roman" w:hAnsi="Times New Roman"/>
      <w:lang w:bidi="ar-SA"/>
    </w:rPr>
  </w:style>
  <w:style w:type="paragraph" w:customStyle="1" w:styleId="p17">
    <w:name w:val="p17"/>
    <w:basedOn w:val="Normal"/>
    <w:rsid w:val="009D3EA0"/>
    <w:pPr>
      <w:widowControl w:val="0"/>
      <w:tabs>
        <w:tab w:val="left" w:pos="5057"/>
      </w:tabs>
      <w:autoSpaceDE w:val="0"/>
      <w:autoSpaceDN w:val="0"/>
      <w:adjustRightInd w:val="0"/>
      <w:ind w:left="3617"/>
    </w:pPr>
    <w:rPr>
      <w:rFonts w:ascii="Times New Roman" w:eastAsia="Times New Roman" w:hAnsi="Times New Roman"/>
      <w:lang w:bidi="ar-SA"/>
    </w:rPr>
  </w:style>
  <w:style w:type="paragraph" w:customStyle="1" w:styleId="p18">
    <w:name w:val="p18"/>
    <w:basedOn w:val="Normal"/>
    <w:rsid w:val="009D3EA0"/>
    <w:pPr>
      <w:widowControl w:val="0"/>
      <w:tabs>
        <w:tab w:val="left" w:pos="5062"/>
      </w:tabs>
      <w:autoSpaceDE w:val="0"/>
      <w:autoSpaceDN w:val="0"/>
      <w:adjustRightInd w:val="0"/>
      <w:ind w:left="3622"/>
    </w:pPr>
    <w:rPr>
      <w:rFonts w:ascii="Times New Roman" w:eastAsia="Times New Roman" w:hAnsi="Times New Roman"/>
      <w:lang w:bidi="ar-SA"/>
    </w:rPr>
  </w:style>
  <w:style w:type="character" w:styleId="Hyperlink">
    <w:name w:val="Hyperlink"/>
    <w:uiPriority w:val="99"/>
    <w:rsid w:val="009D3EA0"/>
    <w:rPr>
      <w:color w:val="0000FF"/>
      <w:u w:val="single"/>
    </w:rPr>
  </w:style>
  <w:style w:type="paragraph" w:styleId="BodyText">
    <w:name w:val="Body Text"/>
    <w:basedOn w:val="Normal"/>
    <w:link w:val="BodyTextChar"/>
    <w:rsid w:val="009D3EA0"/>
    <w:rPr>
      <w:rFonts w:ascii="Times New Roman" w:eastAsia="Times New Roman" w:hAnsi="Times New Roman"/>
      <w:sz w:val="26"/>
      <w:szCs w:val="20"/>
      <w:lang w:bidi="ar-SA"/>
    </w:rPr>
  </w:style>
  <w:style w:type="character" w:customStyle="1" w:styleId="BodyTextChar">
    <w:name w:val="Body Text Char"/>
    <w:basedOn w:val="DefaultParagraphFont"/>
    <w:link w:val="BodyText"/>
    <w:rsid w:val="009D3EA0"/>
    <w:rPr>
      <w:rFonts w:ascii="Times New Roman" w:eastAsia="Times New Roman" w:hAnsi="Times New Roman"/>
      <w:sz w:val="26"/>
      <w:szCs w:val="20"/>
      <w:lang w:bidi="ar-SA"/>
    </w:rPr>
  </w:style>
  <w:style w:type="paragraph" w:styleId="NormalWeb">
    <w:name w:val="Normal (Web)"/>
    <w:basedOn w:val="Normal"/>
    <w:uiPriority w:val="99"/>
    <w:unhideWhenUsed/>
    <w:rsid w:val="009D3EA0"/>
    <w:pPr>
      <w:spacing w:before="100" w:beforeAutospacing="1" w:after="100" w:afterAutospacing="1"/>
    </w:pPr>
    <w:rPr>
      <w:rFonts w:ascii="Times New Roman" w:eastAsia="Times New Roman" w:hAnsi="Times New Roman"/>
      <w:lang w:bidi="ar-SA"/>
    </w:rPr>
  </w:style>
  <w:style w:type="paragraph" w:styleId="EndnoteText">
    <w:name w:val="endnote text"/>
    <w:basedOn w:val="Normal"/>
    <w:link w:val="EndnoteTextChar"/>
    <w:rsid w:val="009D3EA0"/>
    <w:rPr>
      <w:rFonts w:ascii="Courier New" w:eastAsia="Times New Roman" w:hAnsi="Courier New"/>
      <w:sz w:val="20"/>
      <w:szCs w:val="20"/>
      <w:lang w:bidi="ar-SA"/>
    </w:rPr>
  </w:style>
  <w:style w:type="character" w:customStyle="1" w:styleId="EndnoteTextChar">
    <w:name w:val="Endnote Text Char"/>
    <w:basedOn w:val="DefaultParagraphFont"/>
    <w:link w:val="EndnoteText"/>
    <w:rsid w:val="009D3EA0"/>
    <w:rPr>
      <w:rFonts w:ascii="Courier New" w:eastAsia="Times New Roman" w:hAnsi="Courier New"/>
      <w:sz w:val="20"/>
      <w:szCs w:val="20"/>
      <w:lang w:bidi="ar-SA"/>
    </w:rPr>
  </w:style>
  <w:style w:type="character" w:styleId="EndnoteReference">
    <w:name w:val="endnote reference"/>
    <w:rsid w:val="009D3EA0"/>
    <w:rPr>
      <w:vertAlign w:val="superscript"/>
    </w:rPr>
  </w:style>
  <w:style w:type="character" w:styleId="CommentReference">
    <w:name w:val="annotation reference"/>
    <w:uiPriority w:val="99"/>
    <w:rsid w:val="009D3EA0"/>
    <w:rPr>
      <w:sz w:val="16"/>
      <w:szCs w:val="16"/>
    </w:rPr>
  </w:style>
  <w:style w:type="paragraph" w:styleId="CommentText">
    <w:name w:val="annotation text"/>
    <w:basedOn w:val="Normal"/>
    <w:link w:val="CommentTextChar"/>
    <w:uiPriority w:val="99"/>
    <w:rsid w:val="003D0B55"/>
    <w:rPr>
      <w:rFonts w:ascii="Palatino Linotype" w:eastAsia="Times New Roman" w:hAnsi="Palatino Linotype"/>
      <w:sz w:val="22"/>
      <w:szCs w:val="20"/>
      <w:lang w:bidi="ar-SA"/>
    </w:rPr>
  </w:style>
  <w:style w:type="character" w:customStyle="1" w:styleId="CommentTextChar">
    <w:name w:val="Comment Text Char"/>
    <w:basedOn w:val="DefaultParagraphFont"/>
    <w:link w:val="CommentText"/>
    <w:uiPriority w:val="99"/>
    <w:rsid w:val="003D0B55"/>
    <w:rPr>
      <w:rFonts w:ascii="Palatino Linotype" w:eastAsia="Times New Roman" w:hAnsi="Palatino Linotype"/>
      <w:szCs w:val="20"/>
      <w:lang w:bidi="ar-SA"/>
    </w:rPr>
  </w:style>
  <w:style w:type="paragraph" w:styleId="CommentSubject">
    <w:name w:val="annotation subject"/>
    <w:basedOn w:val="CommentText"/>
    <w:next w:val="CommentText"/>
    <w:link w:val="CommentSubjectChar"/>
    <w:rsid w:val="009D3EA0"/>
    <w:rPr>
      <w:b/>
      <w:bCs/>
    </w:rPr>
  </w:style>
  <w:style w:type="character" w:customStyle="1" w:styleId="CommentSubjectChar">
    <w:name w:val="Comment Subject Char"/>
    <w:basedOn w:val="CommentTextChar"/>
    <w:link w:val="CommentSubject"/>
    <w:rsid w:val="009D3EA0"/>
    <w:rPr>
      <w:rFonts w:ascii="Courier New" w:eastAsia="Times New Roman" w:hAnsi="Courier New"/>
      <w:b/>
      <w:bCs/>
      <w:sz w:val="20"/>
      <w:szCs w:val="20"/>
      <w:lang w:bidi="ar-SA"/>
    </w:rPr>
  </w:style>
  <w:style w:type="paragraph" w:styleId="PlainText">
    <w:name w:val="Plain Text"/>
    <w:basedOn w:val="Normal"/>
    <w:link w:val="PlainTextChar"/>
    <w:uiPriority w:val="99"/>
    <w:unhideWhenUsed/>
    <w:rsid w:val="009D3EA0"/>
    <w:rPr>
      <w:rFonts w:ascii="Consolas" w:eastAsia="Calibri" w:hAnsi="Consolas"/>
      <w:sz w:val="21"/>
      <w:szCs w:val="21"/>
      <w:lang w:bidi="ar-SA"/>
    </w:rPr>
  </w:style>
  <w:style w:type="character" w:customStyle="1" w:styleId="PlainTextChar">
    <w:name w:val="Plain Text Char"/>
    <w:basedOn w:val="DefaultParagraphFont"/>
    <w:link w:val="PlainText"/>
    <w:uiPriority w:val="99"/>
    <w:rsid w:val="009D3EA0"/>
    <w:rPr>
      <w:rFonts w:ascii="Consolas" w:eastAsia="Calibri" w:hAnsi="Consolas"/>
      <w:sz w:val="21"/>
      <w:szCs w:val="21"/>
      <w:lang w:bidi="ar-SA"/>
    </w:rPr>
  </w:style>
  <w:style w:type="table" w:styleId="TableGrid">
    <w:name w:val="Table Grid"/>
    <w:basedOn w:val="TableNormal"/>
    <w:uiPriority w:val="59"/>
    <w:rsid w:val="009D3EA0"/>
    <w:pPr>
      <w:spacing w:after="0"/>
    </w:pPr>
    <w:rPr>
      <w:rFonts w:ascii="Times New Roman" w:eastAsia="Times New Roma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D3EA0"/>
    <w:rPr>
      <w:color w:val="800080"/>
      <w:u w:val="single"/>
    </w:rPr>
  </w:style>
  <w:style w:type="paragraph" w:styleId="Revision">
    <w:name w:val="Revision"/>
    <w:hidden/>
    <w:uiPriority w:val="99"/>
    <w:semiHidden/>
    <w:rsid w:val="009D3EA0"/>
    <w:pPr>
      <w:spacing w:after="0"/>
    </w:pPr>
    <w:rPr>
      <w:rFonts w:ascii="Times New Roman" w:eastAsia="Times New Roman" w:hAnsi="Times New Roman"/>
      <w:sz w:val="24"/>
      <w:szCs w:val="24"/>
      <w:lang w:bidi="ar-SA"/>
    </w:rPr>
  </w:style>
  <w:style w:type="paragraph" w:customStyle="1" w:styleId="StyleCentered">
    <w:name w:val="Style Centered"/>
    <w:basedOn w:val="Normal"/>
    <w:rsid w:val="00E91F49"/>
    <w:pPr>
      <w:overflowPunct w:val="0"/>
      <w:autoSpaceDE w:val="0"/>
      <w:autoSpaceDN w:val="0"/>
      <w:adjustRightInd w:val="0"/>
      <w:jc w:val="center"/>
      <w:textAlignment w:val="baseline"/>
    </w:pPr>
    <w:rPr>
      <w:rFonts w:ascii="Times New Roman" w:eastAsia="Times New Roman" w:hAnsi="Times New Roman"/>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4585">
      <w:bodyDiv w:val="1"/>
      <w:marLeft w:val="0"/>
      <w:marRight w:val="0"/>
      <w:marTop w:val="0"/>
      <w:marBottom w:val="0"/>
      <w:divBdr>
        <w:top w:val="none" w:sz="0" w:space="0" w:color="auto"/>
        <w:left w:val="none" w:sz="0" w:space="0" w:color="auto"/>
        <w:bottom w:val="none" w:sz="0" w:space="0" w:color="auto"/>
        <w:right w:val="none" w:sz="0" w:space="0" w:color="auto"/>
      </w:divBdr>
      <w:divsChild>
        <w:div w:id="1428228117">
          <w:marLeft w:val="0"/>
          <w:marRight w:val="0"/>
          <w:marTop w:val="0"/>
          <w:marBottom w:val="0"/>
          <w:divBdr>
            <w:top w:val="none" w:sz="0" w:space="0" w:color="auto"/>
            <w:left w:val="none" w:sz="0" w:space="0" w:color="auto"/>
            <w:bottom w:val="none" w:sz="0" w:space="0" w:color="auto"/>
            <w:right w:val="none" w:sz="0" w:space="0" w:color="auto"/>
          </w:divBdr>
          <w:divsChild>
            <w:div w:id="2024085554">
              <w:marLeft w:val="0"/>
              <w:marRight w:val="0"/>
              <w:marTop w:val="0"/>
              <w:marBottom w:val="0"/>
              <w:divBdr>
                <w:top w:val="none" w:sz="0" w:space="0" w:color="auto"/>
                <w:left w:val="none" w:sz="0" w:space="0" w:color="auto"/>
                <w:bottom w:val="none" w:sz="0" w:space="0" w:color="auto"/>
                <w:right w:val="none" w:sz="0" w:space="0" w:color="auto"/>
              </w:divBdr>
              <w:divsChild>
                <w:div w:id="87194856">
                  <w:marLeft w:val="0"/>
                  <w:marRight w:val="0"/>
                  <w:marTop w:val="0"/>
                  <w:marBottom w:val="0"/>
                  <w:divBdr>
                    <w:top w:val="none" w:sz="0" w:space="0" w:color="auto"/>
                    <w:left w:val="none" w:sz="0" w:space="0" w:color="auto"/>
                    <w:bottom w:val="none" w:sz="0" w:space="0" w:color="auto"/>
                    <w:right w:val="none" w:sz="0" w:space="0" w:color="auto"/>
                  </w:divBdr>
                  <w:divsChild>
                    <w:div w:id="2724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991736">
      <w:bodyDiv w:val="1"/>
      <w:marLeft w:val="0"/>
      <w:marRight w:val="0"/>
      <w:marTop w:val="0"/>
      <w:marBottom w:val="0"/>
      <w:divBdr>
        <w:top w:val="none" w:sz="0" w:space="0" w:color="auto"/>
        <w:left w:val="none" w:sz="0" w:space="0" w:color="auto"/>
        <w:bottom w:val="none" w:sz="0" w:space="0" w:color="auto"/>
        <w:right w:val="none" w:sz="0" w:space="0" w:color="auto"/>
      </w:divBdr>
      <w:divsChild>
        <w:div w:id="1324580113">
          <w:marLeft w:val="0"/>
          <w:marRight w:val="0"/>
          <w:marTop w:val="0"/>
          <w:marBottom w:val="0"/>
          <w:divBdr>
            <w:top w:val="none" w:sz="0" w:space="0" w:color="auto"/>
            <w:left w:val="none" w:sz="0" w:space="0" w:color="auto"/>
            <w:bottom w:val="none" w:sz="0" w:space="0" w:color="auto"/>
            <w:right w:val="none" w:sz="0" w:space="0" w:color="auto"/>
          </w:divBdr>
          <w:divsChild>
            <w:div w:id="212498969">
              <w:marLeft w:val="0"/>
              <w:marRight w:val="0"/>
              <w:marTop w:val="0"/>
              <w:marBottom w:val="0"/>
              <w:divBdr>
                <w:top w:val="none" w:sz="0" w:space="0" w:color="auto"/>
                <w:left w:val="none" w:sz="0" w:space="0" w:color="auto"/>
                <w:bottom w:val="none" w:sz="0" w:space="0" w:color="auto"/>
                <w:right w:val="none" w:sz="0" w:space="0" w:color="auto"/>
              </w:divBdr>
              <w:divsChild>
                <w:div w:id="542714750">
                  <w:marLeft w:val="0"/>
                  <w:marRight w:val="0"/>
                  <w:marTop w:val="0"/>
                  <w:marBottom w:val="0"/>
                  <w:divBdr>
                    <w:top w:val="none" w:sz="0" w:space="0" w:color="auto"/>
                    <w:left w:val="none" w:sz="0" w:space="0" w:color="auto"/>
                    <w:bottom w:val="none" w:sz="0" w:space="0" w:color="auto"/>
                    <w:right w:val="none" w:sz="0" w:space="0" w:color="auto"/>
                  </w:divBdr>
                  <w:divsChild>
                    <w:div w:id="73042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083773">
      <w:bodyDiv w:val="1"/>
      <w:marLeft w:val="0"/>
      <w:marRight w:val="0"/>
      <w:marTop w:val="0"/>
      <w:marBottom w:val="0"/>
      <w:divBdr>
        <w:top w:val="none" w:sz="0" w:space="0" w:color="auto"/>
        <w:left w:val="none" w:sz="0" w:space="0" w:color="auto"/>
        <w:bottom w:val="none" w:sz="0" w:space="0" w:color="auto"/>
        <w:right w:val="none" w:sz="0" w:space="0" w:color="auto"/>
      </w:divBdr>
      <w:divsChild>
        <w:div w:id="287591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788205">
      <w:bodyDiv w:val="1"/>
      <w:marLeft w:val="0"/>
      <w:marRight w:val="0"/>
      <w:marTop w:val="0"/>
      <w:marBottom w:val="0"/>
      <w:divBdr>
        <w:top w:val="none" w:sz="0" w:space="0" w:color="auto"/>
        <w:left w:val="none" w:sz="0" w:space="0" w:color="auto"/>
        <w:bottom w:val="none" w:sz="0" w:space="0" w:color="auto"/>
        <w:right w:val="none" w:sz="0" w:space="0" w:color="auto"/>
      </w:divBdr>
      <w:divsChild>
        <w:div w:id="1881478963">
          <w:marLeft w:val="0"/>
          <w:marRight w:val="0"/>
          <w:marTop w:val="0"/>
          <w:marBottom w:val="0"/>
          <w:divBdr>
            <w:top w:val="none" w:sz="0" w:space="0" w:color="auto"/>
            <w:left w:val="none" w:sz="0" w:space="0" w:color="auto"/>
            <w:bottom w:val="none" w:sz="0" w:space="0" w:color="auto"/>
            <w:right w:val="none" w:sz="0" w:space="0" w:color="auto"/>
          </w:divBdr>
          <w:divsChild>
            <w:div w:id="1544950201">
              <w:marLeft w:val="0"/>
              <w:marRight w:val="0"/>
              <w:marTop w:val="0"/>
              <w:marBottom w:val="0"/>
              <w:divBdr>
                <w:top w:val="none" w:sz="0" w:space="0" w:color="auto"/>
                <w:left w:val="none" w:sz="0" w:space="0" w:color="auto"/>
                <w:bottom w:val="none" w:sz="0" w:space="0" w:color="auto"/>
                <w:right w:val="none" w:sz="0" w:space="0" w:color="auto"/>
              </w:divBdr>
              <w:divsChild>
                <w:div w:id="1072503155">
                  <w:marLeft w:val="0"/>
                  <w:marRight w:val="0"/>
                  <w:marTop w:val="0"/>
                  <w:marBottom w:val="0"/>
                  <w:divBdr>
                    <w:top w:val="none" w:sz="0" w:space="0" w:color="auto"/>
                    <w:left w:val="none" w:sz="0" w:space="0" w:color="auto"/>
                    <w:bottom w:val="none" w:sz="0" w:space="0" w:color="auto"/>
                    <w:right w:val="none" w:sz="0" w:space="0" w:color="auto"/>
                  </w:divBdr>
                  <w:divsChild>
                    <w:div w:id="136899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916170">
      <w:bodyDiv w:val="1"/>
      <w:marLeft w:val="0"/>
      <w:marRight w:val="0"/>
      <w:marTop w:val="0"/>
      <w:marBottom w:val="0"/>
      <w:divBdr>
        <w:top w:val="none" w:sz="0" w:space="0" w:color="auto"/>
        <w:left w:val="none" w:sz="0" w:space="0" w:color="auto"/>
        <w:bottom w:val="none" w:sz="0" w:space="0" w:color="auto"/>
        <w:right w:val="none" w:sz="0" w:space="0" w:color="auto"/>
      </w:divBdr>
      <w:divsChild>
        <w:div w:id="34421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69591">
      <w:bodyDiv w:val="1"/>
      <w:marLeft w:val="0"/>
      <w:marRight w:val="0"/>
      <w:marTop w:val="0"/>
      <w:marBottom w:val="0"/>
      <w:divBdr>
        <w:top w:val="none" w:sz="0" w:space="0" w:color="auto"/>
        <w:left w:val="none" w:sz="0" w:space="0" w:color="auto"/>
        <w:bottom w:val="none" w:sz="0" w:space="0" w:color="auto"/>
        <w:right w:val="none" w:sz="0" w:space="0" w:color="auto"/>
      </w:divBdr>
    </w:div>
    <w:div w:id="859513911">
      <w:bodyDiv w:val="1"/>
      <w:marLeft w:val="0"/>
      <w:marRight w:val="0"/>
      <w:marTop w:val="0"/>
      <w:marBottom w:val="0"/>
      <w:divBdr>
        <w:top w:val="none" w:sz="0" w:space="0" w:color="auto"/>
        <w:left w:val="none" w:sz="0" w:space="0" w:color="auto"/>
        <w:bottom w:val="none" w:sz="0" w:space="0" w:color="auto"/>
        <w:right w:val="none" w:sz="0" w:space="0" w:color="auto"/>
      </w:divBdr>
      <w:divsChild>
        <w:div w:id="169292615">
          <w:marLeft w:val="0"/>
          <w:marRight w:val="0"/>
          <w:marTop w:val="0"/>
          <w:marBottom w:val="0"/>
          <w:divBdr>
            <w:top w:val="none" w:sz="0" w:space="0" w:color="auto"/>
            <w:left w:val="none" w:sz="0" w:space="0" w:color="auto"/>
            <w:bottom w:val="none" w:sz="0" w:space="0" w:color="auto"/>
            <w:right w:val="none" w:sz="0" w:space="0" w:color="auto"/>
          </w:divBdr>
          <w:divsChild>
            <w:div w:id="1994018625">
              <w:marLeft w:val="0"/>
              <w:marRight w:val="0"/>
              <w:marTop w:val="0"/>
              <w:marBottom w:val="0"/>
              <w:divBdr>
                <w:top w:val="none" w:sz="0" w:space="0" w:color="auto"/>
                <w:left w:val="none" w:sz="0" w:space="0" w:color="auto"/>
                <w:bottom w:val="none" w:sz="0" w:space="0" w:color="auto"/>
                <w:right w:val="none" w:sz="0" w:space="0" w:color="auto"/>
              </w:divBdr>
              <w:divsChild>
                <w:div w:id="2130927102">
                  <w:marLeft w:val="0"/>
                  <w:marRight w:val="0"/>
                  <w:marTop w:val="0"/>
                  <w:marBottom w:val="0"/>
                  <w:divBdr>
                    <w:top w:val="none" w:sz="0" w:space="0" w:color="auto"/>
                    <w:left w:val="none" w:sz="0" w:space="0" w:color="auto"/>
                    <w:bottom w:val="none" w:sz="0" w:space="0" w:color="auto"/>
                    <w:right w:val="none" w:sz="0" w:space="0" w:color="auto"/>
                  </w:divBdr>
                  <w:divsChild>
                    <w:div w:id="15604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51033">
      <w:bodyDiv w:val="1"/>
      <w:marLeft w:val="0"/>
      <w:marRight w:val="0"/>
      <w:marTop w:val="0"/>
      <w:marBottom w:val="0"/>
      <w:divBdr>
        <w:top w:val="none" w:sz="0" w:space="0" w:color="auto"/>
        <w:left w:val="none" w:sz="0" w:space="0" w:color="auto"/>
        <w:bottom w:val="none" w:sz="0" w:space="0" w:color="auto"/>
        <w:right w:val="none" w:sz="0" w:space="0" w:color="auto"/>
      </w:divBdr>
    </w:div>
    <w:div w:id="1164053205">
      <w:bodyDiv w:val="1"/>
      <w:marLeft w:val="0"/>
      <w:marRight w:val="0"/>
      <w:marTop w:val="0"/>
      <w:marBottom w:val="0"/>
      <w:divBdr>
        <w:top w:val="none" w:sz="0" w:space="0" w:color="auto"/>
        <w:left w:val="none" w:sz="0" w:space="0" w:color="auto"/>
        <w:bottom w:val="none" w:sz="0" w:space="0" w:color="auto"/>
        <w:right w:val="none" w:sz="0" w:space="0" w:color="auto"/>
      </w:divBdr>
      <w:divsChild>
        <w:div w:id="1426682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4464891">
      <w:bodyDiv w:val="1"/>
      <w:marLeft w:val="0"/>
      <w:marRight w:val="0"/>
      <w:marTop w:val="0"/>
      <w:marBottom w:val="0"/>
      <w:divBdr>
        <w:top w:val="none" w:sz="0" w:space="0" w:color="auto"/>
        <w:left w:val="none" w:sz="0" w:space="0" w:color="auto"/>
        <w:bottom w:val="none" w:sz="0" w:space="0" w:color="auto"/>
        <w:right w:val="none" w:sz="0" w:space="0" w:color="auto"/>
      </w:divBdr>
    </w:div>
    <w:div w:id="1276057667">
      <w:bodyDiv w:val="1"/>
      <w:marLeft w:val="0"/>
      <w:marRight w:val="0"/>
      <w:marTop w:val="0"/>
      <w:marBottom w:val="0"/>
      <w:divBdr>
        <w:top w:val="none" w:sz="0" w:space="0" w:color="auto"/>
        <w:left w:val="none" w:sz="0" w:space="0" w:color="auto"/>
        <w:bottom w:val="none" w:sz="0" w:space="0" w:color="auto"/>
        <w:right w:val="none" w:sz="0" w:space="0" w:color="auto"/>
      </w:divBdr>
      <w:divsChild>
        <w:div w:id="1378512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935132">
      <w:bodyDiv w:val="1"/>
      <w:marLeft w:val="0"/>
      <w:marRight w:val="0"/>
      <w:marTop w:val="0"/>
      <w:marBottom w:val="0"/>
      <w:divBdr>
        <w:top w:val="none" w:sz="0" w:space="0" w:color="auto"/>
        <w:left w:val="none" w:sz="0" w:space="0" w:color="auto"/>
        <w:bottom w:val="none" w:sz="0" w:space="0" w:color="auto"/>
        <w:right w:val="none" w:sz="0" w:space="0" w:color="auto"/>
      </w:divBdr>
    </w:div>
    <w:div w:id="1368947029">
      <w:bodyDiv w:val="1"/>
      <w:marLeft w:val="0"/>
      <w:marRight w:val="0"/>
      <w:marTop w:val="0"/>
      <w:marBottom w:val="0"/>
      <w:divBdr>
        <w:top w:val="none" w:sz="0" w:space="0" w:color="auto"/>
        <w:left w:val="none" w:sz="0" w:space="0" w:color="auto"/>
        <w:bottom w:val="none" w:sz="0" w:space="0" w:color="auto"/>
        <w:right w:val="none" w:sz="0" w:space="0" w:color="auto"/>
      </w:divBdr>
    </w:div>
    <w:div w:id="1430269831">
      <w:bodyDiv w:val="1"/>
      <w:marLeft w:val="0"/>
      <w:marRight w:val="0"/>
      <w:marTop w:val="0"/>
      <w:marBottom w:val="0"/>
      <w:divBdr>
        <w:top w:val="none" w:sz="0" w:space="0" w:color="auto"/>
        <w:left w:val="none" w:sz="0" w:space="0" w:color="auto"/>
        <w:bottom w:val="none" w:sz="0" w:space="0" w:color="auto"/>
        <w:right w:val="none" w:sz="0" w:space="0" w:color="auto"/>
      </w:divBdr>
      <w:divsChild>
        <w:div w:id="939289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248667">
      <w:bodyDiv w:val="1"/>
      <w:marLeft w:val="0"/>
      <w:marRight w:val="0"/>
      <w:marTop w:val="0"/>
      <w:marBottom w:val="0"/>
      <w:divBdr>
        <w:top w:val="none" w:sz="0" w:space="0" w:color="auto"/>
        <w:left w:val="none" w:sz="0" w:space="0" w:color="auto"/>
        <w:bottom w:val="none" w:sz="0" w:space="0" w:color="auto"/>
        <w:right w:val="none" w:sz="0" w:space="0" w:color="auto"/>
      </w:divBdr>
    </w:div>
    <w:div w:id="1461335524">
      <w:bodyDiv w:val="1"/>
      <w:marLeft w:val="0"/>
      <w:marRight w:val="0"/>
      <w:marTop w:val="0"/>
      <w:marBottom w:val="0"/>
      <w:divBdr>
        <w:top w:val="none" w:sz="0" w:space="0" w:color="auto"/>
        <w:left w:val="none" w:sz="0" w:space="0" w:color="auto"/>
        <w:bottom w:val="none" w:sz="0" w:space="0" w:color="auto"/>
        <w:right w:val="none" w:sz="0" w:space="0" w:color="auto"/>
      </w:divBdr>
    </w:div>
    <w:div w:id="1613898880">
      <w:bodyDiv w:val="1"/>
      <w:marLeft w:val="0"/>
      <w:marRight w:val="0"/>
      <w:marTop w:val="0"/>
      <w:marBottom w:val="0"/>
      <w:divBdr>
        <w:top w:val="none" w:sz="0" w:space="0" w:color="auto"/>
        <w:left w:val="none" w:sz="0" w:space="0" w:color="auto"/>
        <w:bottom w:val="none" w:sz="0" w:space="0" w:color="auto"/>
        <w:right w:val="none" w:sz="0" w:space="0" w:color="auto"/>
      </w:divBdr>
      <w:divsChild>
        <w:div w:id="374892163">
          <w:marLeft w:val="0"/>
          <w:marRight w:val="0"/>
          <w:marTop w:val="0"/>
          <w:marBottom w:val="0"/>
          <w:divBdr>
            <w:top w:val="none" w:sz="0" w:space="0" w:color="auto"/>
            <w:left w:val="none" w:sz="0" w:space="0" w:color="auto"/>
            <w:bottom w:val="none" w:sz="0" w:space="0" w:color="auto"/>
            <w:right w:val="none" w:sz="0" w:space="0" w:color="auto"/>
          </w:divBdr>
          <w:divsChild>
            <w:div w:id="1434010949">
              <w:marLeft w:val="0"/>
              <w:marRight w:val="0"/>
              <w:marTop w:val="0"/>
              <w:marBottom w:val="0"/>
              <w:divBdr>
                <w:top w:val="none" w:sz="0" w:space="0" w:color="auto"/>
                <w:left w:val="none" w:sz="0" w:space="0" w:color="auto"/>
                <w:bottom w:val="none" w:sz="0" w:space="0" w:color="auto"/>
                <w:right w:val="none" w:sz="0" w:space="0" w:color="auto"/>
              </w:divBdr>
              <w:divsChild>
                <w:div w:id="1800567238">
                  <w:marLeft w:val="0"/>
                  <w:marRight w:val="0"/>
                  <w:marTop w:val="0"/>
                  <w:marBottom w:val="0"/>
                  <w:divBdr>
                    <w:top w:val="none" w:sz="0" w:space="0" w:color="auto"/>
                    <w:left w:val="none" w:sz="0" w:space="0" w:color="auto"/>
                    <w:bottom w:val="none" w:sz="0" w:space="0" w:color="auto"/>
                    <w:right w:val="none" w:sz="0" w:space="0" w:color="auto"/>
                  </w:divBdr>
                  <w:divsChild>
                    <w:div w:id="2963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426959">
      <w:bodyDiv w:val="1"/>
      <w:marLeft w:val="0"/>
      <w:marRight w:val="0"/>
      <w:marTop w:val="0"/>
      <w:marBottom w:val="0"/>
      <w:divBdr>
        <w:top w:val="none" w:sz="0" w:space="0" w:color="auto"/>
        <w:left w:val="none" w:sz="0" w:space="0" w:color="auto"/>
        <w:bottom w:val="none" w:sz="0" w:space="0" w:color="auto"/>
        <w:right w:val="none" w:sz="0" w:space="0" w:color="auto"/>
      </w:divBdr>
    </w:div>
    <w:div w:id="1674642081">
      <w:bodyDiv w:val="1"/>
      <w:marLeft w:val="0"/>
      <w:marRight w:val="0"/>
      <w:marTop w:val="0"/>
      <w:marBottom w:val="0"/>
      <w:divBdr>
        <w:top w:val="none" w:sz="0" w:space="0" w:color="auto"/>
        <w:left w:val="none" w:sz="0" w:space="0" w:color="auto"/>
        <w:bottom w:val="none" w:sz="0" w:space="0" w:color="auto"/>
        <w:right w:val="none" w:sz="0" w:space="0" w:color="auto"/>
      </w:divBdr>
    </w:div>
    <w:div w:id="1718360155">
      <w:bodyDiv w:val="1"/>
      <w:marLeft w:val="0"/>
      <w:marRight w:val="0"/>
      <w:marTop w:val="0"/>
      <w:marBottom w:val="0"/>
      <w:divBdr>
        <w:top w:val="none" w:sz="0" w:space="0" w:color="auto"/>
        <w:left w:val="none" w:sz="0" w:space="0" w:color="auto"/>
        <w:bottom w:val="none" w:sz="0" w:space="0" w:color="auto"/>
        <w:right w:val="none" w:sz="0" w:space="0" w:color="auto"/>
      </w:divBdr>
    </w:div>
    <w:div w:id="1743991304">
      <w:bodyDiv w:val="1"/>
      <w:marLeft w:val="0"/>
      <w:marRight w:val="0"/>
      <w:marTop w:val="0"/>
      <w:marBottom w:val="0"/>
      <w:divBdr>
        <w:top w:val="none" w:sz="0" w:space="0" w:color="auto"/>
        <w:left w:val="none" w:sz="0" w:space="0" w:color="auto"/>
        <w:bottom w:val="none" w:sz="0" w:space="0" w:color="auto"/>
        <w:right w:val="none" w:sz="0" w:space="0" w:color="auto"/>
      </w:divBdr>
      <w:divsChild>
        <w:div w:id="691302053">
          <w:marLeft w:val="0"/>
          <w:marRight w:val="0"/>
          <w:marTop w:val="0"/>
          <w:marBottom w:val="0"/>
          <w:divBdr>
            <w:top w:val="none" w:sz="0" w:space="0" w:color="auto"/>
            <w:left w:val="none" w:sz="0" w:space="0" w:color="auto"/>
            <w:bottom w:val="none" w:sz="0" w:space="0" w:color="auto"/>
            <w:right w:val="none" w:sz="0" w:space="0" w:color="auto"/>
          </w:divBdr>
          <w:divsChild>
            <w:div w:id="1583248393">
              <w:marLeft w:val="0"/>
              <w:marRight w:val="0"/>
              <w:marTop w:val="0"/>
              <w:marBottom w:val="0"/>
              <w:divBdr>
                <w:top w:val="none" w:sz="0" w:space="0" w:color="auto"/>
                <w:left w:val="none" w:sz="0" w:space="0" w:color="auto"/>
                <w:bottom w:val="none" w:sz="0" w:space="0" w:color="auto"/>
                <w:right w:val="none" w:sz="0" w:space="0" w:color="auto"/>
              </w:divBdr>
              <w:divsChild>
                <w:div w:id="1665161151">
                  <w:marLeft w:val="0"/>
                  <w:marRight w:val="0"/>
                  <w:marTop w:val="0"/>
                  <w:marBottom w:val="0"/>
                  <w:divBdr>
                    <w:top w:val="none" w:sz="0" w:space="0" w:color="auto"/>
                    <w:left w:val="none" w:sz="0" w:space="0" w:color="auto"/>
                    <w:bottom w:val="none" w:sz="0" w:space="0" w:color="auto"/>
                    <w:right w:val="none" w:sz="0" w:space="0" w:color="auto"/>
                  </w:divBdr>
                  <w:divsChild>
                    <w:div w:id="11398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414284">
      <w:bodyDiv w:val="1"/>
      <w:marLeft w:val="0"/>
      <w:marRight w:val="0"/>
      <w:marTop w:val="0"/>
      <w:marBottom w:val="0"/>
      <w:divBdr>
        <w:top w:val="none" w:sz="0" w:space="0" w:color="auto"/>
        <w:left w:val="none" w:sz="0" w:space="0" w:color="auto"/>
        <w:bottom w:val="none" w:sz="0" w:space="0" w:color="auto"/>
        <w:right w:val="none" w:sz="0" w:space="0" w:color="auto"/>
      </w:divBdr>
      <w:divsChild>
        <w:div w:id="1312322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313645">
      <w:bodyDiv w:val="1"/>
      <w:marLeft w:val="0"/>
      <w:marRight w:val="0"/>
      <w:marTop w:val="0"/>
      <w:marBottom w:val="0"/>
      <w:divBdr>
        <w:top w:val="none" w:sz="0" w:space="0" w:color="auto"/>
        <w:left w:val="none" w:sz="0" w:space="0" w:color="auto"/>
        <w:bottom w:val="none" w:sz="0" w:space="0" w:color="auto"/>
        <w:right w:val="none" w:sz="0" w:space="0" w:color="auto"/>
      </w:divBdr>
      <w:divsChild>
        <w:div w:id="585917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GasSwitch.com"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ra-ocmo@pa.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uc.pa.gov/pcdocs/131685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AE802-0A4B-4222-B808-7E8D98AE5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9936</Words>
  <Characters>56639</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costarr</dc:creator>
  <cp:lastModifiedBy>Farner, Joyce</cp:lastModifiedBy>
  <cp:revision>3</cp:revision>
  <cp:lastPrinted>2015-03-25T18:17:00Z</cp:lastPrinted>
  <dcterms:created xsi:type="dcterms:W3CDTF">2015-03-25T17:36:00Z</dcterms:created>
  <dcterms:modified xsi:type="dcterms:W3CDTF">2015-03-25T18:21:00Z</dcterms:modified>
</cp:coreProperties>
</file>