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D713A" w:rsidRDefault="00B43061" w:rsidP="00B23C26">
      <w:pPr>
        <w:sectPr w:rsidR="006D713A" w:rsidSect="00076C98">
          <w:headerReference w:type="default" r:id="rId12"/>
          <w:pgSz w:w="12240" w:h="15840"/>
          <w:pgMar w:top="1440" w:right="1440" w:bottom="1440" w:left="1440" w:header="432" w:footer="432" w:gutter="0"/>
          <w:cols w:space="720"/>
          <w:docGrid w:linePitch="360"/>
        </w:sectPr>
      </w:pPr>
      <w:r>
        <w:rPr>
          <w:noProof/>
        </w:rPr>
        <mc:AlternateContent>
          <mc:Choice Requires="wps">
            <w:drawing>
              <wp:anchor distT="0" distB="0" distL="114300" distR="114300" simplePos="0" relativeHeight="251665408" behindDoc="0" locked="0" layoutInCell="1" allowOverlap="1" wp14:anchorId="6A9B9AAC" wp14:editId="6E8998FD">
                <wp:simplePos x="0" y="0"/>
                <wp:positionH relativeFrom="column">
                  <wp:posOffset>-732790</wp:posOffset>
                </wp:positionH>
                <wp:positionV relativeFrom="paragraph">
                  <wp:posOffset>3143250</wp:posOffset>
                </wp:positionV>
                <wp:extent cx="5353050" cy="2552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552700"/>
                        </a:xfrm>
                        <a:prstGeom prst="rect">
                          <a:avLst/>
                        </a:prstGeom>
                        <a:noFill/>
                        <a:ln w="9525">
                          <a:noFill/>
                          <a:miter lim="800000"/>
                          <a:headEnd/>
                          <a:tailEnd/>
                        </a:ln>
                      </wps:spPr>
                      <wps:txbx>
                        <w:txbxContent>
                          <w:p w:rsidR="001D0B77" w:rsidRPr="00FC7186" w:rsidRDefault="001D0B77" w:rsidP="006D2744">
                            <w:pPr>
                              <w:spacing w:after="120"/>
                              <w:jc w:val="right"/>
                              <w:rPr>
                                <w:rFonts w:ascii="Century Gothic" w:hAnsi="Century Gothic"/>
                                <w:color w:val="FFFFFF" w:themeColor="background1"/>
                                <w:sz w:val="24"/>
                                <w:szCs w:val="64"/>
                              </w:rPr>
                            </w:pPr>
                            <w:r w:rsidRPr="00FC7186">
                              <w:rPr>
                                <w:rFonts w:ascii="Century Gothic" w:hAnsi="Century Gothic"/>
                                <w:color w:val="FFFFFF" w:themeColor="background1"/>
                                <w:sz w:val="24"/>
                                <w:szCs w:val="64"/>
                              </w:rPr>
                              <w:t xml:space="preserve">Prepared for: </w:t>
                            </w:r>
                          </w:p>
                          <w:p w:rsidR="001D0B77" w:rsidRPr="00252FD4" w:rsidRDefault="001D0B77" w:rsidP="006D2744">
                            <w:pPr>
                              <w:spacing w:after="120"/>
                              <w:jc w:val="right"/>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pPr>
                            <w:r w:rsidRPr="00252FD4">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t>Pennsylvania Public Utilities Commission</w:t>
                            </w:r>
                          </w:p>
                          <w:p w:rsidR="001D0B77" w:rsidRDefault="001D0B77" w:rsidP="006D2744">
                            <w:pPr>
                              <w:spacing w:after="120"/>
                              <w:jc w:val="right"/>
                              <w:rPr>
                                <w:rFonts w:ascii="Century Gothic" w:hAnsi="Century Gothic"/>
                                <w:color w:val="FFFFFF" w:themeColor="background1"/>
                                <w:sz w:val="32"/>
                                <w:szCs w:val="64"/>
                              </w:rPr>
                            </w:pPr>
                          </w:p>
                          <w:p w:rsidR="001D0B77" w:rsidRPr="00682654" w:rsidRDefault="004645B2" w:rsidP="006D2744">
                            <w:pPr>
                              <w:spacing w:after="120"/>
                              <w:jc w:val="right"/>
                              <w:rPr>
                                <w:rFonts w:ascii="Century Gothic" w:hAnsi="Century Gothic"/>
                                <w:color w:val="FFFFFF" w:themeColor="background1"/>
                                <w:sz w:val="28"/>
                                <w:szCs w:val="64"/>
                              </w:rPr>
                            </w:pPr>
                            <w:r>
                              <w:rPr>
                                <w:rFonts w:ascii="Century Gothic" w:hAnsi="Century Gothic"/>
                                <w:color w:val="FFFFFF" w:themeColor="background1"/>
                                <w:sz w:val="28"/>
                                <w:szCs w:val="64"/>
                              </w:rPr>
                              <w:t>Addendum to 2015 SWE M</w:t>
                            </w:r>
                            <w:r w:rsidR="001D0B77">
                              <w:rPr>
                                <w:rFonts w:ascii="Century Gothic" w:hAnsi="Century Gothic"/>
                                <w:color w:val="FFFFFF" w:themeColor="background1"/>
                                <w:sz w:val="28"/>
                                <w:szCs w:val="64"/>
                              </w:rPr>
                              <w:t>arket Potential Studies</w:t>
                            </w:r>
                          </w:p>
                          <w:p w:rsidR="001D0B77" w:rsidRPr="00682654" w:rsidRDefault="001D0B77" w:rsidP="006D2744">
                            <w:pPr>
                              <w:spacing w:after="120"/>
                              <w:jc w:val="right"/>
                              <w:rPr>
                                <w:rFonts w:ascii="Century Gothic" w:hAnsi="Century Gothic"/>
                                <w:color w:val="FFFFFF" w:themeColor="background1"/>
                                <w:sz w:val="28"/>
                                <w:szCs w:val="64"/>
                              </w:rPr>
                            </w:pPr>
                          </w:p>
                          <w:p w:rsidR="001D0B77" w:rsidRPr="00252FD4" w:rsidRDefault="001D0B77" w:rsidP="006D2744">
                            <w:pPr>
                              <w:spacing w:after="120"/>
                              <w:jc w:val="right"/>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pPr>
                            <w:r>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t>February 23,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pt;margin-top:247.5pt;width:421.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" filled="f" stroked="f">
                <v:textbox>
                  <w:txbxContent>
                    <w:p w:rsidR="001D0B77" w:rsidRPr="00FC7186" w:rsidRDefault="001D0B77" w:rsidP="006D2744">
                      <w:pPr>
                        <w:spacing w:after="120"/>
                        <w:jc w:val="right"/>
                        <w:rPr>
                          <w:rFonts w:ascii="Century Gothic" w:hAnsi="Century Gothic"/>
                          <w:color w:val="FFFFFF" w:themeColor="background1"/>
                          <w:sz w:val="24"/>
                          <w:szCs w:val="64"/>
                        </w:rPr>
                      </w:pPr>
                      <w:r w:rsidRPr="00FC7186">
                        <w:rPr>
                          <w:rFonts w:ascii="Century Gothic" w:hAnsi="Century Gothic"/>
                          <w:color w:val="FFFFFF" w:themeColor="background1"/>
                          <w:sz w:val="24"/>
                          <w:szCs w:val="64"/>
                        </w:rPr>
                        <w:t xml:space="preserve">Prepared for: </w:t>
                      </w:r>
                    </w:p>
                    <w:p w:rsidR="001D0B77" w:rsidRPr="00252FD4" w:rsidRDefault="001D0B77" w:rsidP="006D2744">
                      <w:pPr>
                        <w:spacing w:after="120"/>
                        <w:jc w:val="right"/>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pPr>
                      <w:r w:rsidRPr="00252FD4">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t>Pennsylvania Public Utilities Commission</w:t>
                      </w:r>
                    </w:p>
                    <w:p w:rsidR="001D0B77" w:rsidRDefault="001D0B77" w:rsidP="006D2744">
                      <w:pPr>
                        <w:spacing w:after="120"/>
                        <w:jc w:val="right"/>
                        <w:rPr>
                          <w:rFonts w:ascii="Century Gothic" w:hAnsi="Century Gothic"/>
                          <w:color w:val="FFFFFF" w:themeColor="background1"/>
                          <w:sz w:val="32"/>
                          <w:szCs w:val="64"/>
                        </w:rPr>
                      </w:pPr>
                    </w:p>
                    <w:p w:rsidR="001D0B77" w:rsidRPr="00682654" w:rsidRDefault="004645B2" w:rsidP="006D2744">
                      <w:pPr>
                        <w:spacing w:after="120"/>
                        <w:jc w:val="right"/>
                        <w:rPr>
                          <w:rFonts w:ascii="Century Gothic" w:hAnsi="Century Gothic"/>
                          <w:color w:val="FFFFFF" w:themeColor="background1"/>
                          <w:sz w:val="28"/>
                          <w:szCs w:val="64"/>
                        </w:rPr>
                      </w:pPr>
                      <w:r>
                        <w:rPr>
                          <w:rFonts w:ascii="Century Gothic" w:hAnsi="Century Gothic"/>
                          <w:color w:val="FFFFFF" w:themeColor="background1"/>
                          <w:sz w:val="28"/>
                          <w:szCs w:val="64"/>
                        </w:rPr>
                        <w:t>Addendum to 2015 SWE M</w:t>
                      </w:r>
                      <w:r w:rsidR="001D0B77">
                        <w:rPr>
                          <w:rFonts w:ascii="Century Gothic" w:hAnsi="Century Gothic"/>
                          <w:color w:val="FFFFFF" w:themeColor="background1"/>
                          <w:sz w:val="28"/>
                          <w:szCs w:val="64"/>
                        </w:rPr>
                        <w:t>arket Potential Studies</w:t>
                      </w:r>
                    </w:p>
                    <w:p w:rsidR="001D0B77" w:rsidRPr="00682654" w:rsidRDefault="001D0B77" w:rsidP="006D2744">
                      <w:pPr>
                        <w:spacing w:after="120"/>
                        <w:jc w:val="right"/>
                        <w:rPr>
                          <w:rFonts w:ascii="Century Gothic" w:hAnsi="Century Gothic"/>
                          <w:color w:val="FFFFFF" w:themeColor="background1"/>
                          <w:sz w:val="28"/>
                          <w:szCs w:val="64"/>
                        </w:rPr>
                      </w:pPr>
                    </w:p>
                    <w:p w:rsidR="001D0B77" w:rsidRPr="00252FD4" w:rsidRDefault="001D0B77" w:rsidP="006D2744">
                      <w:pPr>
                        <w:spacing w:after="120"/>
                        <w:jc w:val="right"/>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pPr>
                      <w:r>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t>February 23, 2015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C923543" wp14:editId="0012233C">
                <wp:simplePos x="0" y="0"/>
                <wp:positionH relativeFrom="column">
                  <wp:posOffset>-733425</wp:posOffset>
                </wp:positionH>
                <wp:positionV relativeFrom="paragraph">
                  <wp:posOffset>1571625</wp:posOffset>
                </wp:positionV>
                <wp:extent cx="5353050" cy="1724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724025"/>
                        </a:xfrm>
                        <a:prstGeom prst="rect">
                          <a:avLst/>
                        </a:prstGeom>
                        <a:noFill/>
                        <a:ln w="9525">
                          <a:noFill/>
                          <a:miter lim="800000"/>
                          <a:headEnd/>
                          <a:tailEnd/>
                        </a:ln>
                      </wps:spPr>
                      <wps:txbx>
                        <w:txbxContent>
                          <w:p w:rsidR="001D0B77" w:rsidRPr="00252FD4" w:rsidRDefault="001D0B77" w:rsidP="006D2744">
                            <w:pPr>
                              <w:jc w:val="right"/>
                              <w:rPr>
                                <w:rFonts w:ascii="Century Gothic" w:hAnsi="Century Gothic"/>
                                <w:b/>
                                <w:smallCaps/>
                                <w:color w:val="FFFFFF" w:themeColor="background1"/>
                                <w:sz w:val="58"/>
                                <w:szCs w:val="58"/>
                                <w14:shadow w14:blurRad="50800" w14:dist="38100" w14:dir="13500000" w14:sx="100000" w14:sy="100000" w14:kx="0" w14:ky="0" w14:algn="br">
                                  <w14:srgbClr w14:val="000000">
                                    <w14:alpha w14:val="60000"/>
                                  </w14:srgbClr>
                                </w14:shadow>
                              </w:rPr>
                            </w:pPr>
                            <w:r>
                              <w:rPr>
                                <w:rFonts w:ascii="Century Gothic" w:hAnsi="Century Gothic"/>
                                <w:b/>
                                <w:smallCaps/>
                                <w:color w:val="FFFFFF" w:themeColor="background1"/>
                                <w:sz w:val="56"/>
                                <w:szCs w:val="56"/>
                                <w14:shadow w14:blurRad="50800" w14:dist="38100" w14:dir="13500000" w14:sx="100000" w14:sy="100000" w14:kx="0" w14:ky="0" w14:algn="br">
                                  <w14:srgbClr w14:val="000000">
                                    <w14:alpha w14:val="60000"/>
                                  </w14:srgbClr>
                                </w14:shadow>
                              </w:rPr>
                              <w:t>Application of Market Potential Study Results to Phase III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7.75pt;margin-top:123.75pt;width:421.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" filled="f" stroked="f">
                <v:textbox>
                  <w:txbxContent>
                    <w:p w:rsidR="001D0B77" w:rsidRPr="00252FD4" w:rsidRDefault="001D0B77" w:rsidP="006D2744">
                      <w:pPr>
                        <w:jc w:val="right"/>
                        <w:rPr>
                          <w:rFonts w:ascii="Century Gothic" w:hAnsi="Century Gothic"/>
                          <w:b/>
                          <w:smallCaps/>
                          <w:color w:val="FFFFFF" w:themeColor="background1"/>
                          <w:sz w:val="58"/>
                          <w:szCs w:val="58"/>
                          <w14:shadow w14:blurRad="50800" w14:dist="38100" w14:dir="13500000" w14:sx="100000" w14:sy="100000" w14:kx="0" w14:ky="0" w14:algn="br">
                            <w14:srgbClr w14:val="000000">
                              <w14:alpha w14:val="60000"/>
                            </w14:srgbClr>
                          </w14:shadow>
                        </w:rPr>
                      </w:pPr>
                      <w:r>
                        <w:rPr>
                          <w:rFonts w:ascii="Century Gothic" w:hAnsi="Century Gothic"/>
                          <w:b/>
                          <w:smallCaps/>
                          <w:color w:val="FFFFFF" w:themeColor="background1"/>
                          <w:sz w:val="56"/>
                          <w:szCs w:val="56"/>
                          <w14:shadow w14:blurRad="50800" w14:dist="38100" w14:dir="13500000" w14:sx="100000" w14:sy="100000" w14:kx="0" w14:ky="0" w14:algn="br">
                            <w14:srgbClr w14:val="000000">
                              <w14:alpha w14:val="60000"/>
                            </w14:srgbClr>
                          </w14:shadow>
                        </w:rPr>
                        <w:t>Application of Market Potential Study Results to Phase III Goals</w:t>
                      </w:r>
                    </w:p>
                  </w:txbxContent>
                </v:textbox>
              </v:shape>
            </w:pict>
          </mc:Fallback>
        </mc:AlternateContent>
      </w:r>
      <w:r w:rsidRPr="006D2744">
        <w:rPr>
          <w:noProof/>
        </w:rPr>
        <w:drawing>
          <wp:anchor distT="0" distB="0" distL="114300" distR="114300" simplePos="0" relativeHeight="251672576" behindDoc="0" locked="0" layoutInCell="1" allowOverlap="1" wp14:anchorId="52DE6ABF" wp14:editId="39B1F2D6">
            <wp:simplePos x="0" y="0"/>
            <wp:positionH relativeFrom="column">
              <wp:posOffset>5492750</wp:posOffset>
            </wp:positionH>
            <wp:positionV relativeFrom="paragraph">
              <wp:posOffset>8189595</wp:posOffset>
            </wp:positionV>
            <wp:extent cx="518795" cy="504825"/>
            <wp:effectExtent l="0" t="0" r="0" b="9525"/>
            <wp:wrapNone/>
            <wp:docPr id="35"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795" cy="504825"/>
                    </a:xfrm>
                    <a:prstGeom prst="rect">
                      <a:avLst/>
                    </a:prstGeom>
                    <a:noFill/>
                  </pic:spPr>
                </pic:pic>
              </a:graphicData>
            </a:graphic>
            <wp14:sizeRelH relativeFrom="page">
              <wp14:pctWidth>0</wp14:pctWidth>
            </wp14:sizeRelH>
            <wp14:sizeRelV relativeFrom="page">
              <wp14:pctHeight>0</wp14:pctHeight>
            </wp14:sizeRelV>
          </wp:anchor>
        </w:drawing>
      </w:r>
      <w:r w:rsidRPr="006D2744">
        <w:rPr>
          <w:noProof/>
        </w:rPr>
        <w:drawing>
          <wp:anchor distT="0" distB="0" distL="114300" distR="114300" simplePos="0" relativeHeight="251670528" behindDoc="0" locked="0" layoutInCell="1" allowOverlap="1" wp14:anchorId="7ABDCDDC" wp14:editId="5E8F741F">
            <wp:simplePos x="0" y="0"/>
            <wp:positionH relativeFrom="column">
              <wp:posOffset>5056505</wp:posOffset>
            </wp:positionH>
            <wp:positionV relativeFrom="paragraph">
              <wp:posOffset>7753350</wp:posOffset>
            </wp:positionV>
            <wp:extent cx="1390650" cy="219710"/>
            <wp:effectExtent l="0" t="0" r="0" b="8890"/>
            <wp:wrapNone/>
            <wp:docPr id="8" name="Picture 8" descr="C:\Users\kaytie.ruditys\AppData\Local\Microsoft\Windows\Temporary Internet Files\Content.Outlook\ISX68XGE\ria_logomark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ytie.ruditys\AppData\Local\Microsoft\Windows\Temporary Internet Files\Content.Outlook\ISX68XGE\ria_logomark hig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744">
        <w:rPr>
          <w:noProof/>
        </w:rPr>
        <w:drawing>
          <wp:anchor distT="0" distB="0" distL="114300" distR="114300" simplePos="0" relativeHeight="251671552" behindDoc="0" locked="0" layoutInCell="1" allowOverlap="1" wp14:anchorId="4066A533" wp14:editId="3CDC6A7F">
            <wp:simplePos x="0" y="0"/>
            <wp:positionH relativeFrom="column">
              <wp:posOffset>5059045</wp:posOffset>
            </wp:positionH>
            <wp:positionV relativeFrom="paragraph">
              <wp:posOffset>7214870</wp:posOffset>
            </wp:positionV>
            <wp:extent cx="1385570" cy="321945"/>
            <wp:effectExtent l="0" t="0" r="5080" b="1905"/>
            <wp:wrapNone/>
            <wp:docPr id="2" name="Picture 2" descr="http://alamoridge.com/wp-content/uploads/2012/06/nex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amoridge.com/wp-content/uploads/2012/06/nexant.jp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9957" b="89827" l="140" r="100000">
                                  <a14:foregroundMark x1="15255" y1="41558" x2="15255" y2="41558"/>
                                  <a14:foregroundMark x1="3779" y1="47835" x2="3779" y2="47835"/>
                                  <a14:foregroundMark x1="26032" y1="46320" x2="26032" y2="46320"/>
                                  <a14:foregroundMark x1="64031" y1="47835" x2="64031" y2="47835"/>
                                  <a14:foregroundMark x1="76137" y1="47294" x2="76137" y2="47294"/>
                                  <a14:foregroundMark x1="93212" y1="45779" x2="93212" y2="45779"/>
                                </a14:backgroundRemoval>
                              </a14:imgEffect>
                            </a14:imgLayer>
                          </a14:imgProps>
                        </a:ext>
                        <a:ext uri="{28A0092B-C50C-407E-A947-70E740481C1C}">
                          <a14:useLocalDpi xmlns:a14="http://schemas.microsoft.com/office/drawing/2010/main" val="0"/>
                        </a:ext>
                      </a:extLst>
                    </a:blip>
                    <a:srcRect t="29616" b="34367"/>
                    <a:stretch/>
                  </pic:blipFill>
                  <pic:spPr bwMode="auto">
                    <a:xfrm>
                      <a:off x="0" y="0"/>
                      <a:ext cx="1385570" cy="321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2744">
        <w:rPr>
          <w:noProof/>
        </w:rPr>
        <w:drawing>
          <wp:anchor distT="0" distB="0" distL="114300" distR="114300" simplePos="0" relativeHeight="251669504" behindDoc="0" locked="0" layoutInCell="1" allowOverlap="1" wp14:anchorId="6EEE6339" wp14:editId="4A6180C9">
            <wp:simplePos x="0" y="0"/>
            <wp:positionH relativeFrom="column">
              <wp:posOffset>4973955</wp:posOffset>
            </wp:positionH>
            <wp:positionV relativeFrom="paragraph">
              <wp:posOffset>6472555</wp:posOffset>
            </wp:positionV>
            <wp:extent cx="1556385" cy="525780"/>
            <wp:effectExtent l="0" t="0" r="571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638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744">
        <w:rPr>
          <w:noProof/>
        </w:rPr>
        <mc:AlternateContent>
          <mc:Choice Requires="wps">
            <w:drawing>
              <wp:anchor distT="0" distB="0" distL="114300" distR="114300" simplePos="0" relativeHeight="251660288" behindDoc="0" locked="0" layoutInCell="1" allowOverlap="1" wp14:anchorId="19967B42" wp14:editId="3D035D75">
                <wp:simplePos x="0" y="0"/>
                <wp:positionH relativeFrom="column">
                  <wp:posOffset>-733425</wp:posOffset>
                </wp:positionH>
                <wp:positionV relativeFrom="paragraph">
                  <wp:posOffset>-714375</wp:posOffset>
                </wp:positionV>
                <wp:extent cx="5353050" cy="965835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0" cy="9658350"/>
                        </a:xfrm>
                        <a:prstGeom prst="rect">
                          <a:avLst/>
                        </a:prstGeom>
                        <a:solidFill>
                          <a:srgbClr val="448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0B77" w:rsidRDefault="001D0B77" w:rsidP="006D2744">
                            <w:pPr>
                              <w:pStyle w:val="Title"/>
                              <w:pBdr>
                                <w:bottom w:val="none" w:sz="0" w:space="0" w:color="auto"/>
                              </w:pBdr>
                              <w:jc w:val="right"/>
                              <w:rPr>
                                <w:caps/>
                                <w:color w:val="FFFFFF" w:themeColor="background1"/>
                                <w:sz w:val="72"/>
                                <w:szCs w:val="72"/>
                              </w:rPr>
                            </w:pPr>
                          </w:p>
                          <w:p w:rsidR="001D0B77" w:rsidRDefault="001D0B77" w:rsidP="006D2744">
                            <w:pPr>
                              <w:spacing w:before="240"/>
                              <w:ind w:left="720"/>
                              <w:jc w:val="right"/>
                              <w:rPr>
                                <w:color w:val="FFFFFF" w:themeColor="background1"/>
                              </w:rPr>
                            </w:pPr>
                          </w:p>
                          <w:p w:rsidR="001D0B77" w:rsidRDefault="001D0B77" w:rsidP="006D2744">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anchor>
            </w:drawing>
          </mc:Choice>
          <mc:Fallback>
            <w:pict>
              <v:rect id="Rectangle 47" o:spid="_x0000_s1028" style="position:absolute;margin-left:-57.75pt;margin-top:-56.25pt;width:421.5pt;height:7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" fillcolor="#448a99" stroked="f" strokeweight="2pt">
                <v:path arrowok="t"/>
                <v:textbox inset="21.6pt,1in,21.6pt">
                  <w:txbxContent>
                    <w:p w:rsidR="001D0B77" w:rsidRDefault="001D0B77" w:rsidP="006D2744">
                      <w:pPr>
                        <w:pStyle w:val="Title"/>
                        <w:pBdr>
                          <w:bottom w:val="none" w:sz="0" w:space="0" w:color="auto"/>
                        </w:pBdr>
                        <w:jc w:val="right"/>
                        <w:rPr>
                          <w:caps/>
                          <w:color w:val="FFFFFF" w:themeColor="background1"/>
                          <w:sz w:val="72"/>
                          <w:szCs w:val="72"/>
                        </w:rPr>
                      </w:pPr>
                    </w:p>
                    <w:p w:rsidR="001D0B77" w:rsidRDefault="001D0B77" w:rsidP="006D2744">
                      <w:pPr>
                        <w:spacing w:before="240"/>
                        <w:ind w:left="720"/>
                        <w:jc w:val="right"/>
                        <w:rPr>
                          <w:color w:val="FFFFFF" w:themeColor="background1"/>
                        </w:rPr>
                      </w:pPr>
                    </w:p>
                    <w:p w:rsidR="001D0B77" w:rsidRDefault="001D0B77" w:rsidP="006D2744">
                      <w:pPr>
                        <w:spacing w:before="240"/>
                        <w:ind w:left="1008"/>
                        <w:jc w:val="right"/>
                        <w:rPr>
                          <w:color w:val="FFFFFF" w:themeColor="background1"/>
                        </w:rPr>
                      </w:pPr>
                    </w:p>
                  </w:txbxContent>
                </v:textbox>
              </v:rect>
            </w:pict>
          </mc:Fallback>
        </mc:AlternateContent>
      </w:r>
      <w:r w:rsidR="006D2744">
        <w:rPr>
          <w:noProof/>
        </w:rPr>
        <mc:AlternateContent>
          <mc:Choice Requires="wps">
            <w:drawing>
              <wp:anchor distT="0" distB="0" distL="114300" distR="114300" simplePos="0" relativeHeight="251661312" behindDoc="0" locked="0" layoutInCell="1" allowOverlap="1" wp14:anchorId="45251A1C" wp14:editId="3B677E63">
                <wp:simplePos x="0" y="0"/>
                <wp:positionH relativeFrom="column">
                  <wp:posOffset>4818380</wp:posOffset>
                </wp:positionH>
                <wp:positionV relativeFrom="paragraph">
                  <wp:posOffset>-704850</wp:posOffset>
                </wp:positionV>
                <wp:extent cx="1866900" cy="64770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6477000"/>
                        </a:xfrm>
                        <a:prstGeom prst="rect">
                          <a:avLst/>
                        </a:prstGeom>
                        <a:gradFill>
                          <a:gsLst>
                            <a:gs pos="18000">
                              <a:srgbClr val="448A99"/>
                            </a:gs>
                            <a:gs pos="51000">
                              <a:srgbClr val="8AB0B4"/>
                            </a:gs>
                            <a:gs pos="100000">
                              <a:schemeClr val="bg1"/>
                            </a:gs>
                            <a:gs pos="83000">
                              <a:srgbClr val="AFCACD"/>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0B77" w:rsidRDefault="001D0B77" w:rsidP="006D2744">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anchor>
            </w:drawing>
          </mc:Choice>
          <mc:Fallback>
            <w:pict>
              <v:rect id="Rectangle 48" o:spid="_x0000_s1029" style="position:absolute;margin-left:379.4pt;margin-top:-55.5pt;width:147pt;height:51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" fillcolor="#448a99" stroked="f" strokeweight="2pt">
                <v:fill color2="white [3212]" colors="0 #448a99;11796f #448a99;33423f #8ab0b4;54395f #afcacd" focus="100%" type="gradient">
                  <o:fill v:ext="view" type="gradientUnscaled"/>
                </v:fill>
                <v:path arrowok="t"/>
                <v:textbox inset="14.4pt,,14.4pt">
                  <w:txbxContent>
                    <w:p w:rsidR="001D0B77" w:rsidRDefault="001D0B77" w:rsidP="006D2744">
                      <w:pPr>
                        <w:pStyle w:val="Subtitle"/>
                        <w:rPr>
                          <w:color w:val="FFFFFF" w:themeColor="background1"/>
                        </w:rPr>
                      </w:pPr>
                    </w:p>
                  </w:txbxContent>
                </v:textbox>
              </v:rect>
            </w:pict>
          </mc:Fallback>
        </mc:AlternateContent>
      </w:r>
      <w:r w:rsidR="006D2744">
        <w:rPr>
          <w:noProof/>
        </w:rPr>
        <mc:AlternateContent>
          <mc:Choice Requires="wps">
            <w:drawing>
              <wp:anchor distT="0" distB="0" distL="114300" distR="114300" simplePos="0" relativeHeight="251667456" behindDoc="0" locked="0" layoutInCell="1" allowOverlap="1" wp14:anchorId="0C686A1E" wp14:editId="1CBBC5AF">
                <wp:simplePos x="0" y="0"/>
                <wp:positionH relativeFrom="column">
                  <wp:posOffset>4813935</wp:posOffset>
                </wp:positionH>
                <wp:positionV relativeFrom="paragraph">
                  <wp:posOffset>5770245</wp:posOffset>
                </wp:positionV>
                <wp:extent cx="1875790" cy="485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485775"/>
                        </a:xfrm>
                        <a:prstGeom prst="rect">
                          <a:avLst/>
                        </a:prstGeom>
                        <a:noFill/>
                        <a:ln w="9525">
                          <a:noFill/>
                          <a:miter lim="800000"/>
                          <a:headEnd/>
                          <a:tailEnd/>
                        </a:ln>
                      </wps:spPr>
                      <wps:txbx>
                        <w:txbxContent>
                          <w:p w:rsidR="001D0B77" w:rsidRPr="00677F73" w:rsidRDefault="001D0B77" w:rsidP="006D2744">
                            <w:pPr>
                              <w:spacing w:after="120"/>
                              <w:jc w:val="center"/>
                              <w:rPr>
                                <w:rFonts w:ascii="Century Gothic" w:hAnsi="Century Gothic"/>
                                <w:sz w:val="18"/>
                                <w:szCs w:val="64"/>
                              </w:rPr>
                            </w:pPr>
                            <w:r w:rsidRPr="00677F73">
                              <w:rPr>
                                <w:rFonts w:ascii="Century Gothic" w:hAnsi="Century Gothic"/>
                                <w:sz w:val="18"/>
                                <w:szCs w:val="64"/>
                              </w:rPr>
                              <w:t>Prepared by:</w:t>
                            </w:r>
                          </w:p>
                          <w:p w:rsidR="001D0B77" w:rsidRPr="00677F73" w:rsidRDefault="001D0B77" w:rsidP="006D2744">
                            <w:pPr>
                              <w:spacing w:after="120"/>
                              <w:jc w:val="center"/>
                              <w:rPr>
                                <w:rFonts w:ascii="Century Gothic" w:hAnsi="Century Gothic"/>
                                <w:b/>
                                <w:sz w:val="20"/>
                                <w:szCs w:val="64"/>
                              </w:rPr>
                            </w:pPr>
                            <w:r w:rsidRPr="00677F73">
                              <w:rPr>
                                <w:rFonts w:ascii="Century Gothic" w:hAnsi="Century Gothic"/>
                                <w:b/>
                                <w:sz w:val="20"/>
                                <w:szCs w:val="64"/>
                              </w:rPr>
                              <w:t>Statewide Evaluation Team</w:t>
                            </w:r>
                          </w:p>
                          <w:p w:rsidR="001D0B77" w:rsidRPr="00677F73" w:rsidRDefault="001D0B77" w:rsidP="006D2744">
                            <w:pPr>
                              <w:spacing w:after="120"/>
                              <w:jc w:val="center"/>
                              <w:rPr>
                                <w:rFonts w:ascii="Century Gothic" w:hAnsi="Century Gothic"/>
                                <w:szCs w:val="64"/>
                              </w:rPr>
                            </w:pPr>
                          </w:p>
                          <w:p w:rsidR="001D0B77" w:rsidRPr="00677F73" w:rsidRDefault="001D0B77" w:rsidP="006D2744">
                            <w:pPr>
                              <w:spacing w:after="120"/>
                              <w:jc w:val="center"/>
                              <w:rPr>
                                <w:rFonts w:ascii="Century Gothic" w:hAnsi="Century Gothic"/>
                                <w:b/>
                                <w:sz w:val="20"/>
                                <w:szCs w:val="6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9.05pt;margin-top:454.35pt;width:147.7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" filled="f" stroked="f">
                <v:textbox>
                  <w:txbxContent>
                    <w:p w:rsidR="001D0B77" w:rsidRPr="00677F73" w:rsidRDefault="001D0B77" w:rsidP="006D2744">
                      <w:pPr>
                        <w:spacing w:after="120"/>
                        <w:jc w:val="center"/>
                        <w:rPr>
                          <w:rFonts w:ascii="Century Gothic" w:hAnsi="Century Gothic"/>
                          <w:sz w:val="18"/>
                          <w:szCs w:val="64"/>
                        </w:rPr>
                      </w:pPr>
                      <w:r w:rsidRPr="00677F73">
                        <w:rPr>
                          <w:rFonts w:ascii="Century Gothic" w:hAnsi="Century Gothic"/>
                          <w:sz w:val="18"/>
                          <w:szCs w:val="64"/>
                        </w:rPr>
                        <w:t>Prepared by:</w:t>
                      </w:r>
                    </w:p>
                    <w:p w:rsidR="001D0B77" w:rsidRPr="00677F73" w:rsidRDefault="001D0B77" w:rsidP="006D2744">
                      <w:pPr>
                        <w:spacing w:after="120"/>
                        <w:jc w:val="center"/>
                        <w:rPr>
                          <w:rFonts w:ascii="Century Gothic" w:hAnsi="Century Gothic"/>
                          <w:b/>
                          <w:sz w:val="20"/>
                          <w:szCs w:val="64"/>
                        </w:rPr>
                      </w:pPr>
                      <w:r w:rsidRPr="00677F73">
                        <w:rPr>
                          <w:rFonts w:ascii="Century Gothic" w:hAnsi="Century Gothic"/>
                          <w:b/>
                          <w:sz w:val="20"/>
                          <w:szCs w:val="64"/>
                        </w:rPr>
                        <w:t>Statewide Evaluation Team</w:t>
                      </w:r>
                    </w:p>
                    <w:p w:rsidR="001D0B77" w:rsidRPr="00677F73" w:rsidRDefault="001D0B77" w:rsidP="006D2744">
                      <w:pPr>
                        <w:spacing w:after="120"/>
                        <w:jc w:val="center"/>
                        <w:rPr>
                          <w:rFonts w:ascii="Century Gothic" w:hAnsi="Century Gothic"/>
                          <w:szCs w:val="64"/>
                        </w:rPr>
                      </w:pPr>
                    </w:p>
                    <w:p w:rsidR="001D0B77" w:rsidRPr="00677F73" w:rsidRDefault="001D0B77" w:rsidP="006D2744">
                      <w:pPr>
                        <w:spacing w:after="120"/>
                        <w:jc w:val="center"/>
                        <w:rPr>
                          <w:rFonts w:ascii="Century Gothic" w:hAnsi="Century Gothic"/>
                          <w:b/>
                          <w:sz w:val="20"/>
                          <w:szCs w:val="64"/>
                        </w:rPr>
                      </w:pPr>
                    </w:p>
                  </w:txbxContent>
                </v:textbox>
              </v:shape>
            </w:pict>
          </mc:Fallback>
        </mc:AlternateContent>
      </w:r>
    </w:p>
    <w:p w:rsidR="0028303B" w:rsidRPr="007152DD" w:rsidRDefault="00F40397" w:rsidP="007152DD">
      <w:pPr>
        <w:pStyle w:val="Heading1"/>
      </w:pPr>
      <w:r w:rsidRPr="007152DD">
        <w:lastRenderedPageBreak/>
        <w:t>Summary of Findings</w:t>
      </w:r>
    </w:p>
    <w:p w:rsidR="00B43061" w:rsidRPr="00776CAA" w:rsidRDefault="00673140" w:rsidP="00B43061">
      <w:pPr>
        <w:spacing w:after="0" w:line="240" w:lineRule="auto"/>
        <w:jc w:val="both"/>
        <w:rPr>
          <w:rFonts w:cs="Arial"/>
        </w:rPr>
      </w:pPr>
      <w:r w:rsidRPr="00776CAA">
        <w:rPr>
          <w:rFonts w:cs="Arial"/>
        </w:rPr>
        <w:t xml:space="preserve">The Statewide Evaluation (SWE) team recently completed </w:t>
      </w:r>
      <w:r>
        <w:rPr>
          <w:rFonts w:cs="Arial"/>
        </w:rPr>
        <w:t>two</w:t>
      </w:r>
      <w:r w:rsidRPr="00776CAA">
        <w:rPr>
          <w:rFonts w:cs="Arial"/>
        </w:rPr>
        <w:t xml:space="preserve"> market potential studies (MPS) to assess demand-side management potential in Pennsylvania; energy efficiency (EE MPS)</w:t>
      </w:r>
      <w:r>
        <w:rPr>
          <w:rFonts w:cs="Arial"/>
        </w:rPr>
        <w:t xml:space="preserve"> and</w:t>
      </w:r>
      <w:r w:rsidRPr="00776CAA">
        <w:rPr>
          <w:rFonts w:cs="Arial"/>
        </w:rPr>
        <w:t xml:space="preserve"> demand response (DR MPS). </w:t>
      </w:r>
      <w:r>
        <w:rPr>
          <w:rFonts w:cs="Arial"/>
        </w:rPr>
        <w:t>A key</w:t>
      </w:r>
      <w:r w:rsidRPr="00776CAA">
        <w:rPr>
          <w:rFonts w:cs="Arial"/>
        </w:rPr>
        <w:t xml:space="preserve"> purpose of these studies was </w:t>
      </w:r>
      <w:r>
        <w:rPr>
          <w:rFonts w:cs="Arial"/>
        </w:rPr>
        <w:t>to provide information to assist the Commission to</w:t>
      </w:r>
      <w:r w:rsidRPr="00776CAA">
        <w:rPr>
          <w:rFonts w:cs="Arial"/>
        </w:rPr>
        <w:t xml:space="preserve"> </w:t>
      </w:r>
      <w:r>
        <w:rPr>
          <w:rFonts w:cs="Arial"/>
        </w:rPr>
        <w:t xml:space="preserve">establish </w:t>
      </w:r>
      <w:r w:rsidRPr="00776CAA">
        <w:rPr>
          <w:rFonts w:cs="Arial"/>
        </w:rPr>
        <w:t>the reduction targets</w:t>
      </w:r>
      <w:r>
        <w:rPr>
          <w:rFonts w:cs="Arial"/>
        </w:rPr>
        <w:t xml:space="preserve"> for Phase III</w:t>
      </w:r>
      <w:r w:rsidRPr="00776CAA">
        <w:rPr>
          <w:rFonts w:cs="Arial"/>
        </w:rPr>
        <w:t xml:space="preserve"> </w:t>
      </w:r>
      <w:r>
        <w:rPr>
          <w:rFonts w:cs="Arial"/>
        </w:rPr>
        <w:t>for</w:t>
      </w:r>
      <w:r w:rsidRPr="00776CAA">
        <w:rPr>
          <w:rFonts w:cs="Arial"/>
        </w:rPr>
        <w:t xml:space="preserve"> the electric distribution comp</w:t>
      </w:r>
      <w:r>
        <w:rPr>
          <w:rFonts w:cs="Arial"/>
        </w:rPr>
        <w:t>anies (EDCs) subject to Act 129</w:t>
      </w:r>
      <w:r w:rsidR="002249C7">
        <w:rPr>
          <w:rFonts w:cs="Arial"/>
        </w:rPr>
        <w:t>. This report addendum</w:t>
      </w:r>
      <w:r w:rsidRPr="00776CAA">
        <w:rPr>
          <w:rFonts w:cs="Arial"/>
        </w:rPr>
        <w:t xml:space="preserve"> summarizes the key findings of </w:t>
      </w:r>
      <w:r>
        <w:rPr>
          <w:rFonts w:cs="Arial"/>
        </w:rPr>
        <w:t>the market potential studies completed by the SWE Team</w:t>
      </w:r>
      <w:r w:rsidR="002249C7">
        <w:rPr>
          <w:rFonts w:cs="Arial"/>
        </w:rPr>
        <w:t xml:space="preserve"> and provides the Phase III MWh and M</w:t>
      </w:r>
      <w:r w:rsidR="007F0CF7">
        <w:rPr>
          <w:rFonts w:cs="Arial"/>
        </w:rPr>
        <w:t>W savings targets established by the Commission’s policy regarding the mix for energy efficiency and demand response expenditures in Phase III</w:t>
      </w:r>
      <w:r>
        <w:rPr>
          <w:rFonts w:cs="Arial"/>
        </w:rPr>
        <w:t>.</w:t>
      </w:r>
      <w:r w:rsidR="007F0CF7">
        <w:rPr>
          <w:rFonts w:cs="Arial"/>
        </w:rPr>
        <w:t xml:space="preserve"> The Commission is proposing that Phase III cover a five year period starting on June 1, 2016.</w:t>
      </w:r>
    </w:p>
    <w:p w:rsidR="00673140" w:rsidRDefault="00673140" w:rsidP="00B43061">
      <w:pPr>
        <w:spacing w:after="120" w:line="240" w:lineRule="auto"/>
        <w:jc w:val="both"/>
        <w:rPr>
          <w:rFonts w:cs="Arial"/>
        </w:rPr>
      </w:pPr>
    </w:p>
    <w:p w:rsidR="00BE40CB" w:rsidRPr="00776CAA" w:rsidRDefault="00536B11" w:rsidP="00B43061">
      <w:pPr>
        <w:spacing w:after="120" w:line="240" w:lineRule="auto"/>
        <w:jc w:val="both"/>
        <w:rPr>
          <w:rFonts w:cs="Arial"/>
        </w:rPr>
      </w:pPr>
      <w:r w:rsidRPr="00776CAA">
        <w:rPr>
          <w:rFonts w:cs="Arial"/>
        </w:rPr>
        <w:t xml:space="preserve">Act 129 of 2008 imposed an annual spending limit of 2% of 2006 revenues for each EDC.  The SWE’s EE MPS examined program potential assuming that the entire 2% funding allocation would be devoted to energy efficiency. These program potential estimates </w:t>
      </w:r>
      <w:proofErr w:type="gramStart"/>
      <w:r w:rsidRPr="00776CAA">
        <w:rPr>
          <w:rFonts w:cs="Arial"/>
        </w:rPr>
        <w:t>are presented</w:t>
      </w:r>
      <w:proofErr w:type="gramEnd"/>
      <w:r w:rsidRPr="00776CAA">
        <w:rPr>
          <w:rFonts w:cs="Arial"/>
        </w:rPr>
        <w:t xml:space="preserve"> in </w:t>
      </w:r>
      <w:r w:rsidRPr="00776CAA">
        <w:rPr>
          <w:rFonts w:cs="Arial"/>
        </w:rPr>
        <w:fldChar w:fldCharType="begin"/>
      </w:r>
      <w:r w:rsidRPr="00776CAA">
        <w:rPr>
          <w:rFonts w:cs="Arial"/>
        </w:rPr>
        <w:instrText xml:space="preserve"> REF _Ref411509743 \h </w:instrText>
      </w:r>
      <w:r w:rsidR="008C7CFF" w:rsidRPr="00776CAA">
        <w:rPr>
          <w:rFonts w:cs="Arial"/>
        </w:rPr>
        <w:instrText xml:space="preserve"> \* MERGEFORMAT </w:instrText>
      </w:r>
      <w:r w:rsidRPr="00776CAA">
        <w:rPr>
          <w:rFonts w:cs="Arial"/>
        </w:rPr>
      </w:r>
      <w:r w:rsidRPr="00776CAA">
        <w:rPr>
          <w:rFonts w:cs="Arial"/>
        </w:rPr>
        <w:fldChar w:fldCharType="separate"/>
      </w:r>
      <w:r w:rsidRPr="00776CAA">
        <w:rPr>
          <w:rFonts w:cs="Arial"/>
        </w:rPr>
        <w:t xml:space="preserve">Table </w:t>
      </w:r>
      <w:r w:rsidRPr="00776CAA">
        <w:rPr>
          <w:rFonts w:cs="Arial"/>
          <w:noProof/>
        </w:rPr>
        <w:t>1</w:t>
      </w:r>
      <w:r w:rsidRPr="00776CAA">
        <w:rPr>
          <w:rFonts w:cs="Arial"/>
        </w:rPr>
        <w:fldChar w:fldCharType="end"/>
      </w:r>
      <w:r w:rsidRPr="00776CAA">
        <w:rPr>
          <w:rFonts w:cs="Arial"/>
        </w:rPr>
        <w:t xml:space="preserve"> along with the </w:t>
      </w:r>
      <w:r w:rsidR="008178AF" w:rsidRPr="00776CAA">
        <w:rPr>
          <w:rFonts w:cs="Arial"/>
        </w:rPr>
        <w:t xml:space="preserve">SWE’s </w:t>
      </w:r>
      <w:r w:rsidRPr="00776CAA">
        <w:rPr>
          <w:rFonts w:cs="Arial"/>
        </w:rPr>
        <w:t>technical, economic, achievable</w:t>
      </w:r>
      <w:r w:rsidR="000D20E1">
        <w:rPr>
          <w:rFonts w:cs="Arial"/>
        </w:rPr>
        <w:t xml:space="preserve"> and program</w:t>
      </w:r>
      <w:r w:rsidRPr="00776CAA">
        <w:rPr>
          <w:rFonts w:cs="Arial"/>
        </w:rPr>
        <w:t xml:space="preserve"> estimates of energy efficiency potential</w:t>
      </w:r>
      <w:r w:rsidR="008178AF" w:rsidRPr="00776CAA">
        <w:rPr>
          <w:rFonts w:cs="Arial"/>
        </w:rPr>
        <w:t xml:space="preserve">. This table was presented as Table ES-1 of the EE MPS report. </w:t>
      </w:r>
      <w:r w:rsidR="00BE40CB" w:rsidRPr="00776CAA">
        <w:rPr>
          <w:rFonts w:cs="Arial"/>
        </w:rPr>
        <w:t xml:space="preserve"> </w:t>
      </w:r>
      <w:r w:rsidR="00BE40CB" w:rsidRPr="00776CAA">
        <w:rPr>
          <w:rFonts w:cs="Arial"/>
        </w:rPr>
        <w:fldChar w:fldCharType="begin"/>
      </w:r>
      <w:r w:rsidR="00BE40CB" w:rsidRPr="00776CAA">
        <w:rPr>
          <w:rFonts w:cs="Arial"/>
        </w:rPr>
        <w:instrText xml:space="preserve"> REF _Ref411509743 \h </w:instrText>
      </w:r>
      <w:r w:rsidR="008C7CFF" w:rsidRPr="00776CAA">
        <w:rPr>
          <w:rFonts w:cs="Arial"/>
        </w:rPr>
        <w:instrText xml:space="preserve"> \* MERGEFORMAT </w:instrText>
      </w:r>
      <w:r w:rsidR="00BE40CB" w:rsidRPr="00776CAA">
        <w:rPr>
          <w:rFonts w:cs="Arial"/>
        </w:rPr>
      </w:r>
      <w:r w:rsidR="00BE40CB" w:rsidRPr="00776CAA">
        <w:rPr>
          <w:rFonts w:cs="Arial"/>
        </w:rPr>
        <w:fldChar w:fldCharType="separate"/>
      </w:r>
      <w:r w:rsidR="00BE40CB" w:rsidRPr="00776CAA">
        <w:rPr>
          <w:rFonts w:cs="Arial"/>
        </w:rPr>
        <w:t xml:space="preserve">Table </w:t>
      </w:r>
      <w:r w:rsidR="00BE40CB" w:rsidRPr="00776CAA">
        <w:rPr>
          <w:rFonts w:cs="Arial"/>
          <w:noProof/>
        </w:rPr>
        <w:t>1</w:t>
      </w:r>
      <w:r w:rsidR="00BE40CB" w:rsidRPr="00776CAA">
        <w:rPr>
          <w:rFonts w:cs="Arial"/>
        </w:rPr>
        <w:fldChar w:fldCharType="end"/>
      </w:r>
      <w:r w:rsidR="00BE40CB" w:rsidRPr="00776CAA">
        <w:rPr>
          <w:rFonts w:cs="Arial"/>
        </w:rPr>
        <w:t xml:space="preserve"> presents the energy savings that </w:t>
      </w:r>
      <w:proofErr w:type="gramStart"/>
      <w:r w:rsidR="00BE40CB" w:rsidRPr="00776CAA">
        <w:rPr>
          <w:rFonts w:cs="Arial"/>
        </w:rPr>
        <w:t>can be achieved</w:t>
      </w:r>
      <w:proofErr w:type="gramEnd"/>
      <w:r w:rsidR="00BE40CB" w:rsidRPr="00776CAA">
        <w:rPr>
          <w:rFonts w:cs="Arial"/>
        </w:rPr>
        <w:t xml:space="preserve"> by the end of Phase III </w:t>
      </w:r>
      <w:r w:rsidR="00196F2A" w:rsidRPr="00776CAA">
        <w:rPr>
          <w:rFonts w:cs="Arial"/>
        </w:rPr>
        <w:t xml:space="preserve">in </w:t>
      </w:r>
      <w:r w:rsidR="00BE40CB" w:rsidRPr="00776CAA">
        <w:rPr>
          <w:rFonts w:cs="Arial"/>
        </w:rPr>
        <w:t>two ways</w:t>
      </w:r>
      <w:r w:rsidR="00196F2A" w:rsidRPr="00776CAA">
        <w:rPr>
          <w:rFonts w:cs="Arial"/>
        </w:rPr>
        <w:t>:</w:t>
      </w:r>
    </w:p>
    <w:p w:rsidR="00776CAA" w:rsidRPr="00776CAA" w:rsidRDefault="00BE40CB" w:rsidP="00B43061">
      <w:pPr>
        <w:pStyle w:val="ListParagraph"/>
        <w:numPr>
          <w:ilvl w:val="0"/>
          <w:numId w:val="12"/>
        </w:numPr>
        <w:spacing w:after="120" w:line="240" w:lineRule="auto"/>
        <w:ind w:left="360"/>
        <w:jc w:val="both"/>
        <w:rPr>
          <w:rFonts w:cs="Arial"/>
        </w:rPr>
      </w:pPr>
      <w:r w:rsidRPr="00776CAA">
        <w:rPr>
          <w:rFonts w:cs="Arial"/>
          <w:b/>
        </w:rPr>
        <w:t xml:space="preserve">Cumulative </w:t>
      </w:r>
      <w:r w:rsidR="006665CB" w:rsidRPr="00776CAA">
        <w:rPr>
          <w:rFonts w:cs="Arial"/>
          <w:b/>
        </w:rPr>
        <w:t xml:space="preserve">Annual </w:t>
      </w:r>
      <w:r w:rsidRPr="00776CAA">
        <w:rPr>
          <w:rFonts w:cs="Arial"/>
          <w:b/>
        </w:rPr>
        <w:t>Savings</w:t>
      </w:r>
      <w:r w:rsidRPr="00776CAA">
        <w:rPr>
          <w:rFonts w:cs="Arial"/>
        </w:rPr>
        <w:t xml:space="preserve"> – </w:t>
      </w:r>
      <w:r w:rsidR="00776CAA" w:rsidRPr="00776CAA">
        <w:rPr>
          <w:rFonts w:cs="Arial"/>
        </w:rPr>
        <w:t>savings that accumulate in any given year due to participation in energy efficiency programs in that year, as well as participation in prior years, to the extent that participation in prior years continues to yield savings. Cumulative annual energy savings account for the fact that measures installed in prior years may have useful lives longer than one year, and therefore produce savings that persist into the future for some time. However, cumulative annual energy savings also reflect savings decay – that is, savings that can no longer be counted in any given year once a measure is no longer operational or has “burned out.”</w:t>
      </w:r>
    </w:p>
    <w:p w:rsidR="00776CAA" w:rsidRPr="00776CAA" w:rsidRDefault="00BE40CB" w:rsidP="007152DD">
      <w:pPr>
        <w:pStyle w:val="ListParagraph"/>
        <w:numPr>
          <w:ilvl w:val="0"/>
          <w:numId w:val="12"/>
        </w:numPr>
        <w:spacing w:after="0" w:line="240" w:lineRule="auto"/>
        <w:ind w:left="360"/>
        <w:jc w:val="both"/>
        <w:rPr>
          <w:rFonts w:cs="Arial"/>
        </w:rPr>
      </w:pPr>
      <w:r w:rsidRPr="00776CAA">
        <w:rPr>
          <w:rFonts w:cs="Arial"/>
          <w:b/>
        </w:rPr>
        <w:t xml:space="preserve">Incremental </w:t>
      </w:r>
      <w:r w:rsidR="006665CB" w:rsidRPr="00776CAA">
        <w:rPr>
          <w:rFonts w:cs="Arial"/>
          <w:b/>
        </w:rPr>
        <w:t xml:space="preserve">Annual </w:t>
      </w:r>
      <w:r w:rsidRPr="00776CAA">
        <w:rPr>
          <w:rFonts w:cs="Arial"/>
          <w:b/>
        </w:rPr>
        <w:t xml:space="preserve">Savings </w:t>
      </w:r>
      <w:r w:rsidRPr="00776CAA">
        <w:rPr>
          <w:rFonts w:cs="Arial"/>
        </w:rPr>
        <w:t xml:space="preserve">– </w:t>
      </w:r>
      <w:r w:rsidR="00776CAA" w:rsidRPr="00776CAA">
        <w:rPr>
          <w:rFonts w:cs="Arial"/>
        </w:rPr>
        <w:t xml:space="preserve">Incremental annual savings are those that occur in a given year due to participation in energy efficiency programs in that year. In the context of the EE MPS and this </w:t>
      </w:r>
      <w:r w:rsidR="002249C7">
        <w:rPr>
          <w:rFonts w:cs="Arial"/>
        </w:rPr>
        <w:t>report addendum,</w:t>
      </w:r>
      <w:r w:rsidR="00776CAA" w:rsidRPr="00776CAA">
        <w:rPr>
          <w:rFonts w:cs="Arial"/>
        </w:rPr>
        <w:t xml:space="preserve"> Phase III program potential reflects the 5-year sum of incremental annual savings from June 1, 2016 through May 31, 2021.</w:t>
      </w:r>
    </w:p>
    <w:p w:rsidR="00B43061" w:rsidRDefault="00B43061" w:rsidP="00B43061">
      <w:pPr>
        <w:pStyle w:val="Caption"/>
        <w:keepNext/>
        <w:spacing w:after="0"/>
      </w:pPr>
      <w:bookmarkStart w:id="1" w:name="_Ref411509743"/>
    </w:p>
    <w:p w:rsidR="00536B11" w:rsidRPr="008178AF" w:rsidRDefault="00536B11" w:rsidP="005130C2">
      <w:pPr>
        <w:pStyle w:val="Caption"/>
        <w:keepNext/>
      </w:pPr>
      <w:r w:rsidRPr="008178AF">
        <w:t xml:space="preserve">Table </w:t>
      </w:r>
      <w:fldSimple w:instr=" SEQ Table \* ARABIC ">
        <w:r w:rsidR="0074687C">
          <w:rPr>
            <w:noProof/>
          </w:rPr>
          <w:t>1</w:t>
        </w:r>
      </w:fldSimple>
      <w:bookmarkEnd w:id="1"/>
      <w:r w:rsidRPr="008178AF">
        <w:t xml:space="preserve">: Statewide Summary of Potential </w:t>
      </w:r>
      <w:r w:rsidR="001C16BE">
        <w:t xml:space="preserve">EE </w:t>
      </w:r>
      <w:r w:rsidRPr="008178AF">
        <w:t>Savings</w:t>
      </w:r>
      <w:r w:rsidR="001C16BE">
        <w:t xml:space="preserve"> and Costs by Scenario and Year</w:t>
      </w:r>
    </w:p>
    <w:tbl>
      <w:tblPr>
        <w:tblW w:w="9340" w:type="dxa"/>
        <w:jc w:val="center"/>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ook w:val="04A0" w:firstRow="1" w:lastRow="0" w:firstColumn="1" w:lastColumn="0" w:noHBand="0" w:noVBand="1"/>
      </w:tblPr>
      <w:tblGrid>
        <w:gridCol w:w="2354"/>
        <w:gridCol w:w="1119"/>
        <w:gridCol w:w="1127"/>
        <w:gridCol w:w="1359"/>
        <w:gridCol w:w="1127"/>
        <w:gridCol w:w="1127"/>
        <w:gridCol w:w="1127"/>
      </w:tblGrid>
      <w:tr w:rsidR="00536B11" w:rsidRPr="00FC0DB2" w:rsidTr="00B43061">
        <w:trPr>
          <w:trHeight w:val="144"/>
          <w:tblHeader/>
          <w:jc w:val="center"/>
        </w:trPr>
        <w:tc>
          <w:tcPr>
            <w:tcW w:w="2354" w:type="dxa"/>
            <w:shd w:val="clear" w:color="000000" w:fill="448A99"/>
            <w:vAlign w:val="center"/>
            <w:hideMark/>
          </w:tcPr>
          <w:p w:rsidR="00536B11" w:rsidRPr="00625E08" w:rsidRDefault="00536B11" w:rsidP="00536B11">
            <w:pPr>
              <w:spacing w:after="0" w:line="240" w:lineRule="auto"/>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 </w:t>
            </w:r>
          </w:p>
        </w:tc>
        <w:tc>
          <w:tcPr>
            <w:tcW w:w="1119" w:type="dxa"/>
            <w:shd w:val="clear" w:color="000000" w:fill="448A99"/>
            <w:vAlign w:val="center"/>
            <w:hideMark/>
          </w:tcPr>
          <w:p w:rsidR="00536B11" w:rsidRPr="00625E08" w:rsidRDefault="00536B11" w:rsidP="00536B11">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2016</w:t>
            </w:r>
          </w:p>
        </w:tc>
        <w:tc>
          <w:tcPr>
            <w:tcW w:w="1127" w:type="dxa"/>
            <w:shd w:val="clear" w:color="000000" w:fill="448A99"/>
            <w:vAlign w:val="center"/>
            <w:hideMark/>
          </w:tcPr>
          <w:p w:rsidR="00536B11" w:rsidRPr="00625E08" w:rsidRDefault="00536B11" w:rsidP="00536B11">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2017</w:t>
            </w:r>
          </w:p>
        </w:tc>
        <w:tc>
          <w:tcPr>
            <w:tcW w:w="1359" w:type="dxa"/>
            <w:shd w:val="clear" w:color="000000" w:fill="448A99"/>
            <w:vAlign w:val="center"/>
            <w:hideMark/>
          </w:tcPr>
          <w:p w:rsidR="00536B11" w:rsidRPr="00625E08" w:rsidRDefault="00536B11" w:rsidP="00536B11">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2018</w:t>
            </w:r>
          </w:p>
        </w:tc>
        <w:tc>
          <w:tcPr>
            <w:tcW w:w="1127" w:type="dxa"/>
            <w:shd w:val="clear" w:color="000000" w:fill="448A99"/>
            <w:vAlign w:val="center"/>
            <w:hideMark/>
          </w:tcPr>
          <w:p w:rsidR="00536B11" w:rsidRPr="00625E08" w:rsidRDefault="00536B11" w:rsidP="00536B11">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2019</w:t>
            </w:r>
          </w:p>
        </w:tc>
        <w:tc>
          <w:tcPr>
            <w:tcW w:w="1127" w:type="dxa"/>
            <w:shd w:val="clear" w:color="000000" w:fill="448A99"/>
            <w:noWrap/>
            <w:vAlign w:val="center"/>
            <w:hideMark/>
          </w:tcPr>
          <w:p w:rsidR="00536B11" w:rsidRPr="00625E08" w:rsidRDefault="00536B11" w:rsidP="00536B11">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2020</w:t>
            </w:r>
          </w:p>
        </w:tc>
        <w:tc>
          <w:tcPr>
            <w:tcW w:w="1127" w:type="dxa"/>
            <w:shd w:val="clear" w:color="000000" w:fill="448A99"/>
            <w:vAlign w:val="center"/>
            <w:hideMark/>
          </w:tcPr>
          <w:p w:rsidR="00536B11" w:rsidRPr="00625E08" w:rsidRDefault="00536B11" w:rsidP="00536B11">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2025</w:t>
            </w:r>
          </w:p>
        </w:tc>
      </w:tr>
      <w:tr w:rsidR="00536B11" w:rsidRPr="00FC0DB2" w:rsidTr="00B43061">
        <w:trPr>
          <w:trHeight w:val="144"/>
          <w:jc w:val="center"/>
        </w:trPr>
        <w:tc>
          <w:tcPr>
            <w:tcW w:w="9340" w:type="dxa"/>
            <w:gridSpan w:val="7"/>
            <w:shd w:val="clear" w:color="000000" w:fill="9C9393"/>
            <w:vAlign w:val="center"/>
            <w:hideMark/>
          </w:tcPr>
          <w:p w:rsidR="00536B11" w:rsidRPr="00625E08" w:rsidRDefault="00536B11" w:rsidP="00536B11">
            <w:pPr>
              <w:spacing w:after="0" w:line="240" w:lineRule="auto"/>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Cumulative Savings Potential - MWh</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Technical</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6,707,085</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13,016,622</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18,973,644</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24,294,903</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25,336,859</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41,190,328</w:t>
            </w:r>
          </w:p>
        </w:tc>
      </w:tr>
      <w:tr w:rsidR="00536B11" w:rsidRPr="00FC0DB2" w:rsidTr="00B43061">
        <w:trPr>
          <w:trHeight w:val="144"/>
          <w:jc w:val="center"/>
        </w:trPr>
        <w:tc>
          <w:tcPr>
            <w:tcW w:w="2354" w:type="dxa"/>
            <w:shd w:val="clear" w:color="auto" w:fill="D2EAF1"/>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Economic</w:t>
            </w:r>
          </w:p>
        </w:tc>
        <w:tc>
          <w:tcPr>
            <w:tcW w:w="111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4,895,392</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9,387,083</w:t>
            </w:r>
          </w:p>
        </w:tc>
        <w:tc>
          <w:tcPr>
            <w:tcW w:w="135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13,662,316</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17,628,245</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17,253,764</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26,944,933</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2,761,211</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5,438,518</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8,133,238</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10,772,462</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10,983,129</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19,357,092</w:t>
            </w:r>
          </w:p>
        </w:tc>
      </w:tr>
      <w:tr w:rsidR="00536B11" w:rsidRPr="00FC0DB2" w:rsidTr="00B43061">
        <w:trPr>
          <w:trHeight w:val="144"/>
          <w:jc w:val="center"/>
        </w:trPr>
        <w:tc>
          <w:tcPr>
            <w:tcW w:w="2354" w:type="dxa"/>
            <w:shd w:val="clear" w:color="auto" w:fill="D2EAF1"/>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1,610,739</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3,285,284</w:t>
            </w:r>
          </w:p>
        </w:tc>
        <w:tc>
          <w:tcPr>
            <w:tcW w:w="135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4,980,543</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6,649,165</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6,748,807</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12,111,889</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Program</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1,217,554</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2,480,941</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3,758,994</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5,015,090</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5,092,433</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w:t>
            </w:r>
          </w:p>
        </w:tc>
      </w:tr>
      <w:tr w:rsidR="00536B11" w:rsidRPr="00FC0DB2" w:rsidTr="00B43061">
        <w:trPr>
          <w:trHeight w:val="144"/>
          <w:jc w:val="center"/>
        </w:trPr>
        <w:tc>
          <w:tcPr>
            <w:tcW w:w="9340" w:type="dxa"/>
            <w:gridSpan w:val="7"/>
            <w:shd w:val="clear" w:color="auto" w:fill="9C9393"/>
            <w:vAlign w:val="center"/>
            <w:hideMark/>
          </w:tcPr>
          <w:p w:rsidR="00536B11" w:rsidRPr="004552CC" w:rsidRDefault="00536B11" w:rsidP="00536B11">
            <w:pPr>
              <w:spacing w:after="0" w:line="240" w:lineRule="auto"/>
              <w:rPr>
                <w:rFonts w:eastAsia="Times New Roman" w:cs="Times New Roman"/>
                <w:b/>
                <w:bCs/>
                <w:color w:val="FFFFFF"/>
                <w:sz w:val="20"/>
                <w:szCs w:val="20"/>
              </w:rPr>
            </w:pPr>
            <w:r w:rsidRPr="004552CC">
              <w:rPr>
                <w:rFonts w:eastAsia="Times New Roman" w:cs="Times New Roman"/>
                <w:b/>
                <w:bCs/>
                <w:color w:val="FFFFFF"/>
                <w:sz w:val="20"/>
                <w:szCs w:val="20"/>
              </w:rPr>
              <w:t xml:space="preserve">Cumulative Savings </w:t>
            </w:r>
            <w:r w:rsidRPr="004552CC">
              <w:rPr>
                <w:rFonts w:eastAsia="Times New Roman" w:cs="Times New Roman"/>
                <w:b/>
                <w:bCs/>
                <w:color w:val="FFFFFF" w:themeColor="background1"/>
                <w:sz w:val="20"/>
                <w:szCs w:val="20"/>
              </w:rPr>
              <w:t>Potential - % of 2010 Load</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1.9%</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3.7%</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5.5%</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7.3%</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7.5%</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13.2%</w:t>
            </w:r>
          </w:p>
        </w:tc>
      </w:tr>
      <w:tr w:rsidR="00536B11" w:rsidRPr="00FC0DB2" w:rsidTr="00B43061">
        <w:trPr>
          <w:trHeight w:val="144"/>
          <w:jc w:val="center"/>
        </w:trPr>
        <w:tc>
          <w:tcPr>
            <w:tcW w:w="2354" w:type="dxa"/>
            <w:shd w:val="clear" w:color="auto" w:fill="D2EAF1"/>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1.1%</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2.2%</w:t>
            </w:r>
          </w:p>
        </w:tc>
        <w:tc>
          <w:tcPr>
            <w:tcW w:w="135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3.4%</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4.5%</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4.6%</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8.3%</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0.8%</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1.7%</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2.6%</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3.4%</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3.5%</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w:t>
            </w:r>
          </w:p>
        </w:tc>
      </w:tr>
      <w:tr w:rsidR="00536B11" w:rsidRPr="00FC0DB2" w:rsidTr="00B43061">
        <w:trPr>
          <w:trHeight w:val="144"/>
          <w:jc w:val="center"/>
        </w:trPr>
        <w:tc>
          <w:tcPr>
            <w:tcW w:w="9340" w:type="dxa"/>
            <w:gridSpan w:val="7"/>
            <w:shd w:val="clear" w:color="auto" w:fill="9C9393"/>
            <w:vAlign w:val="center"/>
            <w:hideMark/>
          </w:tcPr>
          <w:p w:rsidR="00536B11" w:rsidRPr="004552CC" w:rsidRDefault="00536B11" w:rsidP="00536B11">
            <w:pPr>
              <w:spacing w:after="0" w:line="240" w:lineRule="auto"/>
              <w:rPr>
                <w:rFonts w:eastAsia="Times New Roman" w:cs="Times New Roman"/>
                <w:b/>
                <w:bCs/>
                <w:color w:val="FFFFFF"/>
                <w:sz w:val="20"/>
                <w:szCs w:val="20"/>
              </w:rPr>
            </w:pPr>
            <w:r w:rsidRPr="004552CC">
              <w:rPr>
                <w:rFonts w:eastAsia="Times New Roman" w:cs="Times New Roman"/>
                <w:b/>
                <w:bCs/>
                <w:color w:val="FFFFFF"/>
                <w:sz w:val="20"/>
                <w:szCs w:val="20"/>
              </w:rPr>
              <w:t>Incremental Savings Potential - MWh</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2,761,211</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2,866,823</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2,989,121</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3,104,271</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2,610,702</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2,574,169</w:t>
            </w:r>
          </w:p>
        </w:tc>
      </w:tr>
      <w:tr w:rsidR="00536B11" w:rsidRPr="00FC0DB2" w:rsidTr="00B43061">
        <w:trPr>
          <w:trHeight w:val="144"/>
          <w:jc w:val="center"/>
        </w:trPr>
        <w:tc>
          <w:tcPr>
            <w:tcW w:w="2354" w:type="dxa"/>
            <w:shd w:val="clear" w:color="auto" w:fill="D2EAF1"/>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1,610,739</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1,725,249</w:t>
            </w:r>
          </w:p>
        </w:tc>
        <w:tc>
          <w:tcPr>
            <w:tcW w:w="135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1,836,917</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1,943,976</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1,665,279</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1,794,256</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1,217,554</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1,302,307</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1,386,202</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1,466,663</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1,256,735</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w:t>
            </w:r>
          </w:p>
        </w:tc>
      </w:tr>
      <w:tr w:rsidR="00536B11" w:rsidRPr="00FC0DB2" w:rsidTr="00B43061">
        <w:trPr>
          <w:trHeight w:val="144"/>
          <w:jc w:val="center"/>
        </w:trPr>
        <w:tc>
          <w:tcPr>
            <w:tcW w:w="9340" w:type="dxa"/>
            <w:gridSpan w:val="7"/>
            <w:shd w:val="clear" w:color="auto" w:fill="9C9393"/>
            <w:vAlign w:val="center"/>
            <w:hideMark/>
          </w:tcPr>
          <w:p w:rsidR="00536B11" w:rsidRPr="004552CC" w:rsidRDefault="00536B11" w:rsidP="00536B11">
            <w:pPr>
              <w:spacing w:after="0" w:line="240" w:lineRule="auto"/>
              <w:rPr>
                <w:rFonts w:eastAsia="Times New Roman" w:cs="Times New Roman"/>
                <w:b/>
                <w:bCs/>
                <w:color w:val="FFFFFF"/>
                <w:sz w:val="20"/>
                <w:szCs w:val="20"/>
              </w:rPr>
            </w:pPr>
            <w:r w:rsidRPr="004552CC">
              <w:rPr>
                <w:rFonts w:eastAsia="Times New Roman" w:cs="Times New Roman"/>
                <w:b/>
                <w:bCs/>
                <w:color w:val="FFFFFF" w:themeColor="background1"/>
                <w:sz w:val="20"/>
                <w:szCs w:val="20"/>
              </w:rPr>
              <w:t>Incremental Savings Potential - % of  2010 Load</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1.9%</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2.0%</w:t>
            </w:r>
          </w:p>
        </w:tc>
        <w:tc>
          <w:tcPr>
            <w:tcW w:w="1359"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2.0%</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2.1%</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1.8%</w:t>
            </w:r>
          </w:p>
        </w:tc>
        <w:tc>
          <w:tcPr>
            <w:tcW w:w="1127" w:type="dxa"/>
            <w:shd w:val="clear" w:color="auto" w:fill="auto"/>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1.8%</w:t>
            </w:r>
          </w:p>
        </w:tc>
      </w:tr>
      <w:tr w:rsidR="00536B11" w:rsidRPr="00FC0DB2" w:rsidTr="00B43061">
        <w:trPr>
          <w:trHeight w:val="144"/>
          <w:jc w:val="center"/>
        </w:trPr>
        <w:tc>
          <w:tcPr>
            <w:tcW w:w="2354" w:type="dxa"/>
            <w:shd w:val="clear" w:color="auto" w:fill="D2EAF1"/>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lastRenderedPageBreak/>
              <w:t>Base Achievable</w:t>
            </w:r>
          </w:p>
        </w:tc>
        <w:tc>
          <w:tcPr>
            <w:tcW w:w="111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1.1%</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1.2%</w:t>
            </w:r>
          </w:p>
        </w:tc>
        <w:tc>
          <w:tcPr>
            <w:tcW w:w="1359"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1.3%</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1.1%</w:t>
            </w:r>
          </w:p>
        </w:tc>
        <w:tc>
          <w:tcPr>
            <w:tcW w:w="1127" w:type="dxa"/>
            <w:shd w:val="clear" w:color="auto" w:fill="D2EAF1"/>
            <w:noWrap/>
            <w:vAlign w:val="center"/>
            <w:hideMark/>
          </w:tcPr>
          <w:p w:rsidR="00536B11" w:rsidRPr="004552CC" w:rsidRDefault="00536B11" w:rsidP="00536B11">
            <w:pPr>
              <w:spacing w:after="0" w:line="240" w:lineRule="auto"/>
              <w:jc w:val="center"/>
              <w:rPr>
                <w:color w:val="000000"/>
                <w:sz w:val="20"/>
                <w:szCs w:val="20"/>
              </w:rPr>
            </w:pPr>
            <w:r w:rsidRPr="004552CC">
              <w:rPr>
                <w:color w:val="000000"/>
                <w:sz w:val="20"/>
                <w:szCs w:val="20"/>
              </w:rPr>
              <w:t>1.2%</w:t>
            </w:r>
          </w:p>
        </w:tc>
      </w:tr>
      <w:tr w:rsidR="00536B11" w:rsidRPr="00FC0DB2" w:rsidTr="00B43061">
        <w:trPr>
          <w:trHeight w:val="144"/>
          <w:jc w:val="center"/>
        </w:trPr>
        <w:tc>
          <w:tcPr>
            <w:tcW w:w="2354" w:type="dxa"/>
            <w:shd w:val="clear" w:color="auto" w:fill="auto"/>
            <w:vAlign w:val="center"/>
            <w:hideMark/>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hideMark/>
          </w:tcPr>
          <w:p w:rsidR="00536B11" w:rsidRPr="004552CC" w:rsidRDefault="00536B11" w:rsidP="00536B11">
            <w:pPr>
              <w:spacing w:after="0" w:line="240" w:lineRule="auto"/>
              <w:jc w:val="center"/>
              <w:rPr>
                <w:bCs/>
                <w:color w:val="000000"/>
                <w:sz w:val="20"/>
                <w:szCs w:val="20"/>
              </w:rPr>
            </w:pPr>
            <w:r w:rsidRPr="004552CC">
              <w:rPr>
                <w:bCs/>
                <w:color w:val="000000"/>
                <w:sz w:val="20"/>
                <w:szCs w:val="20"/>
              </w:rPr>
              <w:t>0.8%</w:t>
            </w:r>
          </w:p>
        </w:tc>
        <w:tc>
          <w:tcPr>
            <w:tcW w:w="1127" w:type="dxa"/>
            <w:shd w:val="clear" w:color="auto" w:fill="auto"/>
            <w:noWrap/>
            <w:vAlign w:val="center"/>
            <w:hideMark/>
          </w:tcPr>
          <w:p w:rsidR="00536B11" w:rsidRPr="004552CC" w:rsidRDefault="00536B11" w:rsidP="00536B11">
            <w:pPr>
              <w:spacing w:after="0" w:line="240" w:lineRule="auto"/>
              <w:jc w:val="center"/>
              <w:rPr>
                <w:bCs/>
                <w:color w:val="000000"/>
                <w:sz w:val="20"/>
                <w:szCs w:val="20"/>
              </w:rPr>
            </w:pPr>
            <w:r w:rsidRPr="004552CC">
              <w:rPr>
                <w:bCs/>
                <w:color w:val="000000"/>
                <w:sz w:val="20"/>
                <w:szCs w:val="20"/>
              </w:rPr>
              <w:t>0.9%</w:t>
            </w:r>
          </w:p>
        </w:tc>
        <w:tc>
          <w:tcPr>
            <w:tcW w:w="1359" w:type="dxa"/>
            <w:shd w:val="clear" w:color="auto" w:fill="auto"/>
            <w:noWrap/>
            <w:vAlign w:val="center"/>
            <w:hideMark/>
          </w:tcPr>
          <w:p w:rsidR="00536B11" w:rsidRPr="004552CC" w:rsidRDefault="00536B11" w:rsidP="00536B11">
            <w:pPr>
              <w:spacing w:after="0" w:line="240" w:lineRule="auto"/>
              <w:jc w:val="center"/>
              <w:rPr>
                <w:bCs/>
                <w:color w:val="000000"/>
                <w:sz w:val="20"/>
                <w:szCs w:val="20"/>
              </w:rPr>
            </w:pPr>
            <w:r w:rsidRPr="004552CC">
              <w:rPr>
                <w:bCs/>
                <w:color w:val="000000"/>
                <w:sz w:val="20"/>
                <w:szCs w:val="20"/>
              </w:rPr>
              <w:t>0.9%</w:t>
            </w:r>
          </w:p>
        </w:tc>
        <w:tc>
          <w:tcPr>
            <w:tcW w:w="1127" w:type="dxa"/>
            <w:shd w:val="clear" w:color="auto" w:fill="auto"/>
            <w:noWrap/>
            <w:vAlign w:val="center"/>
            <w:hideMark/>
          </w:tcPr>
          <w:p w:rsidR="00536B11" w:rsidRPr="004552CC" w:rsidRDefault="00536B11" w:rsidP="00536B11">
            <w:pPr>
              <w:spacing w:after="0" w:line="240" w:lineRule="auto"/>
              <w:jc w:val="center"/>
              <w:rPr>
                <w:bCs/>
                <w:color w:val="000000"/>
                <w:sz w:val="20"/>
                <w:szCs w:val="20"/>
              </w:rPr>
            </w:pPr>
            <w:r w:rsidRPr="004552CC">
              <w:rPr>
                <w:bCs/>
                <w:color w:val="000000"/>
                <w:sz w:val="20"/>
                <w:szCs w:val="20"/>
              </w:rPr>
              <w:t>1.0%</w:t>
            </w:r>
          </w:p>
        </w:tc>
        <w:tc>
          <w:tcPr>
            <w:tcW w:w="1127" w:type="dxa"/>
            <w:shd w:val="clear" w:color="auto" w:fill="auto"/>
            <w:noWrap/>
            <w:vAlign w:val="center"/>
            <w:hideMark/>
          </w:tcPr>
          <w:p w:rsidR="00536B11" w:rsidRPr="004552CC" w:rsidRDefault="00536B11" w:rsidP="00536B11">
            <w:pPr>
              <w:spacing w:after="0" w:line="240" w:lineRule="auto"/>
              <w:jc w:val="center"/>
              <w:rPr>
                <w:bCs/>
                <w:color w:val="000000"/>
                <w:sz w:val="20"/>
                <w:szCs w:val="20"/>
              </w:rPr>
            </w:pPr>
            <w:r w:rsidRPr="004552CC">
              <w:rPr>
                <w:bCs/>
                <w:color w:val="000000"/>
                <w:sz w:val="20"/>
                <w:szCs w:val="20"/>
              </w:rPr>
              <w:t>0.9%</w:t>
            </w:r>
          </w:p>
        </w:tc>
        <w:tc>
          <w:tcPr>
            <w:tcW w:w="1127" w:type="dxa"/>
            <w:shd w:val="clear" w:color="auto" w:fill="auto"/>
            <w:noWrap/>
            <w:vAlign w:val="center"/>
            <w:hideMark/>
          </w:tcPr>
          <w:p w:rsidR="00536B11" w:rsidRPr="004552CC" w:rsidRDefault="00536B11" w:rsidP="00536B11">
            <w:pPr>
              <w:spacing w:after="0" w:line="240" w:lineRule="auto"/>
              <w:jc w:val="center"/>
              <w:rPr>
                <w:bCs/>
                <w:color w:val="000000"/>
                <w:sz w:val="20"/>
                <w:szCs w:val="20"/>
              </w:rPr>
            </w:pPr>
            <w:r w:rsidRPr="004552CC">
              <w:rPr>
                <w:bCs/>
                <w:color w:val="000000"/>
                <w:sz w:val="20"/>
                <w:szCs w:val="20"/>
              </w:rPr>
              <w:t>-</w:t>
            </w:r>
          </w:p>
        </w:tc>
      </w:tr>
      <w:tr w:rsidR="00536B11" w:rsidRPr="00FC0DB2" w:rsidTr="00B43061">
        <w:trPr>
          <w:trHeight w:val="144"/>
          <w:jc w:val="center"/>
        </w:trPr>
        <w:tc>
          <w:tcPr>
            <w:tcW w:w="9340" w:type="dxa"/>
            <w:gridSpan w:val="7"/>
            <w:shd w:val="clear" w:color="auto" w:fill="9C9393"/>
            <w:vAlign w:val="center"/>
          </w:tcPr>
          <w:p w:rsidR="00536B11" w:rsidRPr="004552CC" w:rsidRDefault="00536B11" w:rsidP="00536B11">
            <w:pPr>
              <w:spacing w:after="0" w:line="240" w:lineRule="auto"/>
              <w:rPr>
                <w:rFonts w:eastAsia="Times New Roman" w:cs="Times New Roman"/>
                <w:color w:val="000000"/>
                <w:sz w:val="20"/>
                <w:szCs w:val="20"/>
              </w:rPr>
            </w:pPr>
            <w:r w:rsidRPr="004552CC">
              <w:rPr>
                <w:rFonts w:eastAsia="Times New Roman" w:cs="Times New Roman"/>
                <w:b/>
                <w:bCs/>
                <w:color w:val="FFFFFF" w:themeColor="background1"/>
                <w:sz w:val="20"/>
                <w:szCs w:val="20"/>
              </w:rPr>
              <w:t>EDC Program Costs</w:t>
            </w:r>
            <w:r>
              <w:rPr>
                <w:rFonts w:eastAsia="Times New Roman" w:cs="Times New Roman"/>
                <w:b/>
                <w:bCs/>
                <w:color w:val="FFFFFF" w:themeColor="background1"/>
                <w:sz w:val="20"/>
                <w:szCs w:val="20"/>
              </w:rPr>
              <w:t xml:space="preserve"> - </w:t>
            </w:r>
            <w:r w:rsidRPr="004552CC">
              <w:rPr>
                <w:rFonts w:eastAsia="Times New Roman" w:cs="Times New Roman"/>
                <w:b/>
                <w:bCs/>
                <w:color w:val="FFFFFF" w:themeColor="background1"/>
                <w:sz w:val="20"/>
                <w:szCs w:val="20"/>
              </w:rPr>
              <w:t>Million $</w:t>
            </w:r>
          </w:p>
        </w:tc>
      </w:tr>
      <w:tr w:rsidR="00536B11" w:rsidRPr="00FC0DB2" w:rsidTr="00B43061">
        <w:trPr>
          <w:trHeight w:val="144"/>
          <w:jc w:val="center"/>
        </w:trPr>
        <w:tc>
          <w:tcPr>
            <w:tcW w:w="2354" w:type="dxa"/>
            <w:shd w:val="clear" w:color="auto" w:fill="auto"/>
            <w:vAlign w:val="center"/>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$581.8</w:t>
            </w:r>
          </w:p>
        </w:tc>
        <w:tc>
          <w:tcPr>
            <w:tcW w:w="1127" w:type="dxa"/>
            <w:shd w:val="clear" w:color="auto" w:fill="auto"/>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$601.9</w:t>
            </w:r>
          </w:p>
        </w:tc>
        <w:tc>
          <w:tcPr>
            <w:tcW w:w="1359" w:type="dxa"/>
            <w:shd w:val="clear" w:color="auto" w:fill="auto"/>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$619.9</w:t>
            </w:r>
          </w:p>
        </w:tc>
        <w:tc>
          <w:tcPr>
            <w:tcW w:w="1127" w:type="dxa"/>
            <w:shd w:val="clear" w:color="auto" w:fill="auto"/>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$638.5</w:t>
            </w:r>
          </w:p>
        </w:tc>
        <w:tc>
          <w:tcPr>
            <w:tcW w:w="1127" w:type="dxa"/>
            <w:shd w:val="clear" w:color="auto" w:fill="auto"/>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$607.0</w:t>
            </w:r>
          </w:p>
        </w:tc>
        <w:tc>
          <w:tcPr>
            <w:tcW w:w="1127" w:type="dxa"/>
            <w:shd w:val="clear" w:color="auto" w:fill="auto"/>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$642.6</w:t>
            </w:r>
          </w:p>
        </w:tc>
      </w:tr>
      <w:tr w:rsidR="00536B11" w:rsidRPr="00FC0DB2" w:rsidTr="00B43061">
        <w:trPr>
          <w:trHeight w:val="144"/>
          <w:jc w:val="center"/>
        </w:trPr>
        <w:tc>
          <w:tcPr>
            <w:tcW w:w="2354" w:type="dxa"/>
            <w:shd w:val="clear" w:color="auto" w:fill="D2EAF1"/>
            <w:vAlign w:val="center"/>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$302.1</w:t>
            </w:r>
          </w:p>
        </w:tc>
        <w:tc>
          <w:tcPr>
            <w:tcW w:w="1127" w:type="dxa"/>
            <w:shd w:val="clear" w:color="auto" w:fill="D2EAF1"/>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$316.2</w:t>
            </w:r>
          </w:p>
        </w:tc>
        <w:tc>
          <w:tcPr>
            <w:tcW w:w="1359" w:type="dxa"/>
            <w:shd w:val="clear" w:color="auto" w:fill="D2EAF1"/>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$329.3</w:t>
            </w:r>
          </w:p>
        </w:tc>
        <w:tc>
          <w:tcPr>
            <w:tcW w:w="1127" w:type="dxa"/>
            <w:shd w:val="clear" w:color="auto" w:fill="D2EAF1"/>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$342.6</w:t>
            </w:r>
          </w:p>
        </w:tc>
        <w:tc>
          <w:tcPr>
            <w:tcW w:w="1127" w:type="dxa"/>
            <w:shd w:val="clear" w:color="auto" w:fill="D2EAF1"/>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$325.7</w:t>
            </w:r>
          </w:p>
        </w:tc>
        <w:tc>
          <w:tcPr>
            <w:tcW w:w="1127" w:type="dxa"/>
            <w:shd w:val="clear" w:color="auto" w:fill="D2EAF1"/>
            <w:noWrap/>
            <w:vAlign w:val="center"/>
          </w:tcPr>
          <w:p w:rsidR="00536B11" w:rsidRPr="004552CC" w:rsidRDefault="00536B11" w:rsidP="00536B11">
            <w:pPr>
              <w:spacing w:after="0" w:line="240" w:lineRule="auto"/>
              <w:jc w:val="center"/>
              <w:rPr>
                <w:color w:val="000000"/>
                <w:sz w:val="20"/>
                <w:szCs w:val="20"/>
              </w:rPr>
            </w:pPr>
            <w:r w:rsidRPr="004552CC">
              <w:rPr>
                <w:color w:val="000000"/>
                <w:sz w:val="20"/>
                <w:szCs w:val="20"/>
              </w:rPr>
              <w:t>$361.6</w:t>
            </w:r>
          </w:p>
        </w:tc>
      </w:tr>
      <w:tr w:rsidR="00536B11" w:rsidRPr="00FC0DB2" w:rsidTr="00B43061">
        <w:trPr>
          <w:trHeight w:val="144"/>
          <w:jc w:val="center"/>
        </w:trPr>
        <w:tc>
          <w:tcPr>
            <w:tcW w:w="2354" w:type="dxa"/>
            <w:shd w:val="clear" w:color="auto" w:fill="auto"/>
            <w:vAlign w:val="center"/>
          </w:tcPr>
          <w:p w:rsidR="00536B11" w:rsidRPr="00D36FB6" w:rsidRDefault="00536B11" w:rsidP="00536B11">
            <w:pPr>
              <w:spacing w:after="0" w:line="240" w:lineRule="auto"/>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tcPr>
          <w:p w:rsidR="00536B11" w:rsidRPr="004552CC" w:rsidRDefault="00A47B1A" w:rsidP="00536B11">
            <w:pPr>
              <w:spacing w:after="0" w:line="240" w:lineRule="auto"/>
              <w:jc w:val="center"/>
              <w:rPr>
                <w:bCs/>
                <w:color w:val="000000"/>
                <w:sz w:val="20"/>
                <w:szCs w:val="20"/>
              </w:rPr>
            </w:pPr>
            <w:r>
              <w:rPr>
                <w:bCs/>
                <w:color w:val="000000"/>
                <w:sz w:val="20"/>
                <w:szCs w:val="20"/>
              </w:rPr>
              <w:t>$228.7</w:t>
            </w:r>
          </w:p>
        </w:tc>
        <w:tc>
          <w:tcPr>
            <w:tcW w:w="1127" w:type="dxa"/>
            <w:shd w:val="clear" w:color="auto" w:fill="auto"/>
            <w:noWrap/>
            <w:vAlign w:val="center"/>
          </w:tcPr>
          <w:p w:rsidR="00536B11" w:rsidRPr="004552CC" w:rsidRDefault="00A47B1A" w:rsidP="00536B11">
            <w:pPr>
              <w:spacing w:after="0" w:line="240" w:lineRule="auto"/>
              <w:jc w:val="center"/>
              <w:rPr>
                <w:bCs/>
                <w:color w:val="000000"/>
                <w:sz w:val="20"/>
                <w:szCs w:val="20"/>
              </w:rPr>
            </w:pPr>
            <w:r>
              <w:rPr>
                <w:bCs/>
                <w:color w:val="000000"/>
                <w:sz w:val="20"/>
                <w:szCs w:val="20"/>
              </w:rPr>
              <w:t>$239.2</w:t>
            </w:r>
          </w:p>
        </w:tc>
        <w:tc>
          <w:tcPr>
            <w:tcW w:w="1359" w:type="dxa"/>
            <w:shd w:val="clear" w:color="auto" w:fill="auto"/>
            <w:noWrap/>
            <w:vAlign w:val="center"/>
          </w:tcPr>
          <w:p w:rsidR="00536B11" w:rsidRPr="004552CC" w:rsidRDefault="00A47B1A" w:rsidP="00536B11">
            <w:pPr>
              <w:spacing w:after="0" w:line="240" w:lineRule="auto"/>
              <w:jc w:val="center"/>
              <w:rPr>
                <w:bCs/>
                <w:color w:val="000000"/>
                <w:sz w:val="20"/>
                <w:szCs w:val="20"/>
              </w:rPr>
            </w:pPr>
            <w:r>
              <w:rPr>
                <w:bCs/>
                <w:color w:val="000000"/>
                <w:sz w:val="20"/>
                <w:szCs w:val="20"/>
              </w:rPr>
              <w:t>$249.1</w:t>
            </w:r>
          </w:p>
        </w:tc>
        <w:tc>
          <w:tcPr>
            <w:tcW w:w="1127" w:type="dxa"/>
            <w:shd w:val="clear" w:color="auto" w:fill="auto"/>
            <w:noWrap/>
            <w:vAlign w:val="center"/>
          </w:tcPr>
          <w:p w:rsidR="00536B11" w:rsidRPr="004552CC" w:rsidRDefault="00A47B1A" w:rsidP="00536B11">
            <w:pPr>
              <w:spacing w:after="0" w:line="240" w:lineRule="auto"/>
              <w:jc w:val="center"/>
              <w:rPr>
                <w:bCs/>
                <w:color w:val="000000"/>
                <w:sz w:val="20"/>
                <w:szCs w:val="20"/>
              </w:rPr>
            </w:pPr>
            <w:r>
              <w:rPr>
                <w:bCs/>
                <w:color w:val="000000"/>
                <w:sz w:val="20"/>
                <w:szCs w:val="20"/>
              </w:rPr>
              <w:t>$259.2</w:t>
            </w:r>
          </w:p>
        </w:tc>
        <w:tc>
          <w:tcPr>
            <w:tcW w:w="1127" w:type="dxa"/>
            <w:shd w:val="clear" w:color="auto" w:fill="auto"/>
            <w:noWrap/>
            <w:vAlign w:val="center"/>
          </w:tcPr>
          <w:p w:rsidR="00536B11" w:rsidRPr="004552CC" w:rsidRDefault="00A47B1A" w:rsidP="00536B11">
            <w:pPr>
              <w:spacing w:after="0" w:line="240" w:lineRule="auto"/>
              <w:jc w:val="center"/>
              <w:rPr>
                <w:bCs/>
                <w:color w:val="000000"/>
                <w:sz w:val="20"/>
                <w:szCs w:val="20"/>
              </w:rPr>
            </w:pPr>
            <w:r>
              <w:rPr>
                <w:bCs/>
                <w:color w:val="000000"/>
                <w:sz w:val="20"/>
                <w:szCs w:val="20"/>
              </w:rPr>
              <w:t>$246.4</w:t>
            </w:r>
          </w:p>
        </w:tc>
        <w:tc>
          <w:tcPr>
            <w:tcW w:w="1127" w:type="dxa"/>
            <w:shd w:val="clear" w:color="auto" w:fill="auto"/>
            <w:noWrap/>
            <w:vAlign w:val="center"/>
          </w:tcPr>
          <w:p w:rsidR="00536B11" w:rsidRPr="004552CC" w:rsidRDefault="00536B11" w:rsidP="00536B11">
            <w:pPr>
              <w:spacing w:after="0" w:line="240" w:lineRule="auto"/>
              <w:jc w:val="center"/>
              <w:rPr>
                <w:bCs/>
                <w:color w:val="000000"/>
                <w:sz w:val="20"/>
                <w:szCs w:val="20"/>
              </w:rPr>
            </w:pPr>
            <w:r>
              <w:rPr>
                <w:bCs/>
                <w:color w:val="000000"/>
                <w:sz w:val="20"/>
                <w:szCs w:val="20"/>
              </w:rPr>
              <w:t>n/a*</w:t>
            </w:r>
          </w:p>
        </w:tc>
      </w:tr>
      <w:tr w:rsidR="00536B11" w:rsidRPr="00FC0DB2" w:rsidTr="00B43061">
        <w:trPr>
          <w:trHeight w:val="144"/>
          <w:jc w:val="center"/>
        </w:trPr>
        <w:tc>
          <w:tcPr>
            <w:tcW w:w="9340" w:type="dxa"/>
            <w:gridSpan w:val="7"/>
            <w:shd w:val="clear" w:color="auto" w:fill="448A9C"/>
            <w:vAlign w:val="center"/>
          </w:tcPr>
          <w:p w:rsidR="00536B11" w:rsidRPr="00D36FB6" w:rsidRDefault="00536B11" w:rsidP="00536B11">
            <w:pPr>
              <w:spacing w:after="0" w:line="240" w:lineRule="auto"/>
              <w:rPr>
                <w:bCs/>
                <w:color w:val="FFFFFF" w:themeColor="background1"/>
                <w:sz w:val="18"/>
                <w:szCs w:val="18"/>
              </w:rPr>
            </w:pPr>
            <w:r w:rsidRPr="00D36FB6">
              <w:rPr>
                <w:rFonts w:ascii="Calibri" w:eastAsia="Times New Roman" w:hAnsi="Calibri" w:cs="Times New Roman"/>
                <w:color w:val="FFFFFF" w:themeColor="background1"/>
                <w:sz w:val="18"/>
                <w:szCs w:val="18"/>
              </w:rPr>
              <w:t>*Program potential was only estimated for five years to be consistent with a Phase III of Act 129. Program potential in 2025 would be part of Phase IV of Act 129</w:t>
            </w:r>
          </w:p>
        </w:tc>
      </w:tr>
    </w:tbl>
    <w:p w:rsidR="00776CAA" w:rsidRDefault="00776CAA" w:rsidP="00776CAA">
      <w:pPr>
        <w:spacing w:after="0"/>
        <w:jc w:val="both"/>
        <w:rPr>
          <w:rFonts w:cs="Arial"/>
          <w:szCs w:val="20"/>
        </w:rPr>
      </w:pPr>
    </w:p>
    <w:p w:rsidR="006665CB" w:rsidRDefault="006665CB" w:rsidP="00B43061">
      <w:pPr>
        <w:spacing w:after="0" w:line="240" w:lineRule="auto"/>
        <w:jc w:val="both"/>
        <w:rPr>
          <w:rFonts w:cs="Arial"/>
          <w:szCs w:val="20"/>
        </w:rPr>
      </w:pPr>
      <w:r w:rsidRPr="00776CAA">
        <w:rPr>
          <w:rFonts w:cs="Arial"/>
          <w:szCs w:val="20"/>
        </w:rPr>
        <w:fldChar w:fldCharType="begin"/>
      </w:r>
      <w:r w:rsidRPr="00776CAA">
        <w:rPr>
          <w:rFonts w:cs="Arial"/>
          <w:szCs w:val="20"/>
        </w:rPr>
        <w:instrText xml:space="preserve"> REF _Ref411511825 \h </w:instrText>
      </w:r>
      <w:r w:rsidR="008C7CFF" w:rsidRPr="00776CAA">
        <w:rPr>
          <w:rFonts w:cs="Arial"/>
          <w:szCs w:val="20"/>
        </w:rPr>
        <w:instrText xml:space="preserve"> \* MERGEFORMAT </w:instrText>
      </w:r>
      <w:r w:rsidRPr="00776CAA">
        <w:rPr>
          <w:rFonts w:cs="Arial"/>
          <w:szCs w:val="20"/>
        </w:rPr>
      </w:r>
      <w:r w:rsidRPr="00776CAA">
        <w:rPr>
          <w:rFonts w:cs="Arial"/>
          <w:szCs w:val="20"/>
        </w:rPr>
        <w:fldChar w:fldCharType="separate"/>
      </w:r>
      <w:r w:rsidRPr="00776CAA">
        <w:rPr>
          <w:rFonts w:cs="Arial"/>
          <w:szCs w:val="20"/>
        </w:rPr>
        <w:t xml:space="preserve">Table </w:t>
      </w:r>
      <w:r w:rsidRPr="00776CAA">
        <w:rPr>
          <w:rFonts w:cs="Arial"/>
          <w:noProof/>
          <w:szCs w:val="20"/>
        </w:rPr>
        <w:t>2</w:t>
      </w:r>
      <w:r w:rsidRPr="00776CAA">
        <w:rPr>
          <w:rFonts w:cs="Arial"/>
          <w:szCs w:val="20"/>
        </w:rPr>
        <w:fldChar w:fldCharType="end"/>
      </w:r>
      <w:r w:rsidRPr="00776CAA">
        <w:rPr>
          <w:rFonts w:cs="Arial"/>
          <w:szCs w:val="20"/>
        </w:rPr>
        <w:t xml:space="preserve"> is a </w:t>
      </w:r>
      <w:r w:rsidR="00AE0C8E" w:rsidRPr="00776CAA">
        <w:rPr>
          <w:rFonts w:cs="Arial"/>
          <w:szCs w:val="20"/>
        </w:rPr>
        <w:t>copy</w:t>
      </w:r>
      <w:r w:rsidRPr="00776CAA">
        <w:rPr>
          <w:rFonts w:cs="Arial"/>
          <w:szCs w:val="20"/>
        </w:rPr>
        <w:t xml:space="preserve"> of Table 6-3 of the EE MPS report and shows the SWE’s estimates of incremental annual program potential </w:t>
      </w:r>
      <w:r w:rsidR="001F4E23">
        <w:rPr>
          <w:rFonts w:cs="Arial"/>
          <w:szCs w:val="20"/>
        </w:rPr>
        <w:t xml:space="preserve">savings </w:t>
      </w:r>
      <w:r w:rsidRPr="00776CAA">
        <w:rPr>
          <w:rFonts w:cs="Arial"/>
          <w:szCs w:val="20"/>
        </w:rPr>
        <w:t>for each EDC assuming 100% spending on energy efficiency.</w:t>
      </w:r>
    </w:p>
    <w:p w:rsidR="00B43061" w:rsidRPr="00776CAA" w:rsidRDefault="00B43061" w:rsidP="00B43061">
      <w:pPr>
        <w:spacing w:after="0" w:line="240" w:lineRule="auto"/>
        <w:jc w:val="both"/>
        <w:rPr>
          <w:rFonts w:cs="Arial"/>
          <w:szCs w:val="20"/>
        </w:rPr>
      </w:pPr>
    </w:p>
    <w:p w:rsidR="00A47B1A" w:rsidRPr="00A47B1A" w:rsidRDefault="00A47B1A" w:rsidP="005130C2">
      <w:pPr>
        <w:pStyle w:val="Caption"/>
        <w:keepNext/>
      </w:pPr>
      <w:bookmarkStart w:id="2" w:name="_Ref411511825"/>
      <w:r w:rsidRPr="00A47B1A">
        <w:t xml:space="preserve">Table </w:t>
      </w:r>
      <w:fldSimple w:instr=" SEQ Table \* ARABIC ">
        <w:r w:rsidR="0074687C">
          <w:rPr>
            <w:noProof/>
          </w:rPr>
          <w:t>2</w:t>
        </w:r>
      </w:fldSimple>
      <w:bookmarkEnd w:id="2"/>
      <w:r w:rsidRPr="00A47B1A">
        <w:t>: Five-Year Program Potential Savings and Budget by EDC</w:t>
      </w:r>
    </w:p>
    <w:tbl>
      <w:tblPr>
        <w:tblStyle w:val="LightList-Accent5"/>
        <w:tblW w:w="0" w:type="auto"/>
        <w:tblInd w:w="108" w:type="dxa"/>
        <w:tblLook w:val="04A0" w:firstRow="1" w:lastRow="0" w:firstColumn="1" w:lastColumn="0" w:noHBand="0" w:noVBand="1"/>
      </w:tblPr>
      <w:tblGrid>
        <w:gridCol w:w="1620"/>
        <w:gridCol w:w="1620"/>
        <w:gridCol w:w="2430"/>
        <w:gridCol w:w="2070"/>
        <w:gridCol w:w="1620"/>
      </w:tblGrid>
      <w:tr w:rsidR="00A47B1A" w:rsidRPr="0031271C" w:rsidTr="00A47B1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left w:val="single" w:sz="4" w:space="0" w:color="448A99"/>
              <w:bottom w:val="single" w:sz="4" w:space="0" w:color="448A99"/>
              <w:right w:val="single" w:sz="4" w:space="0" w:color="448A99"/>
            </w:tcBorders>
            <w:shd w:val="clear" w:color="auto" w:fill="448A99"/>
          </w:tcPr>
          <w:p w:rsidR="00A47B1A" w:rsidRPr="00D36FB6" w:rsidRDefault="00A47B1A" w:rsidP="00A47B1A">
            <w:pPr>
              <w:rPr>
                <w:sz w:val="20"/>
                <w:szCs w:val="20"/>
              </w:rPr>
            </w:pPr>
          </w:p>
        </w:tc>
        <w:tc>
          <w:tcPr>
            <w:tcW w:w="16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A47B1A" w:rsidRPr="00D36FB6" w:rsidRDefault="00A47B1A" w:rsidP="00A47B1A">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Portfolio Spending Ceiling (Million $</w:t>
            </w:r>
            <w:r w:rsidRPr="00D36FB6">
              <w:rPr>
                <w:rFonts w:ascii="Calibri" w:hAnsi="Calibri"/>
                <w:sz w:val="20"/>
                <w:szCs w:val="20"/>
              </w:rPr>
              <w:t>)</w:t>
            </w:r>
          </w:p>
        </w:tc>
        <w:tc>
          <w:tcPr>
            <w:tcW w:w="243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A47B1A" w:rsidRPr="00D36FB6" w:rsidRDefault="00A47B1A" w:rsidP="00A47B1A">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D36FB6">
              <w:rPr>
                <w:rFonts w:ascii="Calibri" w:hAnsi="Calibri"/>
                <w:sz w:val="20"/>
                <w:szCs w:val="20"/>
              </w:rPr>
              <w:t>Program Acquisition Costs ($/1</w:t>
            </w:r>
            <w:r w:rsidRPr="00D36FB6">
              <w:rPr>
                <w:rFonts w:ascii="Calibri" w:hAnsi="Calibri"/>
                <w:sz w:val="20"/>
                <w:szCs w:val="20"/>
                <w:vertAlign w:val="superscript"/>
              </w:rPr>
              <w:t>st</w:t>
            </w:r>
            <w:r w:rsidRPr="00D36FB6">
              <w:rPr>
                <w:rFonts w:ascii="Calibri" w:hAnsi="Calibri"/>
                <w:sz w:val="20"/>
                <w:szCs w:val="20"/>
              </w:rPr>
              <w:t>-YR MWh Saved)</w:t>
            </w:r>
          </w:p>
        </w:tc>
        <w:tc>
          <w:tcPr>
            <w:tcW w:w="207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A47B1A" w:rsidRPr="00D36FB6" w:rsidRDefault="00A47B1A" w:rsidP="00A47B1A">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D36FB6">
              <w:rPr>
                <w:rFonts w:ascii="Calibri" w:hAnsi="Calibri"/>
                <w:sz w:val="20"/>
                <w:szCs w:val="20"/>
              </w:rPr>
              <w:t>2016-2020 Potential Savings (MWh)</w:t>
            </w:r>
            <w:r w:rsidR="00A23412">
              <w:rPr>
                <w:rStyle w:val="FootnoteReference"/>
                <w:rFonts w:ascii="Calibri" w:hAnsi="Calibri"/>
                <w:sz w:val="20"/>
                <w:szCs w:val="20"/>
              </w:rPr>
              <w:footnoteReference w:id="2"/>
            </w:r>
          </w:p>
        </w:tc>
        <w:tc>
          <w:tcPr>
            <w:tcW w:w="1620" w:type="dxa"/>
            <w:tcBorders>
              <w:top w:val="single" w:sz="4" w:space="0" w:color="448A99"/>
              <w:left w:val="single" w:sz="4" w:space="0" w:color="448A99"/>
              <w:bottom w:val="single" w:sz="4" w:space="0" w:color="448A99"/>
            </w:tcBorders>
            <w:shd w:val="clear" w:color="auto" w:fill="448A99"/>
            <w:vAlign w:val="center"/>
          </w:tcPr>
          <w:p w:rsidR="00A47B1A" w:rsidRPr="00D36FB6" w:rsidRDefault="002947D5" w:rsidP="00A47B1A">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 of 201</w:t>
            </w:r>
            <w:r w:rsidR="00A47B1A" w:rsidRPr="00D36FB6">
              <w:rPr>
                <w:rFonts w:ascii="Calibri" w:hAnsi="Calibri"/>
                <w:sz w:val="20"/>
                <w:szCs w:val="20"/>
              </w:rPr>
              <w:t>0 Forecast</w:t>
            </w:r>
          </w:p>
        </w:tc>
      </w:tr>
      <w:tr w:rsidR="00A47B1A" w:rsidRPr="0031271C" w:rsidTr="00A47B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360" w:type="dxa"/>
            <w:gridSpan w:val="5"/>
            <w:tcBorders>
              <w:top w:val="single" w:sz="4" w:space="0" w:color="448A99"/>
              <w:left w:val="single" w:sz="4" w:space="0" w:color="448A99"/>
              <w:bottom w:val="single" w:sz="4" w:space="0" w:color="448A99"/>
            </w:tcBorders>
            <w:shd w:val="clear" w:color="auto" w:fill="9C9393"/>
            <w:vAlign w:val="center"/>
          </w:tcPr>
          <w:p w:rsidR="00A47B1A" w:rsidRPr="00D36FB6" w:rsidRDefault="00A47B1A" w:rsidP="00A47B1A">
            <w:pPr>
              <w:rPr>
                <w:rFonts w:ascii="Calibri" w:hAnsi="Calibri"/>
                <w:color w:val="FFFFFF" w:themeColor="background1"/>
                <w:sz w:val="20"/>
                <w:szCs w:val="20"/>
              </w:rPr>
            </w:pPr>
            <w:r w:rsidRPr="00D36FB6">
              <w:rPr>
                <w:color w:val="FFFFFF" w:themeColor="background1"/>
                <w:sz w:val="20"/>
                <w:szCs w:val="20"/>
              </w:rPr>
              <w:t>201</w:t>
            </w:r>
            <w:r>
              <w:rPr>
                <w:color w:val="FFFFFF" w:themeColor="background1"/>
                <w:sz w:val="20"/>
                <w:szCs w:val="20"/>
              </w:rPr>
              <w:t>6</w:t>
            </w:r>
            <w:r w:rsidRPr="00D36FB6">
              <w:rPr>
                <w:color w:val="FFFFFF" w:themeColor="background1"/>
                <w:sz w:val="20"/>
                <w:szCs w:val="20"/>
              </w:rPr>
              <w:t>-2020 – Five-Year Program Potential</w:t>
            </w:r>
          </w:p>
        </w:tc>
      </w:tr>
      <w:tr w:rsidR="00BE40CB" w:rsidRPr="0031271C" w:rsidTr="00B93962">
        <w:trPr>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left w:val="single" w:sz="4" w:space="0" w:color="448A99"/>
              <w:bottom w:val="single" w:sz="4" w:space="0" w:color="448A99"/>
              <w:right w:val="single" w:sz="4" w:space="0" w:color="448A99"/>
            </w:tcBorders>
            <w:vAlign w:val="center"/>
          </w:tcPr>
          <w:p w:rsidR="00BE40CB" w:rsidRDefault="00BE40CB">
            <w:pPr>
              <w:rPr>
                <w:rFonts w:ascii="Calibri" w:hAnsi="Calibri"/>
                <w:color w:val="000000"/>
                <w:sz w:val="20"/>
                <w:szCs w:val="20"/>
              </w:rPr>
            </w:pPr>
            <w:r>
              <w:rPr>
                <w:rFonts w:ascii="Calibri" w:hAnsi="Calibri"/>
                <w:color w:val="000000"/>
                <w:sz w:val="20"/>
                <w:szCs w:val="20"/>
              </w:rPr>
              <w:t>Duquesne</w:t>
            </w:r>
          </w:p>
        </w:tc>
        <w:tc>
          <w:tcPr>
            <w:tcW w:w="1620" w:type="dxa"/>
            <w:tcBorders>
              <w:top w:val="single" w:sz="4" w:space="0" w:color="448A99"/>
              <w:left w:val="single" w:sz="4" w:space="0" w:color="448A99"/>
              <w:bottom w:val="single" w:sz="4" w:space="0" w:color="448A99"/>
              <w:right w:val="single" w:sz="4" w:space="0" w:color="448A99"/>
            </w:tcBorders>
            <w:vAlign w:val="center"/>
          </w:tcPr>
          <w:p w:rsidR="00BE40CB" w:rsidRDefault="00BE40CB" w:rsidP="00B93962">
            <w:pPr>
              <w:ind w:right="43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$97.7 </w:t>
            </w:r>
          </w:p>
        </w:tc>
        <w:tc>
          <w:tcPr>
            <w:tcW w:w="243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$186.9</w:t>
            </w:r>
          </w:p>
        </w:tc>
        <w:tc>
          <w:tcPr>
            <w:tcW w:w="207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522,837 </w:t>
            </w:r>
          </w:p>
        </w:tc>
        <w:tc>
          <w:tcPr>
            <w:tcW w:w="1620" w:type="dxa"/>
            <w:tcBorders>
              <w:top w:val="single" w:sz="4" w:space="0" w:color="448A99"/>
              <w:left w:val="single" w:sz="4" w:space="0" w:color="448A99"/>
              <w:bottom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3.7%</w:t>
            </w:r>
          </w:p>
        </w:tc>
      </w:tr>
      <w:tr w:rsidR="00BE40CB" w:rsidRPr="0031271C" w:rsidTr="00B9396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BE40CB" w:rsidRDefault="00BE40CB">
            <w:pPr>
              <w:rPr>
                <w:rFonts w:ascii="Calibri" w:hAnsi="Calibri"/>
                <w:color w:val="000000"/>
                <w:sz w:val="20"/>
                <w:szCs w:val="20"/>
              </w:rPr>
            </w:pPr>
            <w:r>
              <w:rPr>
                <w:rFonts w:ascii="Calibri" w:hAnsi="Calibri"/>
                <w:color w:val="000000"/>
                <w:sz w:val="20"/>
                <w:szCs w:val="20"/>
              </w:rPr>
              <w:t>FE: Met-Ed</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rsidP="00B93962">
            <w:pPr>
              <w:ind w:right="43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$124.3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$182.2</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682,474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4.6%</w:t>
            </w:r>
          </w:p>
        </w:tc>
      </w:tr>
      <w:tr w:rsidR="00BE40CB" w:rsidRPr="0031271C" w:rsidTr="00B93962">
        <w:trPr>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vAlign w:val="center"/>
          </w:tcPr>
          <w:p w:rsidR="00BE40CB" w:rsidRDefault="00BE40CB">
            <w:pPr>
              <w:rPr>
                <w:rFonts w:ascii="Calibri" w:hAnsi="Calibri"/>
                <w:color w:val="000000"/>
                <w:sz w:val="20"/>
                <w:szCs w:val="20"/>
              </w:rPr>
            </w:pPr>
            <w:r>
              <w:rPr>
                <w:rFonts w:ascii="Calibri" w:hAnsi="Calibri"/>
                <w:color w:val="000000"/>
                <w:sz w:val="20"/>
                <w:szCs w:val="20"/>
              </w:rPr>
              <w:t>FE: Penelec</w:t>
            </w:r>
          </w:p>
        </w:tc>
        <w:tc>
          <w:tcPr>
            <w:tcW w:w="1620" w:type="dxa"/>
            <w:tcBorders>
              <w:top w:val="single" w:sz="4" w:space="0" w:color="448A99"/>
              <w:left w:val="single" w:sz="4" w:space="0" w:color="448A99"/>
              <w:bottom w:val="single" w:sz="4" w:space="0" w:color="448A99"/>
              <w:right w:val="single" w:sz="4" w:space="0" w:color="448A99"/>
            </w:tcBorders>
            <w:vAlign w:val="center"/>
          </w:tcPr>
          <w:p w:rsidR="00BE40CB" w:rsidRDefault="00BE40CB" w:rsidP="00B93962">
            <w:pPr>
              <w:ind w:right="43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$114.9 </w:t>
            </w:r>
          </w:p>
        </w:tc>
        <w:tc>
          <w:tcPr>
            <w:tcW w:w="243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$191.9</w:t>
            </w:r>
          </w:p>
        </w:tc>
        <w:tc>
          <w:tcPr>
            <w:tcW w:w="207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598,704 </w:t>
            </w:r>
          </w:p>
        </w:tc>
        <w:tc>
          <w:tcPr>
            <w:tcW w:w="1620" w:type="dxa"/>
            <w:tcBorders>
              <w:top w:val="single" w:sz="4" w:space="0" w:color="448A99"/>
              <w:left w:val="single" w:sz="4" w:space="0" w:color="448A99"/>
              <w:bottom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4.2%</w:t>
            </w:r>
          </w:p>
        </w:tc>
      </w:tr>
      <w:tr w:rsidR="00BE40CB" w:rsidRPr="0031271C" w:rsidTr="00B9396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BE40CB" w:rsidRDefault="00BE40CB">
            <w:pPr>
              <w:rPr>
                <w:rFonts w:ascii="Calibri" w:hAnsi="Calibri"/>
                <w:color w:val="000000"/>
                <w:sz w:val="20"/>
                <w:szCs w:val="20"/>
              </w:rPr>
            </w:pPr>
            <w:r>
              <w:rPr>
                <w:rFonts w:ascii="Calibri" w:hAnsi="Calibri"/>
                <w:color w:val="000000"/>
                <w:sz w:val="20"/>
                <w:szCs w:val="20"/>
              </w:rPr>
              <w:t>FE: Penn Power</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rsidP="00B93962">
            <w:pPr>
              <w:ind w:right="43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$33.3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$176.1</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189,107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4.0%</w:t>
            </w:r>
          </w:p>
        </w:tc>
      </w:tr>
      <w:tr w:rsidR="00BE40CB" w:rsidRPr="0031271C" w:rsidTr="00B93962">
        <w:trPr>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vAlign w:val="center"/>
          </w:tcPr>
          <w:p w:rsidR="00BE40CB" w:rsidRDefault="00BE40CB">
            <w:pPr>
              <w:rPr>
                <w:rFonts w:ascii="Calibri" w:hAnsi="Calibri"/>
                <w:color w:val="000000"/>
                <w:sz w:val="20"/>
                <w:szCs w:val="20"/>
              </w:rPr>
            </w:pPr>
            <w:r>
              <w:rPr>
                <w:rFonts w:ascii="Calibri" w:hAnsi="Calibri"/>
                <w:color w:val="000000"/>
                <w:sz w:val="20"/>
                <w:szCs w:val="20"/>
              </w:rPr>
              <w:t>FE: WPP</w:t>
            </w:r>
          </w:p>
        </w:tc>
        <w:tc>
          <w:tcPr>
            <w:tcW w:w="1620" w:type="dxa"/>
            <w:tcBorders>
              <w:top w:val="single" w:sz="4" w:space="0" w:color="448A99"/>
              <w:left w:val="single" w:sz="4" w:space="0" w:color="448A99"/>
              <w:bottom w:val="single" w:sz="4" w:space="0" w:color="448A99"/>
              <w:right w:val="single" w:sz="4" w:space="0" w:color="448A99"/>
            </w:tcBorders>
            <w:vAlign w:val="center"/>
          </w:tcPr>
          <w:p w:rsidR="00BE40CB" w:rsidRDefault="00BE40CB" w:rsidP="00B93962">
            <w:pPr>
              <w:ind w:right="43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$117.8 </w:t>
            </w:r>
          </w:p>
        </w:tc>
        <w:tc>
          <w:tcPr>
            <w:tcW w:w="243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$181.0</w:t>
            </w:r>
          </w:p>
        </w:tc>
        <w:tc>
          <w:tcPr>
            <w:tcW w:w="207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650,760 </w:t>
            </w:r>
          </w:p>
        </w:tc>
        <w:tc>
          <w:tcPr>
            <w:tcW w:w="1620" w:type="dxa"/>
            <w:tcBorders>
              <w:top w:val="single" w:sz="4" w:space="0" w:color="448A99"/>
              <w:left w:val="single" w:sz="4" w:space="0" w:color="448A99"/>
              <w:bottom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3.1%</w:t>
            </w:r>
          </w:p>
        </w:tc>
      </w:tr>
      <w:tr w:rsidR="00BE40CB" w:rsidRPr="0031271C" w:rsidTr="00B9396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BE40CB" w:rsidRDefault="00BE40CB">
            <w:pPr>
              <w:rPr>
                <w:rFonts w:ascii="Calibri" w:hAnsi="Calibri"/>
                <w:color w:val="000000"/>
                <w:sz w:val="20"/>
                <w:szCs w:val="20"/>
              </w:rPr>
            </w:pPr>
            <w:r>
              <w:rPr>
                <w:rFonts w:ascii="Calibri" w:hAnsi="Calibri"/>
                <w:color w:val="000000"/>
                <w:sz w:val="20"/>
                <w:szCs w:val="20"/>
              </w:rPr>
              <w:t>PECO</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rsidP="00B93962">
            <w:pPr>
              <w:ind w:right="43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$427.0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$184.7</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2,311,387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5.9%</w:t>
            </w:r>
          </w:p>
        </w:tc>
      </w:tr>
      <w:tr w:rsidR="00BE40CB" w:rsidRPr="0031271C" w:rsidTr="00B93962">
        <w:trPr>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vAlign w:val="center"/>
          </w:tcPr>
          <w:p w:rsidR="00BE40CB" w:rsidRDefault="00BE40CB">
            <w:pPr>
              <w:rPr>
                <w:rFonts w:ascii="Calibri" w:hAnsi="Calibri"/>
                <w:color w:val="000000"/>
                <w:sz w:val="20"/>
                <w:szCs w:val="20"/>
              </w:rPr>
            </w:pPr>
            <w:r>
              <w:rPr>
                <w:rFonts w:ascii="Calibri" w:hAnsi="Calibri"/>
                <w:color w:val="000000"/>
                <w:sz w:val="20"/>
                <w:szCs w:val="20"/>
              </w:rPr>
              <w:t>PPL</w:t>
            </w:r>
          </w:p>
        </w:tc>
        <w:tc>
          <w:tcPr>
            <w:tcW w:w="1620" w:type="dxa"/>
            <w:tcBorders>
              <w:top w:val="single" w:sz="4" w:space="0" w:color="448A99"/>
              <w:left w:val="single" w:sz="4" w:space="0" w:color="448A99"/>
              <w:bottom w:val="single" w:sz="4" w:space="0" w:color="448A99"/>
              <w:right w:val="single" w:sz="4" w:space="0" w:color="448A99"/>
            </w:tcBorders>
            <w:vAlign w:val="center"/>
          </w:tcPr>
          <w:p w:rsidR="00BE40CB" w:rsidRDefault="00BE40CB" w:rsidP="00B93962">
            <w:pPr>
              <w:ind w:right="43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$307.5 </w:t>
            </w:r>
          </w:p>
        </w:tc>
        <w:tc>
          <w:tcPr>
            <w:tcW w:w="243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$183.7</w:t>
            </w:r>
          </w:p>
        </w:tc>
        <w:tc>
          <w:tcPr>
            <w:tcW w:w="2070" w:type="dxa"/>
            <w:tcBorders>
              <w:top w:val="single" w:sz="4" w:space="0" w:color="448A99"/>
              <w:left w:val="single" w:sz="4" w:space="0" w:color="448A99"/>
              <w:bottom w:val="single" w:sz="4" w:space="0" w:color="448A99"/>
              <w:right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1,674,191 </w:t>
            </w:r>
          </w:p>
        </w:tc>
        <w:tc>
          <w:tcPr>
            <w:tcW w:w="1620" w:type="dxa"/>
            <w:tcBorders>
              <w:top w:val="single" w:sz="4" w:space="0" w:color="448A99"/>
              <w:left w:val="single" w:sz="4" w:space="0" w:color="448A99"/>
              <w:bottom w:val="single" w:sz="4" w:space="0" w:color="448A99"/>
            </w:tcBorders>
            <w:vAlign w:val="center"/>
          </w:tcPr>
          <w:p w:rsidR="00BE40CB" w:rsidRDefault="00BE40C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4.4%</w:t>
            </w:r>
          </w:p>
        </w:tc>
      </w:tr>
      <w:tr w:rsidR="00BE40CB" w:rsidRPr="005108B2" w:rsidTr="00B9396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BE40CB" w:rsidRPr="00BE40CB" w:rsidRDefault="00BE40CB">
            <w:pPr>
              <w:rPr>
                <w:rFonts w:ascii="Calibri" w:hAnsi="Calibri"/>
                <w:color w:val="000000"/>
                <w:sz w:val="20"/>
                <w:szCs w:val="20"/>
              </w:rPr>
            </w:pPr>
            <w:r w:rsidRPr="00BE40CB">
              <w:rPr>
                <w:rFonts w:ascii="Calibri" w:hAnsi="Calibri"/>
                <w:bCs w:val="0"/>
                <w:color w:val="000000"/>
                <w:sz w:val="20"/>
                <w:szCs w:val="20"/>
              </w:rPr>
              <w:t>Statewide</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rsidP="00B93962">
            <w:pPr>
              <w:ind w:right="432"/>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$1,222.5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$184.4</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6,629,460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BE40CB" w:rsidRDefault="00BE40CB">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4.5%</w:t>
            </w:r>
          </w:p>
        </w:tc>
      </w:tr>
    </w:tbl>
    <w:p w:rsidR="00B43061" w:rsidRDefault="00B43061" w:rsidP="00B43061">
      <w:pPr>
        <w:spacing w:after="0" w:line="240" w:lineRule="auto"/>
        <w:jc w:val="both"/>
        <w:rPr>
          <w:rFonts w:cs="Arial"/>
        </w:rPr>
      </w:pPr>
    </w:p>
    <w:p w:rsidR="003C4EB2" w:rsidRDefault="003C4EB2" w:rsidP="00B43061">
      <w:pPr>
        <w:spacing w:after="0" w:line="240" w:lineRule="auto"/>
        <w:jc w:val="both"/>
        <w:rPr>
          <w:rFonts w:cs="Arial"/>
        </w:rPr>
      </w:pPr>
      <w:r w:rsidRPr="00776CAA">
        <w:rPr>
          <w:rFonts w:cs="Arial"/>
        </w:rPr>
        <w:t xml:space="preserve">The SWE’s DR MPS </w:t>
      </w:r>
      <w:r w:rsidR="000C19C6" w:rsidRPr="00776CAA">
        <w:rPr>
          <w:rFonts w:cs="Arial"/>
        </w:rPr>
        <w:t>examined demand response program potential beyond projections of PJM commitments inform</w:t>
      </w:r>
      <w:r w:rsidR="002947D5" w:rsidRPr="00776CAA">
        <w:rPr>
          <w:rFonts w:cs="Arial"/>
        </w:rPr>
        <w:t xml:space="preserve">ed by historical participation assuming 10%, 15%, and 20% budget allocation to demand response. </w:t>
      </w:r>
      <w:r w:rsidR="000C19C6" w:rsidRPr="00776CAA">
        <w:rPr>
          <w:rFonts w:cs="Arial"/>
        </w:rPr>
        <w:t xml:space="preserve">The </w:t>
      </w:r>
      <w:r w:rsidR="000C19C6" w:rsidRPr="00001E6B">
        <w:rPr>
          <w:rFonts w:cs="Arial"/>
        </w:rPr>
        <w:t xml:space="preserve">results of this “Business as Usual” scenario </w:t>
      </w:r>
      <w:proofErr w:type="gramStart"/>
      <w:r w:rsidR="000C19C6" w:rsidRPr="00001E6B">
        <w:rPr>
          <w:rFonts w:cs="Arial"/>
        </w:rPr>
        <w:t>are presented</w:t>
      </w:r>
      <w:proofErr w:type="gramEnd"/>
      <w:r w:rsidR="000C19C6" w:rsidRPr="00001E6B">
        <w:rPr>
          <w:rFonts w:cs="Arial"/>
        </w:rPr>
        <w:t xml:space="preserve"> in </w:t>
      </w:r>
      <w:r w:rsidR="000C19C6" w:rsidRPr="00001E6B">
        <w:rPr>
          <w:rFonts w:cs="Arial"/>
        </w:rPr>
        <w:fldChar w:fldCharType="begin"/>
      </w:r>
      <w:r w:rsidR="000C19C6" w:rsidRPr="00001E6B">
        <w:rPr>
          <w:rFonts w:cs="Arial"/>
        </w:rPr>
        <w:instrText xml:space="preserve"> REF _Ref411517282 \h </w:instrText>
      </w:r>
      <w:r w:rsidR="008C7CFF" w:rsidRPr="00001E6B">
        <w:rPr>
          <w:rFonts w:cs="Arial"/>
        </w:rPr>
        <w:instrText xml:space="preserve"> \* MERGEFORMAT </w:instrText>
      </w:r>
      <w:r w:rsidR="000C19C6" w:rsidRPr="00001E6B">
        <w:rPr>
          <w:rFonts w:cs="Arial"/>
        </w:rPr>
      </w:r>
      <w:r w:rsidR="000C19C6" w:rsidRPr="00001E6B">
        <w:rPr>
          <w:rFonts w:cs="Arial"/>
        </w:rPr>
        <w:fldChar w:fldCharType="separate"/>
      </w:r>
      <w:r w:rsidR="000C19C6" w:rsidRPr="00001E6B">
        <w:rPr>
          <w:rFonts w:cs="Arial"/>
        </w:rPr>
        <w:t xml:space="preserve">Table </w:t>
      </w:r>
      <w:r w:rsidR="000C19C6" w:rsidRPr="00001E6B">
        <w:rPr>
          <w:rFonts w:cs="Arial"/>
          <w:noProof/>
        </w:rPr>
        <w:t>3</w:t>
      </w:r>
      <w:r w:rsidR="000C19C6" w:rsidRPr="00001E6B">
        <w:rPr>
          <w:rFonts w:cs="Arial"/>
        </w:rPr>
        <w:fldChar w:fldCharType="end"/>
      </w:r>
      <w:r w:rsidR="000C19C6" w:rsidRPr="00001E6B">
        <w:rPr>
          <w:rFonts w:cs="Arial"/>
        </w:rPr>
        <w:t xml:space="preserve">. This table is a </w:t>
      </w:r>
      <w:r w:rsidR="00AE0C8E" w:rsidRPr="00001E6B">
        <w:rPr>
          <w:rFonts w:cs="Arial"/>
        </w:rPr>
        <w:t>copy</w:t>
      </w:r>
      <w:r w:rsidR="000C19C6" w:rsidRPr="00001E6B">
        <w:rPr>
          <w:rFonts w:cs="Arial"/>
        </w:rPr>
        <w:t xml:space="preserve"> of </w:t>
      </w:r>
      <w:r w:rsidR="00001E6B" w:rsidRPr="00001E6B">
        <w:rPr>
          <w:rFonts w:cs="Arial"/>
        </w:rPr>
        <w:t>Table 7-3</w:t>
      </w:r>
      <w:r w:rsidR="000C19C6" w:rsidRPr="00001E6B">
        <w:rPr>
          <w:rFonts w:cs="Arial"/>
        </w:rPr>
        <w:t xml:space="preserve"> in the DR MPS report</w:t>
      </w:r>
      <w:r w:rsidR="002947D5" w:rsidRPr="00001E6B">
        <w:rPr>
          <w:rFonts w:cs="Arial"/>
        </w:rPr>
        <w:t xml:space="preserve">. </w:t>
      </w:r>
      <w:r w:rsidR="008845CE" w:rsidRPr="00001E6B">
        <w:rPr>
          <w:rFonts w:cs="Arial"/>
        </w:rPr>
        <w:t>The v</w:t>
      </w:r>
      <w:r w:rsidR="002947D5" w:rsidRPr="00001E6B">
        <w:rPr>
          <w:rFonts w:cs="Arial"/>
        </w:rPr>
        <w:t>alues</w:t>
      </w:r>
      <w:r w:rsidR="008845CE" w:rsidRPr="00001E6B">
        <w:rPr>
          <w:rFonts w:cs="Arial"/>
        </w:rPr>
        <w:t xml:space="preserve"> in Table 3 marked with an “*” </w:t>
      </w:r>
      <w:r w:rsidR="002249C7">
        <w:rPr>
          <w:rFonts w:cs="Arial"/>
        </w:rPr>
        <w:t>indicate</w:t>
      </w:r>
      <w:r w:rsidR="008845CE" w:rsidRPr="00001E6B">
        <w:rPr>
          <w:rFonts w:cs="Arial"/>
        </w:rPr>
        <w:t xml:space="preserve"> that </w:t>
      </w:r>
      <w:r w:rsidR="002249C7">
        <w:rPr>
          <w:rFonts w:cs="Arial"/>
        </w:rPr>
        <w:t xml:space="preserve">the </w:t>
      </w:r>
      <w:r w:rsidR="008845CE" w:rsidRPr="00001E6B">
        <w:rPr>
          <w:rFonts w:cs="Arial"/>
        </w:rPr>
        <w:t>EDC’s</w:t>
      </w:r>
      <w:r w:rsidR="002947D5" w:rsidRPr="00001E6B">
        <w:rPr>
          <w:rFonts w:cs="Arial"/>
        </w:rPr>
        <w:t xml:space="preserve"> demand response potential</w:t>
      </w:r>
      <w:r w:rsidR="002947D5" w:rsidRPr="00776CAA">
        <w:rPr>
          <w:rFonts w:cs="Arial"/>
        </w:rPr>
        <w:t xml:space="preserve"> (as opposed to budget) is the constraining factor</w:t>
      </w:r>
      <w:r w:rsidR="008C7CFF" w:rsidRPr="00776CAA">
        <w:rPr>
          <w:rFonts w:cs="Arial"/>
        </w:rPr>
        <w:t xml:space="preserve"> in the scenario. The average annual MW potential figures shown in </w:t>
      </w:r>
      <w:r w:rsidR="008C7CFF" w:rsidRPr="00776CAA">
        <w:rPr>
          <w:rFonts w:cs="Arial"/>
        </w:rPr>
        <w:fldChar w:fldCharType="begin"/>
      </w:r>
      <w:r w:rsidR="008C7CFF" w:rsidRPr="00776CAA">
        <w:rPr>
          <w:rFonts w:cs="Arial"/>
        </w:rPr>
        <w:instrText xml:space="preserve"> REF _Ref411517282 \h  \* MERGEFORMAT </w:instrText>
      </w:r>
      <w:r w:rsidR="008C7CFF" w:rsidRPr="00776CAA">
        <w:rPr>
          <w:rFonts w:cs="Arial"/>
        </w:rPr>
      </w:r>
      <w:r w:rsidR="008C7CFF" w:rsidRPr="00776CAA">
        <w:rPr>
          <w:rFonts w:cs="Arial"/>
        </w:rPr>
        <w:fldChar w:fldCharType="separate"/>
      </w:r>
      <w:r w:rsidR="008C7CFF" w:rsidRPr="00776CAA">
        <w:rPr>
          <w:rFonts w:cs="Arial"/>
        </w:rPr>
        <w:t xml:space="preserve">Table </w:t>
      </w:r>
      <w:r w:rsidR="008C7CFF" w:rsidRPr="00776CAA">
        <w:rPr>
          <w:rFonts w:cs="Arial"/>
          <w:noProof/>
        </w:rPr>
        <w:t>3</w:t>
      </w:r>
      <w:r w:rsidR="008C7CFF" w:rsidRPr="00776CAA">
        <w:rPr>
          <w:rFonts w:cs="Arial"/>
        </w:rPr>
        <w:fldChar w:fldCharType="end"/>
      </w:r>
      <w:r w:rsidR="008C7CFF" w:rsidRPr="00776CAA">
        <w:rPr>
          <w:rFonts w:cs="Arial"/>
        </w:rPr>
        <w:t xml:space="preserve"> are at the generator level and assume DR programs are active in each of the five summers of Phase III.</w:t>
      </w:r>
      <w:r w:rsidR="00490B17">
        <w:rPr>
          <w:rFonts w:cs="Arial"/>
        </w:rPr>
        <w:t xml:space="preserve"> In addition, the methodology used to develop the DR program potential figures shown in Table 3 below assumes that demand response</w:t>
      </w:r>
      <w:r w:rsidR="002249C7">
        <w:rPr>
          <w:rFonts w:cs="Arial"/>
        </w:rPr>
        <w:t xml:space="preserve"> that is</w:t>
      </w:r>
      <w:r w:rsidR="00490B17">
        <w:rPr>
          <w:rFonts w:cs="Arial"/>
        </w:rPr>
        <w:t xml:space="preserve"> already committed to PJM is not </w:t>
      </w:r>
      <w:r w:rsidR="002249C7">
        <w:rPr>
          <w:rFonts w:cs="Arial"/>
        </w:rPr>
        <w:t xml:space="preserve">included as part of the </w:t>
      </w:r>
      <w:r w:rsidR="00490B17">
        <w:rPr>
          <w:rFonts w:cs="Arial"/>
        </w:rPr>
        <w:t xml:space="preserve">DR potential </w:t>
      </w:r>
      <w:r w:rsidR="002249C7">
        <w:rPr>
          <w:rFonts w:cs="Arial"/>
        </w:rPr>
        <w:t>for</w:t>
      </w:r>
      <w:r w:rsidR="00490B17">
        <w:rPr>
          <w:rFonts w:cs="Arial"/>
        </w:rPr>
        <w:t xml:space="preserve"> Phase III.</w:t>
      </w:r>
    </w:p>
    <w:p w:rsidR="00B43061" w:rsidRPr="00776CAA" w:rsidRDefault="00B43061" w:rsidP="00B43061">
      <w:pPr>
        <w:spacing w:after="0" w:line="240" w:lineRule="auto"/>
        <w:jc w:val="both"/>
        <w:rPr>
          <w:rFonts w:cs="Arial"/>
        </w:rPr>
      </w:pPr>
    </w:p>
    <w:p w:rsidR="003C4EB2" w:rsidRPr="00FC42CF" w:rsidRDefault="003C4EB2" w:rsidP="005130C2">
      <w:pPr>
        <w:pStyle w:val="Caption"/>
        <w:keepNext/>
      </w:pPr>
      <w:bookmarkStart w:id="3" w:name="_Ref411517282"/>
      <w:r w:rsidRPr="00FC42CF">
        <w:t xml:space="preserve">Table </w:t>
      </w:r>
      <w:fldSimple w:instr=" SEQ Table \* ARABIC ">
        <w:r w:rsidR="0074687C">
          <w:rPr>
            <w:noProof/>
          </w:rPr>
          <w:t>3</w:t>
        </w:r>
      </w:fldSimple>
      <w:bookmarkEnd w:id="3"/>
      <w:r w:rsidRPr="00FC42CF">
        <w:t xml:space="preserve">: </w:t>
      </w:r>
      <w:r w:rsidR="00FC42CF" w:rsidRPr="00FC42CF">
        <w:t>Phase III DR Program Potential – Net of Projected PJM Commitments</w:t>
      </w:r>
    </w:p>
    <w:tbl>
      <w:tblPr>
        <w:tblStyle w:val="LightList-Accent5"/>
        <w:tblW w:w="0" w:type="auto"/>
        <w:tblInd w:w="108" w:type="dxa"/>
        <w:tblBorders>
          <w:insideH w:val="single" w:sz="4" w:space="0" w:color="448A99"/>
          <w:insideV w:val="single" w:sz="4" w:space="0" w:color="448A99"/>
        </w:tblBorders>
        <w:tblLook w:val="04A0" w:firstRow="1" w:lastRow="0" w:firstColumn="1" w:lastColumn="0" w:noHBand="0" w:noVBand="1"/>
      </w:tblPr>
      <w:tblGrid>
        <w:gridCol w:w="1776"/>
        <w:gridCol w:w="2115"/>
        <w:gridCol w:w="1959"/>
        <w:gridCol w:w="1620"/>
        <w:gridCol w:w="1890"/>
      </w:tblGrid>
      <w:tr w:rsidR="001D0B77" w:rsidRPr="0031271C" w:rsidTr="001D74D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76"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1D0B77" w:rsidRPr="0031271C" w:rsidRDefault="001D0B77" w:rsidP="005130C2">
            <w:pPr>
              <w:jc w:val="center"/>
              <w:rPr>
                <w:sz w:val="20"/>
                <w:szCs w:val="20"/>
              </w:rPr>
            </w:pPr>
            <w:r>
              <w:rPr>
                <w:sz w:val="20"/>
                <w:szCs w:val="20"/>
              </w:rPr>
              <w:t>EDC</w:t>
            </w:r>
          </w:p>
        </w:tc>
        <w:tc>
          <w:tcPr>
            <w:tcW w:w="2115"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1D0B77" w:rsidRPr="0031271C" w:rsidRDefault="001D0B77" w:rsidP="005130C2">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5-Year DR Spending Ceiling (Million $)</w:t>
            </w:r>
          </w:p>
        </w:tc>
        <w:tc>
          <w:tcPr>
            <w:tcW w:w="1959"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1D0B77" w:rsidRDefault="001D0B77" w:rsidP="005130C2">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Program Acquisition Costs ($/MW/year)</w:t>
            </w:r>
          </w:p>
        </w:tc>
        <w:tc>
          <w:tcPr>
            <w:tcW w:w="16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1D0B77" w:rsidRPr="0031271C" w:rsidRDefault="001D0B77" w:rsidP="005130C2">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Average Annual Potential Savings (MW)</w:t>
            </w:r>
          </w:p>
        </w:tc>
        <w:tc>
          <w:tcPr>
            <w:tcW w:w="1890" w:type="dxa"/>
            <w:tcBorders>
              <w:top w:val="single" w:sz="4" w:space="0" w:color="448A99"/>
              <w:left w:val="single" w:sz="4" w:space="0" w:color="448A99"/>
              <w:bottom w:val="single" w:sz="4" w:space="0" w:color="448A99"/>
              <w:right w:val="single" w:sz="4" w:space="0" w:color="448A99"/>
            </w:tcBorders>
            <w:shd w:val="clear" w:color="auto" w:fill="448A99"/>
          </w:tcPr>
          <w:p w:rsidR="001D0B77" w:rsidRDefault="001D0B77" w:rsidP="005130C2">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Reduction Relative to 2007-20</w:t>
            </w:r>
            <w:r w:rsidR="001D74D5">
              <w:rPr>
                <w:sz w:val="20"/>
                <w:szCs w:val="20"/>
              </w:rPr>
              <w:t>0</w:t>
            </w:r>
            <w:r>
              <w:rPr>
                <w:sz w:val="20"/>
                <w:szCs w:val="20"/>
              </w:rPr>
              <w:t>8 Peak Demand</w:t>
            </w:r>
          </w:p>
        </w:tc>
      </w:tr>
      <w:tr w:rsidR="001D0B77" w:rsidRPr="00337CFF" w:rsidTr="001D74D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470" w:type="dxa"/>
            <w:gridSpan w:val="4"/>
            <w:tcBorders>
              <w:top w:val="single" w:sz="4" w:space="0" w:color="448A99"/>
            </w:tcBorders>
            <w:shd w:val="clear" w:color="auto" w:fill="9C9393"/>
            <w:vAlign w:val="center"/>
          </w:tcPr>
          <w:p w:rsidR="001D0B77" w:rsidRPr="00337CFF" w:rsidRDefault="001D0B77" w:rsidP="005130C2">
            <w:pPr>
              <w:rPr>
                <w:rFonts w:ascii="Calibri" w:hAnsi="Calibri"/>
                <w:color w:val="FFFFFF" w:themeColor="background1"/>
                <w:sz w:val="20"/>
                <w:szCs w:val="20"/>
              </w:rPr>
            </w:pPr>
            <w:r w:rsidRPr="00337CFF">
              <w:rPr>
                <w:rFonts w:ascii="Calibri" w:hAnsi="Calibri"/>
                <w:color w:val="FFFFFF" w:themeColor="background1"/>
                <w:sz w:val="20"/>
                <w:szCs w:val="20"/>
              </w:rPr>
              <w:t>2016-2020 – 10% DR Spending</w:t>
            </w:r>
          </w:p>
        </w:tc>
        <w:tc>
          <w:tcPr>
            <w:tcW w:w="1890" w:type="dxa"/>
            <w:tcBorders>
              <w:top w:val="single" w:sz="4" w:space="0" w:color="448A99"/>
            </w:tcBorders>
            <w:shd w:val="clear" w:color="auto" w:fill="9C9393"/>
          </w:tcPr>
          <w:p w:rsidR="001D0B77" w:rsidRPr="00337CFF" w:rsidRDefault="001D0B77" w:rsidP="005130C2">
            <w:pP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sz w:val="20"/>
                <w:szCs w:val="20"/>
              </w:rPr>
            </w:pP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Duquesne</w:t>
            </w:r>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$9.77</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$57,976</w:t>
            </w:r>
          </w:p>
        </w:tc>
        <w:tc>
          <w:tcPr>
            <w:tcW w:w="1620"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34</w:t>
            </w:r>
          </w:p>
        </w:tc>
        <w:tc>
          <w:tcPr>
            <w:tcW w:w="1890" w:type="dxa"/>
            <w:shd w:val="clear" w:color="auto" w:fill="D2EAF1"/>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FE: Met-Ed</w:t>
            </w:r>
          </w:p>
        </w:tc>
        <w:tc>
          <w:tcPr>
            <w:tcW w:w="2115" w:type="dxa"/>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$12.43</w:t>
            </w:r>
          </w:p>
        </w:tc>
        <w:tc>
          <w:tcPr>
            <w:tcW w:w="1959" w:type="dxa"/>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$51,210</w:t>
            </w:r>
          </w:p>
        </w:tc>
        <w:tc>
          <w:tcPr>
            <w:tcW w:w="1620" w:type="dxa"/>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49</w:t>
            </w:r>
          </w:p>
        </w:tc>
        <w:tc>
          <w:tcPr>
            <w:tcW w:w="1890" w:type="dxa"/>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 xml:space="preserve">FE: </w:t>
            </w:r>
            <w:proofErr w:type="spellStart"/>
            <w:r>
              <w:rPr>
                <w:rFonts w:ascii="Calibri" w:hAnsi="Calibri"/>
                <w:color w:val="000000"/>
                <w:sz w:val="20"/>
                <w:szCs w:val="20"/>
              </w:rPr>
              <w:t>Penelec</w:t>
            </w:r>
            <w:proofErr w:type="spellEnd"/>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$11.49</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$50,782</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sidRPr="002249C7">
              <w:rPr>
                <w:rFonts w:ascii="Calibri" w:hAnsi="Calibri"/>
                <w:bCs/>
                <w:sz w:val="20"/>
                <w:szCs w:val="20"/>
              </w:rPr>
              <w:t>0*</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Pr>
                <w:rFonts w:ascii="Calibri" w:hAnsi="Calibri"/>
                <w:bCs/>
                <w:sz w:val="20"/>
                <w:szCs w:val="20"/>
              </w:rPr>
              <w:t>0.0%</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lastRenderedPageBreak/>
              <w:t>FE: Penn Power</w:t>
            </w:r>
          </w:p>
        </w:tc>
        <w:tc>
          <w:tcPr>
            <w:tcW w:w="2115" w:type="dxa"/>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$3.33</w:t>
            </w:r>
          </w:p>
        </w:tc>
        <w:tc>
          <w:tcPr>
            <w:tcW w:w="1959" w:type="dxa"/>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$49,349</w:t>
            </w:r>
          </w:p>
        </w:tc>
        <w:tc>
          <w:tcPr>
            <w:tcW w:w="1620" w:type="dxa"/>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249C7">
              <w:rPr>
                <w:rFonts w:ascii="Calibri" w:hAnsi="Calibri"/>
                <w:sz w:val="20"/>
                <w:szCs w:val="20"/>
              </w:rPr>
              <w:t>13</w:t>
            </w:r>
          </w:p>
        </w:tc>
        <w:tc>
          <w:tcPr>
            <w:tcW w:w="1890" w:type="dxa"/>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1.4%</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FE: WPP</w:t>
            </w:r>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$11.78</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$46,203</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249C7">
              <w:rPr>
                <w:rFonts w:ascii="Calibri" w:hAnsi="Calibri"/>
                <w:sz w:val="20"/>
                <w:szCs w:val="20"/>
              </w:rPr>
              <w:t>51</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1.5%</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PECO</w:t>
            </w:r>
          </w:p>
        </w:tc>
        <w:tc>
          <w:tcPr>
            <w:tcW w:w="2115" w:type="dxa"/>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$42.70</w:t>
            </w:r>
          </w:p>
        </w:tc>
        <w:tc>
          <w:tcPr>
            <w:tcW w:w="1959" w:type="dxa"/>
            <w:shd w:val="clear" w:color="auto" w:fill="auto"/>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$64,257</w:t>
            </w:r>
          </w:p>
        </w:tc>
        <w:tc>
          <w:tcPr>
            <w:tcW w:w="1620" w:type="dxa"/>
            <w:shd w:val="clear" w:color="auto" w:fill="auto"/>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249C7">
              <w:rPr>
                <w:rFonts w:ascii="Calibri" w:hAnsi="Calibri"/>
                <w:sz w:val="20"/>
                <w:szCs w:val="20"/>
              </w:rPr>
              <w:t>133</w:t>
            </w:r>
          </w:p>
        </w:tc>
        <w:tc>
          <w:tcPr>
            <w:tcW w:w="1890" w:type="dxa"/>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1.7%</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PPL</w:t>
            </w:r>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$30.75</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$41,622</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sidRPr="002249C7">
              <w:rPr>
                <w:rFonts w:ascii="Calibri" w:hAnsi="Calibri"/>
                <w:bCs/>
                <w:sz w:val="20"/>
                <w:szCs w:val="20"/>
              </w:rPr>
              <w:t>95*</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Pr>
                <w:rFonts w:ascii="Calibri" w:hAnsi="Calibri"/>
                <w:bCs/>
                <w:sz w:val="20"/>
                <w:szCs w:val="20"/>
              </w:rPr>
              <w:t>1.4%</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Pr="003C4EB2" w:rsidRDefault="001D0B77" w:rsidP="005130C2">
            <w:pPr>
              <w:rPr>
                <w:rFonts w:ascii="Calibri" w:hAnsi="Calibri"/>
                <w:color w:val="000000"/>
                <w:sz w:val="20"/>
                <w:szCs w:val="20"/>
              </w:rPr>
            </w:pPr>
            <w:r w:rsidRPr="003C4EB2">
              <w:rPr>
                <w:rFonts w:ascii="Calibri" w:hAnsi="Calibri"/>
                <w:bCs w:val="0"/>
                <w:color w:val="000000"/>
                <w:sz w:val="20"/>
                <w:szCs w:val="20"/>
              </w:rPr>
              <w:t>Statewide</w:t>
            </w:r>
          </w:p>
        </w:tc>
        <w:tc>
          <w:tcPr>
            <w:tcW w:w="2115" w:type="dxa"/>
            <w:vAlign w:val="center"/>
          </w:tcPr>
          <w:p w:rsidR="001D0B77" w:rsidRPr="00D64973"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sz w:val="20"/>
                <w:szCs w:val="20"/>
              </w:rPr>
            </w:pPr>
            <w:r w:rsidRPr="00D64973">
              <w:rPr>
                <w:rFonts w:ascii="Calibri" w:hAnsi="Calibri"/>
                <w:b/>
                <w:color w:val="000000"/>
                <w:sz w:val="20"/>
                <w:szCs w:val="20"/>
              </w:rPr>
              <w:t>$122.25</w:t>
            </w:r>
          </w:p>
        </w:tc>
        <w:tc>
          <w:tcPr>
            <w:tcW w:w="1959" w:type="dxa"/>
            <w:vAlign w:val="center"/>
          </w:tcPr>
          <w:p w:rsidR="001D0B77" w:rsidRPr="003C4EB2"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0"/>
                <w:szCs w:val="20"/>
              </w:rPr>
            </w:pPr>
            <w:r w:rsidRPr="003C4EB2">
              <w:rPr>
                <w:rFonts w:ascii="Calibri" w:hAnsi="Calibri"/>
                <w:b/>
                <w:color w:val="000000"/>
                <w:sz w:val="20"/>
                <w:szCs w:val="20"/>
              </w:rPr>
              <w:t>$52,310</w:t>
            </w:r>
          </w:p>
        </w:tc>
        <w:tc>
          <w:tcPr>
            <w:tcW w:w="1620" w:type="dxa"/>
            <w:shd w:val="clear" w:color="auto" w:fill="auto"/>
            <w:vAlign w:val="center"/>
          </w:tcPr>
          <w:p w:rsidR="001D0B77" w:rsidRPr="00001E6B"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001E6B">
              <w:rPr>
                <w:rFonts w:ascii="Calibri" w:hAnsi="Calibri"/>
                <w:b/>
                <w:bCs/>
                <w:sz w:val="20"/>
                <w:szCs w:val="20"/>
              </w:rPr>
              <w:t>375</w:t>
            </w:r>
          </w:p>
        </w:tc>
        <w:tc>
          <w:tcPr>
            <w:tcW w:w="1890" w:type="dxa"/>
          </w:tcPr>
          <w:p w:rsidR="001D0B77" w:rsidRPr="00001E6B"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Pr>
                <w:rFonts w:ascii="Calibri" w:hAnsi="Calibri"/>
                <w:b/>
                <w:bCs/>
                <w:sz w:val="20"/>
                <w:szCs w:val="20"/>
              </w:rPr>
              <w:t>1.4%</w:t>
            </w:r>
          </w:p>
        </w:tc>
      </w:tr>
      <w:tr w:rsidR="001D0B77" w:rsidRPr="00337CFF"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7470" w:type="dxa"/>
            <w:gridSpan w:val="4"/>
            <w:shd w:val="clear" w:color="auto" w:fill="9C9393"/>
          </w:tcPr>
          <w:p w:rsidR="001D0B77" w:rsidRPr="00337CFF" w:rsidRDefault="001D0B77" w:rsidP="005130C2">
            <w:pPr>
              <w:rPr>
                <w:rFonts w:ascii="Calibri" w:hAnsi="Calibri"/>
                <w:color w:val="FFFFFF" w:themeColor="background1"/>
                <w:sz w:val="20"/>
                <w:szCs w:val="20"/>
              </w:rPr>
            </w:pPr>
            <w:r w:rsidRPr="00337CFF">
              <w:rPr>
                <w:rFonts w:ascii="Calibri" w:hAnsi="Calibri"/>
                <w:color w:val="FFFFFF" w:themeColor="background1"/>
                <w:sz w:val="20"/>
                <w:szCs w:val="20"/>
              </w:rPr>
              <w:t>2016-2020 – 15% DR Spending</w:t>
            </w:r>
          </w:p>
        </w:tc>
        <w:tc>
          <w:tcPr>
            <w:tcW w:w="1890" w:type="dxa"/>
            <w:shd w:val="clear" w:color="auto" w:fill="9C9393"/>
          </w:tcPr>
          <w:p w:rsidR="001D0B77" w:rsidRPr="00337CFF" w:rsidRDefault="001D0B77" w:rsidP="005130C2">
            <w:pP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20"/>
                <w:szCs w:val="20"/>
              </w:rPr>
            </w:pP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Duquesne</w:t>
            </w:r>
          </w:p>
        </w:tc>
        <w:tc>
          <w:tcPr>
            <w:tcW w:w="2115" w:type="dxa"/>
            <w:shd w:val="clear" w:color="auto" w:fill="D2EAF1"/>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$14.66</w:t>
            </w:r>
          </w:p>
        </w:tc>
        <w:tc>
          <w:tcPr>
            <w:tcW w:w="1959" w:type="dxa"/>
            <w:shd w:val="clear" w:color="auto" w:fill="D2EAF1"/>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$57,976</w:t>
            </w:r>
          </w:p>
        </w:tc>
        <w:tc>
          <w:tcPr>
            <w:tcW w:w="1620" w:type="dxa"/>
            <w:shd w:val="clear" w:color="auto" w:fill="D2EAF1"/>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249C7">
              <w:rPr>
                <w:rFonts w:ascii="Calibri" w:hAnsi="Calibri"/>
                <w:sz w:val="20"/>
                <w:szCs w:val="20"/>
              </w:rPr>
              <w:t>51</w:t>
            </w:r>
          </w:p>
        </w:tc>
        <w:tc>
          <w:tcPr>
            <w:tcW w:w="1890" w:type="dxa"/>
            <w:shd w:val="clear" w:color="auto" w:fill="D2EAF1"/>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2.0%</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FE: Met-Ed</w:t>
            </w:r>
          </w:p>
        </w:tc>
        <w:tc>
          <w:tcPr>
            <w:tcW w:w="2115" w:type="dxa"/>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$18.65</w:t>
            </w:r>
          </w:p>
        </w:tc>
        <w:tc>
          <w:tcPr>
            <w:tcW w:w="1959" w:type="dxa"/>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$51,210</w:t>
            </w:r>
          </w:p>
        </w:tc>
        <w:tc>
          <w:tcPr>
            <w:tcW w:w="1620" w:type="dxa"/>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sidRPr="002249C7">
              <w:rPr>
                <w:rFonts w:ascii="Calibri" w:hAnsi="Calibri"/>
                <w:bCs/>
                <w:sz w:val="20"/>
                <w:szCs w:val="20"/>
              </w:rPr>
              <w:t>50*</w:t>
            </w:r>
          </w:p>
        </w:tc>
        <w:tc>
          <w:tcPr>
            <w:tcW w:w="1890" w:type="dxa"/>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Pr>
                <w:rFonts w:ascii="Calibri" w:hAnsi="Calibri"/>
                <w:bCs/>
                <w:sz w:val="20"/>
                <w:szCs w:val="20"/>
              </w:rPr>
              <w:t>1.9%</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 xml:space="preserve">FE: </w:t>
            </w:r>
            <w:proofErr w:type="spellStart"/>
            <w:r>
              <w:rPr>
                <w:rFonts w:ascii="Calibri" w:hAnsi="Calibri"/>
                <w:color w:val="000000"/>
                <w:sz w:val="20"/>
                <w:szCs w:val="20"/>
              </w:rPr>
              <w:t>Penelec</w:t>
            </w:r>
            <w:proofErr w:type="spellEnd"/>
          </w:p>
        </w:tc>
        <w:tc>
          <w:tcPr>
            <w:tcW w:w="2115" w:type="dxa"/>
            <w:shd w:val="clear" w:color="auto" w:fill="D2EAF1"/>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$17.23</w:t>
            </w:r>
          </w:p>
        </w:tc>
        <w:tc>
          <w:tcPr>
            <w:tcW w:w="1959" w:type="dxa"/>
            <w:shd w:val="clear" w:color="auto" w:fill="D2EAF1"/>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$50,782</w:t>
            </w:r>
          </w:p>
        </w:tc>
        <w:tc>
          <w:tcPr>
            <w:tcW w:w="1620" w:type="dxa"/>
            <w:shd w:val="clear" w:color="auto" w:fill="D2EAF1"/>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0"/>
                <w:szCs w:val="20"/>
              </w:rPr>
            </w:pPr>
            <w:r w:rsidRPr="002249C7">
              <w:rPr>
                <w:rFonts w:ascii="Calibri" w:hAnsi="Calibri"/>
                <w:bCs/>
                <w:sz w:val="20"/>
                <w:szCs w:val="20"/>
              </w:rPr>
              <w:t>0*</w:t>
            </w:r>
          </w:p>
        </w:tc>
        <w:tc>
          <w:tcPr>
            <w:tcW w:w="1890" w:type="dxa"/>
            <w:shd w:val="clear" w:color="auto" w:fill="D2EAF1"/>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0"/>
                <w:szCs w:val="20"/>
              </w:rPr>
            </w:pPr>
            <w:r>
              <w:rPr>
                <w:rFonts w:ascii="Calibri" w:hAnsi="Calibri"/>
                <w:bCs/>
                <w:sz w:val="20"/>
                <w:szCs w:val="20"/>
              </w:rPr>
              <w:t>0.0%</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FE: Penn Power</w:t>
            </w:r>
          </w:p>
        </w:tc>
        <w:tc>
          <w:tcPr>
            <w:tcW w:w="2115" w:type="dxa"/>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$4.99</w:t>
            </w:r>
          </w:p>
        </w:tc>
        <w:tc>
          <w:tcPr>
            <w:tcW w:w="1959" w:type="dxa"/>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$49,349</w:t>
            </w:r>
          </w:p>
        </w:tc>
        <w:tc>
          <w:tcPr>
            <w:tcW w:w="1620" w:type="dxa"/>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249C7">
              <w:rPr>
                <w:rFonts w:ascii="Calibri" w:hAnsi="Calibri"/>
                <w:sz w:val="20"/>
                <w:szCs w:val="20"/>
              </w:rPr>
              <w:t>20</w:t>
            </w:r>
          </w:p>
        </w:tc>
        <w:tc>
          <w:tcPr>
            <w:tcW w:w="1890" w:type="dxa"/>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2.1%</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FE: WPP</w:t>
            </w:r>
          </w:p>
        </w:tc>
        <w:tc>
          <w:tcPr>
            <w:tcW w:w="2115" w:type="dxa"/>
            <w:shd w:val="clear" w:color="auto" w:fill="D2EAF1"/>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$17.67</w:t>
            </w:r>
          </w:p>
        </w:tc>
        <w:tc>
          <w:tcPr>
            <w:tcW w:w="1959" w:type="dxa"/>
            <w:shd w:val="clear" w:color="auto" w:fill="D2EAF1"/>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$46,203</w:t>
            </w:r>
          </w:p>
        </w:tc>
        <w:tc>
          <w:tcPr>
            <w:tcW w:w="1620" w:type="dxa"/>
            <w:shd w:val="clear" w:color="auto" w:fill="D2EAF1"/>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249C7">
              <w:rPr>
                <w:rFonts w:ascii="Calibri" w:hAnsi="Calibri"/>
                <w:sz w:val="20"/>
                <w:szCs w:val="20"/>
              </w:rPr>
              <w:t>76</w:t>
            </w:r>
          </w:p>
        </w:tc>
        <w:tc>
          <w:tcPr>
            <w:tcW w:w="1890" w:type="dxa"/>
            <w:shd w:val="clear" w:color="auto" w:fill="D2EAF1"/>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2.2%</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PECO</w:t>
            </w:r>
          </w:p>
        </w:tc>
        <w:tc>
          <w:tcPr>
            <w:tcW w:w="2115" w:type="dxa"/>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$64.05</w:t>
            </w:r>
          </w:p>
        </w:tc>
        <w:tc>
          <w:tcPr>
            <w:tcW w:w="1959" w:type="dxa"/>
            <w:shd w:val="clear" w:color="auto" w:fill="auto"/>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$64,257</w:t>
            </w:r>
          </w:p>
        </w:tc>
        <w:tc>
          <w:tcPr>
            <w:tcW w:w="1620" w:type="dxa"/>
            <w:shd w:val="clear" w:color="auto" w:fill="auto"/>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249C7">
              <w:rPr>
                <w:rFonts w:ascii="Calibri" w:hAnsi="Calibri"/>
                <w:sz w:val="20"/>
                <w:szCs w:val="20"/>
              </w:rPr>
              <w:t>199</w:t>
            </w:r>
          </w:p>
        </w:tc>
        <w:tc>
          <w:tcPr>
            <w:tcW w:w="1890" w:type="dxa"/>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2.5%</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PPL</w:t>
            </w:r>
          </w:p>
        </w:tc>
        <w:tc>
          <w:tcPr>
            <w:tcW w:w="2115" w:type="dxa"/>
            <w:shd w:val="clear" w:color="auto" w:fill="D2EAF1"/>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$46.13</w:t>
            </w:r>
          </w:p>
        </w:tc>
        <w:tc>
          <w:tcPr>
            <w:tcW w:w="1959" w:type="dxa"/>
            <w:shd w:val="clear" w:color="auto" w:fill="D2EAF1"/>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$41,622</w:t>
            </w:r>
          </w:p>
        </w:tc>
        <w:tc>
          <w:tcPr>
            <w:tcW w:w="1620" w:type="dxa"/>
            <w:shd w:val="clear" w:color="auto" w:fill="D2EAF1"/>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0"/>
                <w:szCs w:val="20"/>
              </w:rPr>
            </w:pPr>
            <w:r w:rsidRPr="002249C7">
              <w:rPr>
                <w:rFonts w:ascii="Calibri" w:hAnsi="Calibri"/>
                <w:bCs/>
                <w:sz w:val="20"/>
                <w:szCs w:val="20"/>
              </w:rPr>
              <w:t>95*</w:t>
            </w:r>
          </w:p>
        </w:tc>
        <w:tc>
          <w:tcPr>
            <w:tcW w:w="1890" w:type="dxa"/>
            <w:shd w:val="clear" w:color="auto" w:fill="D2EAF1"/>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0"/>
                <w:szCs w:val="20"/>
              </w:rPr>
            </w:pPr>
            <w:r>
              <w:rPr>
                <w:rFonts w:ascii="Calibri" w:hAnsi="Calibri"/>
                <w:bCs/>
                <w:sz w:val="20"/>
                <w:szCs w:val="20"/>
              </w:rPr>
              <w:t>1.4%</w:t>
            </w:r>
          </w:p>
        </w:tc>
      </w:tr>
      <w:tr w:rsidR="001D0B77" w:rsidRPr="00BF7FC2"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Pr="003C4EB2" w:rsidRDefault="001D0B77" w:rsidP="005130C2">
            <w:pPr>
              <w:rPr>
                <w:rFonts w:ascii="Calibri" w:hAnsi="Calibri"/>
                <w:color w:val="000000"/>
                <w:sz w:val="20"/>
                <w:szCs w:val="20"/>
              </w:rPr>
            </w:pPr>
            <w:r w:rsidRPr="003C4EB2">
              <w:rPr>
                <w:rFonts w:ascii="Calibri" w:hAnsi="Calibri"/>
                <w:bCs w:val="0"/>
                <w:color w:val="000000"/>
                <w:sz w:val="20"/>
                <w:szCs w:val="20"/>
              </w:rPr>
              <w:t>Statewide</w:t>
            </w:r>
          </w:p>
        </w:tc>
        <w:tc>
          <w:tcPr>
            <w:tcW w:w="2115" w:type="dxa"/>
            <w:vAlign w:val="center"/>
          </w:tcPr>
          <w:p w:rsidR="001D0B77" w:rsidRPr="00D64973"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D64973">
              <w:rPr>
                <w:rFonts w:ascii="Calibri" w:hAnsi="Calibri"/>
                <w:b/>
                <w:color w:val="000000"/>
                <w:sz w:val="20"/>
                <w:szCs w:val="20"/>
              </w:rPr>
              <w:t>$183.38</w:t>
            </w:r>
          </w:p>
        </w:tc>
        <w:tc>
          <w:tcPr>
            <w:tcW w:w="1959" w:type="dxa"/>
            <w:vAlign w:val="center"/>
          </w:tcPr>
          <w:p w:rsidR="001D0B77" w:rsidRPr="003C4EB2"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3C4EB2">
              <w:rPr>
                <w:rFonts w:ascii="Calibri" w:hAnsi="Calibri"/>
                <w:b/>
                <w:color w:val="000000"/>
                <w:sz w:val="20"/>
                <w:szCs w:val="20"/>
              </w:rPr>
              <w:t>$52,310</w:t>
            </w:r>
          </w:p>
        </w:tc>
        <w:tc>
          <w:tcPr>
            <w:tcW w:w="1620" w:type="dxa"/>
            <w:shd w:val="clear" w:color="auto" w:fill="auto"/>
            <w:vAlign w:val="center"/>
          </w:tcPr>
          <w:p w:rsidR="001D0B77" w:rsidRPr="00001E6B"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sidRPr="00001E6B">
              <w:rPr>
                <w:rFonts w:ascii="Calibri" w:hAnsi="Calibri"/>
                <w:b/>
                <w:bCs/>
                <w:sz w:val="20"/>
                <w:szCs w:val="20"/>
              </w:rPr>
              <w:t>492</w:t>
            </w:r>
          </w:p>
        </w:tc>
        <w:tc>
          <w:tcPr>
            <w:tcW w:w="1890" w:type="dxa"/>
          </w:tcPr>
          <w:p w:rsidR="001D0B77" w:rsidRPr="00001E6B"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1.9%</w:t>
            </w:r>
          </w:p>
        </w:tc>
      </w:tr>
      <w:tr w:rsidR="001D0B77" w:rsidRPr="00337CFF"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470" w:type="dxa"/>
            <w:gridSpan w:val="4"/>
            <w:shd w:val="clear" w:color="auto" w:fill="9C9393"/>
          </w:tcPr>
          <w:p w:rsidR="001D0B77" w:rsidRPr="00337CFF" w:rsidRDefault="001D0B77" w:rsidP="005130C2">
            <w:pPr>
              <w:rPr>
                <w:rFonts w:ascii="Calibri" w:hAnsi="Calibri"/>
                <w:color w:val="FFFFFF" w:themeColor="background1"/>
                <w:sz w:val="20"/>
                <w:szCs w:val="20"/>
              </w:rPr>
            </w:pPr>
            <w:r w:rsidRPr="00337CFF">
              <w:rPr>
                <w:rFonts w:ascii="Calibri" w:hAnsi="Calibri"/>
                <w:color w:val="FFFFFF" w:themeColor="background1"/>
                <w:sz w:val="20"/>
                <w:szCs w:val="20"/>
              </w:rPr>
              <w:t>2016-2020 – 20% DR Spending</w:t>
            </w:r>
          </w:p>
        </w:tc>
        <w:tc>
          <w:tcPr>
            <w:tcW w:w="1890" w:type="dxa"/>
            <w:shd w:val="clear" w:color="auto" w:fill="9C9393"/>
          </w:tcPr>
          <w:p w:rsidR="001D0B77" w:rsidRPr="00337CFF" w:rsidRDefault="001D0B77" w:rsidP="005130C2">
            <w:pP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sz w:val="20"/>
                <w:szCs w:val="20"/>
              </w:rPr>
            </w:pP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Duquesne</w:t>
            </w:r>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$19.55</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$57,976</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249C7">
              <w:rPr>
                <w:rFonts w:ascii="Calibri" w:hAnsi="Calibri"/>
                <w:sz w:val="20"/>
                <w:szCs w:val="20"/>
              </w:rPr>
              <w:t>67</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2.7%</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FE: Met-Ed</w:t>
            </w:r>
          </w:p>
        </w:tc>
        <w:tc>
          <w:tcPr>
            <w:tcW w:w="2115" w:type="dxa"/>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$24.87</w:t>
            </w:r>
          </w:p>
        </w:tc>
        <w:tc>
          <w:tcPr>
            <w:tcW w:w="1959" w:type="dxa"/>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$51,210</w:t>
            </w:r>
          </w:p>
        </w:tc>
        <w:tc>
          <w:tcPr>
            <w:tcW w:w="1620" w:type="dxa"/>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0"/>
                <w:szCs w:val="20"/>
              </w:rPr>
            </w:pPr>
            <w:r w:rsidRPr="002249C7">
              <w:rPr>
                <w:rFonts w:ascii="Calibri" w:hAnsi="Calibri"/>
                <w:bCs/>
                <w:sz w:val="20"/>
                <w:szCs w:val="20"/>
              </w:rPr>
              <w:t>50*</w:t>
            </w:r>
          </w:p>
        </w:tc>
        <w:tc>
          <w:tcPr>
            <w:tcW w:w="1890" w:type="dxa"/>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0"/>
                <w:szCs w:val="20"/>
              </w:rPr>
            </w:pPr>
            <w:r>
              <w:rPr>
                <w:rFonts w:ascii="Calibri" w:hAnsi="Calibri"/>
                <w:bCs/>
                <w:sz w:val="20"/>
                <w:szCs w:val="20"/>
              </w:rPr>
              <w:t>1.9%</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 xml:space="preserve">FE: </w:t>
            </w:r>
            <w:proofErr w:type="spellStart"/>
            <w:r>
              <w:rPr>
                <w:rFonts w:ascii="Calibri" w:hAnsi="Calibri"/>
                <w:color w:val="000000"/>
                <w:sz w:val="20"/>
                <w:szCs w:val="20"/>
              </w:rPr>
              <w:t>Penelec</w:t>
            </w:r>
            <w:proofErr w:type="spellEnd"/>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$22.97</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$50,782</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sidRPr="002249C7">
              <w:rPr>
                <w:rFonts w:ascii="Calibri" w:hAnsi="Calibri"/>
                <w:bCs/>
                <w:sz w:val="20"/>
                <w:szCs w:val="20"/>
              </w:rPr>
              <w:t>0*</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Pr>
                <w:rFonts w:ascii="Calibri" w:hAnsi="Calibri"/>
                <w:bCs/>
                <w:sz w:val="20"/>
                <w:szCs w:val="20"/>
              </w:rPr>
              <w:t>0.0%</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FE: Penn Power</w:t>
            </w:r>
          </w:p>
        </w:tc>
        <w:tc>
          <w:tcPr>
            <w:tcW w:w="2115" w:type="dxa"/>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$6.66</w:t>
            </w:r>
          </w:p>
        </w:tc>
        <w:tc>
          <w:tcPr>
            <w:tcW w:w="1959" w:type="dxa"/>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$49,349</w:t>
            </w:r>
          </w:p>
        </w:tc>
        <w:tc>
          <w:tcPr>
            <w:tcW w:w="1620" w:type="dxa"/>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249C7">
              <w:rPr>
                <w:rFonts w:ascii="Calibri" w:hAnsi="Calibri"/>
                <w:sz w:val="20"/>
                <w:szCs w:val="20"/>
              </w:rPr>
              <w:t>27</w:t>
            </w:r>
          </w:p>
        </w:tc>
        <w:tc>
          <w:tcPr>
            <w:tcW w:w="1890" w:type="dxa"/>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2.8%</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FE: WPP</w:t>
            </w:r>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$23.56</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$46,203</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249C7">
              <w:rPr>
                <w:rFonts w:ascii="Calibri" w:hAnsi="Calibri"/>
                <w:sz w:val="20"/>
                <w:szCs w:val="20"/>
              </w:rPr>
              <w:t>102</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2.9%</w:t>
            </w:r>
          </w:p>
        </w:tc>
      </w:tr>
      <w:tr w:rsidR="001D0B77" w:rsidRPr="0031271C"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Default="001D0B77" w:rsidP="005130C2">
            <w:pPr>
              <w:rPr>
                <w:rFonts w:ascii="Calibri" w:hAnsi="Calibri"/>
                <w:color w:val="000000"/>
                <w:sz w:val="20"/>
                <w:szCs w:val="20"/>
              </w:rPr>
            </w:pPr>
            <w:r>
              <w:rPr>
                <w:rFonts w:ascii="Calibri" w:hAnsi="Calibri"/>
                <w:color w:val="000000"/>
                <w:sz w:val="20"/>
                <w:szCs w:val="20"/>
              </w:rPr>
              <w:t>PECO</w:t>
            </w:r>
          </w:p>
        </w:tc>
        <w:tc>
          <w:tcPr>
            <w:tcW w:w="2115" w:type="dxa"/>
            <w:vAlign w:val="center"/>
          </w:tcPr>
          <w:p w:rsidR="001D0B77"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$85.40</w:t>
            </w:r>
          </w:p>
        </w:tc>
        <w:tc>
          <w:tcPr>
            <w:tcW w:w="1959" w:type="dxa"/>
            <w:shd w:val="clear" w:color="auto" w:fill="auto"/>
            <w:vAlign w:val="center"/>
          </w:tcPr>
          <w:p w:rsidR="001D0B7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$64,257</w:t>
            </w:r>
          </w:p>
        </w:tc>
        <w:tc>
          <w:tcPr>
            <w:tcW w:w="1620" w:type="dxa"/>
            <w:shd w:val="clear" w:color="auto" w:fill="auto"/>
            <w:vAlign w:val="center"/>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249C7">
              <w:rPr>
                <w:rFonts w:ascii="Calibri" w:hAnsi="Calibri"/>
                <w:sz w:val="20"/>
                <w:szCs w:val="20"/>
              </w:rPr>
              <w:t>266</w:t>
            </w:r>
          </w:p>
        </w:tc>
        <w:tc>
          <w:tcPr>
            <w:tcW w:w="1890" w:type="dxa"/>
          </w:tcPr>
          <w:p w:rsidR="001D0B77" w:rsidRPr="002249C7"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3.4%</w:t>
            </w:r>
          </w:p>
        </w:tc>
      </w:tr>
      <w:tr w:rsidR="001D0B77" w:rsidRPr="0031271C" w:rsidTr="001D74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1D0B77" w:rsidRDefault="001D0B77" w:rsidP="005130C2">
            <w:pPr>
              <w:rPr>
                <w:rFonts w:ascii="Calibri" w:hAnsi="Calibri"/>
                <w:color w:val="000000"/>
                <w:sz w:val="20"/>
                <w:szCs w:val="20"/>
              </w:rPr>
            </w:pPr>
            <w:r>
              <w:rPr>
                <w:rFonts w:ascii="Calibri" w:hAnsi="Calibri"/>
                <w:color w:val="000000"/>
                <w:sz w:val="20"/>
                <w:szCs w:val="20"/>
              </w:rPr>
              <w:t>PPL</w:t>
            </w:r>
          </w:p>
        </w:tc>
        <w:tc>
          <w:tcPr>
            <w:tcW w:w="2115" w:type="dxa"/>
            <w:shd w:val="clear" w:color="auto" w:fill="D2EAF1"/>
            <w:vAlign w:val="center"/>
          </w:tcPr>
          <w:p w:rsidR="001D0B77" w:rsidRDefault="001D0B77" w:rsidP="005130C2">
            <w:pPr>
              <w:ind w:right="702"/>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$61.50</w:t>
            </w:r>
          </w:p>
        </w:tc>
        <w:tc>
          <w:tcPr>
            <w:tcW w:w="1959" w:type="dxa"/>
            <w:shd w:val="clear" w:color="auto" w:fill="D2EAF1"/>
            <w:vAlign w:val="center"/>
          </w:tcPr>
          <w:p w:rsidR="001D0B7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$41,622</w:t>
            </w:r>
          </w:p>
        </w:tc>
        <w:tc>
          <w:tcPr>
            <w:tcW w:w="1620" w:type="dxa"/>
            <w:shd w:val="clear" w:color="auto" w:fill="D2EAF1"/>
            <w:vAlign w:val="center"/>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sidRPr="002249C7">
              <w:rPr>
                <w:rFonts w:ascii="Calibri" w:hAnsi="Calibri"/>
                <w:bCs/>
                <w:sz w:val="20"/>
                <w:szCs w:val="20"/>
              </w:rPr>
              <w:t>95*</w:t>
            </w:r>
          </w:p>
        </w:tc>
        <w:tc>
          <w:tcPr>
            <w:tcW w:w="1890" w:type="dxa"/>
            <w:shd w:val="clear" w:color="auto" w:fill="D2EAF1"/>
          </w:tcPr>
          <w:p w:rsidR="001D0B77" w:rsidRPr="002249C7" w:rsidRDefault="001D0B77" w:rsidP="005130C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r>
              <w:rPr>
                <w:rFonts w:ascii="Calibri" w:hAnsi="Calibri"/>
                <w:bCs/>
                <w:sz w:val="20"/>
                <w:szCs w:val="20"/>
              </w:rPr>
              <w:t>1.4%</w:t>
            </w:r>
          </w:p>
        </w:tc>
      </w:tr>
      <w:tr w:rsidR="001D0B77" w:rsidRPr="00BF7FC2" w:rsidTr="001D74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1D0B77" w:rsidRPr="003C4EB2" w:rsidRDefault="001D0B77" w:rsidP="005130C2">
            <w:pPr>
              <w:rPr>
                <w:rFonts w:ascii="Calibri" w:hAnsi="Calibri"/>
                <w:color w:val="000000"/>
                <w:sz w:val="20"/>
                <w:szCs w:val="20"/>
              </w:rPr>
            </w:pPr>
            <w:r w:rsidRPr="003C4EB2">
              <w:rPr>
                <w:rFonts w:ascii="Calibri" w:hAnsi="Calibri"/>
                <w:bCs w:val="0"/>
                <w:color w:val="000000"/>
                <w:sz w:val="20"/>
                <w:szCs w:val="20"/>
              </w:rPr>
              <w:t>Statewide</w:t>
            </w:r>
          </w:p>
        </w:tc>
        <w:tc>
          <w:tcPr>
            <w:tcW w:w="2115" w:type="dxa"/>
            <w:vAlign w:val="center"/>
          </w:tcPr>
          <w:p w:rsidR="001D0B77" w:rsidRPr="00D64973" w:rsidRDefault="001D0B77" w:rsidP="005130C2">
            <w:pPr>
              <w:ind w:right="702"/>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sz w:val="20"/>
                <w:szCs w:val="20"/>
              </w:rPr>
            </w:pPr>
            <w:r w:rsidRPr="00D64973">
              <w:rPr>
                <w:rFonts w:ascii="Calibri" w:hAnsi="Calibri"/>
                <w:b/>
                <w:color w:val="000000"/>
                <w:sz w:val="20"/>
                <w:szCs w:val="20"/>
              </w:rPr>
              <w:t>$244.51</w:t>
            </w:r>
          </w:p>
        </w:tc>
        <w:tc>
          <w:tcPr>
            <w:tcW w:w="1959" w:type="dxa"/>
            <w:vAlign w:val="center"/>
          </w:tcPr>
          <w:p w:rsidR="001D0B77" w:rsidRPr="003C4EB2"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0"/>
                <w:szCs w:val="20"/>
              </w:rPr>
            </w:pPr>
            <w:r w:rsidRPr="003C4EB2">
              <w:rPr>
                <w:rFonts w:ascii="Calibri" w:hAnsi="Calibri"/>
                <w:b/>
                <w:color w:val="000000"/>
                <w:sz w:val="20"/>
                <w:szCs w:val="20"/>
              </w:rPr>
              <w:t>$52,310</w:t>
            </w:r>
          </w:p>
        </w:tc>
        <w:tc>
          <w:tcPr>
            <w:tcW w:w="1620" w:type="dxa"/>
            <w:shd w:val="clear" w:color="auto" w:fill="auto"/>
            <w:vAlign w:val="center"/>
          </w:tcPr>
          <w:p w:rsidR="001D0B77" w:rsidRPr="00001E6B"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001E6B">
              <w:rPr>
                <w:rFonts w:ascii="Calibri" w:hAnsi="Calibri"/>
                <w:b/>
                <w:bCs/>
                <w:sz w:val="20"/>
                <w:szCs w:val="20"/>
              </w:rPr>
              <w:t>607</w:t>
            </w:r>
          </w:p>
        </w:tc>
        <w:tc>
          <w:tcPr>
            <w:tcW w:w="1890" w:type="dxa"/>
          </w:tcPr>
          <w:p w:rsidR="001D0B77" w:rsidRPr="00001E6B" w:rsidRDefault="001D0B77" w:rsidP="005130C2">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Pr>
                <w:rFonts w:ascii="Calibri" w:hAnsi="Calibri"/>
                <w:b/>
                <w:bCs/>
                <w:sz w:val="20"/>
                <w:szCs w:val="20"/>
              </w:rPr>
              <w:t>2.3%</w:t>
            </w:r>
          </w:p>
        </w:tc>
      </w:tr>
    </w:tbl>
    <w:p w:rsidR="007152DD" w:rsidRDefault="007152DD" w:rsidP="00B43061">
      <w:pPr>
        <w:spacing w:after="0" w:line="240" w:lineRule="auto"/>
      </w:pPr>
    </w:p>
    <w:p w:rsidR="007152DD" w:rsidRDefault="007152DD">
      <w:r>
        <w:br w:type="page"/>
      </w:r>
    </w:p>
    <w:p w:rsidR="008C7CFF" w:rsidRDefault="008C7CFF" w:rsidP="007152DD">
      <w:pPr>
        <w:pStyle w:val="Heading1"/>
      </w:pPr>
      <w:r w:rsidRPr="008C7CFF">
        <w:lastRenderedPageBreak/>
        <w:t>Application of Findings</w:t>
      </w:r>
      <w:r>
        <w:t xml:space="preserve"> to Phase III Goals</w:t>
      </w:r>
    </w:p>
    <w:p w:rsidR="008C7CFF" w:rsidRDefault="008C7CFF" w:rsidP="00B43061">
      <w:pPr>
        <w:pStyle w:val="ListParagraph"/>
        <w:spacing w:after="0" w:line="240" w:lineRule="auto"/>
        <w:ind w:left="0"/>
        <w:jc w:val="both"/>
        <w:rPr>
          <w:rFonts w:cs="Arial"/>
        </w:rPr>
      </w:pPr>
      <w:r w:rsidRPr="00776CAA">
        <w:rPr>
          <w:rFonts w:cs="Arial"/>
        </w:rPr>
        <w:t xml:space="preserve">Based on the findings of the SWE potential studies, stakeholder input, and policy considerations </w:t>
      </w:r>
      <w:r w:rsidR="00636196">
        <w:rPr>
          <w:rFonts w:cs="Arial"/>
        </w:rPr>
        <w:t>the Commission</w:t>
      </w:r>
      <w:r w:rsidRPr="00776CAA">
        <w:rPr>
          <w:rFonts w:cs="Arial"/>
        </w:rPr>
        <w:t xml:space="preserve"> requested the SWE Team to calculate energy efficiency potential assuming a 90% funding allocation to EE and a 10% funding all</w:t>
      </w:r>
      <w:r w:rsidR="00CB08DA" w:rsidRPr="00776CAA">
        <w:rPr>
          <w:rFonts w:cs="Arial"/>
        </w:rPr>
        <w:t xml:space="preserve">ocation to </w:t>
      </w:r>
      <w:r w:rsidR="001F4E23">
        <w:rPr>
          <w:rFonts w:cs="Arial"/>
        </w:rPr>
        <w:t>DR</w:t>
      </w:r>
      <w:r w:rsidR="00CB08DA" w:rsidRPr="00776CAA">
        <w:rPr>
          <w:rFonts w:cs="Arial"/>
        </w:rPr>
        <w:t xml:space="preserve">. </w:t>
      </w:r>
      <w:r w:rsidR="00636196">
        <w:rPr>
          <w:rFonts w:cs="Arial"/>
        </w:rPr>
        <w:t>The Commission</w:t>
      </w:r>
      <w:r w:rsidR="00CB08DA" w:rsidRPr="00776CAA">
        <w:rPr>
          <w:rFonts w:cs="Arial"/>
        </w:rPr>
        <w:t xml:space="preserve"> also recognized that because of the timing of the Implementation Order, EE&amp;C plan approval, and CSP selection implementing a demand response program by June 1, 2016 will be extremely challenging for </w:t>
      </w:r>
      <w:r w:rsidR="00AE0C8E">
        <w:rPr>
          <w:rFonts w:cs="Arial"/>
        </w:rPr>
        <w:t xml:space="preserve">the </w:t>
      </w:r>
      <w:r w:rsidR="00CB08DA" w:rsidRPr="00776CAA">
        <w:rPr>
          <w:rFonts w:cs="Arial"/>
        </w:rPr>
        <w:t xml:space="preserve">EDCs. Consequently </w:t>
      </w:r>
      <w:r w:rsidR="00636196">
        <w:rPr>
          <w:rFonts w:cs="Arial"/>
        </w:rPr>
        <w:t>the Commission</w:t>
      </w:r>
      <w:r w:rsidR="00AE0C8E">
        <w:rPr>
          <w:rFonts w:cs="Arial"/>
        </w:rPr>
        <w:t xml:space="preserve"> requested the SWE team to calculate</w:t>
      </w:r>
      <w:r w:rsidR="00CB08DA" w:rsidRPr="00776CAA">
        <w:rPr>
          <w:rFonts w:cs="Arial"/>
        </w:rPr>
        <w:t xml:space="preserve"> DR program potential for the 10% funding allocation scenario assuming that DR performance would be assessed only</w:t>
      </w:r>
      <w:r w:rsidR="00A23412">
        <w:rPr>
          <w:rFonts w:cs="Arial"/>
        </w:rPr>
        <w:t xml:space="preserve"> for a four-year period during Phase III, from</w:t>
      </w:r>
      <w:r w:rsidR="00CB08DA" w:rsidRPr="00776CAA">
        <w:rPr>
          <w:rFonts w:cs="Arial"/>
        </w:rPr>
        <w:t xml:space="preserve"> PY9</w:t>
      </w:r>
      <w:r w:rsidR="00A23412">
        <w:rPr>
          <w:rFonts w:cs="Arial"/>
        </w:rPr>
        <w:t xml:space="preserve"> to </w:t>
      </w:r>
      <w:r w:rsidR="00CB08DA" w:rsidRPr="00776CAA">
        <w:rPr>
          <w:rFonts w:cs="Arial"/>
        </w:rPr>
        <w:t xml:space="preserve">PY12. </w:t>
      </w:r>
      <w:proofErr w:type="gramStart"/>
      <w:r w:rsidR="00CB08DA" w:rsidRPr="00776CAA">
        <w:rPr>
          <w:rFonts w:cs="Arial"/>
        </w:rPr>
        <w:t xml:space="preserve">As shown in </w:t>
      </w:r>
      <w:r w:rsidR="00CB08DA" w:rsidRPr="00776CAA">
        <w:rPr>
          <w:rFonts w:cs="Arial"/>
        </w:rPr>
        <w:fldChar w:fldCharType="begin"/>
      </w:r>
      <w:r w:rsidR="00CB08DA" w:rsidRPr="00776CAA">
        <w:rPr>
          <w:rFonts w:cs="Arial"/>
        </w:rPr>
        <w:instrText xml:space="preserve"> REF _Ref411517282 \h </w:instrText>
      </w:r>
      <w:r w:rsidR="00776CAA" w:rsidRPr="00776CAA">
        <w:rPr>
          <w:rFonts w:cs="Arial"/>
        </w:rPr>
        <w:instrText xml:space="preserve"> \* MERGEFORMAT </w:instrText>
      </w:r>
      <w:r w:rsidR="00CB08DA" w:rsidRPr="00776CAA">
        <w:rPr>
          <w:rFonts w:cs="Arial"/>
        </w:rPr>
      </w:r>
      <w:r w:rsidR="00CB08DA" w:rsidRPr="00776CAA">
        <w:rPr>
          <w:rFonts w:cs="Arial"/>
        </w:rPr>
        <w:fldChar w:fldCharType="separate"/>
      </w:r>
      <w:r w:rsidR="00CB08DA" w:rsidRPr="00776CAA">
        <w:t xml:space="preserve">Table </w:t>
      </w:r>
      <w:r w:rsidR="00CB08DA" w:rsidRPr="00776CAA">
        <w:rPr>
          <w:noProof/>
        </w:rPr>
        <w:t>3</w:t>
      </w:r>
      <w:r w:rsidR="00CB08DA" w:rsidRPr="00776CAA">
        <w:rPr>
          <w:rFonts w:cs="Arial"/>
        </w:rPr>
        <w:fldChar w:fldCharType="end"/>
      </w:r>
      <w:r w:rsidR="00CB08DA" w:rsidRPr="00776CAA">
        <w:rPr>
          <w:rFonts w:cs="Arial"/>
        </w:rPr>
        <w:t xml:space="preserve">, the </w:t>
      </w:r>
      <w:proofErr w:type="spellStart"/>
      <w:r w:rsidR="00CB08DA" w:rsidRPr="00776CAA">
        <w:rPr>
          <w:rFonts w:cs="Arial"/>
        </w:rPr>
        <w:t>DR</w:t>
      </w:r>
      <w:proofErr w:type="spellEnd"/>
      <w:r w:rsidR="00CB08DA" w:rsidRPr="00776CAA">
        <w:rPr>
          <w:rFonts w:cs="Arial"/>
        </w:rPr>
        <w:t xml:space="preserve"> MPS </w:t>
      </w:r>
      <w:r w:rsidR="00AE0C8E">
        <w:rPr>
          <w:rFonts w:cs="Arial"/>
        </w:rPr>
        <w:t xml:space="preserve">for </w:t>
      </w:r>
      <w:r w:rsidR="00A23412">
        <w:rPr>
          <w:rFonts w:cs="Arial"/>
        </w:rPr>
        <w:t>this four</w:t>
      </w:r>
      <w:r w:rsidR="00AE0C8E">
        <w:rPr>
          <w:rFonts w:cs="Arial"/>
        </w:rPr>
        <w:t xml:space="preserve">-year term </w:t>
      </w:r>
      <w:r w:rsidR="00CB08DA" w:rsidRPr="00776CAA">
        <w:rPr>
          <w:rFonts w:cs="Arial"/>
        </w:rPr>
        <w:t xml:space="preserve">shows that </w:t>
      </w:r>
      <w:proofErr w:type="spellStart"/>
      <w:r w:rsidR="001C2BC1" w:rsidRPr="00776CAA">
        <w:rPr>
          <w:rFonts w:cs="Arial"/>
        </w:rPr>
        <w:t>Penelec</w:t>
      </w:r>
      <w:proofErr w:type="spellEnd"/>
      <w:r w:rsidR="001C2BC1" w:rsidRPr="00776CAA">
        <w:rPr>
          <w:rFonts w:cs="Arial"/>
        </w:rPr>
        <w:t xml:space="preserve"> and </w:t>
      </w:r>
      <w:proofErr w:type="spellStart"/>
      <w:r w:rsidR="001C2BC1" w:rsidRPr="00776CAA">
        <w:rPr>
          <w:rFonts w:cs="Arial"/>
        </w:rPr>
        <w:t>PPL</w:t>
      </w:r>
      <w:proofErr w:type="spellEnd"/>
      <w:r w:rsidR="001C2BC1" w:rsidRPr="00776CAA">
        <w:rPr>
          <w:rFonts w:cs="Arial"/>
        </w:rPr>
        <w:t xml:space="preserve"> </w:t>
      </w:r>
      <w:r w:rsidR="00CB08DA" w:rsidRPr="00776CAA">
        <w:rPr>
          <w:rFonts w:cs="Arial"/>
        </w:rPr>
        <w:t>would be unable to spend 10% of Act 129 funds on DR because of a lack of DR potential in their service territory</w:t>
      </w:r>
      <w:r w:rsidR="001F4E23">
        <w:rPr>
          <w:rFonts w:cs="Arial"/>
        </w:rPr>
        <w:t>;</w:t>
      </w:r>
      <w:r w:rsidR="001C2BC1" w:rsidRPr="00776CAA">
        <w:rPr>
          <w:rFonts w:cs="Arial"/>
        </w:rPr>
        <w:t xml:space="preserve"> however, after the analysis was completed for the DR goals to be considered over a four-year term, Met-Ed also becomes unable to spend its suggested 10% of budget on DR</w:t>
      </w:r>
      <w:r w:rsidR="00AE0C8E">
        <w:rPr>
          <w:rFonts w:cs="Arial"/>
        </w:rPr>
        <w:t xml:space="preserve"> due to lack of DR potential</w:t>
      </w:r>
      <w:r w:rsidR="00CB08DA" w:rsidRPr="00776CAA">
        <w:rPr>
          <w:rFonts w:cs="Arial"/>
        </w:rPr>
        <w:t>.</w:t>
      </w:r>
      <w:proofErr w:type="gramEnd"/>
      <w:r w:rsidR="00CB08DA" w:rsidRPr="00776CAA">
        <w:rPr>
          <w:rFonts w:cs="Arial"/>
        </w:rPr>
        <w:t xml:space="preserve"> Consequently, the SWE considered alternate budget allocations for </w:t>
      </w:r>
      <w:proofErr w:type="spellStart"/>
      <w:r w:rsidR="00CB08DA" w:rsidRPr="00776CAA">
        <w:rPr>
          <w:rFonts w:cs="Arial"/>
        </w:rPr>
        <w:t>Penelec</w:t>
      </w:r>
      <w:proofErr w:type="spellEnd"/>
      <w:r w:rsidR="00CB08DA" w:rsidRPr="00776CAA">
        <w:rPr>
          <w:rFonts w:cs="Arial"/>
        </w:rPr>
        <w:t xml:space="preserve">, Met-Ed and </w:t>
      </w:r>
      <w:proofErr w:type="spellStart"/>
      <w:r w:rsidR="00CB08DA" w:rsidRPr="00776CAA">
        <w:rPr>
          <w:rFonts w:cs="Arial"/>
        </w:rPr>
        <w:t>PPL</w:t>
      </w:r>
      <w:proofErr w:type="spellEnd"/>
      <w:r w:rsidR="00CB08DA" w:rsidRPr="00776CAA">
        <w:rPr>
          <w:rFonts w:cs="Arial"/>
        </w:rPr>
        <w:t xml:space="preserve">. The </w:t>
      </w:r>
      <w:r w:rsidR="00AE0C8E">
        <w:rPr>
          <w:rFonts w:cs="Arial"/>
        </w:rPr>
        <w:t xml:space="preserve">revised </w:t>
      </w:r>
      <w:r w:rsidR="006C72DB" w:rsidRPr="00776CAA">
        <w:rPr>
          <w:rFonts w:cs="Arial"/>
        </w:rPr>
        <w:t xml:space="preserve">budget allocations </w:t>
      </w:r>
      <w:r w:rsidR="00AE0C8E">
        <w:rPr>
          <w:rFonts w:cs="Arial"/>
        </w:rPr>
        <w:t xml:space="preserve">for a four-year term </w:t>
      </w:r>
      <w:r w:rsidR="006C72DB" w:rsidRPr="00776CAA">
        <w:rPr>
          <w:rFonts w:cs="Arial"/>
        </w:rPr>
        <w:t xml:space="preserve">and resulting estimates of program potential </w:t>
      </w:r>
      <w:proofErr w:type="gramStart"/>
      <w:r w:rsidR="006C72DB" w:rsidRPr="00776CAA">
        <w:rPr>
          <w:rFonts w:cs="Arial"/>
        </w:rPr>
        <w:t>are presented</w:t>
      </w:r>
      <w:proofErr w:type="gramEnd"/>
      <w:r w:rsidR="006C72DB" w:rsidRPr="00776CAA">
        <w:rPr>
          <w:rFonts w:cs="Arial"/>
        </w:rPr>
        <w:t xml:space="preserve"> in </w:t>
      </w:r>
      <w:r w:rsidR="006C72DB" w:rsidRPr="00776CAA">
        <w:rPr>
          <w:rFonts w:cs="Arial"/>
        </w:rPr>
        <w:fldChar w:fldCharType="begin"/>
      </w:r>
      <w:r w:rsidR="006C72DB" w:rsidRPr="00776CAA">
        <w:rPr>
          <w:rFonts w:cs="Arial"/>
        </w:rPr>
        <w:instrText xml:space="preserve"> REF _Ref411519369 \h </w:instrText>
      </w:r>
      <w:r w:rsidR="00776CAA" w:rsidRPr="00776CAA">
        <w:rPr>
          <w:rFonts w:cs="Arial"/>
        </w:rPr>
        <w:instrText xml:space="preserve"> \* MERGEFORMAT </w:instrText>
      </w:r>
      <w:r w:rsidR="006C72DB" w:rsidRPr="00776CAA">
        <w:rPr>
          <w:rFonts w:cs="Arial"/>
        </w:rPr>
      </w:r>
      <w:r w:rsidR="006C72DB" w:rsidRPr="00776CAA">
        <w:rPr>
          <w:rFonts w:cs="Arial"/>
        </w:rPr>
        <w:fldChar w:fldCharType="separate"/>
      </w:r>
      <w:r w:rsidR="006C72DB" w:rsidRPr="00776CAA">
        <w:t xml:space="preserve">Table </w:t>
      </w:r>
      <w:r w:rsidR="006C72DB" w:rsidRPr="00776CAA">
        <w:rPr>
          <w:noProof/>
        </w:rPr>
        <w:t>4</w:t>
      </w:r>
      <w:r w:rsidR="006C72DB" w:rsidRPr="00776CAA">
        <w:rPr>
          <w:rFonts w:cs="Arial"/>
        </w:rPr>
        <w:fldChar w:fldCharType="end"/>
      </w:r>
      <w:r w:rsidR="006C72DB" w:rsidRPr="00776CAA">
        <w:rPr>
          <w:rFonts w:cs="Arial"/>
        </w:rPr>
        <w:t>.</w:t>
      </w:r>
      <w:r w:rsidR="001C16BE" w:rsidRPr="00776CAA">
        <w:rPr>
          <w:rFonts w:cs="Arial"/>
        </w:rPr>
        <w:t xml:space="preserve"> The statewide figures in </w:t>
      </w:r>
      <w:r w:rsidR="001C16BE" w:rsidRPr="00776CAA">
        <w:rPr>
          <w:rFonts w:cs="Arial"/>
        </w:rPr>
        <w:fldChar w:fldCharType="begin"/>
      </w:r>
      <w:r w:rsidR="001C16BE" w:rsidRPr="00776CAA">
        <w:rPr>
          <w:rFonts w:cs="Arial"/>
        </w:rPr>
        <w:instrText xml:space="preserve"> REF _Ref411519369 \h </w:instrText>
      </w:r>
      <w:r w:rsidR="00776CAA" w:rsidRPr="00776CAA">
        <w:rPr>
          <w:rFonts w:cs="Arial"/>
        </w:rPr>
        <w:instrText xml:space="preserve"> \* MERGEFORMAT </w:instrText>
      </w:r>
      <w:r w:rsidR="001C16BE" w:rsidRPr="00776CAA">
        <w:rPr>
          <w:rFonts w:cs="Arial"/>
        </w:rPr>
      </w:r>
      <w:r w:rsidR="001C16BE" w:rsidRPr="00776CAA">
        <w:rPr>
          <w:rFonts w:cs="Arial"/>
        </w:rPr>
        <w:fldChar w:fldCharType="separate"/>
      </w:r>
      <w:r w:rsidR="001C16BE" w:rsidRPr="00776CAA">
        <w:t xml:space="preserve">Table </w:t>
      </w:r>
      <w:r w:rsidR="001C16BE" w:rsidRPr="00776CAA">
        <w:rPr>
          <w:noProof/>
        </w:rPr>
        <w:t>4</w:t>
      </w:r>
      <w:r w:rsidR="001C16BE" w:rsidRPr="00776CAA">
        <w:rPr>
          <w:rFonts w:cs="Arial"/>
        </w:rPr>
        <w:fldChar w:fldCharType="end"/>
      </w:r>
      <w:r w:rsidR="001C16BE" w:rsidRPr="00776CAA">
        <w:rPr>
          <w:rFonts w:cs="Arial"/>
        </w:rPr>
        <w:t xml:space="preserve"> </w:t>
      </w:r>
      <w:proofErr w:type="gramStart"/>
      <w:r w:rsidR="001C16BE" w:rsidRPr="00776CAA">
        <w:rPr>
          <w:rFonts w:cs="Arial"/>
        </w:rPr>
        <w:t>are weighted</w:t>
      </w:r>
      <w:proofErr w:type="gramEnd"/>
      <w:r w:rsidR="001C16BE" w:rsidRPr="00776CAA">
        <w:rPr>
          <w:rFonts w:cs="Arial"/>
        </w:rPr>
        <w:t xml:space="preserve"> by EDC budget size.</w:t>
      </w:r>
    </w:p>
    <w:p w:rsidR="00B43061" w:rsidRPr="002249C7" w:rsidRDefault="00B43061" w:rsidP="00B43061">
      <w:pPr>
        <w:pStyle w:val="ListParagraph"/>
        <w:spacing w:after="0" w:line="240" w:lineRule="auto"/>
        <w:ind w:left="0"/>
        <w:jc w:val="both"/>
        <w:rPr>
          <w:rFonts w:cs="Arial"/>
          <w:smallCaps/>
          <w:sz w:val="16"/>
          <w:szCs w:val="16"/>
        </w:rPr>
      </w:pPr>
    </w:p>
    <w:p w:rsidR="006C72DB" w:rsidRPr="006C72DB" w:rsidRDefault="006C72DB" w:rsidP="005130C2">
      <w:pPr>
        <w:pStyle w:val="Caption"/>
        <w:keepNext/>
      </w:pPr>
      <w:bookmarkStart w:id="4" w:name="_Ref411519369"/>
      <w:r w:rsidRPr="006C72DB">
        <w:t xml:space="preserve">Table </w:t>
      </w:r>
      <w:fldSimple w:instr=" SEQ Table \* ARABIC ">
        <w:r w:rsidR="0074687C">
          <w:rPr>
            <w:noProof/>
          </w:rPr>
          <w:t>4</w:t>
        </w:r>
      </w:fldSimple>
      <w:bookmarkEnd w:id="4"/>
      <w:r w:rsidRPr="006C72DB">
        <w:t>: Budget Allocation by EDC</w:t>
      </w:r>
    </w:p>
    <w:tbl>
      <w:tblPr>
        <w:tblStyle w:val="LightList-Accent5"/>
        <w:tblW w:w="0" w:type="auto"/>
        <w:tblInd w:w="108" w:type="dxa"/>
        <w:tblLook w:val="04A0" w:firstRow="1" w:lastRow="0" w:firstColumn="1" w:lastColumn="0" w:noHBand="0" w:noVBand="1"/>
      </w:tblPr>
      <w:tblGrid>
        <w:gridCol w:w="3120"/>
        <w:gridCol w:w="3120"/>
        <w:gridCol w:w="3120"/>
      </w:tblGrid>
      <w:tr w:rsidR="0005546A" w:rsidRPr="0031271C" w:rsidTr="0005546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left w:val="single" w:sz="4" w:space="0" w:color="448A99"/>
              <w:bottom w:val="single" w:sz="4" w:space="0" w:color="448A99"/>
              <w:right w:val="single" w:sz="4" w:space="0" w:color="448A99"/>
            </w:tcBorders>
            <w:shd w:val="clear" w:color="auto" w:fill="448A99"/>
          </w:tcPr>
          <w:p w:rsidR="0005546A" w:rsidRPr="00D36FB6" w:rsidRDefault="0005546A" w:rsidP="004A319A">
            <w:pPr>
              <w:rPr>
                <w:sz w:val="20"/>
                <w:szCs w:val="20"/>
              </w:rPr>
            </w:pPr>
            <w:r>
              <w:rPr>
                <w:sz w:val="20"/>
                <w:szCs w:val="20"/>
              </w:rPr>
              <w:t>EDC</w:t>
            </w:r>
          </w:p>
        </w:tc>
        <w:tc>
          <w:tcPr>
            <w:tcW w:w="31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05546A" w:rsidRPr="0005546A" w:rsidRDefault="0005546A" w:rsidP="004A31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FFFFFF"/>
              </w:rPr>
            </w:pPr>
            <w:r w:rsidRPr="0005546A">
              <w:rPr>
                <w:rFonts w:ascii="Calibri" w:eastAsia="Times New Roman" w:hAnsi="Calibri" w:cs="Times New Roman"/>
                <w:bCs w:val="0"/>
                <w:color w:val="FFFFFF"/>
              </w:rPr>
              <w:t>% of Total Spending on EE</w:t>
            </w:r>
          </w:p>
        </w:tc>
        <w:tc>
          <w:tcPr>
            <w:tcW w:w="31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05546A" w:rsidRPr="0005546A" w:rsidRDefault="0005546A" w:rsidP="004A319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FFFFFF"/>
              </w:rPr>
            </w:pPr>
            <w:r w:rsidRPr="0005546A">
              <w:rPr>
                <w:rFonts w:ascii="Calibri" w:eastAsia="Times New Roman" w:hAnsi="Calibri" w:cs="Times New Roman"/>
                <w:bCs w:val="0"/>
                <w:color w:val="FFFFFF"/>
              </w:rPr>
              <w:t>% of Total Spending on DR</w:t>
            </w:r>
          </w:p>
        </w:tc>
      </w:tr>
      <w:tr w:rsidR="0005546A" w:rsidRPr="0031271C" w:rsidTr="004A319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left w:val="single" w:sz="4" w:space="0" w:color="448A99"/>
              <w:bottom w:val="single" w:sz="4" w:space="0" w:color="448A99"/>
              <w:right w:val="single" w:sz="4" w:space="0" w:color="448A99"/>
            </w:tcBorders>
            <w:vAlign w:val="center"/>
          </w:tcPr>
          <w:p w:rsidR="0005546A" w:rsidRDefault="0005546A" w:rsidP="004A319A">
            <w:pPr>
              <w:rPr>
                <w:rFonts w:ascii="Calibri" w:hAnsi="Calibri"/>
                <w:color w:val="000000"/>
                <w:sz w:val="20"/>
                <w:szCs w:val="20"/>
              </w:rPr>
            </w:pPr>
            <w:r>
              <w:rPr>
                <w:rFonts w:ascii="Calibri" w:hAnsi="Calibri"/>
                <w:color w:val="000000"/>
                <w:sz w:val="20"/>
                <w:szCs w:val="20"/>
              </w:rPr>
              <w:t>Duquesne</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10%</w:t>
            </w:r>
          </w:p>
        </w:tc>
      </w:tr>
      <w:tr w:rsidR="0005546A" w:rsidRPr="0031271C" w:rsidTr="004A319A">
        <w:trPr>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05546A" w:rsidRDefault="0005546A" w:rsidP="004A319A">
            <w:pPr>
              <w:rPr>
                <w:rFonts w:ascii="Calibri" w:hAnsi="Calibri"/>
                <w:color w:val="000000"/>
                <w:sz w:val="20"/>
                <w:szCs w:val="20"/>
              </w:rPr>
            </w:pPr>
            <w:r>
              <w:rPr>
                <w:rFonts w:ascii="Calibri" w:hAnsi="Calibri"/>
                <w:color w:val="000000"/>
                <w:sz w:val="20"/>
                <w:szCs w:val="20"/>
              </w:rPr>
              <w:t>FE: Met-Ed</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92%</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8%</w:t>
            </w:r>
          </w:p>
        </w:tc>
      </w:tr>
      <w:tr w:rsidR="0005546A" w:rsidRPr="0031271C" w:rsidTr="004A319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vAlign w:val="center"/>
          </w:tcPr>
          <w:p w:rsidR="0005546A" w:rsidRDefault="0005546A" w:rsidP="004A319A">
            <w:pPr>
              <w:rPr>
                <w:rFonts w:ascii="Calibri" w:hAnsi="Calibri"/>
                <w:color w:val="000000"/>
                <w:sz w:val="20"/>
                <w:szCs w:val="20"/>
              </w:rPr>
            </w:pPr>
            <w:r>
              <w:rPr>
                <w:rFonts w:ascii="Calibri" w:hAnsi="Calibri"/>
                <w:color w:val="000000"/>
                <w:sz w:val="20"/>
                <w:szCs w:val="20"/>
              </w:rPr>
              <w:t>FE: Penelec</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100%</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0%</w:t>
            </w:r>
          </w:p>
        </w:tc>
      </w:tr>
      <w:tr w:rsidR="0005546A" w:rsidRPr="0031271C" w:rsidTr="004A319A">
        <w:trPr>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05546A" w:rsidRDefault="0005546A" w:rsidP="004A319A">
            <w:pPr>
              <w:rPr>
                <w:rFonts w:ascii="Calibri" w:hAnsi="Calibri"/>
                <w:color w:val="000000"/>
                <w:sz w:val="20"/>
                <w:szCs w:val="20"/>
              </w:rPr>
            </w:pPr>
            <w:r>
              <w:rPr>
                <w:rFonts w:ascii="Calibri" w:hAnsi="Calibri"/>
                <w:color w:val="000000"/>
                <w:sz w:val="20"/>
                <w:szCs w:val="20"/>
              </w:rPr>
              <w:t>FE: Penn Power</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10%</w:t>
            </w:r>
          </w:p>
        </w:tc>
      </w:tr>
      <w:tr w:rsidR="0005546A" w:rsidRPr="0031271C" w:rsidTr="004A319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vAlign w:val="center"/>
          </w:tcPr>
          <w:p w:rsidR="0005546A" w:rsidRDefault="0005546A" w:rsidP="004A319A">
            <w:pPr>
              <w:rPr>
                <w:rFonts w:ascii="Calibri" w:hAnsi="Calibri"/>
                <w:color w:val="000000"/>
                <w:sz w:val="20"/>
                <w:szCs w:val="20"/>
              </w:rPr>
            </w:pPr>
            <w:r>
              <w:rPr>
                <w:rFonts w:ascii="Calibri" w:hAnsi="Calibri"/>
                <w:color w:val="000000"/>
                <w:sz w:val="20"/>
                <w:szCs w:val="20"/>
              </w:rPr>
              <w:t>FE: WPP</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10%</w:t>
            </w:r>
          </w:p>
        </w:tc>
      </w:tr>
      <w:tr w:rsidR="0005546A" w:rsidRPr="0031271C" w:rsidTr="004A319A">
        <w:trPr>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05546A" w:rsidRDefault="0005546A" w:rsidP="004A319A">
            <w:pPr>
              <w:rPr>
                <w:rFonts w:ascii="Calibri" w:hAnsi="Calibri"/>
                <w:color w:val="000000"/>
                <w:sz w:val="20"/>
                <w:szCs w:val="20"/>
              </w:rPr>
            </w:pPr>
            <w:r>
              <w:rPr>
                <w:rFonts w:ascii="Calibri" w:hAnsi="Calibri"/>
                <w:color w:val="000000"/>
                <w:sz w:val="20"/>
                <w:szCs w:val="20"/>
              </w:rPr>
              <w:t>PECO</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10%</w:t>
            </w:r>
          </w:p>
        </w:tc>
      </w:tr>
      <w:tr w:rsidR="0005546A" w:rsidRPr="0031271C" w:rsidTr="004A319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vAlign w:val="center"/>
          </w:tcPr>
          <w:p w:rsidR="0005546A" w:rsidRDefault="0005546A" w:rsidP="004A319A">
            <w:pPr>
              <w:rPr>
                <w:rFonts w:ascii="Calibri" w:hAnsi="Calibri"/>
                <w:color w:val="000000"/>
                <w:sz w:val="20"/>
                <w:szCs w:val="20"/>
              </w:rPr>
            </w:pPr>
            <w:r>
              <w:rPr>
                <w:rFonts w:ascii="Calibri" w:hAnsi="Calibri"/>
                <w:color w:val="000000"/>
                <w:sz w:val="20"/>
                <w:szCs w:val="20"/>
              </w:rPr>
              <w:t>PPL</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95%</w:t>
            </w:r>
          </w:p>
        </w:tc>
        <w:tc>
          <w:tcPr>
            <w:tcW w:w="3120" w:type="dxa"/>
            <w:tcBorders>
              <w:top w:val="single" w:sz="4" w:space="0" w:color="448A99"/>
              <w:left w:val="single" w:sz="4" w:space="0" w:color="448A99"/>
              <w:bottom w:val="single" w:sz="4" w:space="0" w:color="448A99"/>
              <w:right w:val="single" w:sz="4" w:space="0" w:color="448A99"/>
            </w:tcBorders>
            <w:vAlign w:val="bottom"/>
          </w:tcPr>
          <w:p w:rsidR="0005546A" w:rsidRPr="00D40D06" w:rsidRDefault="0005546A" w:rsidP="004A319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D40D06">
              <w:rPr>
                <w:rFonts w:ascii="Calibri" w:eastAsia="Times New Roman" w:hAnsi="Calibri" w:cs="Times New Roman"/>
                <w:color w:val="000000"/>
                <w:sz w:val="20"/>
                <w:szCs w:val="20"/>
              </w:rPr>
              <w:t>5%</w:t>
            </w:r>
          </w:p>
        </w:tc>
      </w:tr>
      <w:tr w:rsidR="0005546A" w:rsidRPr="005108B2" w:rsidTr="004A319A">
        <w:trPr>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05546A" w:rsidRPr="00BE40CB" w:rsidRDefault="0005546A" w:rsidP="004A319A">
            <w:pPr>
              <w:rPr>
                <w:rFonts w:ascii="Calibri" w:hAnsi="Calibri"/>
                <w:color w:val="000000"/>
                <w:sz w:val="20"/>
                <w:szCs w:val="20"/>
              </w:rPr>
            </w:pPr>
            <w:r w:rsidRPr="00BE40CB">
              <w:rPr>
                <w:rFonts w:ascii="Calibri" w:hAnsi="Calibri"/>
                <w:bCs w:val="0"/>
                <w:color w:val="000000"/>
                <w:sz w:val="20"/>
                <w:szCs w:val="20"/>
              </w:rPr>
              <w:t>Statewide</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20"/>
                <w:szCs w:val="20"/>
              </w:rPr>
            </w:pPr>
            <w:r w:rsidRPr="00D40D06">
              <w:rPr>
                <w:rFonts w:ascii="Calibri" w:eastAsia="Times New Roman" w:hAnsi="Calibri" w:cs="Times New Roman"/>
                <w:b/>
                <w:color w:val="000000"/>
                <w:sz w:val="20"/>
                <w:szCs w:val="20"/>
              </w:rPr>
              <w:t>92.4%</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bottom"/>
          </w:tcPr>
          <w:p w:rsidR="0005546A" w:rsidRPr="00D40D06" w:rsidRDefault="0005546A" w:rsidP="004A319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20"/>
                <w:szCs w:val="20"/>
              </w:rPr>
            </w:pPr>
            <w:r w:rsidRPr="00D40D06">
              <w:rPr>
                <w:rFonts w:ascii="Calibri" w:eastAsia="Times New Roman" w:hAnsi="Calibri" w:cs="Times New Roman"/>
                <w:b/>
                <w:color w:val="000000"/>
                <w:sz w:val="20"/>
                <w:szCs w:val="20"/>
              </w:rPr>
              <w:t>7.6%</w:t>
            </w:r>
          </w:p>
        </w:tc>
      </w:tr>
    </w:tbl>
    <w:p w:rsidR="0005546A" w:rsidRDefault="0005546A" w:rsidP="0005546A">
      <w:pPr>
        <w:spacing w:after="0" w:line="240" w:lineRule="auto"/>
        <w:jc w:val="center"/>
      </w:pPr>
    </w:p>
    <w:p w:rsidR="001C16BE" w:rsidRDefault="001C16BE" w:rsidP="00B43061">
      <w:pPr>
        <w:spacing w:after="0" w:line="240" w:lineRule="auto"/>
        <w:jc w:val="both"/>
        <w:rPr>
          <w:rFonts w:cs="Arial"/>
        </w:rPr>
      </w:pPr>
      <w:r w:rsidRPr="00776CAA">
        <w:rPr>
          <w:rFonts w:cs="Arial"/>
        </w:rPr>
        <w:fldChar w:fldCharType="begin"/>
      </w:r>
      <w:r w:rsidRPr="00776CAA">
        <w:rPr>
          <w:rFonts w:cs="Arial"/>
        </w:rPr>
        <w:instrText xml:space="preserve"> REF _Ref411520441 \h  \* MERGEFORMAT </w:instrText>
      </w:r>
      <w:r w:rsidRPr="00776CAA">
        <w:rPr>
          <w:rFonts w:cs="Arial"/>
        </w:rPr>
      </w:r>
      <w:r w:rsidRPr="00776CAA">
        <w:rPr>
          <w:rFonts w:cs="Arial"/>
        </w:rPr>
        <w:fldChar w:fldCharType="separate"/>
      </w:r>
      <w:r w:rsidRPr="00776CAA">
        <w:rPr>
          <w:rFonts w:cs="Arial"/>
        </w:rPr>
        <w:t xml:space="preserve">Table </w:t>
      </w:r>
      <w:r w:rsidRPr="00776CAA">
        <w:rPr>
          <w:rFonts w:cs="Arial"/>
          <w:noProof/>
        </w:rPr>
        <w:t>5</w:t>
      </w:r>
      <w:r w:rsidRPr="00776CAA">
        <w:rPr>
          <w:rFonts w:cs="Arial"/>
        </w:rPr>
        <w:fldChar w:fldCharType="end"/>
      </w:r>
      <w:r w:rsidRPr="00776CAA">
        <w:rPr>
          <w:rFonts w:cs="Arial"/>
        </w:rPr>
        <w:t xml:space="preserve"> presents a modified version of the information that </w:t>
      </w:r>
      <w:proofErr w:type="gramStart"/>
      <w:r w:rsidRPr="00776CAA">
        <w:rPr>
          <w:rFonts w:cs="Arial"/>
        </w:rPr>
        <w:t>was shown</w:t>
      </w:r>
      <w:proofErr w:type="gramEnd"/>
      <w:r w:rsidRPr="00776CAA">
        <w:rPr>
          <w:rFonts w:cs="Arial"/>
        </w:rPr>
        <w:t xml:space="preserve"> in </w:t>
      </w:r>
      <w:r w:rsidRPr="00776CAA">
        <w:rPr>
          <w:rFonts w:cs="Arial"/>
        </w:rPr>
        <w:fldChar w:fldCharType="begin"/>
      </w:r>
      <w:r w:rsidRPr="00776CAA">
        <w:rPr>
          <w:rFonts w:cs="Arial"/>
        </w:rPr>
        <w:instrText xml:space="preserve"> REF _Ref411509743 \h </w:instrText>
      </w:r>
      <w:r w:rsidR="00776CAA" w:rsidRPr="00776CAA">
        <w:rPr>
          <w:rFonts w:cs="Arial"/>
        </w:rPr>
        <w:instrText xml:space="preserve"> \* MERGEFORMAT </w:instrText>
      </w:r>
      <w:r w:rsidRPr="00776CAA">
        <w:rPr>
          <w:rFonts w:cs="Arial"/>
        </w:rPr>
      </w:r>
      <w:r w:rsidRPr="00776CAA">
        <w:rPr>
          <w:rFonts w:cs="Arial"/>
        </w:rPr>
        <w:fldChar w:fldCharType="separate"/>
      </w:r>
      <w:r w:rsidRPr="00776CAA">
        <w:t xml:space="preserve">Table </w:t>
      </w:r>
      <w:r w:rsidRPr="00776CAA">
        <w:rPr>
          <w:noProof/>
        </w:rPr>
        <w:t>1</w:t>
      </w:r>
      <w:r w:rsidRPr="00776CAA">
        <w:rPr>
          <w:rFonts w:cs="Arial"/>
        </w:rPr>
        <w:fldChar w:fldCharType="end"/>
      </w:r>
      <w:r w:rsidRPr="00776CAA">
        <w:rPr>
          <w:rFonts w:cs="Arial"/>
        </w:rPr>
        <w:t xml:space="preserve">. The cumulative savings potential estimates </w:t>
      </w:r>
      <w:proofErr w:type="gramStart"/>
      <w:r w:rsidRPr="00776CAA">
        <w:rPr>
          <w:rFonts w:cs="Arial"/>
        </w:rPr>
        <w:t>have been removed</w:t>
      </w:r>
      <w:proofErr w:type="gramEnd"/>
      <w:r w:rsidRPr="00776CAA">
        <w:rPr>
          <w:rFonts w:cs="Arial"/>
        </w:rPr>
        <w:t xml:space="preserve"> and program potential estimates have been modified to reflect the energy efficiency spending allocations in </w:t>
      </w:r>
      <w:r w:rsidRPr="00776CAA">
        <w:rPr>
          <w:rFonts w:cs="Arial"/>
        </w:rPr>
        <w:fldChar w:fldCharType="begin"/>
      </w:r>
      <w:r w:rsidRPr="00776CAA">
        <w:rPr>
          <w:rFonts w:cs="Arial"/>
        </w:rPr>
        <w:instrText xml:space="preserve"> REF _Ref411519369 \h </w:instrText>
      </w:r>
      <w:r w:rsidR="00776CAA" w:rsidRPr="00776CAA">
        <w:rPr>
          <w:rFonts w:cs="Arial"/>
        </w:rPr>
        <w:instrText xml:space="preserve"> \* MERGEFORMAT </w:instrText>
      </w:r>
      <w:r w:rsidRPr="00776CAA">
        <w:rPr>
          <w:rFonts w:cs="Arial"/>
        </w:rPr>
      </w:r>
      <w:r w:rsidRPr="00776CAA">
        <w:rPr>
          <w:rFonts w:cs="Arial"/>
        </w:rPr>
        <w:fldChar w:fldCharType="separate"/>
      </w:r>
      <w:r w:rsidRPr="00776CAA">
        <w:t xml:space="preserve">Table </w:t>
      </w:r>
      <w:r w:rsidRPr="00776CAA">
        <w:rPr>
          <w:noProof/>
        </w:rPr>
        <w:t>4</w:t>
      </w:r>
      <w:r w:rsidRPr="00776CAA">
        <w:rPr>
          <w:rFonts w:cs="Arial"/>
        </w:rPr>
        <w:fldChar w:fldCharType="end"/>
      </w:r>
      <w:r w:rsidRPr="00776CAA">
        <w:rPr>
          <w:rFonts w:cs="Arial"/>
        </w:rPr>
        <w:t>. The estimates of achievable potential are unaltered.</w:t>
      </w:r>
    </w:p>
    <w:p w:rsidR="00B43061" w:rsidRPr="002249C7" w:rsidRDefault="00B43061" w:rsidP="00B43061">
      <w:pPr>
        <w:spacing w:after="0" w:line="240" w:lineRule="auto"/>
        <w:jc w:val="both"/>
        <w:rPr>
          <w:rFonts w:cs="Arial"/>
          <w:sz w:val="16"/>
          <w:szCs w:val="16"/>
        </w:rPr>
      </w:pPr>
    </w:p>
    <w:p w:rsidR="001C16BE" w:rsidRDefault="001C16BE" w:rsidP="001C16BE">
      <w:pPr>
        <w:pStyle w:val="Caption"/>
        <w:keepNext/>
      </w:pPr>
      <w:bookmarkStart w:id="5" w:name="_Ref411520441"/>
      <w:r w:rsidRPr="001C16BE">
        <w:t xml:space="preserve">Table </w:t>
      </w:r>
      <w:fldSimple w:instr=" SEQ Table \* ARABIC ">
        <w:r w:rsidR="0074687C">
          <w:rPr>
            <w:noProof/>
          </w:rPr>
          <w:t>5</w:t>
        </w:r>
      </w:fldSimple>
      <w:bookmarkEnd w:id="5"/>
      <w:r w:rsidRPr="001C16BE">
        <w:t xml:space="preserve">: </w:t>
      </w:r>
      <w:r w:rsidRPr="008178AF">
        <w:t xml:space="preserve">Statewide Summary of Potential </w:t>
      </w:r>
      <w:r>
        <w:t xml:space="preserve">EE </w:t>
      </w:r>
      <w:r w:rsidRPr="008178AF">
        <w:t>Savings</w:t>
      </w:r>
      <w:r>
        <w:t xml:space="preserve"> and Costs by Scenario and Year Based on Funding Allocation</w:t>
      </w:r>
    </w:p>
    <w:tbl>
      <w:tblPr>
        <w:tblW w:w="9340" w:type="dxa"/>
        <w:tblInd w:w="98" w:type="dxa"/>
        <w:tblLook w:val="04A0" w:firstRow="1" w:lastRow="0" w:firstColumn="1" w:lastColumn="0" w:noHBand="0" w:noVBand="1"/>
      </w:tblPr>
      <w:tblGrid>
        <w:gridCol w:w="2354"/>
        <w:gridCol w:w="1119"/>
        <w:gridCol w:w="1127"/>
        <w:gridCol w:w="1359"/>
        <w:gridCol w:w="1127"/>
        <w:gridCol w:w="1127"/>
        <w:gridCol w:w="1127"/>
      </w:tblGrid>
      <w:tr w:rsidR="006C72DB" w:rsidRPr="00FC0DB2" w:rsidTr="006C72DB">
        <w:trPr>
          <w:trHeight w:val="144"/>
          <w:tblHeader/>
        </w:trPr>
        <w:tc>
          <w:tcPr>
            <w:tcW w:w="2354" w:type="dxa"/>
            <w:tcBorders>
              <w:top w:val="single" w:sz="8" w:space="0" w:color="448A99"/>
              <w:left w:val="single" w:sz="8" w:space="0" w:color="448A99"/>
              <w:bottom w:val="single" w:sz="8" w:space="0" w:color="448A99"/>
              <w:right w:val="nil"/>
            </w:tcBorders>
            <w:shd w:val="clear" w:color="000000" w:fill="448A99"/>
            <w:vAlign w:val="center"/>
            <w:hideMark/>
          </w:tcPr>
          <w:p w:rsidR="006C72DB" w:rsidRPr="00625E08" w:rsidRDefault="006C72DB" w:rsidP="006C72DB">
            <w:pPr>
              <w:spacing w:after="0" w:line="240" w:lineRule="auto"/>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 </w:t>
            </w:r>
          </w:p>
        </w:tc>
        <w:tc>
          <w:tcPr>
            <w:tcW w:w="1119" w:type="dxa"/>
            <w:tcBorders>
              <w:top w:val="single" w:sz="8" w:space="0" w:color="448A99"/>
              <w:left w:val="nil"/>
              <w:bottom w:val="single" w:sz="8" w:space="0" w:color="448A99"/>
              <w:right w:val="nil"/>
            </w:tcBorders>
            <w:shd w:val="clear" w:color="000000" w:fill="448A99"/>
            <w:vAlign w:val="center"/>
            <w:hideMark/>
          </w:tcPr>
          <w:p w:rsidR="006C72DB" w:rsidRPr="00625E08" w:rsidRDefault="006C72DB" w:rsidP="006C72DB">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2016</w:t>
            </w:r>
          </w:p>
        </w:tc>
        <w:tc>
          <w:tcPr>
            <w:tcW w:w="1127" w:type="dxa"/>
            <w:tcBorders>
              <w:top w:val="single" w:sz="8" w:space="0" w:color="448A99"/>
              <w:left w:val="nil"/>
              <w:bottom w:val="single" w:sz="8" w:space="0" w:color="448A99"/>
              <w:right w:val="nil"/>
            </w:tcBorders>
            <w:shd w:val="clear" w:color="000000" w:fill="448A99"/>
            <w:vAlign w:val="center"/>
            <w:hideMark/>
          </w:tcPr>
          <w:p w:rsidR="006C72DB" w:rsidRPr="00625E08" w:rsidRDefault="006C72DB" w:rsidP="006C72DB">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2017</w:t>
            </w:r>
          </w:p>
        </w:tc>
        <w:tc>
          <w:tcPr>
            <w:tcW w:w="1359" w:type="dxa"/>
            <w:tcBorders>
              <w:top w:val="single" w:sz="8" w:space="0" w:color="448A99"/>
              <w:left w:val="nil"/>
              <w:bottom w:val="single" w:sz="8" w:space="0" w:color="448A99"/>
              <w:right w:val="nil"/>
            </w:tcBorders>
            <w:shd w:val="clear" w:color="000000" w:fill="448A99"/>
            <w:vAlign w:val="center"/>
            <w:hideMark/>
          </w:tcPr>
          <w:p w:rsidR="006C72DB" w:rsidRPr="00625E08" w:rsidRDefault="006C72DB" w:rsidP="006C72DB">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2018</w:t>
            </w:r>
          </w:p>
        </w:tc>
        <w:tc>
          <w:tcPr>
            <w:tcW w:w="1127" w:type="dxa"/>
            <w:tcBorders>
              <w:top w:val="single" w:sz="8" w:space="0" w:color="448A99"/>
              <w:left w:val="nil"/>
              <w:bottom w:val="single" w:sz="8" w:space="0" w:color="448A99"/>
              <w:right w:val="nil"/>
            </w:tcBorders>
            <w:shd w:val="clear" w:color="000000" w:fill="448A99"/>
            <w:vAlign w:val="center"/>
            <w:hideMark/>
          </w:tcPr>
          <w:p w:rsidR="006C72DB" w:rsidRPr="00625E08" w:rsidRDefault="006C72DB" w:rsidP="006C72DB">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2019</w:t>
            </w:r>
          </w:p>
        </w:tc>
        <w:tc>
          <w:tcPr>
            <w:tcW w:w="1127" w:type="dxa"/>
            <w:tcBorders>
              <w:top w:val="single" w:sz="8" w:space="0" w:color="448A99"/>
              <w:left w:val="nil"/>
              <w:bottom w:val="single" w:sz="8" w:space="0" w:color="448A99"/>
              <w:right w:val="nil"/>
            </w:tcBorders>
            <w:shd w:val="clear" w:color="000000" w:fill="448A99"/>
            <w:noWrap/>
            <w:vAlign w:val="center"/>
            <w:hideMark/>
          </w:tcPr>
          <w:p w:rsidR="006C72DB" w:rsidRPr="00625E08" w:rsidRDefault="006C72DB" w:rsidP="006C72DB">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2020</w:t>
            </w:r>
          </w:p>
        </w:tc>
        <w:tc>
          <w:tcPr>
            <w:tcW w:w="1127" w:type="dxa"/>
            <w:tcBorders>
              <w:top w:val="single" w:sz="8" w:space="0" w:color="448A99"/>
              <w:left w:val="nil"/>
              <w:bottom w:val="single" w:sz="8" w:space="0" w:color="448A99"/>
              <w:right w:val="single" w:sz="8" w:space="0" w:color="448A99"/>
            </w:tcBorders>
            <w:shd w:val="clear" w:color="000000" w:fill="448A99"/>
            <w:vAlign w:val="center"/>
            <w:hideMark/>
          </w:tcPr>
          <w:p w:rsidR="006C72DB" w:rsidRPr="00625E08" w:rsidRDefault="006C72DB" w:rsidP="006C72DB">
            <w:pPr>
              <w:spacing w:after="0" w:line="240" w:lineRule="auto"/>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2025</w:t>
            </w:r>
          </w:p>
        </w:tc>
      </w:tr>
      <w:tr w:rsidR="006C72DB" w:rsidRPr="00FC0DB2" w:rsidTr="006C72DB">
        <w:trPr>
          <w:trHeight w:val="144"/>
        </w:trPr>
        <w:tc>
          <w:tcPr>
            <w:tcW w:w="9340" w:type="dxa"/>
            <w:gridSpan w:val="7"/>
            <w:tcBorders>
              <w:top w:val="single" w:sz="8" w:space="0" w:color="448A99"/>
              <w:left w:val="single" w:sz="8" w:space="0" w:color="448A99"/>
              <w:bottom w:val="single" w:sz="8" w:space="0" w:color="448A99"/>
              <w:right w:val="single" w:sz="8" w:space="0" w:color="448A99"/>
            </w:tcBorders>
            <w:shd w:val="clear" w:color="auto" w:fill="9C9393"/>
            <w:vAlign w:val="center"/>
            <w:hideMark/>
          </w:tcPr>
          <w:p w:rsidR="006C72DB" w:rsidRPr="004552CC" w:rsidRDefault="006C72DB" w:rsidP="006C72DB">
            <w:pPr>
              <w:spacing w:after="0" w:line="240" w:lineRule="auto"/>
              <w:rPr>
                <w:rFonts w:eastAsia="Times New Roman" w:cs="Times New Roman"/>
                <w:b/>
                <w:bCs/>
                <w:color w:val="FFFFFF"/>
                <w:sz w:val="20"/>
                <w:szCs w:val="20"/>
              </w:rPr>
            </w:pPr>
            <w:r w:rsidRPr="004552CC">
              <w:rPr>
                <w:rFonts w:eastAsia="Times New Roman" w:cs="Times New Roman"/>
                <w:b/>
                <w:bCs/>
                <w:color w:val="FFFFFF"/>
                <w:sz w:val="20"/>
                <w:szCs w:val="20"/>
              </w:rPr>
              <w:t xml:space="preserve">Incremental </w:t>
            </w:r>
            <w:r w:rsidR="001F4E23">
              <w:rPr>
                <w:rFonts w:eastAsia="Times New Roman" w:cs="Times New Roman"/>
                <w:b/>
                <w:bCs/>
                <w:color w:val="FFFFFF"/>
                <w:sz w:val="20"/>
                <w:szCs w:val="20"/>
              </w:rPr>
              <w:t xml:space="preserve">Annual </w:t>
            </w:r>
            <w:r w:rsidRPr="004552CC">
              <w:rPr>
                <w:rFonts w:eastAsia="Times New Roman" w:cs="Times New Roman"/>
                <w:b/>
                <w:bCs/>
                <w:color w:val="FFFFFF"/>
                <w:sz w:val="20"/>
                <w:szCs w:val="20"/>
              </w:rPr>
              <w:t>Savings Potential - MWh</w:t>
            </w:r>
          </w:p>
        </w:tc>
      </w:tr>
      <w:tr w:rsidR="001C16BE" w:rsidRPr="00FC0DB2" w:rsidTr="001C16BE">
        <w:trPr>
          <w:trHeight w:hRule="exact" w:val="288"/>
        </w:trPr>
        <w:tc>
          <w:tcPr>
            <w:tcW w:w="2354" w:type="dxa"/>
            <w:tcBorders>
              <w:top w:val="nil"/>
              <w:left w:val="single" w:sz="8" w:space="0" w:color="448A99"/>
              <w:bottom w:val="single" w:sz="8" w:space="0" w:color="448A99"/>
              <w:right w:val="nil"/>
            </w:tcBorders>
            <w:shd w:val="clear" w:color="auto" w:fill="auto"/>
            <w:vAlign w:val="center"/>
            <w:hideMark/>
          </w:tcPr>
          <w:p w:rsidR="001C16BE" w:rsidRDefault="001C16BE">
            <w:pPr>
              <w:rPr>
                <w:rFonts w:ascii="Calibri" w:hAnsi="Calibri"/>
                <w:b/>
                <w:bCs/>
                <w:color w:val="000000"/>
                <w:sz w:val="20"/>
                <w:szCs w:val="20"/>
              </w:rPr>
            </w:pPr>
            <w:r>
              <w:rPr>
                <w:rFonts w:ascii="Calibri" w:hAnsi="Calibri"/>
                <w:b/>
                <w:bCs/>
                <w:color w:val="000000"/>
                <w:sz w:val="20"/>
                <w:szCs w:val="20"/>
              </w:rPr>
              <w:t>Maximum Achievable</w:t>
            </w:r>
          </w:p>
        </w:tc>
        <w:tc>
          <w:tcPr>
            <w:tcW w:w="1119"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2,761,211</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2,866,823</w:t>
            </w:r>
          </w:p>
        </w:tc>
        <w:tc>
          <w:tcPr>
            <w:tcW w:w="1359"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2,989,121</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3,104,271</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2,610,702</w:t>
            </w:r>
          </w:p>
        </w:tc>
        <w:tc>
          <w:tcPr>
            <w:tcW w:w="1127" w:type="dxa"/>
            <w:tcBorders>
              <w:top w:val="nil"/>
              <w:left w:val="nil"/>
              <w:bottom w:val="single" w:sz="8" w:space="0" w:color="448A99"/>
              <w:right w:val="single" w:sz="8" w:space="0" w:color="448A99"/>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2,574,169</w:t>
            </w:r>
          </w:p>
        </w:tc>
      </w:tr>
      <w:tr w:rsidR="001C16BE" w:rsidRPr="00FC0DB2" w:rsidTr="001C16BE">
        <w:trPr>
          <w:trHeight w:hRule="exact" w:val="288"/>
        </w:trPr>
        <w:tc>
          <w:tcPr>
            <w:tcW w:w="2354" w:type="dxa"/>
            <w:tcBorders>
              <w:top w:val="nil"/>
              <w:left w:val="single" w:sz="8" w:space="0" w:color="448A99"/>
              <w:bottom w:val="single" w:sz="8" w:space="0" w:color="448A99"/>
              <w:right w:val="nil"/>
            </w:tcBorders>
            <w:shd w:val="clear" w:color="auto" w:fill="D2EAF1"/>
            <w:vAlign w:val="center"/>
            <w:hideMark/>
          </w:tcPr>
          <w:p w:rsidR="001C16BE" w:rsidRDefault="001C16BE">
            <w:pPr>
              <w:rPr>
                <w:rFonts w:ascii="Calibri" w:hAnsi="Calibri"/>
                <w:b/>
                <w:bCs/>
                <w:color w:val="000000"/>
                <w:sz w:val="20"/>
                <w:szCs w:val="20"/>
              </w:rPr>
            </w:pPr>
            <w:r>
              <w:rPr>
                <w:rFonts w:ascii="Calibri" w:hAnsi="Calibri"/>
                <w:b/>
                <w:bCs/>
                <w:color w:val="000000"/>
                <w:sz w:val="20"/>
                <w:szCs w:val="20"/>
              </w:rPr>
              <w:t>Base Achievable</w:t>
            </w:r>
          </w:p>
        </w:tc>
        <w:tc>
          <w:tcPr>
            <w:tcW w:w="1119"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1,610,739</w:t>
            </w:r>
          </w:p>
        </w:tc>
        <w:tc>
          <w:tcPr>
            <w:tcW w:w="1127"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1,725,249</w:t>
            </w:r>
          </w:p>
        </w:tc>
        <w:tc>
          <w:tcPr>
            <w:tcW w:w="1359"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1,836,917</w:t>
            </w:r>
          </w:p>
        </w:tc>
        <w:tc>
          <w:tcPr>
            <w:tcW w:w="1127"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1,943,976</w:t>
            </w:r>
          </w:p>
        </w:tc>
        <w:tc>
          <w:tcPr>
            <w:tcW w:w="1127"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1,665,279</w:t>
            </w:r>
          </w:p>
        </w:tc>
        <w:tc>
          <w:tcPr>
            <w:tcW w:w="1127" w:type="dxa"/>
            <w:tcBorders>
              <w:top w:val="nil"/>
              <w:left w:val="nil"/>
              <w:bottom w:val="single" w:sz="8" w:space="0" w:color="448A99"/>
              <w:right w:val="single" w:sz="8" w:space="0" w:color="448A99"/>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1,794,256</w:t>
            </w:r>
          </w:p>
        </w:tc>
      </w:tr>
      <w:tr w:rsidR="001C16BE" w:rsidRPr="00FC0DB2" w:rsidTr="001C16BE">
        <w:trPr>
          <w:trHeight w:hRule="exact" w:val="288"/>
        </w:trPr>
        <w:tc>
          <w:tcPr>
            <w:tcW w:w="2354" w:type="dxa"/>
            <w:tcBorders>
              <w:top w:val="nil"/>
              <w:left w:val="single" w:sz="8" w:space="0" w:color="448A99"/>
              <w:bottom w:val="single" w:sz="8" w:space="0" w:color="448A99"/>
              <w:right w:val="nil"/>
            </w:tcBorders>
            <w:shd w:val="clear" w:color="auto" w:fill="auto"/>
            <w:vAlign w:val="center"/>
            <w:hideMark/>
          </w:tcPr>
          <w:p w:rsidR="001C16BE" w:rsidRDefault="001C16BE">
            <w:pPr>
              <w:rPr>
                <w:rFonts w:ascii="Calibri" w:hAnsi="Calibri"/>
                <w:b/>
                <w:bCs/>
                <w:color w:val="000000"/>
                <w:sz w:val="20"/>
                <w:szCs w:val="20"/>
              </w:rPr>
            </w:pPr>
            <w:r>
              <w:rPr>
                <w:rFonts w:ascii="Calibri" w:hAnsi="Calibri"/>
                <w:b/>
                <w:bCs/>
                <w:color w:val="000000"/>
                <w:sz w:val="20"/>
                <w:szCs w:val="20"/>
              </w:rPr>
              <w:t xml:space="preserve">Program </w:t>
            </w:r>
          </w:p>
        </w:tc>
        <w:tc>
          <w:tcPr>
            <w:tcW w:w="1119"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1,124,675</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1,202,963</w:t>
            </w:r>
          </w:p>
        </w:tc>
        <w:tc>
          <w:tcPr>
            <w:tcW w:w="1359"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1,280,458</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1,354,781</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1,160,867</w:t>
            </w:r>
          </w:p>
        </w:tc>
        <w:tc>
          <w:tcPr>
            <w:tcW w:w="1127" w:type="dxa"/>
            <w:tcBorders>
              <w:top w:val="nil"/>
              <w:left w:val="nil"/>
              <w:bottom w:val="single" w:sz="8" w:space="0" w:color="448A99"/>
              <w:right w:val="single" w:sz="8" w:space="0" w:color="448A99"/>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w:t>
            </w:r>
          </w:p>
        </w:tc>
      </w:tr>
      <w:tr w:rsidR="006C72DB" w:rsidRPr="00FC0DB2" w:rsidTr="001C16BE">
        <w:trPr>
          <w:trHeight w:hRule="exact" w:val="288"/>
        </w:trPr>
        <w:tc>
          <w:tcPr>
            <w:tcW w:w="9340" w:type="dxa"/>
            <w:gridSpan w:val="7"/>
            <w:tcBorders>
              <w:top w:val="single" w:sz="8" w:space="0" w:color="448A99"/>
              <w:left w:val="single" w:sz="8" w:space="0" w:color="4BACC6"/>
              <w:bottom w:val="single" w:sz="8" w:space="0" w:color="448A99"/>
              <w:right w:val="single" w:sz="8" w:space="0" w:color="4BACC6"/>
            </w:tcBorders>
            <w:shd w:val="clear" w:color="auto" w:fill="9C9393"/>
            <w:vAlign w:val="center"/>
            <w:hideMark/>
          </w:tcPr>
          <w:p w:rsidR="006C72DB" w:rsidRPr="004552CC" w:rsidRDefault="006C72DB" w:rsidP="006C72DB">
            <w:pPr>
              <w:spacing w:after="0" w:line="240" w:lineRule="auto"/>
              <w:rPr>
                <w:rFonts w:eastAsia="Times New Roman" w:cs="Times New Roman"/>
                <w:b/>
                <w:bCs/>
                <w:color w:val="FFFFFF"/>
                <w:sz w:val="20"/>
                <w:szCs w:val="20"/>
              </w:rPr>
            </w:pPr>
            <w:r w:rsidRPr="004552CC">
              <w:rPr>
                <w:rFonts w:eastAsia="Times New Roman" w:cs="Times New Roman"/>
                <w:b/>
                <w:bCs/>
                <w:color w:val="FFFFFF" w:themeColor="background1"/>
                <w:sz w:val="20"/>
                <w:szCs w:val="20"/>
              </w:rPr>
              <w:t xml:space="preserve">Incremental </w:t>
            </w:r>
            <w:r w:rsidR="001F4E23">
              <w:rPr>
                <w:rFonts w:eastAsia="Times New Roman" w:cs="Times New Roman"/>
                <w:b/>
                <w:bCs/>
                <w:color w:val="FFFFFF" w:themeColor="background1"/>
                <w:sz w:val="20"/>
                <w:szCs w:val="20"/>
              </w:rPr>
              <w:t xml:space="preserve">Annual </w:t>
            </w:r>
            <w:r w:rsidRPr="004552CC">
              <w:rPr>
                <w:rFonts w:eastAsia="Times New Roman" w:cs="Times New Roman"/>
                <w:b/>
                <w:bCs/>
                <w:color w:val="FFFFFF" w:themeColor="background1"/>
                <w:sz w:val="20"/>
                <w:szCs w:val="20"/>
              </w:rPr>
              <w:t>Savings Potential - % of  2010 Load</w:t>
            </w:r>
          </w:p>
        </w:tc>
      </w:tr>
      <w:tr w:rsidR="001C16BE" w:rsidRPr="00FC0DB2" w:rsidTr="001C16BE">
        <w:trPr>
          <w:trHeight w:hRule="exact" w:val="288"/>
        </w:trPr>
        <w:tc>
          <w:tcPr>
            <w:tcW w:w="2354" w:type="dxa"/>
            <w:tcBorders>
              <w:top w:val="nil"/>
              <w:left w:val="single" w:sz="8" w:space="0" w:color="448A99"/>
              <w:bottom w:val="single" w:sz="8" w:space="0" w:color="448A99"/>
              <w:right w:val="nil"/>
            </w:tcBorders>
            <w:shd w:val="clear" w:color="auto" w:fill="auto"/>
            <w:vAlign w:val="center"/>
            <w:hideMark/>
          </w:tcPr>
          <w:p w:rsidR="001C16BE" w:rsidRDefault="001C16BE">
            <w:pPr>
              <w:rPr>
                <w:rFonts w:ascii="Calibri" w:hAnsi="Calibri"/>
                <w:b/>
                <w:bCs/>
                <w:color w:val="000000"/>
                <w:sz w:val="20"/>
                <w:szCs w:val="20"/>
              </w:rPr>
            </w:pPr>
            <w:r>
              <w:rPr>
                <w:rFonts w:ascii="Calibri" w:hAnsi="Calibri"/>
                <w:b/>
                <w:bCs/>
                <w:color w:val="000000"/>
                <w:sz w:val="20"/>
                <w:szCs w:val="20"/>
              </w:rPr>
              <w:t>Maximum Achievable</w:t>
            </w:r>
          </w:p>
        </w:tc>
        <w:tc>
          <w:tcPr>
            <w:tcW w:w="1119"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1.9%</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2.0%</w:t>
            </w:r>
          </w:p>
        </w:tc>
        <w:tc>
          <w:tcPr>
            <w:tcW w:w="1359"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2.0%</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2.1%</w:t>
            </w:r>
          </w:p>
        </w:tc>
        <w:tc>
          <w:tcPr>
            <w:tcW w:w="1127" w:type="dxa"/>
            <w:tcBorders>
              <w:top w:val="nil"/>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1.8%</w:t>
            </w:r>
          </w:p>
        </w:tc>
        <w:tc>
          <w:tcPr>
            <w:tcW w:w="1127" w:type="dxa"/>
            <w:tcBorders>
              <w:top w:val="nil"/>
              <w:left w:val="nil"/>
              <w:bottom w:val="single" w:sz="8" w:space="0" w:color="448A99"/>
              <w:right w:val="single" w:sz="8" w:space="0" w:color="448A99"/>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1.8%</w:t>
            </w:r>
          </w:p>
        </w:tc>
      </w:tr>
      <w:tr w:rsidR="001C16BE" w:rsidRPr="00FC0DB2" w:rsidTr="001C16BE">
        <w:trPr>
          <w:trHeight w:hRule="exact" w:val="288"/>
        </w:trPr>
        <w:tc>
          <w:tcPr>
            <w:tcW w:w="2354" w:type="dxa"/>
            <w:tcBorders>
              <w:top w:val="nil"/>
              <w:left w:val="single" w:sz="8" w:space="0" w:color="4BACC6"/>
              <w:bottom w:val="single" w:sz="8" w:space="0" w:color="448A99"/>
              <w:right w:val="nil"/>
            </w:tcBorders>
            <w:shd w:val="clear" w:color="auto" w:fill="D2EAF1"/>
            <w:vAlign w:val="center"/>
            <w:hideMark/>
          </w:tcPr>
          <w:p w:rsidR="001C16BE" w:rsidRDefault="001C16BE">
            <w:pPr>
              <w:rPr>
                <w:rFonts w:ascii="Calibri" w:hAnsi="Calibri"/>
                <w:b/>
                <w:bCs/>
                <w:color w:val="000000"/>
                <w:sz w:val="20"/>
                <w:szCs w:val="20"/>
              </w:rPr>
            </w:pPr>
            <w:r>
              <w:rPr>
                <w:rFonts w:ascii="Calibri" w:hAnsi="Calibri"/>
                <w:b/>
                <w:bCs/>
                <w:color w:val="000000"/>
                <w:sz w:val="20"/>
                <w:szCs w:val="20"/>
              </w:rPr>
              <w:t>Base Achievable</w:t>
            </w:r>
          </w:p>
        </w:tc>
        <w:tc>
          <w:tcPr>
            <w:tcW w:w="1119"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1.1%</w:t>
            </w:r>
          </w:p>
        </w:tc>
        <w:tc>
          <w:tcPr>
            <w:tcW w:w="1127"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1.2%</w:t>
            </w:r>
          </w:p>
        </w:tc>
        <w:tc>
          <w:tcPr>
            <w:tcW w:w="1359"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1.3%</w:t>
            </w:r>
          </w:p>
        </w:tc>
        <w:tc>
          <w:tcPr>
            <w:tcW w:w="1127"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1.3%</w:t>
            </w:r>
          </w:p>
        </w:tc>
        <w:tc>
          <w:tcPr>
            <w:tcW w:w="1127" w:type="dxa"/>
            <w:tcBorders>
              <w:top w:val="nil"/>
              <w:left w:val="nil"/>
              <w:bottom w:val="single" w:sz="8" w:space="0" w:color="448A99"/>
              <w:right w:val="nil"/>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1.1%</w:t>
            </w:r>
          </w:p>
        </w:tc>
        <w:tc>
          <w:tcPr>
            <w:tcW w:w="1127" w:type="dxa"/>
            <w:tcBorders>
              <w:top w:val="nil"/>
              <w:left w:val="nil"/>
              <w:bottom w:val="single" w:sz="8" w:space="0" w:color="448A99"/>
              <w:right w:val="single" w:sz="8" w:space="0" w:color="4BACC6"/>
            </w:tcBorders>
            <w:shd w:val="clear" w:color="auto" w:fill="D2EAF1"/>
            <w:noWrap/>
            <w:vAlign w:val="center"/>
            <w:hideMark/>
          </w:tcPr>
          <w:p w:rsidR="001C16BE" w:rsidRDefault="001C16BE">
            <w:pPr>
              <w:jc w:val="center"/>
              <w:rPr>
                <w:rFonts w:ascii="Calibri" w:hAnsi="Calibri"/>
                <w:color w:val="000000"/>
                <w:sz w:val="20"/>
                <w:szCs w:val="20"/>
              </w:rPr>
            </w:pPr>
            <w:r>
              <w:rPr>
                <w:rFonts w:ascii="Calibri" w:hAnsi="Calibri"/>
                <w:color w:val="000000"/>
                <w:sz w:val="20"/>
                <w:szCs w:val="20"/>
              </w:rPr>
              <w:t>1.2%</w:t>
            </w:r>
          </w:p>
        </w:tc>
      </w:tr>
      <w:tr w:rsidR="001C16BE" w:rsidRPr="00FC0DB2" w:rsidTr="001C16BE">
        <w:trPr>
          <w:trHeight w:hRule="exact" w:val="288"/>
        </w:trPr>
        <w:tc>
          <w:tcPr>
            <w:tcW w:w="2354" w:type="dxa"/>
            <w:tcBorders>
              <w:top w:val="single" w:sz="8" w:space="0" w:color="448A99"/>
              <w:left w:val="single" w:sz="8" w:space="0" w:color="448A99"/>
              <w:bottom w:val="single" w:sz="8" w:space="0" w:color="448A99"/>
              <w:right w:val="nil"/>
            </w:tcBorders>
            <w:shd w:val="clear" w:color="auto" w:fill="auto"/>
            <w:vAlign w:val="center"/>
            <w:hideMark/>
          </w:tcPr>
          <w:p w:rsidR="001C16BE" w:rsidRDefault="001C16BE">
            <w:pPr>
              <w:rPr>
                <w:rFonts w:ascii="Calibri" w:hAnsi="Calibri"/>
                <w:b/>
                <w:bCs/>
                <w:color w:val="000000"/>
                <w:sz w:val="20"/>
                <w:szCs w:val="20"/>
              </w:rPr>
            </w:pPr>
            <w:r>
              <w:rPr>
                <w:rFonts w:ascii="Calibri" w:hAnsi="Calibri"/>
                <w:b/>
                <w:bCs/>
                <w:color w:val="000000"/>
                <w:sz w:val="20"/>
                <w:szCs w:val="20"/>
              </w:rPr>
              <w:t xml:space="preserve">Program </w:t>
            </w:r>
          </w:p>
        </w:tc>
        <w:tc>
          <w:tcPr>
            <w:tcW w:w="1119" w:type="dxa"/>
            <w:tcBorders>
              <w:top w:val="single" w:sz="8" w:space="0" w:color="448A99"/>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bCs/>
                <w:color w:val="000000"/>
                <w:sz w:val="20"/>
                <w:szCs w:val="20"/>
              </w:rPr>
              <w:t>0.8%</w:t>
            </w:r>
          </w:p>
        </w:tc>
        <w:tc>
          <w:tcPr>
            <w:tcW w:w="1127" w:type="dxa"/>
            <w:tcBorders>
              <w:top w:val="single" w:sz="8" w:space="0" w:color="448A99"/>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bCs/>
                <w:color w:val="000000"/>
                <w:sz w:val="20"/>
                <w:szCs w:val="20"/>
              </w:rPr>
              <w:t>0.8%</w:t>
            </w:r>
          </w:p>
        </w:tc>
        <w:tc>
          <w:tcPr>
            <w:tcW w:w="1359" w:type="dxa"/>
            <w:tcBorders>
              <w:top w:val="single" w:sz="8" w:space="0" w:color="448A99"/>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bCs/>
                <w:color w:val="000000"/>
                <w:sz w:val="20"/>
                <w:szCs w:val="20"/>
              </w:rPr>
              <w:t>0.9%</w:t>
            </w:r>
          </w:p>
        </w:tc>
        <w:tc>
          <w:tcPr>
            <w:tcW w:w="1127" w:type="dxa"/>
            <w:tcBorders>
              <w:top w:val="single" w:sz="8" w:space="0" w:color="448A99"/>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bCs/>
                <w:color w:val="000000"/>
                <w:sz w:val="20"/>
                <w:szCs w:val="20"/>
              </w:rPr>
              <w:t>0.9%</w:t>
            </w:r>
          </w:p>
        </w:tc>
        <w:tc>
          <w:tcPr>
            <w:tcW w:w="1127" w:type="dxa"/>
            <w:tcBorders>
              <w:top w:val="single" w:sz="8" w:space="0" w:color="448A99"/>
              <w:left w:val="nil"/>
              <w:bottom w:val="single" w:sz="8" w:space="0" w:color="448A99"/>
              <w:right w:val="nil"/>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bCs/>
                <w:color w:val="000000"/>
                <w:sz w:val="20"/>
                <w:szCs w:val="20"/>
              </w:rPr>
              <w:t>0.8%</w:t>
            </w:r>
          </w:p>
        </w:tc>
        <w:tc>
          <w:tcPr>
            <w:tcW w:w="1127" w:type="dxa"/>
            <w:tcBorders>
              <w:top w:val="single" w:sz="8" w:space="0" w:color="448A99"/>
              <w:left w:val="nil"/>
              <w:bottom w:val="single" w:sz="8" w:space="0" w:color="448A99"/>
              <w:right w:val="single" w:sz="8" w:space="0" w:color="448A99"/>
            </w:tcBorders>
            <w:shd w:val="clear" w:color="auto" w:fill="auto"/>
            <w:noWrap/>
            <w:vAlign w:val="center"/>
            <w:hideMark/>
          </w:tcPr>
          <w:p w:rsidR="001C16BE" w:rsidRDefault="001C16BE">
            <w:pPr>
              <w:jc w:val="center"/>
              <w:rPr>
                <w:rFonts w:ascii="Calibri" w:hAnsi="Calibri"/>
                <w:color w:val="000000"/>
                <w:sz w:val="20"/>
                <w:szCs w:val="20"/>
              </w:rPr>
            </w:pPr>
            <w:r>
              <w:rPr>
                <w:rFonts w:ascii="Calibri" w:hAnsi="Calibri"/>
                <w:bCs/>
                <w:color w:val="000000"/>
                <w:sz w:val="20"/>
                <w:szCs w:val="20"/>
              </w:rPr>
              <w:t>-</w:t>
            </w:r>
          </w:p>
        </w:tc>
      </w:tr>
      <w:tr w:rsidR="006C72DB" w:rsidRPr="00FC0DB2" w:rsidTr="001C16BE">
        <w:trPr>
          <w:trHeight w:hRule="exact" w:val="288"/>
        </w:trPr>
        <w:tc>
          <w:tcPr>
            <w:tcW w:w="9340" w:type="dxa"/>
            <w:gridSpan w:val="7"/>
            <w:tcBorders>
              <w:top w:val="single" w:sz="8" w:space="0" w:color="448A99"/>
              <w:left w:val="single" w:sz="8" w:space="0" w:color="448A99"/>
              <w:bottom w:val="single" w:sz="8" w:space="0" w:color="448A99"/>
              <w:right w:val="single" w:sz="8" w:space="0" w:color="448A99"/>
            </w:tcBorders>
            <w:shd w:val="clear" w:color="auto" w:fill="9C9393"/>
            <w:vAlign w:val="center"/>
          </w:tcPr>
          <w:p w:rsidR="006C72DB" w:rsidRPr="004552CC" w:rsidRDefault="006C72DB" w:rsidP="006C72DB">
            <w:pPr>
              <w:spacing w:after="0" w:line="240" w:lineRule="auto"/>
              <w:rPr>
                <w:rFonts w:eastAsia="Times New Roman" w:cs="Times New Roman"/>
                <w:color w:val="000000"/>
                <w:sz w:val="20"/>
                <w:szCs w:val="20"/>
              </w:rPr>
            </w:pPr>
            <w:r w:rsidRPr="004552CC">
              <w:rPr>
                <w:rFonts w:eastAsia="Times New Roman" w:cs="Times New Roman"/>
                <w:b/>
                <w:bCs/>
                <w:color w:val="FFFFFF" w:themeColor="background1"/>
                <w:sz w:val="20"/>
                <w:szCs w:val="20"/>
              </w:rPr>
              <w:t>EDC Program Costs</w:t>
            </w:r>
            <w:r>
              <w:rPr>
                <w:rFonts w:eastAsia="Times New Roman" w:cs="Times New Roman"/>
                <w:b/>
                <w:bCs/>
                <w:color w:val="FFFFFF" w:themeColor="background1"/>
                <w:sz w:val="20"/>
                <w:szCs w:val="20"/>
              </w:rPr>
              <w:t xml:space="preserve"> - </w:t>
            </w:r>
            <w:r w:rsidRPr="004552CC">
              <w:rPr>
                <w:rFonts w:eastAsia="Times New Roman" w:cs="Times New Roman"/>
                <w:b/>
                <w:bCs/>
                <w:color w:val="FFFFFF" w:themeColor="background1"/>
                <w:sz w:val="20"/>
                <w:szCs w:val="20"/>
              </w:rPr>
              <w:t>Million $</w:t>
            </w:r>
          </w:p>
        </w:tc>
      </w:tr>
      <w:tr w:rsidR="001C16BE" w:rsidRPr="00FC0DB2" w:rsidTr="001C16BE">
        <w:trPr>
          <w:trHeight w:hRule="exact" w:val="288"/>
        </w:trPr>
        <w:tc>
          <w:tcPr>
            <w:tcW w:w="2354" w:type="dxa"/>
            <w:tcBorders>
              <w:top w:val="single" w:sz="8" w:space="0" w:color="448A99"/>
              <w:left w:val="single" w:sz="8" w:space="0" w:color="448A99"/>
              <w:bottom w:val="single" w:sz="8" w:space="0" w:color="448A99"/>
              <w:right w:val="nil"/>
            </w:tcBorders>
            <w:shd w:val="clear" w:color="auto" w:fill="auto"/>
            <w:vAlign w:val="center"/>
          </w:tcPr>
          <w:p w:rsidR="001C16BE" w:rsidRDefault="001C16BE">
            <w:pPr>
              <w:rPr>
                <w:rFonts w:ascii="Calibri" w:hAnsi="Calibri"/>
                <w:b/>
                <w:bCs/>
                <w:color w:val="000000"/>
                <w:sz w:val="20"/>
                <w:szCs w:val="20"/>
              </w:rPr>
            </w:pPr>
            <w:r>
              <w:rPr>
                <w:rFonts w:ascii="Calibri" w:hAnsi="Calibri"/>
                <w:b/>
                <w:bCs/>
                <w:color w:val="000000"/>
                <w:sz w:val="20"/>
                <w:szCs w:val="20"/>
              </w:rPr>
              <w:t>Maximum Achievable</w:t>
            </w:r>
          </w:p>
        </w:tc>
        <w:tc>
          <w:tcPr>
            <w:tcW w:w="1119"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$581.8 </w:t>
            </w:r>
          </w:p>
        </w:tc>
        <w:tc>
          <w:tcPr>
            <w:tcW w:w="1127"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$601.9 </w:t>
            </w:r>
          </w:p>
        </w:tc>
        <w:tc>
          <w:tcPr>
            <w:tcW w:w="1359"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$619.9 </w:t>
            </w:r>
          </w:p>
        </w:tc>
        <w:tc>
          <w:tcPr>
            <w:tcW w:w="1127"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$638.5 </w:t>
            </w:r>
          </w:p>
        </w:tc>
        <w:tc>
          <w:tcPr>
            <w:tcW w:w="1127"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$607.0 </w:t>
            </w:r>
          </w:p>
        </w:tc>
        <w:tc>
          <w:tcPr>
            <w:tcW w:w="1127" w:type="dxa"/>
            <w:tcBorders>
              <w:top w:val="single" w:sz="8" w:space="0" w:color="448A99"/>
              <w:left w:val="nil"/>
              <w:bottom w:val="single" w:sz="8" w:space="0" w:color="448A99"/>
              <w:right w:val="single" w:sz="8" w:space="0" w:color="448A99"/>
            </w:tcBorders>
            <w:shd w:val="clear" w:color="auto" w:fill="auto"/>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$642.6 </w:t>
            </w:r>
          </w:p>
        </w:tc>
      </w:tr>
      <w:tr w:rsidR="001C16BE" w:rsidRPr="00FC0DB2" w:rsidTr="001C16BE">
        <w:trPr>
          <w:trHeight w:hRule="exact" w:val="288"/>
        </w:trPr>
        <w:tc>
          <w:tcPr>
            <w:tcW w:w="2354" w:type="dxa"/>
            <w:tcBorders>
              <w:top w:val="single" w:sz="8" w:space="0" w:color="448A99"/>
              <w:left w:val="single" w:sz="8" w:space="0" w:color="448A99"/>
              <w:bottom w:val="single" w:sz="8" w:space="0" w:color="448A99"/>
              <w:right w:val="nil"/>
            </w:tcBorders>
            <w:shd w:val="clear" w:color="auto" w:fill="D2EAF1"/>
            <w:vAlign w:val="center"/>
          </w:tcPr>
          <w:p w:rsidR="001C16BE" w:rsidRDefault="001C16BE">
            <w:pPr>
              <w:rPr>
                <w:rFonts w:ascii="Calibri" w:hAnsi="Calibri"/>
                <w:b/>
                <w:bCs/>
                <w:color w:val="000000"/>
                <w:sz w:val="20"/>
                <w:szCs w:val="20"/>
              </w:rPr>
            </w:pPr>
            <w:r>
              <w:rPr>
                <w:rFonts w:ascii="Calibri" w:hAnsi="Calibri"/>
                <w:b/>
                <w:bCs/>
                <w:color w:val="000000"/>
                <w:sz w:val="20"/>
                <w:szCs w:val="20"/>
              </w:rPr>
              <w:t>Base Achievable</w:t>
            </w:r>
          </w:p>
        </w:tc>
        <w:tc>
          <w:tcPr>
            <w:tcW w:w="1119" w:type="dxa"/>
            <w:tcBorders>
              <w:top w:val="single" w:sz="8" w:space="0" w:color="448A99"/>
              <w:left w:val="nil"/>
              <w:bottom w:val="single" w:sz="8" w:space="0" w:color="448A99"/>
              <w:right w:val="nil"/>
            </w:tcBorders>
            <w:shd w:val="clear" w:color="auto" w:fill="D2EAF1"/>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$302.1 </w:t>
            </w:r>
          </w:p>
        </w:tc>
        <w:tc>
          <w:tcPr>
            <w:tcW w:w="1127" w:type="dxa"/>
            <w:tcBorders>
              <w:top w:val="single" w:sz="8" w:space="0" w:color="448A99"/>
              <w:left w:val="nil"/>
              <w:bottom w:val="single" w:sz="8" w:space="0" w:color="448A99"/>
              <w:right w:val="nil"/>
            </w:tcBorders>
            <w:shd w:val="clear" w:color="auto" w:fill="D2EAF1"/>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$316.2 </w:t>
            </w:r>
          </w:p>
        </w:tc>
        <w:tc>
          <w:tcPr>
            <w:tcW w:w="1359" w:type="dxa"/>
            <w:tcBorders>
              <w:top w:val="single" w:sz="8" w:space="0" w:color="448A99"/>
              <w:left w:val="nil"/>
              <w:bottom w:val="single" w:sz="8" w:space="0" w:color="448A99"/>
              <w:right w:val="nil"/>
            </w:tcBorders>
            <w:shd w:val="clear" w:color="auto" w:fill="D2EAF1"/>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$329.3 </w:t>
            </w:r>
          </w:p>
        </w:tc>
        <w:tc>
          <w:tcPr>
            <w:tcW w:w="1127" w:type="dxa"/>
            <w:tcBorders>
              <w:top w:val="single" w:sz="8" w:space="0" w:color="448A99"/>
              <w:left w:val="nil"/>
              <w:bottom w:val="single" w:sz="8" w:space="0" w:color="448A99"/>
              <w:right w:val="nil"/>
            </w:tcBorders>
            <w:shd w:val="clear" w:color="auto" w:fill="D2EAF1"/>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$342.6 </w:t>
            </w:r>
          </w:p>
        </w:tc>
        <w:tc>
          <w:tcPr>
            <w:tcW w:w="1127" w:type="dxa"/>
            <w:tcBorders>
              <w:top w:val="single" w:sz="8" w:space="0" w:color="448A99"/>
              <w:left w:val="nil"/>
              <w:bottom w:val="single" w:sz="8" w:space="0" w:color="448A99"/>
              <w:right w:val="nil"/>
            </w:tcBorders>
            <w:shd w:val="clear" w:color="auto" w:fill="D2EAF1"/>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$325.7 </w:t>
            </w:r>
          </w:p>
        </w:tc>
        <w:tc>
          <w:tcPr>
            <w:tcW w:w="1127" w:type="dxa"/>
            <w:tcBorders>
              <w:top w:val="single" w:sz="8" w:space="0" w:color="448A99"/>
              <w:left w:val="nil"/>
              <w:bottom w:val="single" w:sz="8" w:space="0" w:color="448A99"/>
              <w:right w:val="single" w:sz="8" w:space="0" w:color="448A99"/>
            </w:tcBorders>
            <w:shd w:val="clear" w:color="auto" w:fill="D2EAF1"/>
            <w:noWrap/>
            <w:vAlign w:val="center"/>
          </w:tcPr>
          <w:p w:rsidR="001C16BE" w:rsidRDefault="001C16BE">
            <w:pPr>
              <w:jc w:val="center"/>
              <w:rPr>
                <w:rFonts w:ascii="Calibri" w:hAnsi="Calibri"/>
                <w:color w:val="000000"/>
                <w:sz w:val="20"/>
                <w:szCs w:val="20"/>
              </w:rPr>
            </w:pPr>
            <w:r>
              <w:rPr>
                <w:rFonts w:ascii="Calibri" w:hAnsi="Calibri"/>
                <w:color w:val="000000"/>
                <w:sz w:val="20"/>
                <w:szCs w:val="20"/>
              </w:rPr>
              <w:t xml:space="preserve">$361.6 </w:t>
            </w:r>
          </w:p>
        </w:tc>
      </w:tr>
      <w:tr w:rsidR="001C16BE" w:rsidRPr="00FC0DB2" w:rsidTr="001C16BE">
        <w:trPr>
          <w:trHeight w:hRule="exact" w:val="288"/>
        </w:trPr>
        <w:tc>
          <w:tcPr>
            <w:tcW w:w="2354" w:type="dxa"/>
            <w:tcBorders>
              <w:top w:val="single" w:sz="8" w:space="0" w:color="448A99"/>
              <w:left w:val="single" w:sz="8" w:space="0" w:color="448A99"/>
              <w:bottom w:val="single" w:sz="8" w:space="0" w:color="448A99"/>
              <w:right w:val="nil"/>
            </w:tcBorders>
            <w:shd w:val="clear" w:color="auto" w:fill="auto"/>
            <w:vAlign w:val="center"/>
          </w:tcPr>
          <w:p w:rsidR="001C16BE" w:rsidRDefault="001C16BE">
            <w:pPr>
              <w:rPr>
                <w:rFonts w:ascii="Calibri" w:hAnsi="Calibri"/>
                <w:b/>
                <w:bCs/>
                <w:color w:val="000000"/>
                <w:sz w:val="20"/>
                <w:szCs w:val="20"/>
              </w:rPr>
            </w:pPr>
            <w:r>
              <w:rPr>
                <w:rFonts w:ascii="Calibri" w:hAnsi="Calibri"/>
                <w:b/>
                <w:bCs/>
                <w:color w:val="000000"/>
                <w:sz w:val="20"/>
                <w:szCs w:val="20"/>
              </w:rPr>
              <w:t xml:space="preserve">Program </w:t>
            </w:r>
          </w:p>
        </w:tc>
        <w:tc>
          <w:tcPr>
            <w:tcW w:w="1119"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bCs/>
                <w:color w:val="000000"/>
                <w:sz w:val="20"/>
                <w:szCs w:val="20"/>
              </w:rPr>
              <w:t xml:space="preserve">$211.3 </w:t>
            </w:r>
          </w:p>
        </w:tc>
        <w:tc>
          <w:tcPr>
            <w:tcW w:w="1127"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bCs/>
                <w:color w:val="000000"/>
                <w:sz w:val="20"/>
                <w:szCs w:val="20"/>
              </w:rPr>
              <w:t xml:space="preserve">$221.0 </w:t>
            </w:r>
          </w:p>
        </w:tc>
        <w:tc>
          <w:tcPr>
            <w:tcW w:w="1359"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bCs/>
                <w:color w:val="000000"/>
                <w:sz w:val="20"/>
                <w:szCs w:val="20"/>
              </w:rPr>
              <w:t xml:space="preserve">$230.1 </w:t>
            </w:r>
          </w:p>
        </w:tc>
        <w:tc>
          <w:tcPr>
            <w:tcW w:w="1127"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bCs/>
                <w:color w:val="000000"/>
                <w:sz w:val="20"/>
                <w:szCs w:val="20"/>
              </w:rPr>
              <w:t xml:space="preserve">$239.4 </w:t>
            </w:r>
          </w:p>
        </w:tc>
        <w:tc>
          <w:tcPr>
            <w:tcW w:w="1127" w:type="dxa"/>
            <w:tcBorders>
              <w:top w:val="single" w:sz="8" w:space="0" w:color="448A99"/>
              <w:left w:val="nil"/>
              <w:bottom w:val="single" w:sz="8" w:space="0" w:color="448A99"/>
              <w:right w:val="nil"/>
            </w:tcBorders>
            <w:shd w:val="clear" w:color="auto" w:fill="auto"/>
            <w:noWrap/>
            <w:vAlign w:val="center"/>
          </w:tcPr>
          <w:p w:rsidR="001C16BE" w:rsidRDefault="001C16BE">
            <w:pPr>
              <w:jc w:val="center"/>
              <w:rPr>
                <w:rFonts w:ascii="Calibri" w:hAnsi="Calibri"/>
                <w:color w:val="000000"/>
                <w:sz w:val="20"/>
                <w:szCs w:val="20"/>
              </w:rPr>
            </w:pPr>
            <w:r>
              <w:rPr>
                <w:rFonts w:ascii="Calibri" w:hAnsi="Calibri"/>
                <w:bCs/>
                <w:color w:val="000000"/>
                <w:sz w:val="20"/>
                <w:szCs w:val="20"/>
              </w:rPr>
              <w:t xml:space="preserve">$227.6 </w:t>
            </w:r>
          </w:p>
        </w:tc>
        <w:tc>
          <w:tcPr>
            <w:tcW w:w="1127" w:type="dxa"/>
            <w:tcBorders>
              <w:top w:val="single" w:sz="8" w:space="0" w:color="448A99"/>
              <w:left w:val="nil"/>
              <w:bottom w:val="single" w:sz="8" w:space="0" w:color="448A99"/>
              <w:right w:val="single" w:sz="8" w:space="0" w:color="448A99"/>
            </w:tcBorders>
            <w:shd w:val="clear" w:color="auto" w:fill="auto"/>
            <w:noWrap/>
            <w:vAlign w:val="center"/>
          </w:tcPr>
          <w:p w:rsidR="001C16BE" w:rsidRDefault="001C16BE">
            <w:pPr>
              <w:jc w:val="center"/>
              <w:rPr>
                <w:rFonts w:ascii="Calibri" w:hAnsi="Calibri"/>
                <w:color w:val="000000"/>
                <w:sz w:val="20"/>
                <w:szCs w:val="20"/>
              </w:rPr>
            </w:pPr>
            <w:r>
              <w:rPr>
                <w:rFonts w:ascii="Calibri" w:hAnsi="Calibri"/>
                <w:bCs/>
                <w:color w:val="000000"/>
                <w:sz w:val="20"/>
                <w:szCs w:val="20"/>
              </w:rPr>
              <w:t>n/a*</w:t>
            </w:r>
          </w:p>
        </w:tc>
      </w:tr>
      <w:tr w:rsidR="006C72DB" w:rsidRPr="00FC0DB2" w:rsidTr="006C72DB">
        <w:trPr>
          <w:trHeight w:val="144"/>
        </w:trPr>
        <w:tc>
          <w:tcPr>
            <w:tcW w:w="9340" w:type="dxa"/>
            <w:gridSpan w:val="7"/>
            <w:tcBorders>
              <w:top w:val="single" w:sz="8" w:space="0" w:color="448A99"/>
              <w:left w:val="single" w:sz="8" w:space="0" w:color="448A99"/>
              <w:bottom w:val="single" w:sz="8" w:space="0" w:color="448A99"/>
              <w:right w:val="single" w:sz="8" w:space="0" w:color="448A99"/>
            </w:tcBorders>
            <w:shd w:val="clear" w:color="auto" w:fill="448A9C"/>
            <w:vAlign w:val="center"/>
          </w:tcPr>
          <w:p w:rsidR="006C72DB" w:rsidRPr="00D36FB6" w:rsidRDefault="006C72DB" w:rsidP="006C72DB">
            <w:pPr>
              <w:spacing w:after="0" w:line="240" w:lineRule="auto"/>
              <w:rPr>
                <w:bCs/>
                <w:color w:val="FFFFFF" w:themeColor="background1"/>
                <w:sz w:val="18"/>
                <w:szCs w:val="18"/>
              </w:rPr>
            </w:pPr>
            <w:r w:rsidRPr="00D36FB6">
              <w:rPr>
                <w:rFonts w:ascii="Calibri" w:eastAsia="Times New Roman" w:hAnsi="Calibri" w:cs="Times New Roman"/>
                <w:color w:val="FFFFFF" w:themeColor="background1"/>
                <w:sz w:val="18"/>
                <w:szCs w:val="18"/>
              </w:rPr>
              <w:lastRenderedPageBreak/>
              <w:t>*Program potential was only estimated for five years to be consistent with a Phase III of Act 129. Program potential in 2025 would be part of Phase IV of Act 129</w:t>
            </w:r>
          </w:p>
        </w:tc>
      </w:tr>
    </w:tbl>
    <w:p w:rsidR="006C72DB" w:rsidRDefault="006C72DB" w:rsidP="00B43061">
      <w:pPr>
        <w:spacing w:after="0" w:line="240" w:lineRule="auto"/>
        <w:jc w:val="center"/>
      </w:pPr>
    </w:p>
    <w:p w:rsidR="00D64973" w:rsidRDefault="00A30AA6" w:rsidP="00B43061">
      <w:pPr>
        <w:spacing w:after="0" w:line="240" w:lineRule="auto"/>
        <w:jc w:val="both"/>
        <w:rPr>
          <w:rFonts w:cs="Arial"/>
        </w:rPr>
      </w:pPr>
      <w:r w:rsidRPr="00776CAA">
        <w:rPr>
          <w:rFonts w:cs="Arial"/>
        </w:rPr>
        <w:t xml:space="preserve">The decision to allocate less than 100% of the available funding to energy efficiency means that the program potential estimates for energy efficiency are lowered by a proportional amount. </w:t>
      </w:r>
      <w:r w:rsidRPr="00776CAA">
        <w:rPr>
          <w:rFonts w:cs="Arial"/>
        </w:rPr>
        <w:fldChar w:fldCharType="begin"/>
      </w:r>
      <w:r w:rsidRPr="00776CAA">
        <w:rPr>
          <w:rFonts w:cs="Arial"/>
        </w:rPr>
        <w:instrText xml:space="preserve"> REF _Ref411521976 \h </w:instrText>
      </w:r>
      <w:r w:rsidR="00776CAA" w:rsidRPr="00776CAA">
        <w:rPr>
          <w:rFonts w:cs="Arial"/>
        </w:rPr>
        <w:instrText xml:space="preserve"> \* MERGEFORMAT </w:instrText>
      </w:r>
      <w:r w:rsidRPr="00776CAA">
        <w:rPr>
          <w:rFonts w:cs="Arial"/>
        </w:rPr>
      </w:r>
      <w:r w:rsidRPr="00776CAA">
        <w:rPr>
          <w:rFonts w:cs="Arial"/>
        </w:rPr>
        <w:fldChar w:fldCharType="separate"/>
      </w:r>
      <w:r w:rsidRPr="00776CAA">
        <w:t xml:space="preserve">Table </w:t>
      </w:r>
      <w:r w:rsidRPr="00776CAA">
        <w:rPr>
          <w:noProof/>
        </w:rPr>
        <w:t>6</w:t>
      </w:r>
      <w:r w:rsidRPr="00776CAA">
        <w:rPr>
          <w:rFonts w:cs="Arial"/>
        </w:rPr>
        <w:fldChar w:fldCharType="end"/>
      </w:r>
      <w:r w:rsidRPr="00776CAA">
        <w:rPr>
          <w:rFonts w:cs="Arial"/>
        </w:rPr>
        <w:t xml:space="preserve"> presents estimates of the </w:t>
      </w:r>
      <w:r w:rsidR="001F4E23">
        <w:rPr>
          <w:rFonts w:cs="Arial"/>
        </w:rPr>
        <w:t xml:space="preserve">sum of 2016 – 2020 </w:t>
      </w:r>
      <w:r w:rsidRPr="00776CAA">
        <w:rPr>
          <w:rFonts w:cs="Arial"/>
        </w:rPr>
        <w:t xml:space="preserve">incremental annual program potential </w:t>
      </w:r>
      <w:r w:rsidR="001F4E23">
        <w:rPr>
          <w:rFonts w:cs="Arial"/>
        </w:rPr>
        <w:t xml:space="preserve">savings </w:t>
      </w:r>
      <w:r w:rsidRPr="00776CAA">
        <w:rPr>
          <w:rFonts w:cs="Arial"/>
        </w:rPr>
        <w:t>at these reduced EE budget amounts</w:t>
      </w:r>
      <w:r w:rsidRPr="00776CAA">
        <w:rPr>
          <w:rStyle w:val="FootnoteReference"/>
          <w:rFonts w:cs="Arial"/>
        </w:rPr>
        <w:footnoteReference w:id="3"/>
      </w:r>
      <w:r w:rsidRPr="00776CAA">
        <w:rPr>
          <w:rFonts w:cs="Arial"/>
        </w:rPr>
        <w:t>.</w:t>
      </w:r>
    </w:p>
    <w:p w:rsidR="007152DD" w:rsidRPr="002249C7" w:rsidRDefault="007152DD" w:rsidP="00B43061">
      <w:pPr>
        <w:spacing w:after="0" w:line="240" w:lineRule="auto"/>
        <w:jc w:val="both"/>
        <w:rPr>
          <w:rFonts w:cs="Arial"/>
          <w:sz w:val="16"/>
          <w:szCs w:val="16"/>
        </w:rPr>
      </w:pPr>
    </w:p>
    <w:p w:rsidR="00A30AA6" w:rsidRDefault="00A30AA6" w:rsidP="005130C2">
      <w:pPr>
        <w:pStyle w:val="Caption"/>
        <w:keepNext/>
      </w:pPr>
      <w:bookmarkStart w:id="6" w:name="_Ref411521976"/>
      <w:r w:rsidRPr="00A30AA6">
        <w:t xml:space="preserve">Table </w:t>
      </w:r>
      <w:fldSimple w:instr=" SEQ Table \* ARABIC ">
        <w:r w:rsidR="0074687C">
          <w:rPr>
            <w:noProof/>
          </w:rPr>
          <w:t>6</w:t>
        </w:r>
      </w:fldSimple>
      <w:bookmarkEnd w:id="6"/>
      <w:r w:rsidRPr="00A30AA6">
        <w:t xml:space="preserve">: </w:t>
      </w:r>
      <w:r>
        <w:t xml:space="preserve">Modified </w:t>
      </w:r>
      <w:r w:rsidRPr="00A47B1A">
        <w:t xml:space="preserve">Five-Year </w:t>
      </w:r>
      <w:r w:rsidR="005130C2">
        <w:t xml:space="preserve">Energy Efficiency </w:t>
      </w:r>
      <w:r w:rsidRPr="00A47B1A">
        <w:t>Program Potential Savings and Budget by EDC</w:t>
      </w:r>
    </w:p>
    <w:tbl>
      <w:tblPr>
        <w:tblW w:w="4944" w:type="pct"/>
        <w:tblInd w:w="108" w:type="dxa"/>
        <w:tblLook w:val="04A0" w:firstRow="1" w:lastRow="0" w:firstColumn="1" w:lastColumn="0" w:noHBand="0" w:noVBand="1"/>
      </w:tblPr>
      <w:tblGrid>
        <w:gridCol w:w="1435"/>
        <w:gridCol w:w="1625"/>
        <w:gridCol w:w="2070"/>
        <w:gridCol w:w="2068"/>
        <w:gridCol w:w="2271"/>
      </w:tblGrid>
      <w:tr w:rsidR="00A30AA6" w:rsidRPr="00A30AA6" w:rsidTr="00B43061">
        <w:trPr>
          <w:trHeight w:val="20"/>
        </w:trPr>
        <w:tc>
          <w:tcPr>
            <w:tcW w:w="758"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A30AA6" w:rsidRPr="00A30AA6" w:rsidRDefault="00A30AA6" w:rsidP="005130C2">
            <w:pPr>
              <w:spacing w:after="0" w:line="240" w:lineRule="auto"/>
              <w:rPr>
                <w:rFonts w:ascii="Calibri" w:eastAsia="Times New Roman" w:hAnsi="Calibri" w:cs="Times New Roman"/>
                <w:b/>
                <w:bCs/>
                <w:color w:val="FFFFFF"/>
                <w:sz w:val="20"/>
                <w:szCs w:val="20"/>
              </w:rPr>
            </w:pPr>
            <w:r w:rsidRPr="00A30AA6">
              <w:rPr>
                <w:rFonts w:ascii="Calibri" w:eastAsia="Times New Roman" w:hAnsi="Calibri" w:cs="Times New Roman"/>
                <w:b/>
                <w:bCs/>
                <w:color w:val="FFFFFF" w:themeColor="background1"/>
                <w:sz w:val="20"/>
                <w:szCs w:val="20"/>
              </w:rPr>
              <w:t> </w:t>
            </w:r>
            <w:r>
              <w:rPr>
                <w:rFonts w:ascii="Calibri" w:eastAsia="Times New Roman" w:hAnsi="Calibri" w:cs="Times New Roman"/>
                <w:b/>
                <w:bCs/>
                <w:color w:val="FFFFFF" w:themeColor="background1"/>
                <w:sz w:val="20"/>
                <w:szCs w:val="20"/>
              </w:rPr>
              <w:t>EDC</w:t>
            </w:r>
          </w:p>
        </w:tc>
        <w:tc>
          <w:tcPr>
            <w:tcW w:w="858"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A30AA6" w:rsidRPr="00A30AA6" w:rsidRDefault="00A30AA6" w:rsidP="005130C2">
            <w:pPr>
              <w:spacing w:after="0" w:line="240" w:lineRule="auto"/>
              <w:jc w:val="center"/>
              <w:rPr>
                <w:rFonts w:ascii="Calibri" w:eastAsia="Times New Roman" w:hAnsi="Calibri" w:cs="Times New Roman"/>
                <w:b/>
                <w:bCs/>
                <w:color w:val="FFFFFF"/>
                <w:sz w:val="20"/>
                <w:szCs w:val="20"/>
              </w:rPr>
            </w:pPr>
            <w:r w:rsidRPr="00A30AA6">
              <w:rPr>
                <w:rFonts w:ascii="Calibri" w:eastAsia="Times New Roman" w:hAnsi="Calibri" w:cs="Times New Roman"/>
                <w:b/>
                <w:bCs/>
                <w:color w:val="FFFFFF"/>
                <w:sz w:val="20"/>
                <w:szCs w:val="20"/>
              </w:rPr>
              <w:t xml:space="preserve">Portfolio </w:t>
            </w:r>
            <w:r w:rsidR="005130C2">
              <w:rPr>
                <w:rFonts w:ascii="Calibri" w:eastAsia="Times New Roman" w:hAnsi="Calibri" w:cs="Times New Roman"/>
                <w:b/>
                <w:bCs/>
                <w:color w:val="FFFFFF"/>
                <w:sz w:val="20"/>
                <w:szCs w:val="20"/>
              </w:rPr>
              <w:t xml:space="preserve">EE </w:t>
            </w:r>
            <w:r w:rsidRPr="00A30AA6">
              <w:rPr>
                <w:rFonts w:ascii="Calibri" w:eastAsia="Times New Roman" w:hAnsi="Calibri" w:cs="Times New Roman"/>
                <w:b/>
                <w:bCs/>
                <w:color w:val="FFFFFF"/>
                <w:sz w:val="20"/>
                <w:szCs w:val="20"/>
              </w:rPr>
              <w:t>Spending Ceiling (Million $)</w:t>
            </w:r>
          </w:p>
        </w:tc>
        <w:tc>
          <w:tcPr>
            <w:tcW w:w="1093"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A30AA6" w:rsidRPr="00A30AA6" w:rsidRDefault="00A30AA6" w:rsidP="005130C2">
            <w:pPr>
              <w:spacing w:after="0" w:line="240" w:lineRule="auto"/>
              <w:jc w:val="center"/>
              <w:rPr>
                <w:rFonts w:ascii="Calibri" w:eastAsia="Times New Roman" w:hAnsi="Calibri" w:cs="Times New Roman"/>
                <w:b/>
                <w:bCs/>
                <w:color w:val="FFFFFF"/>
                <w:sz w:val="20"/>
                <w:szCs w:val="20"/>
              </w:rPr>
            </w:pPr>
            <w:r w:rsidRPr="00A30AA6">
              <w:rPr>
                <w:rFonts w:ascii="Calibri" w:eastAsia="Times New Roman" w:hAnsi="Calibri" w:cs="Times New Roman"/>
                <w:b/>
                <w:bCs/>
                <w:color w:val="FFFFFF"/>
                <w:sz w:val="20"/>
                <w:szCs w:val="20"/>
              </w:rPr>
              <w:t>Program Acquisition Costs ($/1</w:t>
            </w:r>
            <w:r w:rsidRPr="00A30AA6">
              <w:rPr>
                <w:rFonts w:ascii="Calibri" w:eastAsia="Times New Roman" w:hAnsi="Calibri" w:cs="Times New Roman"/>
                <w:b/>
                <w:bCs/>
                <w:color w:val="FFFFFF"/>
                <w:sz w:val="20"/>
                <w:szCs w:val="20"/>
                <w:vertAlign w:val="superscript"/>
              </w:rPr>
              <w:t>st</w:t>
            </w:r>
            <w:r w:rsidRPr="00A30AA6">
              <w:rPr>
                <w:rFonts w:ascii="Calibri" w:eastAsia="Times New Roman" w:hAnsi="Calibri" w:cs="Times New Roman"/>
                <w:b/>
                <w:bCs/>
                <w:color w:val="FFFFFF"/>
                <w:sz w:val="20"/>
                <w:szCs w:val="20"/>
              </w:rPr>
              <w:t>-YR MWh Saved)</w:t>
            </w:r>
          </w:p>
        </w:tc>
        <w:tc>
          <w:tcPr>
            <w:tcW w:w="1092"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A30AA6" w:rsidRPr="00A30AA6" w:rsidRDefault="00A30AA6" w:rsidP="005130C2">
            <w:pPr>
              <w:spacing w:after="0" w:line="240" w:lineRule="auto"/>
              <w:jc w:val="center"/>
              <w:rPr>
                <w:rFonts w:ascii="Calibri" w:eastAsia="Times New Roman" w:hAnsi="Calibri" w:cs="Times New Roman"/>
                <w:b/>
                <w:bCs/>
                <w:color w:val="FFFFFF"/>
                <w:sz w:val="20"/>
                <w:szCs w:val="20"/>
              </w:rPr>
            </w:pPr>
            <w:r w:rsidRPr="00A30AA6">
              <w:rPr>
                <w:rFonts w:ascii="Calibri" w:eastAsia="Times New Roman" w:hAnsi="Calibri" w:cs="Times New Roman"/>
                <w:b/>
                <w:bCs/>
                <w:color w:val="FFFFFF"/>
                <w:sz w:val="20"/>
                <w:szCs w:val="20"/>
              </w:rPr>
              <w:t xml:space="preserve">2016-2020 </w:t>
            </w:r>
            <w:r w:rsidR="005130C2">
              <w:rPr>
                <w:rFonts w:ascii="Calibri" w:eastAsia="Times New Roman" w:hAnsi="Calibri" w:cs="Times New Roman"/>
                <w:b/>
                <w:bCs/>
                <w:color w:val="FFFFFF"/>
                <w:sz w:val="20"/>
                <w:szCs w:val="20"/>
              </w:rPr>
              <w:t xml:space="preserve">EE </w:t>
            </w:r>
            <w:r w:rsidRPr="00A30AA6">
              <w:rPr>
                <w:rFonts w:ascii="Calibri" w:eastAsia="Times New Roman" w:hAnsi="Calibri" w:cs="Times New Roman"/>
                <w:b/>
                <w:bCs/>
                <w:color w:val="FFFFFF"/>
                <w:sz w:val="20"/>
                <w:szCs w:val="20"/>
              </w:rPr>
              <w:t>Potential Savings</w:t>
            </w:r>
            <w:r w:rsidR="005D71A7">
              <w:rPr>
                <w:rStyle w:val="FootnoteReference"/>
                <w:rFonts w:ascii="Calibri" w:eastAsia="Times New Roman" w:hAnsi="Calibri" w:cs="Times New Roman"/>
                <w:b/>
                <w:bCs/>
                <w:color w:val="FFFFFF"/>
                <w:sz w:val="20"/>
                <w:szCs w:val="20"/>
              </w:rPr>
              <w:footnoteReference w:id="4"/>
            </w:r>
            <w:r w:rsidRPr="00A30AA6">
              <w:rPr>
                <w:rFonts w:ascii="Calibri" w:eastAsia="Times New Roman" w:hAnsi="Calibri" w:cs="Times New Roman"/>
                <w:b/>
                <w:bCs/>
                <w:color w:val="FFFFFF"/>
                <w:sz w:val="20"/>
                <w:szCs w:val="20"/>
              </w:rPr>
              <w:t xml:space="preserve"> (MWh)</w:t>
            </w:r>
          </w:p>
        </w:tc>
        <w:tc>
          <w:tcPr>
            <w:tcW w:w="1199"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A30AA6" w:rsidRPr="00A30AA6" w:rsidRDefault="00A30AA6" w:rsidP="005130C2">
            <w:pPr>
              <w:spacing w:after="0" w:line="240" w:lineRule="auto"/>
              <w:jc w:val="center"/>
              <w:rPr>
                <w:rFonts w:ascii="Calibri" w:eastAsia="Times New Roman" w:hAnsi="Calibri" w:cs="Times New Roman"/>
                <w:b/>
                <w:bCs/>
                <w:color w:val="FFFFFF"/>
                <w:sz w:val="20"/>
                <w:szCs w:val="20"/>
              </w:rPr>
            </w:pPr>
            <w:r w:rsidRPr="00A30AA6">
              <w:rPr>
                <w:rFonts w:ascii="Calibri" w:eastAsia="Times New Roman" w:hAnsi="Calibri" w:cs="Times New Roman"/>
                <w:b/>
                <w:bCs/>
                <w:color w:val="FFFFFF"/>
                <w:sz w:val="20"/>
                <w:szCs w:val="20"/>
              </w:rPr>
              <w:t>% of 2010 Forecast</w:t>
            </w:r>
          </w:p>
        </w:tc>
      </w:tr>
      <w:tr w:rsidR="00A30AA6" w:rsidRPr="00A30AA6" w:rsidTr="00B43061">
        <w:trPr>
          <w:trHeight w:val="20"/>
        </w:trPr>
        <w:tc>
          <w:tcPr>
            <w:tcW w:w="5000" w:type="pct"/>
            <w:gridSpan w:val="5"/>
            <w:tcBorders>
              <w:top w:val="single" w:sz="8" w:space="0" w:color="448A99"/>
              <w:left w:val="single" w:sz="8" w:space="0" w:color="448A99"/>
              <w:bottom w:val="single" w:sz="8" w:space="0" w:color="448A99"/>
              <w:right w:val="single" w:sz="8" w:space="0" w:color="4BACC6"/>
            </w:tcBorders>
            <w:shd w:val="clear" w:color="000000" w:fill="9C9393"/>
            <w:vAlign w:val="center"/>
            <w:hideMark/>
          </w:tcPr>
          <w:p w:rsidR="00A30AA6" w:rsidRPr="00A30AA6" w:rsidRDefault="00A30AA6" w:rsidP="005130C2">
            <w:pPr>
              <w:spacing w:after="0" w:line="240" w:lineRule="auto"/>
              <w:rPr>
                <w:rFonts w:ascii="Calibri" w:eastAsia="Times New Roman" w:hAnsi="Calibri" w:cs="Times New Roman"/>
                <w:b/>
                <w:bCs/>
                <w:color w:val="FFFFFF"/>
                <w:sz w:val="20"/>
                <w:szCs w:val="20"/>
              </w:rPr>
            </w:pPr>
            <w:r w:rsidRPr="00A30AA6">
              <w:rPr>
                <w:rFonts w:ascii="Calibri" w:eastAsia="Times New Roman" w:hAnsi="Calibri" w:cs="Times New Roman"/>
                <w:b/>
                <w:bCs/>
                <w:color w:val="FFFFFF" w:themeColor="background1"/>
                <w:sz w:val="20"/>
                <w:szCs w:val="20"/>
              </w:rPr>
              <w:t xml:space="preserve">2016-2020 – Five-Year </w:t>
            </w:r>
            <w:r w:rsidR="005130C2">
              <w:rPr>
                <w:rFonts w:ascii="Calibri" w:eastAsia="Times New Roman" w:hAnsi="Calibri" w:cs="Times New Roman"/>
                <w:b/>
                <w:bCs/>
                <w:color w:val="FFFFFF" w:themeColor="background1"/>
                <w:sz w:val="20"/>
                <w:szCs w:val="20"/>
              </w:rPr>
              <w:t xml:space="preserve">EE </w:t>
            </w:r>
            <w:r w:rsidRPr="00A30AA6">
              <w:rPr>
                <w:rFonts w:ascii="Calibri" w:eastAsia="Times New Roman" w:hAnsi="Calibri" w:cs="Times New Roman"/>
                <w:b/>
                <w:bCs/>
                <w:color w:val="FFFFFF" w:themeColor="background1"/>
                <w:sz w:val="20"/>
                <w:szCs w:val="20"/>
              </w:rPr>
              <w:t>Program Potential</w:t>
            </w:r>
          </w:p>
        </w:tc>
      </w:tr>
      <w:tr w:rsidR="00A30AA6" w:rsidRPr="00A30AA6" w:rsidTr="00B43061">
        <w:trPr>
          <w:trHeight w:val="20"/>
        </w:trPr>
        <w:tc>
          <w:tcPr>
            <w:tcW w:w="758" w:type="pct"/>
            <w:tcBorders>
              <w:top w:val="nil"/>
              <w:left w:val="single" w:sz="8" w:space="0" w:color="448A99"/>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Duquesne</w:t>
            </w:r>
          </w:p>
        </w:tc>
        <w:tc>
          <w:tcPr>
            <w:tcW w:w="858"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$88.0</w:t>
            </w:r>
          </w:p>
        </w:tc>
        <w:tc>
          <w:tcPr>
            <w:tcW w:w="1093"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$186.9 </w:t>
            </w:r>
          </w:p>
        </w:tc>
        <w:tc>
          <w:tcPr>
            <w:tcW w:w="1092"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470,609</w:t>
            </w:r>
          </w:p>
        </w:tc>
        <w:tc>
          <w:tcPr>
            <w:tcW w:w="1199"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3.3%</w:t>
            </w:r>
          </w:p>
        </w:tc>
      </w:tr>
      <w:tr w:rsidR="00A30AA6" w:rsidRPr="00A30AA6" w:rsidTr="00B43061">
        <w:trPr>
          <w:trHeight w:val="20"/>
        </w:trPr>
        <w:tc>
          <w:tcPr>
            <w:tcW w:w="758" w:type="pct"/>
            <w:tcBorders>
              <w:top w:val="nil"/>
              <w:left w:val="single" w:sz="8" w:space="0" w:color="4BACC6"/>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FE: Met-Ed</w:t>
            </w:r>
          </w:p>
        </w:tc>
        <w:tc>
          <w:tcPr>
            <w:tcW w:w="858"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$114.4</w:t>
            </w:r>
          </w:p>
        </w:tc>
        <w:tc>
          <w:tcPr>
            <w:tcW w:w="1093"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$182.2 </w:t>
            </w:r>
          </w:p>
        </w:tc>
        <w:tc>
          <w:tcPr>
            <w:tcW w:w="1092"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627,814</w:t>
            </w:r>
          </w:p>
        </w:tc>
        <w:tc>
          <w:tcPr>
            <w:tcW w:w="1199"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4.2%</w:t>
            </w:r>
          </w:p>
        </w:tc>
      </w:tr>
      <w:tr w:rsidR="00A30AA6" w:rsidRPr="00A30AA6" w:rsidTr="00B43061">
        <w:trPr>
          <w:trHeight w:val="20"/>
        </w:trPr>
        <w:tc>
          <w:tcPr>
            <w:tcW w:w="758" w:type="pct"/>
            <w:tcBorders>
              <w:top w:val="nil"/>
              <w:left w:val="single" w:sz="8" w:space="0" w:color="448A99"/>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FE: Penelec</w:t>
            </w:r>
          </w:p>
        </w:tc>
        <w:tc>
          <w:tcPr>
            <w:tcW w:w="858"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$114.9</w:t>
            </w:r>
          </w:p>
        </w:tc>
        <w:tc>
          <w:tcPr>
            <w:tcW w:w="1093"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$191.9 </w:t>
            </w:r>
          </w:p>
        </w:tc>
        <w:tc>
          <w:tcPr>
            <w:tcW w:w="1092"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598,612</w:t>
            </w:r>
          </w:p>
        </w:tc>
        <w:tc>
          <w:tcPr>
            <w:tcW w:w="1199"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4.2%</w:t>
            </w:r>
          </w:p>
        </w:tc>
      </w:tr>
      <w:tr w:rsidR="00A30AA6" w:rsidRPr="00A30AA6" w:rsidTr="00B43061">
        <w:trPr>
          <w:trHeight w:val="20"/>
        </w:trPr>
        <w:tc>
          <w:tcPr>
            <w:tcW w:w="758" w:type="pct"/>
            <w:tcBorders>
              <w:top w:val="nil"/>
              <w:left w:val="single" w:sz="8" w:space="0" w:color="4BACC6"/>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FE: Penn Power</w:t>
            </w:r>
          </w:p>
        </w:tc>
        <w:tc>
          <w:tcPr>
            <w:tcW w:w="858"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$30.0</w:t>
            </w:r>
          </w:p>
        </w:tc>
        <w:tc>
          <w:tcPr>
            <w:tcW w:w="1093"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$176.1 </w:t>
            </w:r>
          </w:p>
        </w:tc>
        <w:tc>
          <w:tcPr>
            <w:tcW w:w="1092"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170,182</w:t>
            </w:r>
          </w:p>
        </w:tc>
        <w:tc>
          <w:tcPr>
            <w:tcW w:w="1199"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3.6%</w:t>
            </w:r>
          </w:p>
        </w:tc>
      </w:tr>
      <w:tr w:rsidR="00A30AA6" w:rsidRPr="00A30AA6" w:rsidTr="00B43061">
        <w:trPr>
          <w:trHeight w:val="20"/>
        </w:trPr>
        <w:tc>
          <w:tcPr>
            <w:tcW w:w="758" w:type="pct"/>
            <w:tcBorders>
              <w:top w:val="nil"/>
              <w:left w:val="single" w:sz="8" w:space="0" w:color="448A99"/>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FE: WPP</w:t>
            </w:r>
          </w:p>
        </w:tc>
        <w:tc>
          <w:tcPr>
            <w:tcW w:w="858"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$106.0</w:t>
            </w:r>
          </w:p>
        </w:tc>
        <w:tc>
          <w:tcPr>
            <w:tcW w:w="1093"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$181.0 </w:t>
            </w:r>
          </w:p>
        </w:tc>
        <w:tc>
          <w:tcPr>
            <w:tcW w:w="1092"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585,807</w:t>
            </w:r>
          </w:p>
        </w:tc>
        <w:tc>
          <w:tcPr>
            <w:tcW w:w="1199"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2.8%</w:t>
            </w:r>
          </w:p>
        </w:tc>
      </w:tr>
      <w:tr w:rsidR="00A30AA6" w:rsidRPr="00A30AA6" w:rsidTr="00B43061">
        <w:trPr>
          <w:trHeight w:val="20"/>
        </w:trPr>
        <w:tc>
          <w:tcPr>
            <w:tcW w:w="758" w:type="pct"/>
            <w:tcBorders>
              <w:top w:val="nil"/>
              <w:left w:val="single" w:sz="8" w:space="0" w:color="4BACC6"/>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PECO</w:t>
            </w:r>
          </w:p>
        </w:tc>
        <w:tc>
          <w:tcPr>
            <w:tcW w:w="858"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$384.3</w:t>
            </w:r>
          </w:p>
        </w:tc>
        <w:tc>
          <w:tcPr>
            <w:tcW w:w="1093"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$184.7 </w:t>
            </w:r>
          </w:p>
        </w:tc>
        <w:tc>
          <w:tcPr>
            <w:tcW w:w="1092"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2,080,553</w:t>
            </w:r>
          </w:p>
        </w:tc>
        <w:tc>
          <w:tcPr>
            <w:tcW w:w="1199"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5.3%</w:t>
            </w:r>
          </w:p>
        </w:tc>
      </w:tr>
      <w:tr w:rsidR="00A30AA6" w:rsidRPr="00A30AA6" w:rsidTr="00B43061">
        <w:trPr>
          <w:trHeight w:val="20"/>
        </w:trPr>
        <w:tc>
          <w:tcPr>
            <w:tcW w:w="758" w:type="pct"/>
            <w:tcBorders>
              <w:top w:val="nil"/>
              <w:left w:val="single" w:sz="8" w:space="0" w:color="448A99"/>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PPL</w:t>
            </w:r>
          </w:p>
        </w:tc>
        <w:tc>
          <w:tcPr>
            <w:tcW w:w="858"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05546A">
            <w:pPr>
              <w:spacing w:after="0" w:line="240" w:lineRule="auto"/>
              <w:ind w:right="342"/>
              <w:jc w:val="right"/>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$292.1</w:t>
            </w:r>
          </w:p>
        </w:tc>
        <w:tc>
          <w:tcPr>
            <w:tcW w:w="1093"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 xml:space="preserve">$183.7 </w:t>
            </w:r>
          </w:p>
        </w:tc>
        <w:tc>
          <w:tcPr>
            <w:tcW w:w="1092"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1,590,264</w:t>
            </w:r>
          </w:p>
        </w:tc>
        <w:tc>
          <w:tcPr>
            <w:tcW w:w="1199" w:type="pct"/>
            <w:tcBorders>
              <w:top w:val="nil"/>
              <w:left w:val="nil"/>
              <w:bottom w:val="single" w:sz="8" w:space="0" w:color="448A99"/>
              <w:right w:val="single" w:sz="8" w:space="0" w:color="448A99"/>
            </w:tcBorders>
            <w:shd w:val="clear" w:color="auto" w:fill="auto"/>
            <w:vAlign w:val="center"/>
            <w:hideMark/>
          </w:tcPr>
          <w:p w:rsidR="00A30AA6" w:rsidRPr="00A30AA6" w:rsidRDefault="00A30AA6" w:rsidP="005130C2">
            <w:pPr>
              <w:spacing w:after="0" w:line="240" w:lineRule="auto"/>
              <w:jc w:val="center"/>
              <w:rPr>
                <w:rFonts w:ascii="Calibri" w:eastAsia="Times New Roman" w:hAnsi="Calibri" w:cs="Times New Roman"/>
                <w:color w:val="000000"/>
                <w:sz w:val="20"/>
                <w:szCs w:val="20"/>
              </w:rPr>
            </w:pPr>
            <w:r w:rsidRPr="00A30AA6">
              <w:rPr>
                <w:rFonts w:ascii="Calibri" w:eastAsia="Times New Roman" w:hAnsi="Calibri" w:cs="Times New Roman"/>
                <w:color w:val="000000"/>
                <w:sz w:val="20"/>
                <w:szCs w:val="20"/>
              </w:rPr>
              <w:t>4.2%</w:t>
            </w:r>
          </w:p>
        </w:tc>
      </w:tr>
      <w:tr w:rsidR="00A30AA6" w:rsidRPr="00A30AA6" w:rsidTr="00B43061">
        <w:trPr>
          <w:trHeight w:val="20"/>
        </w:trPr>
        <w:tc>
          <w:tcPr>
            <w:tcW w:w="758" w:type="pct"/>
            <w:tcBorders>
              <w:top w:val="nil"/>
              <w:left w:val="single" w:sz="8" w:space="0" w:color="4BACC6"/>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Statewide</w:t>
            </w:r>
          </w:p>
        </w:tc>
        <w:tc>
          <w:tcPr>
            <w:tcW w:w="858"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05546A">
            <w:pPr>
              <w:spacing w:after="0" w:line="240" w:lineRule="auto"/>
              <w:ind w:right="342"/>
              <w:jc w:val="right"/>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$1,129.6</w:t>
            </w:r>
          </w:p>
        </w:tc>
        <w:tc>
          <w:tcPr>
            <w:tcW w:w="1093"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 xml:space="preserve">$184.4 </w:t>
            </w:r>
          </w:p>
        </w:tc>
        <w:tc>
          <w:tcPr>
            <w:tcW w:w="1092"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6,123,842</w:t>
            </w:r>
          </w:p>
        </w:tc>
        <w:tc>
          <w:tcPr>
            <w:tcW w:w="1199" w:type="pct"/>
            <w:tcBorders>
              <w:top w:val="nil"/>
              <w:left w:val="nil"/>
              <w:bottom w:val="single" w:sz="8" w:space="0" w:color="448A99"/>
              <w:right w:val="single" w:sz="8" w:space="0" w:color="448A99"/>
            </w:tcBorders>
            <w:shd w:val="clear" w:color="000000" w:fill="D2EAF1"/>
            <w:vAlign w:val="center"/>
            <w:hideMark/>
          </w:tcPr>
          <w:p w:rsidR="00A30AA6" w:rsidRPr="00A30AA6" w:rsidRDefault="00A30AA6" w:rsidP="005130C2">
            <w:pPr>
              <w:spacing w:after="0" w:line="240" w:lineRule="auto"/>
              <w:jc w:val="center"/>
              <w:rPr>
                <w:rFonts w:ascii="Calibri" w:eastAsia="Times New Roman" w:hAnsi="Calibri" w:cs="Times New Roman"/>
                <w:b/>
                <w:bCs/>
                <w:color w:val="000000"/>
                <w:sz w:val="20"/>
                <w:szCs w:val="20"/>
              </w:rPr>
            </w:pPr>
            <w:r w:rsidRPr="00A30AA6">
              <w:rPr>
                <w:rFonts w:ascii="Calibri" w:eastAsia="Times New Roman" w:hAnsi="Calibri" w:cs="Times New Roman"/>
                <w:b/>
                <w:bCs/>
                <w:color w:val="000000"/>
                <w:sz w:val="20"/>
                <w:szCs w:val="20"/>
              </w:rPr>
              <w:t>4.2%</w:t>
            </w:r>
          </w:p>
        </w:tc>
      </w:tr>
    </w:tbl>
    <w:p w:rsidR="005130C2" w:rsidRDefault="005130C2" w:rsidP="0005546A">
      <w:pPr>
        <w:spacing w:after="0"/>
        <w:rPr>
          <w:rFonts w:ascii="Arial" w:hAnsi="Arial" w:cs="Arial"/>
          <w:sz w:val="20"/>
          <w:szCs w:val="20"/>
        </w:rPr>
      </w:pPr>
    </w:p>
    <w:p w:rsidR="00140364" w:rsidRDefault="00140364" w:rsidP="00B43061">
      <w:pPr>
        <w:spacing w:after="0" w:line="240" w:lineRule="auto"/>
        <w:jc w:val="both"/>
      </w:pPr>
      <w:r w:rsidRPr="00776CAA">
        <w:fldChar w:fldCharType="begin"/>
      </w:r>
      <w:r w:rsidRPr="00776CAA">
        <w:instrText xml:space="preserve"> REF _Ref411522579 \h  \* MERGEFORMAT </w:instrText>
      </w:r>
      <w:r w:rsidRPr="00776CAA">
        <w:fldChar w:fldCharType="separate"/>
      </w:r>
      <w:r w:rsidRPr="00776CAA">
        <w:t xml:space="preserve">Table </w:t>
      </w:r>
      <w:r w:rsidRPr="00776CAA">
        <w:rPr>
          <w:noProof/>
        </w:rPr>
        <w:t>7</w:t>
      </w:r>
      <w:r w:rsidRPr="00776CAA">
        <w:fldChar w:fldCharType="end"/>
      </w:r>
      <w:r w:rsidRPr="00776CAA">
        <w:t xml:space="preserve"> presents modified </w:t>
      </w:r>
      <w:proofErr w:type="spellStart"/>
      <w:r w:rsidRPr="00776CAA">
        <w:t>DR</w:t>
      </w:r>
      <w:proofErr w:type="spellEnd"/>
      <w:r w:rsidRPr="00776CAA">
        <w:t xml:space="preserve"> program potential estimates based on the EDC-specific b</w:t>
      </w:r>
      <w:r w:rsidR="00F611DB" w:rsidRPr="00776CAA">
        <w:t xml:space="preserve">udget allocations shown in </w:t>
      </w:r>
      <w:r w:rsidR="00F611DB" w:rsidRPr="00776CAA">
        <w:fldChar w:fldCharType="begin"/>
      </w:r>
      <w:r w:rsidR="00F611DB" w:rsidRPr="00776CAA">
        <w:instrText xml:space="preserve"> REF _Ref411519369 \h  \* MERGEFORMAT </w:instrText>
      </w:r>
      <w:r w:rsidR="00F611DB" w:rsidRPr="00776CAA">
        <w:fldChar w:fldCharType="separate"/>
      </w:r>
      <w:r w:rsidR="00F611DB" w:rsidRPr="00776CAA">
        <w:t xml:space="preserve">Table </w:t>
      </w:r>
      <w:r w:rsidR="00F611DB" w:rsidRPr="00776CAA">
        <w:rPr>
          <w:noProof/>
        </w:rPr>
        <w:t>4</w:t>
      </w:r>
      <w:r w:rsidR="00F611DB" w:rsidRPr="00776CAA">
        <w:fldChar w:fldCharType="end"/>
      </w:r>
      <w:r w:rsidR="00F611DB" w:rsidRPr="00776CAA">
        <w:t xml:space="preserve">. </w:t>
      </w:r>
      <w:r w:rsidR="00F611DB" w:rsidRPr="00776CAA">
        <w:fldChar w:fldCharType="begin"/>
      </w:r>
      <w:r w:rsidR="00F611DB" w:rsidRPr="00776CAA">
        <w:instrText xml:space="preserve"> REF _Ref411522579 \h </w:instrText>
      </w:r>
      <w:r w:rsidR="00776CAA">
        <w:instrText xml:space="preserve"> \* MERGEFORMAT </w:instrText>
      </w:r>
      <w:r w:rsidR="00F611DB" w:rsidRPr="00776CAA">
        <w:fldChar w:fldCharType="separate"/>
      </w:r>
      <w:r w:rsidR="00F611DB" w:rsidRPr="00776CAA">
        <w:t xml:space="preserve">Table </w:t>
      </w:r>
      <w:r w:rsidR="00F611DB" w:rsidRPr="00776CAA">
        <w:rPr>
          <w:noProof/>
        </w:rPr>
        <w:t>7</w:t>
      </w:r>
      <w:r w:rsidR="00F611DB" w:rsidRPr="00776CAA">
        <w:fldChar w:fldCharType="end"/>
      </w:r>
      <w:r w:rsidR="00F611DB" w:rsidRPr="00776CAA">
        <w:t xml:space="preserve"> also reflects the direction to assume no demand response events </w:t>
      </w:r>
      <w:proofErr w:type="gramStart"/>
      <w:r w:rsidR="00F611DB" w:rsidRPr="00776CAA">
        <w:t>will be called</w:t>
      </w:r>
      <w:proofErr w:type="gramEnd"/>
      <w:r w:rsidR="00F611DB" w:rsidRPr="00776CAA">
        <w:t xml:space="preserve"> during the summer of 2016. Dividing the available budget by four years instead of five years increases the average annual program potential estimates relative to what </w:t>
      </w:r>
      <w:proofErr w:type="gramStart"/>
      <w:r w:rsidR="00F611DB" w:rsidRPr="00776CAA">
        <w:t>was presented</w:t>
      </w:r>
      <w:proofErr w:type="gramEnd"/>
      <w:r w:rsidR="00F611DB" w:rsidRPr="00776CAA">
        <w:t xml:space="preserve"> in </w:t>
      </w:r>
      <w:r w:rsidR="00F611DB" w:rsidRPr="00776CAA">
        <w:fldChar w:fldCharType="begin"/>
      </w:r>
      <w:r w:rsidR="00F611DB" w:rsidRPr="00776CAA">
        <w:instrText xml:space="preserve"> REF _Ref411517282 \h </w:instrText>
      </w:r>
      <w:r w:rsidR="00776CAA">
        <w:instrText xml:space="preserve"> \* MERGEFORMAT </w:instrText>
      </w:r>
      <w:r w:rsidR="00F611DB" w:rsidRPr="00776CAA">
        <w:fldChar w:fldCharType="separate"/>
      </w:r>
      <w:r w:rsidR="00F611DB" w:rsidRPr="00776CAA">
        <w:t xml:space="preserve">Table </w:t>
      </w:r>
      <w:r w:rsidR="00F611DB" w:rsidRPr="00776CAA">
        <w:rPr>
          <w:noProof/>
        </w:rPr>
        <w:t>3</w:t>
      </w:r>
      <w:r w:rsidR="00F611DB" w:rsidRPr="00776CAA">
        <w:fldChar w:fldCharType="end"/>
      </w:r>
      <w:r w:rsidR="00F611DB" w:rsidRPr="00776CAA">
        <w:t xml:space="preserve"> for those </w:t>
      </w:r>
      <w:proofErr w:type="spellStart"/>
      <w:r w:rsidR="00F611DB" w:rsidRPr="00776CAA">
        <w:t>EDCs</w:t>
      </w:r>
      <w:proofErr w:type="spellEnd"/>
      <w:r w:rsidR="00F611DB" w:rsidRPr="00776CAA">
        <w:t xml:space="preserve"> receiving a 10% DR spending allocation.</w:t>
      </w:r>
    </w:p>
    <w:p w:rsidR="00B43061" w:rsidRPr="002249C7" w:rsidRDefault="00B43061" w:rsidP="00B43061">
      <w:pPr>
        <w:spacing w:after="0" w:line="240" w:lineRule="auto"/>
        <w:jc w:val="both"/>
        <w:rPr>
          <w:sz w:val="16"/>
          <w:szCs w:val="16"/>
        </w:rPr>
      </w:pPr>
    </w:p>
    <w:p w:rsidR="00140364" w:rsidRDefault="00140364" w:rsidP="005130C2">
      <w:pPr>
        <w:pStyle w:val="Caption"/>
        <w:keepNext/>
      </w:pPr>
      <w:bookmarkStart w:id="7" w:name="_Ref411522579"/>
      <w:r w:rsidRPr="00140364">
        <w:t xml:space="preserve">Table </w:t>
      </w:r>
      <w:fldSimple w:instr=" SEQ Table \* ARABIC ">
        <w:r w:rsidR="0074687C">
          <w:rPr>
            <w:noProof/>
          </w:rPr>
          <w:t>7</w:t>
        </w:r>
      </w:fldSimple>
      <w:bookmarkEnd w:id="7"/>
      <w:r w:rsidRPr="00140364">
        <w:t xml:space="preserve">: Modified </w:t>
      </w:r>
      <w:r w:rsidRPr="00FC42CF">
        <w:t>Phase III DR Program Potential – Net of Projected PJM Commitments</w:t>
      </w:r>
    </w:p>
    <w:tbl>
      <w:tblPr>
        <w:tblW w:w="9576" w:type="dxa"/>
        <w:jc w:val="center"/>
        <w:tblLook w:val="04A0" w:firstRow="1" w:lastRow="0" w:firstColumn="1" w:lastColumn="0" w:noHBand="0" w:noVBand="1"/>
      </w:tblPr>
      <w:tblGrid>
        <w:gridCol w:w="2178"/>
        <w:gridCol w:w="1980"/>
        <w:gridCol w:w="1953"/>
        <w:gridCol w:w="1557"/>
        <w:gridCol w:w="1908"/>
      </w:tblGrid>
      <w:tr w:rsidR="001D0B77" w:rsidRPr="00140364" w:rsidTr="00D40D06">
        <w:trPr>
          <w:trHeight w:val="20"/>
          <w:tblHeader/>
          <w:jc w:val="center"/>
        </w:trPr>
        <w:tc>
          <w:tcPr>
            <w:tcW w:w="2178"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1D0B77" w:rsidRPr="00140364" w:rsidRDefault="001D0B77" w:rsidP="00B43061">
            <w:pPr>
              <w:spacing w:after="0" w:line="240" w:lineRule="auto"/>
              <w:rPr>
                <w:rFonts w:ascii="Calibri" w:eastAsia="Times New Roman" w:hAnsi="Calibri" w:cs="Times New Roman"/>
                <w:b/>
                <w:bCs/>
                <w:color w:val="FFFFFF"/>
                <w:sz w:val="20"/>
                <w:szCs w:val="20"/>
              </w:rPr>
            </w:pPr>
            <w:r w:rsidRPr="00140364">
              <w:rPr>
                <w:rFonts w:ascii="Calibri" w:eastAsia="Times New Roman" w:hAnsi="Calibri" w:cs="Times New Roman"/>
                <w:b/>
                <w:bCs/>
                <w:color w:val="FFFFFF" w:themeColor="background1"/>
                <w:sz w:val="20"/>
                <w:szCs w:val="20"/>
              </w:rPr>
              <w:t>EDC</w:t>
            </w:r>
          </w:p>
        </w:tc>
        <w:tc>
          <w:tcPr>
            <w:tcW w:w="1980" w:type="dxa"/>
            <w:tcBorders>
              <w:top w:val="single" w:sz="8" w:space="0" w:color="448A99"/>
              <w:left w:val="single" w:sz="8" w:space="0" w:color="448A99"/>
              <w:bottom w:val="single" w:sz="8" w:space="0" w:color="448A99"/>
              <w:right w:val="single" w:sz="8" w:space="0" w:color="448A99"/>
            </w:tcBorders>
            <w:shd w:val="clear" w:color="000000" w:fill="448A99"/>
            <w:vAlign w:val="center"/>
          </w:tcPr>
          <w:p w:rsidR="001D0B77" w:rsidRPr="00140364" w:rsidRDefault="001D0B77" w:rsidP="00515A9F">
            <w:pPr>
              <w:spacing w:after="0" w:line="240" w:lineRule="auto"/>
              <w:jc w:val="center"/>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5-Year DR Spending Allocation (Million $)</w:t>
            </w:r>
          </w:p>
        </w:tc>
        <w:tc>
          <w:tcPr>
            <w:tcW w:w="1953"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1D0B77" w:rsidRPr="00140364" w:rsidRDefault="001D0B77" w:rsidP="00515A9F">
            <w:pPr>
              <w:spacing w:after="0" w:line="240" w:lineRule="auto"/>
              <w:jc w:val="center"/>
              <w:rPr>
                <w:rFonts w:ascii="Calibri" w:eastAsia="Times New Roman" w:hAnsi="Calibri" w:cs="Times New Roman"/>
                <w:b/>
                <w:bCs/>
                <w:color w:val="FFFFFF"/>
                <w:sz w:val="20"/>
                <w:szCs w:val="20"/>
              </w:rPr>
            </w:pPr>
            <w:r w:rsidRPr="00140364">
              <w:rPr>
                <w:rFonts w:ascii="Calibri" w:eastAsia="Times New Roman" w:hAnsi="Calibri" w:cs="Times New Roman"/>
                <w:b/>
                <w:bCs/>
                <w:color w:val="FFFFFF" w:themeColor="background1"/>
                <w:sz w:val="20"/>
                <w:szCs w:val="20"/>
              </w:rPr>
              <w:t>Program Acquisition Costs ($/MW/year)</w:t>
            </w:r>
          </w:p>
        </w:tc>
        <w:tc>
          <w:tcPr>
            <w:tcW w:w="1557"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1D0B77" w:rsidRPr="00140364" w:rsidRDefault="001D0B77" w:rsidP="00515A9F">
            <w:pPr>
              <w:spacing w:after="0" w:line="240" w:lineRule="auto"/>
              <w:jc w:val="center"/>
              <w:rPr>
                <w:rFonts w:ascii="Calibri" w:eastAsia="Times New Roman" w:hAnsi="Calibri" w:cs="Times New Roman"/>
                <w:b/>
                <w:bCs/>
                <w:color w:val="FFFFFF"/>
                <w:sz w:val="20"/>
                <w:szCs w:val="20"/>
              </w:rPr>
            </w:pPr>
            <w:r w:rsidRPr="00140364">
              <w:rPr>
                <w:rFonts w:ascii="Calibri" w:eastAsia="Times New Roman" w:hAnsi="Calibri" w:cs="Times New Roman"/>
                <w:b/>
                <w:bCs/>
                <w:color w:val="FFFFFF" w:themeColor="background1"/>
                <w:sz w:val="20"/>
                <w:szCs w:val="20"/>
              </w:rPr>
              <w:t>Average Annual Potential Savings (MW)</w:t>
            </w:r>
          </w:p>
        </w:tc>
        <w:tc>
          <w:tcPr>
            <w:tcW w:w="1908" w:type="dxa"/>
            <w:tcBorders>
              <w:top w:val="single" w:sz="8" w:space="0" w:color="448A99"/>
              <w:left w:val="single" w:sz="8" w:space="0" w:color="448A99"/>
              <w:bottom w:val="single" w:sz="8" w:space="0" w:color="448A99"/>
              <w:right w:val="single" w:sz="8" w:space="0" w:color="448A99"/>
            </w:tcBorders>
            <w:shd w:val="clear" w:color="000000" w:fill="448A99"/>
          </w:tcPr>
          <w:p w:rsidR="001D0B77" w:rsidRPr="00140364" w:rsidRDefault="001D0B77" w:rsidP="00515A9F">
            <w:pPr>
              <w:spacing w:after="0" w:line="240" w:lineRule="auto"/>
              <w:jc w:val="center"/>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 Reduction (Relative to 2007-2008 Peak Demand)</w:t>
            </w:r>
          </w:p>
        </w:tc>
      </w:tr>
      <w:tr w:rsidR="001D0B77" w:rsidRPr="00140364" w:rsidTr="001D0B77">
        <w:trPr>
          <w:trHeight w:val="20"/>
          <w:jc w:val="center"/>
        </w:trPr>
        <w:tc>
          <w:tcPr>
            <w:tcW w:w="7668" w:type="dxa"/>
            <w:gridSpan w:val="4"/>
            <w:tcBorders>
              <w:top w:val="single" w:sz="8" w:space="0" w:color="448A99"/>
              <w:left w:val="single" w:sz="8" w:space="0" w:color="448A99"/>
              <w:bottom w:val="single" w:sz="8" w:space="0" w:color="448A99"/>
              <w:right w:val="single" w:sz="8" w:space="0" w:color="448A99"/>
            </w:tcBorders>
            <w:shd w:val="clear" w:color="auto" w:fill="808080" w:themeFill="background1" w:themeFillShade="80"/>
            <w:vAlign w:val="center"/>
          </w:tcPr>
          <w:p w:rsidR="001D0B77" w:rsidRPr="00515A9F" w:rsidRDefault="001D0B77" w:rsidP="00515A9F">
            <w:pPr>
              <w:spacing w:after="0" w:line="240" w:lineRule="auto"/>
              <w:jc w:val="center"/>
              <w:rPr>
                <w:rFonts w:ascii="Calibri" w:eastAsia="Times New Roman" w:hAnsi="Calibri" w:cs="Times New Roman"/>
                <w:b/>
                <w:color w:val="000000"/>
                <w:sz w:val="20"/>
                <w:szCs w:val="20"/>
              </w:rPr>
            </w:pPr>
            <w:r w:rsidRPr="00515A9F">
              <w:rPr>
                <w:rFonts w:ascii="Calibri" w:eastAsia="Times New Roman" w:hAnsi="Calibri" w:cs="Times New Roman"/>
                <w:b/>
                <w:color w:val="FFFFFF" w:themeColor="background1"/>
                <w:sz w:val="20"/>
                <w:szCs w:val="20"/>
              </w:rPr>
              <w:t>2016-2020 – 10% DR Spending Allocation Except Where Noted by Asterisk</w:t>
            </w:r>
          </w:p>
        </w:tc>
        <w:tc>
          <w:tcPr>
            <w:tcW w:w="1908" w:type="dxa"/>
            <w:tcBorders>
              <w:top w:val="single" w:sz="8" w:space="0" w:color="448A99"/>
              <w:left w:val="single" w:sz="8" w:space="0" w:color="448A99"/>
              <w:bottom w:val="single" w:sz="8" w:space="0" w:color="448A99"/>
              <w:right w:val="single" w:sz="8" w:space="0" w:color="448A99"/>
            </w:tcBorders>
            <w:shd w:val="clear" w:color="auto" w:fill="808080" w:themeFill="background1" w:themeFillShade="80"/>
          </w:tcPr>
          <w:p w:rsidR="001D0B77" w:rsidRPr="00515A9F" w:rsidRDefault="001D0B77" w:rsidP="00515A9F">
            <w:pPr>
              <w:spacing w:after="0" w:line="240" w:lineRule="auto"/>
              <w:jc w:val="center"/>
              <w:rPr>
                <w:rFonts w:ascii="Calibri" w:eastAsia="Times New Roman" w:hAnsi="Calibri" w:cs="Times New Roman"/>
                <w:b/>
                <w:color w:val="FFFFFF" w:themeColor="background1"/>
                <w:sz w:val="20"/>
                <w:szCs w:val="20"/>
              </w:rPr>
            </w:pPr>
          </w:p>
        </w:tc>
      </w:tr>
      <w:tr w:rsidR="001D0B77" w:rsidRPr="00140364" w:rsidTr="00D40D06">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Duquesne</w:t>
            </w:r>
          </w:p>
        </w:tc>
        <w:tc>
          <w:tcPr>
            <w:tcW w:w="1980" w:type="dxa"/>
            <w:tcBorders>
              <w:top w:val="nil"/>
              <w:left w:val="nil"/>
              <w:bottom w:val="single" w:sz="8" w:space="0" w:color="448A99"/>
              <w:right w:val="single" w:sz="8" w:space="0" w:color="448A99"/>
            </w:tcBorders>
            <w:shd w:val="clear" w:color="000000" w:fill="D2EAF1"/>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$9.77</w:t>
            </w:r>
          </w:p>
        </w:tc>
        <w:tc>
          <w:tcPr>
            <w:tcW w:w="1953"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$57,976</w:t>
            </w:r>
          </w:p>
        </w:tc>
        <w:tc>
          <w:tcPr>
            <w:tcW w:w="1557" w:type="dxa"/>
            <w:tcBorders>
              <w:top w:val="nil"/>
              <w:left w:val="nil"/>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42</w:t>
            </w:r>
          </w:p>
        </w:tc>
        <w:tc>
          <w:tcPr>
            <w:tcW w:w="1908" w:type="dxa"/>
            <w:tcBorders>
              <w:top w:val="nil"/>
              <w:left w:val="nil"/>
              <w:bottom w:val="single" w:sz="8" w:space="0" w:color="448A99"/>
              <w:right w:val="single" w:sz="8" w:space="0" w:color="448A99"/>
            </w:tcBorders>
            <w:shd w:val="clear" w:color="000000" w:fill="D2EAF1"/>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r>
      <w:tr w:rsidR="001D0B77" w:rsidRPr="00140364" w:rsidTr="00D40D06">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*FE: Met-Ed</w:t>
            </w:r>
          </w:p>
        </w:tc>
        <w:tc>
          <w:tcPr>
            <w:tcW w:w="1980" w:type="dxa"/>
            <w:tcBorders>
              <w:top w:val="nil"/>
              <w:left w:val="nil"/>
              <w:bottom w:val="single" w:sz="8" w:space="0" w:color="4BACC6"/>
              <w:right w:val="single" w:sz="8" w:space="0" w:color="448A99"/>
            </w:tcBorders>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$9.95</w:t>
            </w:r>
          </w:p>
        </w:tc>
        <w:tc>
          <w:tcPr>
            <w:tcW w:w="1953" w:type="dxa"/>
            <w:tcBorders>
              <w:top w:val="nil"/>
              <w:left w:val="single" w:sz="8" w:space="0" w:color="448A99"/>
              <w:bottom w:val="single" w:sz="8" w:space="0" w:color="4BACC6"/>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$51,210</w:t>
            </w:r>
          </w:p>
        </w:tc>
        <w:tc>
          <w:tcPr>
            <w:tcW w:w="1557" w:type="dxa"/>
            <w:tcBorders>
              <w:top w:val="nil"/>
              <w:left w:val="nil"/>
              <w:bottom w:val="single" w:sz="8" w:space="0" w:color="448A99"/>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49</w:t>
            </w:r>
          </w:p>
        </w:tc>
        <w:tc>
          <w:tcPr>
            <w:tcW w:w="1908" w:type="dxa"/>
            <w:tcBorders>
              <w:top w:val="nil"/>
              <w:left w:val="nil"/>
              <w:bottom w:val="single" w:sz="8" w:space="0" w:color="448A99"/>
              <w:right w:val="single" w:sz="8" w:space="0" w:color="448A99"/>
            </w:tcBorders>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r>
      <w:tr w:rsidR="001D0B77" w:rsidRPr="00140364" w:rsidTr="00D40D06">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 xml:space="preserve">*FE: </w:t>
            </w:r>
            <w:proofErr w:type="spellStart"/>
            <w:r w:rsidRPr="00140364">
              <w:rPr>
                <w:rFonts w:ascii="Calibri" w:eastAsia="Times New Roman" w:hAnsi="Calibri" w:cs="Times New Roman"/>
                <w:b/>
                <w:bCs/>
                <w:color w:val="000000"/>
                <w:sz w:val="20"/>
                <w:szCs w:val="20"/>
              </w:rPr>
              <w:t>Penelec</w:t>
            </w:r>
            <w:proofErr w:type="spellEnd"/>
          </w:p>
        </w:tc>
        <w:tc>
          <w:tcPr>
            <w:tcW w:w="1980" w:type="dxa"/>
            <w:tcBorders>
              <w:top w:val="nil"/>
              <w:left w:val="nil"/>
              <w:bottom w:val="single" w:sz="8" w:space="0" w:color="448A99"/>
              <w:right w:val="single" w:sz="8" w:space="0" w:color="448A99"/>
            </w:tcBorders>
            <w:shd w:val="clear" w:color="000000" w:fill="D2EAF1"/>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$0.00</w:t>
            </w:r>
          </w:p>
        </w:tc>
        <w:tc>
          <w:tcPr>
            <w:tcW w:w="1953"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$50,782</w:t>
            </w:r>
          </w:p>
        </w:tc>
        <w:tc>
          <w:tcPr>
            <w:tcW w:w="1557" w:type="dxa"/>
            <w:tcBorders>
              <w:top w:val="nil"/>
              <w:left w:val="nil"/>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0</w:t>
            </w:r>
          </w:p>
        </w:tc>
        <w:tc>
          <w:tcPr>
            <w:tcW w:w="1908" w:type="dxa"/>
            <w:tcBorders>
              <w:top w:val="nil"/>
              <w:left w:val="nil"/>
              <w:bottom w:val="single" w:sz="8" w:space="0" w:color="448A99"/>
              <w:right w:val="single" w:sz="8" w:space="0" w:color="448A99"/>
            </w:tcBorders>
            <w:shd w:val="clear" w:color="000000" w:fill="D2EAF1"/>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0.0%</w:t>
            </w:r>
          </w:p>
        </w:tc>
      </w:tr>
      <w:tr w:rsidR="001D0B77" w:rsidRPr="00140364" w:rsidTr="00D40D06">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FE: Penn Power</w:t>
            </w:r>
          </w:p>
        </w:tc>
        <w:tc>
          <w:tcPr>
            <w:tcW w:w="1980" w:type="dxa"/>
            <w:tcBorders>
              <w:top w:val="nil"/>
              <w:left w:val="nil"/>
              <w:bottom w:val="single" w:sz="8" w:space="0" w:color="4BACC6"/>
              <w:right w:val="single" w:sz="8" w:space="0" w:color="448A99"/>
            </w:tcBorders>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$3.33</w:t>
            </w:r>
          </w:p>
        </w:tc>
        <w:tc>
          <w:tcPr>
            <w:tcW w:w="1953" w:type="dxa"/>
            <w:tcBorders>
              <w:top w:val="nil"/>
              <w:left w:val="single" w:sz="8" w:space="0" w:color="448A99"/>
              <w:bottom w:val="single" w:sz="8" w:space="0" w:color="4BACC6"/>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$49,349</w:t>
            </w:r>
          </w:p>
        </w:tc>
        <w:tc>
          <w:tcPr>
            <w:tcW w:w="1557" w:type="dxa"/>
            <w:tcBorders>
              <w:top w:val="nil"/>
              <w:left w:val="nil"/>
              <w:bottom w:val="single" w:sz="8" w:space="0" w:color="448A99"/>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17</w:t>
            </w:r>
          </w:p>
        </w:tc>
        <w:tc>
          <w:tcPr>
            <w:tcW w:w="1908" w:type="dxa"/>
            <w:tcBorders>
              <w:top w:val="nil"/>
              <w:left w:val="nil"/>
              <w:bottom w:val="single" w:sz="8" w:space="0" w:color="448A99"/>
              <w:right w:val="single" w:sz="8" w:space="0" w:color="448A99"/>
            </w:tcBorders>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r>
      <w:tr w:rsidR="001D0B77" w:rsidRPr="00140364" w:rsidTr="00D40D06">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FE: WPP</w:t>
            </w:r>
          </w:p>
        </w:tc>
        <w:tc>
          <w:tcPr>
            <w:tcW w:w="1980" w:type="dxa"/>
            <w:tcBorders>
              <w:top w:val="nil"/>
              <w:left w:val="nil"/>
              <w:bottom w:val="single" w:sz="8" w:space="0" w:color="448A99"/>
              <w:right w:val="single" w:sz="8" w:space="0" w:color="448A99"/>
            </w:tcBorders>
            <w:shd w:val="clear" w:color="000000" w:fill="D2EAF1"/>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$11.78</w:t>
            </w:r>
          </w:p>
        </w:tc>
        <w:tc>
          <w:tcPr>
            <w:tcW w:w="1953"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$46,203</w:t>
            </w:r>
          </w:p>
        </w:tc>
        <w:tc>
          <w:tcPr>
            <w:tcW w:w="1557" w:type="dxa"/>
            <w:tcBorders>
              <w:top w:val="nil"/>
              <w:left w:val="nil"/>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64</w:t>
            </w:r>
          </w:p>
        </w:tc>
        <w:tc>
          <w:tcPr>
            <w:tcW w:w="1908" w:type="dxa"/>
            <w:tcBorders>
              <w:top w:val="nil"/>
              <w:left w:val="nil"/>
              <w:bottom w:val="single" w:sz="8" w:space="0" w:color="448A99"/>
              <w:right w:val="single" w:sz="8" w:space="0" w:color="448A99"/>
            </w:tcBorders>
            <w:shd w:val="clear" w:color="000000" w:fill="D2EAF1"/>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r>
      <w:tr w:rsidR="001D0B77" w:rsidRPr="00140364" w:rsidTr="00D40D06">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PECO</w:t>
            </w:r>
          </w:p>
        </w:tc>
        <w:tc>
          <w:tcPr>
            <w:tcW w:w="1980" w:type="dxa"/>
            <w:tcBorders>
              <w:top w:val="nil"/>
              <w:left w:val="nil"/>
              <w:bottom w:val="single" w:sz="8" w:space="0" w:color="4BACC6"/>
              <w:right w:val="single" w:sz="8" w:space="0" w:color="448A99"/>
            </w:tcBorders>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$42.70</w:t>
            </w:r>
          </w:p>
        </w:tc>
        <w:tc>
          <w:tcPr>
            <w:tcW w:w="1953" w:type="dxa"/>
            <w:tcBorders>
              <w:top w:val="nil"/>
              <w:left w:val="single" w:sz="8" w:space="0" w:color="448A99"/>
              <w:bottom w:val="single" w:sz="8" w:space="0" w:color="4BACC6"/>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$64,257</w:t>
            </w:r>
          </w:p>
        </w:tc>
        <w:tc>
          <w:tcPr>
            <w:tcW w:w="1557" w:type="dxa"/>
            <w:tcBorders>
              <w:top w:val="nil"/>
              <w:left w:val="nil"/>
              <w:bottom w:val="single" w:sz="8" w:space="0" w:color="448A99"/>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166</w:t>
            </w:r>
          </w:p>
        </w:tc>
        <w:tc>
          <w:tcPr>
            <w:tcW w:w="1908" w:type="dxa"/>
            <w:tcBorders>
              <w:top w:val="nil"/>
              <w:left w:val="nil"/>
              <w:bottom w:val="single" w:sz="8" w:space="0" w:color="448A99"/>
              <w:right w:val="single" w:sz="8" w:space="0" w:color="448A99"/>
            </w:tcBorders>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r>
      <w:tr w:rsidR="001D0B77" w:rsidRPr="00140364" w:rsidTr="00D40D06">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*PPL</w:t>
            </w:r>
          </w:p>
        </w:tc>
        <w:tc>
          <w:tcPr>
            <w:tcW w:w="1980" w:type="dxa"/>
            <w:tcBorders>
              <w:top w:val="nil"/>
              <w:left w:val="nil"/>
              <w:bottom w:val="single" w:sz="8" w:space="0" w:color="448A99"/>
              <w:right w:val="single" w:sz="8" w:space="0" w:color="448A99"/>
            </w:tcBorders>
            <w:shd w:val="clear" w:color="000000" w:fill="D2EAF1"/>
            <w:vAlign w:val="center"/>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$15.38</w:t>
            </w:r>
          </w:p>
        </w:tc>
        <w:tc>
          <w:tcPr>
            <w:tcW w:w="1953" w:type="dxa"/>
            <w:tcBorders>
              <w:top w:val="nil"/>
              <w:left w:val="single" w:sz="8" w:space="0" w:color="448A99"/>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$41,622</w:t>
            </w:r>
          </w:p>
        </w:tc>
        <w:tc>
          <w:tcPr>
            <w:tcW w:w="1557" w:type="dxa"/>
            <w:tcBorders>
              <w:top w:val="nil"/>
              <w:left w:val="nil"/>
              <w:bottom w:val="single" w:sz="8" w:space="0" w:color="448A99"/>
              <w:right w:val="single" w:sz="8" w:space="0" w:color="448A99"/>
            </w:tcBorders>
            <w:shd w:val="clear" w:color="000000" w:fill="D2EAF1"/>
            <w:vAlign w:val="center"/>
            <w:hideMark/>
          </w:tcPr>
          <w:p w:rsidR="001D0B77" w:rsidRPr="00140364" w:rsidRDefault="001D0B77" w:rsidP="00515A9F">
            <w:pPr>
              <w:spacing w:after="0" w:line="240" w:lineRule="auto"/>
              <w:jc w:val="center"/>
              <w:rPr>
                <w:rFonts w:ascii="Calibri" w:eastAsia="Times New Roman" w:hAnsi="Calibri" w:cs="Times New Roman"/>
                <w:color w:val="000000"/>
                <w:sz w:val="20"/>
                <w:szCs w:val="20"/>
              </w:rPr>
            </w:pPr>
            <w:r w:rsidRPr="00140364">
              <w:rPr>
                <w:rFonts w:ascii="Calibri" w:eastAsia="Times New Roman" w:hAnsi="Calibri" w:cs="Times New Roman"/>
                <w:color w:val="000000"/>
                <w:sz w:val="20"/>
                <w:szCs w:val="20"/>
              </w:rPr>
              <w:t>92</w:t>
            </w:r>
          </w:p>
        </w:tc>
        <w:tc>
          <w:tcPr>
            <w:tcW w:w="1908" w:type="dxa"/>
            <w:tcBorders>
              <w:top w:val="nil"/>
              <w:left w:val="nil"/>
              <w:bottom w:val="single" w:sz="8" w:space="0" w:color="448A99"/>
              <w:right w:val="single" w:sz="8" w:space="0" w:color="448A99"/>
            </w:tcBorders>
            <w:shd w:val="clear" w:color="000000" w:fill="D2EAF1"/>
          </w:tcPr>
          <w:p w:rsidR="001D0B77" w:rsidRPr="00140364" w:rsidRDefault="00D40D06" w:rsidP="00515A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r>
      <w:tr w:rsidR="001D0B77" w:rsidRPr="00140364" w:rsidTr="00D40D06">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1D0B77" w:rsidRPr="00140364" w:rsidRDefault="001D0B77" w:rsidP="00140364">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Statewide</w:t>
            </w:r>
          </w:p>
        </w:tc>
        <w:tc>
          <w:tcPr>
            <w:tcW w:w="1980" w:type="dxa"/>
            <w:tcBorders>
              <w:top w:val="nil"/>
              <w:left w:val="nil"/>
              <w:bottom w:val="single" w:sz="8" w:space="0" w:color="4BACC6"/>
              <w:right w:val="single" w:sz="8" w:space="0" w:color="448A99"/>
            </w:tcBorders>
            <w:vAlign w:val="center"/>
          </w:tcPr>
          <w:p w:rsidR="001D0B77" w:rsidRPr="00140364" w:rsidRDefault="001D0B77" w:rsidP="00515A9F">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$92.90</w:t>
            </w:r>
          </w:p>
        </w:tc>
        <w:tc>
          <w:tcPr>
            <w:tcW w:w="1953" w:type="dxa"/>
            <w:tcBorders>
              <w:top w:val="nil"/>
              <w:left w:val="single" w:sz="8" w:space="0" w:color="448A99"/>
              <w:bottom w:val="single" w:sz="8" w:space="0" w:color="4BACC6"/>
              <w:right w:val="single" w:sz="8" w:space="0" w:color="448A99"/>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$52,310</w:t>
            </w:r>
          </w:p>
        </w:tc>
        <w:tc>
          <w:tcPr>
            <w:tcW w:w="1557" w:type="dxa"/>
            <w:tcBorders>
              <w:top w:val="nil"/>
              <w:left w:val="nil"/>
              <w:bottom w:val="single" w:sz="8" w:space="0" w:color="4BACC6"/>
              <w:right w:val="single" w:sz="8" w:space="0" w:color="4BACC6"/>
            </w:tcBorders>
            <w:shd w:val="clear" w:color="auto" w:fill="auto"/>
            <w:vAlign w:val="center"/>
            <w:hideMark/>
          </w:tcPr>
          <w:p w:rsidR="001D0B77" w:rsidRPr="00140364" w:rsidRDefault="001D0B77" w:rsidP="00515A9F">
            <w:pPr>
              <w:spacing w:after="0" w:line="240" w:lineRule="auto"/>
              <w:jc w:val="center"/>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430</w:t>
            </w:r>
          </w:p>
        </w:tc>
        <w:tc>
          <w:tcPr>
            <w:tcW w:w="1908" w:type="dxa"/>
            <w:tcBorders>
              <w:top w:val="nil"/>
              <w:left w:val="nil"/>
              <w:bottom w:val="single" w:sz="8" w:space="0" w:color="4BACC6"/>
              <w:right w:val="single" w:sz="8" w:space="0" w:color="4BACC6"/>
            </w:tcBorders>
          </w:tcPr>
          <w:p w:rsidR="001D0B77" w:rsidRPr="00140364" w:rsidRDefault="00D40D06" w:rsidP="00515A9F">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1.6%</w:t>
            </w:r>
          </w:p>
        </w:tc>
      </w:tr>
    </w:tbl>
    <w:p w:rsidR="00F611DB" w:rsidRDefault="00F611DB" w:rsidP="007152DD">
      <w:pPr>
        <w:pStyle w:val="Heading1"/>
      </w:pPr>
      <w:r>
        <w:lastRenderedPageBreak/>
        <w:t>GNI and Low Income Carve-Outs</w:t>
      </w:r>
    </w:p>
    <w:p w:rsidR="00FD5052" w:rsidRDefault="00FD5052" w:rsidP="00B43061">
      <w:pPr>
        <w:spacing w:after="0" w:line="240" w:lineRule="auto"/>
        <w:jc w:val="both"/>
      </w:pPr>
      <w:r w:rsidRPr="00FD5052">
        <w:t xml:space="preserve">Phase II of Act 129 has specific targets for two </w:t>
      </w:r>
      <w:r>
        <w:t xml:space="preserve">“carve-out” </w:t>
      </w:r>
      <w:r w:rsidRPr="00FD5052">
        <w:t xml:space="preserve">sectors: residential low income and government, nonprofit and institutional (GNI). The EE MPS analysis considered the market </w:t>
      </w:r>
      <w:r w:rsidR="00CD1BA0">
        <w:t>opportunity for these “carve-out</w:t>
      </w:r>
      <w:r w:rsidRPr="00FD5052">
        <w:t xml:space="preserve">” sectors based on specific residential and commercial segments. However, the EE MPS does not directly recommend whether targets should be established for the </w:t>
      </w:r>
      <w:r w:rsidR="00CD1BA0">
        <w:t xml:space="preserve">carve-outs </w:t>
      </w:r>
      <w:r w:rsidRPr="00FD5052">
        <w:t xml:space="preserve">in Phase III or what those targets should be. This </w:t>
      </w:r>
      <w:r w:rsidR="002249C7">
        <w:t>report addendum</w:t>
      </w:r>
      <w:r w:rsidRPr="00FD5052">
        <w:t xml:space="preserve"> provides </w:t>
      </w:r>
      <w:r w:rsidR="00636196">
        <w:t xml:space="preserve">the </w:t>
      </w:r>
      <w:r w:rsidRPr="00FD5052">
        <w:t>Commission with additional detail on the GNI and residential low-income carve-outs relative to program potential.</w:t>
      </w:r>
    </w:p>
    <w:p w:rsidR="00B43061" w:rsidRPr="00FD5052" w:rsidRDefault="00B43061" w:rsidP="00B43061">
      <w:pPr>
        <w:spacing w:after="0" w:line="240" w:lineRule="auto"/>
        <w:jc w:val="both"/>
      </w:pPr>
    </w:p>
    <w:p w:rsidR="0074687C" w:rsidRDefault="00CD1BA0" w:rsidP="00B43061">
      <w:pPr>
        <w:spacing w:after="0" w:line="240" w:lineRule="auto"/>
        <w:jc w:val="both"/>
      </w:pPr>
      <w:r>
        <w:t>The GNI “carve-out</w:t>
      </w:r>
      <w:r w:rsidR="00FD5052">
        <w:t>” sector is comprised of various market segments analyzed in the energy efficiency market potential study including education, healthcare, government/public service, public street lighting and other institutional buildings.  The SWE team utilized these segments as a proxy for</w:t>
      </w:r>
      <w:r w:rsidR="00C42686">
        <w:t xml:space="preserve"> informing the available savings potential in</w:t>
      </w:r>
      <w:r w:rsidR="00FD5052">
        <w:t xml:space="preserve"> the GNI sector</w:t>
      </w:r>
      <w:r w:rsidR="00FD5052">
        <w:rPr>
          <w:rStyle w:val="FootnoteReference"/>
        </w:rPr>
        <w:footnoteReference w:id="5"/>
      </w:r>
      <w:r w:rsidR="00FD5052">
        <w:t xml:space="preserve">.  </w:t>
      </w:r>
      <w:r w:rsidR="00C42686">
        <w:t>Based on the energy efficiency MPS</w:t>
      </w:r>
      <w:r>
        <w:t xml:space="preserve"> </w:t>
      </w:r>
      <w:r w:rsidR="00B90ECA">
        <w:t>findings</w:t>
      </w:r>
      <w:r w:rsidR="00FD5052">
        <w:t xml:space="preserve">, the </w:t>
      </w:r>
      <w:r w:rsidR="00C42686">
        <w:t>S</w:t>
      </w:r>
      <w:r w:rsidR="00B90ECA">
        <w:t xml:space="preserve">WE estimates that the </w:t>
      </w:r>
      <w:r w:rsidR="006D5501">
        <w:t xml:space="preserve">statewide </w:t>
      </w:r>
      <w:r w:rsidR="00B90ECA">
        <w:t xml:space="preserve">sum of first-year </w:t>
      </w:r>
      <w:r w:rsidR="003F7F8E">
        <w:t xml:space="preserve">base achievable </w:t>
      </w:r>
      <w:r w:rsidR="004B7A3F">
        <w:t xml:space="preserve">energy savings </w:t>
      </w:r>
      <w:r w:rsidR="00C42686">
        <w:t xml:space="preserve">potential </w:t>
      </w:r>
      <w:r w:rsidR="00B90ECA">
        <w:t xml:space="preserve">from 2016 to 2020 </w:t>
      </w:r>
      <w:r w:rsidR="004B7A3F">
        <w:t>attributable to the</w:t>
      </w:r>
      <w:r w:rsidR="00C42686">
        <w:t xml:space="preserve"> GNI sector is equal to 6.7% </w:t>
      </w:r>
      <w:r w:rsidR="003F7F8E">
        <w:t>of</w:t>
      </w:r>
      <w:r w:rsidR="004B7A3F">
        <w:t xml:space="preserve"> the portfolio</w:t>
      </w:r>
      <w:r w:rsidR="003F7F8E">
        <w:t xml:space="preserve">’s </w:t>
      </w:r>
      <w:r w:rsidR="006D5501">
        <w:t xml:space="preserve">statewide </w:t>
      </w:r>
      <w:r w:rsidR="003F7F8E">
        <w:t>base achievable savings potential</w:t>
      </w:r>
      <w:r w:rsidR="004B7A3F">
        <w:t xml:space="preserve"> </w:t>
      </w:r>
      <w:r w:rsidR="00B90ECA">
        <w:t>during that same time horizon</w:t>
      </w:r>
      <w:r w:rsidR="004B7A3F">
        <w:rPr>
          <w:rStyle w:val="FootnoteReference"/>
        </w:rPr>
        <w:footnoteReference w:id="6"/>
      </w:r>
      <w:r w:rsidR="00B90ECA">
        <w:t>.  When applied to the</w:t>
      </w:r>
      <w:r>
        <w:t xml:space="preserve"> 5-year </w:t>
      </w:r>
      <w:r w:rsidR="00B90ECA">
        <w:t>portfolio</w:t>
      </w:r>
      <w:r>
        <w:t xml:space="preserve"> program potential (</w:t>
      </w:r>
      <w:r w:rsidR="0047078B">
        <w:t>6,123,842</w:t>
      </w:r>
      <w:r>
        <w:t xml:space="preserve"> MWh) discussed in Table </w:t>
      </w:r>
      <w:r w:rsidR="0047078B">
        <w:t>6</w:t>
      </w:r>
      <w:r w:rsidR="00C42686">
        <w:t xml:space="preserve">, the </w:t>
      </w:r>
      <w:r w:rsidR="006A2ADA">
        <w:t>SWE team estimates there to be 410,297</w:t>
      </w:r>
      <w:r>
        <w:t xml:space="preserve"> MWh of </w:t>
      </w:r>
      <w:r w:rsidR="006D5501">
        <w:t xml:space="preserve">statewide </w:t>
      </w:r>
      <w:r>
        <w:t>program potential for the GNI sector (again representing 6.7% of the estimated program potential for all sectors combined).</w:t>
      </w:r>
      <w:r w:rsidR="00BD35F6" w:rsidRPr="00BD35F6">
        <w:t xml:space="preserve"> </w:t>
      </w:r>
      <w:r w:rsidR="00BD35F6">
        <w:t xml:space="preserve">Table 8 </w:t>
      </w:r>
      <w:r w:rsidR="00BD35F6" w:rsidRPr="00FD5052">
        <w:t xml:space="preserve">provides the additional detail regarding the </w:t>
      </w:r>
      <w:r w:rsidR="00BD35F6">
        <w:t>GNI</w:t>
      </w:r>
      <w:r w:rsidR="00BD35F6" w:rsidRPr="00FD5052">
        <w:t xml:space="preserve"> carve-outs </w:t>
      </w:r>
      <w:r w:rsidR="00BD35F6">
        <w:t xml:space="preserve">by EDC </w:t>
      </w:r>
      <w:r w:rsidR="00BD35F6" w:rsidRPr="00FD5052">
        <w:t>associated with the five-year program potential estimated in the EE MPS.</w:t>
      </w:r>
      <w:r w:rsidR="00A23412">
        <w:t xml:space="preserve"> It is important to note that Table 8 maintains the default 90%/10% annual funding allocation for EE versus DR for Penn Power, West Penn Power and PECO. The three utilities marked with an “*” in Table 8 below have slightly different EE versus DR funding allocations, as discussed in Section II above.</w:t>
      </w:r>
    </w:p>
    <w:p w:rsidR="00B43061" w:rsidRDefault="00B43061" w:rsidP="00B43061">
      <w:pPr>
        <w:spacing w:after="0" w:line="240" w:lineRule="auto"/>
        <w:jc w:val="both"/>
      </w:pPr>
    </w:p>
    <w:p w:rsidR="0074687C" w:rsidRPr="0074687C" w:rsidRDefault="0074687C" w:rsidP="005130C2">
      <w:pPr>
        <w:pStyle w:val="Caption"/>
        <w:keepNext/>
      </w:pPr>
      <w:r w:rsidRPr="0074687C">
        <w:t xml:space="preserve">Table </w:t>
      </w:r>
      <w:fldSimple w:instr=" SEQ Table \* ARABIC ">
        <w:r>
          <w:rPr>
            <w:noProof/>
          </w:rPr>
          <w:t>8</w:t>
        </w:r>
      </w:fldSimple>
      <w:r w:rsidRPr="0074687C">
        <w:t>: Commercial GNI Sector 2016 to 2020 1</w:t>
      </w:r>
      <w:r w:rsidRPr="0074687C">
        <w:rPr>
          <w:vertAlign w:val="superscript"/>
        </w:rPr>
        <w:t>st</w:t>
      </w:r>
      <w:r w:rsidRPr="0074687C">
        <w:t xml:space="preserve"> Year </w:t>
      </w:r>
      <w:r w:rsidR="00BD35F6">
        <w:t xml:space="preserve">Program Potential </w:t>
      </w:r>
      <w:r w:rsidRPr="0074687C">
        <w:t>Savings by EDC</w:t>
      </w:r>
    </w:p>
    <w:tbl>
      <w:tblPr>
        <w:tblW w:w="9237" w:type="dxa"/>
        <w:jc w:val="center"/>
        <w:tblLook w:val="04A0" w:firstRow="1" w:lastRow="0" w:firstColumn="1" w:lastColumn="0" w:noHBand="0" w:noVBand="1"/>
      </w:tblPr>
      <w:tblGrid>
        <w:gridCol w:w="2459"/>
        <w:gridCol w:w="2430"/>
        <w:gridCol w:w="2160"/>
        <w:gridCol w:w="2188"/>
      </w:tblGrid>
      <w:tr w:rsidR="0074687C" w:rsidRPr="00140364" w:rsidTr="005130C2">
        <w:trPr>
          <w:trHeight w:val="20"/>
          <w:tblHeader/>
          <w:jc w:val="center"/>
        </w:trPr>
        <w:tc>
          <w:tcPr>
            <w:tcW w:w="2459"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74687C">
            <w:pPr>
              <w:spacing w:after="0" w:line="240" w:lineRule="auto"/>
              <w:jc w:val="center"/>
              <w:rPr>
                <w:rFonts w:ascii="Calibri" w:eastAsia="Times New Roman" w:hAnsi="Calibri" w:cs="Times New Roman"/>
                <w:b/>
                <w:bCs/>
                <w:color w:val="FFFFFF"/>
                <w:sz w:val="20"/>
                <w:szCs w:val="20"/>
              </w:rPr>
            </w:pPr>
            <w:r w:rsidRPr="00140364">
              <w:rPr>
                <w:rFonts w:ascii="Calibri" w:eastAsia="Times New Roman" w:hAnsi="Calibri" w:cs="Times New Roman"/>
                <w:b/>
                <w:bCs/>
                <w:color w:val="FFFFFF" w:themeColor="background1"/>
                <w:sz w:val="20"/>
                <w:szCs w:val="20"/>
              </w:rPr>
              <w:t>EDC</w:t>
            </w:r>
          </w:p>
        </w:tc>
        <w:tc>
          <w:tcPr>
            <w:tcW w:w="243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B93962">
            <w:pPr>
              <w:spacing w:after="0" w:line="240" w:lineRule="auto"/>
              <w:jc w:val="center"/>
              <w:rPr>
                <w:rFonts w:ascii="Calibri" w:eastAsia="Times New Roman" w:hAnsi="Calibri" w:cs="Times New Roman"/>
                <w:b/>
                <w:bCs/>
                <w:color w:val="FFFFFF"/>
                <w:sz w:val="20"/>
                <w:szCs w:val="20"/>
              </w:rPr>
            </w:pPr>
            <w:r>
              <w:rPr>
                <w:b/>
                <w:bCs/>
                <w:color w:val="FFFFFF"/>
                <w:sz w:val="20"/>
                <w:szCs w:val="20"/>
              </w:rPr>
              <w:t xml:space="preserve">2016-2020 </w:t>
            </w:r>
            <w:r w:rsidR="00B93962">
              <w:rPr>
                <w:b/>
                <w:bCs/>
                <w:color w:val="FFFFFF"/>
                <w:sz w:val="20"/>
                <w:szCs w:val="20"/>
              </w:rPr>
              <w:t>Incremental Annual</w:t>
            </w:r>
            <w:r>
              <w:rPr>
                <w:b/>
                <w:bCs/>
                <w:color w:val="FFFFFF"/>
                <w:sz w:val="20"/>
                <w:szCs w:val="20"/>
              </w:rPr>
              <w:t xml:space="preserve"> Program Potential Savings (MWh)</w:t>
            </w:r>
            <w:r w:rsidR="0074104E">
              <w:rPr>
                <w:rStyle w:val="FootnoteReference"/>
                <w:b/>
                <w:bCs/>
                <w:color w:val="FFFFFF"/>
                <w:sz w:val="20"/>
                <w:szCs w:val="20"/>
              </w:rPr>
              <w:footnoteReference w:id="7"/>
            </w:r>
          </w:p>
        </w:tc>
        <w:tc>
          <w:tcPr>
            <w:tcW w:w="216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74687C">
            <w:pPr>
              <w:spacing w:after="0" w:line="240" w:lineRule="auto"/>
              <w:jc w:val="center"/>
              <w:rPr>
                <w:rFonts w:ascii="Calibri" w:eastAsia="Times New Roman" w:hAnsi="Calibri" w:cs="Times New Roman"/>
                <w:b/>
                <w:bCs/>
                <w:color w:val="FFFFFF"/>
                <w:sz w:val="20"/>
                <w:szCs w:val="20"/>
              </w:rPr>
            </w:pPr>
            <w:r>
              <w:rPr>
                <w:b/>
                <w:bCs/>
                <w:color w:val="FFFFFF"/>
                <w:sz w:val="20"/>
                <w:szCs w:val="20"/>
              </w:rPr>
              <w:t>% of Commercial Savings</w:t>
            </w:r>
          </w:p>
        </w:tc>
        <w:tc>
          <w:tcPr>
            <w:tcW w:w="2188"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74687C">
            <w:pPr>
              <w:spacing w:after="0" w:line="240" w:lineRule="auto"/>
              <w:jc w:val="center"/>
              <w:rPr>
                <w:rFonts w:ascii="Calibri" w:eastAsia="Times New Roman" w:hAnsi="Calibri" w:cs="Times New Roman"/>
                <w:b/>
                <w:bCs/>
                <w:color w:val="FFFFFF"/>
                <w:sz w:val="20"/>
                <w:szCs w:val="20"/>
              </w:rPr>
            </w:pPr>
            <w:r>
              <w:rPr>
                <w:b/>
                <w:bCs/>
                <w:color w:val="FFFFFF"/>
                <w:sz w:val="20"/>
                <w:szCs w:val="20"/>
              </w:rPr>
              <w:t>% of Total Portfolio Savings</w:t>
            </w:r>
          </w:p>
        </w:tc>
      </w:tr>
      <w:tr w:rsidR="0074687C" w:rsidRPr="00140364" w:rsidTr="005130C2">
        <w:trPr>
          <w:trHeight w:val="20"/>
          <w:jc w:val="center"/>
        </w:trPr>
        <w:tc>
          <w:tcPr>
            <w:tcW w:w="9237" w:type="dxa"/>
            <w:gridSpan w:val="4"/>
            <w:tcBorders>
              <w:top w:val="single" w:sz="8" w:space="0" w:color="448A99"/>
              <w:left w:val="single" w:sz="8" w:space="0" w:color="4BACC6"/>
              <w:bottom w:val="single" w:sz="8" w:space="0" w:color="4BACC6"/>
              <w:right w:val="single" w:sz="8" w:space="0" w:color="4BACC6"/>
            </w:tcBorders>
            <w:shd w:val="clear" w:color="000000" w:fill="9C9393"/>
            <w:vAlign w:val="center"/>
            <w:hideMark/>
          </w:tcPr>
          <w:p w:rsidR="0074687C" w:rsidRPr="00140364" w:rsidRDefault="007A42F0" w:rsidP="0074687C">
            <w:pPr>
              <w:spacing w:after="0" w:line="240" w:lineRule="auto"/>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 xml:space="preserve">2016-2020 – 90% EE </w:t>
            </w:r>
            <w:r w:rsidR="0074687C" w:rsidRPr="00140364">
              <w:rPr>
                <w:rFonts w:ascii="Calibri" w:eastAsia="Times New Roman" w:hAnsi="Calibri" w:cs="Times New Roman"/>
                <w:b/>
                <w:bCs/>
                <w:color w:val="FFFFFF"/>
                <w:sz w:val="20"/>
                <w:szCs w:val="20"/>
              </w:rPr>
              <w:t>Spending Except Where Noted by Asterisk</w:t>
            </w:r>
          </w:p>
        </w:tc>
      </w:tr>
      <w:tr w:rsidR="006A2ADA" w:rsidRPr="00140364" w:rsidTr="00D40D06">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Duquesne</w:t>
            </w:r>
          </w:p>
        </w:tc>
        <w:tc>
          <w:tcPr>
            <w:tcW w:w="243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48,943</w:t>
            </w:r>
          </w:p>
        </w:tc>
        <w:tc>
          <w:tcPr>
            <w:tcW w:w="216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34.1%</w:t>
            </w:r>
          </w:p>
        </w:tc>
        <w:tc>
          <w:tcPr>
            <w:tcW w:w="2188"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10.4%</w:t>
            </w:r>
          </w:p>
        </w:tc>
      </w:tr>
      <w:tr w:rsidR="006A2ADA" w:rsidRPr="00140364" w:rsidTr="00D40D06">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*FE: Met-Ed</w:t>
            </w:r>
          </w:p>
        </w:tc>
        <w:tc>
          <w:tcPr>
            <w:tcW w:w="2430" w:type="dxa"/>
            <w:tcBorders>
              <w:top w:val="nil"/>
              <w:left w:val="nil"/>
              <w:bottom w:val="single" w:sz="8" w:space="0" w:color="448A99"/>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21,973</w:t>
            </w:r>
          </w:p>
        </w:tc>
        <w:tc>
          <w:tcPr>
            <w:tcW w:w="2160" w:type="dxa"/>
            <w:tcBorders>
              <w:top w:val="nil"/>
              <w:left w:val="nil"/>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25.5%</w:t>
            </w:r>
          </w:p>
        </w:tc>
        <w:tc>
          <w:tcPr>
            <w:tcW w:w="2188" w:type="dxa"/>
            <w:tcBorders>
              <w:top w:val="nil"/>
              <w:left w:val="nil"/>
              <w:bottom w:val="single" w:sz="8" w:space="0" w:color="448A99"/>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3.5%</w:t>
            </w:r>
          </w:p>
        </w:tc>
      </w:tr>
      <w:tr w:rsidR="006A2ADA" w:rsidRPr="00140364" w:rsidTr="00D40D06">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*FE: Penelec</w:t>
            </w:r>
          </w:p>
        </w:tc>
        <w:tc>
          <w:tcPr>
            <w:tcW w:w="243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34,719</w:t>
            </w:r>
          </w:p>
        </w:tc>
        <w:tc>
          <w:tcPr>
            <w:tcW w:w="216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33.5%</w:t>
            </w:r>
          </w:p>
        </w:tc>
        <w:tc>
          <w:tcPr>
            <w:tcW w:w="2188"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5.8%</w:t>
            </w:r>
          </w:p>
        </w:tc>
      </w:tr>
      <w:tr w:rsidR="006A2ADA" w:rsidRPr="00140364" w:rsidTr="00D40D06">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FE: Penn Power</w:t>
            </w:r>
          </w:p>
        </w:tc>
        <w:tc>
          <w:tcPr>
            <w:tcW w:w="2430" w:type="dxa"/>
            <w:tcBorders>
              <w:top w:val="nil"/>
              <w:left w:val="nil"/>
              <w:bottom w:val="single" w:sz="8" w:space="0" w:color="448A99"/>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6,637</w:t>
            </w:r>
          </w:p>
        </w:tc>
        <w:tc>
          <w:tcPr>
            <w:tcW w:w="2160" w:type="dxa"/>
            <w:tcBorders>
              <w:top w:val="nil"/>
              <w:left w:val="nil"/>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22.7%</w:t>
            </w:r>
          </w:p>
        </w:tc>
        <w:tc>
          <w:tcPr>
            <w:tcW w:w="2188" w:type="dxa"/>
            <w:tcBorders>
              <w:top w:val="nil"/>
              <w:left w:val="nil"/>
              <w:bottom w:val="single" w:sz="8" w:space="0" w:color="448A99"/>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3.9%</w:t>
            </w:r>
          </w:p>
        </w:tc>
      </w:tr>
      <w:tr w:rsidR="006A2ADA" w:rsidRPr="00140364" w:rsidTr="00D40D06">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FE: WPP</w:t>
            </w:r>
          </w:p>
        </w:tc>
        <w:tc>
          <w:tcPr>
            <w:tcW w:w="243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28,119</w:t>
            </w:r>
          </w:p>
        </w:tc>
        <w:tc>
          <w:tcPr>
            <w:tcW w:w="216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31.7%</w:t>
            </w:r>
          </w:p>
        </w:tc>
        <w:tc>
          <w:tcPr>
            <w:tcW w:w="2188"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4.8%</w:t>
            </w:r>
          </w:p>
        </w:tc>
      </w:tr>
      <w:tr w:rsidR="006A2ADA" w:rsidRPr="00140364" w:rsidTr="00D40D06">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PECO</w:t>
            </w:r>
          </w:p>
        </w:tc>
        <w:tc>
          <w:tcPr>
            <w:tcW w:w="2430" w:type="dxa"/>
            <w:tcBorders>
              <w:top w:val="nil"/>
              <w:left w:val="nil"/>
              <w:bottom w:val="single" w:sz="8" w:space="0" w:color="448A99"/>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191,411</w:t>
            </w:r>
          </w:p>
        </w:tc>
        <w:tc>
          <w:tcPr>
            <w:tcW w:w="2160" w:type="dxa"/>
            <w:tcBorders>
              <w:top w:val="nil"/>
              <w:left w:val="nil"/>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33.3%</w:t>
            </w:r>
          </w:p>
        </w:tc>
        <w:tc>
          <w:tcPr>
            <w:tcW w:w="2188" w:type="dxa"/>
            <w:tcBorders>
              <w:top w:val="nil"/>
              <w:left w:val="nil"/>
              <w:bottom w:val="single" w:sz="8" w:space="0" w:color="448A99"/>
              <w:right w:val="single" w:sz="8" w:space="0" w:color="448A99"/>
            </w:tcBorders>
            <w:shd w:val="clear" w:color="auto" w:fill="auto"/>
            <w:vAlign w:val="center"/>
            <w:hideMark/>
          </w:tcPr>
          <w:p w:rsidR="006A2ADA" w:rsidRPr="00D40D06" w:rsidRDefault="006A2ADA" w:rsidP="00D40D06">
            <w:pPr>
              <w:spacing w:after="0" w:line="240" w:lineRule="auto"/>
              <w:jc w:val="center"/>
              <w:rPr>
                <w:sz w:val="20"/>
                <w:szCs w:val="20"/>
              </w:rPr>
            </w:pPr>
            <w:r w:rsidRPr="00D40D06">
              <w:rPr>
                <w:sz w:val="20"/>
                <w:szCs w:val="20"/>
              </w:rPr>
              <w:t>9.2%</w:t>
            </w:r>
          </w:p>
        </w:tc>
      </w:tr>
      <w:tr w:rsidR="006A2ADA" w:rsidRPr="00140364" w:rsidTr="00D40D06">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*PPL</w:t>
            </w:r>
          </w:p>
        </w:tc>
        <w:tc>
          <w:tcPr>
            <w:tcW w:w="243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93,826</w:t>
            </w:r>
          </w:p>
        </w:tc>
        <w:tc>
          <w:tcPr>
            <w:tcW w:w="2160"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27.1%</w:t>
            </w:r>
          </w:p>
        </w:tc>
        <w:tc>
          <w:tcPr>
            <w:tcW w:w="2188" w:type="dxa"/>
            <w:tcBorders>
              <w:top w:val="nil"/>
              <w:left w:val="nil"/>
              <w:bottom w:val="single" w:sz="8" w:space="0" w:color="448A99"/>
              <w:right w:val="single" w:sz="8" w:space="0" w:color="448A99"/>
            </w:tcBorders>
            <w:shd w:val="clear" w:color="000000" w:fill="D2EAF1"/>
            <w:vAlign w:val="center"/>
            <w:hideMark/>
          </w:tcPr>
          <w:p w:rsidR="006A2ADA" w:rsidRPr="00D40D06" w:rsidRDefault="006A2ADA" w:rsidP="00D40D06">
            <w:pPr>
              <w:spacing w:after="0" w:line="240" w:lineRule="auto"/>
              <w:jc w:val="center"/>
              <w:rPr>
                <w:sz w:val="20"/>
                <w:szCs w:val="20"/>
              </w:rPr>
            </w:pPr>
            <w:r w:rsidRPr="00D40D06">
              <w:rPr>
                <w:sz w:val="20"/>
                <w:szCs w:val="20"/>
              </w:rPr>
              <w:t>5.9%</w:t>
            </w:r>
          </w:p>
        </w:tc>
      </w:tr>
      <w:tr w:rsidR="006A2ADA" w:rsidRPr="00140364" w:rsidTr="00D40D06">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rPr>
                <w:rFonts w:ascii="Calibri" w:eastAsia="Times New Roman" w:hAnsi="Calibri" w:cs="Times New Roman"/>
                <w:b/>
                <w:bCs/>
                <w:color w:val="000000"/>
                <w:sz w:val="20"/>
                <w:szCs w:val="20"/>
              </w:rPr>
            </w:pPr>
            <w:r w:rsidRPr="00D40D06">
              <w:rPr>
                <w:rFonts w:ascii="Calibri" w:eastAsia="Times New Roman" w:hAnsi="Calibri" w:cs="Times New Roman"/>
                <w:b/>
                <w:bCs/>
                <w:color w:val="000000"/>
                <w:sz w:val="20"/>
                <w:szCs w:val="20"/>
              </w:rPr>
              <w:t>Statewide</w:t>
            </w:r>
          </w:p>
        </w:tc>
        <w:tc>
          <w:tcPr>
            <w:tcW w:w="2430" w:type="dxa"/>
            <w:tcBorders>
              <w:top w:val="nil"/>
              <w:left w:val="nil"/>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jc w:val="center"/>
              <w:rPr>
                <w:b/>
                <w:sz w:val="20"/>
                <w:szCs w:val="20"/>
              </w:rPr>
            </w:pPr>
            <w:r w:rsidRPr="00D40D06">
              <w:rPr>
                <w:b/>
                <w:sz w:val="20"/>
                <w:szCs w:val="20"/>
              </w:rPr>
              <w:t>410,297</w:t>
            </w:r>
          </w:p>
        </w:tc>
        <w:tc>
          <w:tcPr>
            <w:tcW w:w="2160" w:type="dxa"/>
            <w:tcBorders>
              <w:top w:val="nil"/>
              <w:left w:val="nil"/>
              <w:bottom w:val="single" w:sz="8" w:space="0" w:color="4BACC6"/>
              <w:right w:val="single" w:sz="8" w:space="0" w:color="448A99"/>
            </w:tcBorders>
            <w:shd w:val="clear" w:color="auto" w:fill="auto"/>
            <w:vAlign w:val="center"/>
            <w:hideMark/>
          </w:tcPr>
          <w:p w:rsidR="006A2ADA" w:rsidRPr="00D40D06" w:rsidRDefault="006A2ADA" w:rsidP="00D40D06">
            <w:pPr>
              <w:spacing w:after="0" w:line="240" w:lineRule="auto"/>
              <w:jc w:val="center"/>
              <w:rPr>
                <w:b/>
                <w:sz w:val="20"/>
                <w:szCs w:val="20"/>
              </w:rPr>
            </w:pPr>
            <w:r w:rsidRPr="00D40D06">
              <w:rPr>
                <w:b/>
                <w:sz w:val="20"/>
                <w:szCs w:val="20"/>
              </w:rPr>
              <w:t>30.9%</w:t>
            </w:r>
          </w:p>
        </w:tc>
        <w:tc>
          <w:tcPr>
            <w:tcW w:w="2188" w:type="dxa"/>
            <w:tcBorders>
              <w:top w:val="nil"/>
              <w:left w:val="nil"/>
              <w:bottom w:val="single" w:sz="8" w:space="0" w:color="4BACC6"/>
              <w:right w:val="single" w:sz="8" w:space="0" w:color="4BACC6"/>
            </w:tcBorders>
            <w:shd w:val="clear" w:color="auto" w:fill="auto"/>
            <w:vAlign w:val="center"/>
            <w:hideMark/>
          </w:tcPr>
          <w:p w:rsidR="006A2ADA" w:rsidRPr="00D40D06" w:rsidRDefault="006A2ADA" w:rsidP="00D40D06">
            <w:pPr>
              <w:spacing w:after="0" w:line="240" w:lineRule="auto"/>
              <w:jc w:val="center"/>
              <w:rPr>
                <w:b/>
                <w:sz w:val="20"/>
                <w:szCs w:val="20"/>
              </w:rPr>
            </w:pPr>
            <w:r w:rsidRPr="00D40D06">
              <w:rPr>
                <w:b/>
                <w:sz w:val="20"/>
                <w:szCs w:val="20"/>
              </w:rPr>
              <w:t>6.7%</w:t>
            </w:r>
          </w:p>
        </w:tc>
      </w:tr>
    </w:tbl>
    <w:p w:rsidR="0074687C" w:rsidRPr="00FD5052" w:rsidRDefault="0074687C" w:rsidP="00B43061">
      <w:pPr>
        <w:spacing w:after="0" w:line="240" w:lineRule="auto"/>
      </w:pPr>
    </w:p>
    <w:p w:rsidR="00FD5052" w:rsidRDefault="00FD5052" w:rsidP="00B43061">
      <w:pPr>
        <w:spacing w:after="0" w:line="240" w:lineRule="auto"/>
        <w:jc w:val="both"/>
      </w:pPr>
      <w:r w:rsidRPr="00FD5052">
        <w:lastRenderedPageBreak/>
        <w:t>From 2016 through 2020, the statewide sum of first-year kWh program potential savings estimated to be attributable to low-income households is approximately 12.9% of the program potential portfolio.</w:t>
      </w:r>
      <w:r w:rsidR="00B90ECA">
        <w:t xml:space="preserve">  When applied to the 5-year portfolio program potential (6,</w:t>
      </w:r>
      <w:r w:rsidR="0047078B">
        <w:t>123,842 MWh) discussed in Table 6</w:t>
      </w:r>
      <w:r w:rsidR="00B90ECA">
        <w:t xml:space="preserve">, the SWE team estimates there to be </w:t>
      </w:r>
      <w:r w:rsidR="007A42F0">
        <w:t>788,335</w:t>
      </w:r>
      <w:r w:rsidR="00B90ECA">
        <w:t xml:space="preserve"> MWh of program potential for the low-income sector (again representing 12.9% of the estimated program potential for all sectors combined).</w:t>
      </w:r>
      <w:r w:rsidRPr="00FD5052">
        <w:t xml:space="preserve"> Low income potential includes savings stemming directly from low income-specific measures as well as additional savings attributed to low income participants in non-low income-specific programs. Low income-specific measures include those offerings where EDCs are expected to pay 100% of the measure cost to low income-qualified customers. Savings attributed to the low income sector from non-low income measures do not assume any additional incentives above and beyond the standard offering. The percent of savings attributed to the low income sector from non-low income measures was estimated at 15%, and was based on the average reported values in the EDCs’ most recent annual reports (PY5) to the Commission.</w:t>
      </w:r>
    </w:p>
    <w:p w:rsidR="00B43061" w:rsidRPr="00FD5052" w:rsidRDefault="00B43061" w:rsidP="00B43061">
      <w:pPr>
        <w:spacing w:after="0" w:line="240" w:lineRule="auto"/>
        <w:jc w:val="both"/>
      </w:pPr>
    </w:p>
    <w:p w:rsidR="00FD5052" w:rsidRDefault="00BD35F6" w:rsidP="00B43061">
      <w:pPr>
        <w:spacing w:after="0" w:line="240" w:lineRule="auto"/>
        <w:jc w:val="both"/>
      </w:pPr>
      <w:r>
        <w:t>Table 9</w:t>
      </w:r>
      <w:r w:rsidR="00FD5052" w:rsidRPr="00FD5052">
        <w:t xml:space="preserve"> provides the additional detail regarding the low income carve-outs </w:t>
      </w:r>
      <w:r>
        <w:t xml:space="preserve">by EDC </w:t>
      </w:r>
      <w:r w:rsidR="00FD5052" w:rsidRPr="00FD5052">
        <w:t>associated with the five-year program potential estimated in the EE MPS.</w:t>
      </w:r>
    </w:p>
    <w:p w:rsidR="00B43061" w:rsidRDefault="00B43061" w:rsidP="00B43061">
      <w:pPr>
        <w:spacing w:after="0" w:line="240" w:lineRule="auto"/>
        <w:jc w:val="both"/>
      </w:pPr>
    </w:p>
    <w:p w:rsidR="0074687C" w:rsidRPr="0074687C" w:rsidRDefault="0074687C" w:rsidP="005130C2">
      <w:pPr>
        <w:pStyle w:val="Caption"/>
        <w:keepNext/>
      </w:pPr>
      <w:r w:rsidRPr="0074687C">
        <w:t xml:space="preserve">Table </w:t>
      </w:r>
      <w:fldSimple w:instr=" SEQ Table \* ARABIC ">
        <w:r w:rsidRPr="0074687C">
          <w:rPr>
            <w:noProof/>
          </w:rPr>
          <w:t>9</w:t>
        </w:r>
      </w:fldSimple>
      <w:r w:rsidRPr="0074687C">
        <w:t xml:space="preserve">: Residential </w:t>
      </w:r>
      <w:r>
        <w:t>Low-</w:t>
      </w:r>
      <w:r w:rsidR="00BD35F6">
        <w:t>Income</w:t>
      </w:r>
      <w:r w:rsidR="00BD35F6" w:rsidRPr="0074687C">
        <w:t xml:space="preserve"> Sector</w:t>
      </w:r>
      <w:r w:rsidRPr="0074687C">
        <w:t xml:space="preserve"> 2016 to 2020 1</w:t>
      </w:r>
      <w:r w:rsidRPr="0074687C">
        <w:rPr>
          <w:vertAlign w:val="superscript"/>
        </w:rPr>
        <w:t>st</w:t>
      </w:r>
      <w:r w:rsidRPr="0074687C">
        <w:t xml:space="preserve"> Year </w:t>
      </w:r>
      <w:r w:rsidR="00BD35F6">
        <w:t xml:space="preserve">Program Potential </w:t>
      </w:r>
      <w:r w:rsidRPr="0074687C">
        <w:t>Savings by EDC</w:t>
      </w:r>
    </w:p>
    <w:tbl>
      <w:tblPr>
        <w:tblW w:w="9002" w:type="dxa"/>
        <w:jc w:val="center"/>
        <w:tblLook w:val="04A0" w:firstRow="1" w:lastRow="0" w:firstColumn="1" w:lastColumn="0" w:noHBand="0" w:noVBand="1"/>
      </w:tblPr>
      <w:tblGrid>
        <w:gridCol w:w="2287"/>
        <w:gridCol w:w="2430"/>
        <w:gridCol w:w="2070"/>
        <w:gridCol w:w="2215"/>
      </w:tblGrid>
      <w:tr w:rsidR="0074687C" w:rsidRPr="00140364" w:rsidTr="00B43061">
        <w:trPr>
          <w:trHeight w:val="144"/>
          <w:tblHeader/>
          <w:jc w:val="center"/>
        </w:trPr>
        <w:tc>
          <w:tcPr>
            <w:tcW w:w="2287"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5130C2">
            <w:pPr>
              <w:spacing w:after="0" w:line="240" w:lineRule="auto"/>
              <w:jc w:val="center"/>
              <w:rPr>
                <w:rFonts w:ascii="Calibri" w:eastAsia="Times New Roman" w:hAnsi="Calibri" w:cs="Times New Roman"/>
                <w:b/>
                <w:bCs/>
                <w:color w:val="FFFFFF"/>
                <w:sz w:val="20"/>
                <w:szCs w:val="20"/>
              </w:rPr>
            </w:pPr>
            <w:r w:rsidRPr="00140364">
              <w:rPr>
                <w:rFonts w:ascii="Calibri" w:eastAsia="Times New Roman" w:hAnsi="Calibri" w:cs="Times New Roman"/>
                <w:b/>
                <w:bCs/>
                <w:color w:val="FFFFFF" w:themeColor="background1"/>
                <w:sz w:val="20"/>
                <w:szCs w:val="20"/>
              </w:rPr>
              <w:t>EDC</w:t>
            </w:r>
          </w:p>
        </w:tc>
        <w:tc>
          <w:tcPr>
            <w:tcW w:w="243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5130C2">
            <w:pPr>
              <w:spacing w:after="0" w:line="240" w:lineRule="auto"/>
              <w:jc w:val="center"/>
              <w:rPr>
                <w:rFonts w:ascii="Calibri" w:eastAsia="Times New Roman" w:hAnsi="Calibri" w:cs="Times New Roman"/>
                <w:b/>
                <w:bCs/>
                <w:color w:val="FFFFFF"/>
                <w:sz w:val="20"/>
                <w:szCs w:val="20"/>
              </w:rPr>
            </w:pPr>
            <w:r>
              <w:rPr>
                <w:b/>
                <w:bCs/>
                <w:color w:val="FFFFFF"/>
                <w:sz w:val="20"/>
                <w:szCs w:val="20"/>
              </w:rPr>
              <w:t xml:space="preserve">2016-2020 </w:t>
            </w:r>
            <w:r w:rsidR="00B93962">
              <w:rPr>
                <w:b/>
                <w:bCs/>
                <w:color w:val="FFFFFF"/>
                <w:sz w:val="20"/>
                <w:szCs w:val="20"/>
              </w:rPr>
              <w:t>Incremental Annual</w:t>
            </w:r>
            <w:r>
              <w:rPr>
                <w:b/>
                <w:bCs/>
                <w:color w:val="FFFFFF"/>
                <w:sz w:val="20"/>
                <w:szCs w:val="20"/>
              </w:rPr>
              <w:t xml:space="preserve"> Program Potential Savings (MWh)</w:t>
            </w:r>
            <w:r w:rsidR="0074104E">
              <w:rPr>
                <w:rStyle w:val="FootnoteReference"/>
                <w:b/>
                <w:bCs/>
                <w:color w:val="FFFFFF"/>
                <w:sz w:val="20"/>
                <w:szCs w:val="20"/>
              </w:rPr>
              <w:footnoteReference w:id="8"/>
            </w:r>
          </w:p>
        </w:tc>
        <w:tc>
          <w:tcPr>
            <w:tcW w:w="207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5130C2">
            <w:pPr>
              <w:spacing w:after="0" w:line="240" w:lineRule="auto"/>
              <w:jc w:val="center"/>
              <w:rPr>
                <w:rFonts w:ascii="Calibri" w:eastAsia="Times New Roman" w:hAnsi="Calibri" w:cs="Times New Roman"/>
                <w:b/>
                <w:bCs/>
                <w:color w:val="FFFFFF"/>
                <w:sz w:val="20"/>
                <w:szCs w:val="20"/>
              </w:rPr>
            </w:pPr>
            <w:r>
              <w:rPr>
                <w:b/>
                <w:bCs/>
                <w:color w:val="FFFFFF"/>
                <w:sz w:val="20"/>
                <w:szCs w:val="20"/>
              </w:rPr>
              <w:t>% of Residential Savings</w:t>
            </w:r>
          </w:p>
        </w:tc>
        <w:tc>
          <w:tcPr>
            <w:tcW w:w="2215"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74687C" w:rsidRPr="00140364" w:rsidRDefault="0074687C" w:rsidP="005130C2">
            <w:pPr>
              <w:spacing w:after="0" w:line="240" w:lineRule="auto"/>
              <w:jc w:val="center"/>
              <w:rPr>
                <w:rFonts w:ascii="Calibri" w:eastAsia="Times New Roman" w:hAnsi="Calibri" w:cs="Times New Roman"/>
                <w:b/>
                <w:bCs/>
                <w:color w:val="FFFFFF"/>
                <w:sz w:val="20"/>
                <w:szCs w:val="20"/>
              </w:rPr>
            </w:pPr>
            <w:r>
              <w:rPr>
                <w:b/>
                <w:bCs/>
                <w:color w:val="FFFFFF"/>
                <w:sz w:val="20"/>
                <w:szCs w:val="20"/>
              </w:rPr>
              <w:t>% of Total Portfolio Savings</w:t>
            </w:r>
          </w:p>
        </w:tc>
      </w:tr>
      <w:tr w:rsidR="0074687C" w:rsidRPr="00140364" w:rsidTr="00B43061">
        <w:trPr>
          <w:trHeight w:val="144"/>
          <w:jc w:val="center"/>
        </w:trPr>
        <w:tc>
          <w:tcPr>
            <w:tcW w:w="9002" w:type="dxa"/>
            <w:gridSpan w:val="4"/>
            <w:tcBorders>
              <w:top w:val="single" w:sz="8" w:space="0" w:color="448A99"/>
              <w:left w:val="single" w:sz="8" w:space="0" w:color="4BACC6"/>
              <w:bottom w:val="single" w:sz="8" w:space="0" w:color="4BACC6"/>
              <w:right w:val="single" w:sz="8" w:space="0" w:color="4BACC6"/>
            </w:tcBorders>
            <w:shd w:val="clear" w:color="000000" w:fill="9C9393"/>
            <w:vAlign w:val="center"/>
            <w:hideMark/>
          </w:tcPr>
          <w:p w:rsidR="0074687C" w:rsidRPr="00140364" w:rsidRDefault="007A42F0" w:rsidP="005130C2">
            <w:pPr>
              <w:spacing w:after="0" w:line="240" w:lineRule="auto"/>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2016-2020 – 90% EE</w:t>
            </w:r>
            <w:r w:rsidR="0074687C" w:rsidRPr="00140364">
              <w:rPr>
                <w:rFonts w:ascii="Calibri" w:eastAsia="Times New Roman" w:hAnsi="Calibri" w:cs="Times New Roman"/>
                <w:b/>
                <w:bCs/>
                <w:color w:val="FFFFFF"/>
                <w:sz w:val="20"/>
                <w:szCs w:val="20"/>
              </w:rPr>
              <w:t xml:space="preserve"> Spending Except Where Noted by Asterisk</w:t>
            </w:r>
          </w:p>
        </w:tc>
      </w:tr>
      <w:tr w:rsidR="007A42F0" w:rsidRPr="00140364" w:rsidTr="00D40D06">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Duquesne</w:t>
            </w:r>
          </w:p>
        </w:tc>
        <w:tc>
          <w:tcPr>
            <w:tcW w:w="2430"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58,165</w:t>
            </w:r>
          </w:p>
        </w:tc>
        <w:tc>
          <w:tcPr>
            <w:tcW w:w="2070" w:type="dxa"/>
            <w:tcBorders>
              <w:top w:val="nil"/>
              <w:left w:val="nil"/>
              <w:bottom w:val="single" w:sz="8" w:space="0" w:color="448A99"/>
              <w:right w:val="single" w:sz="8" w:space="0" w:color="448A99"/>
            </w:tcBorders>
            <w:shd w:val="clear" w:color="000000" w:fill="D2EAF1"/>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21.0%</w:t>
            </w:r>
          </w:p>
        </w:tc>
        <w:tc>
          <w:tcPr>
            <w:tcW w:w="2215"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12.4%</w:t>
            </w:r>
          </w:p>
        </w:tc>
      </w:tr>
      <w:tr w:rsidR="007A42F0" w:rsidRPr="00140364" w:rsidTr="00D40D06">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r w:rsidRPr="00140364">
              <w:rPr>
                <w:rFonts w:ascii="Calibri" w:eastAsia="Times New Roman" w:hAnsi="Calibri" w:cs="Times New Roman"/>
                <w:b/>
                <w:bCs/>
                <w:color w:val="000000"/>
                <w:sz w:val="20"/>
                <w:szCs w:val="20"/>
              </w:rPr>
              <w:t>FE: Met-Ed</w:t>
            </w:r>
          </w:p>
        </w:tc>
        <w:tc>
          <w:tcPr>
            <w:tcW w:w="2430" w:type="dxa"/>
            <w:tcBorders>
              <w:top w:val="nil"/>
              <w:left w:val="nil"/>
              <w:bottom w:val="single" w:sz="8" w:space="0" w:color="448A99"/>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75,284</w:t>
            </w:r>
          </w:p>
        </w:tc>
        <w:tc>
          <w:tcPr>
            <w:tcW w:w="2070" w:type="dxa"/>
            <w:tcBorders>
              <w:top w:val="nil"/>
              <w:left w:val="nil"/>
              <w:bottom w:val="single" w:sz="8" w:space="0" w:color="4BACC6"/>
              <w:right w:val="single" w:sz="8" w:space="0" w:color="448A99"/>
            </w:tcBorders>
            <w:shd w:val="clear" w:color="auto" w:fill="auto"/>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17.5%</w:t>
            </w:r>
          </w:p>
        </w:tc>
        <w:tc>
          <w:tcPr>
            <w:tcW w:w="2215" w:type="dxa"/>
            <w:tcBorders>
              <w:top w:val="nil"/>
              <w:left w:val="nil"/>
              <w:bottom w:val="single" w:sz="8" w:space="0" w:color="448A99"/>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12.0%</w:t>
            </w:r>
          </w:p>
        </w:tc>
      </w:tr>
      <w:tr w:rsidR="007A42F0" w:rsidRPr="00140364" w:rsidTr="00D40D06">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r w:rsidRPr="00140364">
              <w:rPr>
                <w:rFonts w:ascii="Calibri" w:eastAsia="Times New Roman" w:hAnsi="Calibri" w:cs="Times New Roman"/>
                <w:b/>
                <w:bCs/>
                <w:color w:val="000000"/>
                <w:sz w:val="20"/>
                <w:szCs w:val="20"/>
              </w:rPr>
              <w:t>FE: Penelec</w:t>
            </w:r>
          </w:p>
        </w:tc>
        <w:tc>
          <w:tcPr>
            <w:tcW w:w="2430"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82,622</w:t>
            </w:r>
          </w:p>
        </w:tc>
        <w:tc>
          <w:tcPr>
            <w:tcW w:w="2070" w:type="dxa"/>
            <w:tcBorders>
              <w:top w:val="nil"/>
              <w:left w:val="nil"/>
              <w:bottom w:val="single" w:sz="8" w:space="0" w:color="448A99"/>
              <w:right w:val="single" w:sz="8" w:space="0" w:color="448A99"/>
            </w:tcBorders>
            <w:shd w:val="clear" w:color="000000" w:fill="D2EAF1"/>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22.2%</w:t>
            </w:r>
          </w:p>
        </w:tc>
        <w:tc>
          <w:tcPr>
            <w:tcW w:w="2215"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13.8%</w:t>
            </w:r>
          </w:p>
        </w:tc>
      </w:tr>
      <w:tr w:rsidR="007A42F0" w:rsidRPr="00140364" w:rsidTr="00D40D06">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FE: Penn Power</w:t>
            </w:r>
          </w:p>
        </w:tc>
        <w:tc>
          <w:tcPr>
            <w:tcW w:w="2430" w:type="dxa"/>
            <w:tcBorders>
              <w:top w:val="nil"/>
              <w:left w:val="nil"/>
              <w:bottom w:val="single" w:sz="8" w:space="0" w:color="448A99"/>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24,592</w:t>
            </w:r>
          </w:p>
        </w:tc>
        <w:tc>
          <w:tcPr>
            <w:tcW w:w="2070" w:type="dxa"/>
            <w:tcBorders>
              <w:top w:val="nil"/>
              <w:left w:val="nil"/>
              <w:bottom w:val="single" w:sz="8" w:space="0" w:color="4BACC6"/>
              <w:right w:val="single" w:sz="8" w:space="0" w:color="448A99"/>
            </w:tcBorders>
            <w:shd w:val="clear" w:color="auto" w:fill="auto"/>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21.8%</w:t>
            </w:r>
          </w:p>
        </w:tc>
        <w:tc>
          <w:tcPr>
            <w:tcW w:w="2215" w:type="dxa"/>
            <w:tcBorders>
              <w:top w:val="nil"/>
              <w:left w:val="nil"/>
              <w:bottom w:val="single" w:sz="8" w:space="0" w:color="448A99"/>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14.4%</w:t>
            </w:r>
          </w:p>
        </w:tc>
      </w:tr>
      <w:tr w:rsidR="007A42F0" w:rsidRPr="00140364" w:rsidTr="00D40D06">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FE: WPP</w:t>
            </w:r>
          </w:p>
        </w:tc>
        <w:tc>
          <w:tcPr>
            <w:tcW w:w="2430"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86,454</w:t>
            </w:r>
          </w:p>
        </w:tc>
        <w:tc>
          <w:tcPr>
            <w:tcW w:w="2070" w:type="dxa"/>
            <w:tcBorders>
              <w:top w:val="nil"/>
              <w:left w:val="nil"/>
              <w:bottom w:val="single" w:sz="8" w:space="0" w:color="448A99"/>
              <w:right w:val="single" w:sz="8" w:space="0" w:color="448A99"/>
            </w:tcBorders>
            <w:shd w:val="clear" w:color="000000" w:fill="D2EAF1"/>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21.1%</w:t>
            </w:r>
          </w:p>
        </w:tc>
        <w:tc>
          <w:tcPr>
            <w:tcW w:w="2215"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14.8%</w:t>
            </w:r>
          </w:p>
        </w:tc>
      </w:tr>
      <w:tr w:rsidR="007A42F0" w:rsidRPr="00140364" w:rsidTr="00D40D06">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PECO</w:t>
            </w:r>
          </w:p>
        </w:tc>
        <w:tc>
          <w:tcPr>
            <w:tcW w:w="2430" w:type="dxa"/>
            <w:tcBorders>
              <w:top w:val="nil"/>
              <w:left w:val="nil"/>
              <w:bottom w:val="single" w:sz="8" w:space="0" w:color="448A99"/>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251,890</w:t>
            </w:r>
          </w:p>
        </w:tc>
        <w:tc>
          <w:tcPr>
            <w:tcW w:w="2070" w:type="dxa"/>
            <w:tcBorders>
              <w:top w:val="nil"/>
              <w:left w:val="nil"/>
              <w:bottom w:val="single" w:sz="8" w:space="0" w:color="4BACC6"/>
              <w:right w:val="single" w:sz="8" w:space="0" w:color="448A99"/>
            </w:tcBorders>
            <w:shd w:val="clear" w:color="auto" w:fill="auto"/>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19.9%</w:t>
            </w:r>
          </w:p>
        </w:tc>
        <w:tc>
          <w:tcPr>
            <w:tcW w:w="2215" w:type="dxa"/>
            <w:tcBorders>
              <w:top w:val="nil"/>
              <w:left w:val="nil"/>
              <w:bottom w:val="single" w:sz="8" w:space="0" w:color="448A99"/>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12.1%</w:t>
            </w:r>
          </w:p>
        </w:tc>
      </w:tr>
      <w:tr w:rsidR="007A42F0" w:rsidRPr="00140364" w:rsidTr="00D40D06">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r w:rsidRPr="00140364">
              <w:rPr>
                <w:rFonts w:ascii="Calibri" w:eastAsia="Times New Roman" w:hAnsi="Calibri" w:cs="Times New Roman"/>
                <w:b/>
                <w:bCs/>
                <w:color w:val="000000"/>
                <w:sz w:val="20"/>
                <w:szCs w:val="20"/>
              </w:rPr>
              <w:t>PPL</w:t>
            </w:r>
          </w:p>
        </w:tc>
        <w:tc>
          <w:tcPr>
            <w:tcW w:w="2430"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209,328</w:t>
            </w:r>
          </w:p>
        </w:tc>
        <w:tc>
          <w:tcPr>
            <w:tcW w:w="2070" w:type="dxa"/>
            <w:tcBorders>
              <w:top w:val="nil"/>
              <w:left w:val="nil"/>
              <w:bottom w:val="single" w:sz="8" w:space="0" w:color="448A99"/>
              <w:right w:val="single" w:sz="8" w:space="0" w:color="448A99"/>
            </w:tcBorders>
            <w:shd w:val="clear" w:color="000000" w:fill="D2EAF1"/>
            <w:vAlign w:val="center"/>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20.0%</w:t>
            </w:r>
          </w:p>
        </w:tc>
        <w:tc>
          <w:tcPr>
            <w:tcW w:w="2215" w:type="dxa"/>
            <w:tcBorders>
              <w:top w:val="nil"/>
              <w:left w:val="nil"/>
              <w:bottom w:val="single" w:sz="8" w:space="0" w:color="448A99"/>
              <w:right w:val="single" w:sz="8" w:space="0" w:color="448A99"/>
            </w:tcBorders>
            <w:shd w:val="clear" w:color="000000" w:fill="D2EAF1"/>
            <w:vAlign w:val="center"/>
            <w:hideMark/>
          </w:tcPr>
          <w:p w:rsidR="007A42F0" w:rsidRPr="00D40D06" w:rsidRDefault="007A42F0" w:rsidP="005130C2">
            <w:pPr>
              <w:spacing w:after="0" w:line="240" w:lineRule="auto"/>
              <w:jc w:val="center"/>
              <w:rPr>
                <w:rFonts w:ascii="Calibri" w:hAnsi="Calibri" w:cs="Calibri"/>
                <w:color w:val="000000"/>
                <w:sz w:val="20"/>
                <w:szCs w:val="20"/>
              </w:rPr>
            </w:pPr>
            <w:r w:rsidRPr="00D40D06">
              <w:rPr>
                <w:rFonts w:ascii="Calibri" w:hAnsi="Calibri" w:cs="Calibri"/>
                <w:color w:val="000000"/>
                <w:sz w:val="20"/>
                <w:szCs w:val="20"/>
              </w:rPr>
              <w:t>13.2%</w:t>
            </w:r>
          </w:p>
        </w:tc>
      </w:tr>
      <w:tr w:rsidR="007A42F0" w:rsidRPr="00140364" w:rsidTr="00D40D06">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7A42F0" w:rsidRPr="00140364" w:rsidRDefault="007A42F0" w:rsidP="005130C2">
            <w:pPr>
              <w:spacing w:after="0" w:line="240" w:lineRule="auto"/>
              <w:rPr>
                <w:rFonts w:ascii="Calibri" w:eastAsia="Times New Roman" w:hAnsi="Calibri" w:cs="Times New Roman"/>
                <w:b/>
                <w:bCs/>
                <w:color w:val="000000"/>
                <w:sz w:val="20"/>
                <w:szCs w:val="20"/>
              </w:rPr>
            </w:pPr>
            <w:r w:rsidRPr="00140364">
              <w:rPr>
                <w:rFonts w:ascii="Calibri" w:eastAsia="Times New Roman" w:hAnsi="Calibri" w:cs="Times New Roman"/>
                <w:b/>
                <w:bCs/>
                <w:color w:val="000000"/>
                <w:sz w:val="20"/>
                <w:szCs w:val="20"/>
              </w:rPr>
              <w:t>Statewide</w:t>
            </w:r>
          </w:p>
        </w:tc>
        <w:tc>
          <w:tcPr>
            <w:tcW w:w="2430" w:type="dxa"/>
            <w:tcBorders>
              <w:top w:val="nil"/>
              <w:left w:val="nil"/>
              <w:bottom w:val="single" w:sz="8" w:space="0" w:color="4BACC6"/>
              <w:right w:val="single" w:sz="8" w:space="0" w:color="448A99"/>
            </w:tcBorders>
            <w:shd w:val="clear" w:color="auto" w:fill="auto"/>
            <w:vAlign w:val="center"/>
            <w:hideMark/>
          </w:tcPr>
          <w:p w:rsidR="007A42F0" w:rsidRPr="00D40D06" w:rsidRDefault="007A42F0" w:rsidP="005130C2">
            <w:pPr>
              <w:spacing w:after="0" w:line="240" w:lineRule="auto"/>
              <w:jc w:val="center"/>
              <w:rPr>
                <w:rFonts w:ascii="Calibri" w:hAnsi="Calibri" w:cs="Calibri"/>
                <w:b/>
                <w:color w:val="000000"/>
                <w:sz w:val="20"/>
                <w:szCs w:val="20"/>
              </w:rPr>
            </w:pPr>
            <w:r w:rsidRPr="00D40D06">
              <w:rPr>
                <w:rFonts w:ascii="Calibri" w:hAnsi="Calibri" w:cs="Calibri"/>
                <w:b/>
                <w:color w:val="000000"/>
                <w:sz w:val="20"/>
                <w:szCs w:val="20"/>
              </w:rPr>
              <w:t>788,335</w:t>
            </w:r>
          </w:p>
        </w:tc>
        <w:tc>
          <w:tcPr>
            <w:tcW w:w="2070" w:type="dxa"/>
            <w:tcBorders>
              <w:top w:val="nil"/>
              <w:left w:val="nil"/>
              <w:bottom w:val="single" w:sz="8" w:space="0" w:color="4BACC6"/>
              <w:right w:val="single" w:sz="8" w:space="0" w:color="448A99"/>
            </w:tcBorders>
            <w:shd w:val="clear" w:color="auto" w:fill="auto"/>
            <w:vAlign w:val="center"/>
          </w:tcPr>
          <w:p w:rsidR="007A42F0" w:rsidRPr="00D40D06" w:rsidRDefault="007A42F0" w:rsidP="005130C2">
            <w:pPr>
              <w:spacing w:after="0" w:line="240" w:lineRule="auto"/>
              <w:jc w:val="center"/>
              <w:rPr>
                <w:rFonts w:ascii="Calibri" w:hAnsi="Calibri" w:cs="Calibri"/>
                <w:b/>
                <w:color w:val="000000"/>
                <w:sz w:val="20"/>
                <w:szCs w:val="20"/>
              </w:rPr>
            </w:pPr>
            <w:r w:rsidRPr="00D40D06">
              <w:rPr>
                <w:rFonts w:ascii="Calibri" w:hAnsi="Calibri" w:cs="Calibri"/>
                <w:b/>
                <w:color w:val="000000"/>
                <w:sz w:val="20"/>
                <w:szCs w:val="20"/>
              </w:rPr>
              <w:t>20.1%</w:t>
            </w:r>
          </w:p>
        </w:tc>
        <w:tc>
          <w:tcPr>
            <w:tcW w:w="2215" w:type="dxa"/>
            <w:tcBorders>
              <w:top w:val="nil"/>
              <w:left w:val="nil"/>
              <w:bottom w:val="single" w:sz="8" w:space="0" w:color="4BACC6"/>
              <w:right w:val="single" w:sz="8" w:space="0" w:color="4BACC6"/>
            </w:tcBorders>
            <w:shd w:val="clear" w:color="auto" w:fill="auto"/>
            <w:vAlign w:val="center"/>
            <w:hideMark/>
          </w:tcPr>
          <w:p w:rsidR="007A42F0" w:rsidRPr="00D40D06" w:rsidRDefault="007A42F0" w:rsidP="005130C2">
            <w:pPr>
              <w:spacing w:after="0" w:line="240" w:lineRule="auto"/>
              <w:jc w:val="center"/>
              <w:rPr>
                <w:rFonts w:ascii="Calibri" w:hAnsi="Calibri" w:cs="Calibri"/>
                <w:b/>
                <w:color w:val="000000"/>
                <w:sz w:val="20"/>
                <w:szCs w:val="20"/>
              </w:rPr>
            </w:pPr>
            <w:r w:rsidRPr="00D40D06">
              <w:rPr>
                <w:rFonts w:ascii="Calibri" w:hAnsi="Calibri" w:cs="Calibri"/>
                <w:b/>
                <w:color w:val="000000"/>
                <w:sz w:val="20"/>
                <w:szCs w:val="20"/>
              </w:rPr>
              <w:t>12.9%</w:t>
            </w:r>
          </w:p>
        </w:tc>
      </w:tr>
    </w:tbl>
    <w:p w:rsidR="00140364" w:rsidRPr="00A30AA6" w:rsidRDefault="00140364" w:rsidP="00A30AA6">
      <w:pPr>
        <w:rPr>
          <w:rFonts w:ascii="Arial" w:hAnsi="Arial" w:cs="Arial"/>
          <w:sz w:val="20"/>
          <w:szCs w:val="20"/>
        </w:rPr>
      </w:pPr>
    </w:p>
    <w:sectPr w:rsidR="00140364" w:rsidRPr="00A30AA6" w:rsidSect="00B30C89">
      <w:headerReference w:type="default" r:id="rId18"/>
      <w:footerReference w:type="default" r:id="rId19"/>
      <w:pgSz w:w="12240" w:h="15840"/>
      <w:pgMar w:top="1170" w:right="1440" w:bottom="1440" w:left="1440" w:header="54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9E" w:rsidRDefault="00042D9E" w:rsidP="005B627E">
      <w:pPr>
        <w:spacing w:after="0" w:line="240" w:lineRule="auto"/>
      </w:pPr>
      <w:r>
        <w:separator/>
      </w:r>
    </w:p>
  </w:endnote>
  <w:endnote w:type="continuationSeparator" w:id="0">
    <w:p w:rsidR="00042D9E" w:rsidRDefault="00042D9E" w:rsidP="005B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77" w:rsidRPr="00B43061" w:rsidRDefault="001D0B77" w:rsidP="00B43061">
    <w:pPr>
      <w:pStyle w:val="Footer"/>
      <w:pBdr>
        <w:top w:val="single" w:sz="4" w:space="1" w:color="auto"/>
      </w:pBdr>
      <w:rPr>
        <w:rFonts w:ascii="Century Gothic" w:hAnsi="Century Gothic"/>
        <w:b/>
        <w:sz w:val="16"/>
      </w:rPr>
    </w:pPr>
    <w:r w:rsidRPr="00B43061">
      <w:rPr>
        <w:rFonts w:ascii="Century Gothic" w:hAnsi="Century Gothic"/>
        <w:b/>
        <w:smallCaps/>
        <w:spacing w:val="30"/>
        <w:sz w:val="16"/>
      </w:rPr>
      <w:t>Statewide Evaluation Team</w:t>
    </w:r>
    <w:r>
      <w:rPr>
        <w:rFonts w:ascii="Century Gothic" w:hAnsi="Century Gothic"/>
        <w:sz w:val="16"/>
      </w:rPr>
      <w:tab/>
    </w:r>
    <w:r>
      <w:rPr>
        <w:rFonts w:ascii="Century Gothic" w:hAnsi="Century Gothic"/>
        <w:sz w:val="16"/>
      </w:rPr>
      <w:tab/>
    </w:r>
    <w:r w:rsidRPr="00403D74">
      <w:rPr>
        <w:rFonts w:ascii="Century Gothic" w:hAnsi="Century Gothic"/>
        <w:sz w:val="16"/>
      </w:rPr>
      <w:t xml:space="preserve">Page | </w:t>
    </w:r>
    <w:r w:rsidRPr="00360EF8">
      <w:rPr>
        <w:rFonts w:ascii="Century Gothic" w:hAnsi="Century Gothic"/>
        <w:b/>
        <w:color w:val="448A99"/>
        <w:sz w:val="16"/>
      </w:rPr>
      <w:fldChar w:fldCharType="begin"/>
    </w:r>
    <w:r w:rsidRPr="00360EF8">
      <w:rPr>
        <w:rFonts w:ascii="Century Gothic" w:hAnsi="Century Gothic"/>
        <w:b/>
        <w:color w:val="448A99"/>
        <w:sz w:val="16"/>
      </w:rPr>
      <w:instrText xml:space="preserve"> PAGE   \* MERGEFORMAT </w:instrText>
    </w:r>
    <w:r w:rsidRPr="00360EF8">
      <w:rPr>
        <w:rFonts w:ascii="Century Gothic" w:hAnsi="Century Gothic"/>
        <w:b/>
        <w:color w:val="448A99"/>
        <w:sz w:val="16"/>
      </w:rPr>
      <w:fldChar w:fldCharType="separate"/>
    </w:r>
    <w:r w:rsidR="00510E80">
      <w:rPr>
        <w:rFonts w:ascii="Century Gothic" w:hAnsi="Century Gothic"/>
        <w:b/>
        <w:noProof/>
        <w:color w:val="448A99"/>
        <w:sz w:val="16"/>
      </w:rPr>
      <w:t>7</w:t>
    </w:r>
    <w:r w:rsidRPr="00360EF8">
      <w:rPr>
        <w:rFonts w:ascii="Century Gothic" w:hAnsi="Century Gothic"/>
        <w:b/>
        <w:noProof/>
        <w:color w:val="448A9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9E" w:rsidRDefault="00042D9E" w:rsidP="005B627E">
      <w:pPr>
        <w:spacing w:after="0" w:line="240" w:lineRule="auto"/>
      </w:pPr>
      <w:r>
        <w:separator/>
      </w:r>
    </w:p>
  </w:footnote>
  <w:footnote w:type="continuationSeparator" w:id="0">
    <w:p w:rsidR="00042D9E" w:rsidRDefault="00042D9E" w:rsidP="005B627E">
      <w:pPr>
        <w:spacing w:after="0" w:line="240" w:lineRule="auto"/>
      </w:pPr>
      <w:r>
        <w:continuationSeparator/>
      </w:r>
    </w:p>
  </w:footnote>
  <w:footnote w:type="continuationNotice" w:id="1">
    <w:p w:rsidR="00042D9E" w:rsidRDefault="00042D9E">
      <w:pPr>
        <w:spacing w:after="0" w:line="240" w:lineRule="auto"/>
      </w:pPr>
    </w:p>
  </w:footnote>
  <w:footnote w:id="2">
    <w:p w:rsidR="001D0B77" w:rsidRDefault="001D0B77">
      <w:pPr>
        <w:pStyle w:val="FootnoteText"/>
      </w:pPr>
      <w:r>
        <w:rPr>
          <w:rStyle w:val="FootnoteReference"/>
        </w:rPr>
        <w:footnoteRef/>
      </w:r>
      <w:r>
        <w:t xml:space="preserve"> </w:t>
      </w:r>
      <w:r w:rsidRPr="00776CAA">
        <w:rPr>
          <w:rFonts w:cs="Arial"/>
        </w:rPr>
        <w:t>Phase III program potential reflects the 5-year sum of incremental annual savings from June 1, 2016 through May 31, 2021.</w:t>
      </w:r>
    </w:p>
  </w:footnote>
  <w:footnote w:id="3">
    <w:p w:rsidR="001D0B77" w:rsidRDefault="001D0B77" w:rsidP="002249C7">
      <w:pPr>
        <w:pStyle w:val="FootnoteText"/>
        <w:jc w:val="both"/>
      </w:pPr>
      <w:r>
        <w:rPr>
          <w:rStyle w:val="FootnoteReference"/>
        </w:rPr>
        <w:footnoteRef/>
      </w:r>
      <w:r>
        <w:t xml:space="preserve"> </w:t>
      </w:r>
      <w:proofErr w:type="spellStart"/>
      <w:r>
        <w:t>Penelec’s</w:t>
      </w:r>
      <w:proofErr w:type="spellEnd"/>
      <w:r>
        <w:t xml:space="preserve"> energy efficiency budget </w:t>
      </w:r>
      <w:proofErr w:type="gramStart"/>
      <w:r>
        <w:t>is not reduced</w:t>
      </w:r>
      <w:proofErr w:type="gramEnd"/>
      <w:r>
        <w:t xml:space="preserve"> between </w:t>
      </w:r>
      <w:r>
        <w:fldChar w:fldCharType="begin"/>
      </w:r>
      <w:r>
        <w:instrText xml:space="preserve"> REF _Ref411511825 \h  \* MERGEFORMAT </w:instrText>
      </w:r>
      <w:r>
        <w:fldChar w:fldCharType="separate"/>
      </w:r>
      <w:r w:rsidRPr="00A47B1A">
        <w:t xml:space="preserve">Table </w:t>
      </w:r>
      <w:r>
        <w:rPr>
          <w:noProof/>
        </w:rPr>
        <w:t>2</w:t>
      </w:r>
      <w:r>
        <w:fldChar w:fldCharType="end"/>
      </w:r>
      <w:r>
        <w:t xml:space="preserve"> and </w:t>
      </w:r>
      <w:r>
        <w:fldChar w:fldCharType="begin"/>
      </w:r>
      <w:r>
        <w:instrText xml:space="preserve"> REF _Ref411521976 \h  \* MERGEFORMAT </w:instrText>
      </w:r>
      <w:r>
        <w:fldChar w:fldCharType="separate"/>
      </w:r>
      <w:r w:rsidRPr="00A30AA6">
        <w:t xml:space="preserve">Table </w:t>
      </w:r>
      <w:r w:rsidRPr="00A30AA6">
        <w:rPr>
          <w:noProof/>
        </w:rPr>
        <w:t>6</w:t>
      </w:r>
      <w:r>
        <w:fldChar w:fldCharType="end"/>
      </w:r>
      <w:r>
        <w:t xml:space="preserve"> because 100% of the budget is allocated to EE.</w:t>
      </w:r>
    </w:p>
  </w:footnote>
  <w:footnote w:id="4">
    <w:p w:rsidR="001D0B77" w:rsidRDefault="001D0B77" w:rsidP="002249C7">
      <w:pPr>
        <w:pStyle w:val="FootnoteText"/>
        <w:jc w:val="both"/>
      </w:pPr>
      <w:r>
        <w:rPr>
          <w:rStyle w:val="FootnoteReference"/>
        </w:rPr>
        <w:footnoteRef/>
      </w:r>
      <w:r>
        <w:t xml:space="preserve"> </w:t>
      </w:r>
      <w:r w:rsidRPr="00776CAA">
        <w:rPr>
          <w:rFonts w:cs="Arial"/>
        </w:rPr>
        <w:t>Phase III program potential reflects the 5-year sum of incremental annual savings from June 1, 2016 through May 31, 2021.</w:t>
      </w:r>
    </w:p>
  </w:footnote>
  <w:footnote w:id="5">
    <w:p w:rsidR="001D0B77" w:rsidRDefault="001D0B77" w:rsidP="002249C7">
      <w:pPr>
        <w:pStyle w:val="FootnoteText"/>
        <w:jc w:val="both"/>
      </w:pPr>
      <w:r>
        <w:rPr>
          <w:rStyle w:val="FootnoteReference"/>
        </w:rPr>
        <w:footnoteRef/>
      </w:r>
      <w:r>
        <w:t xml:space="preserve"> While the SWE was able to identify government and institutional buildings in the EDCs customer databases, no reliable data was available to identify nonprofit customers since nonprofits cut across multiple building types.  Therefore, the SWE team used education and healthcare buildings as a proxy for nonprofit customers since many of these buildings types are occupied by nonprofits.</w:t>
      </w:r>
    </w:p>
  </w:footnote>
  <w:footnote w:id="6">
    <w:p w:rsidR="001D0B77" w:rsidRDefault="001D0B77" w:rsidP="002249C7">
      <w:pPr>
        <w:pStyle w:val="FootnoteText"/>
        <w:jc w:val="both"/>
      </w:pPr>
      <w:r>
        <w:rPr>
          <w:rStyle w:val="FootnoteReference"/>
        </w:rPr>
        <w:footnoteRef/>
      </w:r>
      <w:r>
        <w:t xml:space="preserve"> The sum of first-year base achievable energy savings from 2016 to 2020 for the portfolio is 8,782,160 MWh.  See Table 1.</w:t>
      </w:r>
    </w:p>
  </w:footnote>
  <w:footnote w:id="7">
    <w:p w:rsidR="001D0B77" w:rsidRDefault="001D0B77" w:rsidP="002249C7">
      <w:pPr>
        <w:pStyle w:val="FootnoteText"/>
        <w:jc w:val="both"/>
      </w:pPr>
      <w:r>
        <w:rPr>
          <w:rStyle w:val="FootnoteReference"/>
        </w:rPr>
        <w:footnoteRef/>
      </w:r>
      <w:r>
        <w:t xml:space="preserve"> </w:t>
      </w:r>
      <w:r w:rsidRPr="00776CAA">
        <w:rPr>
          <w:rFonts w:cs="Arial"/>
        </w:rPr>
        <w:t>Phase III program potential reflects the 5-year sum of incremental annual savings from June 1, 2016 through May 31, 2021.</w:t>
      </w:r>
    </w:p>
  </w:footnote>
  <w:footnote w:id="8">
    <w:p w:rsidR="001D0B77" w:rsidRDefault="001D0B77">
      <w:pPr>
        <w:pStyle w:val="FootnoteText"/>
      </w:pPr>
      <w:r>
        <w:rPr>
          <w:rStyle w:val="FootnoteReference"/>
        </w:rPr>
        <w:footnoteRef/>
      </w:r>
      <w:r>
        <w:t xml:space="preserve"> </w:t>
      </w:r>
      <w:r w:rsidRPr="00776CAA">
        <w:rPr>
          <w:rFonts w:cs="Arial"/>
        </w:rPr>
        <w:t>Phase III program potential reflects the 5-year sum of incremental annual savings from June 1, 2016 through May 31,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77" w:rsidRDefault="001D0B77" w:rsidP="005B627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77" w:rsidRPr="00977947" w:rsidRDefault="001D0B77" w:rsidP="006D2744">
    <w:pPr>
      <w:pStyle w:val="Header"/>
      <w:pBdr>
        <w:bottom w:val="single" w:sz="4" w:space="1" w:color="auto"/>
      </w:pBdr>
      <w:rPr>
        <w:rFonts w:ascii="Century Gothic" w:hAnsi="Century Gothic"/>
        <w:sz w:val="16"/>
      </w:rPr>
    </w:pPr>
    <w:r>
      <w:rPr>
        <w:rFonts w:ascii="Century Gothic" w:hAnsi="Century Gothic"/>
        <w:b/>
        <w:smallCaps/>
        <w:sz w:val="18"/>
      </w:rPr>
      <w:t>Application of Market Potential Study Results to Phase III Goals</w:t>
    </w:r>
    <w:r>
      <w:rPr>
        <w:rFonts w:ascii="Century Gothic" w:hAnsi="Century Gothic"/>
        <w:sz w:val="16"/>
      </w:rPr>
      <w:tab/>
      <w:t>February 23,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8AD"/>
    <w:multiLevelType w:val="hybridMultilevel"/>
    <w:tmpl w:val="BF6C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E64"/>
    <w:multiLevelType w:val="hybridMultilevel"/>
    <w:tmpl w:val="E59E9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67C9E"/>
    <w:multiLevelType w:val="hybridMultilevel"/>
    <w:tmpl w:val="B2446432"/>
    <w:lvl w:ilvl="0" w:tplc="E570BAE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62BCB"/>
    <w:multiLevelType w:val="hybridMultilevel"/>
    <w:tmpl w:val="0C28CE10"/>
    <w:lvl w:ilvl="0" w:tplc="12B069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A0FAB"/>
    <w:multiLevelType w:val="hybridMultilevel"/>
    <w:tmpl w:val="A2065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A0581"/>
    <w:multiLevelType w:val="hybridMultilevel"/>
    <w:tmpl w:val="97E8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67FF7"/>
    <w:multiLevelType w:val="multilevel"/>
    <w:tmpl w:val="F1A00968"/>
    <w:lvl w:ilvl="0">
      <w:start w:val="1"/>
      <w:numFmt w:val="decimal"/>
      <w:pStyle w:val="Heading1"/>
      <w:suff w:val="space"/>
      <w:lvlText w:val="%1"/>
      <w:lvlJc w:val="left"/>
      <w:pPr>
        <w:ind w:left="0" w:firstLine="0"/>
      </w:pPr>
      <w:rPr>
        <w:rFonts w:ascii="Britannic Bold" w:hAnsi="Britannic Bold" w:hint="default"/>
        <w:sz w:val="48"/>
        <w:szCs w:val="4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3C6F2DDB"/>
    <w:multiLevelType w:val="hybridMultilevel"/>
    <w:tmpl w:val="76980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40EC7"/>
    <w:multiLevelType w:val="hybridMultilevel"/>
    <w:tmpl w:val="1DA47762"/>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D2E1486"/>
    <w:multiLevelType w:val="hybridMultilevel"/>
    <w:tmpl w:val="C668005C"/>
    <w:lvl w:ilvl="0" w:tplc="37DC6D6E">
      <w:start w:val="1"/>
      <w:numFmt w:val="bullet"/>
      <w:lvlText w:val=""/>
      <w:lvlJc w:val="left"/>
      <w:pPr>
        <w:ind w:left="720" w:hanging="360"/>
      </w:pPr>
      <w:rPr>
        <w:rFonts w:ascii="Wingdings" w:hAnsi="Wingdings" w:hint="default"/>
        <w:color w:val="448A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108B3"/>
    <w:multiLevelType w:val="hybridMultilevel"/>
    <w:tmpl w:val="6C0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001393"/>
    <w:multiLevelType w:val="hybridMultilevel"/>
    <w:tmpl w:val="5DD6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0"/>
  </w:num>
  <w:num w:numId="5">
    <w:abstractNumId w:val="1"/>
  </w:num>
  <w:num w:numId="6">
    <w:abstractNumId w:val="11"/>
  </w:num>
  <w:num w:numId="7">
    <w:abstractNumId w:val="7"/>
  </w:num>
  <w:num w:numId="8">
    <w:abstractNumId w:val="8"/>
  </w:num>
  <w:num w:numId="9">
    <w:abstractNumId w:val="2"/>
  </w:num>
  <w:num w:numId="10">
    <w:abstractNumId w:val="3"/>
  </w:num>
  <w:num w:numId="11">
    <w:abstractNumId w:val="5"/>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ck Spellman">
    <w15:presenceInfo w15:providerId="None" w15:userId="Dick Spel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7E"/>
    <w:rsid w:val="00001E6B"/>
    <w:rsid w:val="00007CB9"/>
    <w:rsid w:val="00023578"/>
    <w:rsid w:val="00042D9E"/>
    <w:rsid w:val="0004319F"/>
    <w:rsid w:val="00044FEC"/>
    <w:rsid w:val="0005546A"/>
    <w:rsid w:val="000604FB"/>
    <w:rsid w:val="00060B7C"/>
    <w:rsid w:val="00072E57"/>
    <w:rsid w:val="00076C98"/>
    <w:rsid w:val="00095398"/>
    <w:rsid w:val="000956D3"/>
    <w:rsid w:val="000A729B"/>
    <w:rsid w:val="000B5CFE"/>
    <w:rsid w:val="000B7FA5"/>
    <w:rsid w:val="000C040E"/>
    <w:rsid w:val="000C19C6"/>
    <w:rsid w:val="000C7F2F"/>
    <w:rsid w:val="000D20E1"/>
    <w:rsid w:val="000D54DA"/>
    <w:rsid w:val="000D653E"/>
    <w:rsid w:val="000F3015"/>
    <w:rsid w:val="000F4F92"/>
    <w:rsid w:val="0010734B"/>
    <w:rsid w:val="0011626A"/>
    <w:rsid w:val="00122137"/>
    <w:rsid w:val="00122AC9"/>
    <w:rsid w:val="00122C95"/>
    <w:rsid w:val="00133AAB"/>
    <w:rsid w:val="00133F65"/>
    <w:rsid w:val="00135F4A"/>
    <w:rsid w:val="00140364"/>
    <w:rsid w:val="00140F1B"/>
    <w:rsid w:val="001417BB"/>
    <w:rsid w:val="0014410F"/>
    <w:rsid w:val="001509E8"/>
    <w:rsid w:val="00162091"/>
    <w:rsid w:val="00164608"/>
    <w:rsid w:val="0016535E"/>
    <w:rsid w:val="00170A7B"/>
    <w:rsid w:val="00172C0E"/>
    <w:rsid w:val="00175817"/>
    <w:rsid w:val="0018641D"/>
    <w:rsid w:val="00196F2A"/>
    <w:rsid w:val="001A2C6A"/>
    <w:rsid w:val="001C16BE"/>
    <w:rsid w:val="001C2BC1"/>
    <w:rsid w:val="001C30F3"/>
    <w:rsid w:val="001D0B77"/>
    <w:rsid w:val="001D0D74"/>
    <w:rsid w:val="001D74D5"/>
    <w:rsid w:val="001E09DF"/>
    <w:rsid w:val="001E4EC7"/>
    <w:rsid w:val="001F4E23"/>
    <w:rsid w:val="001F7C52"/>
    <w:rsid w:val="00204EAB"/>
    <w:rsid w:val="00206163"/>
    <w:rsid w:val="00216DEE"/>
    <w:rsid w:val="002249C7"/>
    <w:rsid w:val="00243935"/>
    <w:rsid w:val="002445D7"/>
    <w:rsid w:val="00266385"/>
    <w:rsid w:val="00267EF5"/>
    <w:rsid w:val="00273B82"/>
    <w:rsid w:val="002824A2"/>
    <w:rsid w:val="0028303B"/>
    <w:rsid w:val="0028581D"/>
    <w:rsid w:val="00290699"/>
    <w:rsid w:val="002947D5"/>
    <w:rsid w:val="002A4BA7"/>
    <w:rsid w:val="002B06F6"/>
    <w:rsid w:val="002B4DC0"/>
    <w:rsid w:val="002B628D"/>
    <w:rsid w:val="002C5325"/>
    <w:rsid w:val="002C613F"/>
    <w:rsid w:val="002F0E62"/>
    <w:rsid w:val="003063C8"/>
    <w:rsid w:val="00307A68"/>
    <w:rsid w:val="003153CB"/>
    <w:rsid w:val="0031782A"/>
    <w:rsid w:val="00330D2D"/>
    <w:rsid w:val="00346C61"/>
    <w:rsid w:val="00350DA6"/>
    <w:rsid w:val="00350F1C"/>
    <w:rsid w:val="0035393B"/>
    <w:rsid w:val="00360205"/>
    <w:rsid w:val="003B0C43"/>
    <w:rsid w:val="003B16E9"/>
    <w:rsid w:val="003B1883"/>
    <w:rsid w:val="003B3C3B"/>
    <w:rsid w:val="003B6F1F"/>
    <w:rsid w:val="003C4EB2"/>
    <w:rsid w:val="003D1303"/>
    <w:rsid w:val="003D20B9"/>
    <w:rsid w:val="003E3B86"/>
    <w:rsid w:val="003E3CC8"/>
    <w:rsid w:val="003F7F8E"/>
    <w:rsid w:val="00400E63"/>
    <w:rsid w:val="0042022A"/>
    <w:rsid w:val="0042058B"/>
    <w:rsid w:val="00420F16"/>
    <w:rsid w:val="00433C66"/>
    <w:rsid w:val="004449F3"/>
    <w:rsid w:val="00450968"/>
    <w:rsid w:val="004516A8"/>
    <w:rsid w:val="00452D05"/>
    <w:rsid w:val="0046105E"/>
    <w:rsid w:val="004645B2"/>
    <w:rsid w:val="004676CE"/>
    <w:rsid w:val="0047078B"/>
    <w:rsid w:val="00475D1F"/>
    <w:rsid w:val="004830C7"/>
    <w:rsid w:val="0048326D"/>
    <w:rsid w:val="00484A84"/>
    <w:rsid w:val="00490B17"/>
    <w:rsid w:val="004A319A"/>
    <w:rsid w:val="004B7A3F"/>
    <w:rsid w:val="004C0325"/>
    <w:rsid w:val="004C61EE"/>
    <w:rsid w:val="004E216F"/>
    <w:rsid w:val="00506AC3"/>
    <w:rsid w:val="00510E80"/>
    <w:rsid w:val="005114F4"/>
    <w:rsid w:val="005130C2"/>
    <w:rsid w:val="00515A9F"/>
    <w:rsid w:val="005223DC"/>
    <w:rsid w:val="00534832"/>
    <w:rsid w:val="00536B11"/>
    <w:rsid w:val="00562ED8"/>
    <w:rsid w:val="00570A0F"/>
    <w:rsid w:val="005820C9"/>
    <w:rsid w:val="005870FD"/>
    <w:rsid w:val="005907E0"/>
    <w:rsid w:val="00596497"/>
    <w:rsid w:val="0059690B"/>
    <w:rsid w:val="005B17E4"/>
    <w:rsid w:val="005B492F"/>
    <w:rsid w:val="005B627E"/>
    <w:rsid w:val="005B6531"/>
    <w:rsid w:val="005C0DDF"/>
    <w:rsid w:val="005D15DB"/>
    <w:rsid w:val="005D71A7"/>
    <w:rsid w:val="00606375"/>
    <w:rsid w:val="00607919"/>
    <w:rsid w:val="00612EA3"/>
    <w:rsid w:val="00616ED5"/>
    <w:rsid w:val="006317FA"/>
    <w:rsid w:val="00636196"/>
    <w:rsid w:val="006436CE"/>
    <w:rsid w:val="006472DB"/>
    <w:rsid w:val="00654875"/>
    <w:rsid w:val="00654D86"/>
    <w:rsid w:val="00657F29"/>
    <w:rsid w:val="0066094B"/>
    <w:rsid w:val="006665CB"/>
    <w:rsid w:val="00666859"/>
    <w:rsid w:val="00672351"/>
    <w:rsid w:val="00673140"/>
    <w:rsid w:val="006777AA"/>
    <w:rsid w:val="00690B7F"/>
    <w:rsid w:val="00692E5F"/>
    <w:rsid w:val="00693B8B"/>
    <w:rsid w:val="00697C92"/>
    <w:rsid w:val="006A2ADA"/>
    <w:rsid w:val="006A57CE"/>
    <w:rsid w:val="006B48E7"/>
    <w:rsid w:val="006C1B08"/>
    <w:rsid w:val="006C25C4"/>
    <w:rsid w:val="006C632F"/>
    <w:rsid w:val="006C72DB"/>
    <w:rsid w:val="006D2744"/>
    <w:rsid w:val="006D4C85"/>
    <w:rsid w:val="006D5501"/>
    <w:rsid w:val="006D6B40"/>
    <w:rsid w:val="006D713A"/>
    <w:rsid w:val="006E0E53"/>
    <w:rsid w:val="006E581C"/>
    <w:rsid w:val="006E7658"/>
    <w:rsid w:val="00704F2E"/>
    <w:rsid w:val="00710697"/>
    <w:rsid w:val="007152DD"/>
    <w:rsid w:val="00716640"/>
    <w:rsid w:val="0074104E"/>
    <w:rsid w:val="0074687C"/>
    <w:rsid w:val="007510D3"/>
    <w:rsid w:val="0075346A"/>
    <w:rsid w:val="00776CAA"/>
    <w:rsid w:val="00780D3D"/>
    <w:rsid w:val="00781485"/>
    <w:rsid w:val="00785C49"/>
    <w:rsid w:val="00785FA5"/>
    <w:rsid w:val="007936A4"/>
    <w:rsid w:val="007A0007"/>
    <w:rsid w:val="007A42F0"/>
    <w:rsid w:val="007A4F02"/>
    <w:rsid w:val="007A6285"/>
    <w:rsid w:val="007C2538"/>
    <w:rsid w:val="007D7159"/>
    <w:rsid w:val="007F0CF7"/>
    <w:rsid w:val="007F1234"/>
    <w:rsid w:val="007F7A24"/>
    <w:rsid w:val="008003FB"/>
    <w:rsid w:val="0080182B"/>
    <w:rsid w:val="00804734"/>
    <w:rsid w:val="00805ACF"/>
    <w:rsid w:val="008117AE"/>
    <w:rsid w:val="00816DA1"/>
    <w:rsid w:val="008178AF"/>
    <w:rsid w:val="00817AA8"/>
    <w:rsid w:val="008342CB"/>
    <w:rsid w:val="00844164"/>
    <w:rsid w:val="008533AC"/>
    <w:rsid w:val="00854D64"/>
    <w:rsid w:val="0086281E"/>
    <w:rsid w:val="00877C2E"/>
    <w:rsid w:val="008845CE"/>
    <w:rsid w:val="008864B5"/>
    <w:rsid w:val="00886D0C"/>
    <w:rsid w:val="00892B17"/>
    <w:rsid w:val="00895D88"/>
    <w:rsid w:val="00896B11"/>
    <w:rsid w:val="008978C0"/>
    <w:rsid w:val="008A0FCB"/>
    <w:rsid w:val="008A5A61"/>
    <w:rsid w:val="008B7939"/>
    <w:rsid w:val="008C0D65"/>
    <w:rsid w:val="008C24C7"/>
    <w:rsid w:val="008C7CFF"/>
    <w:rsid w:val="008D5ECF"/>
    <w:rsid w:val="008E4C09"/>
    <w:rsid w:val="008F6493"/>
    <w:rsid w:val="0091046B"/>
    <w:rsid w:val="0092002B"/>
    <w:rsid w:val="009251A2"/>
    <w:rsid w:val="00934A55"/>
    <w:rsid w:val="00944DE3"/>
    <w:rsid w:val="00945194"/>
    <w:rsid w:val="00962E99"/>
    <w:rsid w:val="00971CBE"/>
    <w:rsid w:val="00981FC1"/>
    <w:rsid w:val="0099199C"/>
    <w:rsid w:val="009A5CE6"/>
    <w:rsid w:val="009B28C3"/>
    <w:rsid w:val="009B4B5A"/>
    <w:rsid w:val="009F6734"/>
    <w:rsid w:val="00A054A6"/>
    <w:rsid w:val="00A05D5C"/>
    <w:rsid w:val="00A1404B"/>
    <w:rsid w:val="00A15262"/>
    <w:rsid w:val="00A23412"/>
    <w:rsid w:val="00A24C48"/>
    <w:rsid w:val="00A30AA6"/>
    <w:rsid w:val="00A358A8"/>
    <w:rsid w:val="00A45330"/>
    <w:rsid w:val="00A47B1A"/>
    <w:rsid w:val="00A52317"/>
    <w:rsid w:val="00A615BD"/>
    <w:rsid w:val="00A75564"/>
    <w:rsid w:val="00A843FB"/>
    <w:rsid w:val="00A9320A"/>
    <w:rsid w:val="00A96BF0"/>
    <w:rsid w:val="00AA0DFF"/>
    <w:rsid w:val="00AA2597"/>
    <w:rsid w:val="00AB0A9E"/>
    <w:rsid w:val="00AB4E40"/>
    <w:rsid w:val="00AC482F"/>
    <w:rsid w:val="00AC48CC"/>
    <w:rsid w:val="00AD3285"/>
    <w:rsid w:val="00AD49B9"/>
    <w:rsid w:val="00AE048D"/>
    <w:rsid w:val="00AE0C8E"/>
    <w:rsid w:val="00AF25D6"/>
    <w:rsid w:val="00B012B2"/>
    <w:rsid w:val="00B02935"/>
    <w:rsid w:val="00B02A26"/>
    <w:rsid w:val="00B23C26"/>
    <w:rsid w:val="00B23C2B"/>
    <w:rsid w:val="00B30C89"/>
    <w:rsid w:val="00B3422A"/>
    <w:rsid w:val="00B36539"/>
    <w:rsid w:val="00B36DCB"/>
    <w:rsid w:val="00B43061"/>
    <w:rsid w:val="00B4551E"/>
    <w:rsid w:val="00B533C7"/>
    <w:rsid w:val="00B53667"/>
    <w:rsid w:val="00B66761"/>
    <w:rsid w:val="00B75338"/>
    <w:rsid w:val="00B7678E"/>
    <w:rsid w:val="00B90ECA"/>
    <w:rsid w:val="00B93962"/>
    <w:rsid w:val="00B93D48"/>
    <w:rsid w:val="00BA0AF0"/>
    <w:rsid w:val="00BA2B87"/>
    <w:rsid w:val="00BB122D"/>
    <w:rsid w:val="00BD024E"/>
    <w:rsid w:val="00BD2CBD"/>
    <w:rsid w:val="00BD35F6"/>
    <w:rsid w:val="00BE40CB"/>
    <w:rsid w:val="00BE63B4"/>
    <w:rsid w:val="00BF3231"/>
    <w:rsid w:val="00BF4D2F"/>
    <w:rsid w:val="00C108D8"/>
    <w:rsid w:val="00C17639"/>
    <w:rsid w:val="00C22598"/>
    <w:rsid w:val="00C23B98"/>
    <w:rsid w:val="00C25580"/>
    <w:rsid w:val="00C265D8"/>
    <w:rsid w:val="00C26D2B"/>
    <w:rsid w:val="00C307F9"/>
    <w:rsid w:val="00C42686"/>
    <w:rsid w:val="00C4383A"/>
    <w:rsid w:val="00C53214"/>
    <w:rsid w:val="00C5384C"/>
    <w:rsid w:val="00C53AC5"/>
    <w:rsid w:val="00C560CC"/>
    <w:rsid w:val="00C77EB1"/>
    <w:rsid w:val="00C82AFE"/>
    <w:rsid w:val="00CA4957"/>
    <w:rsid w:val="00CA5BB1"/>
    <w:rsid w:val="00CA781D"/>
    <w:rsid w:val="00CB08DA"/>
    <w:rsid w:val="00CC065E"/>
    <w:rsid w:val="00CC7F01"/>
    <w:rsid w:val="00CD00F1"/>
    <w:rsid w:val="00CD1BA0"/>
    <w:rsid w:val="00CD5EFA"/>
    <w:rsid w:val="00CD769D"/>
    <w:rsid w:val="00D00121"/>
    <w:rsid w:val="00D02E00"/>
    <w:rsid w:val="00D20C6A"/>
    <w:rsid w:val="00D2244E"/>
    <w:rsid w:val="00D2313C"/>
    <w:rsid w:val="00D36776"/>
    <w:rsid w:val="00D40D06"/>
    <w:rsid w:val="00D47C76"/>
    <w:rsid w:val="00D47F53"/>
    <w:rsid w:val="00D50B56"/>
    <w:rsid w:val="00D5163C"/>
    <w:rsid w:val="00D516D6"/>
    <w:rsid w:val="00D55890"/>
    <w:rsid w:val="00D624C4"/>
    <w:rsid w:val="00D64973"/>
    <w:rsid w:val="00D81410"/>
    <w:rsid w:val="00DA04BA"/>
    <w:rsid w:val="00DB1B8B"/>
    <w:rsid w:val="00DC4E76"/>
    <w:rsid w:val="00DD159A"/>
    <w:rsid w:val="00DD249E"/>
    <w:rsid w:val="00DD4DDE"/>
    <w:rsid w:val="00E04D60"/>
    <w:rsid w:val="00E204E8"/>
    <w:rsid w:val="00E349E6"/>
    <w:rsid w:val="00E45620"/>
    <w:rsid w:val="00E46075"/>
    <w:rsid w:val="00E6082A"/>
    <w:rsid w:val="00E670A9"/>
    <w:rsid w:val="00E677F8"/>
    <w:rsid w:val="00E73398"/>
    <w:rsid w:val="00E95994"/>
    <w:rsid w:val="00E963C1"/>
    <w:rsid w:val="00EA5561"/>
    <w:rsid w:val="00EB2197"/>
    <w:rsid w:val="00ED13B7"/>
    <w:rsid w:val="00ED31D5"/>
    <w:rsid w:val="00ED5D57"/>
    <w:rsid w:val="00F11210"/>
    <w:rsid w:val="00F33CEC"/>
    <w:rsid w:val="00F40397"/>
    <w:rsid w:val="00F41D8C"/>
    <w:rsid w:val="00F41FE3"/>
    <w:rsid w:val="00F43463"/>
    <w:rsid w:val="00F611DB"/>
    <w:rsid w:val="00F6308E"/>
    <w:rsid w:val="00F642A6"/>
    <w:rsid w:val="00F70C43"/>
    <w:rsid w:val="00F7194A"/>
    <w:rsid w:val="00F73375"/>
    <w:rsid w:val="00F75AE3"/>
    <w:rsid w:val="00F832F9"/>
    <w:rsid w:val="00FA7A28"/>
    <w:rsid w:val="00FC42CF"/>
    <w:rsid w:val="00FC6E21"/>
    <w:rsid w:val="00FD0A66"/>
    <w:rsid w:val="00FD2413"/>
    <w:rsid w:val="00FD304C"/>
    <w:rsid w:val="00FD5052"/>
    <w:rsid w:val="00FD5999"/>
    <w:rsid w:val="00FE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7152DD"/>
    <w:pPr>
      <w:numPr>
        <w:numId w:val="2"/>
      </w:numPr>
      <w:shd w:val="clear" w:color="auto" w:fill="448A99"/>
      <w:spacing w:after="120" w:line="240" w:lineRule="auto"/>
      <w:outlineLvl w:val="0"/>
    </w:pPr>
    <w:rPr>
      <w:rFonts w:ascii="Century Gothic" w:hAnsi="Century Gothic" w:cs="Calibri"/>
      <w:b/>
      <w:smallCaps/>
      <w:color w:val="FFFFFF" w:themeColor="background1"/>
      <w:sz w:val="32"/>
      <w:szCs w:val="3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27E"/>
  </w:style>
  <w:style w:type="paragraph" w:styleId="Footer">
    <w:name w:val="footer"/>
    <w:basedOn w:val="Normal"/>
    <w:link w:val="FooterChar"/>
    <w:uiPriority w:val="99"/>
    <w:unhideWhenUsed/>
    <w:rsid w:val="005B6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27E"/>
  </w:style>
  <w:style w:type="paragraph" w:styleId="BalloonText">
    <w:name w:val="Balloon Text"/>
    <w:basedOn w:val="Normal"/>
    <w:link w:val="BalloonTextChar"/>
    <w:uiPriority w:val="99"/>
    <w:semiHidden/>
    <w:unhideWhenUsed/>
    <w:rsid w:val="005B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7E"/>
    <w:rPr>
      <w:rFonts w:ascii="Tahoma" w:hAnsi="Tahoma" w:cs="Tahoma"/>
      <w:sz w:val="16"/>
      <w:szCs w:val="16"/>
    </w:rPr>
  </w:style>
  <w:style w:type="paragraph" w:customStyle="1" w:styleId="CompanyName">
    <w:name w:val="Company Name"/>
    <w:basedOn w:val="Normal"/>
    <w:uiPriority w:val="99"/>
    <w:rsid w:val="005B627E"/>
    <w:pPr>
      <w:keepLines/>
      <w:shd w:val="solid" w:color="auto" w:fill="auto"/>
      <w:spacing w:after="0" w:line="320" w:lineRule="exact"/>
    </w:pPr>
    <w:rPr>
      <w:rFonts w:ascii="Arial Black" w:eastAsia="Times New Roman" w:hAnsi="Arial Black" w:cs="Times New Roman"/>
      <w:color w:val="FFFFFF"/>
      <w:spacing w:val="-15"/>
      <w:sz w:val="32"/>
      <w:szCs w:val="20"/>
    </w:rPr>
  </w:style>
  <w:style w:type="paragraph" w:customStyle="1" w:styleId="DocumentLabel">
    <w:name w:val="Document Label"/>
    <w:basedOn w:val="Normal"/>
    <w:next w:val="Normal"/>
    <w:uiPriority w:val="99"/>
    <w:rsid w:val="005B627E"/>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uiPriority w:val="99"/>
    <w:semiHidden/>
    <w:rsid w:val="005B627E"/>
    <w:pPr>
      <w:keepLines/>
      <w:spacing w:line="180" w:lineRule="atLeast"/>
      <w:ind w:left="1555"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uiPriority w:val="99"/>
    <w:semiHidden/>
    <w:rsid w:val="005B627E"/>
    <w:rPr>
      <w:rFonts w:ascii="Arial" w:eastAsia="Times New Roman" w:hAnsi="Arial" w:cs="Times New Roman"/>
      <w:spacing w:val="-5"/>
      <w:sz w:val="20"/>
      <w:szCs w:val="20"/>
    </w:rPr>
  </w:style>
  <w:style w:type="character" w:customStyle="1" w:styleId="MessageHeaderLabel">
    <w:name w:val="Message Header Label"/>
    <w:rsid w:val="005B627E"/>
    <w:rPr>
      <w:rFonts w:ascii="Arial Black" w:hAnsi="Arial Black"/>
      <w:spacing w:val="-10"/>
      <w:sz w:val="18"/>
    </w:rPr>
  </w:style>
  <w:style w:type="paragraph" w:styleId="BodyText">
    <w:name w:val="Body Text"/>
    <w:basedOn w:val="Normal"/>
    <w:link w:val="BodyTextChar"/>
    <w:uiPriority w:val="99"/>
    <w:rsid w:val="005B627E"/>
    <w:pPr>
      <w:spacing w:after="120" w:line="240" w:lineRule="auto"/>
    </w:pPr>
    <w:rPr>
      <w:rFonts w:ascii="Calibri" w:eastAsia="Calibri" w:hAnsi="Calibri" w:cs="Times New Roman"/>
    </w:rPr>
  </w:style>
  <w:style w:type="character" w:customStyle="1" w:styleId="BodyTextChar">
    <w:name w:val="Body Text Char"/>
    <w:basedOn w:val="DefaultParagraphFont"/>
    <w:link w:val="BodyText"/>
    <w:uiPriority w:val="99"/>
    <w:rsid w:val="005B627E"/>
    <w:rPr>
      <w:rFonts w:ascii="Calibri" w:eastAsia="Calibri" w:hAnsi="Calibri" w:cs="Times New Roman"/>
    </w:rPr>
  </w:style>
  <w:style w:type="paragraph" w:styleId="ListParagraph">
    <w:name w:val="List Paragraph"/>
    <w:basedOn w:val="Normal"/>
    <w:uiPriority w:val="34"/>
    <w:qFormat/>
    <w:rsid w:val="00A24C48"/>
    <w:pPr>
      <w:ind w:left="720"/>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6D4C85"/>
    <w:pPr>
      <w:spacing w:after="0"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D4C85"/>
    <w:rPr>
      <w:sz w:val="20"/>
      <w:szCs w:val="20"/>
    </w:rPr>
  </w:style>
  <w:style w:type="character" w:styleId="FootnoteReference">
    <w:name w:val="footnote reference"/>
    <w:aliases w:val="o,fr"/>
    <w:basedOn w:val="DefaultParagraphFont"/>
    <w:uiPriority w:val="99"/>
    <w:unhideWhenUsed/>
    <w:qFormat/>
    <w:rsid w:val="006D4C85"/>
    <w:rPr>
      <w:vertAlign w:val="superscript"/>
    </w:rPr>
  </w:style>
  <w:style w:type="character" w:styleId="CommentReference">
    <w:name w:val="annotation reference"/>
    <w:basedOn w:val="DefaultParagraphFont"/>
    <w:uiPriority w:val="99"/>
    <w:semiHidden/>
    <w:unhideWhenUsed/>
    <w:rsid w:val="00FD304C"/>
    <w:rPr>
      <w:sz w:val="16"/>
      <w:szCs w:val="16"/>
    </w:rPr>
  </w:style>
  <w:style w:type="paragraph" w:styleId="CommentText">
    <w:name w:val="annotation text"/>
    <w:basedOn w:val="Normal"/>
    <w:link w:val="CommentTextChar"/>
    <w:uiPriority w:val="99"/>
    <w:semiHidden/>
    <w:unhideWhenUsed/>
    <w:rsid w:val="00FD304C"/>
    <w:pPr>
      <w:spacing w:line="240" w:lineRule="auto"/>
    </w:pPr>
    <w:rPr>
      <w:sz w:val="20"/>
      <w:szCs w:val="20"/>
    </w:rPr>
  </w:style>
  <w:style w:type="character" w:customStyle="1" w:styleId="CommentTextChar">
    <w:name w:val="Comment Text Char"/>
    <w:basedOn w:val="DefaultParagraphFont"/>
    <w:link w:val="CommentText"/>
    <w:uiPriority w:val="99"/>
    <w:semiHidden/>
    <w:rsid w:val="00FD304C"/>
    <w:rPr>
      <w:sz w:val="20"/>
      <w:szCs w:val="20"/>
    </w:rPr>
  </w:style>
  <w:style w:type="paragraph" w:styleId="CommentSubject">
    <w:name w:val="annotation subject"/>
    <w:basedOn w:val="CommentText"/>
    <w:next w:val="CommentText"/>
    <w:link w:val="CommentSubjectChar"/>
    <w:uiPriority w:val="99"/>
    <w:semiHidden/>
    <w:unhideWhenUsed/>
    <w:rsid w:val="00FD304C"/>
    <w:rPr>
      <w:b/>
      <w:bCs/>
    </w:rPr>
  </w:style>
  <w:style w:type="character" w:customStyle="1" w:styleId="CommentSubjectChar">
    <w:name w:val="Comment Subject Char"/>
    <w:basedOn w:val="CommentTextChar"/>
    <w:link w:val="CommentSubject"/>
    <w:uiPriority w:val="99"/>
    <w:semiHidden/>
    <w:rsid w:val="00FD304C"/>
    <w:rPr>
      <w:b/>
      <w:bCs/>
      <w:sz w:val="20"/>
      <w:szCs w:val="20"/>
    </w:rPr>
  </w:style>
  <w:style w:type="table" w:styleId="TableGrid">
    <w:name w:val="Table Grid"/>
    <w:basedOn w:val="TableNormal"/>
    <w:uiPriority w:val="59"/>
    <w:rsid w:val="0002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
    <w:basedOn w:val="Normal"/>
    <w:next w:val="Normal"/>
    <w:link w:val="CaptionChar"/>
    <w:unhideWhenUsed/>
    <w:qFormat/>
    <w:rsid w:val="00B43061"/>
    <w:pPr>
      <w:spacing w:after="120" w:line="240" w:lineRule="auto"/>
      <w:jc w:val="center"/>
    </w:pPr>
    <w:rPr>
      <w:rFonts w:ascii="Century Gothic" w:hAnsi="Century Gothic"/>
      <w:b/>
      <w:bCs/>
      <w:sz w:val="18"/>
      <w:szCs w:val="18"/>
    </w:rPr>
  </w:style>
  <w:style w:type="character" w:styleId="PlaceholderText">
    <w:name w:val="Placeholder Text"/>
    <w:basedOn w:val="DefaultParagraphFont"/>
    <w:uiPriority w:val="99"/>
    <w:semiHidden/>
    <w:rsid w:val="00A054A6"/>
    <w:rPr>
      <w:color w:val="808080"/>
    </w:rPr>
  </w:style>
  <w:style w:type="paragraph" w:styleId="Revision">
    <w:name w:val="Revision"/>
    <w:hidden/>
    <w:uiPriority w:val="99"/>
    <w:semiHidden/>
    <w:rsid w:val="003E3B86"/>
    <w:pPr>
      <w:spacing w:after="0" w:line="240" w:lineRule="auto"/>
    </w:pPr>
  </w:style>
  <w:style w:type="character" w:styleId="Hyperlink">
    <w:name w:val="Hyperlink"/>
    <w:basedOn w:val="DefaultParagraphFont"/>
    <w:uiPriority w:val="99"/>
    <w:unhideWhenUsed/>
    <w:rsid w:val="00654875"/>
    <w:rPr>
      <w:color w:val="0000FF"/>
      <w:u w:val="single"/>
    </w:rPr>
  </w:style>
  <w:style w:type="character" w:customStyle="1" w:styleId="CaptionChar">
    <w:name w:val="Caption Char"/>
    <w:aliases w:val="Table Caption Char"/>
    <w:basedOn w:val="DefaultParagraphFont"/>
    <w:link w:val="Caption"/>
    <w:locked/>
    <w:rsid w:val="00B43061"/>
    <w:rPr>
      <w:rFonts w:ascii="Century Gothic" w:hAnsi="Century Gothic"/>
      <w:b/>
      <w:bCs/>
      <w:sz w:val="18"/>
      <w:szCs w:val="18"/>
    </w:rPr>
  </w:style>
  <w:style w:type="character" w:styleId="FollowedHyperlink">
    <w:name w:val="FollowedHyperlink"/>
    <w:basedOn w:val="DefaultParagraphFont"/>
    <w:uiPriority w:val="99"/>
    <w:semiHidden/>
    <w:unhideWhenUsed/>
    <w:rsid w:val="00654875"/>
    <w:rPr>
      <w:color w:val="800080" w:themeColor="followedHyperlink"/>
      <w:u w:val="single"/>
    </w:rPr>
  </w:style>
  <w:style w:type="table" w:styleId="LightList-Accent5">
    <w:name w:val="Light List Accent 5"/>
    <w:basedOn w:val="TableNormal"/>
    <w:uiPriority w:val="61"/>
    <w:rsid w:val="00A47B1A"/>
    <w:pPr>
      <w:spacing w:after="0" w:line="240" w:lineRule="auto"/>
    </w:pPr>
    <w:tblPr>
      <w:tblStyleRowBandSize w:val="1"/>
      <w:tblStyleColBandSize w:val="1"/>
      <w:tblBorders>
        <w:top w:val="single" w:sz="4" w:space="0" w:color="448A99"/>
        <w:left w:val="single" w:sz="4" w:space="0" w:color="448A99"/>
        <w:bottom w:val="single" w:sz="4" w:space="0" w:color="448A99"/>
        <w:right w:val="single" w:sz="4" w:space="0" w:color="448A99"/>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itle">
    <w:name w:val="Title"/>
    <w:basedOn w:val="Normal"/>
    <w:next w:val="Normal"/>
    <w:link w:val="TitleChar"/>
    <w:uiPriority w:val="10"/>
    <w:qFormat/>
    <w:rsid w:val="006D2744"/>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D274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D2744"/>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D2744"/>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7152DD"/>
    <w:rPr>
      <w:rFonts w:ascii="Century Gothic" w:hAnsi="Century Gothic" w:cs="Calibri"/>
      <w:b/>
      <w:smallCaps/>
      <w:color w:val="FFFFFF" w:themeColor="background1"/>
      <w:sz w:val="32"/>
      <w:szCs w:val="32"/>
      <w:shd w:val="clear" w:color="auto" w:fill="448A99"/>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7152DD"/>
    <w:pPr>
      <w:numPr>
        <w:numId w:val="2"/>
      </w:numPr>
      <w:shd w:val="clear" w:color="auto" w:fill="448A99"/>
      <w:spacing w:after="120" w:line="240" w:lineRule="auto"/>
      <w:outlineLvl w:val="0"/>
    </w:pPr>
    <w:rPr>
      <w:rFonts w:ascii="Century Gothic" w:hAnsi="Century Gothic" w:cs="Calibri"/>
      <w:b/>
      <w:smallCaps/>
      <w:color w:val="FFFFFF" w:themeColor="background1"/>
      <w:sz w:val="32"/>
      <w:szCs w:val="3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27E"/>
  </w:style>
  <w:style w:type="paragraph" w:styleId="Footer">
    <w:name w:val="footer"/>
    <w:basedOn w:val="Normal"/>
    <w:link w:val="FooterChar"/>
    <w:uiPriority w:val="99"/>
    <w:unhideWhenUsed/>
    <w:rsid w:val="005B6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27E"/>
  </w:style>
  <w:style w:type="paragraph" w:styleId="BalloonText">
    <w:name w:val="Balloon Text"/>
    <w:basedOn w:val="Normal"/>
    <w:link w:val="BalloonTextChar"/>
    <w:uiPriority w:val="99"/>
    <w:semiHidden/>
    <w:unhideWhenUsed/>
    <w:rsid w:val="005B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7E"/>
    <w:rPr>
      <w:rFonts w:ascii="Tahoma" w:hAnsi="Tahoma" w:cs="Tahoma"/>
      <w:sz w:val="16"/>
      <w:szCs w:val="16"/>
    </w:rPr>
  </w:style>
  <w:style w:type="paragraph" w:customStyle="1" w:styleId="CompanyName">
    <w:name w:val="Company Name"/>
    <w:basedOn w:val="Normal"/>
    <w:uiPriority w:val="99"/>
    <w:rsid w:val="005B627E"/>
    <w:pPr>
      <w:keepLines/>
      <w:shd w:val="solid" w:color="auto" w:fill="auto"/>
      <w:spacing w:after="0" w:line="320" w:lineRule="exact"/>
    </w:pPr>
    <w:rPr>
      <w:rFonts w:ascii="Arial Black" w:eastAsia="Times New Roman" w:hAnsi="Arial Black" w:cs="Times New Roman"/>
      <w:color w:val="FFFFFF"/>
      <w:spacing w:val="-15"/>
      <w:sz w:val="32"/>
      <w:szCs w:val="20"/>
    </w:rPr>
  </w:style>
  <w:style w:type="paragraph" w:customStyle="1" w:styleId="DocumentLabel">
    <w:name w:val="Document Label"/>
    <w:basedOn w:val="Normal"/>
    <w:next w:val="Normal"/>
    <w:uiPriority w:val="99"/>
    <w:rsid w:val="005B627E"/>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uiPriority w:val="99"/>
    <w:semiHidden/>
    <w:rsid w:val="005B627E"/>
    <w:pPr>
      <w:keepLines/>
      <w:spacing w:line="180" w:lineRule="atLeast"/>
      <w:ind w:left="1555"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uiPriority w:val="99"/>
    <w:semiHidden/>
    <w:rsid w:val="005B627E"/>
    <w:rPr>
      <w:rFonts w:ascii="Arial" w:eastAsia="Times New Roman" w:hAnsi="Arial" w:cs="Times New Roman"/>
      <w:spacing w:val="-5"/>
      <w:sz w:val="20"/>
      <w:szCs w:val="20"/>
    </w:rPr>
  </w:style>
  <w:style w:type="character" w:customStyle="1" w:styleId="MessageHeaderLabel">
    <w:name w:val="Message Header Label"/>
    <w:rsid w:val="005B627E"/>
    <w:rPr>
      <w:rFonts w:ascii="Arial Black" w:hAnsi="Arial Black"/>
      <w:spacing w:val="-10"/>
      <w:sz w:val="18"/>
    </w:rPr>
  </w:style>
  <w:style w:type="paragraph" w:styleId="BodyText">
    <w:name w:val="Body Text"/>
    <w:basedOn w:val="Normal"/>
    <w:link w:val="BodyTextChar"/>
    <w:uiPriority w:val="99"/>
    <w:rsid w:val="005B627E"/>
    <w:pPr>
      <w:spacing w:after="120" w:line="240" w:lineRule="auto"/>
    </w:pPr>
    <w:rPr>
      <w:rFonts w:ascii="Calibri" w:eastAsia="Calibri" w:hAnsi="Calibri" w:cs="Times New Roman"/>
    </w:rPr>
  </w:style>
  <w:style w:type="character" w:customStyle="1" w:styleId="BodyTextChar">
    <w:name w:val="Body Text Char"/>
    <w:basedOn w:val="DefaultParagraphFont"/>
    <w:link w:val="BodyText"/>
    <w:uiPriority w:val="99"/>
    <w:rsid w:val="005B627E"/>
    <w:rPr>
      <w:rFonts w:ascii="Calibri" w:eastAsia="Calibri" w:hAnsi="Calibri" w:cs="Times New Roman"/>
    </w:rPr>
  </w:style>
  <w:style w:type="paragraph" w:styleId="ListParagraph">
    <w:name w:val="List Paragraph"/>
    <w:basedOn w:val="Normal"/>
    <w:uiPriority w:val="34"/>
    <w:qFormat/>
    <w:rsid w:val="00A24C48"/>
    <w:pPr>
      <w:ind w:left="720"/>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6D4C85"/>
    <w:pPr>
      <w:spacing w:after="0"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D4C85"/>
    <w:rPr>
      <w:sz w:val="20"/>
      <w:szCs w:val="20"/>
    </w:rPr>
  </w:style>
  <w:style w:type="character" w:styleId="FootnoteReference">
    <w:name w:val="footnote reference"/>
    <w:aliases w:val="o,fr"/>
    <w:basedOn w:val="DefaultParagraphFont"/>
    <w:uiPriority w:val="99"/>
    <w:unhideWhenUsed/>
    <w:qFormat/>
    <w:rsid w:val="006D4C85"/>
    <w:rPr>
      <w:vertAlign w:val="superscript"/>
    </w:rPr>
  </w:style>
  <w:style w:type="character" w:styleId="CommentReference">
    <w:name w:val="annotation reference"/>
    <w:basedOn w:val="DefaultParagraphFont"/>
    <w:uiPriority w:val="99"/>
    <w:semiHidden/>
    <w:unhideWhenUsed/>
    <w:rsid w:val="00FD304C"/>
    <w:rPr>
      <w:sz w:val="16"/>
      <w:szCs w:val="16"/>
    </w:rPr>
  </w:style>
  <w:style w:type="paragraph" w:styleId="CommentText">
    <w:name w:val="annotation text"/>
    <w:basedOn w:val="Normal"/>
    <w:link w:val="CommentTextChar"/>
    <w:uiPriority w:val="99"/>
    <w:semiHidden/>
    <w:unhideWhenUsed/>
    <w:rsid w:val="00FD304C"/>
    <w:pPr>
      <w:spacing w:line="240" w:lineRule="auto"/>
    </w:pPr>
    <w:rPr>
      <w:sz w:val="20"/>
      <w:szCs w:val="20"/>
    </w:rPr>
  </w:style>
  <w:style w:type="character" w:customStyle="1" w:styleId="CommentTextChar">
    <w:name w:val="Comment Text Char"/>
    <w:basedOn w:val="DefaultParagraphFont"/>
    <w:link w:val="CommentText"/>
    <w:uiPriority w:val="99"/>
    <w:semiHidden/>
    <w:rsid w:val="00FD304C"/>
    <w:rPr>
      <w:sz w:val="20"/>
      <w:szCs w:val="20"/>
    </w:rPr>
  </w:style>
  <w:style w:type="paragraph" w:styleId="CommentSubject">
    <w:name w:val="annotation subject"/>
    <w:basedOn w:val="CommentText"/>
    <w:next w:val="CommentText"/>
    <w:link w:val="CommentSubjectChar"/>
    <w:uiPriority w:val="99"/>
    <w:semiHidden/>
    <w:unhideWhenUsed/>
    <w:rsid w:val="00FD304C"/>
    <w:rPr>
      <w:b/>
      <w:bCs/>
    </w:rPr>
  </w:style>
  <w:style w:type="character" w:customStyle="1" w:styleId="CommentSubjectChar">
    <w:name w:val="Comment Subject Char"/>
    <w:basedOn w:val="CommentTextChar"/>
    <w:link w:val="CommentSubject"/>
    <w:uiPriority w:val="99"/>
    <w:semiHidden/>
    <w:rsid w:val="00FD304C"/>
    <w:rPr>
      <w:b/>
      <w:bCs/>
      <w:sz w:val="20"/>
      <w:szCs w:val="20"/>
    </w:rPr>
  </w:style>
  <w:style w:type="table" w:styleId="TableGrid">
    <w:name w:val="Table Grid"/>
    <w:basedOn w:val="TableNormal"/>
    <w:uiPriority w:val="59"/>
    <w:rsid w:val="0002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
    <w:basedOn w:val="Normal"/>
    <w:next w:val="Normal"/>
    <w:link w:val="CaptionChar"/>
    <w:unhideWhenUsed/>
    <w:qFormat/>
    <w:rsid w:val="00B43061"/>
    <w:pPr>
      <w:spacing w:after="120" w:line="240" w:lineRule="auto"/>
      <w:jc w:val="center"/>
    </w:pPr>
    <w:rPr>
      <w:rFonts w:ascii="Century Gothic" w:hAnsi="Century Gothic"/>
      <w:b/>
      <w:bCs/>
      <w:sz w:val="18"/>
      <w:szCs w:val="18"/>
    </w:rPr>
  </w:style>
  <w:style w:type="character" w:styleId="PlaceholderText">
    <w:name w:val="Placeholder Text"/>
    <w:basedOn w:val="DefaultParagraphFont"/>
    <w:uiPriority w:val="99"/>
    <w:semiHidden/>
    <w:rsid w:val="00A054A6"/>
    <w:rPr>
      <w:color w:val="808080"/>
    </w:rPr>
  </w:style>
  <w:style w:type="paragraph" w:styleId="Revision">
    <w:name w:val="Revision"/>
    <w:hidden/>
    <w:uiPriority w:val="99"/>
    <w:semiHidden/>
    <w:rsid w:val="003E3B86"/>
    <w:pPr>
      <w:spacing w:after="0" w:line="240" w:lineRule="auto"/>
    </w:pPr>
  </w:style>
  <w:style w:type="character" w:styleId="Hyperlink">
    <w:name w:val="Hyperlink"/>
    <w:basedOn w:val="DefaultParagraphFont"/>
    <w:uiPriority w:val="99"/>
    <w:unhideWhenUsed/>
    <w:rsid w:val="00654875"/>
    <w:rPr>
      <w:color w:val="0000FF"/>
      <w:u w:val="single"/>
    </w:rPr>
  </w:style>
  <w:style w:type="character" w:customStyle="1" w:styleId="CaptionChar">
    <w:name w:val="Caption Char"/>
    <w:aliases w:val="Table Caption Char"/>
    <w:basedOn w:val="DefaultParagraphFont"/>
    <w:link w:val="Caption"/>
    <w:locked/>
    <w:rsid w:val="00B43061"/>
    <w:rPr>
      <w:rFonts w:ascii="Century Gothic" w:hAnsi="Century Gothic"/>
      <w:b/>
      <w:bCs/>
      <w:sz w:val="18"/>
      <w:szCs w:val="18"/>
    </w:rPr>
  </w:style>
  <w:style w:type="character" w:styleId="FollowedHyperlink">
    <w:name w:val="FollowedHyperlink"/>
    <w:basedOn w:val="DefaultParagraphFont"/>
    <w:uiPriority w:val="99"/>
    <w:semiHidden/>
    <w:unhideWhenUsed/>
    <w:rsid w:val="00654875"/>
    <w:rPr>
      <w:color w:val="800080" w:themeColor="followedHyperlink"/>
      <w:u w:val="single"/>
    </w:rPr>
  </w:style>
  <w:style w:type="table" w:styleId="LightList-Accent5">
    <w:name w:val="Light List Accent 5"/>
    <w:basedOn w:val="TableNormal"/>
    <w:uiPriority w:val="61"/>
    <w:rsid w:val="00A47B1A"/>
    <w:pPr>
      <w:spacing w:after="0" w:line="240" w:lineRule="auto"/>
    </w:pPr>
    <w:tblPr>
      <w:tblStyleRowBandSize w:val="1"/>
      <w:tblStyleColBandSize w:val="1"/>
      <w:tblBorders>
        <w:top w:val="single" w:sz="4" w:space="0" w:color="448A99"/>
        <w:left w:val="single" w:sz="4" w:space="0" w:color="448A99"/>
        <w:bottom w:val="single" w:sz="4" w:space="0" w:color="448A99"/>
        <w:right w:val="single" w:sz="4" w:space="0" w:color="448A99"/>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itle">
    <w:name w:val="Title"/>
    <w:basedOn w:val="Normal"/>
    <w:next w:val="Normal"/>
    <w:link w:val="TitleChar"/>
    <w:uiPriority w:val="10"/>
    <w:qFormat/>
    <w:rsid w:val="006D2744"/>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D274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D2744"/>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D2744"/>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7152DD"/>
    <w:rPr>
      <w:rFonts w:ascii="Century Gothic" w:hAnsi="Century Gothic" w:cs="Calibri"/>
      <w:b/>
      <w:smallCaps/>
      <w:color w:val="FFFFFF" w:themeColor="background1"/>
      <w:sz w:val="32"/>
      <w:szCs w:val="32"/>
      <w:shd w:val="clear" w:color="auto" w:fill="448A99"/>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3363">
      <w:bodyDiv w:val="1"/>
      <w:marLeft w:val="0"/>
      <w:marRight w:val="0"/>
      <w:marTop w:val="0"/>
      <w:marBottom w:val="0"/>
      <w:divBdr>
        <w:top w:val="none" w:sz="0" w:space="0" w:color="auto"/>
        <w:left w:val="none" w:sz="0" w:space="0" w:color="auto"/>
        <w:bottom w:val="none" w:sz="0" w:space="0" w:color="auto"/>
        <w:right w:val="none" w:sz="0" w:space="0" w:color="auto"/>
      </w:divBdr>
    </w:div>
    <w:div w:id="300573125">
      <w:bodyDiv w:val="1"/>
      <w:marLeft w:val="0"/>
      <w:marRight w:val="0"/>
      <w:marTop w:val="0"/>
      <w:marBottom w:val="0"/>
      <w:divBdr>
        <w:top w:val="none" w:sz="0" w:space="0" w:color="auto"/>
        <w:left w:val="none" w:sz="0" w:space="0" w:color="auto"/>
        <w:bottom w:val="none" w:sz="0" w:space="0" w:color="auto"/>
        <w:right w:val="none" w:sz="0" w:space="0" w:color="auto"/>
      </w:divBdr>
    </w:div>
    <w:div w:id="333605809">
      <w:bodyDiv w:val="1"/>
      <w:marLeft w:val="0"/>
      <w:marRight w:val="0"/>
      <w:marTop w:val="0"/>
      <w:marBottom w:val="0"/>
      <w:divBdr>
        <w:top w:val="none" w:sz="0" w:space="0" w:color="auto"/>
        <w:left w:val="none" w:sz="0" w:space="0" w:color="auto"/>
        <w:bottom w:val="none" w:sz="0" w:space="0" w:color="auto"/>
        <w:right w:val="none" w:sz="0" w:space="0" w:color="auto"/>
      </w:divBdr>
    </w:div>
    <w:div w:id="476384923">
      <w:bodyDiv w:val="1"/>
      <w:marLeft w:val="0"/>
      <w:marRight w:val="0"/>
      <w:marTop w:val="0"/>
      <w:marBottom w:val="0"/>
      <w:divBdr>
        <w:top w:val="none" w:sz="0" w:space="0" w:color="auto"/>
        <w:left w:val="none" w:sz="0" w:space="0" w:color="auto"/>
        <w:bottom w:val="none" w:sz="0" w:space="0" w:color="auto"/>
        <w:right w:val="none" w:sz="0" w:space="0" w:color="auto"/>
      </w:divBdr>
    </w:div>
    <w:div w:id="568464836">
      <w:bodyDiv w:val="1"/>
      <w:marLeft w:val="0"/>
      <w:marRight w:val="0"/>
      <w:marTop w:val="0"/>
      <w:marBottom w:val="0"/>
      <w:divBdr>
        <w:top w:val="none" w:sz="0" w:space="0" w:color="auto"/>
        <w:left w:val="none" w:sz="0" w:space="0" w:color="auto"/>
        <w:bottom w:val="none" w:sz="0" w:space="0" w:color="auto"/>
        <w:right w:val="none" w:sz="0" w:space="0" w:color="auto"/>
      </w:divBdr>
    </w:div>
    <w:div w:id="673652255">
      <w:bodyDiv w:val="1"/>
      <w:marLeft w:val="0"/>
      <w:marRight w:val="0"/>
      <w:marTop w:val="0"/>
      <w:marBottom w:val="0"/>
      <w:divBdr>
        <w:top w:val="none" w:sz="0" w:space="0" w:color="auto"/>
        <w:left w:val="none" w:sz="0" w:space="0" w:color="auto"/>
        <w:bottom w:val="none" w:sz="0" w:space="0" w:color="auto"/>
        <w:right w:val="none" w:sz="0" w:space="0" w:color="auto"/>
      </w:divBdr>
    </w:div>
    <w:div w:id="1006664675">
      <w:bodyDiv w:val="1"/>
      <w:marLeft w:val="0"/>
      <w:marRight w:val="0"/>
      <w:marTop w:val="0"/>
      <w:marBottom w:val="0"/>
      <w:divBdr>
        <w:top w:val="none" w:sz="0" w:space="0" w:color="auto"/>
        <w:left w:val="none" w:sz="0" w:space="0" w:color="auto"/>
        <w:bottom w:val="none" w:sz="0" w:space="0" w:color="auto"/>
        <w:right w:val="none" w:sz="0" w:space="0" w:color="auto"/>
      </w:divBdr>
    </w:div>
    <w:div w:id="1047947144">
      <w:bodyDiv w:val="1"/>
      <w:marLeft w:val="0"/>
      <w:marRight w:val="0"/>
      <w:marTop w:val="0"/>
      <w:marBottom w:val="0"/>
      <w:divBdr>
        <w:top w:val="none" w:sz="0" w:space="0" w:color="auto"/>
        <w:left w:val="none" w:sz="0" w:space="0" w:color="auto"/>
        <w:bottom w:val="none" w:sz="0" w:space="0" w:color="auto"/>
        <w:right w:val="none" w:sz="0" w:space="0" w:color="auto"/>
      </w:divBdr>
    </w:div>
    <w:div w:id="1336693260">
      <w:bodyDiv w:val="1"/>
      <w:marLeft w:val="0"/>
      <w:marRight w:val="0"/>
      <w:marTop w:val="0"/>
      <w:marBottom w:val="0"/>
      <w:divBdr>
        <w:top w:val="none" w:sz="0" w:space="0" w:color="auto"/>
        <w:left w:val="none" w:sz="0" w:space="0" w:color="auto"/>
        <w:bottom w:val="none" w:sz="0" w:space="0" w:color="auto"/>
        <w:right w:val="none" w:sz="0" w:space="0" w:color="auto"/>
      </w:divBdr>
    </w:div>
    <w:div w:id="1379547677">
      <w:bodyDiv w:val="1"/>
      <w:marLeft w:val="0"/>
      <w:marRight w:val="0"/>
      <w:marTop w:val="0"/>
      <w:marBottom w:val="0"/>
      <w:divBdr>
        <w:top w:val="none" w:sz="0" w:space="0" w:color="auto"/>
        <w:left w:val="none" w:sz="0" w:space="0" w:color="auto"/>
        <w:bottom w:val="none" w:sz="0" w:space="0" w:color="auto"/>
        <w:right w:val="none" w:sz="0" w:space="0" w:color="auto"/>
      </w:divBdr>
    </w:div>
    <w:div w:id="1721636372">
      <w:bodyDiv w:val="1"/>
      <w:marLeft w:val="0"/>
      <w:marRight w:val="0"/>
      <w:marTop w:val="0"/>
      <w:marBottom w:val="0"/>
      <w:divBdr>
        <w:top w:val="none" w:sz="0" w:space="0" w:color="auto"/>
        <w:left w:val="none" w:sz="0" w:space="0" w:color="auto"/>
        <w:bottom w:val="none" w:sz="0" w:space="0" w:color="auto"/>
        <w:right w:val="none" w:sz="0" w:space="0" w:color="auto"/>
      </w:divBdr>
    </w:div>
    <w:div w:id="1934433425">
      <w:bodyDiv w:val="1"/>
      <w:marLeft w:val="0"/>
      <w:marRight w:val="0"/>
      <w:marTop w:val="0"/>
      <w:marBottom w:val="0"/>
      <w:divBdr>
        <w:top w:val="none" w:sz="0" w:space="0" w:color="auto"/>
        <w:left w:val="none" w:sz="0" w:space="0" w:color="auto"/>
        <w:bottom w:val="none" w:sz="0" w:space="0" w:color="auto"/>
        <w:right w:val="none" w:sz="0" w:space="0" w:color="auto"/>
      </w:divBdr>
    </w:div>
    <w:div w:id="2069692654">
      <w:bodyDiv w:val="1"/>
      <w:marLeft w:val="0"/>
      <w:marRight w:val="0"/>
      <w:marTop w:val="0"/>
      <w:marBottom w:val="0"/>
      <w:divBdr>
        <w:top w:val="none" w:sz="0" w:space="0" w:color="auto"/>
        <w:left w:val="none" w:sz="0" w:space="0" w:color="auto"/>
        <w:bottom w:val="none" w:sz="0" w:space="0" w:color="auto"/>
        <w:right w:val="none" w:sz="0" w:space="0" w:color="auto"/>
      </w:divBdr>
    </w:div>
    <w:div w:id="2112511375">
      <w:bodyDiv w:val="1"/>
      <w:marLeft w:val="0"/>
      <w:marRight w:val="0"/>
      <w:marTop w:val="0"/>
      <w:marBottom w:val="0"/>
      <w:divBdr>
        <w:top w:val="none" w:sz="0" w:space="0" w:color="auto"/>
        <w:left w:val="none" w:sz="0" w:space="0" w:color="auto"/>
        <w:bottom w:val="none" w:sz="0" w:space="0" w:color="auto"/>
        <w:right w:val="none" w:sz="0" w:space="0" w:color="auto"/>
      </w:divBdr>
    </w:div>
    <w:div w:id="21254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95F7D67E24446A0DEA6576AC0096E" ma:contentTypeVersion="0" ma:contentTypeDescription="Create a new document." ma:contentTypeScope="" ma:versionID="c6594627d45651aa76735ec0caffc156">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A86A-24B7-4A09-AA00-B2D272AF1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F8729-CC40-4808-A22A-DEAD23B2C14D}">
  <ds:schemaRefs>
    <ds:schemaRef ds:uri="http://schemas.microsoft.com/sharepoint/v3/contenttype/forms"/>
  </ds:schemaRefs>
</ds:datastoreItem>
</file>

<file path=customXml/itemProps3.xml><?xml version="1.0" encoding="utf-8"?>
<ds:datastoreItem xmlns:ds="http://schemas.openxmlformats.org/officeDocument/2006/customXml" ds:itemID="{AFA5B581-1FB1-4DE3-8042-F6DF9A71A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035D0B-7F3D-42CE-B5A6-BBF390C5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Corcoran</dc:creator>
  <cp:lastModifiedBy>kribrown</cp:lastModifiedBy>
  <cp:revision>2</cp:revision>
  <cp:lastPrinted>2012-09-06T14:38:00Z</cp:lastPrinted>
  <dcterms:created xsi:type="dcterms:W3CDTF">2015-02-27T18:07:00Z</dcterms:created>
  <dcterms:modified xsi:type="dcterms:W3CDTF">2015-02-27T18:07:00Z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0x010100D2C95F7D67E24446A0DEA6576AC0096E</vt:lpwstr>
  </property>
</Properties>
</file>