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E23926">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E23926" w:rsidRDefault="007979FC" w:rsidP="00FC7B5D">
            <w:pPr>
              <w:jc w:val="right"/>
              <w:rPr>
                <w:rFonts w:ascii="Arial" w:hAnsi="Arial"/>
                <w:sz w:val="16"/>
                <w:szCs w:val="16"/>
              </w:rPr>
            </w:pPr>
            <w:r>
              <w:rPr>
                <w:sz w:val="16"/>
                <w:szCs w:val="16"/>
              </w:rPr>
              <w:t>M-2014-2424864</w:t>
            </w:r>
          </w:p>
        </w:tc>
      </w:tr>
    </w:tbl>
    <w:p w:rsidR="006E7EF7" w:rsidRPr="004F2077" w:rsidRDefault="00D146D4" w:rsidP="00D146D4">
      <w:pPr>
        <w:jc w:val="center"/>
        <w:rPr>
          <w:sz w:val="24"/>
          <w:szCs w:val="24"/>
        </w:rPr>
      </w:pPr>
      <w:r>
        <w:rPr>
          <w:sz w:val="24"/>
          <w:szCs w:val="24"/>
        </w:rPr>
        <w:t>February 27, 2015</w:t>
      </w:r>
    </w:p>
    <w:p w:rsidR="006E7EF7" w:rsidRDefault="006E7EF7" w:rsidP="00710DBE">
      <w:pPr>
        <w:rPr>
          <w:sz w:val="24"/>
          <w:szCs w:val="24"/>
        </w:rPr>
      </w:pPr>
    </w:p>
    <w:p w:rsidR="00710DBE" w:rsidRPr="007E6ACB" w:rsidRDefault="00710DBE" w:rsidP="00710DBE">
      <w:pPr>
        <w:rPr>
          <w:sz w:val="24"/>
          <w:szCs w:val="24"/>
        </w:rPr>
      </w:pPr>
      <w:r w:rsidRPr="007E6ACB">
        <w:rPr>
          <w:sz w:val="24"/>
          <w:szCs w:val="24"/>
        </w:rPr>
        <w:t>TO ALL INTERESTED PARTIES:</w:t>
      </w:r>
    </w:p>
    <w:p w:rsidR="00710DBE" w:rsidRPr="004B781B" w:rsidRDefault="00710DBE" w:rsidP="00710DBE"/>
    <w:p w:rsidR="00710DBE" w:rsidRPr="007E6ACB" w:rsidRDefault="00307364" w:rsidP="00710DBE">
      <w:pPr>
        <w:ind w:left="1440" w:hanging="720"/>
        <w:rPr>
          <w:sz w:val="24"/>
          <w:szCs w:val="24"/>
        </w:rPr>
      </w:pPr>
      <w:r>
        <w:rPr>
          <w:sz w:val="24"/>
          <w:szCs w:val="24"/>
        </w:rPr>
        <w:t>Re:</w:t>
      </w:r>
      <w:r>
        <w:rPr>
          <w:sz w:val="24"/>
          <w:szCs w:val="24"/>
        </w:rPr>
        <w:tab/>
      </w:r>
      <w:r w:rsidR="00FC2644">
        <w:rPr>
          <w:sz w:val="24"/>
          <w:szCs w:val="24"/>
        </w:rPr>
        <w:t xml:space="preserve">Release of the </w:t>
      </w:r>
      <w:r w:rsidR="002027E7">
        <w:rPr>
          <w:sz w:val="24"/>
          <w:szCs w:val="24"/>
        </w:rPr>
        <w:t xml:space="preserve">Act 129 Statewide Evaluator Energy Efficiency and Demand Response Market Potential Studies </w:t>
      </w:r>
      <w:r w:rsidR="00FC2644">
        <w:rPr>
          <w:sz w:val="24"/>
          <w:szCs w:val="24"/>
        </w:rPr>
        <w:t xml:space="preserve">and </w:t>
      </w:r>
      <w:r w:rsidR="002027E7">
        <w:rPr>
          <w:sz w:val="24"/>
          <w:szCs w:val="24"/>
        </w:rPr>
        <w:t>Stakeholder Meeting</w:t>
      </w:r>
      <w:r w:rsidR="00FC2644">
        <w:rPr>
          <w:sz w:val="24"/>
          <w:szCs w:val="24"/>
        </w:rPr>
        <w:t xml:space="preserve"> Announcement</w:t>
      </w:r>
    </w:p>
    <w:p w:rsidR="00710DBE" w:rsidRPr="007E6ACB" w:rsidRDefault="00710DBE" w:rsidP="00710DBE">
      <w:pPr>
        <w:ind w:left="1440" w:hanging="720"/>
        <w:rPr>
          <w:sz w:val="24"/>
          <w:szCs w:val="24"/>
        </w:rPr>
      </w:pPr>
      <w:r w:rsidRPr="007E6ACB">
        <w:rPr>
          <w:sz w:val="24"/>
          <w:szCs w:val="24"/>
        </w:rPr>
        <w:tab/>
        <w:t>Docket No.</w:t>
      </w:r>
      <w:r w:rsidR="007979FC">
        <w:rPr>
          <w:sz w:val="24"/>
          <w:szCs w:val="24"/>
        </w:rPr>
        <w:t xml:space="preserve"> M-2014-2424864</w:t>
      </w:r>
    </w:p>
    <w:p w:rsidR="00E43A98" w:rsidRDefault="00E43A98" w:rsidP="00710DBE">
      <w:pPr>
        <w:rPr>
          <w:sz w:val="24"/>
          <w:szCs w:val="24"/>
        </w:rPr>
      </w:pPr>
    </w:p>
    <w:p w:rsidR="00183A7E" w:rsidRDefault="00FC2644" w:rsidP="00E43A98">
      <w:pPr>
        <w:rPr>
          <w:sz w:val="24"/>
          <w:szCs w:val="24"/>
        </w:rPr>
      </w:pPr>
      <w:r>
        <w:rPr>
          <w:sz w:val="24"/>
          <w:szCs w:val="24"/>
        </w:rPr>
        <w:tab/>
        <w:t xml:space="preserve">In its planning for a potential Phase III of the Act 129 Energy Efficiency and Conservation (EE&amp;C) Program, </w:t>
      </w:r>
      <w:r w:rsidRPr="00450096">
        <w:rPr>
          <w:sz w:val="24"/>
          <w:szCs w:val="24"/>
        </w:rPr>
        <w:t>the Commission directed the Act 129 Statewide Evaluator</w:t>
      </w:r>
      <w:r>
        <w:rPr>
          <w:sz w:val="24"/>
          <w:szCs w:val="24"/>
        </w:rPr>
        <w:t xml:space="preserve"> (SWE)</w:t>
      </w:r>
      <w:r w:rsidRPr="00450096">
        <w:rPr>
          <w:sz w:val="24"/>
          <w:szCs w:val="24"/>
        </w:rPr>
        <w:t xml:space="preserve"> to conduct an energy efficiency market potential study to determine the opportunities for cost</w:t>
      </w:r>
      <w:r w:rsidR="00046AA8">
        <w:rPr>
          <w:sz w:val="24"/>
          <w:szCs w:val="24"/>
        </w:rPr>
        <w:t>-</w:t>
      </w:r>
      <w:r w:rsidRPr="00450096">
        <w:rPr>
          <w:sz w:val="24"/>
          <w:szCs w:val="24"/>
        </w:rPr>
        <w:t xml:space="preserve">effective electricity savings in the service areas of the seven Pennsylvania </w:t>
      </w:r>
      <w:r w:rsidR="00EB25D8">
        <w:rPr>
          <w:sz w:val="24"/>
          <w:szCs w:val="24"/>
        </w:rPr>
        <w:t>electric distribution companies (</w:t>
      </w:r>
      <w:r w:rsidRPr="00450096">
        <w:rPr>
          <w:sz w:val="24"/>
          <w:szCs w:val="24"/>
        </w:rPr>
        <w:t>EDCs</w:t>
      </w:r>
      <w:r w:rsidR="00EB25D8">
        <w:rPr>
          <w:sz w:val="24"/>
          <w:szCs w:val="24"/>
        </w:rPr>
        <w:t>)</w:t>
      </w:r>
      <w:r w:rsidRPr="00450096">
        <w:rPr>
          <w:sz w:val="24"/>
          <w:szCs w:val="24"/>
        </w:rPr>
        <w:t xml:space="preserve"> that are subject to the energy efficiency requirements of Act 129.</w:t>
      </w:r>
      <w:r w:rsidRPr="00450096">
        <w:rPr>
          <w:rStyle w:val="FootnoteReference"/>
          <w:sz w:val="24"/>
          <w:szCs w:val="24"/>
        </w:rPr>
        <w:footnoteReference w:id="1"/>
      </w:r>
      <w:r w:rsidRPr="00450096">
        <w:rPr>
          <w:sz w:val="24"/>
          <w:szCs w:val="24"/>
        </w:rPr>
        <w:t xml:space="preserve">  </w:t>
      </w:r>
    </w:p>
    <w:p w:rsidR="00183A7E" w:rsidRDefault="00183A7E" w:rsidP="00E43A98">
      <w:pPr>
        <w:rPr>
          <w:sz w:val="24"/>
          <w:szCs w:val="24"/>
        </w:rPr>
      </w:pPr>
    </w:p>
    <w:p w:rsidR="00183A7E" w:rsidRDefault="00FC2644" w:rsidP="00046AA8">
      <w:pPr>
        <w:ind w:firstLine="720"/>
        <w:rPr>
          <w:sz w:val="24"/>
          <w:szCs w:val="24"/>
        </w:rPr>
      </w:pPr>
      <w:r w:rsidRPr="00450096">
        <w:rPr>
          <w:sz w:val="24"/>
          <w:szCs w:val="24"/>
        </w:rPr>
        <w:t xml:space="preserve">The Commission also directed </w:t>
      </w:r>
      <w:r>
        <w:rPr>
          <w:sz w:val="24"/>
          <w:szCs w:val="24"/>
        </w:rPr>
        <w:t>the SWE</w:t>
      </w:r>
      <w:r w:rsidRPr="00450096">
        <w:rPr>
          <w:sz w:val="24"/>
          <w:szCs w:val="24"/>
        </w:rPr>
        <w:t xml:space="preserve"> to perform a demand response potential study to determine if there is potential for </w:t>
      </w:r>
      <w:r w:rsidR="00046AA8">
        <w:rPr>
          <w:sz w:val="24"/>
          <w:szCs w:val="24"/>
        </w:rPr>
        <w:t>cost-</w:t>
      </w:r>
      <w:r w:rsidR="00183A7E">
        <w:rPr>
          <w:sz w:val="24"/>
          <w:szCs w:val="24"/>
        </w:rPr>
        <w:t xml:space="preserve">effective </w:t>
      </w:r>
      <w:r w:rsidRPr="00450096">
        <w:rPr>
          <w:sz w:val="24"/>
          <w:szCs w:val="24"/>
        </w:rPr>
        <w:t>peak demand reduction</w:t>
      </w:r>
      <w:r w:rsidR="00183A7E">
        <w:rPr>
          <w:sz w:val="24"/>
          <w:szCs w:val="24"/>
        </w:rPr>
        <w:t>s</w:t>
      </w:r>
      <w:r w:rsidRPr="00450096">
        <w:rPr>
          <w:sz w:val="24"/>
          <w:szCs w:val="24"/>
        </w:rPr>
        <w:t xml:space="preserve"> as a component of the </w:t>
      </w:r>
      <w:r>
        <w:rPr>
          <w:sz w:val="24"/>
          <w:szCs w:val="24"/>
        </w:rPr>
        <w:t>EE&amp;C Program</w:t>
      </w:r>
      <w:r w:rsidRPr="00450096">
        <w:rPr>
          <w:sz w:val="24"/>
          <w:szCs w:val="24"/>
        </w:rPr>
        <w:t>.</w:t>
      </w:r>
      <w:r w:rsidRPr="00450096">
        <w:rPr>
          <w:rStyle w:val="FootnoteReference"/>
          <w:sz w:val="24"/>
          <w:szCs w:val="24"/>
        </w:rPr>
        <w:footnoteReference w:id="2"/>
      </w:r>
      <w:r>
        <w:rPr>
          <w:sz w:val="24"/>
          <w:szCs w:val="24"/>
        </w:rPr>
        <w:t xml:space="preserve">  </w:t>
      </w:r>
    </w:p>
    <w:p w:rsidR="00183A7E" w:rsidRDefault="00183A7E" w:rsidP="00046AA8">
      <w:pPr>
        <w:ind w:firstLine="720"/>
        <w:rPr>
          <w:sz w:val="24"/>
          <w:szCs w:val="24"/>
        </w:rPr>
      </w:pPr>
    </w:p>
    <w:p w:rsidR="00FC2644" w:rsidRDefault="00FC2644" w:rsidP="00046AA8">
      <w:pPr>
        <w:ind w:firstLine="720"/>
        <w:rPr>
          <w:sz w:val="24"/>
          <w:szCs w:val="24"/>
        </w:rPr>
      </w:pPr>
      <w:r w:rsidRPr="007C40A7">
        <w:rPr>
          <w:sz w:val="24"/>
          <w:szCs w:val="24"/>
        </w:rPr>
        <w:t>With this Secretarial Letter, the Commission is releasing publicly the</w:t>
      </w:r>
      <w:r w:rsidR="00046AA8">
        <w:rPr>
          <w:b/>
          <w:i/>
          <w:sz w:val="24"/>
          <w:szCs w:val="24"/>
        </w:rPr>
        <w:t xml:space="preserve"> </w:t>
      </w:r>
      <w:r w:rsidR="00046AA8">
        <w:rPr>
          <w:i/>
          <w:sz w:val="24"/>
          <w:szCs w:val="24"/>
        </w:rPr>
        <w:t>Energy Efficiency Potential Study for Pennsylvania – Final Report</w:t>
      </w:r>
      <w:r w:rsidR="00046AA8">
        <w:rPr>
          <w:sz w:val="24"/>
          <w:szCs w:val="24"/>
        </w:rPr>
        <w:t xml:space="preserve"> and the </w:t>
      </w:r>
      <w:r w:rsidR="00046AA8">
        <w:rPr>
          <w:i/>
          <w:sz w:val="24"/>
          <w:szCs w:val="24"/>
        </w:rPr>
        <w:t>Demand Response Potential for Pennsylvania – Final Report</w:t>
      </w:r>
      <w:r w:rsidRPr="007C40A7">
        <w:rPr>
          <w:sz w:val="24"/>
          <w:szCs w:val="24"/>
        </w:rPr>
        <w:t xml:space="preserve">.  Both studies will be published on the Commission’s website at </w:t>
      </w:r>
      <w:hyperlink r:id="rId10" w:history="1">
        <w:r w:rsidRPr="007C40A7">
          <w:rPr>
            <w:rStyle w:val="Hyperlink"/>
            <w:sz w:val="24"/>
            <w:szCs w:val="24"/>
          </w:rPr>
          <w:t>http://www.puc.pa.gov/filing_resources/issues_laws_regulations/act_129_information/act_129_statewide_evaluator_swe_.aspx</w:t>
        </w:r>
      </w:hyperlink>
      <w:r w:rsidR="0093372C">
        <w:rPr>
          <w:sz w:val="24"/>
          <w:szCs w:val="24"/>
        </w:rPr>
        <w:t>.</w:t>
      </w:r>
    </w:p>
    <w:p w:rsidR="00FC2644" w:rsidRDefault="00FC2644" w:rsidP="00E43A98">
      <w:pPr>
        <w:rPr>
          <w:sz w:val="24"/>
          <w:szCs w:val="24"/>
        </w:rPr>
      </w:pPr>
    </w:p>
    <w:p w:rsidR="00E465EC" w:rsidRDefault="00FC2644" w:rsidP="00E43A98">
      <w:pPr>
        <w:rPr>
          <w:sz w:val="24"/>
          <w:szCs w:val="24"/>
        </w:rPr>
      </w:pPr>
      <w:r>
        <w:rPr>
          <w:sz w:val="24"/>
          <w:szCs w:val="24"/>
        </w:rPr>
        <w:tab/>
        <w:t>T</w:t>
      </w:r>
      <w:r w:rsidR="00E465EC">
        <w:rPr>
          <w:sz w:val="24"/>
          <w:szCs w:val="24"/>
        </w:rPr>
        <w:t>he</w:t>
      </w:r>
      <w:r w:rsidR="00423966">
        <w:rPr>
          <w:sz w:val="24"/>
          <w:szCs w:val="24"/>
        </w:rPr>
        <w:t xml:space="preserve"> Commission</w:t>
      </w:r>
      <w:r w:rsidR="00E465EC">
        <w:rPr>
          <w:sz w:val="24"/>
          <w:szCs w:val="24"/>
        </w:rPr>
        <w:t xml:space="preserve"> would </w:t>
      </w:r>
      <w:r>
        <w:rPr>
          <w:sz w:val="24"/>
          <w:szCs w:val="24"/>
        </w:rPr>
        <w:t xml:space="preserve">also </w:t>
      </w:r>
      <w:r w:rsidR="00E465EC">
        <w:rPr>
          <w:sz w:val="24"/>
          <w:szCs w:val="24"/>
        </w:rPr>
        <w:t xml:space="preserve">like to provide notice of an Act 129 Stakeholders’ </w:t>
      </w:r>
      <w:r w:rsidR="00E465EC" w:rsidRPr="00450096">
        <w:rPr>
          <w:sz w:val="24"/>
          <w:szCs w:val="24"/>
        </w:rPr>
        <w:t xml:space="preserve">Meeting on </w:t>
      </w:r>
      <w:r>
        <w:rPr>
          <w:sz w:val="24"/>
          <w:szCs w:val="24"/>
        </w:rPr>
        <w:t>Wednesday, April 8, 2015</w:t>
      </w:r>
      <w:r w:rsidR="00E465EC" w:rsidRPr="00450096">
        <w:rPr>
          <w:sz w:val="24"/>
          <w:szCs w:val="24"/>
        </w:rPr>
        <w:t xml:space="preserve">, </w:t>
      </w:r>
      <w:r w:rsidR="00423966">
        <w:rPr>
          <w:sz w:val="24"/>
          <w:szCs w:val="24"/>
        </w:rPr>
        <w:t xml:space="preserve">from </w:t>
      </w:r>
      <w:r>
        <w:rPr>
          <w:sz w:val="24"/>
          <w:szCs w:val="24"/>
        </w:rPr>
        <w:t>9:30 A.M. to 3:0</w:t>
      </w:r>
      <w:r w:rsidR="00E465EC" w:rsidRPr="00450096">
        <w:rPr>
          <w:sz w:val="24"/>
          <w:szCs w:val="24"/>
        </w:rPr>
        <w:t>0 P.M. in</w:t>
      </w:r>
      <w:r w:rsidR="00E465EC">
        <w:rPr>
          <w:sz w:val="24"/>
          <w:szCs w:val="24"/>
        </w:rPr>
        <w:t xml:space="preserve"> Hearing Room 1 of the Commonwealth Keystone Building, 400 North Street, Harrisburg, Pennsylvania, 17120.  </w:t>
      </w:r>
      <w:r w:rsidR="00DA41A4" w:rsidRPr="00B62DF1">
        <w:rPr>
          <w:sz w:val="24"/>
          <w:szCs w:val="24"/>
        </w:rPr>
        <w:t xml:space="preserve">The attached Appendix provides an agenda for the meeting.  </w:t>
      </w:r>
      <w:r w:rsidR="00E465EC">
        <w:rPr>
          <w:sz w:val="24"/>
          <w:szCs w:val="24"/>
        </w:rPr>
        <w:t xml:space="preserve">The purpose of the meeting is to allow the </w:t>
      </w:r>
      <w:r w:rsidR="0002313A">
        <w:rPr>
          <w:sz w:val="24"/>
          <w:szCs w:val="24"/>
        </w:rPr>
        <w:t>SWE</w:t>
      </w:r>
      <w:r w:rsidR="00E465EC">
        <w:rPr>
          <w:sz w:val="24"/>
          <w:szCs w:val="24"/>
        </w:rPr>
        <w:t xml:space="preserve"> to present its energy efficiency and demand response potential study </w:t>
      </w:r>
      <w:r>
        <w:rPr>
          <w:sz w:val="24"/>
          <w:szCs w:val="24"/>
        </w:rPr>
        <w:t>results</w:t>
      </w:r>
      <w:r w:rsidR="00E465EC">
        <w:rPr>
          <w:sz w:val="24"/>
          <w:szCs w:val="24"/>
        </w:rPr>
        <w:t xml:space="preserve"> and to answer </w:t>
      </w:r>
      <w:r w:rsidR="00183A7E">
        <w:rPr>
          <w:sz w:val="24"/>
          <w:szCs w:val="24"/>
        </w:rPr>
        <w:t xml:space="preserve">clarification </w:t>
      </w:r>
      <w:r w:rsidR="00E465EC">
        <w:rPr>
          <w:sz w:val="24"/>
          <w:szCs w:val="24"/>
        </w:rPr>
        <w:t>questions posed by stakeholders.</w:t>
      </w:r>
    </w:p>
    <w:p w:rsidR="00E43A98" w:rsidRPr="00450096" w:rsidRDefault="00E43A98" w:rsidP="00E43A98"/>
    <w:p w:rsidR="00183A7E" w:rsidRDefault="00E465EC" w:rsidP="00E43A98">
      <w:pPr>
        <w:rPr>
          <w:sz w:val="24"/>
          <w:szCs w:val="24"/>
        </w:rPr>
      </w:pPr>
      <w:r w:rsidRPr="00450096">
        <w:rPr>
          <w:sz w:val="24"/>
          <w:szCs w:val="24"/>
        </w:rPr>
        <w:tab/>
      </w:r>
      <w:r w:rsidR="00FC2644">
        <w:rPr>
          <w:sz w:val="24"/>
          <w:szCs w:val="24"/>
        </w:rPr>
        <w:t>I</w:t>
      </w:r>
      <w:r w:rsidR="006659D1" w:rsidRPr="00450096">
        <w:rPr>
          <w:sz w:val="24"/>
          <w:szCs w:val="24"/>
        </w:rPr>
        <w:t>n preparation for</w:t>
      </w:r>
      <w:r w:rsidR="00FC2644">
        <w:rPr>
          <w:sz w:val="24"/>
          <w:szCs w:val="24"/>
        </w:rPr>
        <w:t xml:space="preserve"> this meeting, the presentation</w:t>
      </w:r>
      <w:r w:rsidR="006659D1" w:rsidRPr="00450096">
        <w:rPr>
          <w:sz w:val="24"/>
          <w:szCs w:val="24"/>
        </w:rPr>
        <w:t xml:space="preserve">s </w:t>
      </w:r>
      <w:r w:rsidR="00183A7E">
        <w:rPr>
          <w:sz w:val="24"/>
          <w:szCs w:val="24"/>
        </w:rPr>
        <w:t xml:space="preserve">discussing </w:t>
      </w:r>
      <w:r w:rsidR="006659D1" w:rsidRPr="00450096">
        <w:rPr>
          <w:sz w:val="24"/>
          <w:szCs w:val="24"/>
        </w:rPr>
        <w:t xml:space="preserve">the studies </w:t>
      </w:r>
      <w:r w:rsidR="001B4DA3" w:rsidRPr="00450096">
        <w:rPr>
          <w:sz w:val="24"/>
          <w:szCs w:val="24"/>
        </w:rPr>
        <w:t xml:space="preserve">will be posted on </w:t>
      </w:r>
      <w:r w:rsidR="006659D1" w:rsidRPr="00450096">
        <w:rPr>
          <w:sz w:val="24"/>
          <w:szCs w:val="24"/>
        </w:rPr>
        <w:t xml:space="preserve">the </w:t>
      </w:r>
      <w:r w:rsidR="00A87F18">
        <w:rPr>
          <w:sz w:val="24"/>
          <w:szCs w:val="24"/>
        </w:rPr>
        <w:t>SWE</w:t>
      </w:r>
      <w:r w:rsidR="006659D1" w:rsidRPr="00450096">
        <w:rPr>
          <w:sz w:val="24"/>
          <w:szCs w:val="24"/>
        </w:rPr>
        <w:t xml:space="preserve"> </w:t>
      </w:r>
      <w:r w:rsidR="001B4DA3" w:rsidRPr="00450096">
        <w:rPr>
          <w:sz w:val="24"/>
          <w:szCs w:val="24"/>
        </w:rPr>
        <w:t>web</w:t>
      </w:r>
      <w:r w:rsidR="006659D1" w:rsidRPr="00450096">
        <w:rPr>
          <w:sz w:val="24"/>
          <w:szCs w:val="24"/>
        </w:rPr>
        <w:t xml:space="preserve">page of </w:t>
      </w:r>
      <w:r w:rsidR="001B4DA3" w:rsidRPr="00450096">
        <w:rPr>
          <w:sz w:val="24"/>
          <w:szCs w:val="24"/>
        </w:rPr>
        <w:t xml:space="preserve">the Commission’s </w:t>
      </w:r>
      <w:r w:rsidR="006659D1" w:rsidRPr="00450096">
        <w:rPr>
          <w:sz w:val="24"/>
          <w:szCs w:val="24"/>
        </w:rPr>
        <w:t>website</w:t>
      </w:r>
      <w:r w:rsidR="006659D1" w:rsidRPr="00450096">
        <w:rPr>
          <w:rStyle w:val="FootnoteReference"/>
          <w:sz w:val="24"/>
          <w:szCs w:val="24"/>
        </w:rPr>
        <w:footnoteReference w:id="3"/>
      </w:r>
      <w:r w:rsidR="006659D1" w:rsidRPr="00450096">
        <w:rPr>
          <w:sz w:val="24"/>
          <w:szCs w:val="24"/>
        </w:rPr>
        <w:t xml:space="preserve"> </w:t>
      </w:r>
      <w:r w:rsidR="00F41A9B" w:rsidRPr="00450096">
        <w:rPr>
          <w:sz w:val="24"/>
          <w:szCs w:val="24"/>
        </w:rPr>
        <w:t>no later than</w:t>
      </w:r>
      <w:r w:rsidR="006659D1" w:rsidRPr="00450096">
        <w:rPr>
          <w:sz w:val="24"/>
          <w:szCs w:val="24"/>
        </w:rPr>
        <w:t xml:space="preserve"> Friday, </w:t>
      </w:r>
      <w:r w:rsidR="00FC2644">
        <w:rPr>
          <w:sz w:val="24"/>
          <w:szCs w:val="24"/>
        </w:rPr>
        <w:t>April 3</w:t>
      </w:r>
      <w:r w:rsidR="006659D1" w:rsidRPr="00450096">
        <w:rPr>
          <w:sz w:val="24"/>
          <w:szCs w:val="24"/>
        </w:rPr>
        <w:t>, 201</w:t>
      </w:r>
      <w:r w:rsidR="00FC2644">
        <w:rPr>
          <w:sz w:val="24"/>
          <w:szCs w:val="24"/>
        </w:rPr>
        <w:t>5</w:t>
      </w:r>
      <w:r w:rsidR="006659D1" w:rsidRPr="00450096">
        <w:rPr>
          <w:sz w:val="24"/>
          <w:szCs w:val="24"/>
        </w:rPr>
        <w:t xml:space="preserve">, to provide stakeholders the opportunity to prepare </w:t>
      </w:r>
      <w:r w:rsidR="00183A7E">
        <w:rPr>
          <w:sz w:val="24"/>
          <w:szCs w:val="24"/>
        </w:rPr>
        <w:t xml:space="preserve">clarification </w:t>
      </w:r>
      <w:r w:rsidR="006659D1" w:rsidRPr="00450096">
        <w:rPr>
          <w:sz w:val="24"/>
          <w:szCs w:val="24"/>
        </w:rPr>
        <w:t xml:space="preserve">questions in advance of the meeting.  </w:t>
      </w:r>
    </w:p>
    <w:p w:rsidR="00183A7E" w:rsidRDefault="00183A7E" w:rsidP="00E43A98">
      <w:pPr>
        <w:rPr>
          <w:sz w:val="24"/>
          <w:szCs w:val="24"/>
        </w:rPr>
      </w:pPr>
    </w:p>
    <w:p w:rsidR="00E43A98" w:rsidRPr="00450096" w:rsidRDefault="00E43A98" w:rsidP="00046AA8">
      <w:pPr>
        <w:ind w:firstLine="720"/>
        <w:rPr>
          <w:sz w:val="24"/>
          <w:szCs w:val="24"/>
        </w:rPr>
      </w:pPr>
      <w:r w:rsidRPr="00450096">
        <w:rPr>
          <w:sz w:val="24"/>
          <w:szCs w:val="24"/>
        </w:rPr>
        <w:t>This will be an informal meeting and</w:t>
      </w:r>
      <w:r w:rsidR="006744F0">
        <w:rPr>
          <w:sz w:val="24"/>
          <w:szCs w:val="24"/>
        </w:rPr>
        <w:t>,</w:t>
      </w:r>
      <w:r w:rsidRPr="00450096">
        <w:rPr>
          <w:sz w:val="24"/>
          <w:szCs w:val="24"/>
        </w:rPr>
        <w:t xml:space="preserve"> as such, there will be no transcription</w:t>
      </w:r>
      <w:r w:rsidR="006744F0">
        <w:rPr>
          <w:sz w:val="24"/>
          <w:szCs w:val="24"/>
        </w:rPr>
        <w:t xml:space="preserve"> of the meeting</w:t>
      </w:r>
      <w:r w:rsidR="00046AA8">
        <w:rPr>
          <w:sz w:val="24"/>
          <w:szCs w:val="24"/>
        </w:rPr>
        <w:t>.</w:t>
      </w:r>
      <w:r w:rsidR="0044224A">
        <w:rPr>
          <w:sz w:val="24"/>
          <w:szCs w:val="24"/>
        </w:rPr>
        <w:t xml:space="preserve"> </w:t>
      </w:r>
      <w:r w:rsidRPr="00450096">
        <w:rPr>
          <w:sz w:val="24"/>
          <w:szCs w:val="24"/>
        </w:rPr>
        <w:t xml:space="preserve"> </w:t>
      </w:r>
      <w:r w:rsidR="0044224A">
        <w:rPr>
          <w:sz w:val="24"/>
          <w:szCs w:val="24"/>
        </w:rPr>
        <w:t>Additionally, the meeting will be in-person only, with no call-in option available.</w:t>
      </w:r>
      <w:r w:rsidR="0044224A" w:rsidRPr="00450096">
        <w:rPr>
          <w:sz w:val="24"/>
          <w:szCs w:val="24"/>
        </w:rPr>
        <w:t xml:space="preserve"> </w:t>
      </w:r>
      <w:r w:rsidR="00046AA8">
        <w:rPr>
          <w:sz w:val="24"/>
          <w:szCs w:val="24"/>
        </w:rPr>
        <w:t xml:space="preserve"> N</w:t>
      </w:r>
      <w:r w:rsidRPr="00450096">
        <w:rPr>
          <w:sz w:val="24"/>
          <w:szCs w:val="24"/>
        </w:rPr>
        <w:t>o written comments will be accepted.</w:t>
      </w:r>
      <w:r w:rsidR="00FC2644">
        <w:rPr>
          <w:sz w:val="24"/>
          <w:szCs w:val="24"/>
        </w:rPr>
        <w:t xml:space="preserve">  </w:t>
      </w:r>
      <w:r w:rsidRPr="00450096">
        <w:rPr>
          <w:sz w:val="24"/>
          <w:szCs w:val="24"/>
        </w:rPr>
        <w:t xml:space="preserve">The Commission will solicit formal comments on the </w:t>
      </w:r>
      <w:r w:rsidR="00FC2644">
        <w:rPr>
          <w:sz w:val="24"/>
          <w:szCs w:val="24"/>
        </w:rPr>
        <w:t>SWE’s</w:t>
      </w:r>
      <w:r w:rsidRPr="00450096">
        <w:rPr>
          <w:sz w:val="24"/>
          <w:szCs w:val="24"/>
        </w:rPr>
        <w:t xml:space="preserve"> studies </w:t>
      </w:r>
      <w:r w:rsidR="00FC2644">
        <w:rPr>
          <w:sz w:val="24"/>
          <w:szCs w:val="24"/>
        </w:rPr>
        <w:t>through its Phase III implementation proceeding at the above-referenced docket</w:t>
      </w:r>
      <w:r w:rsidRPr="00450096">
        <w:rPr>
          <w:sz w:val="24"/>
          <w:szCs w:val="24"/>
        </w:rPr>
        <w:t>.</w:t>
      </w:r>
      <w:r w:rsidR="00CA73D1" w:rsidRPr="00CA73D1">
        <w:rPr>
          <w:sz w:val="24"/>
          <w:szCs w:val="24"/>
        </w:rPr>
        <w:t xml:space="preserve"> </w:t>
      </w:r>
      <w:r w:rsidR="00CA73D1">
        <w:rPr>
          <w:sz w:val="24"/>
          <w:szCs w:val="24"/>
        </w:rPr>
        <w:t xml:space="preserve"> </w:t>
      </w:r>
    </w:p>
    <w:p w:rsidR="00046AA8" w:rsidRDefault="00046AA8" w:rsidP="00046AA8">
      <w:pPr>
        <w:rPr>
          <w:sz w:val="24"/>
          <w:szCs w:val="24"/>
        </w:rPr>
      </w:pPr>
    </w:p>
    <w:p w:rsidR="006659D1" w:rsidRPr="00714802" w:rsidRDefault="00046AA8" w:rsidP="00046AA8">
      <w:pPr>
        <w:rPr>
          <w:sz w:val="24"/>
        </w:rPr>
      </w:pPr>
      <w:r>
        <w:rPr>
          <w:sz w:val="24"/>
          <w:szCs w:val="24"/>
        </w:rPr>
        <w:lastRenderedPageBreak/>
        <w:tab/>
        <w:t>A</w:t>
      </w:r>
      <w:r w:rsidR="006659D1">
        <w:rPr>
          <w:sz w:val="24"/>
          <w:szCs w:val="24"/>
        </w:rPr>
        <w:t xml:space="preserve">ny questions regarding this stakeholder meeting should be directed to Megan Good at 717-425-7583 or </w:t>
      </w:r>
      <w:hyperlink r:id="rId11" w:history="1">
        <w:r w:rsidR="006659D1" w:rsidRPr="00C54DEE">
          <w:rPr>
            <w:rStyle w:val="Hyperlink"/>
            <w:sz w:val="24"/>
            <w:szCs w:val="24"/>
          </w:rPr>
          <w:t>megagood@pa.gov</w:t>
        </w:r>
      </w:hyperlink>
      <w:r w:rsidR="006659D1">
        <w:rPr>
          <w:sz w:val="24"/>
          <w:szCs w:val="24"/>
        </w:rPr>
        <w:t>.</w:t>
      </w:r>
    </w:p>
    <w:p w:rsidR="006659D1" w:rsidRPr="004B781B" w:rsidRDefault="006659D1" w:rsidP="00710DBE"/>
    <w:p w:rsidR="00B23FFC" w:rsidRDefault="00D146D4" w:rsidP="00E43A98">
      <w:pPr>
        <w:rPr>
          <w:sz w:val="24"/>
          <w:szCs w:val="24"/>
        </w:rPr>
      </w:pPr>
      <w:bookmarkStart w:id="0" w:name="_GoBack"/>
      <w:r>
        <w:rPr>
          <w:noProof/>
        </w:rPr>
        <w:drawing>
          <wp:anchor distT="0" distB="0" distL="114300" distR="114300" simplePos="0" relativeHeight="251659264" behindDoc="1" locked="0" layoutInCell="1" allowOverlap="1" wp14:anchorId="5FE55BC6" wp14:editId="7CFE9D9B">
            <wp:simplePos x="0" y="0"/>
            <wp:positionH relativeFrom="column">
              <wp:posOffset>2169160</wp:posOffset>
            </wp:positionH>
            <wp:positionV relativeFrom="paragraph">
              <wp:posOffset>163830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10DBE">
        <w:rPr>
          <w:sz w:val="24"/>
          <w:szCs w:val="24"/>
        </w:rPr>
        <w:tab/>
      </w:r>
    </w:p>
    <w:p w:rsidR="003B4AA9" w:rsidRPr="007E6ACB" w:rsidRDefault="00C77F29" w:rsidP="00BE4A72">
      <w:pPr>
        <w:rPr>
          <w:sz w:val="24"/>
          <w:szCs w:val="24"/>
        </w:rPr>
      </w:pPr>
      <w:r w:rsidRPr="007E6ACB">
        <w:rPr>
          <w:sz w:val="24"/>
          <w:szCs w:val="24"/>
        </w:rPr>
        <w:t xml:space="preserve"> </w:t>
      </w:r>
    </w:p>
    <w:p w:rsidR="00BE4A72" w:rsidRPr="007E6ACB" w:rsidRDefault="00BE4A72" w:rsidP="00BE4A72">
      <w:pPr>
        <w:ind w:left="3600"/>
        <w:rPr>
          <w:sz w:val="24"/>
          <w:szCs w:val="24"/>
        </w:rPr>
      </w:pPr>
      <w:r w:rsidRPr="007E6ACB">
        <w:rPr>
          <w:sz w:val="24"/>
          <w:szCs w:val="24"/>
        </w:rPr>
        <w:tab/>
        <w:t>Sincerely,</w:t>
      </w:r>
    </w:p>
    <w:p w:rsidR="00BE4A72" w:rsidRPr="004B781B" w:rsidRDefault="00BE4A72" w:rsidP="00BE4A72">
      <w:pPr>
        <w:ind w:left="3600"/>
      </w:pPr>
    </w:p>
    <w:p w:rsidR="00325403" w:rsidRPr="004B781B" w:rsidRDefault="00325403" w:rsidP="004B781B"/>
    <w:p w:rsidR="006B773E" w:rsidRPr="004B781B" w:rsidRDefault="006B773E" w:rsidP="00BE4A72">
      <w:pPr>
        <w:ind w:left="3600"/>
      </w:pPr>
    </w:p>
    <w:p w:rsidR="002B37D7" w:rsidRPr="007E6ACB" w:rsidRDefault="00C77F29" w:rsidP="002B37D7">
      <w:pPr>
        <w:jc w:val="both"/>
        <w:rPr>
          <w:color w:val="000000"/>
          <w:sz w:val="24"/>
          <w:szCs w:val="24"/>
        </w:rPr>
      </w:pPr>
      <w:r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color w:val="000000"/>
          <w:sz w:val="24"/>
          <w:szCs w:val="24"/>
        </w:rPr>
        <w:t>Rosemary Chiavetta</w:t>
      </w:r>
    </w:p>
    <w:p w:rsidR="002B37D7" w:rsidRDefault="002B37D7" w:rsidP="002B37D7">
      <w:pPr>
        <w:jc w:val="both"/>
        <w:rPr>
          <w:color w:val="000000"/>
          <w:sz w:val="24"/>
          <w:szCs w:val="24"/>
        </w:rPr>
      </w:pP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t>Secretary</w:t>
      </w:r>
    </w:p>
    <w:p w:rsidR="006E7EF7" w:rsidRPr="007E6ACB" w:rsidRDefault="006E7EF7" w:rsidP="002B37D7">
      <w:pPr>
        <w:jc w:val="both"/>
        <w:rPr>
          <w:color w:val="000000"/>
          <w:sz w:val="24"/>
          <w:szCs w:val="24"/>
        </w:rPr>
      </w:pPr>
    </w:p>
    <w:p w:rsidR="002B37D7" w:rsidRPr="007E6ACB" w:rsidRDefault="002B37D7" w:rsidP="002B37D7">
      <w:pPr>
        <w:jc w:val="both"/>
        <w:rPr>
          <w:sz w:val="24"/>
          <w:szCs w:val="24"/>
        </w:rPr>
      </w:pPr>
      <w:r w:rsidRPr="007E6ACB">
        <w:rPr>
          <w:sz w:val="24"/>
          <w:szCs w:val="24"/>
        </w:rPr>
        <w:t>cc:</w:t>
      </w:r>
      <w:r w:rsidRPr="007E6ACB">
        <w:rPr>
          <w:sz w:val="24"/>
          <w:szCs w:val="24"/>
        </w:rPr>
        <w:tab/>
        <w:t>Chairman’s Office</w:t>
      </w:r>
    </w:p>
    <w:p w:rsidR="002B37D7" w:rsidRPr="007E6ACB" w:rsidRDefault="002B37D7" w:rsidP="002B37D7">
      <w:pPr>
        <w:jc w:val="both"/>
        <w:rPr>
          <w:sz w:val="24"/>
          <w:szCs w:val="24"/>
        </w:rPr>
      </w:pPr>
      <w:r w:rsidRPr="007E6ACB">
        <w:rPr>
          <w:sz w:val="24"/>
          <w:szCs w:val="24"/>
        </w:rPr>
        <w:tab/>
        <w:t>Vice Chairman’s Office</w:t>
      </w:r>
    </w:p>
    <w:p w:rsidR="002B37D7" w:rsidRDefault="002B37D7" w:rsidP="002B37D7">
      <w:pPr>
        <w:jc w:val="both"/>
        <w:rPr>
          <w:sz w:val="24"/>
          <w:szCs w:val="24"/>
        </w:rPr>
      </w:pPr>
      <w:r w:rsidRPr="007E6ACB">
        <w:rPr>
          <w:sz w:val="24"/>
          <w:szCs w:val="24"/>
        </w:rPr>
        <w:tab/>
        <w:t>Commissioners’ Office</w:t>
      </w:r>
      <w:r w:rsidR="00541DB3">
        <w:rPr>
          <w:sz w:val="24"/>
          <w:szCs w:val="24"/>
        </w:rPr>
        <w:t>s</w:t>
      </w:r>
    </w:p>
    <w:p w:rsidR="00C55BE6" w:rsidRPr="007E6ACB" w:rsidRDefault="00C55BE6" w:rsidP="002B37D7">
      <w:pPr>
        <w:jc w:val="both"/>
        <w:rPr>
          <w:sz w:val="24"/>
          <w:szCs w:val="24"/>
        </w:rPr>
      </w:pPr>
      <w:r>
        <w:rPr>
          <w:sz w:val="24"/>
          <w:szCs w:val="24"/>
        </w:rPr>
        <w:tab/>
        <w:t>Jan Freeman, Executive Director</w:t>
      </w:r>
    </w:p>
    <w:p w:rsidR="002B37D7" w:rsidRPr="007E6ACB" w:rsidRDefault="002B37D7" w:rsidP="002B37D7">
      <w:pPr>
        <w:jc w:val="both"/>
        <w:rPr>
          <w:sz w:val="24"/>
          <w:szCs w:val="24"/>
        </w:rPr>
      </w:pPr>
      <w:r w:rsidRPr="007E6ACB">
        <w:rPr>
          <w:sz w:val="24"/>
          <w:szCs w:val="24"/>
        </w:rPr>
        <w:tab/>
      </w:r>
      <w:r w:rsidR="006E7EF7">
        <w:rPr>
          <w:sz w:val="24"/>
          <w:szCs w:val="24"/>
        </w:rPr>
        <w:t>Mary Beth Osborne</w:t>
      </w:r>
      <w:r w:rsidRPr="007E6ACB">
        <w:rPr>
          <w:sz w:val="24"/>
          <w:szCs w:val="24"/>
        </w:rPr>
        <w:t xml:space="preserve">, Director of </w:t>
      </w:r>
      <w:r w:rsidR="00C55BE6">
        <w:rPr>
          <w:sz w:val="24"/>
          <w:szCs w:val="24"/>
        </w:rPr>
        <w:t xml:space="preserve">Regulatory </w:t>
      </w:r>
      <w:r w:rsidR="007979FC">
        <w:rPr>
          <w:sz w:val="24"/>
          <w:szCs w:val="24"/>
        </w:rPr>
        <w:t>Affairs</w:t>
      </w:r>
    </w:p>
    <w:p w:rsidR="002B37D7" w:rsidRPr="007E6ACB" w:rsidRDefault="002B37D7" w:rsidP="002B37D7">
      <w:pPr>
        <w:jc w:val="both"/>
        <w:rPr>
          <w:sz w:val="24"/>
          <w:szCs w:val="24"/>
        </w:rPr>
      </w:pPr>
      <w:r w:rsidRPr="007E6ACB">
        <w:rPr>
          <w:sz w:val="24"/>
          <w:szCs w:val="24"/>
        </w:rPr>
        <w:tab/>
        <w:t>Bohdan R. Pankiw, Chief Counsel</w:t>
      </w:r>
    </w:p>
    <w:p w:rsidR="002B37D7" w:rsidRDefault="002B37D7" w:rsidP="002B37D7">
      <w:pPr>
        <w:jc w:val="both"/>
        <w:rPr>
          <w:sz w:val="24"/>
          <w:szCs w:val="24"/>
        </w:rPr>
      </w:pPr>
      <w:r w:rsidRPr="007E6ACB">
        <w:rPr>
          <w:sz w:val="24"/>
          <w:szCs w:val="24"/>
        </w:rPr>
        <w:tab/>
        <w:t>Robert F. Young, Deputy Chief Counsel</w:t>
      </w:r>
    </w:p>
    <w:p w:rsidR="00785B5A" w:rsidRPr="007E6ACB" w:rsidRDefault="00785B5A" w:rsidP="002B37D7">
      <w:pPr>
        <w:jc w:val="both"/>
        <w:rPr>
          <w:sz w:val="24"/>
          <w:szCs w:val="24"/>
        </w:rPr>
      </w:pPr>
      <w:r>
        <w:rPr>
          <w:sz w:val="24"/>
          <w:szCs w:val="24"/>
        </w:rPr>
        <w:tab/>
        <w:t>Kriss Brown, Assistant Counsel</w:t>
      </w:r>
    </w:p>
    <w:p w:rsidR="002B37D7" w:rsidRDefault="002B37D7" w:rsidP="002B37D7">
      <w:pPr>
        <w:jc w:val="both"/>
        <w:rPr>
          <w:sz w:val="24"/>
          <w:szCs w:val="24"/>
        </w:rPr>
      </w:pPr>
      <w:r w:rsidRPr="007E6ACB">
        <w:rPr>
          <w:sz w:val="24"/>
          <w:szCs w:val="24"/>
        </w:rPr>
        <w:tab/>
      </w:r>
      <w:r w:rsidR="00DC06D2">
        <w:rPr>
          <w:sz w:val="24"/>
          <w:szCs w:val="24"/>
        </w:rPr>
        <w:t>Paul T. Diskin</w:t>
      </w:r>
      <w:r w:rsidRPr="007E6ACB">
        <w:rPr>
          <w:sz w:val="24"/>
          <w:szCs w:val="24"/>
        </w:rPr>
        <w:t xml:space="preserve">, Director, </w:t>
      </w:r>
      <w:r w:rsidR="00DC06D2">
        <w:rPr>
          <w:sz w:val="24"/>
          <w:szCs w:val="24"/>
        </w:rPr>
        <w:t>Technical Utility Services</w:t>
      </w:r>
    </w:p>
    <w:p w:rsidR="00C77F29" w:rsidRDefault="006F614A" w:rsidP="006B773E">
      <w:pPr>
        <w:jc w:val="both"/>
        <w:rPr>
          <w:sz w:val="24"/>
          <w:szCs w:val="24"/>
        </w:rPr>
      </w:pPr>
      <w:r>
        <w:rPr>
          <w:sz w:val="24"/>
          <w:szCs w:val="24"/>
        </w:rPr>
        <w:tab/>
        <w:t>Darren</w:t>
      </w:r>
      <w:r w:rsidR="00D53F6A">
        <w:rPr>
          <w:sz w:val="24"/>
          <w:szCs w:val="24"/>
        </w:rPr>
        <w:t xml:space="preserve"> D.</w:t>
      </w:r>
      <w:r>
        <w:rPr>
          <w:sz w:val="24"/>
          <w:szCs w:val="24"/>
        </w:rPr>
        <w:t xml:space="preserve"> Gill, </w:t>
      </w:r>
      <w:r w:rsidR="00C07570">
        <w:rPr>
          <w:sz w:val="24"/>
          <w:szCs w:val="24"/>
        </w:rPr>
        <w:t>Deputy Director</w:t>
      </w:r>
      <w:r>
        <w:rPr>
          <w:sz w:val="24"/>
          <w:szCs w:val="24"/>
        </w:rPr>
        <w:t xml:space="preserve">, </w:t>
      </w:r>
      <w:r w:rsidR="00C07570">
        <w:rPr>
          <w:sz w:val="24"/>
          <w:szCs w:val="24"/>
        </w:rPr>
        <w:t>Technical Utility Services</w:t>
      </w:r>
    </w:p>
    <w:p w:rsidR="006E7EF7" w:rsidRDefault="006E7EF7" w:rsidP="006E7EF7">
      <w:pPr>
        <w:jc w:val="both"/>
        <w:rPr>
          <w:sz w:val="24"/>
          <w:szCs w:val="24"/>
        </w:rPr>
      </w:pPr>
      <w:r>
        <w:rPr>
          <w:sz w:val="24"/>
          <w:szCs w:val="24"/>
        </w:rPr>
        <w:tab/>
        <w:t>Joseph M. Sherrick, Supervisor, Technical Utility Services</w:t>
      </w:r>
    </w:p>
    <w:p w:rsidR="00404133" w:rsidRDefault="006E7EF7" w:rsidP="006E7EF7">
      <w:pPr>
        <w:jc w:val="both"/>
        <w:rPr>
          <w:sz w:val="24"/>
          <w:szCs w:val="24"/>
        </w:rPr>
      </w:pPr>
      <w:r>
        <w:rPr>
          <w:sz w:val="24"/>
          <w:szCs w:val="24"/>
        </w:rPr>
        <w:tab/>
        <w:t>Megan G. Good, Analyst, Technical Utility Services</w:t>
      </w:r>
    </w:p>
    <w:p w:rsidR="00404133" w:rsidRDefault="00404133">
      <w:pPr>
        <w:rPr>
          <w:sz w:val="24"/>
          <w:szCs w:val="24"/>
        </w:rPr>
      </w:pPr>
      <w:r>
        <w:rPr>
          <w:sz w:val="24"/>
          <w:szCs w:val="24"/>
        </w:rPr>
        <w:br w:type="page"/>
      </w:r>
    </w:p>
    <w:tbl>
      <w:tblPr>
        <w:tblW w:w="10890" w:type="dxa"/>
        <w:tblInd w:w="-702" w:type="dxa"/>
        <w:tblLayout w:type="fixed"/>
        <w:tblLook w:val="0000" w:firstRow="0" w:lastRow="0" w:firstColumn="0" w:lastColumn="0" w:noHBand="0" w:noVBand="0"/>
      </w:tblPr>
      <w:tblGrid>
        <w:gridCol w:w="1363"/>
        <w:gridCol w:w="8087"/>
        <w:gridCol w:w="1440"/>
      </w:tblGrid>
      <w:tr w:rsidR="00404133" w:rsidTr="00675A36">
        <w:trPr>
          <w:trHeight w:val="990"/>
        </w:trPr>
        <w:tc>
          <w:tcPr>
            <w:tcW w:w="1363" w:type="dxa"/>
          </w:tcPr>
          <w:p w:rsidR="00404133" w:rsidRDefault="00404133" w:rsidP="00675A36">
            <w:pPr>
              <w:rPr>
                <w:sz w:val="24"/>
              </w:rPr>
            </w:pPr>
            <w:r>
              <w:rPr>
                <w:noProof/>
                <w:spacing w:val="-2"/>
              </w:rPr>
              <w:lastRenderedPageBreak/>
              <w:drawing>
                <wp:inline distT="0" distB="0" distL="0" distR="0" wp14:anchorId="66843268" wp14:editId="788EB20B">
                  <wp:extent cx="723900" cy="723900"/>
                  <wp:effectExtent l="19050" t="0" r="0" b="0"/>
                  <wp:docPr id="7" name="Picture 7"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404133" w:rsidRDefault="00404133" w:rsidP="00675A36">
            <w:pPr>
              <w:suppressAutoHyphens/>
              <w:spacing w:line="204" w:lineRule="auto"/>
              <w:jc w:val="center"/>
              <w:rPr>
                <w:rFonts w:ascii="Arial" w:hAnsi="Arial"/>
                <w:color w:val="000080"/>
                <w:spacing w:val="-3"/>
                <w:sz w:val="26"/>
              </w:rPr>
            </w:pPr>
          </w:p>
          <w:p w:rsidR="00404133" w:rsidRDefault="00404133" w:rsidP="00675A3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04133" w:rsidRDefault="00404133" w:rsidP="00675A3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04133" w:rsidRDefault="00404133" w:rsidP="00675A3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404133" w:rsidRDefault="00404133" w:rsidP="00675A36">
            <w:pPr>
              <w:rPr>
                <w:rFonts w:ascii="Arial" w:hAnsi="Arial"/>
                <w:sz w:val="12"/>
              </w:rPr>
            </w:pPr>
          </w:p>
          <w:p w:rsidR="00404133" w:rsidRDefault="00404133" w:rsidP="00675A36">
            <w:pPr>
              <w:rPr>
                <w:rFonts w:ascii="Arial" w:hAnsi="Arial"/>
                <w:sz w:val="12"/>
              </w:rPr>
            </w:pPr>
          </w:p>
          <w:p w:rsidR="00404133" w:rsidRDefault="00404133" w:rsidP="00675A36">
            <w:pPr>
              <w:jc w:val="right"/>
              <w:rPr>
                <w:rFonts w:ascii="Arial" w:hAnsi="Arial"/>
                <w:b/>
                <w:spacing w:val="-1"/>
                <w:sz w:val="12"/>
              </w:rPr>
            </w:pPr>
            <w:r>
              <w:rPr>
                <w:rFonts w:ascii="Arial" w:hAnsi="Arial"/>
                <w:b/>
                <w:spacing w:val="-1"/>
                <w:sz w:val="12"/>
              </w:rPr>
              <w:t>IN REPLY PLEASE REFER TO OUR FILE</w:t>
            </w:r>
          </w:p>
          <w:p w:rsidR="00404133" w:rsidRDefault="005138E9" w:rsidP="00675A36">
            <w:pPr>
              <w:jc w:val="right"/>
              <w:rPr>
                <w:sz w:val="16"/>
                <w:szCs w:val="16"/>
              </w:rPr>
            </w:pPr>
            <w:r>
              <w:rPr>
                <w:sz w:val="16"/>
                <w:szCs w:val="16"/>
              </w:rPr>
              <w:t>M-2014-2424864</w:t>
            </w:r>
          </w:p>
          <w:p w:rsidR="00404133" w:rsidRPr="00E23926" w:rsidRDefault="00404133" w:rsidP="00675A36">
            <w:pPr>
              <w:jc w:val="right"/>
              <w:rPr>
                <w:rFonts w:ascii="Arial" w:hAnsi="Arial"/>
                <w:sz w:val="16"/>
                <w:szCs w:val="16"/>
              </w:rPr>
            </w:pPr>
          </w:p>
        </w:tc>
      </w:tr>
    </w:tbl>
    <w:p w:rsidR="006E7EF7" w:rsidRDefault="006E7EF7" w:rsidP="006E7EF7">
      <w:pPr>
        <w:jc w:val="both"/>
        <w:rPr>
          <w:sz w:val="26"/>
          <w:szCs w:val="26"/>
        </w:rPr>
      </w:pPr>
    </w:p>
    <w:p w:rsidR="00404133" w:rsidRDefault="00404133" w:rsidP="00404133">
      <w:pPr>
        <w:jc w:val="center"/>
        <w:rPr>
          <w:b/>
          <w:sz w:val="24"/>
          <w:szCs w:val="24"/>
        </w:rPr>
      </w:pPr>
      <w:r>
        <w:rPr>
          <w:b/>
          <w:sz w:val="24"/>
          <w:szCs w:val="24"/>
        </w:rPr>
        <w:t>ACT</w:t>
      </w:r>
      <w:r w:rsidRPr="00AC472A">
        <w:rPr>
          <w:b/>
          <w:sz w:val="24"/>
          <w:szCs w:val="24"/>
        </w:rPr>
        <w:t xml:space="preserve"> 129</w:t>
      </w:r>
      <w:r w:rsidR="00A0034F">
        <w:rPr>
          <w:b/>
          <w:sz w:val="24"/>
          <w:szCs w:val="24"/>
        </w:rPr>
        <w:t xml:space="preserve"> STATEWIDE EVALUATOR ENERGY EFFICIENCY AND DEMAND RESPONSE MARKET POTENTIAL STUDIES STAKEHOLDER MEETING</w:t>
      </w:r>
    </w:p>
    <w:p w:rsidR="00404133" w:rsidRPr="00AC472A" w:rsidRDefault="00404133" w:rsidP="00404133">
      <w:pPr>
        <w:jc w:val="both"/>
        <w:rPr>
          <w:sz w:val="24"/>
          <w:szCs w:val="24"/>
        </w:rPr>
      </w:pPr>
    </w:p>
    <w:p w:rsidR="00404133" w:rsidRPr="00450096" w:rsidRDefault="00404133" w:rsidP="00404133">
      <w:pPr>
        <w:jc w:val="center"/>
        <w:rPr>
          <w:b/>
          <w:sz w:val="24"/>
          <w:szCs w:val="24"/>
        </w:rPr>
      </w:pPr>
      <w:r w:rsidRPr="00450096">
        <w:rPr>
          <w:b/>
          <w:sz w:val="24"/>
          <w:szCs w:val="24"/>
        </w:rPr>
        <w:t>COMMONWEALTH KEYSTONE BUILDING</w:t>
      </w:r>
    </w:p>
    <w:p w:rsidR="00404133" w:rsidRPr="00450096" w:rsidRDefault="00404133" w:rsidP="00404133">
      <w:pPr>
        <w:jc w:val="center"/>
        <w:rPr>
          <w:b/>
          <w:sz w:val="24"/>
          <w:szCs w:val="24"/>
        </w:rPr>
      </w:pPr>
      <w:r w:rsidRPr="00450096">
        <w:rPr>
          <w:b/>
          <w:sz w:val="24"/>
          <w:szCs w:val="24"/>
        </w:rPr>
        <w:t>HEARING ROOM 1</w:t>
      </w:r>
    </w:p>
    <w:p w:rsidR="00404133" w:rsidRPr="00450096" w:rsidRDefault="00404133" w:rsidP="00404133">
      <w:pPr>
        <w:jc w:val="center"/>
        <w:rPr>
          <w:b/>
          <w:sz w:val="24"/>
          <w:szCs w:val="24"/>
        </w:rPr>
      </w:pPr>
      <w:r w:rsidRPr="00450096">
        <w:rPr>
          <w:b/>
          <w:sz w:val="24"/>
          <w:szCs w:val="24"/>
        </w:rPr>
        <w:t>400 NORTH STREET</w:t>
      </w:r>
    </w:p>
    <w:p w:rsidR="00404133" w:rsidRPr="00450096" w:rsidRDefault="00404133" w:rsidP="00404133">
      <w:pPr>
        <w:jc w:val="center"/>
        <w:rPr>
          <w:b/>
          <w:sz w:val="24"/>
          <w:szCs w:val="24"/>
        </w:rPr>
      </w:pPr>
      <w:r w:rsidRPr="00450096">
        <w:rPr>
          <w:b/>
          <w:sz w:val="24"/>
          <w:szCs w:val="24"/>
        </w:rPr>
        <w:t>HARRISBURG, PA 17120</w:t>
      </w:r>
    </w:p>
    <w:p w:rsidR="00404133" w:rsidRPr="00450096" w:rsidRDefault="00FC2644" w:rsidP="00404133">
      <w:pPr>
        <w:jc w:val="center"/>
        <w:rPr>
          <w:b/>
          <w:sz w:val="24"/>
          <w:szCs w:val="24"/>
        </w:rPr>
      </w:pPr>
      <w:r>
        <w:rPr>
          <w:b/>
          <w:sz w:val="24"/>
          <w:szCs w:val="24"/>
        </w:rPr>
        <w:t>APRIL 8, 2015</w:t>
      </w:r>
    </w:p>
    <w:p w:rsidR="00404133" w:rsidRPr="00FC2644" w:rsidRDefault="00FC2644" w:rsidP="00404133">
      <w:pPr>
        <w:jc w:val="center"/>
        <w:rPr>
          <w:b/>
          <w:sz w:val="24"/>
          <w:szCs w:val="24"/>
        </w:rPr>
      </w:pPr>
      <w:r>
        <w:rPr>
          <w:b/>
          <w:sz w:val="24"/>
          <w:szCs w:val="24"/>
        </w:rPr>
        <w:t>9:30 A.M. – 3:00 P.M.</w:t>
      </w:r>
    </w:p>
    <w:p w:rsidR="00404133" w:rsidRDefault="00404133" w:rsidP="00404133">
      <w:pPr>
        <w:jc w:val="both"/>
        <w:rPr>
          <w:szCs w:val="24"/>
        </w:rPr>
      </w:pPr>
    </w:p>
    <w:p w:rsidR="00404133" w:rsidRDefault="00404133" w:rsidP="00404133">
      <w:pPr>
        <w:jc w:val="center"/>
        <w:rPr>
          <w:sz w:val="32"/>
          <w:szCs w:val="32"/>
        </w:rPr>
      </w:pPr>
      <w:r>
        <w:rPr>
          <w:b/>
          <w:sz w:val="32"/>
          <w:szCs w:val="32"/>
          <w:u w:val="single"/>
        </w:rPr>
        <w:t>AGENDA</w:t>
      </w:r>
    </w:p>
    <w:p w:rsidR="00404133" w:rsidRDefault="00404133" w:rsidP="00404133">
      <w:pPr>
        <w:rPr>
          <w:sz w:val="32"/>
          <w:szCs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7141"/>
      </w:tblGrid>
      <w:tr w:rsidR="005C5EF3" w:rsidTr="005C5EF3">
        <w:trPr>
          <w:trHeight w:val="462"/>
          <w:jc w:val="center"/>
        </w:trPr>
        <w:tc>
          <w:tcPr>
            <w:tcW w:w="77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I.</w:t>
            </w:r>
          </w:p>
        </w:tc>
        <w:tc>
          <w:tcPr>
            <w:tcW w:w="714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WELCOME – Paul Diskin, Director, TUS</w:t>
            </w:r>
          </w:p>
        </w:tc>
      </w:tr>
      <w:tr w:rsidR="005C5EF3" w:rsidTr="005C5EF3">
        <w:trPr>
          <w:trHeight w:val="799"/>
          <w:jc w:val="center"/>
        </w:trPr>
        <w:tc>
          <w:tcPr>
            <w:tcW w:w="77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II.</w:t>
            </w:r>
          </w:p>
        </w:tc>
        <w:tc>
          <w:tcPr>
            <w:tcW w:w="714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INTRODUCTIONS &amp; OPENING REMARKS – Darren Gill, Deputy Director, TUS</w:t>
            </w:r>
          </w:p>
        </w:tc>
      </w:tr>
      <w:tr w:rsidR="005C5EF3" w:rsidTr="005C5EF3">
        <w:trPr>
          <w:trHeight w:val="799"/>
          <w:jc w:val="center"/>
        </w:trPr>
        <w:tc>
          <w:tcPr>
            <w:tcW w:w="77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III.</w:t>
            </w:r>
          </w:p>
        </w:tc>
        <w:tc>
          <w:tcPr>
            <w:tcW w:w="7141" w:type="dxa"/>
          </w:tcPr>
          <w:p w:rsidR="005C5EF3" w:rsidRPr="005C5EF3" w:rsidRDefault="005C5EF3" w:rsidP="00046AA8">
            <w:pPr>
              <w:spacing w:before="120"/>
              <w:ind w:left="346"/>
              <w:rPr>
                <w:rFonts w:ascii="Times New Roman" w:hAnsi="Times New Roman" w:cs="Times New Roman"/>
                <w:sz w:val="24"/>
                <w:szCs w:val="24"/>
              </w:rPr>
            </w:pPr>
            <w:r w:rsidRPr="005C5EF3">
              <w:rPr>
                <w:rFonts w:ascii="Times New Roman" w:hAnsi="Times New Roman" w:cs="Times New Roman"/>
                <w:sz w:val="24"/>
                <w:szCs w:val="24"/>
              </w:rPr>
              <w:t xml:space="preserve">PRESENTATION OF DEMAND RESPONSE POTENTIAL STUDY RESULTS (1 hour) – </w:t>
            </w:r>
            <w:r w:rsidR="00046AA8">
              <w:rPr>
                <w:rFonts w:ascii="Times New Roman" w:hAnsi="Times New Roman" w:cs="Times New Roman"/>
                <w:sz w:val="24"/>
                <w:szCs w:val="24"/>
              </w:rPr>
              <w:t>Jeffrey Huber and Tyler Hammer</w:t>
            </w:r>
            <w:r w:rsidRPr="005C5EF3">
              <w:rPr>
                <w:rFonts w:ascii="Times New Roman" w:hAnsi="Times New Roman" w:cs="Times New Roman"/>
                <w:sz w:val="24"/>
                <w:szCs w:val="24"/>
              </w:rPr>
              <w:t>, Statewide Evaluator Team</w:t>
            </w:r>
          </w:p>
        </w:tc>
      </w:tr>
      <w:tr w:rsidR="005C5EF3" w:rsidTr="005C5EF3">
        <w:trPr>
          <w:trHeight w:val="1120"/>
          <w:jc w:val="center"/>
        </w:trPr>
        <w:tc>
          <w:tcPr>
            <w:tcW w:w="77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IV.</w:t>
            </w:r>
          </w:p>
        </w:tc>
        <w:tc>
          <w:tcPr>
            <w:tcW w:w="714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QUESTION &amp; ANSWER SESSION REGARDING DEMAND RESPONSE POTENTIAL STUDY RESULTS (1 hour)</w:t>
            </w:r>
            <w:r>
              <w:rPr>
                <w:rFonts w:ascii="Times New Roman" w:hAnsi="Times New Roman" w:cs="Times New Roman"/>
                <w:sz w:val="24"/>
                <w:szCs w:val="24"/>
              </w:rPr>
              <w:t xml:space="preserve"> – Darren Gill</w:t>
            </w:r>
          </w:p>
        </w:tc>
      </w:tr>
      <w:tr w:rsidR="005C5EF3" w:rsidTr="005C5EF3">
        <w:trPr>
          <w:trHeight w:val="462"/>
          <w:jc w:val="center"/>
        </w:trPr>
        <w:tc>
          <w:tcPr>
            <w:tcW w:w="77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V.</w:t>
            </w:r>
          </w:p>
        </w:tc>
        <w:tc>
          <w:tcPr>
            <w:tcW w:w="714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BREAK (1.5 hours)</w:t>
            </w:r>
          </w:p>
        </w:tc>
      </w:tr>
      <w:tr w:rsidR="005C5EF3" w:rsidTr="005C5EF3">
        <w:trPr>
          <w:trHeight w:val="1120"/>
          <w:jc w:val="center"/>
        </w:trPr>
        <w:tc>
          <w:tcPr>
            <w:tcW w:w="77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VI.</w:t>
            </w:r>
          </w:p>
        </w:tc>
        <w:tc>
          <w:tcPr>
            <w:tcW w:w="7141" w:type="dxa"/>
          </w:tcPr>
          <w:p w:rsidR="005C5EF3" w:rsidRPr="005C5EF3" w:rsidRDefault="005C5EF3" w:rsidP="00046AA8">
            <w:pPr>
              <w:spacing w:before="120"/>
              <w:ind w:left="346"/>
              <w:rPr>
                <w:rFonts w:ascii="Times New Roman" w:hAnsi="Times New Roman" w:cs="Times New Roman"/>
                <w:sz w:val="24"/>
                <w:szCs w:val="24"/>
              </w:rPr>
            </w:pPr>
            <w:r w:rsidRPr="005C5EF3">
              <w:rPr>
                <w:rFonts w:ascii="Times New Roman" w:hAnsi="Times New Roman" w:cs="Times New Roman"/>
                <w:sz w:val="24"/>
                <w:szCs w:val="24"/>
              </w:rPr>
              <w:t xml:space="preserve">PRESENTATION OF ENERGY EFFICIENCY MARKET POTENTIAL STUDY RESULTS (1 hour) – </w:t>
            </w:r>
            <w:r w:rsidR="00046AA8">
              <w:rPr>
                <w:rFonts w:ascii="Times New Roman" w:hAnsi="Times New Roman" w:cs="Times New Roman"/>
                <w:sz w:val="24"/>
                <w:szCs w:val="24"/>
              </w:rPr>
              <w:t>Dick Spellman and Jesse Smith</w:t>
            </w:r>
            <w:r w:rsidRPr="005C5EF3">
              <w:rPr>
                <w:rFonts w:ascii="Times New Roman" w:hAnsi="Times New Roman" w:cs="Times New Roman"/>
                <w:sz w:val="24"/>
                <w:szCs w:val="24"/>
              </w:rPr>
              <w:t>, Statewide Evaluator Team</w:t>
            </w:r>
          </w:p>
        </w:tc>
      </w:tr>
      <w:tr w:rsidR="005C5EF3" w:rsidTr="005C5EF3">
        <w:trPr>
          <w:trHeight w:val="1138"/>
          <w:jc w:val="center"/>
        </w:trPr>
        <w:tc>
          <w:tcPr>
            <w:tcW w:w="77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VII.</w:t>
            </w:r>
          </w:p>
        </w:tc>
        <w:tc>
          <w:tcPr>
            <w:tcW w:w="714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QUESTION &amp; ANSWER SESSION REGARDING ENERGY EFFICIENCY POTENTIAL STUDY RESULTS (1 hour) – Darren Gill</w:t>
            </w:r>
          </w:p>
        </w:tc>
      </w:tr>
      <w:tr w:rsidR="005C5EF3" w:rsidTr="005C5EF3">
        <w:trPr>
          <w:trHeight w:val="462"/>
          <w:jc w:val="center"/>
        </w:trPr>
        <w:tc>
          <w:tcPr>
            <w:tcW w:w="77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VIII.</w:t>
            </w:r>
          </w:p>
        </w:tc>
        <w:tc>
          <w:tcPr>
            <w:tcW w:w="7141" w:type="dxa"/>
          </w:tcPr>
          <w:p w:rsidR="005C5EF3" w:rsidRPr="005C5EF3" w:rsidRDefault="005C5EF3" w:rsidP="005C5EF3">
            <w:pPr>
              <w:spacing w:before="120"/>
              <w:ind w:left="346"/>
              <w:rPr>
                <w:rFonts w:ascii="Times New Roman" w:hAnsi="Times New Roman" w:cs="Times New Roman"/>
                <w:sz w:val="24"/>
                <w:szCs w:val="24"/>
              </w:rPr>
            </w:pPr>
            <w:r w:rsidRPr="005C5EF3">
              <w:rPr>
                <w:rFonts w:ascii="Times New Roman" w:hAnsi="Times New Roman" w:cs="Times New Roman"/>
                <w:sz w:val="24"/>
                <w:szCs w:val="24"/>
              </w:rPr>
              <w:t>CLOSING REMARKS – Darren Gill</w:t>
            </w:r>
          </w:p>
        </w:tc>
      </w:tr>
    </w:tbl>
    <w:tbl>
      <w:tblPr>
        <w:tblW w:w="900" w:type="dxa"/>
        <w:tblInd w:w="198" w:type="dxa"/>
        <w:tblLook w:val="04A0" w:firstRow="1" w:lastRow="0" w:firstColumn="1" w:lastColumn="0" w:noHBand="0" w:noVBand="1"/>
      </w:tblPr>
      <w:tblGrid>
        <w:gridCol w:w="900"/>
      </w:tblGrid>
      <w:tr w:rsidR="005C5EF3" w:rsidTr="005C5EF3">
        <w:tc>
          <w:tcPr>
            <w:tcW w:w="900" w:type="dxa"/>
            <w:shd w:val="clear" w:color="auto" w:fill="auto"/>
          </w:tcPr>
          <w:p w:rsidR="005C5EF3" w:rsidRPr="00AC472A" w:rsidRDefault="005C5EF3" w:rsidP="005C5EF3">
            <w:pPr>
              <w:rPr>
                <w:rFonts w:eastAsia="Calibri"/>
                <w:sz w:val="24"/>
                <w:szCs w:val="24"/>
              </w:rPr>
            </w:pPr>
          </w:p>
        </w:tc>
      </w:tr>
    </w:tbl>
    <w:p w:rsidR="00404133" w:rsidRDefault="00404133" w:rsidP="006E7EF7">
      <w:pPr>
        <w:jc w:val="both"/>
        <w:rPr>
          <w:sz w:val="26"/>
          <w:szCs w:val="26"/>
        </w:rPr>
      </w:pPr>
    </w:p>
    <w:sectPr w:rsidR="00404133" w:rsidSect="004B781B">
      <w:footerReference w:type="even" r:id="rId13"/>
      <w:footerReference w:type="default" r:id="rId14"/>
      <w:footerReference w:type="first" r:id="rId15"/>
      <w:pgSz w:w="12240" w:h="15840"/>
      <w:pgMar w:top="432" w:right="1440" w:bottom="144"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C55" w:rsidRDefault="004A0C55">
      <w:r>
        <w:separator/>
      </w:r>
    </w:p>
  </w:endnote>
  <w:endnote w:type="continuationSeparator" w:id="0">
    <w:p w:rsidR="004A0C55" w:rsidRDefault="004A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36" w:rsidRDefault="00675A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75A36" w:rsidRDefault="00675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2345"/>
      <w:docPartObj>
        <w:docPartGallery w:val="Page Numbers (Bottom of Page)"/>
        <w:docPartUnique/>
      </w:docPartObj>
    </w:sdtPr>
    <w:sdtEndPr/>
    <w:sdtContent>
      <w:p w:rsidR="00675A36" w:rsidRDefault="00675A36">
        <w:pPr>
          <w:pStyle w:val="Footer"/>
          <w:jc w:val="center"/>
        </w:pPr>
        <w:r w:rsidRPr="00AD0A9B">
          <w:rPr>
            <w:sz w:val="26"/>
            <w:szCs w:val="26"/>
          </w:rPr>
          <w:fldChar w:fldCharType="begin"/>
        </w:r>
        <w:r w:rsidRPr="00AD0A9B">
          <w:rPr>
            <w:sz w:val="26"/>
            <w:szCs w:val="26"/>
          </w:rPr>
          <w:instrText xml:space="preserve"> PAGE   \* MERGEFORMAT </w:instrText>
        </w:r>
        <w:r w:rsidRPr="00AD0A9B">
          <w:rPr>
            <w:sz w:val="26"/>
            <w:szCs w:val="26"/>
          </w:rPr>
          <w:fldChar w:fldCharType="separate"/>
        </w:r>
        <w:r w:rsidR="00D146D4">
          <w:rPr>
            <w:noProof/>
            <w:sz w:val="26"/>
            <w:szCs w:val="26"/>
          </w:rPr>
          <w:t>2</w:t>
        </w:r>
        <w:r w:rsidRPr="00AD0A9B">
          <w:rPr>
            <w:sz w:val="26"/>
            <w:szCs w:val="26"/>
          </w:rPr>
          <w:fldChar w:fldCharType="end"/>
        </w:r>
      </w:p>
    </w:sdtContent>
  </w:sdt>
  <w:p w:rsidR="00675A36" w:rsidRDefault="00675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2281"/>
      <w:docPartObj>
        <w:docPartGallery w:val="Page Numbers (Bottom of Page)"/>
        <w:docPartUnique/>
      </w:docPartObj>
    </w:sdtPr>
    <w:sdtEndPr>
      <w:rPr>
        <w:noProof/>
      </w:rPr>
    </w:sdtEndPr>
    <w:sdtContent>
      <w:p w:rsidR="00675A36" w:rsidRDefault="00675A36">
        <w:pPr>
          <w:pStyle w:val="Footer"/>
          <w:jc w:val="center"/>
        </w:pPr>
        <w:r>
          <w:fldChar w:fldCharType="begin"/>
        </w:r>
        <w:r>
          <w:instrText xml:space="preserve"> PAGE   \* MERGEFORMAT </w:instrText>
        </w:r>
        <w:r>
          <w:fldChar w:fldCharType="separate"/>
        </w:r>
        <w:r w:rsidR="00D146D4">
          <w:rPr>
            <w:noProof/>
          </w:rPr>
          <w:t>1</w:t>
        </w:r>
        <w:r>
          <w:rPr>
            <w:noProof/>
          </w:rPr>
          <w:fldChar w:fldCharType="end"/>
        </w:r>
      </w:p>
    </w:sdtContent>
  </w:sdt>
  <w:p w:rsidR="00675A36" w:rsidRDefault="00675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C55" w:rsidRDefault="004A0C55">
      <w:r>
        <w:separator/>
      </w:r>
    </w:p>
  </w:footnote>
  <w:footnote w:type="continuationSeparator" w:id="0">
    <w:p w:rsidR="004A0C55" w:rsidRDefault="004A0C55">
      <w:r>
        <w:continuationSeparator/>
      </w:r>
    </w:p>
  </w:footnote>
  <w:footnote w:id="1">
    <w:p w:rsidR="00FC2644" w:rsidRPr="009070CE" w:rsidRDefault="00FC2644" w:rsidP="00FC2644">
      <w:pPr>
        <w:pStyle w:val="FootnoteText"/>
      </w:pPr>
      <w:r w:rsidRPr="009070CE">
        <w:rPr>
          <w:rStyle w:val="FootnoteReference"/>
        </w:rPr>
        <w:footnoteRef/>
      </w:r>
      <w:r w:rsidRPr="009070CE">
        <w:t xml:space="preserve"> </w:t>
      </w:r>
      <w:r w:rsidRPr="009070CE">
        <w:rPr>
          <w:i/>
        </w:rPr>
        <w:t>See, Request for Proposals – Act 129 Statewide Evaluator</w:t>
      </w:r>
      <w:r w:rsidRPr="009070CE">
        <w:t xml:space="preserve">, RFP-2012-8, Pennsylvania Public Utility Commission – Bureau </w:t>
      </w:r>
      <w:r>
        <w:t>of Technical Utility Services, (</w:t>
      </w:r>
      <w:r w:rsidRPr="009070CE">
        <w:t>November 30, 2012</w:t>
      </w:r>
      <w:r>
        <w:t>)</w:t>
      </w:r>
      <w:r w:rsidRPr="009070CE">
        <w:t>.</w:t>
      </w:r>
    </w:p>
  </w:footnote>
  <w:footnote w:id="2">
    <w:p w:rsidR="00FC2644" w:rsidRPr="009070CE" w:rsidRDefault="00FC2644" w:rsidP="00FC2644">
      <w:pPr>
        <w:pStyle w:val="FootnoteText"/>
      </w:pPr>
      <w:r w:rsidRPr="009070CE">
        <w:rPr>
          <w:rStyle w:val="FootnoteReference"/>
        </w:rPr>
        <w:footnoteRef/>
      </w:r>
      <w:r w:rsidRPr="009070CE">
        <w:t xml:space="preserve"> </w:t>
      </w:r>
      <w:r w:rsidRPr="009070CE">
        <w:rPr>
          <w:i/>
        </w:rPr>
        <w:t>See, Energy Efficiency and Conservation Program</w:t>
      </w:r>
      <w:r w:rsidRPr="009070CE">
        <w:t xml:space="preserve"> Final Order, at Docket No. M-2012-2289411, </w:t>
      </w:r>
      <w:r>
        <w:t>(</w:t>
      </w:r>
      <w:r w:rsidRPr="009070CE">
        <w:t>February 20, 2014</w:t>
      </w:r>
      <w:r>
        <w:t>)</w:t>
      </w:r>
      <w:r w:rsidRPr="009070CE">
        <w:t>.</w:t>
      </w:r>
    </w:p>
  </w:footnote>
  <w:footnote w:id="3">
    <w:p w:rsidR="006659D1" w:rsidRPr="009070CE" w:rsidRDefault="006659D1">
      <w:pPr>
        <w:pStyle w:val="FootnoteText"/>
      </w:pPr>
      <w:r w:rsidRPr="009070CE">
        <w:rPr>
          <w:rStyle w:val="FootnoteReference"/>
        </w:rPr>
        <w:footnoteRef/>
      </w:r>
      <w:r w:rsidRPr="009070CE">
        <w:t xml:space="preserve"> </w:t>
      </w:r>
      <w:hyperlink r:id="rId1" w:history="1">
        <w:r w:rsidRPr="009070CE">
          <w:rPr>
            <w:rStyle w:val="Hyperlink"/>
          </w:rPr>
          <w:t>http://www.puc.pa.gov/filing_resources/issues_laws_regulations/act_129_information/act_129_statewide_evaluator_swe_.aspx</w:t>
        </w:r>
      </w:hyperlink>
      <w:r w:rsidRPr="009070CE">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3"/>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1E"/>
    <w:rsid w:val="000032F0"/>
    <w:rsid w:val="00016C43"/>
    <w:rsid w:val="00021147"/>
    <w:rsid w:val="0002313A"/>
    <w:rsid w:val="00025E21"/>
    <w:rsid w:val="00026B9B"/>
    <w:rsid w:val="000315CB"/>
    <w:rsid w:val="00031795"/>
    <w:rsid w:val="0004123B"/>
    <w:rsid w:val="00046AA8"/>
    <w:rsid w:val="000A3296"/>
    <w:rsid w:val="000A4073"/>
    <w:rsid w:val="000C0BE0"/>
    <w:rsid w:val="000C7752"/>
    <w:rsid w:val="000D54BC"/>
    <w:rsid w:val="000F4632"/>
    <w:rsid w:val="000F5F50"/>
    <w:rsid w:val="001023B1"/>
    <w:rsid w:val="001048C8"/>
    <w:rsid w:val="00111D7A"/>
    <w:rsid w:val="001209F1"/>
    <w:rsid w:val="00121CB7"/>
    <w:rsid w:val="00126434"/>
    <w:rsid w:val="00126702"/>
    <w:rsid w:val="00134A78"/>
    <w:rsid w:val="00142748"/>
    <w:rsid w:val="00146EB6"/>
    <w:rsid w:val="0015126D"/>
    <w:rsid w:val="00162D58"/>
    <w:rsid w:val="00163A25"/>
    <w:rsid w:val="00183A7E"/>
    <w:rsid w:val="0019426D"/>
    <w:rsid w:val="00195546"/>
    <w:rsid w:val="001A2DCD"/>
    <w:rsid w:val="001A4102"/>
    <w:rsid w:val="001B03CF"/>
    <w:rsid w:val="001B2C6D"/>
    <w:rsid w:val="001B4DA3"/>
    <w:rsid w:val="001E1183"/>
    <w:rsid w:val="001E1BF3"/>
    <w:rsid w:val="001E3A60"/>
    <w:rsid w:val="001F7863"/>
    <w:rsid w:val="002008CA"/>
    <w:rsid w:val="002027E7"/>
    <w:rsid w:val="00204EB9"/>
    <w:rsid w:val="00213CF6"/>
    <w:rsid w:val="002229C3"/>
    <w:rsid w:val="002326FD"/>
    <w:rsid w:val="0024302D"/>
    <w:rsid w:val="002744D7"/>
    <w:rsid w:val="002874B9"/>
    <w:rsid w:val="0029471C"/>
    <w:rsid w:val="002A0616"/>
    <w:rsid w:val="002A2B4A"/>
    <w:rsid w:val="002A43DC"/>
    <w:rsid w:val="002B0543"/>
    <w:rsid w:val="002B37D7"/>
    <w:rsid w:val="002B618E"/>
    <w:rsid w:val="002C4503"/>
    <w:rsid w:val="002C7D3E"/>
    <w:rsid w:val="002D1E8E"/>
    <w:rsid w:val="002F0138"/>
    <w:rsid w:val="003049AB"/>
    <w:rsid w:val="00307364"/>
    <w:rsid w:val="00310263"/>
    <w:rsid w:val="003106B5"/>
    <w:rsid w:val="00325403"/>
    <w:rsid w:val="00332AEB"/>
    <w:rsid w:val="003569E8"/>
    <w:rsid w:val="00361704"/>
    <w:rsid w:val="00366ACD"/>
    <w:rsid w:val="00374D2E"/>
    <w:rsid w:val="003878A0"/>
    <w:rsid w:val="003A6101"/>
    <w:rsid w:val="003B4AA9"/>
    <w:rsid w:val="003E7239"/>
    <w:rsid w:val="003F79A7"/>
    <w:rsid w:val="00404133"/>
    <w:rsid w:val="00413702"/>
    <w:rsid w:val="00423966"/>
    <w:rsid w:val="00427AD9"/>
    <w:rsid w:val="0044224A"/>
    <w:rsid w:val="00442D19"/>
    <w:rsid w:val="00447966"/>
    <w:rsid w:val="00450096"/>
    <w:rsid w:val="0046411C"/>
    <w:rsid w:val="00467782"/>
    <w:rsid w:val="00472043"/>
    <w:rsid w:val="00495FC5"/>
    <w:rsid w:val="004A0C55"/>
    <w:rsid w:val="004A5F4E"/>
    <w:rsid w:val="004B07D2"/>
    <w:rsid w:val="004B61C1"/>
    <w:rsid w:val="004B781B"/>
    <w:rsid w:val="004D2698"/>
    <w:rsid w:val="004F2077"/>
    <w:rsid w:val="0050362A"/>
    <w:rsid w:val="0050568E"/>
    <w:rsid w:val="005138E9"/>
    <w:rsid w:val="0051639C"/>
    <w:rsid w:val="0052665A"/>
    <w:rsid w:val="0053714C"/>
    <w:rsid w:val="00541DB3"/>
    <w:rsid w:val="005424F7"/>
    <w:rsid w:val="00553472"/>
    <w:rsid w:val="00557565"/>
    <w:rsid w:val="00567746"/>
    <w:rsid w:val="0057207C"/>
    <w:rsid w:val="0057487F"/>
    <w:rsid w:val="00575806"/>
    <w:rsid w:val="00590DCB"/>
    <w:rsid w:val="005B0327"/>
    <w:rsid w:val="005B7295"/>
    <w:rsid w:val="005C2839"/>
    <w:rsid w:val="005C5EF3"/>
    <w:rsid w:val="005D0ED6"/>
    <w:rsid w:val="005E25C5"/>
    <w:rsid w:val="00602573"/>
    <w:rsid w:val="00617CEC"/>
    <w:rsid w:val="006354F1"/>
    <w:rsid w:val="006538B5"/>
    <w:rsid w:val="006659D1"/>
    <w:rsid w:val="006678F2"/>
    <w:rsid w:val="006744F0"/>
    <w:rsid w:val="006755C0"/>
    <w:rsid w:val="00675A36"/>
    <w:rsid w:val="006843D3"/>
    <w:rsid w:val="00694301"/>
    <w:rsid w:val="00697209"/>
    <w:rsid w:val="006B307C"/>
    <w:rsid w:val="006B4889"/>
    <w:rsid w:val="006B773E"/>
    <w:rsid w:val="006E00A9"/>
    <w:rsid w:val="006E7EF7"/>
    <w:rsid w:val="006F4A92"/>
    <w:rsid w:val="006F614A"/>
    <w:rsid w:val="00702D23"/>
    <w:rsid w:val="00710DBE"/>
    <w:rsid w:val="0071761F"/>
    <w:rsid w:val="00723893"/>
    <w:rsid w:val="00733109"/>
    <w:rsid w:val="00746F33"/>
    <w:rsid w:val="00750EF6"/>
    <w:rsid w:val="007617B1"/>
    <w:rsid w:val="00774136"/>
    <w:rsid w:val="007762F7"/>
    <w:rsid w:val="00785B5A"/>
    <w:rsid w:val="0078658C"/>
    <w:rsid w:val="007979FC"/>
    <w:rsid w:val="007D6818"/>
    <w:rsid w:val="007E132D"/>
    <w:rsid w:val="007E3F38"/>
    <w:rsid w:val="007E5AA6"/>
    <w:rsid w:val="007E6ACB"/>
    <w:rsid w:val="007E770A"/>
    <w:rsid w:val="007F0050"/>
    <w:rsid w:val="0080690D"/>
    <w:rsid w:val="00813B38"/>
    <w:rsid w:val="008241DB"/>
    <w:rsid w:val="00831D49"/>
    <w:rsid w:val="008427B0"/>
    <w:rsid w:val="00846A98"/>
    <w:rsid w:val="008554B6"/>
    <w:rsid w:val="00881B7D"/>
    <w:rsid w:val="008C246C"/>
    <w:rsid w:val="008D2D06"/>
    <w:rsid w:val="00902959"/>
    <w:rsid w:val="009070CE"/>
    <w:rsid w:val="00932A73"/>
    <w:rsid w:val="0093372C"/>
    <w:rsid w:val="00935E57"/>
    <w:rsid w:val="00942E5E"/>
    <w:rsid w:val="00944B47"/>
    <w:rsid w:val="00945DEF"/>
    <w:rsid w:val="00952DD5"/>
    <w:rsid w:val="0095434D"/>
    <w:rsid w:val="0096632A"/>
    <w:rsid w:val="00977B3F"/>
    <w:rsid w:val="009A5243"/>
    <w:rsid w:val="009B11FA"/>
    <w:rsid w:val="009B23D8"/>
    <w:rsid w:val="009B63E1"/>
    <w:rsid w:val="009C571F"/>
    <w:rsid w:val="009D1A9E"/>
    <w:rsid w:val="009D1C20"/>
    <w:rsid w:val="009E40EC"/>
    <w:rsid w:val="009F5F66"/>
    <w:rsid w:val="00A0034F"/>
    <w:rsid w:val="00A01138"/>
    <w:rsid w:val="00A048AB"/>
    <w:rsid w:val="00A04C00"/>
    <w:rsid w:val="00A20C12"/>
    <w:rsid w:val="00A254D2"/>
    <w:rsid w:val="00A374EE"/>
    <w:rsid w:val="00A42B51"/>
    <w:rsid w:val="00A46963"/>
    <w:rsid w:val="00A5263D"/>
    <w:rsid w:val="00A72D60"/>
    <w:rsid w:val="00A74877"/>
    <w:rsid w:val="00A777B5"/>
    <w:rsid w:val="00A8103B"/>
    <w:rsid w:val="00A87F18"/>
    <w:rsid w:val="00A94E60"/>
    <w:rsid w:val="00AA1AEC"/>
    <w:rsid w:val="00AA2E1B"/>
    <w:rsid w:val="00AA30E9"/>
    <w:rsid w:val="00AB490E"/>
    <w:rsid w:val="00AB497F"/>
    <w:rsid w:val="00AB53D2"/>
    <w:rsid w:val="00AB57E2"/>
    <w:rsid w:val="00AD0506"/>
    <w:rsid w:val="00AD0A9B"/>
    <w:rsid w:val="00AE3480"/>
    <w:rsid w:val="00B04B8D"/>
    <w:rsid w:val="00B11048"/>
    <w:rsid w:val="00B14362"/>
    <w:rsid w:val="00B23FFC"/>
    <w:rsid w:val="00B61CDD"/>
    <w:rsid w:val="00B70C18"/>
    <w:rsid w:val="00B8374F"/>
    <w:rsid w:val="00BB79A9"/>
    <w:rsid w:val="00BC7E75"/>
    <w:rsid w:val="00BD08AE"/>
    <w:rsid w:val="00BD600D"/>
    <w:rsid w:val="00BE4A72"/>
    <w:rsid w:val="00BE5119"/>
    <w:rsid w:val="00C07570"/>
    <w:rsid w:val="00C07BA1"/>
    <w:rsid w:val="00C12EFD"/>
    <w:rsid w:val="00C3034E"/>
    <w:rsid w:val="00C3654A"/>
    <w:rsid w:val="00C404A8"/>
    <w:rsid w:val="00C45DCB"/>
    <w:rsid w:val="00C46EDA"/>
    <w:rsid w:val="00C55BE6"/>
    <w:rsid w:val="00C74A51"/>
    <w:rsid w:val="00C77F29"/>
    <w:rsid w:val="00C81C8C"/>
    <w:rsid w:val="00C90506"/>
    <w:rsid w:val="00CA0D15"/>
    <w:rsid w:val="00CA2448"/>
    <w:rsid w:val="00CA358F"/>
    <w:rsid w:val="00CA73D1"/>
    <w:rsid w:val="00CB5738"/>
    <w:rsid w:val="00CC0368"/>
    <w:rsid w:val="00CD0FDC"/>
    <w:rsid w:val="00CE1EAB"/>
    <w:rsid w:val="00CF047C"/>
    <w:rsid w:val="00CF197F"/>
    <w:rsid w:val="00CF55DF"/>
    <w:rsid w:val="00D0471D"/>
    <w:rsid w:val="00D146D4"/>
    <w:rsid w:val="00D244B2"/>
    <w:rsid w:val="00D31A74"/>
    <w:rsid w:val="00D47C63"/>
    <w:rsid w:val="00D53F6A"/>
    <w:rsid w:val="00D5472C"/>
    <w:rsid w:val="00D55A7A"/>
    <w:rsid w:val="00D62E64"/>
    <w:rsid w:val="00D67450"/>
    <w:rsid w:val="00D77B80"/>
    <w:rsid w:val="00DA41A4"/>
    <w:rsid w:val="00DC06D2"/>
    <w:rsid w:val="00DC7B54"/>
    <w:rsid w:val="00DD5A6B"/>
    <w:rsid w:val="00E23673"/>
    <w:rsid w:val="00E23926"/>
    <w:rsid w:val="00E349DA"/>
    <w:rsid w:val="00E42E96"/>
    <w:rsid w:val="00E43A98"/>
    <w:rsid w:val="00E465EC"/>
    <w:rsid w:val="00E62236"/>
    <w:rsid w:val="00E67B87"/>
    <w:rsid w:val="00E70A5C"/>
    <w:rsid w:val="00E73061"/>
    <w:rsid w:val="00E83E92"/>
    <w:rsid w:val="00EA4C08"/>
    <w:rsid w:val="00EB13A7"/>
    <w:rsid w:val="00EB2540"/>
    <w:rsid w:val="00EB25D8"/>
    <w:rsid w:val="00EC246D"/>
    <w:rsid w:val="00EC75EB"/>
    <w:rsid w:val="00EC7D0E"/>
    <w:rsid w:val="00ED73CC"/>
    <w:rsid w:val="00F3099A"/>
    <w:rsid w:val="00F41A9B"/>
    <w:rsid w:val="00F51C5E"/>
    <w:rsid w:val="00F5640A"/>
    <w:rsid w:val="00F63D91"/>
    <w:rsid w:val="00F66053"/>
    <w:rsid w:val="00F7094C"/>
    <w:rsid w:val="00F75EE4"/>
    <w:rsid w:val="00FA0E37"/>
    <w:rsid w:val="00FB5B4F"/>
    <w:rsid w:val="00FC2644"/>
    <w:rsid w:val="00FC7B5D"/>
    <w:rsid w:val="00FD48E7"/>
    <w:rsid w:val="00FE0D00"/>
    <w:rsid w:val="00FE2144"/>
    <w:rsid w:val="00FE5D97"/>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rsid w:val="00026B9B"/>
  </w:style>
  <w:style w:type="character" w:styleId="FootnoteReference">
    <w:name w:val="footnote reference"/>
    <w:aliases w:val="o,fr"/>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rsid w:val="00026B9B"/>
  </w:style>
  <w:style w:type="character" w:styleId="FootnoteReference">
    <w:name w:val="footnote reference"/>
    <w:aliases w:val="o,fr"/>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gagood@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filing_resources/issues_laws_regulations/act_129_information/act_129_statewide_evaluator_swe_.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filing_resources/issues_laws_regulations/act_129_information/act_129_statewide_evaluator_swe_.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07DA0-ECBB-4CBC-8F4B-8E135FCA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5</cp:revision>
  <cp:lastPrinted>2012-05-08T13:33:00Z</cp:lastPrinted>
  <dcterms:created xsi:type="dcterms:W3CDTF">2015-02-25T21:13:00Z</dcterms:created>
  <dcterms:modified xsi:type="dcterms:W3CDTF">2015-02-27T18:15:00Z</dcterms:modified>
</cp:coreProperties>
</file>